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1C" w:rsidRDefault="009B581C">
      <w:pPr>
        <w:autoSpaceDE w:val="0"/>
        <w:autoSpaceDN w:val="0"/>
        <w:adjustRightInd w:val="0"/>
        <w:spacing w:line="360" w:lineRule="auto"/>
        <w:jc w:val="left"/>
        <w:rPr>
          <w:rFonts w:eastAsiaTheme="minorEastAsia"/>
          <w:color w:val="000000"/>
          <w:kern w:val="0"/>
          <w:szCs w:val="21"/>
        </w:rPr>
      </w:pPr>
    </w:p>
    <w:p w:rsidR="009B581C" w:rsidRDefault="009B581C">
      <w:pPr>
        <w:autoSpaceDE w:val="0"/>
        <w:autoSpaceDN w:val="0"/>
        <w:adjustRightInd w:val="0"/>
        <w:spacing w:line="360" w:lineRule="auto"/>
        <w:jc w:val="left"/>
        <w:rPr>
          <w:rFonts w:eastAsiaTheme="minorEastAsia"/>
          <w:color w:val="000000"/>
          <w:kern w:val="0"/>
          <w:szCs w:val="21"/>
        </w:rPr>
      </w:pPr>
    </w:p>
    <w:p w:rsidR="009B581C" w:rsidRDefault="009B581C">
      <w:pPr>
        <w:autoSpaceDE w:val="0"/>
        <w:autoSpaceDN w:val="0"/>
        <w:adjustRightInd w:val="0"/>
        <w:spacing w:line="360" w:lineRule="auto"/>
        <w:jc w:val="left"/>
        <w:rPr>
          <w:rFonts w:eastAsiaTheme="minorEastAsia"/>
          <w:color w:val="000000"/>
          <w:kern w:val="0"/>
          <w:szCs w:val="21"/>
        </w:rPr>
      </w:pPr>
    </w:p>
    <w:p w:rsidR="009B581C" w:rsidRDefault="009B581C">
      <w:pPr>
        <w:autoSpaceDE w:val="0"/>
        <w:autoSpaceDN w:val="0"/>
        <w:adjustRightInd w:val="0"/>
        <w:spacing w:line="360" w:lineRule="auto"/>
        <w:jc w:val="left"/>
        <w:rPr>
          <w:rFonts w:eastAsiaTheme="minorEastAsia"/>
          <w:color w:val="000000"/>
          <w:kern w:val="0"/>
          <w:szCs w:val="21"/>
        </w:rPr>
      </w:pPr>
    </w:p>
    <w:p w:rsidR="009B581C" w:rsidRDefault="00404602">
      <w:pPr>
        <w:spacing w:line="360" w:lineRule="auto"/>
        <w:jc w:val="center"/>
        <w:rPr>
          <w:rFonts w:eastAsiaTheme="minorEastAsia"/>
          <w:b/>
          <w:sz w:val="36"/>
          <w:szCs w:val="36"/>
        </w:rPr>
      </w:pPr>
      <w:bookmarkStart w:id="0" w:name="_Toc361324840"/>
      <w:r>
        <w:rPr>
          <w:rFonts w:eastAsiaTheme="minorEastAsia"/>
          <w:b/>
          <w:sz w:val="36"/>
          <w:szCs w:val="36"/>
        </w:rPr>
        <w:t>广发中证全指主要消费交易型开放式指数证券投资基金</w:t>
      </w:r>
      <w:bookmarkEnd w:id="0"/>
    </w:p>
    <w:p w:rsidR="009B581C" w:rsidRDefault="00404602">
      <w:pPr>
        <w:spacing w:line="360" w:lineRule="auto"/>
        <w:jc w:val="center"/>
        <w:rPr>
          <w:rFonts w:eastAsiaTheme="minorEastAsia"/>
          <w:b/>
          <w:sz w:val="36"/>
          <w:szCs w:val="36"/>
        </w:rPr>
      </w:pPr>
      <w:bookmarkStart w:id="1" w:name="_Toc361324841"/>
      <w:r>
        <w:rPr>
          <w:rFonts w:eastAsiaTheme="minorEastAsia"/>
          <w:b/>
          <w:sz w:val="36"/>
          <w:szCs w:val="36"/>
        </w:rPr>
        <w:t>2018</w:t>
      </w:r>
      <w:r>
        <w:rPr>
          <w:rFonts w:eastAsiaTheme="minorEastAsia"/>
          <w:b/>
          <w:sz w:val="36"/>
          <w:szCs w:val="36"/>
        </w:rPr>
        <w:t>年年度报告</w:t>
      </w:r>
      <w:bookmarkEnd w:id="1"/>
      <w:r>
        <w:rPr>
          <w:rFonts w:eastAsiaTheme="minorEastAsia"/>
          <w:b/>
          <w:sz w:val="36"/>
          <w:szCs w:val="36"/>
        </w:rPr>
        <w:t>摘要</w:t>
      </w:r>
    </w:p>
    <w:p w:rsidR="009B581C" w:rsidRDefault="00404602">
      <w:pPr>
        <w:spacing w:line="360" w:lineRule="auto"/>
        <w:jc w:val="center"/>
        <w:rPr>
          <w:rFonts w:eastAsiaTheme="minorEastAsia"/>
          <w:b/>
          <w:sz w:val="36"/>
          <w:szCs w:val="36"/>
        </w:rPr>
      </w:pPr>
      <w:r>
        <w:rPr>
          <w:rFonts w:eastAsiaTheme="minorEastAsia"/>
          <w:b/>
          <w:sz w:val="36"/>
          <w:szCs w:val="36"/>
        </w:rPr>
        <w:t>2018</w:t>
      </w:r>
      <w:r>
        <w:rPr>
          <w:rFonts w:eastAsiaTheme="minorEastAsia"/>
          <w:b/>
          <w:sz w:val="36"/>
          <w:szCs w:val="36"/>
        </w:rPr>
        <w:t>年</w:t>
      </w:r>
      <w:r>
        <w:rPr>
          <w:rFonts w:eastAsiaTheme="minorEastAsia"/>
          <w:b/>
          <w:sz w:val="36"/>
          <w:szCs w:val="36"/>
        </w:rPr>
        <w:t>12</w:t>
      </w:r>
      <w:r>
        <w:rPr>
          <w:rFonts w:eastAsiaTheme="minorEastAsia"/>
          <w:b/>
          <w:sz w:val="36"/>
          <w:szCs w:val="36"/>
        </w:rPr>
        <w:t>月</w:t>
      </w:r>
      <w:r>
        <w:rPr>
          <w:rFonts w:eastAsiaTheme="minorEastAsia"/>
          <w:b/>
          <w:sz w:val="36"/>
          <w:szCs w:val="36"/>
        </w:rPr>
        <w:t>31</w:t>
      </w:r>
      <w:r>
        <w:rPr>
          <w:rFonts w:eastAsiaTheme="minorEastAsia"/>
          <w:b/>
          <w:sz w:val="36"/>
          <w:szCs w:val="36"/>
        </w:rPr>
        <w:t>日</w:t>
      </w: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jc w:val="center"/>
        <w:rPr>
          <w:rFonts w:eastAsiaTheme="minorEastAsia"/>
          <w:b/>
          <w:color w:val="000000"/>
          <w:szCs w:val="21"/>
        </w:rPr>
      </w:pPr>
    </w:p>
    <w:p w:rsidR="009B581C" w:rsidRDefault="009B581C">
      <w:pPr>
        <w:spacing w:line="360" w:lineRule="auto"/>
        <w:rPr>
          <w:rFonts w:eastAsiaTheme="minorEastAsia"/>
          <w:b/>
          <w:color w:val="000000"/>
          <w:szCs w:val="21"/>
        </w:rPr>
      </w:pPr>
    </w:p>
    <w:p w:rsidR="009B581C" w:rsidRDefault="00404602">
      <w:pPr>
        <w:spacing w:line="360" w:lineRule="auto"/>
        <w:ind w:firstLineChars="900" w:firstLine="2168"/>
        <w:rPr>
          <w:rFonts w:eastAsiaTheme="minorEastAsia"/>
          <w:b/>
          <w:color w:val="000000"/>
          <w:sz w:val="24"/>
        </w:rPr>
      </w:pPr>
      <w:r>
        <w:rPr>
          <w:rFonts w:eastAsiaTheme="minorEastAsia"/>
          <w:b/>
          <w:color w:val="000000"/>
          <w:sz w:val="24"/>
        </w:rPr>
        <w:t>基金管理人：广发基金管理有限公司</w:t>
      </w:r>
    </w:p>
    <w:p w:rsidR="009B581C" w:rsidRDefault="00404602">
      <w:pPr>
        <w:spacing w:line="360" w:lineRule="auto"/>
        <w:ind w:firstLineChars="900" w:firstLine="2168"/>
        <w:rPr>
          <w:rFonts w:eastAsiaTheme="minorEastAsia"/>
          <w:b/>
          <w:color w:val="000000"/>
          <w:sz w:val="24"/>
        </w:rPr>
      </w:pPr>
      <w:r>
        <w:rPr>
          <w:rFonts w:eastAsiaTheme="minorEastAsia"/>
          <w:b/>
          <w:color w:val="000000"/>
          <w:sz w:val="24"/>
        </w:rPr>
        <w:t>基金托管人：中国银行股份有限公司</w:t>
      </w:r>
    </w:p>
    <w:p w:rsidR="009B581C" w:rsidRDefault="00404602">
      <w:pPr>
        <w:spacing w:line="360" w:lineRule="auto"/>
        <w:ind w:firstLineChars="900" w:firstLine="2168"/>
        <w:rPr>
          <w:rFonts w:eastAsiaTheme="minorEastAsia"/>
          <w:b/>
          <w:color w:val="000000"/>
          <w:sz w:val="24"/>
        </w:rPr>
        <w:sectPr w:rsidR="009B581C">
          <w:headerReference w:type="default" r:id="rId7"/>
          <w:pgSz w:w="11926" w:h="15840"/>
          <w:pgMar w:top="1418" w:right="1418" w:bottom="851" w:left="1418" w:header="851" w:footer="992" w:gutter="0"/>
          <w:cols w:space="720"/>
        </w:sectPr>
      </w:pPr>
      <w:r>
        <w:rPr>
          <w:rFonts w:eastAsiaTheme="minorEastAsia"/>
          <w:b/>
          <w:color w:val="000000"/>
          <w:sz w:val="24"/>
        </w:rPr>
        <w:t>报告送出日期：二〇一九年三月三十日</w:t>
      </w:r>
    </w:p>
    <w:p w:rsidR="009B581C" w:rsidRDefault="00404602" w:rsidP="006A74CC">
      <w:pPr>
        <w:pStyle w:val="1"/>
        <w:keepNext/>
        <w:keepLines/>
        <w:widowControl w:val="0"/>
        <w:spacing w:beforeLines="100" w:afterLines="100" w:line="360" w:lineRule="auto"/>
        <w:jc w:val="center"/>
        <w:rPr>
          <w:rFonts w:eastAsiaTheme="minorEastAsia"/>
          <w:b/>
          <w:bCs/>
          <w:sz w:val="21"/>
          <w:szCs w:val="21"/>
          <w:lang w:val="en-US"/>
        </w:rPr>
      </w:pPr>
      <w:bookmarkStart w:id="2" w:name="_Toc225498243"/>
      <w:bookmarkStart w:id="3" w:name="_Toc361324842"/>
      <w:r>
        <w:rPr>
          <w:rFonts w:eastAsiaTheme="minorEastAsia"/>
          <w:b/>
          <w:bCs/>
          <w:sz w:val="21"/>
          <w:szCs w:val="21"/>
          <w:lang w:val="en-US"/>
        </w:rPr>
        <w:lastRenderedPageBreak/>
        <w:t xml:space="preserve">§1  </w:t>
      </w:r>
      <w:r>
        <w:rPr>
          <w:rFonts w:eastAsiaTheme="minorEastAsia"/>
          <w:b/>
          <w:bCs/>
          <w:sz w:val="21"/>
          <w:szCs w:val="21"/>
          <w:lang w:val="en-US"/>
        </w:rPr>
        <w:t>重要提示</w:t>
      </w:r>
      <w:bookmarkEnd w:id="2"/>
      <w:bookmarkEnd w:id="3"/>
    </w:p>
    <w:p w:rsidR="009B581C" w:rsidRDefault="00404602">
      <w:pPr>
        <w:pStyle w:val="2"/>
        <w:spacing w:before="0" w:after="0"/>
        <w:rPr>
          <w:rFonts w:ascii="Times New Roman" w:eastAsiaTheme="minorEastAsia" w:hAnsi="Times New Roman"/>
          <w:kern w:val="0"/>
          <w:sz w:val="21"/>
          <w:szCs w:val="21"/>
        </w:rPr>
      </w:pPr>
      <w:bookmarkStart w:id="4" w:name="_Toc361324843"/>
      <w:r>
        <w:rPr>
          <w:rFonts w:ascii="Times New Roman" w:eastAsiaTheme="minorEastAsia" w:hAnsi="Times New Roman"/>
          <w:kern w:val="0"/>
          <w:sz w:val="21"/>
          <w:szCs w:val="21"/>
        </w:rPr>
        <w:t xml:space="preserve">1.1 </w:t>
      </w:r>
      <w:r>
        <w:rPr>
          <w:rFonts w:ascii="Times New Roman" w:eastAsiaTheme="minorEastAsia" w:hAnsi="Times New Roman"/>
          <w:kern w:val="0"/>
          <w:sz w:val="21"/>
          <w:szCs w:val="21"/>
        </w:rPr>
        <w:t>重要提示</w:t>
      </w:r>
      <w:bookmarkEnd w:id="4"/>
    </w:p>
    <w:p w:rsidR="009B581C" w:rsidRDefault="00404602">
      <w:pPr>
        <w:spacing w:line="360" w:lineRule="auto"/>
        <w:ind w:firstLineChars="200" w:firstLine="420"/>
        <w:rPr>
          <w:rFonts w:eastAsiaTheme="minorEastAsia"/>
          <w:kern w:val="0"/>
          <w:szCs w:val="21"/>
        </w:rPr>
      </w:pPr>
      <w:r>
        <w:rPr>
          <w:rFonts w:eastAsiaTheme="minorEastAsia"/>
          <w:kern w:val="0"/>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9B581C" w:rsidRDefault="00404602">
      <w:pPr>
        <w:spacing w:line="360" w:lineRule="auto"/>
        <w:ind w:firstLineChars="200" w:firstLine="420"/>
        <w:rPr>
          <w:rFonts w:eastAsiaTheme="minorEastAsia"/>
          <w:kern w:val="0"/>
          <w:szCs w:val="21"/>
        </w:rPr>
      </w:pPr>
      <w:r>
        <w:rPr>
          <w:rFonts w:eastAsiaTheme="minorEastAsia"/>
          <w:kern w:val="0"/>
          <w:szCs w:val="21"/>
        </w:rPr>
        <w:t>基金托管人</w:t>
      </w:r>
      <w:r>
        <w:rPr>
          <w:rFonts w:eastAsiaTheme="minorEastAsia"/>
          <w:szCs w:val="21"/>
        </w:rPr>
        <w:t>中国银行股份有限公司</w:t>
      </w:r>
      <w:r>
        <w:rPr>
          <w:rFonts w:eastAsiaTheme="minorEastAsia"/>
          <w:kern w:val="0"/>
          <w:szCs w:val="21"/>
        </w:rPr>
        <w:t>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28</w:t>
      </w:r>
      <w:r>
        <w:rPr>
          <w:rFonts w:eastAsiaTheme="minorEastAsia"/>
          <w:color w:val="000000"/>
          <w:szCs w:val="21"/>
        </w:rPr>
        <w:t>日</w:t>
      </w:r>
      <w:r>
        <w:rPr>
          <w:rFonts w:eastAsiaTheme="minorEastAsia"/>
          <w:kern w:val="0"/>
          <w:szCs w:val="21"/>
        </w:rPr>
        <w:t>复核了本报告中的财务指标、净值表现、利润分配情况、财务会计报告、投资组合报告等内容，保证复核内容不存在虚假记载、误导性陈述或者重大遗漏。</w:t>
      </w:r>
    </w:p>
    <w:p w:rsidR="009B581C" w:rsidRDefault="00404602">
      <w:pPr>
        <w:spacing w:line="360" w:lineRule="auto"/>
        <w:ind w:firstLineChars="200" w:firstLine="420"/>
        <w:rPr>
          <w:rFonts w:eastAsiaTheme="minorEastAsia"/>
          <w:kern w:val="0"/>
          <w:szCs w:val="21"/>
        </w:rPr>
      </w:pPr>
      <w:r>
        <w:rPr>
          <w:rFonts w:eastAsiaTheme="minorEastAsia"/>
          <w:kern w:val="0"/>
          <w:szCs w:val="21"/>
        </w:rPr>
        <w:t>基金管理人承诺以诚实信用、勤勉尽责的原则管理和运用基金资产，但不保证基金一定盈利。</w:t>
      </w:r>
    </w:p>
    <w:p w:rsidR="009B581C" w:rsidRDefault="00404602">
      <w:pPr>
        <w:spacing w:line="360" w:lineRule="auto"/>
        <w:ind w:firstLineChars="200" w:firstLine="420"/>
        <w:rPr>
          <w:rFonts w:eastAsiaTheme="minorEastAsia"/>
          <w:kern w:val="0"/>
          <w:szCs w:val="21"/>
        </w:rPr>
      </w:pPr>
      <w:r>
        <w:rPr>
          <w:rFonts w:eastAsiaTheme="minorEastAsia"/>
          <w:kern w:val="0"/>
          <w:szCs w:val="21"/>
        </w:rPr>
        <w:t>基金的过往业绩并不代表其未来表现。投资有风险，投资者在作出投资决策前应仔细阅读本基金的招募说明书及其更新。</w:t>
      </w:r>
    </w:p>
    <w:p w:rsidR="009B581C" w:rsidRDefault="00404602">
      <w:pPr>
        <w:spacing w:line="360" w:lineRule="auto"/>
        <w:ind w:firstLineChars="200" w:firstLine="420"/>
        <w:rPr>
          <w:rFonts w:eastAsiaTheme="minorEastAsia"/>
          <w:kern w:val="0"/>
          <w:szCs w:val="21"/>
        </w:rPr>
      </w:pPr>
      <w:r>
        <w:rPr>
          <w:rFonts w:eastAsiaTheme="minorEastAsia"/>
          <w:kern w:val="0"/>
          <w:szCs w:val="21"/>
        </w:rPr>
        <w:t>本年度报告摘要摘自年度报告正文，投资者欲了解详细内容，应阅读年度报告正文。</w:t>
      </w:r>
    </w:p>
    <w:p w:rsidR="009B581C" w:rsidRDefault="00404602">
      <w:pPr>
        <w:spacing w:line="360" w:lineRule="auto"/>
        <w:ind w:firstLineChars="200" w:firstLine="420"/>
        <w:rPr>
          <w:rFonts w:eastAsiaTheme="minorEastAsia"/>
          <w:kern w:val="0"/>
          <w:szCs w:val="21"/>
        </w:rPr>
      </w:pPr>
      <w:r>
        <w:rPr>
          <w:rFonts w:eastAsiaTheme="minorEastAsia"/>
          <w:kern w:val="0"/>
          <w:szCs w:val="21"/>
        </w:rPr>
        <w:t>本报告期自</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日起至</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日止。</w:t>
      </w:r>
    </w:p>
    <w:p w:rsidR="009B581C" w:rsidRDefault="00404602">
      <w:pPr>
        <w:spacing w:line="360" w:lineRule="auto"/>
        <w:rPr>
          <w:rFonts w:eastAsiaTheme="minorEastAsia"/>
          <w:b/>
          <w:color w:val="000000"/>
          <w:kern w:val="0"/>
          <w:szCs w:val="21"/>
        </w:rPr>
      </w:pPr>
      <w:r>
        <w:rPr>
          <w:rFonts w:eastAsiaTheme="minorEastAsia"/>
          <w:szCs w:val="21"/>
        </w:rPr>
        <w:br w:type="page"/>
      </w:r>
    </w:p>
    <w:p w:rsidR="009B581C" w:rsidRDefault="00404602" w:rsidP="006A74CC">
      <w:pPr>
        <w:pStyle w:val="1"/>
        <w:keepNext/>
        <w:keepLines/>
        <w:widowControl w:val="0"/>
        <w:spacing w:beforeLines="100" w:afterLines="100" w:line="360" w:lineRule="auto"/>
        <w:jc w:val="center"/>
        <w:rPr>
          <w:rFonts w:eastAsiaTheme="minorEastAsia"/>
          <w:sz w:val="21"/>
          <w:szCs w:val="21"/>
          <w:lang w:val="en-US"/>
        </w:rPr>
      </w:pPr>
      <w:bookmarkStart w:id="5" w:name="_Toc225498244"/>
      <w:bookmarkStart w:id="6" w:name="_Toc361324844"/>
      <w:r>
        <w:rPr>
          <w:rFonts w:eastAsiaTheme="minorEastAsia"/>
          <w:b/>
          <w:bCs/>
          <w:sz w:val="21"/>
          <w:szCs w:val="21"/>
          <w:lang w:val="en-US"/>
        </w:rPr>
        <w:lastRenderedPageBreak/>
        <w:t xml:space="preserve">§2  </w:t>
      </w:r>
      <w:r>
        <w:rPr>
          <w:rFonts w:eastAsiaTheme="minorEastAsia"/>
          <w:b/>
          <w:bCs/>
          <w:sz w:val="21"/>
          <w:szCs w:val="21"/>
          <w:lang w:val="en-US"/>
        </w:rPr>
        <w:t>基金简介</w:t>
      </w:r>
      <w:bookmarkEnd w:id="5"/>
      <w:bookmarkEnd w:id="6"/>
    </w:p>
    <w:p w:rsidR="009B581C" w:rsidRDefault="00404602">
      <w:pPr>
        <w:pStyle w:val="2"/>
        <w:spacing w:before="0" w:after="0"/>
        <w:rPr>
          <w:rFonts w:ascii="Times New Roman" w:eastAsiaTheme="minorEastAsia" w:hAnsi="Times New Roman"/>
          <w:color w:val="000000"/>
          <w:sz w:val="21"/>
          <w:szCs w:val="21"/>
        </w:rPr>
      </w:pPr>
      <w:bookmarkStart w:id="7" w:name="_Toc361324845"/>
      <w:r>
        <w:rPr>
          <w:rFonts w:ascii="Times New Roman" w:eastAsiaTheme="minorEastAsia" w:hAnsi="Times New Roman"/>
          <w:kern w:val="0"/>
          <w:sz w:val="21"/>
          <w:szCs w:val="21"/>
        </w:rPr>
        <w:t xml:space="preserve">2.1 </w:t>
      </w:r>
      <w:r>
        <w:rPr>
          <w:rFonts w:ascii="Times New Roman" w:eastAsiaTheme="minorEastAsia" w:hAnsi="Times New Roman"/>
          <w:color w:val="000000"/>
          <w:sz w:val="21"/>
          <w:szCs w:val="21"/>
        </w:rPr>
        <w:t>基金基本情况</w:t>
      </w:r>
      <w:bookmarkEnd w:id="7"/>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5217"/>
      </w:tblGrid>
      <w:tr w:rsidR="009B581C">
        <w:tc>
          <w:tcPr>
            <w:tcW w:w="3258" w:type="dxa"/>
            <w:vAlign w:val="center"/>
          </w:tcPr>
          <w:p w:rsidR="009B581C" w:rsidRDefault="00404602">
            <w:pPr>
              <w:spacing w:line="360" w:lineRule="auto"/>
              <w:rPr>
                <w:rFonts w:eastAsiaTheme="minorEastAsia"/>
                <w:color w:val="000000"/>
                <w:kern w:val="0"/>
                <w:szCs w:val="21"/>
              </w:rPr>
            </w:pPr>
            <w:r>
              <w:rPr>
                <w:rFonts w:eastAsiaTheme="minorEastAsia"/>
                <w:szCs w:val="21"/>
              </w:rPr>
              <w:t>基金简称</w:t>
            </w:r>
          </w:p>
        </w:tc>
        <w:tc>
          <w:tcPr>
            <w:tcW w:w="5217" w:type="dxa"/>
            <w:vAlign w:val="center"/>
          </w:tcPr>
          <w:p w:rsidR="009B581C" w:rsidRDefault="00404602">
            <w:pPr>
              <w:spacing w:line="360" w:lineRule="auto"/>
              <w:jc w:val="center"/>
              <w:rPr>
                <w:rFonts w:eastAsiaTheme="minorEastAsia"/>
                <w:szCs w:val="21"/>
              </w:rPr>
            </w:pPr>
            <w:r>
              <w:rPr>
                <w:rFonts w:eastAsiaTheme="minorEastAsia"/>
                <w:szCs w:val="21"/>
              </w:rPr>
              <w:t>广发中证全指主要消费</w:t>
            </w:r>
            <w:r>
              <w:rPr>
                <w:rFonts w:eastAsiaTheme="minorEastAsia"/>
                <w:szCs w:val="21"/>
              </w:rPr>
              <w:t>ETF</w:t>
            </w:r>
          </w:p>
        </w:tc>
      </w:tr>
      <w:tr w:rsidR="009B581C">
        <w:tc>
          <w:tcPr>
            <w:tcW w:w="3258" w:type="dxa"/>
          </w:tcPr>
          <w:p w:rsidR="009B581C" w:rsidRDefault="00404602">
            <w:pPr>
              <w:rPr>
                <w:rFonts w:eastAsiaTheme="minorEastAsia"/>
                <w:szCs w:val="21"/>
              </w:rPr>
            </w:pPr>
            <w:r>
              <w:rPr>
                <w:rFonts w:eastAsiaTheme="minorEastAsia"/>
                <w:szCs w:val="21"/>
              </w:rPr>
              <w:t>场内简称</w:t>
            </w:r>
          </w:p>
        </w:tc>
        <w:tc>
          <w:tcPr>
            <w:tcW w:w="5217" w:type="dxa"/>
            <w:vAlign w:val="center"/>
          </w:tcPr>
          <w:p w:rsidR="009B581C" w:rsidRDefault="00404602">
            <w:pPr>
              <w:jc w:val="center"/>
              <w:rPr>
                <w:rFonts w:eastAsiaTheme="minorEastAsia"/>
                <w:szCs w:val="21"/>
              </w:rPr>
            </w:pPr>
            <w:r>
              <w:rPr>
                <w:rFonts w:eastAsiaTheme="minorEastAsia"/>
                <w:szCs w:val="21"/>
              </w:rPr>
              <w:t>全指消费</w:t>
            </w:r>
          </w:p>
        </w:tc>
      </w:tr>
      <w:tr w:rsidR="009B581C">
        <w:tc>
          <w:tcPr>
            <w:tcW w:w="3258" w:type="dxa"/>
            <w:vAlign w:val="center"/>
          </w:tcPr>
          <w:p w:rsidR="009B581C" w:rsidRDefault="00404602">
            <w:pPr>
              <w:spacing w:line="360" w:lineRule="auto"/>
              <w:rPr>
                <w:rFonts w:eastAsiaTheme="minorEastAsia"/>
                <w:color w:val="000000"/>
                <w:kern w:val="0"/>
                <w:szCs w:val="21"/>
              </w:rPr>
            </w:pPr>
            <w:r>
              <w:rPr>
                <w:rFonts w:eastAsiaTheme="minorEastAsia"/>
                <w:szCs w:val="21"/>
              </w:rPr>
              <w:t>基金主代码</w:t>
            </w:r>
          </w:p>
        </w:tc>
        <w:tc>
          <w:tcPr>
            <w:tcW w:w="5217" w:type="dxa"/>
            <w:vAlign w:val="center"/>
          </w:tcPr>
          <w:p w:rsidR="009B581C" w:rsidRDefault="00404602">
            <w:pPr>
              <w:spacing w:line="360" w:lineRule="auto"/>
              <w:jc w:val="center"/>
              <w:rPr>
                <w:rFonts w:eastAsiaTheme="minorEastAsia"/>
                <w:szCs w:val="21"/>
              </w:rPr>
            </w:pPr>
            <w:r>
              <w:rPr>
                <w:rFonts w:eastAsiaTheme="minorEastAsia"/>
                <w:szCs w:val="21"/>
              </w:rPr>
              <w:t>159946</w:t>
            </w:r>
          </w:p>
        </w:tc>
      </w:tr>
      <w:tr w:rsidR="009B581C">
        <w:tc>
          <w:tcPr>
            <w:tcW w:w="3258" w:type="dxa"/>
            <w:vAlign w:val="center"/>
          </w:tcPr>
          <w:p w:rsidR="009B581C" w:rsidRDefault="00404602">
            <w:pPr>
              <w:spacing w:line="360" w:lineRule="auto"/>
              <w:rPr>
                <w:rFonts w:eastAsiaTheme="minorEastAsia"/>
                <w:szCs w:val="21"/>
              </w:rPr>
            </w:pPr>
            <w:r>
              <w:rPr>
                <w:rFonts w:eastAsiaTheme="minorEastAsia"/>
                <w:color w:val="000000"/>
                <w:kern w:val="0"/>
                <w:szCs w:val="21"/>
              </w:rPr>
              <w:t>交易代码</w:t>
            </w:r>
          </w:p>
        </w:tc>
        <w:tc>
          <w:tcPr>
            <w:tcW w:w="5217" w:type="dxa"/>
            <w:vAlign w:val="center"/>
          </w:tcPr>
          <w:p w:rsidR="009B581C" w:rsidRDefault="00404602">
            <w:pPr>
              <w:spacing w:line="360" w:lineRule="auto"/>
              <w:jc w:val="center"/>
              <w:rPr>
                <w:rFonts w:eastAsiaTheme="minorEastAsia"/>
                <w:szCs w:val="21"/>
              </w:rPr>
            </w:pPr>
            <w:r>
              <w:rPr>
                <w:rFonts w:eastAsiaTheme="minorEastAsia"/>
                <w:szCs w:val="21"/>
              </w:rPr>
              <w:t>159946</w:t>
            </w:r>
          </w:p>
        </w:tc>
      </w:tr>
      <w:tr w:rsidR="009B581C">
        <w:tc>
          <w:tcPr>
            <w:tcW w:w="3258" w:type="dxa"/>
            <w:vAlign w:val="center"/>
          </w:tcPr>
          <w:p w:rsidR="009B581C" w:rsidRDefault="00404602">
            <w:pPr>
              <w:spacing w:line="360" w:lineRule="auto"/>
              <w:rPr>
                <w:rFonts w:eastAsiaTheme="minorEastAsia"/>
                <w:color w:val="000000"/>
                <w:kern w:val="0"/>
                <w:szCs w:val="21"/>
              </w:rPr>
            </w:pPr>
            <w:r>
              <w:rPr>
                <w:rFonts w:eastAsiaTheme="minorEastAsia"/>
                <w:szCs w:val="21"/>
              </w:rPr>
              <w:t>基金运作方式</w:t>
            </w:r>
          </w:p>
        </w:tc>
        <w:tc>
          <w:tcPr>
            <w:tcW w:w="5217" w:type="dxa"/>
            <w:vAlign w:val="center"/>
          </w:tcPr>
          <w:p w:rsidR="009B581C" w:rsidRDefault="00404602">
            <w:pPr>
              <w:spacing w:line="360" w:lineRule="auto"/>
              <w:jc w:val="center"/>
              <w:rPr>
                <w:rFonts w:eastAsiaTheme="minorEastAsia"/>
                <w:szCs w:val="21"/>
              </w:rPr>
            </w:pPr>
            <w:r>
              <w:rPr>
                <w:rFonts w:eastAsiaTheme="minorEastAsia"/>
                <w:szCs w:val="21"/>
              </w:rPr>
              <w:t>交易型开放式</w:t>
            </w:r>
          </w:p>
        </w:tc>
      </w:tr>
      <w:tr w:rsidR="009B581C">
        <w:tc>
          <w:tcPr>
            <w:tcW w:w="3258" w:type="dxa"/>
            <w:vAlign w:val="center"/>
          </w:tcPr>
          <w:p w:rsidR="009B581C" w:rsidRDefault="00404602">
            <w:pPr>
              <w:spacing w:line="360" w:lineRule="auto"/>
              <w:rPr>
                <w:rFonts w:eastAsiaTheme="minorEastAsia"/>
                <w:color w:val="000000"/>
                <w:kern w:val="0"/>
                <w:szCs w:val="21"/>
              </w:rPr>
            </w:pPr>
            <w:r>
              <w:rPr>
                <w:rFonts w:eastAsiaTheme="minorEastAsia"/>
                <w:szCs w:val="21"/>
              </w:rPr>
              <w:t>基金合同生效日</w:t>
            </w:r>
          </w:p>
        </w:tc>
        <w:tc>
          <w:tcPr>
            <w:tcW w:w="5217" w:type="dxa"/>
            <w:vAlign w:val="center"/>
          </w:tcPr>
          <w:p w:rsidR="009B581C" w:rsidRDefault="00404602">
            <w:pPr>
              <w:spacing w:line="360" w:lineRule="auto"/>
              <w:jc w:val="center"/>
              <w:rPr>
                <w:rFonts w:eastAsiaTheme="minorEastAsia"/>
                <w:szCs w:val="21"/>
              </w:rPr>
            </w:pP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1</w:t>
            </w:r>
            <w:r>
              <w:rPr>
                <w:rFonts w:eastAsiaTheme="minorEastAsia"/>
                <w:szCs w:val="21"/>
              </w:rPr>
              <w:t>日</w:t>
            </w:r>
          </w:p>
        </w:tc>
      </w:tr>
      <w:tr w:rsidR="009B581C">
        <w:tc>
          <w:tcPr>
            <w:tcW w:w="3258" w:type="dxa"/>
            <w:vAlign w:val="center"/>
          </w:tcPr>
          <w:p w:rsidR="009B581C" w:rsidRDefault="00404602">
            <w:pPr>
              <w:spacing w:line="360" w:lineRule="auto"/>
              <w:rPr>
                <w:rFonts w:eastAsiaTheme="minorEastAsia"/>
                <w:color w:val="000000"/>
                <w:kern w:val="0"/>
                <w:szCs w:val="21"/>
              </w:rPr>
            </w:pPr>
            <w:r>
              <w:rPr>
                <w:rFonts w:eastAsiaTheme="minorEastAsia"/>
                <w:szCs w:val="21"/>
              </w:rPr>
              <w:t>基金管理人</w:t>
            </w:r>
          </w:p>
        </w:tc>
        <w:tc>
          <w:tcPr>
            <w:tcW w:w="5217" w:type="dxa"/>
            <w:vAlign w:val="center"/>
          </w:tcPr>
          <w:p w:rsidR="009B581C" w:rsidRDefault="00404602">
            <w:pPr>
              <w:spacing w:line="360" w:lineRule="auto"/>
              <w:jc w:val="center"/>
              <w:rPr>
                <w:rFonts w:eastAsiaTheme="minorEastAsia"/>
                <w:szCs w:val="21"/>
              </w:rPr>
            </w:pPr>
            <w:r>
              <w:rPr>
                <w:rFonts w:eastAsiaTheme="minorEastAsia"/>
                <w:szCs w:val="21"/>
              </w:rPr>
              <w:t>广发基金管理有限公司</w:t>
            </w:r>
          </w:p>
        </w:tc>
      </w:tr>
      <w:tr w:rsidR="009B581C">
        <w:tc>
          <w:tcPr>
            <w:tcW w:w="3258" w:type="dxa"/>
            <w:vAlign w:val="center"/>
          </w:tcPr>
          <w:p w:rsidR="009B581C" w:rsidRDefault="00404602">
            <w:pPr>
              <w:spacing w:line="360" w:lineRule="auto"/>
              <w:rPr>
                <w:rFonts w:eastAsiaTheme="minorEastAsia"/>
                <w:color w:val="000000"/>
                <w:kern w:val="0"/>
                <w:szCs w:val="21"/>
              </w:rPr>
            </w:pPr>
            <w:r>
              <w:rPr>
                <w:rFonts w:eastAsiaTheme="minorEastAsia"/>
                <w:szCs w:val="21"/>
              </w:rPr>
              <w:t>基金托管人</w:t>
            </w:r>
          </w:p>
        </w:tc>
        <w:tc>
          <w:tcPr>
            <w:tcW w:w="5217" w:type="dxa"/>
            <w:vAlign w:val="center"/>
          </w:tcPr>
          <w:p w:rsidR="009B581C" w:rsidRDefault="00404602">
            <w:pPr>
              <w:spacing w:line="360" w:lineRule="auto"/>
              <w:jc w:val="center"/>
              <w:rPr>
                <w:rFonts w:eastAsiaTheme="minorEastAsia"/>
                <w:szCs w:val="21"/>
              </w:rPr>
            </w:pPr>
            <w:r>
              <w:rPr>
                <w:rFonts w:eastAsiaTheme="minorEastAsia"/>
                <w:szCs w:val="21"/>
              </w:rPr>
              <w:t>中国银行股份有限公司</w:t>
            </w:r>
          </w:p>
        </w:tc>
      </w:tr>
      <w:tr w:rsidR="009B581C">
        <w:tc>
          <w:tcPr>
            <w:tcW w:w="3258" w:type="dxa"/>
            <w:vAlign w:val="center"/>
          </w:tcPr>
          <w:p w:rsidR="009B581C" w:rsidRDefault="00404602">
            <w:pPr>
              <w:spacing w:line="360" w:lineRule="auto"/>
              <w:rPr>
                <w:rFonts w:eastAsiaTheme="minorEastAsia"/>
                <w:color w:val="000000"/>
                <w:kern w:val="0"/>
                <w:szCs w:val="21"/>
              </w:rPr>
            </w:pPr>
            <w:r>
              <w:rPr>
                <w:rFonts w:eastAsiaTheme="minorEastAsia"/>
                <w:szCs w:val="21"/>
              </w:rPr>
              <w:t>报告期末基金份额总额</w:t>
            </w:r>
          </w:p>
        </w:tc>
        <w:tc>
          <w:tcPr>
            <w:tcW w:w="5217" w:type="dxa"/>
            <w:vAlign w:val="center"/>
          </w:tcPr>
          <w:p w:rsidR="009B581C" w:rsidRDefault="00404602">
            <w:pPr>
              <w:spacing w:line="360" w:lineRule="auto"/>
              <w:jc w:val="center"/>
              <w:rPr>
                <w:rFonts w:eastAsiaTheme="minorEastAsia"/>
                <w:szCs w:val="21"/>
              </w:rPr>
            </w:pPr>
            <w:r>
              <w:rPr>
                <w:rFonts w:eastAsiaTheme="minorEastAsia"/>
                <w:szCs w:val="21"/>
              </w:rPr>
              <w:t>4,315,634.00</w:t>
            </w:r>
            <w:r>
              <w:rPr>
                <w:rFonts w:eastAsiaTheme="minorEastAsia"/>
                <w:szCs w:val="21"/>
              </w:rPr>
              <w:t>份</w:t>
            </w:r>
          </w:p>
        </w:tc>
      </w:tr>
      <w:tr w:rsidR="009B581C">
        <w:tc>
          <w:tcPr>
            <w:tcW w:w="3258" w:type="dxa"/>
            <w:vAlign w:val="center"/>
          </w:tcPr>
          <w:p w:rsidR="009B581C" w:rsidRDefault="00404602">
            <w:pPr>
              <w:spacing w:line="360" w:lineRule="auto"/>
              <w:rPr>
                <w:rFonts w:eastAsiaTheme="minorEastAsia"/>
                <w:color w:val="000000"/>
                <w:kern w:val="0"/>
                <w:szCs w:val="21"/>
              </w:rPr>
            </w:pPr>
            <w:r>
              <w:rPr>
                <w:rFonts w:eastAsiaTheme="minorEastAsia"/>
                <w:szCs w:val="21"/>
              </w:rPr>
              <w:t>基金合同存续期</w:t>
            </w:r>
          </w:p>
        </w:tc>
        <w:tc>
          <w:tcPr>
            <w:tcW w:w="5217" w:type="dxa"/>
            <w:vAlign w:val="center"/>
          </w:tcPr>
          <w:p w:rsidR="009B581C" w:rsidRDefault="00404602">
            <w:pPr>
              <w:spacing w:line="360" w:lineRule="auto"/>
              <w:jc w:val="center"/>
              <w:rPr>
                <w:rFonts w:eastAsiaTheme="minorEastAsia"/>
                <w:szCs w:val="21"/>
              </w:rPr>
            </w:pPr>
            <w:r>
              <w:rPr>
                <w:rFonts w:eastAsiaTheme="minorEastAsia"/>
                <w:szCs w:val="21"/>
              </w:rPr>
              <w:t>不定期</w:t>
            </w:r>
          </w:p>
        </w:tc>
      </w:tr>
      <w:tr w:rsidR="009B581C">
        <w:tc>
          <w:tcPr>
            <w:tcW w:w="3258" w:type="dxa"/>
            <w:vAlign w:val="center"/>
          </w:tcPr>
          <w:p w:rsidR="009B581C" w:rsidRDefault="00404602">
            <w:pPr>
              <w:spacing w:line="360" w:lineRule="auto"/>
              <w:rPr>
                <w:rFonts w:eastAsiaTheme="minorEastAsia"/>
                <w:color w:val="000000"/>
                <w:kern w:val="0"/>
                <w:szCs w:val="21"/>
              </w:rPr>
            </w:pPr>
            <w:r>
              <w:rPr>
                <w:rFonts w:eastAsiaTheme="minorEastAsia"/>
                <w:szCs w:val="21"/>
              </w:rPr>
              <w:t>基金份额上市的证券交易所</w:t>
            </w:r>
          </w:p>
        </w:tc>
        <w:tc>
          <w:tcPr>
            <w:tcW w:w="5217" w:type="dxa"/>
            <w:vAlign w:val="center"/>
          </w:tcPr>
          <w:p w:rsidR="009B581C" w:rsidRDefault="00404602">
            <w:pPr>
              <w:spacing w:line="360" w:lineRule="auto"/>
              <w:jc w:val="center"/>
              <w:rPr>
                <w:rFonts w:eastAsiaTheme="minorEastAsia"/>
                <w:szCs w:val="21"/>
              </w:rPr>
            </w:pPr>
            <w:r>
              <w:rPr>
                <w:rFonts w:eastAsiaTheme="minorEastAsia"/>
                <w:szCs w:val="21"/>
              </w:rPr>
              <w:t>深圳证券交易所</w:t>
            </w:r>
          </w:p>
        </w:tc>
      </w:tr>
      <w:tr w:rsidR="009B581C">
        <w:tc>
          <w:tcPr>
            <w:tcW w:w="3258" w:type="dxa"/>
            <w:vAlign w:val="center"/>
          </w:tcPr>
          <w:p w:rsidR="009B581C" w:rsidRDefault="00404602">
            <w:pPr>
              <w:spacing w:line="360" w:lineRule="auto"/>
              <w:rPr>
                <w:rFonts w:eastAsiaTheme="minorEastAsia"/>
                <w:color w:val="000000"/>
                <w:kern w:val="0"/>
                <w:szCs w:val="21"/>
              </w:rPr>
            </w:pPr>
            <w:r>
              <w:rPr>
                <w:rFonts w:eastAsiaTheme="minorEastAsia"/>
                <w:szCs w:val="21"/>
              </w:rPr>
              <w:t>上市日期</w:t>
            </w:r>
          </w:p>
        </w:tc>
        <w:tc>
          <w:tcPr>
            <w:tcW w:w="5217" w:type="dxa"/>
            <w:vAlign w:val="center"/>
          </w:tcPr>
          <w:p w:rsidR="009B581C" w:rsidRDefault="00404602">
            <w:pPr>
              <w:spacing w:line="360" w:lineRule="auto"/>
              <w:jc w:val="center"/>
              <w:rPr>
                <w:rFonts w:eastAsiaTheme="minorEastAsia"/>
                <w:szCs w:val="21"/>
              </w:rPr>
            </w:pP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13</w:t>
            </w:r>
            <w:r>
              <w:rPr>
                <w:rFonts w:eastAsiaTheme="minorEastAsia"/>
                <w:szCs w:val="21"/>
              </w:rPr>
              <w:t>日</w:t>
            </w:r>
          </w:p>
        </w:tc>
      </w:tr>
    </w:tbl>
    <w:p w:rsidR="009B581C" w:rsidRDefault="00404602" w:rsidP="006A74CC">
      <w:pPr>
        <w:pStyle w:val="2"/>
        <w:spacing w:beforeLines="100" w:after="0"/>
        <w:rPr>
          <w:rFonts w:ascii="Times New Roman" w:eastAsiaTheme="minorEastAsia" w:hAnsi="Times New Roman"/>
          <w:color w:val="000000"/>
          <w:sz w:val="21"/>
          <w:szCs w:val="21"/>
        </w:rPr>
      </w:pPr>
      <w:bookmarkStart w:id="8" w:name="_Toc361324846"/>
      <w:r>
        <w:rPr>
          <w:rFonts w:ascii="Times New Roman" w:eastAsiaTheme="minorEastAsia" w:hAnsi="Times New Roman"/>
          <w:kern w:val="0"/>
          <w:sz w:val="21"/>
          <w:szCs w:val="21"/>
        </w:rPr>
        <w:t xml:space="preserve">2.2 </w:t>
      </w:r>
      <w:r>
        <w:rPr>
          <w:rFonts w:ascii="Times New Roman" w:eastAsiaTheme="minorEastAsia" w:hAnsi="Times New Roman"/>
          <w:color w:val="000000"/>
          <w:sz w:val="21"/>
          <w:szCs w:val="21"/>
        </w:rPr>
        <w:t>基金产品说明</w:t>
      </w:r>
      <w:bookmarkEnd w:id="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73"/>
      </w:tblGrid>
      <w:tr w:rsidR="009B581C">
        <w:tc>
          <w:tcPr>
            <w:tcW w:w="2127" w:type="dxa"/>
            <w:vAlign w:val="center"/>
          </w:tcPr>
          <w:p w:rsidR="009B581C" w:rsidRDefault="00404602">
            <w:pPr>
              <w:spacing w:line="360" w:lineRule="auto"/>
              <w:rPr>
                <w:rFonts w:eastAsiaTheme="minorEastAsia"/>
                <w:szCs w:val="21"/>
              </w:rPr>
            </w:pPr>
            <w:r>
              <w:rPr>
                <w:rFonts w:eastAsiaTheme="minorEastAsia"/>
                <w:szCs w:val="21"/>
              </w:rPr>
              <w:t>投资目标</w:t>
            </w:r>
          </w:p>
        </w:tc>
        <w:tc>
          <w:tcPr>
            <w:tcW w:w="6873" w:type="dxa"/>
            <w:vAlign w:val="center"/>
          </w:tcPr>
          <w:p w:rsidR="009B581C" w:rsidRDefault="00404602">
            <w:pPr>
              <w:spacing w:line="360" w:lineRule="auto"/>
              <w:rPr>
                <w:rFonts w:eastAsiaTheme="minorEastAsia"/>
                <w:szCs w:val="21"/>
              </w:rPr>
            </w:pPr>
            <w:r>
              <w:rPr>
                <w:rFonts w:eastAsiaTheme="minorEastAsia"/>
                <w:szCs w:val="21"/>
              </w:rPr>
              <w:t>紧密跟踪标的指数，追求跟踪偏离度和跟踪误差最小化。</w:t>
            </w:r>
          </w:p>
        </w:tc>
      </w:tr>
      <w:tr w:rsidR="009B581C">
        <w:tc>
          <w:tcPr>
            <w:tcW w:w="2127" w:type="dxa"/>
            <w:vAlign w:val="center"/>
          </w:tcPr>
          <w:p w:rsidR="009B581C" w:rsidRDefault="00404602">
            <w:pPr>
              <w:spacing w:line="360" w:lineRule="auto"/>
              <w:rPr>
                <w:rFonts w:eastAsiaTheme="minorEastAsia"/>
                <w:szCs w:val="21"/>
              </w:rPr>
            </w:pPr>
            <w:r>
              <w:rPr>
                <w:rFonts w:eastAsiaTheme="minorEastAsia"/>
                <w:szCs w:val="21"/>
              </w:rPr>
              <w:t>投资策略</w:t>
            </w:r>
          </w:p>
        </w:tc>
        <w:tc>
          <w:tcPr>
            <w:tcW w:w="6873" w:type="dxa"/>
            <w:vAlign w:val="center"/>
          </w:tcPr>
          <w:p w:rsidR="009B581C" w:rsidRDefault="00404602">
            <w:pPr>
              <w:spacing w:line="360" w:lineRule="auto"/>
              <w:rPr>
                <w:rFonts w:eastAsiaTheme="minorEastAsia"/>
                <w:szCs w:val="21"/>
              </w:rPr>
            </w:pPr>
            <w:r>
              <w:rPr>
                <w:rFonts w:eastAsiaTheme="minorEastAsia"/>
                <w:szCs w:val="21"/>
              </w:rPr>
              <w:t>本基金主要采取完全复制法，即按照标的指数的成份股的构成及其权重构建指数化投资组合，并根据标的指数成份股及其权重的变动进行相应的调整。本基金投资于标的指数成份股及备选成份股的比例不低于基金资产净值的</w:t>
            </w:r>
            <w:r>
              <w:rPr>
                <w:rFonts w:eastAsiaTheme="minorEastAsia"/>
                <w:szCs w:val="21"/>
              </w:rPr>
              <w:t>95%</w:t>
            </w:r>
            <w:r>
              <w:rPr>
                <w:rFonts w:eastAsiaTheme="minorEastAsia"/>
                <w:szCs w:val="21"/>
              </w:rPr>
              <w:t>。</w:t>
            </w:r>
          </w:p>
        </w:tc>
      </w:tr>
      <w:tr w:rsidR="009B581C">
        <w:tc>
          <w:tcPr>
            <w:tcW w:w="2127" w:type="dxa"/>
            <w:vAlign w:val="center"/>
          </w:tcPr>
          <w:p w:rsidR="009B581C" w:rsidRDefault="00404602">
            <w:pPr>
              <w:spacing w:line="360" w:lineRule="auto"/>
              <w:rPr>
                <w:rFonts w:eastAsiaTheme="minorEastAsia"/>
                <w:szCs w:val="21"/>
              </w:rPr>
            </w:pPr>
            <w:r>
              <w:rPr>
                <w:rFonts w:eastAsiaTheme="minorEastAsia"/>
                <w:szCs w:val="21"/>
              </w:rPr>
              <w:t>业绩比较基准</w:t>
            </w:r>
          </w:p>
        </w:tc>
        <w:tc>
          <w:tcPr>
            <w:tcW w:w="6873" w:type="dxa"/>
            <w:vAlign w:val="center"/>
          </w:tcPr>
          <w:p w:rsidR="009B581C" w:rsidRDefault="00404602">
            <w:pPr>
              <w:spacing w:line="360" w:lineRule="auto"/>
              <w:rPr>
                <w:rFonts w:eastAsiaTheme="minorEastAsia"/>
                <w:szCs w:val="21"/>
              </w:rPr>
            </w:pPr>
            <w:r>
              <w:rPr>
                <w:rFonts w:eastAsiaTheme="minorEastAsia"/>
                <w:szCs w:val="21"/>
              </w:rPr>
              <w:t>本基金的业绩比较基准为标的指数。本基金标的指数为中证全指主要消费指数。</w:t>
            </w:r>
          </w:p>
        </w:tc>
      </w:tr>
      <w:tr w:rsidR="009B581C">
        <w:tc>
          <w:tcPr>
            <w:tcW w:w="2127" w:type="dxa"/>
            <w:vAlign w:val="center"/>
          </w:tcPr>
          <w:p w:rsidR="009B581C" w:rsidRDefault="00404602">
            <w:pPr>
              <w:spacing w:line="360" w:lineRule="auto"/>
              <w:rPr>
                <w:rFonts w:eastAsiaTheme="minorEastAsia"/>
                <w:szCs w:val="21"/>
              </w:rPr>
            </w:pPr>
            <w:r>
              <w:rPr>
                <w:rFonts w:eastAsiaTheme="minorEastAsia"/>
                <w:szCs w:val="21"/>
              </w:rPr>
              <w:t>风险收益特征</w:t>
            </w:r>
          </w:p>
        </w:tc>
        <w:tc>
          <w:tcPr>
            <w:tcW w:w="6873" w:type="dxa"/>
            <w:vAlign w:val="center"/>
          </w:tcPr>
          <w:p w:rsidR="009B581C" w:rsidRDefault="00404602">
            <w:pPr>
              <w:spacing w:line="360" w:lineRule="auto"/>
              <w:rPr>
                <w:rFonts w:eastAsiaTheme="minorEastAsia"/>
                <w:szCs w:val="21"/>
              </w:rPr>
            </w:pPr>
            <w:r>
              <w:rPr>
                <w:rFonts w:eastAsiaTheme="minorEastAsia"/>
                <w:szCs w:val="21"/>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p>
        </w:tc>
      </w:tr>
    </w:tbl>
    <w:p w:rsidR="009B581C" w:rsidRDefault="00404602" w:rsidP="006A74CC">
      <w:pPr>
        <w:pStyle w:val="2"/>
        <w:spacing w:beforeLines="100" w:after="0"/>
        <w:rPr>
          <w:rFonts w:ascii="Times New Roman" w:eastAsiaTheme="minorEastAsia" w:hAnsi="Times New Roman"/>
          <w:kern w:val="0"/>
          <w:sz w:val="21"/>
          <w:szCs w:val="21"/>
        </w:rPr>
      </w:pPr>
      <w:bookmarkStart w:id="9" w:name="_Toc361324847"/>
      <w:bookmarkStart w:id="10" w:name="_Toc225498247"/>
      <w:r>
        <w:rPr>
          <w:rFonts w:ascii="Times New Roman" w:eastAsiaTheme="minorEastAsia" w:hAnsi="Times New Roman"/>
          <w:kern w:val="0"/>
          <w:sz w:val="21"/>
          <w:szCs w:val="21"/>
        </w:rPr>
        <w:t xml:space="preserve">2.3 </w:t>
      </w:r>
      <w:r>
        <w:rPr>
          <w:rFonts w:ascii="Times New Roman" w:eastAsiaTheme="minorEastAsia" w:hAnsi="Times New Roman"/>
          <w:kern w:val="0"/>
          <w:sz w:val="21"/>
          <w:szCs w:val="21"/>
        </w:rPr>
        <w:t>基金管理人和基金托管人</w:t>
      </w:r>
      <w:bookmarkEnd w:id="9"/>
      <w:bookmarkEnd w:id="1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371"/>
        <w:gridCol w:w="3060"/>
        <w:gridCol w:w="3060"/>
      </w:tblGrid>
      <w:tr w:rsidR="009B581C">
        <w:tc>
          <w:tcPr>
            <w:tcW w:w="2631" w:type="dxa"/>
            <w:gridSpan w:val="2"/>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项目</w:t>
            </w:r>
          </w:p>
        </w:tc>
        <w:tc>
          <w:tcPr>
            <w:tcW w:w="306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基金管理人</w:t>
            </w:r>
          </w:p>
        </w:tc>
        <w:tc>
          <w:tcPr>
            <w:tcW w:w="306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基金托管人</w:t>
            </w:r>
          </w:p>
        </w:tc>
      </w:tr>
      <w:tr w:rsidR="009B581C">
        <w:tc>
          <w:tcPr>
            <w:tcW w:w="2631" w:type="dxa"/>
            <w:gridSpan w:val="2"/>
            <w:vAlign w:val="center"/>
          </w:tcPr>
          <w:p w:rsidR="009B581C" w:rsidRDefault="00404602">
            <w:pPr>
              <w:autoSpaceDE w:val="0"/>
              <w:autoSpaceDN w:val="0"/>
              <w:adjustRightInd w:val="0"/>
              <w:spacing w:before="29" w:line="360" w:lineRule="auto"/>
              <w:ind w:left="15"/>
              <w:rPr>
                <w:rFonts w:eastAsiaTheme="minorEastAsia"/>
                <w:color w:val="000000"/>
                <w:kern w:val="0"/>
                <w:szCs w:val="21"/>
              </w:rPr>
            </w:pPr>
            <w:r>
              <w:rPr>
                <w:rFonts w:eastAsiaTheme="minorEastAsia"/>
                <w:color w:val="000000"/>
                <w:kern w:val="0"/>
                <w:szCs w:val="21"/>
              </w:rPr>
              <w:t>名称</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广发基金管理有限公司</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中国银行股份有限公司</w:t>
            </w:r>
          </w:p>
        </w:tc>
      </w:tr>
      <w:tr w:rsidR="009B581C">
        <w:tc>
          <w:tcPr>
            <w:tcW w:w="1260" w:type="dxa"/>
            <w:vMerge w:val="restart"/>
            <w:vAlign w:val="center"/>
          </w:tcPr>
          <w:p w:rsidR="009B581C" w:rsidRDefault="00404602">
            <w:pPr>
              <w:autoSpaceDE w:val="0"/>
              <w:autoSpaceDN w:val="0"/>
              <w:adjustRightInd w:val="0"/>
              <w:spacing w:before="29" w:line="360" w:lineRule="auto"/>
              <w:ind w:left="15"/>
              <w:rPr>
                <w:rFonts w:eastAsiaTheme="minorEastAsia"/>
                <w:color w:val="000000"/>
                <w:kern w:val="0"/>
                <w:szCs w:val="21"/>
              </w:rPr>
            </w:pPr>
            <w:r>
              <w:rPr>
                <w:rFonts w:eastAsiaTheme="minorEastAsia"/>
                <w:color w:val="000000"/>
                <w:szCs w:val="21"/>
              </w:rPr>
              <w:lastRenderedPageBreak/>
              <w:t>信息披露负责人</w:t>
            </w:r>
          </w:p>
        </w:tc>
        <w:tc>
          <w:tcPr>
            <w:tcW w:w="1371"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姓名</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邱春杨</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王永民</w:t>
            </w:r>
          </w:p>
        </w:tc>
      </w:tr>
      <w:tr w:rsidR="009B581C">
        <w:tc>
          <w:tcPr>
            <w:tcW w:w="1260" w:type="dxa"/>
            <w:vMerge/>
            <w:vAlign w:val="center"/>
          </w:tcPr>
          <w:p w:rsidR="009B581C" w:rsidRDefault="009B581C">
            <w:pPr>
              <w:widowControl/>
              <w:spacing w:line="360" w:lineRule="auto"/>
              <w:jc w:val="left"/>
              <w:rPr>
                <w:rFonts w:eastAsiaTheme="minorEastAsia"/>
                <w:color w:val="000000"/>
                <w:kern w:val="0"/>
                <w:szCs w:val="21"/>
              </w:rPr>
            </w:pPr>
          </w:p>
        </w:tc>
        <w:tc>
          <w:tcPr>
            <w:tcW w:w="1371"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szCs w:val="21"/>
              </w:rPr>
              <w:t>联系电话</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020-83936666</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010-66594896</w:t>
            </w:r>
          </w:p>
        </w:tc>
      </w:tr>
      <w:tr w:rsidR="009B581C">
        <w:tc>
          <w:tcPr>
            <w:tcW w:w="1260" w:type="dxa"/>
            <w:vMerge/>
            <w:vAlign w:val="center"/>
          </w:tcPr>
          <w:p w:rsidR="009B581C" w:rsidRDefault="009B581C">
            <w:pPr>
              <w:widowControl/>
              <w:spacing w:line="360" w:lineRule="auto"/>
              <w:jc w:val="left"/>
              <w:rPr>
                <w:rFonts w:eastAsiaTheme="minorEastAsia"/>
                <w:color w:val="000000"/>
                <w:kern w:val="0"/>
                <w:szCs w:val="21"/>
              </w:rPr>
            </w:pPr>
          </w:p>
        </w:tc>
        <w:tc>
          <w:tcPr>
            <w:tcW w:w="1371"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szCs w:val="21"/>
              </w:rPr>
              <w:t>电子邮箱</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qcy@gffunds.com.cn</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fcid@bankofchina.com</w:t>
            </w:r>
          </w:p>
        </w:tc>
      </w:tr>
      <w:tr w:rsidR="009B581C">
        <w:tc>
          <w:tcPr>
            <w:tcW w:w="2631"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客户服务电话</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95105828</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95566</w:t>
            </w:r>
          </w:p>
        </w:tc>
      </w:tr>
      <w:tr w:rsidR="009B581C">
        <w:tc>
          <w:tcPr>
            <w:tcW w:w="2631"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传真</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020-89899158</w:t>
            </w:r>
          </w:p>
        </w:tc>
        <w:tc>
          <w:tcPr>
            <w:tcW w:w="3060" w:type="dxa"/>
            <w:vAlign w:val="center"/>
          </w:tcPr>
          <w:p w:rsidR="009B581C" w:rsidRDefault="00404602">
            <w:pPr>
              <w:autoSpaceDE w:val="0"/>
              <w:autoSpaceDN w:val="0"/>
              <w:adjustRightInd w:val="0"/>
              <w:spacing w:before="29" w:line="360" w:lineRule="auto"/>
              <w:ind w:left="15"/>
              <w:jc w:val="center"/>
              <w:rPr>
                <w:rFonts w:eastAsiaTheme="minorEastAsia"/>
                <w:color w:val="000000"/>
                <w:kern w:val="0"/>
                <w:szCs w:val="21"/>
              </w:rPr>
            </w:pPr>
            <w:r>
              <w:rPr>
                <w:rFonts w:eastAsiaTheme="minorEastAsia"/>
                <w:color w:val="000000"/>
                <w:kern w:val="0"/>
                <w:szCs w:val="21"/>
              </w:rPr>
              <w:t>(010)66594942</w:t>
            </w:r>
          </w:p>
        </w:tc>
      </w:tr>
    </w:tbl>
    <w:p w:rsidR="009B581C" w:rsidRDefault="00404602" w:rsidP="006A74CC">
      <w:pPr>
        <w:pStyle w:val="2"/>
        <w:spacing w:beforeLines="100" w:after="0"/>
        <w:rPr>
          <w:rFonts w:ascii="Times New Roman" w:eastAsiaTheme="minorEastAsia" w:hAnsi="Times New Roman"/>
          <w:kern w:val="0"/>
          <w:sz w:val="21"/>
          <w:szCs w:val="21"/>
        </w:rPr>
      </w:pPr>
      <w:bookmarkStart w:id="11" w:name="_Toc361324848"/>
      <w:bookmarkStart w:id="12" w:name="_Toc225498248"/>
      <w:r>
        <w:rPr>
          <w:rFonts w:ascii="Times New Roman" w:eastAsiaTheme="minorEastAsia" w:hAnsi="Times New Roman"/>
          <w:kern w:val="0"/>
          <w:sz w:val="21"/>
          <w:szCs w:val="21"/>
        </w:rPr>
        <w:t xml:space="preserve">2.4 </w:t>
      </w:r>
      <w:r>
        <w:rPr>
          <w:rFonts w:ascii="Times New Roman" w:eastAsiaTheme="minorEastAsia" w:hAnsi="Times New Roman"/>
          <w:kern w:val="0"/>
          <w:sz w:val="21"/>
          <w:szCs w:val="21"/>
        </w:rPr>
        <w:t>信息披露方式</w:t>
      </w:r>
      <w:bookmarkEnd w:id="11"/>
      <w:bookmarkEnd w:id="1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5314"/>
      </w:tblGrid>
      <w:tr w:rsidR="009B581C">
        <w:tc>
          <w:tcPr>
            <w:tcW w:w="3686" w:type="dxa"/>
            <w:vAlign w:val="center"/>
          </w:tcPr>
          <w:p w:rsidR="009B581C" w:rsidRDefault="00404602">
            <w:pPr>
              <w:tabs>
                <w:tab w:val="left" w:pos="1740"/>
              </w:tabs>
              <w:spacing w:line="360" w:lineRule="auto"/>
              <w:rPr>
                <w:rFonts w:eastAsiaTheme="minorEastAsia"/>
                <w:color w:val="000000"/>
                <w:szCs w:val="21"/>
              </w:rPr>
            </w:pPr>
            <w:r>
              <w:rPr>
                <w:rFonts w:eastAsiaTheme="minorEastAsia"/>
                <w:color w:val="000000"/>
                <w:szCs w:val="21"/>
              </w:rPr>
              <w:t>登载基金年度报告摘要的管理人互联网网址</w:t>
            </w:r>
          </w:p>
        </w:tc>
        <w:tc>
          <w:tcPr>
            <w:tcW w:w="5314" w:type="dxa"/>
            <w:vAlign w:val="center"/>
          </w:tcPr>
          <w:p w:rsidR="009B581C" w:rsidRDefault="00404602">
            <w:pPr>
              <w:tabs>
                <w:tab w:val="left" w:pos="1740"/>
              </w:tabs>
              <w:spacing w:line="360" w:lineRule="auto"/>
              <w:rPr>
                <w:rFonts w:eastAsiaTheme="minorEastAsia"/>
                <w:color w:val="000000"/>
                <w:szCs w:val="21"/>
              </w:rPr>
            </w:pPr>
            <w:r>
              <w:rPr>
                <w:rFonts w:eastAsiaTheme="minorEastAsia"/>
                <w:color w:val="000000"/>
                <w:szCs w:val="21"/>
              </w:rPr>
              <w:t>http://www.gffunds.com.cn</w:t>
            </w:r>
          </w:p>
        </w:tc>
      </w:tr>
      <w:tr w:rsidR="009B581C">
        <w:tc>
          <w:tcPr>
            <w:tcW w:w="3686" w:type="dxa"/>
            <w:vAlign w:val="center"/>
          </w:tcPr>
          <w:p w:rsidR="009B581C" w:rsidRDefault="00404602">
            <w:pPr>
              <w:tabs>
                <w:tab w:val="left" w:pos="1740"/>
              </w:tabs>
              <w:spacing w:line="360" w:lineRule="auto"/>
              <w:rPr>
                <w:rFonts w:eastAsiaTheme="minorEastAsia"/>
                <w:color w:val="000000"/>
                <w:szCs w:val="21"/>
              </w:rPr>
            </w:pPr>
            <w:r>
              <w:rPr>
                <w:rFonts w:eastAsiaTheme="minorEastAsia"/>
                <w:color w:val="000000"/>
                <w:szCs w:val="21"/>
              </w:rPr>
              <w:t>基金年度报告备置地点</w:t>
            </w:r>
          </w:p>
        </w:tc>
        <w:tc>
          <w:tcPr>
            <w:tcW w:w="5314" w:type="dxa"/>
            <w:vAlign w:val="center"/>
          </w:tcPr>
          <w:p w:rsidR="009B581C" w:rsidRDefault="00404602">
            <w:pPr>
              <w:tabs>
                <w:tab w:val="left" w:pos="1740"/>
              </w:tabs>
              <w:spacing w:line="360" w:lineRule="auto"/>
              <w:rPr>
                <w:rFonts w:eastAsiaTheme="minorEastAsia"/>
                <w:color w:val="000000"/>
                <w:szCs w:val="21"/>
              </w:rPr>
            </w:pPr>
            <w:r>
              <w:rPr>
                <w:rFonts w:eastAsiaTheme="minorEastAsia"/>
                <w:color w:val="000000"/>
                <w:szCs w:val="21"/>
              </w:rPr>
              <w:t>广州市海珠区琶洲大道东</w:t>
            </w:r>
            <w:r>
              <w:rPr>
                <w:rFonts w:eastAsiaTheme="minorEastAsia"/>
                <w:color w:val="000000"/>
                <w:szCs w:val="21"/>
              </w:rPr>
              <w:t>1</w:t>
            </w:r>
            <w:r>
              <w:rPr>
                <w:rFonts w:eastAsiaTheme="minorEastAsia"/>
                <w:color w:val="000000"/>
                <w:szCs w:val="21"/>
              </w:rPr>
              <w:t>号保利国际广场南塔</w:t>
            </w:r>
            <w:r>
              <w:rPr>
                <w:rFonts w:eastAsiaTheme="minorEastAsia"/>
                <w:color w:val="000000"/>
                <w:szCs w:val="21"/>
              </w:rPr>
              <w:t>31-33</w:t>
            </w:r>
            <w:r>
              <w:rPr>
                <w:rFonts w:eastAsiaTheme="minorEastAsia"/>
                <w:color w:val="000000"/>
                <w:szCs w:val="21"/>
              </w:rPr>
              <w:t>楼</w:t>
            </w:r>
          </w:p>
        </w:tc>
      </w:tr>
    </w:tbl>
    <w:p w:rsidR="009B581C" w:rsidRDefault="00404602" w:rsidP="006A74CC">
      <w:pPr>
        <w:pStyle w:val="1"/>
        <w:keepNext/>
        <w:keepLines/>
        <w:widowControl w:val="0"/>
        <w:spacing w:beforeLines="100" w:afterLines="100" w:line="360" w:lineRule="auto"/>
        <w:jc w:val="center"/>
        <w:rPr>
          <w:rFonts w:eastAsiaTheme="minorEastAsia"/>
          <w:b/>
          <w:bCs/>
          <w:sz w:val="21"/>
          <w:szCs w:val="21"/>
          <w:lang w:val="en-US"/>
        </w:rPr>
      </w:pPr>
      <w:bookmarkStart w:id="13" w:name="_Toc225498250"/>
      <w:bookmarkStart w:id="14" w:name="_Toc361324850"/>
      <w:bookmarkStart w:id="15" w:name="_Toc194312019"/>
      <w:bookmarkStart w:id="16" w:name="_Toc193947512"/>
      <w:r>
        <w:rPr>
          <w:rFonts w:eastAsiaTheme="minorEastAsia"/>
          <w:b/>
          <w:bCs/>
          <w:sz w:val="21"/>
          <w:szCs w:val="21"/>
          <w:lang w:val="en-US"/>
        </w:rPr>
        <w:t xml:space="preserve">§3  </w:t>
      </w:r>
      <w:r>
        <w:rPr>
          <w:rFonts w:eastAsiaTheme="minorEastAsia"/>
          <w:b/>
          <w:bCs/>
          <w:sz w:val="21"/>
          <w:szCs w:val="21"/>
          <w:lang w:val="en-US"/>
        </w:rPr>
        <w:t>主要财务指标、基金净值表现</w:t>
      </w:r>
      <w:bookmarkEnd w:id="13"/>
      <w:r>
        <w:rPr>
          <w:rFonts w:eastAsiaTheme="minorEastAsia"/>
          <w:b/>
          <w:bCs/>
          <w:sz w:val="21"/>
          <w:szCs w:val="21"/>
          <w:lang w:val="en-US"/>
        </w:rPr>
        <w:t>及利润分配情况</w:t>
      </w:r>
      <w:bookmarkEnd w:id="14"/>
    </w:p>
    <w:p w:rsidR="009B581C" w:rsidRDefault="00404602" w:rsidP="006A74CC">
      <w:pPr>
        <w:pStyle w:val="2"/>
        <w:spacing w:beforeLines="100" w:after="0"/>
        <w:rPr>
          <w:rFonts w:ascii="Times New Roman" w:eastAsiaTheme="minorEastAsia" w:hAnsi="Times New Roman"/>
          <w:kern w:val="0"/>
          <w:sz w:val="21"/>
          <w:szCs w:val="21"/>
        </w:rPr>
      </w:pPr>
      <w:bookmarkStart w:id="17" w:name="_Toc361324851"/>
      <w:bookmarkStart w:id="18" w:name="_Toc286996129"/>
      <w:r>
        <w:rPr>
          <w:rFonts w:ascii="Times New Roman" w:eastAsiaTheme="minorEastAsia" w:hAnsi="Times New Roman"/>
          <w:kern w:val="0"/>
          <w:sz w:val="21"/>
          <w:szCs w:val="21"/>
        </w:rPr>
        <w:t xml:space="preserve">3.1 </w:t>
      </w:r>
      <w:r>
        <w:rPr>
          <w:rFonts w:ascii="Times New Roman" w:eastAsiaTheme="minorEastAsia" w:hAnsi="Times New Roman"/>
          <w:kern w:val="0"/>
          <w:sz w:val="21"/>
          <w:szCs w:val="21"/>
        </w:rPr>
        <w:t>主要会计数据和财务指标</w:t>
      </w:r>
      <w:bookmarkEnd w:id="17"/>
      <w:bookmarkEnd w:id="18"/>
    </w:p>
    <w:p w:rsidR="009B581C" w:rsidRDefault="00404602">
      <w:pPr>
        <w:autoSpaceDE w:val="0"/>
        <w:autoSpaceDN w:val="0"/>
        <w:adjustRightInd w:val="0"/>
        <w:spacing w:before="29" w:line="360" w:lineRule="auto"/>
        <w:ind w:left="15"/>
        <w:jc w:val="right"/>
        <w:rPr>
          <w:rFonts w:eastAsiaTheme="minorEastAsia"/>
          <w:color w:val="000000"/>
          <w:kern w:val="0"/>
          <w:szCs w:val="21"/>
        </w:rPr>
      </w:pPr>
      <w:r>
        <w:rPr>
          <w:rFonts w:eastAsiaTheme="minorEastAsia"/>
          <w:color w:val="000000"/>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162"/>
        <w:gridCol w:w="2162"/>
        <w:gridCol w:w="2160"/>
      </w:tblGrid>
      <w:tr w:rsidR="009B581C">
        <w:trPr>
          <w:trHeight w:val="487"/>
        </w:trPr>
        <w:tc>
          <w:tcPr>
            <w:tcW w:w="2802" w:type="dxa"/>
            <w:vAlign w:val="center"/>
          </w:tcPr>
          <w:bookmarkEnd w:id="15"/>
          <w:bookmarkEnd w:id="16"/>
          <w:p w:rsidR="009B581C" w:rsidRDefault="00404602">
            <w:pPr>
              <w:spacing w:line="360" w:lineRule="auto"/>
              <w:rPr>
                <w:rFonts w:eastAsiaTheme="minorEastAsia"/>
                <w:b/>
                <w:szCs w:val="21"/>
              </w:rPr>
            </w:pPr>
            <w:r>
              <w:rPr>
                <w:rFonts w:eastAsiaTheme="minorEastAsia"/>
                <w:b/>
                <w:szCs w:val="21"/>
              </w:rPr>
              <w:t xml:space="preserve">3.1.1 </w:t>
            </w:r>
            <w:r>
              <w:rPr>
                <w:rFonts w:eastAsiaTheme="minorEastAsia"/>
                <w:b/>
                <w:szCs w:val="21"/>
              </w:rPr>
              <w:t>期间数据和指标</w:t>
            </w:r>
          </w:p>
        </w:tc>
        <w:tc>
          <w:tcPr>
            <w:tcW w:w="2162" w:type="dxa"/>
            <w:vAlign w:val="center"/>
          </w:tcPr>
          <w:p w:rsidR="009B581C" w:rsidRDefault="00404602">
            <w:pPr>
              <w:spacing w:line="360" w:lineRule="auto"/>
              <w:jc w:val="center"/>
              <w:rPr>
                <w:rFonts w:eastAsiaTheme="minorEastAsia"/>
                <w:b/>
                <w:szCs w:val="21"/>
              </w:rPr>
            </w:pPr>
            <w:r>
              <w:rPr>
                <w:rFonts w:eastAsiaTheme="minorEastAsia"/>
                <w:b/>
                <w:szCs w:val="21"/>
              </w:rPr>
              <w:t>2018</w:t>
            </w:r>
            <w:r>
              <w:rPr>
                <w:rFonts w:eastAsiaTheme="minorEastAsia"/>
                <w:b/>
                <w:szCs w:val="21"/>
              </w:rPr>
              <w:t>年</w:t>
            </w:r>
          </w:p>
        </w:tc>
        <w:tc>
          <w:tcPr>
            <w:tcW w:w="2162" w:type="dxa"/>
            <w:vAlign w:val="center"/>
          </w:tcPr>
          <w:p w:rsidR="009B581C" w:rsidRDefault="00404602">
            <w:pPr>
              <w:spacing w:line="360" w:lineRule="auto"/>
              <w:jc w:val="center"/>
              <w:rPr>
                <w:rFonts w:eastAsiaTheme="minorEastAsia"/>
                <w:b/>
                <w:szCs w:val="21"/>
              </w:rPr>
            </w:pPr>
            <w:r>
              <w:rPr>
                <w:rFonts w:eastAsiaTheme="minorEastAsia"/>
                <w:b/>
                <w:szCs w:val="21"/>
              </w:rPr>
              <w:t>2017</w:t>
            </w:r>
            <w:r>
              <w:rPr>
                <w:rFonts w:eastAsiaTheme="minorEastAsia"/>
                <w:b/>
                <w:szCs w:val="21"/>
              </w:rPr>
              <w:t>年</w:t>
            </w:r>
          </w:p>
        </w:tc>
        <w:tc>
          <w:tcPr>
            <w:tcW w:w="2160" w:type="dxa"/>
            <w:vAlign w:val="center"/>
          </w:tcPr>
          <w:p w:rsidR="009B581C" w:rsidRDefault="00404602">
            <w:pPr>
              <w:spacing w:line="360" w:lineRule="auto"/>
              <w:jc w:val="center"/>
              <w:rPr>
                <w:rFonts w:eastAsiaTheme="minorEastAsia"/>
                <w:b/>
                <w:szCs w:val="21"/>
              </w:rPr>
            </w:pPr>
            <w:r>
              <w:rPr>
                <w:rFonts w:eastAsiaTheme="minorEastAsia"/>
                <w:b/>
                <w:szCs w:val="21"/>
              </w:rPr>
              <w:t>2016</w:t>
            </w:r>
            <w:r>
              <w:rPr>
                <w:rFonts w:eastAsiaTheme="minorEastAsia"/>
                <w:b/>
                <w:szCs w:val="21"/>
              </w:rPr>
              <w:t>年</w:t>
            </w:r>
          </w:p>
        </w:tc>
      </w:tr>
      <w:tr w:rsidR="009B581C">
        <w:tc>
          <w:tcPr>
            <w:tcW w:w="2802" w:type="dxa"/>
            <w:vAlign w:val="center"/>
          </w:tcPr>
          <w:p w:rsidR="009B581C" w:rsidRDefault="00404602">
            <w:pPr>
              <w:spacing w:line="360" w:lineRule="auto"/>
              <w:rPr>
                <w:rFonts w:eastAsiaTheme="minorEastAsia"/>
                <w:szCs w:val="21"/>
              </w:rPr>
            </w:pPr>
            <w:r>
              <w:rPr>
                <w:rFonts w:eastAsiaTheme="minorEastAsia"/>
                <w:szCs w:val="21"/>
              </w:rPr>
              <w:t>本期已实现收益</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-566,856.35</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6,448,623.55</w:t>
            </w:r>
          </w:p>
        </w:tc>
        <w:tc>
          <w:tcPr>
            <w:tcW w:w="2160" w:type="dxa"/>
            <w:vAlign w:val="center"/>
          </w:tcPr>
          <w:p w:rsidR="009B581C" w:rsidRDefault="00404602">
            <w:pPr>
              <w:spacing w:line="360" w:lineRule="auto"/>
              <w:jc w:val="right"/>
              <w:rPr>
                <w:rFonts w:eastAsiaTheme="minorEastAsia"/>
                <w:szCs w:val="21"/>
              </w:rPr>
            </w:pPr>
            <w:r>
              <w:rPr>
                <w:rFonts w:eastAsiaTheme="minorEastAsia"/>
                <w:szCs w:val="21"/>
              </w:rPr>
              <w:t>1,304,080.23</w:t>
            </w:r>
          </w:p>
        </w:tc>
      </w:tr>
      <w:tr w:rsidR="009B581C">
        <w:tc>
          <w:tcPr>
            <w:tcW w:w="2802" w:type="dxa"/>
            <w:vAlign w:val="center"/>
          </w:tcPr>
          <w:p w:rsidR="009B581C" w:rsidRDefault="00404602">
            <w:pPr>
              <w:spacing w:line="360" w:lineRule="auto"/>
              <w:rPr>
                <w:rFonts w:eastAsiaTheme="minorEastAsia"/>
                <w:szCs w:val="21"/>
              </w:rPr>
            </w:pPr>
            <w:r>
              <w:rPr>
                <w:rFonts w:eastAsiaTheme="minorEastAsia"/>
                <w:szCs w:val="21"/>
              </w:rPr>
              <w:t>本期利润</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-6,609,954.38</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11,869,655.12</w:t>
            </w:r>
          </w:p>
        </w:tc>
        <w:tc>
          <w:tcPr>
            <w:tcW w:w="2160" w:type="dxa"/>
            <w:vAlign w:val="center"/>
          </w:tcPr>
          <w:p w:rsidR="009B581C" w:rsidRDefault="00404602">
            <w:pPr>
              <w:spacing w:line="360" w:lineRule="auto"/>
              <w:jc w:val="right"/>
              <w:rPr>
                <w:rFonts w:eastAsiaTheme="minorEastAsia"/>
                <w:szCs w:val="21"/>
              </w:rPr>
            </w:pPr>
            <w:r>
              <w:rPr>
                <w:rFonts w:eastAsiaTheme="minorEastAsia"/>
                <w:szCs w:val="21"/>
              </w:rPr>
              <w:t>335,580.20</w:t>
            </w:r>
          </w:p>
        </w:tc>
      </w:tr>
      <w:tr w:rsidR="009B581C">
        <w:tc>
          <w:tcPr>
            <w:tcW w:w="2802" w:type="dxa"/>
            <w:vAlign w:val="center"/>
          </w:tcPr>
          <w:p w:rsidR="009B581C" w:rsidRDefault="00404602">
            <w:pPr>
              <w:spacing w:line="360" w:lineRule="auto"/>
              <w:rPr>
                <w:rFonts w:eastAsiaTheme="minorEastAsia"/>
                <w:szCs w:val="21"/>
              </w:rPr>
            </w:pPr>
            <w:r>
              <w:rPr>
                <w:rFonts w:eastAsiaTheme="minorEastAsia"/>
                <w:szCs w:val="21"/>
              </w:rPr>
              <w:t>加权平均基金份额本期利润</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-0.2195</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0.2570</w:t>
            </w:r>
          </w:p>
        </w:tc>
        <w:tc>
          <w:tcPr>
            <w:tcW w:w="2160" w:type="dxa"/>
            <w:vAlign w:val="center"/>
          </w:tcPr>
          <w:p w:rsidR="009B581C" w:rsidRDefault="00404602">
            <w:pPr>
              <w:spacing w:line="360" w:lineRule="auto"/>
              <w:jc w:val="right"/>
              <w:rPr>
                <w:rFonts w:eastAsiaTheme="minorEastAsia"/>
                <w:szCs w:val="21"/>
              </w:rPr>
            </w:pPr>
            <w:r>
              <w:rPr>
                <w:rFonts w:eastAsiaTheme="minorEastAsia"/>
                <w:szCs w:val="21"/>
              </w:rPr>
              <w:t>0.0063</w:t>
            </w:r>
          </w:p>
        </w:tc>
      </w:tr>
      <w:tr w:rsidR="009B581C">
        <w:tc>
          <w:tcPr>
            <w:tcW w:w="2802" w:type="dxa"/>
            <w:vAlign w:val="center"/>
          </w:tcPr>
          <w:p w:rsidR="009B581C" w:rsidRDefault="00404602">
            <w:pPr>
              <w:spacing w:line="360" w:lineRule="auto"/>
              <w:rPr>
                <w:rFonts w:eastAsiaTheme="minorEastAsia"/>
                <w:szCs w:val="21"/>
              </w:rPr>
            </w:pPr>
            <w:r>
              <w:rPr>
                <w:rFonts w:eastAsiaTheme="minorEastAsia"/>
                <w:szCs w:val="21"/>
              </w:rPr>
              <w:t>本期基金份额净值增长率</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-23.16%</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29.27%</w:t>
            </w:r>
          </w:p>
        </w:tc>
        <w:tc>
          <w:tcPr>
            <w:tcW w:w="2160" w:type="dxa"/>
            <w:vAlign w:val="center"/>
          </w:tcPr>
          <w:p w:rsidR="009B581C" w:rsidRDefault="00404602">
            <w:pPr>
              <w:spacing w:line="360" w:lineRule="auto"/>
              <w:jc w:val="right"/>
              <w:rPr>
                <w:rFonts w:eastAsiaTheme="minorEastAsia"/>
                <w:szCs w:val="21"/>
              </w:rPr>
            </w:pPr>
            <w:r>
              <w:rPr>
                <w:rFonts w:eastAsiaTheme="minorEastAsia"/>
                <w:szCs w:val="21"/>
              </w:rPr>
              <w:t>0.50%</w:t>
            </w:r>
          </w:p>
        </w:tc>
      </w:tr>
      <w:tr w:rsidR="009B581C">
        <w:tc>
          <w:tcPr>
            <w:tcW w:w="2802" w:type="dxa"/>
            <w:vAlign w:val="center"/>
          </w:tcPr>
          <w:p w:rsidR="009B581C" w:rsidRDefault="00404602">
            <w:pPr>
              <w:spacing w:line="360" w:lineRule="auto"/>
              <w:rPr>
                <w:rFonts w:eastAsiaTheme="minorEastAsia"/>
                <w:b/>
                <w:szCs w:val="21"/>
              </w:rPr>
            </w:pPr>
            <w:r>
              <w:rPr>
                <w:rFonts w:eastAsiaTheme="minorEastAsia"/>
                <w:b/>
                <w:szCs w:val="21"/>
              </w:rPr>
              <w:t xml:space="preserve">3.1.2 </w:t>
            </w:r>
            <w:r>
              <w:rPr>
                <w:rFonts w:eastAsiaTheme="minorEastAsia"/>
                <w:b/>
                <w:szCs w:val="21"/>
              </w:rPr>
              <w:t>期末数据和指标</w:t>
            </w:r>
          </w:p>
        </w:tc>
        <w:tc>
          <w:tcPr>
            <w:tcW w:w="2162" w:type="dxa"/>
            <w:vAlign w:val="center"/>
          </w:tcPr>
          <w:p w:rsidR="009B581C" w:rsidRDefault="00404602">
            <w:pPr>
              <w:spacing w:line="360" w:lineRule="auto"/>
              <w:jc w:val="center"/>
              <w:rPr>
                <w:rFonts w:eastAsiaTheme="minorEastAsia"/>
                <w:b/>
                <w:szCs w:val="21"/>
              </w:rPr>
            </w:pPr>
            <w:r>
              <w:rPr>
                <w:rFonts w:eastAsiaTheme="minorEastAsia"/>
                <w:b/>
                <w:szCs w:val="21"/>
              </w:rPr>
              <w:t>2018</w:t>
            </w:r>
            <w:r>
              <w:rPr>
                <w:rFonts w:eastAsiaTheme="minorEastAsia"/>
                <w:b/>
                <w:szCs w:val="21"/>
              </w:rPr>
              <w:t>年末</w:t>
            </w:r>
          </w:p>
        </w:tc>
        <w:tc>
          <w:tcPr>
            <w:tcW w:w="2162" w:type="dxa"/>
            <w:vAlign w:val="center"/>
          </w:tcPr>
          <w:p w:rsidR="009B581C" w:rsidRDefault="00404602">
            <w:pPr>
              <w:spacing w:line="360" w:lineRule="auto"/>
              <w:jc w:val="center"/>
              <w:rPr>
                <w:rFonts w:eastAsiaTheme="minorEastAsia"/>
                <w:b/>
                <w:szCs w:val="21"/>
              </w:rPr>
            </w:pPr>
            <w:r>
              <w:rPr>
                <w:rFonts w:eastAsiaTheme="minorEastAsia"/>
                <w:b/>
                <w:szCs w:val="21"/>
              </w:rPr>
              <w:t>2017</w:t>
            </w:r>
            <w:r>
              <w:rPr>
                <w:rFonts w:eastAsiaTheme="minorEastAsia"/>
                <w:b/>
                <w:szCs w:val="21"/>
              </w:rPr>
              <w:t>年末</w:t>
            </w:r>
          </w:p>
        </w:tc>
        <w:tc>
          <w:tcPr>
            <w:tcW w:w="2160" w:type="dxa"/>
            <w:vAlign w:val="center"/>
          </w:tcPr>
          <w:p w:rsidR="009B581C" w:rsidRDefault="00404602">
            <w:pPr>
              <w:spacing w:line="360" w:lineRule="auto"/>
              <w:jc w:val="center"/>
              <w:rPr>
                <w:rFonts w:eastAsiaTheme="minorEastAsia"/>
                <w:b/>
                <w:szCs w:val="21"/>
              </w:rPr>
            </w:pPr>
            <w:r>
              <w:rPr>
                <w:rFonts w:eastAsiaTheme="minorEastAsia"/>
                <w:b/>
                <w:szCs w:val="21"/>
              </w:rPr>
              <w:t>2016</w:t>
            </w:r>
            <w:r>
              <w:rPr>
                <w:rFonts w:eastAsiaTheme="minorEastAsia"/>
                <w:b/>
                <w:szCs w:val="21"/>
              </w:rPr>
              <w:t>年末</w:t>
            </w:r>
          </w:p>
        </w:tc>
      </w:tr>
      <w:tr w:rsidR="009B581C">
        <w:tc>
          <w:tcPr>
            <w:tcW w:w="2802" w:type="dxa"/>
            <w:vAlign w:val="center"/>
          </w:tcPr>
          <w:p w:rsidR="009B581C" w:rsidRDefault="00404602">
            <w:pPr>
              <w:spacing w:line="360" w:lineRule="auto"/>
              <w:rPr>
                <w:rFonts w:eastAsiaTheme="minorEastAsia"/>
                <w:szCs w:val="21"/>
              </w:rPr>
            </w:pPr>
            <w:r>
              <w:rPr>
                <w:rFonts w:eastAsiaTheme="minorEastAsia"/>
                <w:szCs w:val="21"/>
              </w:rPr>
              <w:t>期末可供分配基金份额利润</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-0.3112</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0.1946</w:t>
            </w:r>
          </w:p>
        </w:tc>
        <w:tc>
          <w:tcPr>
            <w:tcW w:w="2160" w:type="dxa"/>
            <w:vAlign w:val="center"/>
          </w:tcPr>
          <w:p w:rsidR="009B581C" w:rsidRDefault="00404602">
            <w:pPr>
              <w:spacing w:line="360" w:lineRule="auto"/>
              <w:jc w:val="right"/>
              <w:rPr>
                <w:rFonts w:eastAsiaTheme="minorEastAsia"/>
                <w:szCs w:val="21"/>
              </w:rPr>
            </w:pPr>
            <w:r>
              <w:rPr>
                <w:rFonts w:eastAsiaTheme="minorEastAsia"/>
                <w:szCs w:val="21"/>
              </w:rPr>
              <w:t>-0.0059</w:t>
            </w:r>
          </w:p>
        </w:tc>
      </w:tr>
      <w:tr w:rsidR="009B581C">
        <w:tc>
          <w:tcPr>
            <w:tcW w:w="2802" w:type="dxa"/>
            <w:vAlign w:val="center"/>
          </w:tcPr>
          <w:p w:rsidR="009B581C" w:rsidRDefault="00404602">
            <w:pPr>
              <w:spacing w:line="360" w:lineRule="auto"/>
              <w:rPr>
                <w:rFonts w:eastAsiaTheme="minorEastAsia"/>
                <w:szCs w:val="21"/>
              </w:rPr>
            </w:pPr>
            <w:r>
              <w:rPr>
                <w:rFonts w:eastAsiaTheme="minorEastAsia"/>
                <w:szCs w:val="21"/>
              </w:rPr>
              <w:t>期末基金资产净值</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4,261,773.22</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87,792,367.73</w:t>
            </w:r>
          </w:p>
        </w:tc>
        <w:tc>
          <w:tcPr>
            <w:tcW w:w="2160" w:type="dxa"/>
            <w:vAlign w:val="center"/>
          </w:tcPr>
          <w:p w:rsidR="009B581C" w:rsidRDefault="00404602">
            <w:pPr>
              <w:spacing w:line="360" w:lineRule="auto"/>
              <w:jc w:val="right"/>
              <w:rPr>
                <w:rFonts w:eastAsiaTheme="minorEastAsia"/>
                <w:szCs w:val="21"/>
              </w:rPr>
            </w:pPr>
            <w:r>
              <w:rPr>
                <w:rFonts w:eastAsiaTheme="minorEastAsia"/>
                <w:szCs w:val="21"/>
              </w:rPr>
              <w:t>49,023,917.88</w:t>
            </w:r>
          </w:p>
        </w:tc>
      </w:tr>
      <w:tr w:rsidR="009B581C">
        <w:tc>
          <w:tcPr>
            <w:tcW w:w="2802" w:type="dxa"/>
            <w:vAlign w:val="center"/>
          </w:tcPr>
          <w:p w:rsidR="009B581C" w:rsidRDefault="00404602">
            <w:pPr>
              <w:spacing w:line="360" w:lineRule="auto"/>
              <w:rPr>
                <w:rFonts w:eastAsiaTheme="minorEastAsia"/>
                <w:szCs w:val="21"/>
              </w:rPr>
            </w:pPr>
            <w:r>
              <w:rPr>
                <w:rFonts w:eastAsiaTheme="minorEastAsia"/>
                <w:szCs w:val="21"/>
              </w:rPr>
              <w:t>期末基金份额净值</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0.9875</w:t>
            </w:r>
          </w:p>
        </w:tc>
        <w:tc>
          <w:tcPr>
            <w:tcW w:w="2162" w:type="dxa"/>
            <w:vAlign w:val="center"/>
          </w:tcPr>
          <w:p w:rsidR="009B581C" w:rsidRDefault="00404602">
            <w:pPr>
              <w:spacing w:line="360" w:lineRule="auto"/>
              <w:jc w:val="right"/>
              <w:rPr>
                <w:rFonts w:eastAsiaTheme="minorEastAsia"/>
                <w:szCs w:val="21"/>
              </w:rPr>
            </w:pPr>
            <w:r>
              <w:rPr>
                <w:rFonts w:eastAsiaTheme="minorEastAsia"/>
                <w:szCs w:val="21"/>
              </w:rPr>
              <w:t>1.2851</w:t>
            </w:r>
          </w:p>
        </w:tc>
        <w:tc>
          <w:tcPr>
            <w:tcW w:w="2160" w:type="dxa"/>
            <w:vAlign w:val="center"/>
          </w:tcPr>
          <w:p w:rsidR="009B581C" w:rsidRDefault="00404602">
            <w:pPr>
              <w:spacing w:line="360" w:lineRule="auto"/>
              <w:jc w:val="right"/>
              <w:rPr>
                <w:rFonts w:eastAsiaTheme="minorEastAsia"/>
                <w:szCs w:val="21"/>
              </w:rPr>
            </w:pPr>
            <w:r>
              <w:rPr>
                <w:rFonts w:eastAsiaTheme="minorEastAsia"/>
                <w:szCs w:val="21"/>
              </w:rPr>
              <w:t>0.9941</w:t>
            </w:r>
          </w:p>
        </w:tc>
      </w:tr>
    </w:tbl>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）所述基金业绩指标不包括持有人认购或交易基金的各项费用，计入费用后实际收益水平要低于所列数字。</w:t>
      </w:r>
    </w:p>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3</w:t>
      </w:r>
      <w:r>
        <w:rPr>
          <w:rFonts w:eastAsiaTheme="minorEastAsia"/>
          <w:kern w:val="0"/>
          <w:szCs w:val="21"/>
        </w:rPr>
        <w:t>）期末可供分配利润采用期末资产负债表中未分配利润与未分配利润中已实现部分的孰低数（为期末余额，不是当期发生数）。</w:t>
      </w:r>
    </w:p>
    <w:p w:rsidR="009B581C" w:rsidRDefault="00404602">
      <w:pPr>
        <w:pStyle w:val="2"/>
        <w:spacing w:before="0" w:after="0"/>
        <w:rPr>
          <w:rFonts w:ascii="Times New Roman" w:eastAsiaTheme="minorEastAsia" w:hAnsi="Times New Roman"/>
          <w:kern w:val="0"/>
          <w:sz w:val="21"/>
          <w:szCs w:val="21"/>
        </w:rPr>
      </w:pPr>
      <w:bookmarkStart w:id="19" w:name="_Toc225498252"/>
      <w:bookmarkStart w:id="20" w:name="_Toc361324852"/>
      <w:r>
        <w:rPr>
          <w:rFonts w:ascii="Times New Roman" w:eastAsiaTheme="minorEastAsia" w:hAnsi="Times New Roman"/>
          <w:kern w:val="0"/>
          <w:sz w:val="21"/>
          <w:szCs w:val="21"/>
        </w:rPr>
        <w:t xml:space="preserve">3.2 </w:t>
      </w:r>
      <w:r>
        <w:rPr>
          <w:rFonts w:ascii="Times New Roman" w:eastAsiaTheme="minorEastAsia" w:hAnsi="Times New Roman"/>
          <w:kern w:val="0"/>
          <w:sz w:val="21"/>
          <w:szCs w:val="21"/>
        </w:rPr>
        <w:t>基金净值表现</w:t>
      </w:r>
      <w:bookmarkEnd w:id="19"/>
      <w:bookmarkEnd w:id="20"/>
    </w:p>
    <w:p w:rsidR="009B581C" w:rsidRDefault="00404602">
      <w:pPr>
        <w:autoSpaceDE w:val="0"/>
        <w:autoSpaceDN w:val="0"/>
        <w:adjustRightInd w:val="0"/>
        <w:spacing w:line="360" w:lineRule="auto"/>
        <w:jc w:val="left"/>
        <w:rPr>
          <w:rFonts w:eastAsiaTheme="minorEastAsia"/>
          <w:b/>
          <w:color w:val="000000"/>
          <w:kern w:val="0"/>
          <w:szCs w:val="21"/>
        </w:rPr>
      </w:pPr>
      <w:r>
        <w:rPr>
          <w:rFonts w:eastAsiaTheme="minorEastAsia"/>
          <w:b/>
          <w:color w:val="000000"/>
          <w:kern w:val="0"/>
          <w:szCs w:val="21"/>
        </w:rPr>
        <w:t xml:space="preserve">3.2.1 </w:t>
      </w:r>
      <w:r>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350"/>
        <w:gridCol w:w="1350"/>
        <w:gridCol w:w="1350"/>
        <w:gridCol w:w="1350"/>
        <w:gridCol w:w="1350"/>
        <w:gridCol w:w="1350"/>
      </w:tblGrid>
      <w:tr w:rsidR="009B581C">
        <w:tc>
          <w:tcPr>
            <w:tcW w:w="162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阶段</w:t>
            </w:r>
          </w:p>
        </w:tc>
        <w:tc>
          <w:tcPr>
            <w:tcW w:w="135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份额净值增长率</w:t>
            </w:r>
            <w:r>
              <w:rPr>
                <w:rFonts w:ascii="宋体" w:hAnsi="宋体" w:cs="宋体" w:hint="eastAsia"/>
                <w:color w:val="000000"/>
                <w:szCs w:val="21"/>
              </w:rPr>
              <w:t>①</w:t>
            </w:r>
          </w:p>
        </w:tc>
        <w:tc>
          <w:tcPr>
            <w:tcW w:w="135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份额净值增长率标准差</w:t>
            </w:r>
            <w:r>
              <w:rPr>
                <w:rFonts w:ascii="宋体" w:hAnsi="宋体" w:cs="宋体" w:hint="eastAsia"/>
                <w:color w:val="000000"/>
                <w:szCs w:val="21"/>
              </w:rPr>
              <w:t>②</w:t>
            </w:r>
          </w:p>
        </w:tc>
        <w:tc>
          <w:tcPr>
            <w:tcW w:w="135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业绩比较基准收益率</w:t>
            </w:r>
            <w:r>
              <w:rPr>
                <w:rFonts w:ascii="宋体" w:hAnsi="宋体" w:cs="宋体" w:hint="eastAsia"/>
                <w:color w:val="000000"/>
                <w:szCs w:val="21"/>
              </w:rPr>
              <w:t>③</w:t>
            </w:r>
          </w:p>
        </w:tc>
        <w:tc>
          <w:tcPr>
            <w:tcW w:w="135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业绩比较基准收益率标准差</w:t>
            </w:r>
            <w:r>
              <w:rPr>
                <w:rFonts w:ascii="宋体" w:hAnsi="宋体" w:cs="宋体" w:hint="eastAsia"/>
                <w:color w:val="000000"/>
                <w:szCs w:val="21"/>
              </w:rPr>
              <w:t>④</w:t>
            </w:r>
          </w:p>
        </w:tc>
        <w:tc>
          <w:tcPr>
            <w:tcW w:w="1350" w:type="dxa"/>
            <w:vAlign w:val="center"/>
          </w:tcPr>
          <w:p w:rsidR="009B581C" w:rsidRDefault="00404602">
            <w:pPr>
              <w:spacing w:line="360" w:lineRule="auto"/>
              <w:jc w:val="center"/>
              <w:rPr>
                <w:rFonts w:eastAsiaTheme="minorEastAsia"/>
                <w:color w:val="000000"/>
                <w:szCs w:val="21"/>
              </w:rPr>
            </w:pPr>
            <w:r>
              <w:rPr>
                <w:rFonts w:ascii="宋体" w:hAnsi="宋体" w:cs="宋体" w:hint="eastAsia"/>
                <w:color w:val="000000"/>
                <w:szCs w:val="21"/>
              </w:rPr>
              <w:t>①</w:t>
            </w:r>
            <w:r>
              <w:rPr>
                <w:rFonts w:eastAsiaTheme="minorEastAsia"/>
                <w:color w:val="000000"/>
                <w:szCs w:val="21"/>
              </w:rPr>
              <w:t>－</w:t>
            </w:r>
            <w:r>
              <w:rPr>
                <w:rFonts w:ascii="宋体" w:hAnsi="宋体" w:cs="宋体" w:hint="eastAsia"/>
                <w:color w:val="000000"/>
                <w:szCs w:val="21"/>
              </w:rPr>
              <w:t>③</w:t>
            </w:r>
          </w:p>
        </w:tc>
        <w:tc>
          <w:tcPr>
            <w:tcW w:w="1350" w:type="dxa"/>
            <w:vAlign w:val="center"/>
          </w:tcPr>
          <w:p w:rsidR="009B581C" w:rsidRDefault="00404602">
            <w:pPr>
              <w:spacing w:line="360" w:lineRule="auto"/>
              <w:jc w:val="center"/>
              <w:rPr>
                <w:rFonts w:eastAsiaTheme="minorEastAsia"/>
                <w:color w:val="000000"/>
                <w:szCs w:val="21"/>
              </w:rPr>
            </w:pPr>
            <w:r>
              <w:rPr>
                <w:rFonts w:ascii="宋体" w:hAnsi="宋体" w:cs="宋体" w:hint="eastAsia"/>
                <w:color w:val="000000"/>
                <w:szCs w:val="21"/>
              </w:rPr>
              <w:t>②</w:t>
            </w:r>
            <w:r>
              <w:rPr>
                <w:rFonts w:eastAsiaTheme="minorEastAsia"/>
                <w:color w:val="000000"/>
                <w:szCs w:val="21"/>
              </w:rPr>
              <w:t>－</w:t>
            </w:r>
            <w:r>
              <w:rPr>
                <w:rFonts w:ascii="宋体" w:hAnsi="宋体" w:cs="宋体" w:hint="eastAsia"/>
                <w:color w:val="000000"/>
                <w:szCs w:val="21"/>
              </w:rPr>
              <w:t>④</w:t>
            </w:r>
          </w:p>
        </w:tc>
      </w:tr>
      <w:tr w:rsidR="0077068F">
        <w:tc>
          <w:tcPr>
            <w:tcW w:w="1620" w:type="dxa"/>
            <w:vAlign w:val="center"/>
          </w:tcPr>
          <w:p w:rsidR="0077068F" w:rsidRDefault="006A74CC">
            <w:pPr>
              <w:jc w:val="left"/>
            </w:pPr>
            <w:r>
              <w:rPr>
                <w:rFonts w:eastAsiaTheme="minorEastAsia"/>
                <w:color w:val="000000"/>
                <w:szCs w:val="21"/>
              </w:rPr>
              <w:t>过去三个月</w:t>
            </w:r>
          </w:p>
        </w:tc>
        <w:tc>
          <w:tcPr>
            <w:tcW w:w="1350" w:type="dxa"/>
            <w:vAlign w:val="center"/>
          </w:tcPr>
          <w:p w:rsidR="0077068F" w:rsidRDefault="006A74CC">
            <w:pPr>
              <w:jc w:val="center"/>
            </w:pPr>
            <w:r>
              <w:rPr>
                <w:rFonts w:eastAsiaTheme="minorEastAsia"/>
                <w:color w:val="000000"/>
                <w:szCs w:val="21"/>
              </w:rPr>
              <w:t>-13.79%</w:t>
            </w:r>
          </w:p>
        </w:tc>
        <w:tc>
          <w:tcPr>
            <w:tcW w:w="1350" w:type="dxa"/>
            <w:vAlign w:val="center"/>
          </w:tcPr>
          <w:p w:rsidR="0077068F" w:rsidRDefault="006A74CC">
            <w:pPr>
              <w:jc w:val="center"/>
            </w:pPr>
            <w:r>
              <w:rPr>
                <w:rFonts w:eastAsiaTheme="minorEastAsia"/>
                <w:color w:val="000000"/>
                <w:szCs w:val="21"/>
              </w:rPr>
              <w:t>1.97%</w:t>
            </w:r>
          </w:p>
        </w:tc>
        <w:tc>
          <w:tcPr>
            <w:tcW w:w="1350" w:type="dxa"/>
            <w:vAlign w:val="center"/>
          </w:tcPr>
          <w:p w:rsidR="0077068F" w:rsidRDefault="006A74CC">
            <w:pPr>
              <w:jc w:val="center"/>
            </w:pPr>
            <w:r>
              <w:rPr>
                <w:rFonts w:eastAsiaTheme="minorEastAsia"/>
                <w:color w:val="000000"/>
                <w:szCs w:val="21"/>
              </w:rPr>
              <w:t>-12.10%</w:t>
            </w:r>
          </w:p>
        </w:tc>
        <w:tc>
          <w:tcPr>
            <w:tcW w:w="1350" w:type="dxa"/>
            <w:vAlign w:val="center"/>
          </w:tcPr>
          <w:p w:rsidR="0077068F" w:rsidRDefault="006A74CC">
            <w:pPr>
              <w:jc w:val="center"/>
            </w:pPr>
            <w:r>
              <w:rPr>
                <w:rFonts w:eastAsiaTheme="minorEastAsia"/>
                <w:color w:val="000000"/>
                <w:szCs w:val="21"/>
              </w:rPr>
              <w:t>1.99%</w:t>
            </w:r>
          </w:p>
        </w:tc>
        <w:tc>
          <w:tcPr>
            <w:tcW w:w="1350" w:type="dxa"/>
            <w:vAlign w:val="center"/>
          </w:tcPr>
          <w:p w:rsidR="0077068F" w:rsidRDefault="006A74CC">
            <w:pPr>
              <w:jc w:val="center"/>
            </w:pPr>
            <w:r>
              <w:rPr>
                <w:rFonts w:eastAsiaTheme="minorEastAsia"/>
                <w:color w:val="000000"/>
                <w:szCs w:val="21"/>
              </w:rPr>
              <w:t>-1.69%</w:t>
            </w:r>
          </w:p>
        </w:tc>
        <w:tc>
          <w:tcPr>
            <w:tcW w:w="1350" w:type="dxa"/>
            <w:vAlign w:val="center"/>
          </w:tcPr>
          <w:p w:rsidR="0077068F" w:rsidRDefault="006A74CC">
            <w:pPr>
              <w:jc w:val="center"/>
            </w:pPr>
            <w:r>
              <w:rPr>
                <w:rFonts w:eastAsiaTheme="minorEastAsia"/>
                <w:color w:val="000000"/>
                <w:szCs w:val="21"/>
              </w:rPr>
              <w:t>-0.02%</w:t>
            </w:r>
          </w:p>
        </w:tc>
      </w:tr>
      <w:tr w:rsidR="0077068F">
        <w:tc>
          <w:tcPr>
            <w:tcW w:w="1620" w:type="dxa"/>
            <w:vAlign w:val="center"/>
          </w:tcPr>
          <w:p w:rsidR="0077068F" w:rsidRDefault="006A74CC">
            <w:pPr>
              <w:jc w:val="left"/>
            </w:pPr>
            <w:r>
              <w:rPr>
                <w:rFonts w:eastAsiaTheme="minorEastAsia"/>
                <w:color w:val="000000"/>
                <w:szCs w:val="21"/>
              </w:rPr>
              <w:t>过去六个月</w:t>
            </w:r>
          </w:p>
        </w:tc>
        <w:tc>
          <w:tcPr>
            <w:tcW w:w="1350" w:type="dxa"/>
            <w:vAlign w:val="center"/>
          </w:tcPr>
          <w:p w:rsidR="0077068F" w:rsidRDefault="006A74CC">
            <w:pPr>
              <w:jc w:val="center"/>
            </w:pPr>
            <w:r>
              <w:rPr>
                <w:rFonts w:eastAsiaTheme="minorEastAsia"/>
                <w:color w:val="000000"/>
                <w:szCs w:val="21"/>
              </w:rPr>
              <w:t>-19.22%</w:t>
            </w:r>
          </w:p>
        </w:tc>
        <w:tc>
          <w:tcPr>
            <w:tcW w:w="1350" w:type="dxa"/>
            <w:vAlign w:val="center"/>
          </w:tcPr>
          <w:p w:rsidR="0077068F" w:rsidRDefault="006A74CC">
            <w:pPr>
              <w:jc w:val="center"/>
            </w:pPr>
            <w:r>
              <w:rPr>
                <w:rFonts w:eastAsiaTheme="minorEastAsia"/>
                <w:color w:val="000000"/>
                <w:szCs w:val="21"/>
              </w:rPr>
              <w:t>1.73%</w:t>
            </w:r>
          </w:p>
        </w:tc>
        <w:tc>
          <w:tcPr>
            <w:tcW w:w="1350" w:type="dxa"/>
            <w:vAlign w:val="center"/>
          </w:tcPr>
          <w:p w:rsidR="0077068F" w:rsidRDefault="006A74CC">
            <w:pPr>
              <w:jc w:val="center"/>
            </w:pPr>
            <w:r>
              <w:rPr>
                <w:rFonts w:eastAsiaTheme="minorEastAsia"/>
                <w:color w:val="000000"/>
                <w:szCs w:val="21"/>
              </w:rPr>
              <w:t>-17.22%</w:t>
            </w:r>
          </w:p>
        </w:tc>
        <w:tc>
          <w:tcPr>
            <w:tcW w:w="1350" w:type="dxa"/>
            <w:vAlign w:val="center"/>
          </w:tcPr>
          <w:p w:rsidR="0077068F" w:rsidRDefault="006A74CC">
            <w:pPr>
              <w:jc w:val="center"/>
            </w:pPr>
            <w:r>
              <w:rPr>
                <w:rFonts w:eastAsiaTheme="minorEastAsia"/>
                <w:color w:val="000000"/>
                <w:szCs w:val="21"/>
              </w:rPr>
              <w:t>1.76%</w:t>
            </w:r>
          </w:p>
        </w:tc>
        <w:tc>
          <w:tcPr>
            <w:tcW w:w="1350" w:type="dxa"/>
            <w:vAlign w:val="center"/>
          </w:tcPr>
          <w:p w:rsidR="0077068F" w:rsidRDefault="006A74CC">
            <w:pPr>
              <w:jc w:val="center"/>
            </w:pPr>
            <w:r>
              <w:rPr>
                <w:rFonts w:eastAsiaTheme="minorEastAsia"/>
                <w:color w:val="000000"/>
                <w:szCs w:val="21"/>
              </w:rPr>
              <w:t>-2.00%</w:t>
            </w:r>
          </w:p>
        </w:tc>
        <w:tc>
          <w:tcPr>
            <w:tcW w:w="1350" w:type="dxa"/>
            <w:vAlign w:val="center"/>
          </w:tcPr>
          <w:p w:rsidR="0077068F" w:rsidRDefault="006A74CC">
            <w:pPr>
              <w:jc w:val="center"/>
            </w:pPr>
            <w:r>
              <w:rPr>
                <w:rFonts w:eastAsiaTheme="minorEastAsia"/>
                <w:color w:val="000000"/>
                <w:szCs w:val="21"/>
              </w:rPr>
              <w:t>-0.03%</w:t>
            </w:r>
          </w:p>
        </w:tc>
      </w:tr>
      <w:tr w:rsidR="0077068F">
        <w:tc>
          <w:tcPr>
            <w:tcW w:w="1620" w:type="dxa"/>
            <w:vAlign w:val="center"/>
          </w:tcPr>
          <w:p w:rsidR="0077068F" w:rsidRDefault="006A74CC">
            <w:pPr>
              <w:jc w:val="left"/>
            </w:pPr>
            <w:r>
              <w:rPr>
                <w:rFonts w:eastAsiaTheme="minorEastAsia"/>
                <w:color w:val="000000"/>
                <w:szCs w:val="21"/>
              </w:rPr>
              <w:t>过去一年</w:t>
            </w:r>
          </w:p>
        </w:tc>
        <w:tc>
          <w:tcPr>
            <w:tcW w:w="1350" w:type="dxa"/>
            <w:vAlign w:val="center"/>
          </w:tcPr>
          <w:p w:rsidR="0077068F" w:rsidRDefault="006A74CC">
            <w:pPr>
              <w:jc w:val="center"/>
            </w:pPr>
            <w:r>
              <w:rPr>
                <w:rFonts w:eastAsiaTheme="minorEastAsia"/>
                <w:color w:val="000000"/>
                <w:szCs w:val="21"/>
              </w:rPr>
              <w:t>-23.16%</w:t>
            </w:r>
          </w:p>
        </w:tc>
        <w:tc>
          <w:tcPr>
            <w:tcW w:w="1350" w:type="dxa"/>
            <w:vAlign w:val="center"/>
          </w:tcPr>
          <w:p w:rsidR="0077068F" w:rsidRDefault="006A74CC">
            <w:pPr>
              <w:jc w:val="center"/>
            </w:pPr>
            <w:r>
              <w:rPr>
                <w:rFonts w:eastAsiaTheme="minorEastAsia"/>
                <w:color w:val="000000"/>
                <w:szCs w:val="21"/>
              </w:rPr>
              <w:t>1.61%</w:t>
            </w:r>
          </w:p>
        </w:tc>
        <w:tc>
          <w:tcPr>
            <w:tcW w:w="1350" w:type="dxa"/>
            <w:vAlign w:val="center"/>
          </w:tcPr>
          <w:p w:rsidR="0077068F" w:rsidRDefault="006A74CC">
            <w:pPr>
              <w:jc w:val="center"/>
            </w:pPr>
            <w:r>
              <w:rPr>
                <w:rFonts w:eastAsiaTheme="minorEastAsia"/>
                <w:color w:val="000000"/>
                <w:szCs w:val="21"/>
              </w:rPr>
              <w:t>-21.82%</w:t>
            </w:r>
          </w:p>
        </w:tc>
        <w:tc>
          <w:tcPr>
            <w:tcW w:w="1350" w:type="dxa"/>
            <w:vAlign w:val="center"/>
          </w:tcPr>
          <w:p w:rsidR="0077068F" w:rsidRDefault="006A74CC">
            <w:pPr>
              <w:jc w:val="center"/>
            </w:pPr>
            <w:r>
              <w:rPr>
                <w:rFonts w:eastAsiaTheme="minorEastAsia"/>
                <w:color w:val="000000"/>
                <w:szCs w:val="21"/>
              </w:rPr>
              <w:t>1.63%</w:t>
            </w:r>
          </w:p>
        </w:tc>
        <w:tc>
          <w:tcPr>
            <w:tcW w:w="1350" w:type="dxa"/>
            <w:vAlign w:val="center"/>
          </w:tcPr>
          <w:p w:rsidR="0077068F" w:rsidRDefault="006A74CC">
            <w:pPr>
              <w:jc w:val="center"/>
            </w:pPr>
            <w:r>
              <w:rPr>
                <w:rFonts w:eastAsiaTheme="minorEastAsia"/>
                <w:color w:val="000000"/>
                <w:szCs w:val="21"/>
              </w:rPr>
              <w:t>-1.34%</w:t>
            </w:r>
          </w:p>
        </w:tc>
        <w:tc>
          <w:tcPr>
            <w:tcW w:w="1350" w:type="dxa"/>
            <w:vAlign w:val="center"/>
          </w:tcPr>
          <w:p w:rsidR="0077068F" w:rsidRDefault="006A74CC">
            <w:pPr>
              <w:jc w:val="center"/>
            </w:pPr>
            <w:r>
              <w:rPr>
                <w:rFonts w:eastAsiaTheme="minorEastAsia"/>
                <w:color w:val="000000"/>
                <w:szCs w:val="21"/>
              </w:rPr>
              <w:t>-0.02%</w:t>
            </w:r>
          </w:p>
        </w:tc>
      </w:tr>
      <w:tr w:rsidR="0077068F">
        <w:tc>
          <w:tcPr>
            <w:tcW w:w="1620" w:type="dxa"/>
            <w:vAlign w:val="center"/>
          </w:tcPr>
          <w:p w:rsidR="0077068F" w:rsidRDefault="006A74CC">
            <w:pPr>
              <w:jc w:val="left"/>
            </w:pPr>
            <w:r>
              <w:rPr>
                <w:rFonts w:eastAsiaTheme="minorEastAsia"/>
                <w:color w:val="000000"/>
                <w:szCs w:val="21"/>
              </w:rPr>
              <w:t>过去三年</w:t>
            </w:r>
          </w:p>
        </w:tc>
        <w:tc>
          <w:tcPr>
            <w:tcW w:w="1350" w:type="dxa"/>
            <w:vAlign w:val="center"/>
          </w:tcPr>
          <w:p w:rsidR="0077068F" w:rsidRDefault="006A74CC">
            <w:pPr>
              <w:jc w:val="center"/>
            </w:pPr>
            <w:r>
              <w:rPr>
                <w:rFonts w:eastAsiaTheme="minorEastAsia"/>
                <w:color w:val="000000"/>
                <w:szCs w:val="21"/>
              </w:rPr>
              <w:t>-0.17%</w:t>
            </w:r>
          </w:p>
        </w:tc>
        <w:tc>
          <w:tcPr>
            <w:tcW w:w="1350" w:type="dxa"/>
            <w:vAlign w:val="center"/>
          </w:tcPr>
          <w:p w:rsidR="0077068F" w:rsidRDefault="006A74CC">
            <w:pPr>
              <w:jc w:val="center"/>
            </w:pPr>
            <w:r>
              <w:rPr>
                <w:rFonts w:eastAsiaTheme="minorEastAsia"/>
                <w:color w:val="000000"/>
                <w:szCs w:val="21"/>
              </w:rPr>
              <w:t>1.41%</w:t>
            </w:r>
          </w:p>
        </w:tc>
        <w:tc>
          <w:tcPr>
            <w:tcW w:w="1350" w:type="dxa"/>
            <w:vAlign w:val="center"/>
          </w:tcPr>
          <w:p w:rsidR="0077068F" w:rsidRDefault="006A74CC">
            <w:pPr>
              <w:jc w:val="center"/>
            </w:pPr>
            <w:r>
              <w:rPr>
                <w:rFonts w:eastAsiaTheme="minorEastAsia"/>
                <w:color w:val="000000"/>
                <w:szCs w:val="21"/>
              </w:rPr>
              <w:t>-0.89%</w:t>
            </w:r>
          </w:p>
        </w:tc>
        <w:tc>
          <w:tcPr>
            <w:tcW w:w="1350" w:type="dxa"/>
            <w:vAlign w:val="center"/>
          </w:tcPr>
          <w:p w:rsidR="0077068F" w:rsidRDefault="006A74CC">
            <w:pPr>
              <w:jc w:val="center"/>
            </w:pPr>
            <w:r>
              <w:rPr>
                <w:rFonts w:eastAsiaTheme="minorEastAsia"/>
                <w:color w:val="000000"/>
                <w:szCs w:val="21"/>
              </w:rPr>
              <w:t>1.42%</w:t>
            </w:r>
          </w:p>
        </w:tc>
        <w:tc>
          <w:tcPr>
            <w:tcW w:w="1350" w:type="dxa"/>
            <w:vAlign w:val="center"/>
          </w:tcPr>
          <w:p w:rsidR="0077068F" w:rsidRDefault="006A74CC">
            <w:pPr>
              <w:jc w:val="center"/>
            </w:pPr>
            <w:r>
              <w:rPr>
                <w:rFonts w:eastAsiaTheme="minorEastAsia"/>
                <w:color w:val="000000"/>
                <w:szCs w:val="21"/>
              </w:rPr>
              <w:t>0.72%</w:t>
            </w:r>
          </w:p>
        </w:tc>
        <w:tc>
          <w:tcPr>
            <w:tcW w:w="1350" w:type="dxa"/>
            <w:vAlign w:val="center"/>
          </w:tcPr>
          <w:p w:rsidR="0077068F" w:rsidRDefault="006A74CC">
            <w:pPr>
              <w:jc w:val="center"/>
            </w:pPr>
            <w:r>
              <w:rPr>
                <w:rFonts w:eastAsiaTheme="minorEastAsia"/>
                <w:color w:val="000000"/>
                <w:szCs w:val="21"/>
              </w:rPr>
              <w:t>-0.01%</w:t>
            </w:r>
          </w:p>
        </w:tc>
      </w:tr>
      <w:tr w:rsidR="0077068F">
        <w:tc>
          <w:tcPr>
            <w:tcW w:w="1620" w:type="dxa"/>
            <w:vAlign w:val="center"/>
          </w:tcPr>
          <w:p w:rsidR="0077068F" w:rsidRDefault="006A74CC">
            <w:pPr>
              <w:jc w:val="left"/>
            </w:pPr>
            <w:r>
              <w:rPr>
                <w:rFonts w:eastAsiaTheme="minorEastAsia"/>
                <w:color w:val="000000"/>
                <w:szCs w:val="21"/>
              </w:rPr>
              <w:t>自基金合同生效起至今</w:t>
            </w:r>
          </w:p>
        </w:tc>
        <w:tc>
          <w:tcPr>
            <w:tcW w:w="1350" w:type="dxa"/>
            <w:vAlign w:val="center"/>
          </w:tcPr>
          <w:p w:rsidR="0077068F" w:rsidRDefault="006A74CC">
            <w:pPr>
              <w:jc w:val="center"/>
            </w:pPr>
            <w:r>
              <w:rPr>
                <w:rFonts w:eastAsiaTheme="minorEastAsia"/>
                <w:color w:val="000000"/>
                <w:szCs w:val="21"/>
              </w:rPr>
              <w:t>-1.25%</w:t>
            </w:r>
          </w:p>
        </w:tc>
        <w:tc>
          <w:tcPr>
            <w:tcW w:w="1350" w:type="dxa"/>
            <w:vAlign w:val="center"/>
          </w:tcPr>
          <w:p w:rsidR="0077068F" w:rsidRDefault="006A74CC">
            <w:pPr>
              <w:jc w:val="center"/>
            </w:pPr>
            <w:r>
              <w:rPr>
                <w:rFonts w:eastAsiaTheme="minorEastAsia"/>
                <w:color w:val="000000"/>
                <w:szCs w:val="21"/>
              </w:rPr>
              <w:t>1.58%</w:t>
            </w:r>
          </w:p>
        </w:tc>
        <w:tc>
          <w:tcPr>
            <w:tcW w:w="1350" w:type="dxa"/>
            <w:vAlign w:val="center"/>
          </w:tcPr>
          <w:p w:rsidR="0077068F" w:rsidRDefault="006A74CC">
            <w:pPr>
              <w:jc w:val="center"/>
            </w:pPr>
            <w:r>
              <w:rPr>
                <w:rFonts w:eastAsiaTheme="minorEastAsia"/>
                <w:color w:val="000000"/>
                <w:szCs w:val="21"/>
              </w:rPr>
              <w:t>-12.80%</w:t>
            </w:r>
          </w:p>
        </w:tc>
        <w:tc>
          <w:tcPr>
            <w:tcW w:w="1350" w:type="dxa"/>
            <w:vAlign w:val="center"/>
          </w:tcPr>
          <w:p w:rsidR="0077068F" w:rsidRDefault="006A74CC">
            <w:pPr>
              <w:jc w:val="center"/>
            </w:pPr>
            <w:r>
              <w:rPr>
                <w:rFonts w:eastAsiaTheme="minorEastAsia"/>
                <w:color w:val="000000"/>
                <w:szCs w:val="21"/>
              </w:rPr>
              <w:t>1.68%</w:t>
            </w:r>
          </w:p>
        </w:tc>
        <w:tc>
          <w:tcPr>
            <w:tcW w:w="1350" w:type="dxa"/>
            <w:vAlign w:val="center"/>
          </w:tcPr>
          <w:p w:rsidR="0077068F" w:rsidRDefault="006A74CC">
            <w:pPr>
              <w:jc w:val="center"/>
            </w:pPr>
            <w:r>
              <w:rPr>
                <w:rFonts w:eastAsiaTheme="minorEastAsia"/>
                <w:color w:val="000000"/>
                <w:szCs w:val="21"/>
              </w:rPr>
              <w:t>11.55%</w:t>
            </w:r>
          </w:p>
        </w:tc>
        <w:tc>
          <w:tcPr>
            <w:tcW w:w="1350" w:type="dxa"/>
            <w:vAlign w:val="center"/>
          </w:tcPr>
          <w:p w:rsidR="0077068F" w:rsidRDefault="006A74CC">
            <w:pPr>
              <w:jc w:val="center"/>
            </w:pPr>
            <w:r>
              <w:rPr>
                <w:rFonts w:eastAsiaTheme="minorEastAsia"/>
                <w:color w:val="000000"/>
                <w:szCs w:val="21"/>
              </w:rPr>
              <w:t>-0.10%</w:t>
            </w:r>
          </w:p>
        </w:tc>
      </w:tr>
    </w:tbl>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注：业绩比较基准：中证全指主要消费指数。</w:t>
      </w:r>
    </w:p>
    <w:p w:rsidR="009B581C" w:rsidRDefault="00404602" w:rsidP="006A74CC">
      <w:pPr>
        <w:spacing w:beforeLines="100" w:line="360" w:lineRule="auto"/>
        <w:rPr>
          <w:rFonts w:eastAsiaTheme="minorEastAsia"/>
          <w:b/>
          <w:kern w:val="0"/>
          <w:szCs w:val="21"/>
        </w:rPr>
      </w:pPr>
      <w:r>
        <w:rPr>
          <w:rFonts w:eastAsiaTheme="minorEastAsia"/>
          <w:b/>
          <w:kern w:val="0"/>
          <w:szCs w:val="21"/>
        </w:rPr>
        <w:t>3.2.2</w:t>
      </w:r>
      <w:r>
        <w:rPr>
          <w:rFonts w:eastAsiaTheme="minorEastAsia"/>
          <w:b/>
          <w:kern w:val="0"/>
          <w:szCs w:val="21"/>
        </w:rPr>
        <w:t>基金份额累计净值增长率变动及其与同期业绩比较基准收益率变动的比较</w:t>
      </w:r>
    </w:p>
    <w:p w:rsidR="009B581C" w:rsidRDefault="00404602">
      <w:pPr>
        <w:spacing w:line="360" w:lineRule="auto"/>
        <w:ind w:firstLine="420"/>
        <w:jc w:val="center"/>
        <w:rPr>
          <w:rFonts w:eastAsiaTheme="minorEastAsia"/>
          <w:kern w:val="0"/>
          <w:szCs w:val="21"/>
        </w:rPr>
      </w:pPr>
      <w:r>
        <w:rPr>
          <w:rFonts w:eastAsiaTheme="minorEastAsia"/>
          <w:kern w:val="0"/>
          <w:szCs w:val="21"/>
        </w:rPr>
        <w:t>广发中证全指主要消费交易型开放式指数证券投资基金</w:t>
      </w:r>
    </w:p>
    <w:p w:rsidR="009B581C" w:rsidRDefault="00404602">
      <w:pPr>
        <w:spacing w:line="360" w:lineRule="auto"/>
        <w:ind w:firstLine="420"/>
        <w:jc w:val="center"/>
        <w:rPr>
          <w:rFonts w:eastAsiaTheme="minorEastAsia"/>
          <w:kern w:val="0"/>
          <w:szCs w:val="21"/>
        </w:rPr>
      </w:pPr>
      <w:r>
        <w:rPr>
          <w:rFonts w:eastAsiaTheme="minorEastAsia"/>
          <w:kern w:val="0"/>
          <w:szCs w:val="21"/>
        </w:rPr>
        <w:t>份额累计净值增长率与业绩比较基准收益率的历史走势对比图</w:t>
      </w:r>
    </w:p>
    <w:p w:rsidR="009B581C" w:rsidRDefault="00404602">
      <w:pPr>
        <w:pStyle w:val="a8"/>
        <w:snapToGrid w:val="0"/>
        <w:spacing w:line="360" w:lineRule="auto"/>
        <w:ind w:firstLine="480"/>
        <w:jc w:val="center"/>
        <w:rPr>
          <w:rFonts w:ascii="Times New Roman" w:eastAsiaTheme="minorEastAsia" w:hAnsi="Times New Roman"/>
        </w:rPr>
      </w:pPr>
      <w:r>
        <w:rPr>
          <w:rFonts w:ascii="Times New Roman" w:eastAsiaTheme="minorEastAsia" w:hAnsi="Times New Roman"/>
        </w:rPr>
        <w:t>(2015</w:t>
      </w:r>
      <w:r>
        <w:rPr>
          <w:rFonts w:ascii="Times New Roman" w:eastAsiaTheme="minorEastAsia" w:hAnsi="Times New Roman"/>
        </w:rPr>
        <w:t>年</w:t>
      </w:r>
      <w:r>
        <w:rPr>
          <w:rFonts w:ascii="Times New Roman" w:eastAsiaTheme="minorEastAsia" w:hAnsi="Times New Roman"/>
        </w:rPr>
        <w:t>7</w:t>
      </w:r>
      <w:r>
        <w:rPr>
          <w:rFonts w:ascii="Times New Roman" w:eastAsiaTheme="minorEastAsia" w:hAnsi="Times New Roman"/>
        </w:rPr>
        <w:t>月</w:t>
      </w:r>
      <w:r>
        <w:rPr>
          <w:rFonts w:ascii="Times New Roman" w:eastAsiaTheme="minorEastAsia" w:hAnsi="Times New Roman"/>
        </w:rPr>
        <w:t>1</w:t>
      </w:r>
      <w:r>
        <w:rPr>
          <w:rFonts w:ascii="Times New Roman" w:eastAsiaTheme="minorEastAsia" w:hAnsi="Times New Roman"/>
        </w:rPr>
        <w:t>日至</w:t>
      </w:r>
      <w:r>
        <w:rPr>
          <w:rFonts w:ascii="Times New Roman" w:eastAsiaTheme="minorEastAsia" w:hAnsi="Times New Roman"/>
        </w:rPr>
        <w:t>2018</w:t>
      </w:r>
      <w:r>
        <w:rPr>
          <w:rFonts w:ascii="Times New Roman" w:eastAsiaTheme="minorEastAsia" w:hAnsi="Times New Roman"/>
        </w:rPr>
        <w:t>年</w:t>
      </w:r>
      <w:r>
        <w:rPr>
          <w:rFonts w:ascii="Times New Roman" w:eastAsiaTheme="minorEastAsia" w:hAnsi="Times New Roman"/>
        </w:rPr>
        <w:t>12</w:t>
      </w:r>
      <w:r>
        <w:rPr>
          <w:rFonts w:ascii="Times New Roman" w:eastAsiaTheme="minorEastAsia" w:hAnsi="Times New Roman"/>
        </w:rPr>
        <w:t>月</w:t>
      </w:r>
      <w:r>
        <w:rPr>
          <w:rFonts w:ascii="Times New Roman" w:eastAsiaTheme="minorEastAsia" w:hAnsi="Times New Roman"/>
        </w:rPr>
        <w:t>31</w:t>
      </w:r>
      <w:r>
        <w:rPr>
          <w:rFonts w:ascii="Times New Roman" w:eastAsiaTheme="minorEastAsia" w:hAnsi="Times New Roman"/>
        </w:rPr>
        <w:t>日</w:t>
      </w:r>
      <w:r>
        <w:rPr>
          <w:rFonts w:ascii="Times New Roman" w:eastAsiaTheme="minorEastAsia" w:hAnsi="Times New Roman"/>
        </w:rPr>
        <w:t>)</w:t>
      </w:r>
    </w:p>
    <w:p w:rsidR="009B581C" w:rsidRDefault="00404602">
      <w:pPr>
        <w:spacing w:line="360" w:lineRule="auto"/>
        <w:jc w:val="center"/>
        <w:rPr>
          <w:rFonts w:eastAsiaTheme="minorEastAsia"/>
          <w:color w:val="000000"/>
          <w:szCs w:val="21"/>
        </w:rPr>
      </w:pPr>
      <w:r>
        <w:rPr>
          <w:rFonts w:eastAsiaTheme="minorEastAsia"/>
          <w:noProof/>
          <w:color w:val="000000"/>
          <w:szCs w:val="21"/>
        </w:rPr>
        <w:drawing>
          <wp:inline distT="0" distB="0" distL="0" distR="0">
            <wp:extent cx="5759450" cy="3372485"/>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759450" cy="3372734"/>
                    </a:xfrm>
                    <a:prstGeom prst="rect">
                      <a:avLst/>
                    </a:prstGeom>
                    <a:noFill/>
                    <a:ln>
                      <a:noFill/>
                    </a:ln>
                  </pic:spPr>
                </pic:pic>
              </a:graphicData>
            </a:graphic>
          </wp:inline>
        </w:drawing>
      </w:r>
    </w:p>
    <w:p w:rsidR="009B581C" w:rsidRDefault="00404602" w:rsidP="006A74CC">
      <w:pPr>
        <w:spacing w:beforeLines="100" w:line="360" w:lineRule="auto"/>
        <w:rPr>
          <w:rFonts w:eastAsiaTheme="minorEastAsia"/>
          <w:b/>
          <w:color w:val="000000"/>
          <w:szCs w:val="21"/>
        </w:rPr>
      </w:pPr>
      <w:r>
        <w:rPr>
          <w:rFonts w:eastAsiaTheme="minorEastAsia"/>
          <w:b/>
          <w:color w:val="000000"/>
          <w:szCs w:val="21"/>
        </w:rPr>
        <w:t>3.2.3</w:t>
      </w:r>
      <w:r>
        <w:rPr>
          <w:rFonts w:eastAsiaTheme="minorEastAsia"/>
          <w:b/>
          <w:color w:val="000000"/>
          <w:szCs w:val="21"/>
        </w:rPr>
        <w:t>基金每年净值增长率及其与同期业绩比较基准收益率的比较</w:t>
      </w:r>
    </w:p>
    <w:p w:rsidR="009B581C" w:rsidRDefault="00404602">
      <w:pPr>
        <w:spacing w:line="360" w:lineRule="auto"/>
        <w:jc w:val="center"/>
        <w:rPr>
          <w:rFonts w:eastAsiaTheme="minorEastAsia"/>
          <w:color w:val="000000"/>
          <w:szCs w:val="21"/>
        </w:rPr>
      </w:pPr>
      <w:r>
        <w:rPr>
          <w:rFonts w:eastAsiaTheme="minorEastAsia"/>
          <w:color w:val="000000"/>
          <w:szCs w:val="21"/>
        </w:rPr>
        <w:t>广发中证全指主要消费交易型开放式指数证券投资基金</w:t>
      </w:r>
    </w:p>
    <w:p w:rsidR="009B581C" w:rsidRDefault="00404602">
      <w:pPr>
        <w:spacing w:line="360" w:lineRule="auto"/>
        <w:jc w:val="center"/>
        <w:rPr>
          <w:rFonts w:eastAsiaTheme="minorEastAsia"/>
          <w:color w:val="000000"/>
          <w:szCs w:val="21"/>
        </w:rPr>
      </w:pPr>
      <w:r>
        <w:rPr>
          <w:rFonts w:eastAsiaTheme="minorEastAsia"/>
          <w:color w:val="000000"/>
          <w:szCs w:val="21"/>
        </w:rPr>
        <w:t>基金净值增长率与业绩比较基准收益率的对比图</w:t>
      </w:r>
    </w:p>
    <w:p w:rsidR="009B581C" w:rsidRDefault="00404602">
      <w:pPr>
        <w:spacing w:line="360" w:lineRule="auto"/>
        <w:jc w:val="center"/>
        <w:rPr>
          <w:rFonts w:eastAsiaTheme="minorEastAsia"/>
          <w:b/>
          <w:bCs/>
          <w:color w:val="000000"/>
          <w:szCs w:val="21"/>
          <w:vertAlign w:val="superscript"/>
        </w:rPr>
      </w:pPr>
      <w:r>
        <w:rPr>
          <w:rFonts w:eastAsiaTheme="minorEastAsia"/>
          <w:b/>
          <w:bCs/>
          <w:noProof/>
          <w:color w:val="000000"/>
          <w:szCs w:val="21"/>
          <w:vertAlign w:val="superscript"/>
        </w:rPr>
        <w:drawing>
          <wp:inline distT="0" distB="0" distL="0" distR="0">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759450" cy="3372734"/>
                    </a:xfrm>
                    <a:prstGeom prst="rect">
                      <a:avLst/>
                    </a:prstGeom>
                    <a:noFill/>
                    <a:ln>
                      <a:noFill/>
                    </a:ln>
                  </pic:spPr>
                </pic:pic>
              </a:graphicData>
            </a:graphic>
          </wp:inline>
        </w:drawing>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注：合同生效当年（</w:t>
      </w:r>
      <w:r>
        <w:rPr>
          <w:rFonts w:eastAsiaTheme="minorEastAsia"/>
          <w:kern w:val="0"/>
          <w:szCs w:val="21"/>
        </w:rPr>
        <w:t>2015</w:t>
      </w:r>
      <w:r>
        <w:rPr>
          <w:rFonts w:eastAsiaTheme="minorEastAsia"/>
          <w:kern w:val="0"/>
          <w:szCs w:val="21"/>
        </w:rPr>
        <w:t>年）按实际存续期计算，未按自然年度折算。</w:t>
      </w:r>
    </w:p>
    <w:p w:rsidR="009B581C" w:rsidRDefault="009B581C">
      <w:pPr>
        <w:tabs>
          <w:tab w:val="left" w:pos="1800"/>
        </w:tabs>
        <w:spacing w:line="360" w:lineRule="auto"/>
        <w:rPr>
          <w:rFonts w:eastAsiaTheme="minorEastAsia"/>
          <w:color w:val="000000"/>
          <w:szCs w:val="21"/>
        </w:rPr>
      </w:pPr>
    </w:p>
    <w:p w:rsidR="009B581C" w:rsidRDefault="00404602">
      <w:pPr>
        <w:pStyle w:val="2"/>
        <w:spacing w:before="0" w:after="0"/>
        <w:rPr>
          <w:rFonts w:ascii="Times New Roman" w:eastAsiaTheme="minorEastAsia" w:hAnsi="Times New Roman"/>
          <w:kern w:val="0"/>
          <w:sz w:val="21"/>
          <w:szCs w:val="21"/>
        </w:rPr>
      </w:pPr>
      <w:bookmarkStart w:id="21" w:name="_Toc361324853"/>
      <w:bookmarkStart w:id="22" w:name="_Toc249760033"/>
      <w:r>
        <w:rPr>
          <w:rFonts w:ascii="Times New Roman" w:eastAsiaTheme="minorEastAsia" w:hAnsi="Times New Roman"/>
          <w:kern w:val="0"/>
          <w:sz w:val="21"/>
          <w:szCs w:val="21"/>
        </w:rPr>
        <w:t xml:space="preserve">3.3 </w:t>
      </w:r>
      <w:r>
        <w:rPr>
          <w:rFonts w:ascii="Times New Roman" w:eastAsiaTheme="minorEastAsia" w:hAnsi="Times New Roman"/>
          <w:kern w:val="0"/>
          <w:sz w:val="21"/>
          <w:szCs w:val="21"/>
        </w:rPr>
        <w:t>过去三年基金的利润分配情况</w:t>
      </w:r>
      <w:bookmarkEnd w:id="21"/>
      <w:bookmarkEnd w:id="22"/>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本基金过去三年未进行利润分配。</w:t>
      </w:r>
    </w:p>
    <w:p w:rsidR="009B581C" w:rsidRDefault="00404602" w:rsidP="006A74CC">
      <w:pPr>
        <w:pStyle w:val="1"/>
        <w:keepNext/>
        <w:keepLines/>
        <w:widowControl w:val="0"/>
        <w:spacing w:beforeLines="100" w:afterLines="100" w:line="360" w:lineRule="auto"/>
        <w:jc w:val="center"/>
        <w:rPr>
          <w:rFonts w:eastAsiaTheme="minorEastAsia"/>
          <w:b/>
          <w:bCs/>
          <w:sz w:val="21"/>
          <w:szCs w:val="21"/>
          <w:lang w:val="en-US"/>
        </w:rPr>
      </w:pPr>
      <w:bookmarkStart w:id="23" w:name="_Toc361324854"/>
      <w:bookmarkStart w:id="24" w:name="_Toc225498254"/>
      <w:r>
        <w:rPr>
          <w:rFonts w:eastAsiaTheme="minorEastAsia"/>
          <w:b/>
          <w:bCs/>
          <w:sz w:val="21"/>
          <w:szCs w:val="21"/>
          <w:lang w:val="en-US"/>
        </w:rPr>
        <w:t xml:space="preserve">§4  </w:t>
      </w:r>
      <w:r>
        <w:rPr>
          <w:rFonts w:eastAsiaTheme="minorEastAsia"/>
          <w:b/>
          <w:bCs/>
          <w:sz w:val="21"/>
          <w:szCs w:val="21"/>
          <w:lang w:val="en-US"/>
        </w:rPr>
        <w:t>管理人报告</w:t>
      </w:r>
      <w:bookmarkEnd w:id="23"/>
      <w:bookmarkEnd w:id="24"/>
    </w:p>
    <w:p w:rsidR="009B581C" w:rsidRDefault="00404602">
      <w:pPr>
        <w:spacing w:line="360" w:lineRule="auto"/>
        <w:rPr>
          <w:rFonts w:eastAsiaTheme="minorEastAsia"/>
          <w:b/>
          <w:bCs/>
          <w:kern w:val="0"/>
          <w:szCs w:val="21"/>
        </w:rPr>
      </w:pPr>
      <w:bookmarkStart w:id="25" w:name="_Toc361324855"/>
      <w:r>
        <w:rPr>
          <w:rFonts w:eastAsiaTheme="minorEastAsia"/>
          <w:b/>
          <w:bCs/>
          <w:kern w:val="0"/>
          <w:szCs w:val="21"/>
        </w:rPr>
        <w:t xml:space="preserve">4.1 </w:t>
      </w:r>
      <w:r>
        <w:rPr>
          <w:rFonts w:eastAsiaTheme="minorEastAsia"/>
          <w:b/>
          <w:bCs/>
          <w:kern w:val="0"/>
          <w:szCs w:val="21"/>
        </w:rPr>
        <w:t>基金管理人及基金经理情况</w:t>
      </w:r>
      <w:bookmarkEnd w:id="25"/>
    </w:p>
    <w:p w:rsidR="009B581C" w:rsidRDefault="00404602">
      <w:pPr>
        <w:autoSpaceDE w:val="0"/>
        <w:autoSpaceDN w:val="0"/>
        <w:adjustRightInd w:val="0"/>
        <w:spacing w:line="360" w:lineRule="auto"/>
        <w:jc w:val="left"/>
        <w:rPr>
          <w:rFonts w:eastAsiaTheme="minorEastAsia"/>
          <w:b/>
          <w:color w:val="000000"/>
          <w:kern w:val="0"/>
          <w:szCs w:val="21"/>
        </w:rPr>
      </w:pPr>
      <w:r>
        <w:rPr>
          <w:rFonts w:eastAsiaTheme="minorEastAsia"/>
          <w:b/>
          <w:color w:val="000000"/>
          <w:kern w:val="0"/>
          <w:szCs w:val="21"/>
        </w:rPr>
        <w:t xml:space="preserve">4.1.1 </w:t>
      </w:r>
      <w:r>
        <w:rPr>
          <w:rFonts w:eastAsiaTheme="minorEastAsia"/>
          <w:b/>
          <w:color w:val="000000"/>
          <w:kern w:val="0"/>
          <w:szCs w:val="21"/>
        </w:rPr>
        <w:t>基金管理人及其管理基金的经验</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本基金管理人经中国证监会证监基金字</w:t>
      </w:r>
      <w:r>
        <w:rPr>
          <w:rFonts w:eastAsiaTheme="minorEastAsia"/>
          <w:color w:val="000000"/>
          <w:szCs w:val="21"/>
        </w:rPr>
        <w:t>[2003]91</w:t>
      </w:r>
      <w:r>
        <w:rPr>
          <w:rFonts w:eastAsiaTheme="minorEastAsia"/>
          <w:color w:val="000000"/>
          <w:szCs w:val="21"/>
        </w:rPr>
        <w:t>号文批准，于</w:t>
      </w:r>
      <w:r>
        <w:rPr>
          <w:rFonts w:eastAsiaTheme="minorEastAsia"/>
          <w:color w:val="000000"/>
          <w:szCs w:val="21"/>
        </w:rPr>
        <w:t>2003</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5</w:t>
      </w:r>
      <w:r>
        <w:rPr>
          <w:rFonts w:eastAsiaTheme="minorEastAsia"/>
          <w:color w:val="000000"/>
          <w:szCs w:val="21"/>
        </w:rPr>
        <w:t>日成立，注册资本</w:t>
      </w:r>
      <w:r>
        <w:rPr>
          <w:rFonts w:eastAsiaTheme="minorEastAsia"/>
          <w:color w:val="000000"/>
          <w:szCs w:val="21"/>
        </w:rPr>
        <w:t>1.2688</w:t>
      </w:r>
      <w:r>
        <w:rPr>
          <w:rFonts w:eastAsiaTheme="minorEastAsia"/>
          <w:color w:val="000000"/>
          <w:szCs w:val="21"/>
        </w:rPr>
        <w:t>亿元人民币。公司的股东为广发证券股份有限公司、烽火通信科技股份有限公司、深圳市前海香江金融控股集团有限公司、康美药业股份有限公司和广州科技金融创新投资控股有限公司。公司拥有公募基金管理、特定客户资产管理、社保基金境内投资管理人、基本养老保险基金证券投资管理机构、受托管理保险资金投资管理人、保险保障基金委托资产管理投资管理人、合格境内机构投资者境外证券投资管理（</w:t>
      </w:r>
      <w:r>
        <w:rPr>
          <w:rFonts w:eastAsiaTheme="minorEastAsia"/>
          <w:color w:val="000000"/>
          <w:szCs w:val="21"/>
        </w:rPr>
        <w:t>QDII</w:t>
      </w:r>
      <w:r>
        <w:rPr>
          <w:rFonts w:eastAsiaTheme="minorEastAsia"/>
          <w:color w:val="000000"/>
          <w:szCs w:val="21"/>
        </w:rPr>
        <w:t>）等业务资格。</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本基金管理人在董事会</w:t>
      </w:r>
      <w:r>
        <w:rPr>
          <w:rFonts w:eastAsiaTheme="minorEastAsia"/>
          <w:color w:val="000000"/>
          <w:szCs w:val="21"/>
        </w:rPr>
        <w:t>下设合规及风险管理委员会、薪酬与资格审查委员会、战略规划委员会三个专业委员会。公司下设投资决策委员会、风险控制委员会和</w:t>
      </w:r>
      <w:r>
        <w:rPr>
          <w:rFonts w:eastAsiaTheme="minorEastAsia"/>
          <w:color w:val="000000"/>
          <w:szCs w:val="21"/>
        </w:rPr>
        <w:t>31</w:t>
      </w:r>
      <w:r>
        <w:rPr>
          <w:rFonts w:eastAsiaTheme="minorEastAsia"/>
          <w:color w:val="000000"/>
          <w:szCs w:val="21"/>
        </w:rPr>
        <w:t>个部门：宏观策略部、价值投资部、策略投资部、成长投资部、专户投资部、固定收益管理总部、指数投资部、量化投资部、资产配置部、国际业务部、研究发展部、产品设计部、营销管理部、机构理财部、渠道管理总部、养老金与战略业务部、北京分公司、广州分公司、上海分公司、互联网金融部、中央交易部、基金会计部、注册登记部、信息技术部、合规稽核部、金融工程与风险管理部、规划发展部、人力资源部、财务部、综合管理部</w:t>
      </w:r>
      <w:r>
        <w:rPr>
          <w:rFonts w:eastAsiaTheme="minorEastAsia"/>
          <w:color w:val="000000"/>
          <w:szCs w:val="21"/>
        </w:rPr>
        <w:t>、北京办事处。此外，还出资设立了瑞元资本管理有限公司、广发国际资产管理有限公司（香港子公司），参股了证通股份有限公司。</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截至</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日，本基金管理人管理一百八十一只开放式基金，管理资产规模为</w:t>
      </w:r>
      <w:r>
        <w:rPr>
          <w:rFonts w:eastAsiaTheme="minorEastAsia"/>
          <w:color w:val="000000"/>
          <w:szCs w:val="21"/>
        </w:rPr>
        <w:t>4684</w:t>
      </w:r>
      <w:r>
        <w:rPr>
          <w:rFonts w:eastAsiaTheme="minorEastAsia"/>
          <w:color w:val="000000"/>
          <w:szCs w:val="21"/>
        </w:rPr>
        <w:t>亿元。同时，公司还管理着多个特定客户资产管理投资组合、社保基金投资组合和养老基金投资组合。</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color w:val="000000"/>
          <w:kern w:val="0"/>
          <w:szCs w:val="21"/>
        </w:rPr>
        <w:t xml:space="preserve">4.1.2 </w:t>
      </w:r>
      <w:r>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1500"/>
        <w:gridCol w:w="1190"/>
        <w:gridCol w:w="1260"/>
        <w:gridCol w:w="1260"/>
        <w:gridCol w:w="3240"/>
      </w:tblGrid>
      <w:tr w:rsidR="009B581C">
        <w:tc>
          <w:tcPr>
            <w:tcW w:w="1090" w:type="dxa"/>
            <w:vMerge w:val="restart"/>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姓名</w:t>
            </w:r>
          </w:p>
        </w:tc>
        <w:tc>
          <w:tcPr>
            <w:tcW w:w="1500" w:type="dxa"/>
            <w:vMerge w:val="restart"/>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职务</w:t>
            </w:r>
          </w:p>
        </w:tc>
        <w:tc>
          <w:tcPr>
            <w:tcW w:w="2450" w:type="dxa"/>
            <w:gridSpan w:val="2"/>
          </w:tcPr>
          <w:p w:rsidR="009B581C" w:rsidRDefault="00404602">
            <w:pPr>
              <w:spacing w:line="360" w:lineRule="auto"/>
              <w:jc w:val="center"/>
              <w:rPr>
                <w:rFonts w:eastAsiaTheme="minorEastAsia"/>
                <w:color w:val="000000"/>
                <w:szCs w:val="21"/>
              </w:rPr>
            </w:pPr>
            <w:r>
              <w:rPr>
                <w:rFonts w:eastAsiaTheme="minorEastAsia"/>
                <w:color w:val="000000"/>
                <w:szCs w:val="21"/>
              </w:rPr>
              <w:t>任本基金的基金经理（助理）期限</w:t>
            </w:r>
          </w:p>
        </w:tc>
        <w:tc>
          <w:tcPr>
            <w:tcW w:w="1260" w:type="dxa"/>
            <w:vMerge w:val="restart"/>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证券从业年限</w:t>
            </w:r>
          </w:p>
        </w:tc>
        <w:tc>
          <w:tcPr>
            <w:tcW w:w="3240" w:type="dxa"/>
            <w:vMerge w:val="restart"/>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说明</w:t>
            </w:r>
          </w:p>
        </w:tc>
      </w:tr>
      <w:tr w:rsidR="009B581C">
        <w:tc>
          <w:tcPr>
            <w:tcW w:w="1090" w:type="dxa"/>
            <w:vMerge/>
            <w:vAlign w:val="center"/>
          </w:tcPr>
          <w:p w:rsidR="009B581C" w:rsidRDefault="009B581C">
            <w:pPr>
              <w:widowControl/>
              <w:spacing w:line="360" w:lineRule="auto"/>
              <w:jc w:val="left"/>
              <w:rPr>
                <w:rFonts w:eastAsiaTheme="minorEastAsia"/>
                <w:color w:val="000000"/>
                <w:szCs w:val="21"/>
              </w:rPr>
            </w:pPr>
          </w:p>
        </w:tc>
        <w:tc>
          <w:tcPr>
            <w:tcW w:w="1500" w:type="dxa"/>
            <w:vMerge/>
            <w:vAlign w:val="center"/>
          </w:tcPr>
          <w:p w:rsidR="009B581C" w:rsidRDefault="009B581C">
            <w:pPr>
              <w:widowControl/>
              <w:spacing w:line="360" w:lineRule="auto"/>
              <w:jc w:val="left"/>
              <w:rPr>
                <w:rFonts w:eastAsiaTheme="minorEastAsia"/>
                <w:color w:val="000000"/>
                <w:szCs w:val="21"/>
              </w:rPr>
            </w:pPr>
          </w:p>
        </w:tc>
        <w:tc>
          <w:tcPr>
            <w:tcW w:w="119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任职日期</w:t>
            </w:r>
          </w:p>
        </w:tc>
        <w:tc>
          <w:tcPr>
            <w:tcW w:w="126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离任日期</w:t>
            </w:r>
          </w:p>
        </w:tc>
        <w:tc>
          <w:tcPr>
            <w:tcW w:w="1260" w:type="dxa"/>
            <w:vMerge/>
            <w:vAlign w:val="center"/>
          </w:tcPr>
          <w:p w:rsidR="009B581C" w:rsidRDefault="009B581C">
            <w:pPr>
              <w:widowControl/>
              <w:spacing w:line="360" w:lineRule="auto"/>
              <w:jc w:val="left"/>
              <w:rPr>
                <w:rFonts w:eastAsiaTheme="minorEastAsia"/>
                <w:color w:val="000000"/>
                <w:szCs w:val="21"/>
              </w:rPr>
            </w:pPr>
          </w:p>
        </w:tc>
        <w:tc>
          <w:tcPr>
            <w:tcW w:w="3240" w:type="dxa"/>
            <w:vMerge/>
            <w:vAlign w:val="center"/>
          </w:tcPr>
          <w:p w:rsidR="009B581C" w:rsidRDefault="009B581C">
            <w:pPr>
              <w:widowControl/>
              <w:spacing w:line="360" w:lineRule="auto"/>
              <w:jc w:val="left"/>
              <w:rPr>
                <w:rFonts w:eastAsiaTheme="minorEastAsia"/>
                <w:color w:val="000000"/>
                <w:szCs w:val="21"/>
              </w:rPr>
            </w:pPr>
          </w:p>
        </w:tc>
      </w:tr>
      <w:tr w:rsidR="0077068F">
        <w:tc>
          <w:tcPr>
            <w:tcW w:w="1090" w:type="dxa"/>
            <w:vAlign w:val="center"/>
          </w:tcPr>
          <w:p w:rsidR="0077068F" w:rsidRDefault="006A74CC">
            <w:pPr>
              <w:jc w:val="center"/>
            </w:pPr>
            <w:r>
              <w:rPr>
                <w:rFonts w:eastAsiaTheme="minorEastAsia"/>
                <w:color w:val="000000"/>
                <w:szCs w:val="21"/>
              </w:rPr>
              <w:t>陆志明</w:t>
            </w:r>
          </w:p>
        </w:tc>
        <w:tc>
          <w:tcPr>
            <w:tcW w:w="1500" w:type="dxa"/>
            <w:vAlign w:val="center"/>
          </w:tcPr>
          <w:p w:rsidR="0077068F" w:rsidRDefault="006A74CC">
            <w:pPr>
              <w:jc w:val="center"/>
            </w:pPr>
            <w:r>
              <w:rPr>
                <w:rFonts w:eastAsiaTheme="minorEastAsia"/>
                <w:color w:val="000000"/>
                <w:szCs w:val="21"/>
              </w:rPr>
              <w:t>本基金的基金经理；广发中证全指可选消费交易型开放式指数证券投资基金的基金经理；广发中证全指医药卫生交易型开放式指数证券投资基金的基金经理；广发中证全指信息技术交易型开放式指数证券投资基金的基金经理；广发中证全指信息技术交易型开放式指数证券投资基金发起式联接基金的基金经理；广发中证全指金融地产交易型开放式指数证券投资基金的基金经理；广发中证全指可选消费交易型开放式指数证券投资基金发起式联接基金的基金经理；广发中证全指医药卫生交易型开放式指数证券投资基金发起式联接基金的基金经理；广发中证全指能源交易型开放式指数</w:t>
            </w:r>
            <w:r>
              <w:rPr>
                <w:rFonts w:eastAsiaTheme="minorEastAsia"/>
                <w:color w:val="000000"/>
                <w:szCs w:val="21"/>
              </w:rPr>
              <w:t>证券投资基金的基金经理；广发中证全指原材料交易型开放式指数证券投资基金的基金经理；广发中证全指金融地产交易型开放式指数证券投资基金发起式联接基金的基金经理；广发中证全指工业交易型开放式指数证券投资基金的基金经理；广发中证全指工业交易型开放式指数证券投资基金发起式联接基金的基金经理；量化投资部副总经理</w:t>
            </w:r>
          </w:p>
        </w:tc>
        <w:tc>
          <w:tcPr>
            <w:tcW w:w="1190" w:type="dxa"/>
            <w:vAlign w:val="center"/>
          </w:tcPr>
          <w:p w:rsidR="0077068F" w:rsidRDefault="006A74CC">
            <w:pPr>
              <w:jc w:val="center"/>
            </w:pPr>
            <w:r>
              <w:rPr>
                <w:rFonts w:eastAsiaTheme="minorEastAsia"/>
                <w:color w:val="000000"/>
                <w:szCs w:val="21"/>
              </w:rPr>
              <w:t>2015-07-01</w:t>
            </w:r>
          </w:p>
        </w:tc>
        <w:tc>
          <w:tcPr>
            <w:tcW w:w="1260" w:type="dxa"/>
            <w:vAlign w:val="center"/>
          </w:tcPr>
          <w:p w:rsidR="0077068F" w:rsidRDefault="006A74CC">
            <w:pPr>
              <w:jc w:val="center"/>
            </w:pPr>
            <w:r>
              <w:rPr>
                <w:rFonts w:eastAsiaTheme="minorEastAsia"/>
                <w:color w:val="000000"/>
                <w:szCs w:val="21"/>
              </w:rPr>
              <w:t>-</w:t>
            </w:r>
          </w:p>
        </w:tc>
        <w:tc>
          <w:tcPr>
            <w:tcW w:w="1260" w:type="dxa"/>
            <w:vAlign w:val="center"/>
          </w:tcPr>
          <w:p w:rsidR="0077068F" w:rsidRDefault="006A74CC">
            <w:pPr>
              <w:jc w:val="center"/>
            </w:pPr>
            <w:r>
              <w:rPr>
                <w:rFonts w:eastAsiaTheme="minorEastAsia"/>
                <w:color w:val="000000"/>
                <w:szCs w:val="21"/>
              </w:rPr>
              <w:t>19</w:t>
            </w:r>
            <w:r>
              <w:rPr>
                <w:rFonts w:eastAsiaTheme="minorEastAsia"/>
                <w:color w:val="000000"/>
                <w:szCs w:val="21"/>
              </w:rPr>
              <w:t>年</w:t>
            </w:r>
          </w:p>
        </w:tc>
        <w:tc>
          <w:tcPr>
            <w:tcW w:w="3240" w:type="dxa"/>
            <w:vAlign w:val="center"/>
          </w:tcPr>
          <w:p w:rsidR="0077068F" w:rsidRDefault="006A74CC">
            <w:r>
              <w:rPr>
                <w:rFonts w:eastAsiaTheme="minorEastAsia"/>
                <w:color w:val="000000"/>
                <w:szCs w:val="21"/>
              </w:rPr>
              <w:t>陆志明先生，经济学硕士，持有中国证券投资基金业从业证书。曾任大鹏证券有限公司研究员，深圳证券信息有限公司部门总监，广发基金管理有限公司数量投资部总经理、指数投资部副总经理、广发中小板</w:t>
            </w:r>
            <w:r>
              <w:rPr>
                <w:rFonts w:eastAsiaTheme="minorEastAsia"/>
                <w:color w:val="000000"/>
                <w:szCs w:val="21"/>
              </w:rPr>
              <w:t>300</w:t>
            </w:r>
            <w:r>
              <w:rPr>
                <w:rFonts w:eastAsiaTheme="minorEastAsia"/>
                <w:color w:val="000000"/>
                <w:szCs w:val="21"/>
              </w:rPr>
              <w:t>交易型开放式指数证券投资基金基金经理（自</w:t>
            </w:r>
            <w:r>
              <w:rPr>
                <w:rFonts w:eastAsiaTheme="minorEastAsia"/>
                <w:color w:val="000000"/>
                <w:szCs w:val="21"/>
              </w:rPr>
              <w:t>2011</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w:t>
            </w:r>
            <w:r>
              <w:rPr>
                <w:rFonts w:eastAsiaTheme="minorEastAsia"/>
                <w:color w:val="000000"/>
                <w:szCs w:val="21"/>
              </w:rPr>
              <w:t>日至</w:t>
            </w:r>
            <w:r>
              <w:rPr>
                <w:rFonts w:eastAsiaTheme="minorEastAsia"/>
                <w:color w:val="000000"/>
                <w:szCs w:val="21"/>
              </w:rPr>
              <w:t>2016</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28</w:t>
            </w:r>
            <w:r>
              <w:rPr>
                <w:rFonts w:eastAsiaTheme="minorEastAsia"/>
                <w:color w:val="000000"/>
                <w:szCs w:val="21"/>
              </w:rPr>
              <w:t>日）、广发中小板</w:t>
            </w:r>
            <w:r>
              <w:rPr>
                <w:rFonts w:eastAsiaTheme="minorEastAsia"/>
                <w:color w:val="000000"/>
                <w:szCs w:val="21"/>
              </w:rPr>
              <w:t>300</w:t>
            </w:r>
            <w:r>
              <w:rPr>
                <w:rFonts w:eastAsiaTheme="minorEastAsia"/>
                <w:color w:val="000000"/>
                <w:szCs w:val="21"/>
              </w:rPr>
              <w:t>交易型开放式指数证券投资基金联接基金基金经理（自</w:t>
            </w:r>
            <w:r>
              <w:rPr>
                <w:rFonts w:eastAsiaTheme="minorEastAsia"/>
                <w:color w:val="000000"/>
                <w:szCs w:val="21"/>
              </w:rPr>
              <w:t>2011</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9</w:t>
            </w:r>
            <w:r>
              <w:rPr>
                <w:rFonts w:eastAsiaTheme="minorEastAsia"/>
                <w:color w:val="000000"/>
                <w:szCs w:val="21"/>
              </w:rPr>
              <w:t>日至</w:t>
            </w:r>
            <w:r>
              <w:rPr>
                <w:rFonts w:eastAsiaTheme="minorEastAsia"/>
                <w:color w:val="000000"/>
                <w:szCs w:val="21"/>
              </w:rPr>
              <w:t>2016</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28</w:t>
            </w:r>
            <w:r>
              <w:rPr>
                <w:rFonts w:eastAsiaTheme="minorEastAsia"/>
                <w:color w:val="000000"/>
                <w:szCs w:val="21"/>
              </w:rPr>
              <w:t>日）、广发深证</w:t>
            </w:r>
            <w:r>
              <w:rPr>
                <w:rFonts w:eastAsiaTheme="minorEastAsia"/>
                <w:color w:val="000000"/>
                <w:szCs w:val="21"/>
              </w:rPr>
              <w:t>100</w:t>
            </w:r>
            <w:r>
              <w:rPr>
                <w:rFonts w:eastAsiaTheme="minorEastAsia"/>
                <w:color w:val="000000"/>
                <w:szCs w:val="21"/>
              </w:rPr>
              <w:t>指数分级证券投资基金基金经理（自</w:t>
            </w:r>
            <w:r>
              <w:rPr>
                <w:rFonts w:eastAsiaTheme="minorEastAsia"/>
                <w:color w:val="000000"/>
                <w:szCs w:val="21"/>
              </w:rPr>
              <w:t>2012</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7</w:t>
            </w:r>
            <w:r>
              <w:rPr>
                <w:rFonts w:eastAsiaTheme="minorEastAsia"/>
                <w:color w:val="000000"/>
                <w:szCs w:val="21"/>
              </w:rPr>
              <w:t>日至</w:t>
            </w:r>
            <w:r>
              <w:rPr>
                <w:rFonts w:eastAsiaTheme="minorEastAsia"/>
                <w:color w:val="000000"/>
                <w:szCs w:val="21"/>
              </w:rPr>
              <w:t>2016</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28</w:t>
            </w:r>
            <w:r>
              <w:rPr>
                <w:rFonts w:eastAsiaTheme="minorEastAsia"/>
                <w:color w:val="000000"/>
                <w:szCs w:val="21"/>
              </w:rPr>
              <w:t>日）、广发中证百度百发策略</w:t>
            </w:r>
            <w:r>
              <w:rPr>
                <w:rFonts w:eastAsiaTheme="minorEastAsia"/>
                <w:color w:val="000000"/>
                <w:szCs w:val="21"/>
              </w:rPr>
              <w:t>100</w:t>
            </w:r>
            <w:r>
              <w:rPr>
                <w:rFonts w:eastAsiaTheme="minorEastAsia"/>
                <w:color w:val="000000"/>
                <w:szCs w:val="21"/>
              </w:rPr>
              <w:t>指数型证券投资基</w:t>
            </w:r>
            <w:r>
              <w:rPr>
                <w:rFonts w:eastAsiaTheme="minorEastAsia"/>
                <w:color w:val="000000"/>
                <w:szCs w:val="21"/>
              </w:rPr>
              <w:t>金基金经理（自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30</w:t>
            </w:r>
            <w:r>
              <w:rPr>
                <w:rFonts w:eastAsiaTheme="minorEastAsia"/>
                <w:color w:val="000000"/>
                <w:szCs w:val="21"/>
              </w:rPr>
              <w:t>日至</w:t>
            </w:r>
            <w:r>
              <w:rPr>
                <w:rFonts w:eastAsiaTheme="minorEastAsia"/>
                <w:color w:val="000000"/>
                <w:szCs w:val="21"/>
              </w:rPr>
              <w:t>2016</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28</w:t>
            </w:r>
            <w:r>
              <w:rPr>
                <w:rFonts w:eastAsiaTheme="minorEastAsia"/>
                <w:color w:val="000000"/>
                <w:szCs w:val="21"/>
              </w:rPr>
              <w:t>日）、广发中证医疗指数分级证券投资基金基金经理（自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23</w:t>
            </w:r>
            <w:r>
              <w:rPr>
                <w:rFonts w:eastAsiaTheme="minorEastAsia"/>
                <w:color w:val="000000"/>
                <w:szCs w:val="21"/>
              </w:rPr>
              <w:t>日至</w:t>
            </w:r>
            <w:r>
              <w:rPr>
                <w:rFonts w:eastAsiaTheme="minorEastAsia"/>
                <w:color w:val="000000"/>
                <w:szCs w:val="21"/>
              </w:rPr>
              <w:t>2016</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28</w:t>
            </w:r>
            <w:r>
              <w:rPr>
                <w:rFonts w:eastAsiaTheme="minorEastAsia"/>
                <w:color w:val="000000"/>
                <w:szCs w:val="21"/>
              </w:rPr>
              <w:t>日）、广发中证全指能源交易型开放式指数证券投资基金发起式联接基金基金经理（自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9</w:t>
            </w:r>
            <w:r>
              <w:rPr>
                <w:rFonts w:eastAsiaTheme="minorEastAsia"/>
                <w:color w:val="000000"/>
                <w:szCs w:val="21"/>
              </w:rPr>
              <w:t>日至</w:t>
            </w:r>
            <w:r>
              <w:rPr>
                <w:rFonts w:eastAsiaTheme="minorEastAsia"/>
                <w:color w:val="000000"/>
                <w:szCs w:val="21"/>
              </w:rPr>
              <w:t>2018</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9</w:t>
            </w:r>
            <w:r>
              <w:rPr>
                <w:rFonts w:eastAsiaTheme="minorEastAsia"/>
                <w:color w:val="000000"/>
                <w:szCs w:val="21"/>
              </w:rPr>
              <w:t>日）、广发中证全指原材料交易型开放式指数证券投资基金发起式联接基金基金经理（自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18</w:t>
            </w:r>
            <w:r>
              <w:rPr>
                <w:rFonts w:eastAsiaTheme="minorEastAsia"/>
                <w:color w:val="000000"/>
                <w:szCs w:val="21"/>
              </w:rPr>
              <w:t>日至</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20</w:t>
            </w:r>
            <w:r>
              <w:rPr>
                <w:rFonts w:eastAsiaTheme="minorEastAsia"/>
                <w:color w:val="000000"/>
                <w:szCs w:val="21"/>
              </w:rPr>
              <w:t>日）、广发中证全指主要消费交易型开放式指数证券投资基金发起式联接基金基金经理（自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18</w:t>
            </w:r>
            <w:r>
              <w:rPr>
                <w:rFonts w:eastAsiaTheme="minorEastAsia"/>
                <w:color w:val="000000"/>
                <w:szCs w:val="21"/>
              </w:rPr>
              <w:t>日至</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20</w:t>
            </w:r>
            <w:r>
              <w:rPr>
                <w:rFonts w:eastAsiaTheme="minorEastAsia"/>
                <w:color w:val="000000"/>
                <w:szCs w:val="21"/>
              </w:rPr>
              <w:t>日）。</w:t>
            </w:r>
          </w:p>
        </w:tc>
      </w:tr>
    </w:tbl>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w:t>
      </w:r>
      <w:r>
        <w:rPr>
          <w:rFonts w:eastAsiaTheme="minorEastAsia"/>
          <w:kern w:val="0"/>
          <w:szCs w:val="21"/>
        </w:rPr>
        <w:t>”</w:t>
      </w:r>
      <w:r>
        <w:rPr>
          <w:rFonts w:eastAsiaTheme="minorEastAsia"/>
          <w:kern w:val="0"/>
          <w:szCs w:val="21"/>
        </w:rPr>
        <w:t>和</w:t>
      </w:r>
      <w:r>
        <w:rPr>
          <w:rFonts w:eastAsiaTheme="minorEastAsia"/>
          <w:kern w:val="0"/>
          <w:szCs w:val="21"/>
        </w:rPr>
        <w:t>“</w:t>
      </w:r>
      <w:r>
        <w:rPr>
          <w:rFonts w:eastAsiaTheme="minorEastAsia"/>
          <w:kern w:val="0"/>
          <w:szCs w:val="21"/>
        </w:rPr>
        <w:t>离职日期</w:t>
      </w:r>
      <w:r>
        <w:rPr>
          <w:rFonts w:eastAsiaTheme="minorEastAsia"/>
          <w:kern w:val="0"/>
          <w:szCs w:val="21"/>
        </w:rPr>
        <w:t>”</w:t>
      </w:r>
      <w:r>
        <w:rPr>
          <w:rFonts w:eastAsiaTheme="minorEastAsia"/>
          <w:kern w:val="0"/>
          <w:szCs w:val="21"/>
        </w:rPr>
        <w:t>指公司公告聘任或解聘日期。</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证券从业的含义遵从行业协会《证券业从业人员资格管理办法》的相关规定。</w:t>
      </w:r>
    </w:p>
    <w:p w:rsidR="009B581C" w:rsidRDefault="00404602">
      <w:pPr>
        <w:spacing w:line="360" w:lineRule="auto"/>
        <w:rPr>
          <w:rFonts w:eastAsiaTheme="minorEastAsia"/>
          <w:b/>
          <w:bCs/>
          <w:kern w:val="0"/>
          <w:szCs w:val="21"/>
        </w:rPr>
      </w:pPr>
      <w:bookmarkStart w:id="26" w:name="_Toc361324856"/>
      <w:bookmarkStart w:id="27" w:name="_Toc225498256"/>
      <w:r>
        <w:rPr>
          <w:rFonts w:eastAsiaTheme="minorEastAsia"/>
          <w:b/>
          <w:bCs/>
          <w:kern w:val="0"/>
          <w:szCs w:val="21"/>
        </w:rPr>
        <w:t xml:space="preserve">4.2 </w:t>
      </w:r>
      <w:r>
        <w:rPr>
          <w:rFonts w:eastAsiaTheme="minorEastAsia"/>
          <w:b/>
          <w:bCs/>
          <w:kern w:val="0"/>
          <w:szCs w:val="21"/>
        </w:rPr>
        <w:t>管理人对报告期内本基金运作遵规守信情况的说明</w:t>
      </w:r>
      <w:bookmarkEnd w:id="26"/>
      <w:bookmarkEnd w:id="27"/>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报告期内，本基金管理人严格遵守《中华人民共和国证券投资基金法》及其配套法规、《广发中证全指主要消费交易型开放式指数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B581C" w:rsidRDefault="00404602">
      <w:pPr>
        <w:spacing w:line="360" w:lineRule="auto"/>
        <w:rPr>
          <w:rFonts w:eastAsiaTheme="minorEastAsia"/>
          <w:b/>
          <w:bCs/>
          <w:kern w:val="0"/>
          <w:szCs w:val="21"/>
        </w:rPr>
      </w:pPr>
      <w:bookmarkStart w:id="28" w:name="_Toc361324857"/>
      <w:bookmarkStart w:id="29" w:name="_Toc225498257"/>
      <w:r>
        <w:rPr>
          <w:rFonts w:eastAsiaTheme="minorEastAsia"/>
          <w:b/>
          <w:bCs/>
          <w:kern w:val="0"/>
          <w:szCs w:val="21"/>
        </w:rPr>
        <w:t xml:space="preserve">4.3 </w:t>
      </w:r>
      <w:r>
        <w:rPr>
          <w:rFonts w:eastAsiaTheme="minorEastAsia"/>
          <w:b/>
          <w:bCs/>
          <w:kern w:val="0"/>
          <w:szCs w:val="21"/>
        </w:rPr>
        <w:t>管理人对报告期内公平交易情况的专项说明</w:t>
      </w:r>
      <w:bookmarkEnd w:id="28"/>
      <w:bookmarkEnd w:id="29"/>
    </w:p>
    <w:p w:rsidR="009B581C" w:rsidRDefault="00404602">
      <w:pPr>
        <w:autoSpaceDE w:val="0"/>
        <w:autoSpaceDN w:val="0"/>
        <w:adjustRightInd w:val="0"/>
        <w:spacing w:line="360" w:lineRule="auto"/>
        <w:jc w:val="left"/>
        <w:rPr>
          <w:rFonts w:eastAsiaTheme="minorEastAsia"/>
          <w:b/>
          <w:color w:val="000000"/>
          <w:kern w:val="0"/>
          <w:szCs w:val="21"/>
        </w:rPr>
      </w:pPr>
      <w:r>
        <w:rPr>
          <w:rFonts w:eastAsiaTheme="minorEastAsia"/>
          <w:b/>
          <w:color w:val="000000"/>
          <w:kern w:val="0"/>
          <w:szCs w:val="21"/>
        </w:rPr>
        <w:t xml:space="preserve">4.3.1 </w:t>
      </w:r>
      <w:r>
        <w:rPr>
          <w:rFonts w:eastAsiaTheme="minorEastAsia"/>
          <w:b/>
          <w:color w:val="000000"/>
          <w:kern w:val="0"/>
          <w:szCs w:val="21"/>
        </w:rPr>
        <w:t>公平交易制度和控制方法</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公司通过建立科学、制衡的投资决策体系，加强交易分配环节的内部控制，并通过实时的行为监控与及时的分析评估，保证公平交易原则的实现。</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Cs w:val="21"/>
        </w:rPr>
        <w:t>“</w:t>
      </w:r>
      <w:r>
        <w:rPr>
          <w:rFonts w:eastAsiaTheme="minorEastAsia"/>
          <w:color w:val="000000"/>
          <w:szCs w:val="21"/>
        </w:rPr>
        <w:t>时间优先、价格优先、比例分配、综合平衡</w:t>
      </w:r>
      <w:r>
        <w:rPr>
          <w:rFonts w:eastAsiaTheme="minorEastAsia"/>
          <w:color w:val="000000"/>
          <w:szCs w:val="21"/>
        </w:rPr>
        <w:t>”</w:t>
      </w:r>
      <w:r>
        <w:rPr>
          <w:rFonts w:eastAsiaTheme="minorEastAsia"/>
          <w:color w:val="000000"/>
          <w:szCs w:val="21"/>
        </w:rPr>
        <w:t>的原则，公平分配投资指令。公司原则上禁止不同组合间的同日反</w:t>
      </w:r>
      <w:r>
        <w:rPr>
          <w:rFonts w:eastAsiaTheme="minorEastAsia"/>
          <w:color w:val="000000"/>
          <w:szCs w:val="21"/>
        </w:rPr>
        <w:t>向交易（指数型基金除外）；对于不同投资组合间的同时同向交易，公司可以启用公平交易模块，确保交易的公平。</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公司金融工程与风险管理部对非公开发行股票申购和以公司名义进行的债券一级市场申购方案和分配过程进行审核和监控</w:t>
      </w:r>
      <w:r>
        <w:rPr>
          <w:rFonts w:eastAsiaTheme="minorEastAsia"/>
          <w:color w:val="000000"/>
          <w:szCs w:val="21"/>
        </w:rPr>
        <w:t>,</w:t>
      </w:r>
      <w:r>
        <w:rPr>
          <w:rFonts w:eastAsiaTheme="minorEastAsia"/>
          <w:color w:val="000000"/>
          <w:szCs w:val="21"/>
        </w:rPr>
        <w:t>保证分配结果符合公平交易的原则；对银行间债券交易根据市场公认的第三方信息，对投资组合和交易对手之间议价交易的交易价格公允性进行审查，并由相关投资组合经理对交易价格异常情况进行合理性解释；公司开发了专门的系统对不同投资组合同日、</w:t>
      </w:r>
      <w:r>
        <w:rPr>
          <w:rFonts w:eastAsiaTheme="minorEastAsia"/>
          <w:color w:val="000000"/>
          <w:szCs w:val="21"/>
        </w:rPr>
        <w:t>3</w:t>
      </w:r>
      <w:r>
        <w:rPr>
          <w:rFonts w:eastAsiaTheme="minorEastAsia"/>
          <w:color w:val="000000"/>
          <w:szCs w:val="21"/>
        </w:rPr>
        <w:t>日内和</w:t>
      </w:r>
      <w:r>
        <w:rPr>
          <w:rFonts w:eastAsiaTheme="minorEastAsia"/>
          <w:color w:val="000000"/>
          <w:szCs w:val="21"/>
        </w:rPr>
        <w:t>5</w:t>
      </w:r>
      <w:r>
        <w:rPr>
          <w:rFonts w:eastAsiaTheme="minorEastAsia"/>
          <w:color w:val="000000"/>
          <w:szCs w:val="21"/>
        </w:rPr>
        <w:t>日内的股票同向交易和反向交易的交易时机和交易价差进行分析，发现异常情况再做进一步的调查和核实。</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color w:val="000000"/>
          <w:kern w:val="0"/>
          <w:szCs w:val="21"/>
        </w:rPr>
        <w:t xml:space="preserve">4.3.2 </w:t>
      </w:r>
      <w:r>
        <w:rPr>
          <w:rFonts w:eastAsiaTheme="minorEastAsia"/>
          <w:b/>
          <w:color w:val="000000"/>
          <w:kern w:val="0"/>
          <w:szCs w:val="21"/>
        </w:rPr>
        <w:t>公平交易制度的执行情况</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本报告期内，上述公平交易制度总体执行情况良好。通过对本年度该组合与公司其余各组合的同日、</w:t>
      </w:r>
      <w:r>
        <w:rPr>
          <w:rFonts w:eastAsiaTheme="minorEastAsia"/>
          <w:color w:val="000000"/>
          <w:szCs w:val="21"/>
        </w:rPr>
        <w:t>3</w:t>
      </w:r>
      <w:r>
        <w:rPr>
          <w:rFonts w:eastAsiaTheme="minorEastAsia"/>
          <w:color w:val="000000"/>
          <w:szCs w:val="21"/>
        </w:rPr>
        <w:t>日内和</w:t>
      </w:r>
      <w:r>
        <w:rPr>
          <w:rFonts w:eastAsiaTheme="minorEastAsia"/>
          <w:color w:val="000000"/>
          <w:szCs w:val="21"/>
        </w:rPr>
        <w:t>5</w:t>
      </w:r>
      <w:r>
        <w:rPr>
          <w:rFonts w:eastAsiaTheme="minorEastAsia"/>
          <w:color w:val="000000"/>
          <w:szCs w:val="21"/>
        </w:rPr>
        <w:t>日内的同向交易价差进行专项分析，未发现该组合与其他组合在不同的时间窗口下同向交易存在足够的样本量且差价率均值显著不趋于</w:t>
      </w:r>
      <w:r>
        <w:rPr>
          <w:rFonts w:eastAsiaTheme="minorEastAsia"/>
          <w:color w:val="000000"/>
          <w:szCs w:val="21"/>
        </w:rPr>
        <w:t>0</w:t>
      </w:r>
      <w:r>
        <w:rPr>
          <w:rFonts w:eastAsiaTheme="minorEastAsia"/>
          <w:color w:val="000000"/>
          <w:szCs w:val="21"/>
        </w:rPr>
        <w:t>的情况，表明报告期内该组合未发生可能导致不公平交易和利益输送的异常情况。</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color w:val="000000"/>
          <w:kern w:val="0"/>
          <w:szCs w:val="21"/>
        </w:rPr>
        <w:t xml:space="preserve">4.3.3 </w:t>
      </w:r>
      <w:r>
        <w:rPr>
          <w:rFonts w:eastAsiaTheme="minorEastAsia"/>
          <w:b/>
          <w:color w:val="000000"/>
          <w:kern w:val="0"/>
          <w:szCs w:val="21"/>
        </w:rPr>
        <w:t>异常交易行为的专项说明</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本公司原则上禁止不同投资组合之间（完全按照有关指数的构成比例进行证券投资的投资组合除外）或同一投资组合在同一交易日内</w:t>
      </w:r>
      <w:r>
        <w:rPr>
          <w:rFonts w:eastAsiaTheme="minorEastAsia"/>
          <w:color w:val="000000"/>
          <w:szCs w:val="21"/>
        </w:rPr>
        <w:t>进行反向交易。如果因应对大额赎回等特殊情况需要进行反向交易的，则需经公司领导严格审批并留痕备查。</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本投资组合为完全按照有关指数的构成比例进行证券投资的投资组合。本报告期内，本投资组合与本公司管理的其他投资组合发生过同日反向交易的情况，但成交较少的单边交易量不超过该证券当日成交量的</w:t>
      </w:r>
      <w:r>
        <w:rPr>
          <w:rFonts w:eastAsiaTheme="minorEastAsia"/>
          <w:color w:val="000000"/>
          <w:szCs w:val="21"/>
        </w:rPr>
        <w:t>5%</w:t>
      </w:r>
      <w:r>
        <w:rPr>
          <w:rFonts w:eastAsiaTheme="minorEastAsia"/>
          <w:color w:val="000000"/>
          <w:szCs w:val="21"/>
        </w:rPr>
        <w:t>。这些交易不存在任何利益输送的嫌疑。</w:t>
      </w:r>
    </w:p>
    <w:p w:rsidR="009B581C" w:rsidRDefault="00404602">
      <w:pPr>
        <w:spacing w:line="360" w:lineRule="auto"/>
        <w:rPr>
          <w:rFonts w:eastAsiaTheme="minorEastAsia"/>
          <w:b/>
          <w:bCs/>
          <w:kern w:val="0"/>
          <w:szCs w:val="21"/>
        </w:rPr>
      </w:pPr>
      <w:bookmarkStart w:id="30" w:name="_Toc225498258"/>
      <w:bookmarkStart w:id="31" w:name="_Toc361324858"/>
      <w:r>
        <w:rPr>
          <w:rFonts w:eastAsiaTheme="minorEastAsia"/>
          <w:b/>
          <w:bCs/>
          <w:kern w:val="0"/>
          <w:szCs w:val="21"/>
        </w:rPr>
        <w:t xml:space="preserve">4.4 </w:t>
      </w:r>
      <w:r>
        <w:rPr>
          <w:rFonts w:eastAsiaTheme="minorEastAsia"/>
          <w:b/>
          <w:bCs/>
          <w:kern w:val="0"/>
          <w:szCs w:val="21"/>
        </w:rPr>
        <w:t>管理人对报告期内基金的投资策略和业绩表现的说明</w:t>
      </w:r>
      <w:bookmarkEnd w:id="30"/>
      <w:bookmarkEnd w:id="31"/>
    </w:p>
    <w:p w:rsidR="009B581C" w:rsidRDefault="00404602">
      <w:pPr>
        <w:spacing w:line="360" w:lineRule="auto"/>
        <w:rPr>
          <w:rFonts w:eastAsiaTheme="minorEastAsia"/>
          <w:b/>
          <w:szCs w:val="21"/>
        </w:rPr>
      </w:pPr>
      <w:r>
        <w:rPr>
          <w:rFonts w:eastAsiaTheme="minorEastAsia"/>
          <w:b/>
          <w:szCs w:val="21"/>
        </w:rPr>
        <w:t>4.4.1</w:t>
      </w:r>
      <w:r>
        <w:rPr>
          <w:rFonts w:eastAsiaTheme="minorEastAsia"/>
          <w:b/>
          <w:szCs w:val="21"/>
        </w:rPr>
        <w:t>报告期内基金投资策略和运作分析</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作为</w:t>
      </w:r>
      <w:r>
        <w:rPr>
          <w:rFonts w:eastAsiaTheme="minorEastAsia"/>
          <w:color w:val="000000"/>
          <w:szCs w:val="21"/>
        </w:rPr>
        <w:t>ETF</w:t>
      </w:r>
      <w:r>
        <w:rPr>
          <w:rFonts w:eastAsiaTheme="minorEastAsia"/>
          <w:color w:val="000000"/>
          <w:szCs w:val="21"/>
        </w:rPr>
        <w:t>基金，本基金秉承指数化被动投资策略，积极应对成份股调整、基金申购赎回等因素对指数跟</w:t>
      </w:r>
      <w:r>
        <w:rPr>
          <w:rFonts w:eastAsiaTheme="minorEastAsia"/>
          <w:color w:val="000000"/>
          <w:szCs w:val="21"/>
        </w:rPr>
        <w:t>踪效果带来的冲击，进一步降低基金的跟踪误差。报告期内，本基金交易和申购赎回正常，运作过程中未发生风险事件。</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2018</w:t>
      </w:r>
      <w:r>
        <w:rPr>
          <w:rFonts w:eastAsiaTheme="minorEastAsia"/>
          <w:color w:val="000000"/>
          <w:szCs w:val="21"/>
        </w:rPr>
        <w:t>年，受中国经济去杠杆、中美贸易问题、美元加息、中国经济下行压力增大以及企业质押平仓等问题的影响，</w:t>
      </w:r>
      <w:r>
        <w:rPr>
          <w:rFonts w:eastAsiaTheme="minorEastAsia"/>
          <w:color w:val="000000"/>
          <w:szCs w:val="21"/>
        </w:rPr>
        <w:t>A</w:t>
      </w:r>
      <w:r>
        <w:rPr>
          <w:rFonts w:eastAsiaTheme="minorEastAsia"/>
          <w:color w:val="000000"/>
          <w:szCs w:val="21"/>
        </w:rPr>
        <w:t>股市场大幅度调整。管理层出台了一系列的稳经济政策，对于</w:t>
      </w:r>
      <w:r>
        <w:rPr>
          <w:rFonts w:eastAsiaTheme="minorEastAsia"/>
          <w:color w:val="000000"/>
          <w:szCs w:val="21"/>
        </w:rPr>
        <w:t>A</w:t>
      </w:r>
      <w:r>
        <w:rPr>
          <w:rFonts w:eastAsiaTheme="minorEastAsia"/>
          <w:color w:val="000000"/>
          <w:szCs w:val="21"/>
        </w:rPr>
        <w:t>股也出台了相关利好政策，地方政府出台资金排解上市企业质押问题，允许保险资金设立专项资金化解质押流动性问题等。另外，政府一再强调了民营经济在整体经济作用中的重要性。众多政策的密集出台，有利于</w:t>
      </w:r>
      <w:r>
        <w:rPr>
          <w:rFonts w:eastAsiaTheme="minorEastAsia"/>
          <w:color w:val="000000"/>
          <w:szCs w:val="21"/>
        </w:rPr>
        <w:t>A</w:t>
      </w:r>
      <w:r>
        <w:rPr>
          <w:rFonts w:eastAsiaTheme="minorEastAsia"/>
          <w:color w:val="000000"/>
          <w:szCs w:val="21"/>
        </w:rPr>
        <w:t>股市场底部区域的夯实。</w:t>
      </w:r>
      <w:r>
        <w:rPr>
          <w:rFonts w:eastAsiaTheme="minorEastAsia"/>
          <w:color w:val="000000"/>
          <w:szCs w:val="21"/>
        </w:rPr>
        <w:t>2018</w:t>
      </w:r>
      <w:r>
        <w:rPr>
          <w:rFonts w:eastAsiaTheme="minorEastAsia"/>
          <w:color w:val="000000"/>
          <w:szCs w:val="21"/>
        </w:rPr>
        <w:t>年上证综指全年下跌</w:t>
      </w:r>
      <w:r>
        <w:rPr>
          <w:rFonts w:eastAsiaTheme="minorEastAsia"/>
          <w:color w:val="000000"/>
          <w:szCs w:val="21"/>
        </w:rPr>
        <w:t>24.59%</w:t>
      </w:r>
      <w:r>
        <w:rPr>
          <w:rFonts w:eastAsiaTheme="minorEastAsia"/>
          <w:color w:val="000000"/>
          <w:szCs w:val="21"/>
        </w:rPr>
        <w:t>，深证成指全年下跌</w:t>
      </w:r>
      <w:r>
        <w:rPr>
          <w:rFonts w:eastAsiaTheme="minorEastAsia"/>
          <w:color w:val="000000"/>
          <w:szCs w:val="21"/>
        </w:rPr>
        <w:t>34.42%</w:t>
      </w:r>
      <w:r>
        <w:rPr>
          <w:rFonts w:eastAsiaTheme="minorEastAsia"/>
          <w:color w:val="000000"/>
          <w:szCs w:val="21"/>
        </w:rPr>
        <w:t>，创业板指下跌</w:t>
      </w:r>
      <w:r>
        <w:rPr>
          <w:rFonts w:eastAsiaTheme="minorEastAsia"/>
          <w:color w:val="000000"/>
          <w:szCs w:val="21"/>
        </w:rPr>
        <w:t>28.65%</w:t>
      </w:r>
      <w:r>
        <w:rPr>
          <w:rFonts w:eastAsiaTheme="minorEastAsia"/>
          <w:color w:val="000000"/>
          <w:szCs w:val="21"/>
        </w:rPr>
        <w:t>，中小板指下跌</w:t>
      </w:r>
      <w:r>
        <w:rPr>
          <w:rFonts w:eastAsiaTheme="minorEastAsia"/>
          <w:color w:val="000000"/>
          <w:szCs w:val="21"/>
        </w:rPr>
        <w:t>37.75%</w:t>
      </w:r>
      <w:r>
        <w:rPr>
          <w:rFonts w:eastAsiaTheme="minorEastAsia"/>
          <w:color w:val="000000"/>
          <w:szCs w:val="21"/>
        </w:rPr>
        <w:t>，而中证全指主要消费指数下跌</w:t>
      </w:r>
      <w:r>
        <w:rPr>
          <w:rFonts w:eastAsiaTheme="minorEastAsia"/>
          <w:color w:val="000000"/>
          <w:szCs w:val="21"/>
        </w:rPr>
        <w:t>21.82%</w:t>
      </w:r>
      <w:r>
        <w:rPr>
          <w:rFonts w:eastAsiaTheme="minorEastAsia"/>
          <w:color w:val="000000"/>
          <w:szCs w:val="21"/>
        </w:rPr>
        <w:t>，跌幅相对较小，这是由于全指主要消费指数的成份股大部分是食品饮料与农林牧渔等与居民生活密切相关的行业，在熊市中表现出很强的抗跌属性。</w:t>
      </w:r>
    </w:p>
    <w:p w:rsidR="009B581C" w:rsidRDefault="00404602" w:rsidP="006A74CC">
      <w:pPr>
        <w:autoSpaceDE w:val="0"/>
        <w:autoSpaceDN w:val="0"/>
        <w:adjustRightInd w:val="0"/>
        <w:spacing w:beforeLines="100" w:line="360" w:lineRule="auto"/>
        <w:jc w:val="left"/>
        <w:rPr>
          <w:rFonts w:eastAsiaTheme="minorEastAsia"/>
          <w:b/>
          <w:szCs w:val="21"/>
        </w:rPr>
      </w:pPr>
      <w:r>
        <w:rPr>
          <w:rFonts w:eastAsiaTheme="minorEastAsia"/>
          <w:b/>
          <w:szCs w:val="21"/>
        </w:rPr>
        <w:t>4.4.2</w:t>
      </w:r>
      <w:r>
        <w:rPr>
          <w:rFonts w:eastAsiaTheme="minorEastAsia"/>
          <w:b/>
          <w:color w:val="000000"/>
          <w:kern w:val="0"/>
          <w:szCs w:val="21"/>
        </w:rPr>
        <w:t>报告</w:t>
      </w:r>
      <w:r>
        <w:rPr>
          <w:rFonts w:eastAsiaTheme="minorEastAsia"/>
          <w:b/>
          <w:szCs w:val="21"/>
        </w:rPr>
        <w:t>期内基金的业绩表现</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本报告期内，本基金净值增长率为</w:t>
      </w:r>
      <w:r>
        <w:rPr>
          <w:rFonts w:eastAsiaTheme="minorEastAsia"/>
          <w:color w:val="000000"/>
          <w:szCs w:val="21"/>
        </w:rPr>
        <w:t>-23.16%</w:t>
      </w:r>
      <w:r>
        <w:rPr>
          <w:rFonts w:eastAsiaTheme="minorEastAsia"/>
          <w:color w:val="000000"/>
          <w:szCs w:val="21"/>
        </w:rPr>
        <w:t>，同期业绩基准收益率为</w:t>
      </w:r>
      <w:r>
        <w:rPr>
          <w:rFonts w:eastAsiaTheme="minorEastAsia"/>
          <w:color w:val="000000"/>
          <w:szCs w:val="21"/>
        </w:rPr>
        <w:t>-21.82%</w:t>
      </w:r>
      <w:r>
        <w:rPr>
          <w:rFonts w:eastAsiaTheme="minorEastAsia"/>
          <w:color w:val="000000"/>
          <w:szCs w:val="21"/>
        </w:rPr>
        <w:t>。</w:t>
      </w:r>
    </w:p>
    <w:p w:rsidR="009B581C" w:rsidRDefault="00404602">
      <w:pPr>
        <w:spacing w:line="360" w:lineRule="auto"/>
        <w:rPr>
          <w:rFonts w:eastAsiaTheme="minorEastAsia"/>
          <w:b/>
          <w:bCs/>
          <w:kern w:val="0"/>
          <w:szCs w:val="21"/>
        </w:rPr>
      </w:pPr>
      <w:bookmarkStart w:id="32" w:name="_Toc225498259"/>
      <w:bookmarkStart w:id="33" w:name="_Toc361324859"/>
      <w:r>
        <w:rPr>
          <w:rFonts w:eastAsiaTheme="minorEastAsia"/>
          <w:b/>
          <w:bCs/>
          <w:kern w:val="0"/>
          <w:szCs w:val="21"/>
        </w:rPr>
        <w:t xml:space="preserve">4.5 </w:t>
      </w:r>
      <w:r>
        <w:rPr>
          <w:rFonts w:eastAsiaTheme="minorEastAsia"/>
          <w:b/>
          <w:bCs/>
          <w:kern w:val="0"/>
          <w:szCs w:val="21"/>
        </w:rPr>
        <w:t>管理人对宏观经济、证券市场及行业走势的简要展望</w:t>
      </w:r>
      <w:bookmarkEnd w:id="32"/>
      <w:bookmarkEnd w:id="33"/>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预计</w:t>
      </w:r>
      <w:r>
        <w:rPr>
          <w:rFonts w:eastAsiaTheme="minorEastAsia"/>
          <w:color w:val="000000"/>
          <w:szCs w:val="21"/>
        </w:rPr>
        <w:t>2019</w:t>
      </w:r>
      <w:r>
        <w:rPr>
          <w:rFonts w:eastAsiaTheme="minorEastAsia"/>
          <w:color w:val="000000"/>
          <w:szCs w:val="21"/>
        </w:rPr>
        <w:t>年，随着财政刺激效果的弱化，美国经济将走弱，这有利于中美贸易的缓和。另外随着国内稳基建、适度减税增加企业活力等政策的推进，国内经济有望站稳。目前</w:t>
      </w:r>
      <w:r>
        <w:rPr>
          <w:rFonts w:eastAsiaTheme="minorEastAsia"/>
          <w:color w:val="000000"/>
          <w:szCs w:val="21"/>
        </w:rPr>
        <w:t>A</w:t>
      </w:r>
      <w:r>
        <w:rPr>
          <w:rFonts w:eastAsiaTheme="minorEastAsia"/>
          <w:color w:val="000000"/>
          <w:szCs w:val="21"/>
        </w:rPr>
        <w:t>股的估值水平合理偏低，无论从破净的公司数量、公司的业绩增长、增持与回购的企业数量上进行判断，</w:t>
      </w:r>
      <w:r>
        <w:rPr>
          <w:rFonts w:eastAsiaTheme="minorEastAsia"/>
          <w:color w:val="000000"/>
          <w:szCs w:val="21"/>
        </w:rPr>
        <w:t>A</w:t>
      </w:r>
      <w:r>
        <w:rPr>
          <w:rFonts w:eastAsiaTheme="minorEastAsia"/>
          <w:color w:val="000000"/>
          <w:szCs w:val="21"/>
        </w:rPr>
        <w:t>股是不错的长期投资标的之一。从国家经济发展的角度看，随着国内房地产的调控与劳动力成本提高的影响，投资与出口在我国经济增长的作用逐步减弱。经济增长方式逐步从投资驱动转向消费驱动，这是大势所趋，而随着居民收入的提高，消费升级是不可逆转的。预计</w:t>
      </w:r>
      <w:r>
        <w:rPr>
          <w:rFonts w:eastAsiaTheme="minorEastAsia"/>
          <w:color w:val="000000"/>
          <w:szCs w:val="21"/>
        </w:rPr>
        <w:t>2019</w:t>
      </w:r>
      <w:r>
        <w:rPr>
          <w:rFonts w:eastAsiaTheme="minorEastAsia"/>
          <w:color w:val="000000"/>
          <w:szCs w:val="21"/>
        </w:rPr>
        <w:t>年，随着国家减税降费政策的实施，居民的可支配收入将有所提高，有利于提高居民在消费方面的支出，消费行业企业的盈利有望进一步增长。</w:t>
      </w:r>
    </w:p>
    <w:p w:rsidR="009B581C" w:rsidRDefault="00404602">
      <w:pPr>
        <w:spacing w:line="360" w:lineRule="auto"/>
        <w:rPr>
          <w:rFonts w:eastAsiaTheme="minorEastAsia"/>
          <w:b/>
          <w:bCs/>
          <w:kern w:val="0"/>
          <w:szCs w:val="21"/>
        </w:rPr>
      </w:pPr>
      <w:bookmarkStart w:id="34" w:name="_Toc361324861"/>
      <w:bookmarkStart w:id="35" w:name="_Toc225570083"/>
      <w:bookmarkStart w:id="36" w:name="_Toc247959457"/>
      <w:r>
        <w:rPr>
          <w:rFonts w:eastAsiaTheme="minorEastAsia"/>
          <w:b/>
          <w:bCs/>
          <w:kern w:val="0"/>
          <w:szCs w:val="21"/>
        </w:rPr>
        <w:t xml:space="preserve">4.6 </w:t>
      </w:r>
      <w:r>
        <w:rPr>
          <w:rFonts w:eastAsiaTheme="minorEastAsia"/>
          <w:b/>
          <w:bCs/>
          <w:kern w:val="0"/>
          <w:szCs w:val="21"/>
        </w:rPr>
        <w:t>管理人对报告期内基金估值程序等事项的说明</w:t>
      </w:r>
      <w:bookmarkEnd w:id="34"/>
      <w:bookmarkEnd w:id="35"/>
      <w:bookmarkEnd w:id="36"/>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公司设有估值委员会，按照相关法律法规和证监会的相关规定，负责制定旗下基金投资品种的估值原则和估值程序，并选取适当的估值方法，经公司管理层批准后方可实施。估值委员会的成员包括：公司分管投研、估值的公司领导、督察长、各投资部门负责人、研究发展部负责人、合规稽核部负责人、金融工程与风险管理部负责人和基金会计部负责人。估值委员会定期对估值政策和程序进行评价，在发生了影响估值政策和程序的有效性及适用性的情况后及时修订估值方法，以</w:t>
      </w:r>
      <w:r>
        <w:rPr>
          <w:rFonts w:eastAsiaTheme="minorEastAsia"/>
          <w:color w:val="000000"/>
          <w:szCs w:val="21"/>
        </w:rPr>
        <w:t>保证其持续适用。基金日常估值由基金会计部具体执行，并确保和托管行核对一致。投资研究人员积极关注市场变化、证券发行机构重大事件等可能对估值产生重大影响的因素，向估值委员会提出估值建议，确保估值的公允性。合规稽核部负责定期对基金估值程序和方法进行核查，确保估值委员会的各项决策得以有效执行。以上所有相关人员具备较高的专业能力和丰富的行业从业经验。为保证基金估值的客观独立，基金经理不参与估值的具体流程，但若存在对相关投资品种估值有失公允的情况，可向估值委员会提出意见和建议。各方不存在任何重大利益冲突，一切以维护基金</w:t>
      </w:r>
      <w:r>
        <w:rPr>
          <w:rFonts w:eastAsiaTheme="minorEastAsia"/>
          <w:color w:val="000000"/>
          <w:szCs w:val="21"/>
        </w:rPr>
        <w:t>持有人利益为准则。</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本基金管理人已与中央国债登记结算有限责任公司、中证指数有限公司签署服务协议，由其按合同约定提供相关债券品种的估值数据。</w:t>
      </w:r>
    </w:p>
    <w:p w:rsidR="009B581C" w:rsidRDefault="00404602">
      <w:pPr>
        <w:spacing w:line="360" w:lineRule="auto"/>
        <w:rPr>
          <w:rFonts w:eastAsiaTheme="minorEastAsia"/>
          <w:b/>
          <w:bCs/>
          <w:kern w:val="0"/>
          <w:szCs w:val="21"/>
        </w:rPr>
      </w:pPr>
      <w:bookmarkStart w:id="37" w:name="_Toc247959458"/>
      <w:bookmarkStart w:id="38" w:name="_Toc361324862"/>
      <w:bookmarkStart w:id="39" w:name="_Toc225570084"/>
      <w:r>
        <w:rPr>
          <w:rFonts w:eastAsiaTheme="minorEastAsia"/>
          <w:b/>
          <w:bCs/>
          <w:kern w:val="0"/>
          <w:szCs w:val="21"/>
        </w:rPr>
        <w:t xml:space="preserve">4.7 </w:t>
      </w:r>
      <w:r>
        <w:rPr>
          <w:rFonts w:eastAsiaTheme="minorEastAsia"/>
          <w:b/>
          <w:bCs/>
          <w:kern w:val="0"/>
          <w:szCs w:val="21"/>
        </w:rPr>
        <w:t>管理人对报告期内基金利润分配情况的说明</w:t>
      </w:r>
      <w:bookmarkEnd w:id="37"/>
      <w:bookmarkEnd w:id="38"/>
      <w:bookmarkEnd w:id="39"/>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根据本基金合同中</w:t>
      </w:r>
      <w:r>
        <w:rPr>
          <w:rFonts w:eastAsiaTheme="minorEastAsia"/>
          <w:color w:val="000000"/>
          <w:szCs w:val="21"/>
        </w:rPr>
        <w:t>“</w:t>
      </w:r>
      <w:r>
        <w:rPr>
          <w:rFonts w:eastAsiaTheme="minorEastAsia"/>
          <w:color w:val="000000"/>
          <w:szCs w:val="21"/>
        </w:rPr>
        <w:t>基金收益与分配</w:t>
      </w:r>
      <w:r>
        <w:rPr>
          <w:rFonts w:eastAsiaTheme="minorEastAsia"/>
          <w:color w:val="000000"/>
          <w:szCs w:val="21"/>
        </w:rPr>
        <w:t>”</w:t>
      </w:r>
      <w:r>
        <w:rPr>
          <w:rFonts w:eastAsiaTheme="minorEastAsia"/>
          <w:color w:val="000000"/>
          <w:szCs w:val="21"/>
        </w:rPr>
        <w:t>之</w:t>
      </w:r>
      <w:r>
        <w:rPr>
          <w:rFonts w:eastAsiaTheme="minorEastAsia"/>
          <w:color w:val="000000"/>
          <w:szCs w:val="21"/>
        </w:rPr>
        <w:t>“</w:t>
      </w:r>
      <w:r>
        <w:rPr>
          <w:rFonts w:eastAsiaTheme="minorEastAsia"/>
          <w:color w:val="000000"/>
          <w:szCs w:val="21"/>
        </w:rPr>
        <w:t>基金收益分配原则</w:t>
      </w:r>
      <w:r>
        <w:rPr>
          <w:rFonts w:eastAsiaTheme="minorEastAsia"/>
          <w:color w:val="000000"/>
          <w:szCs w:val="21"/>
        </w:rPr>
        <w:t>”</w:t>
      </w:r>
      <w:r>
        <w:rPr>
          <w:rFonts w:eastAsiaTheme="minorEastAsia"/>
          <w:color w:val="000000"/>
          <w:szCs w:val="21"/>
        </w:rPr>
        <w:t>的相关规定，本基金本报告期内未进行利润分配，符合合同规定。</w:t>
      </w:r>
    </w:p>
    <w:p w:rsidR="009B581C" w:rsidRDefault="00404602">
      <w:pPr>
        <w:spacing w:line="360" w:lineRule="auto"/>
        <w:rPr>
          <w:rFonts w:eastAsiaTheme="minorEastAsia"/>
          <w:b/>
          <w:bCs/>
          <w:kern w:val="0"/>
          <w:szCs w:val="21"/>
        </w:rPr>
      </w:pPr>
      <w:r>
        <w:rPr>
          <w:rFonts w:eastAsiaTheme="minorEastAsia"/>
          <w:b/>
          <w:bCs/>
          <w:kern w:val="0"/>
          <w:szCs w:val="21"/>
        </w:rPr>
        <w:t>4.8</w:t>
      </w:r>
      <w:r>
        <w:rPr>
          <w:rFonts w:eastAsiaTheme="minorEastAsia" w:hint="eastAsia"/>
          <w:b/>
          <w:bCs/>
          <w:kern w:val="0"/>
          <w:szCs w:val="21"/>
        </w:rPr>
        <w:t>报告期内管理人对本基金持有人数或基金资产净值预警情形的说明</w:t>
      </w:r>
    </w:p>
    <w:p w:rsidR="009B581C" w:rsidRDefault="00404602">
      <w:pPr>
        <w:spacing w:line="360" w:lineRule="auto"/>
        <w:ind w:firstLineChars="200" w:firstLine="420"/>
        <w:rPr>
          <w:rFonts w:eastAsiaTheme="minorEastAsia"/>
          <w:color w:val="000000"/>
          <w:szCs w:val="21"/>
        </w:rPr>
      </w:pPr>
      <w:r>
        <w:rPr>
          <w:rFonts w:eastAsiaTheme="minorEastAsia"/>
          <w:color w:val="000000" w:themeColor="text1"/>
          <w:kern w:val="0"/>
          <w:szCs w:val="21"/>
        </w:rPr>
        <w:t>本报告期内，本基金于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17</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日连续</w:t>
      </w:r>
      <w:r>
        <w:rPr>
          <w:rFonts w:eastAsiaTheme="minorEastAsia"/>
          <w:color w:val="000000" w:themeColor="text1"/>
          <w:kern w:val="0"/>
          <w:szCs w:val="21"/>
        </w:rPr>
        <w:t>113</w:t>
      </w:r>
      <w:r>
        <w:rPr>
          <w:rFonts w:eastAsiaTheme="minorEastAsia"/>
          <w:color w:val="000000" w:themeColor="text1"/>
          <w:kern w:val="0"/>
          <w:szCs w:val="21"/>
        </w:rPr>
        <w:t>个工作日出现了基金资产净值低于五千万的情形。本基金管理人已召开基金份额持有人大会，表决通过了终止本基金基金合同的议案，本基金已于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日进入清算期。</w:t>
      </w:r>
    </w:p>
    <w:p w:rsidR="009B581C" w:rsidRDefault="00404602" w:rsidP="006A74CC">
      <w:pPr>
        <w:pStyle w:val="1"/>
        <w:keepNext/>
        <w:keepLines/>
        <w:widowControl w:val="0"/>
        <w:spacing w:beforeLines="100" w:afterLines="100" w:line="360" w:lineRule="auto"/>
        <w:jc w:val="center"/>
        <w:rPr>
          <w:rFonts w:eastAsiaTheme="minorEastAsia"/>
          <w:b/>
          <w:bCs/>
          <w:sz w:val="21"/>
          <w:szCs w:val="21"/>
          <w:lang w:val="en-US"/>
        </w:rPr>
      </w:pPr>
      <w:bookmarkStart w:id="40" w:name="_Toc361324864"/>
      <w:bookmarkStart w:id="41" w:name="_Toc225498263"/>
      <w:r>
        <w:rPr>
          <w:rFonts w:eastAsiaTheme="minorEastAsia"/>
          <w:b/>
          <w:bCs/>
          <w:sz w:val="21"/>
          <w:szCs w:val="21"/>
          <w:lang w:val="en-US"/>
        </w:rPr>
        <w:t xml:space="preserve">§5  </w:t>
      </w:r>
      <w:r>
        <w:rPr>
          <w:rFonts w:eastAsiaTheme="minorEastAsia"/>
          <w:b/>
          <w:bCs/>
          <w:sz w:val="21"/>
          <w:szCs w:val="21"/>
          <w:lang w:val="en-US"/>
        </w:rPr>
        <w:t>托管人报告</w:t>
      </w:r>
      <w:bookmarkEnd w:id="40"/>
      <w:bookmarkEnd w:id="41"/>
    </w:p>
    <w:p w:rsidR="009B581C" w:rsidRDefault="00404602">
      <w:pPr>
        <w:spacing w:line="360" w:lineRule="auto"/>
        <w:rPr>
          <w:rFonts w:eastAsiaTheme="minorEastAsia"/>
          <w:b/>
          <w:bCs/>
          <w:kern w:val="0"/>
          <w:szCs w:val="21"/>
        </w:rPr>
      </w:pPr>
      <w:bookmarkStart w:id="42" w:name="_Toc361324865"/>
      <w:bookmarkStart w:id="43" w:name="_Toc225498264"/>
      <w:r>
        <w:rPr>
          <w:rFonts w:eastAsiaTheme="minorEastAsia"/>
          <w:b/>
          <w:bCs/>
          <w:kern w:val="0"/>
          <w:szCs w:val="21"/>
        </w:rPr>
        <w:t xml:space="preserve">5.1 </w:t>
      </w:r>
      <w:r>
        <w:rPr>
          <w:rFonts w:eastAsiaTheme="minorEastAsia"/>
          <w:b/>
          <w:bCs/>
          <w:kern w:val="0"/>
          <w:szCs w:val="21"/>
        </w:rPr>
        <w:t>报告期内本基金托管人遵规守信情况声明</w:t>
      </w:r>
      <w:bookmarkEnd w:id="42"/>
      <w:bookmarkEnd w:id="43"/>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本报告期内，中国银行股份有限公司（以下称</w:t>
      </w:r>
      <w:r>
        <w:rPr>
          <w:rFonts w:eastAsiaTheme="minorEastAsia"/>
          <w:color w:val="000000"/>
          <w:szCs w:val="21"/>
        </w:rPr>
        <w:t>“</w:t>
      </w:r>
      <w:r>
        <w:rPr>
          <w:rFonts w:eastAsiaTheme="minorEastAsia"/>
          <w:color w:val="000000"/>
          <w:szCs w:val="21"/>
        </w:rPr>
        <w:t>本托管人</w:t>
      </w:r>
      <w:r>
        <w:rPr>
          <w:rFonts w:eastAsiaTheme="minorEastAsia"/>
          <w:color w:val="000000"/>
          <w:szCs w:val="21"/>
        </w:rPr>
        <w:t>”</w:t>
      </w:r>
      <w:r>
        <w:rPr>
          <w:rFonts w:eastAsiaTheme="minorEastAsia"/>
          <w:color w:val="000000"/>
          <w:szCs w:val="21"/>
        </w:rPr>
        <w:t>）在对广发中证全指主要消费交易型开放式指数证券投资基金（以下称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）的托管过程中，严格遵守《证券投资基金法》及其他有关法律法规、基金合同和托管协议的有关规定，不存在损害基金份额持有人利益的行为，完全尽职尽责地履行了应尽的义务。</w:t>
      </w:r>
    </w:p>
    <w:p w:rsidR="009B581C" w:rsidRDefault="00404602">
      <w:pPr>
        <w:spacing w:line="360" w:lineRule="auto"/>
        <w:rPr>
          <w:rFonts w:eastAsiaTheme="minorEastAsia"/>
          <w:b/>
          <w:bCs/>
          <w:kern w:val="0"/>
          <w:szCs w:val="21"/>
        </w:rPr>
      </w:pPr>
      <w:bookmarkStart w:id="44" w:name="_Toc225498265"/>
      <w:bookmarkStart w:id="45" w:name="_Toc361324866"/>
      <w:r>
        <w:rPr>
          <w:rFonts w:eastAsiaTheme="minorEastAsia"/>
          <w:b/>
          <w:bCs/>
          <w:kern w:val="0"/>
          <w:szCs w:val="21"/>
        </w:rPr>
        <w:t xml:space="preserve">5.2 </w:t>
      </w:r>
      <w:r>
        <w:rPr>
          <w:rFonts w:eastAsiaTheme="minorEastAsia"/>
          <w:b/>
          <w:bCs/>
          <w:kern w:val="0"/>
          <w:szCs w:val="21"/>
        </w:rPr>
        <w:t>托管人对报告期内本基金投资运作遵规守信、净值计算、利润分配等情况的</w:t>
      </w:r>
      <w:bookmarkEnd w:id="44"/>
      <w:r>
        <w:rPr>
          <w:rFonts w:eastAsiaTheme="minorEastAsia"/>
          <w:b/>
          <w:bCs/>
          <w:kern w:val="0"/>
          <w:szCs w:val="21"/>
        </w:rPr>
        <w:t>说明</w:t>
      </w:r>
      <w:bookmarkEnd w:id="45"/>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9B581C" w:rsidRDefault="00404602">
      <w:pPr>
        <w:spacing w:line="360" w:lineRule="auto"/>
        <w:rPr>
          <w:rFonts w:eastAsiaTheme="minorEastAsia"/>
          <w:b/>
          <w:bCs/>
          <w:kern w:val="0"/>
          <w:szCs w:val="21"/>
        </w:rPr>
      </w:pPr>
      <w:bookmarkStart w:id="46" w:name="_Toc225498266"/>
      <w:bookmarkStart w:id="47" w:name="_Toc361324867"/>
      <w:r>
        <w:rPr>
          <w:rFonts w:eastAsiaTheme="minorEastAsia"/>
          <w:b/>
          <w:bCs/>
          <w:kern w:val="0"/>
          <w:szCs w:val="21"/>
        </w:rPr>
        <w:t xml:space="preserve">5.3 </w:t>
      </w:r>
      <w:r>
        <w:rPr>
          <w:rFonts w:eastAsiaTheme="minorEastAsia"/>
          <w:b/>
          <w:bCs/>
          <w:kern w:val="0"/>
          <w:szCs w:val="21"/>
        </w:rPr>
        <w:t>托管人对本年度报告中财务信息等内容的真实、准确和完整发表意见</w:t>
      </w:r>
      <w:bookmarkEnd w:id="46"/>
      <w:bookmarkEnd w:id="47"/>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本报告中的财务指标、净值表现、收益分配情况、财务会计报告（注：财务会计报告中的</w:t>
      </w:r>
      <w:r>
        <w:rPr>
          <w:rFonts w:eastAsiaTheme="minorEastAsia"/>
          <w:color w:val="000000"/>
          <w:szCs w:val="21"/>
        </w:rPr>
        <w:t>“</w:t>
      </w:r>
      <w:r>
        <w:rPr>
          <w:rFonts w:eastAsiaTheme="minorEastAsia"/>
          <w:color w:val="000000"/>
          <w:szCs w:val="21"/>
        </w:rPr>
        <w:t>金融工具风险及管理</w:t>
      </w:r>
      <w:r>
        <w:rPr>
          <w:rFonts w:eastAsiaTheme="minorEastAsia"/>
          <w:color w:val="000000"/>
          <w:szCs w:val="21"/>
        </w:rPr>
        <w:t>”</w:t>
      </w:r>
      <w:r>
        <w:rPr>
          <w:rFonts w:eastAsiaTheme="minorEastAsia"/>
          <w:color w:val="000000"/>
          <w:szCs w:val="21"/>
        </w:rPr>
        <w:t>部分未在托管人复核范围内）、投资组合报告等数据真实、准确和完整。</w:t>
      </w:r>
    </w:p>
    <w:p w:rsidR="009B581C" w:rsidRDefault="00404602" w:rsidP="006A74CC">
      <w:pPr>
        <w:pStyle w:val="1"/>
        <w:keepNext/>
        <w:keepLines/>
        <w:widowControl w:val="0"/>
        <w:adjustRightInd w:val="0"/>
        <w:snapToGrid w:val="0"/>
        <w:spacing w:beforeLines="100" w:afterLines="100" w:line="360" w:lineRule="auto"/>
        <w:jc w:val="center"/>
        <w:rPr>
          <w:rFonts w:eastAsiaTheme="minorEastAsia"/>
          <w:b/>
          <w:bCs/>
          <w:sz w:val="21"/>
          <w:szCs w:val="21"/>
          <w:lang w:val="en-US"/>
        </w:rPr>
      </w:pPr>
      <w:bookmarkStart w:id="48" w:name="_Toc361324868"/>
      <w:bookmarkStart w:id="49" w:name="_Toc245801814"/>
      <w:bookmarkStart w:id="50" w:name="_Toc247959464"/>
      <w:r>
        <w:rPr>
          <w:rFonts w:eastAsiaTheme="minorEastAsia"/>
          <w:b/>
          <w:bCs/>
          <w:sz w:val="21"/>
          <w:szCs w:val="21"/>
          <w:lang w:val="en-US"/>
        </w:rPr>
        <w:t xml:space="preserve">§6  </w:t>
      </w:r>
      <w:r>
        <w:rPr>
          <w:rFonts w:eastAsiaTheme="minorEastAsia"/>
          <w:b/>
          <w:bCs/>
          <w:sz w:val="21"/>
          <w:szCs w:val="21"/>
          <w:lang w:val="en-US"/>
        </w:rPr>
        <w:t>审计报告</w:t>
      </w:r>
      <w:bookmarkEnd w:id="48"/>
      <w:bookmarkEnd w:id="49"/>
      <w:bookmarkEnd w:id="50"/>
    </w:p>
    <w:p w:rsidR="009B581C" w:rsidRDefault="00404602">
      <w:pPr>
        <w:spacing w:line="360" w:lineRule="auto"/>
        <w:ind w:firstLineChars="200" w:firstLine="420"/>
        <w:rPr>
          <w:rFonts w:eastAsiaTheme="minorEastAsia"/>
          <w:kern w:val="0"/>
          <w:szCs w:val="21"/>
        </w:rPr>
      </w:pPr>
      <w:r>
        <w:rPr>
          <w:rFonts w:eastAsiaTheme="minorEastAsia"/>
          <w:kern w:val="0"/>
          <w:szCs w:val="21"/>
        </w:rPr>
        <w:t>本报告期的基金财务会计报告经安永华明会计师事务所（特殊普通合伙）审计，注册会计师</w:t>
      </w:r>
      <w:r>
        <w:rPr>
          <w:rFonts w:eastAsiaTheme="minorEastAsia"/>
          <w:kern w:val="0"/>
          <w:szCs w:val="21"/>
        </w:rPr>
        <w:t xml:space="preserve">  </w:t>
      </w:r>
      <w:r>
        <w:rPr>
          <w:rFonts w:eastAsiaTheme="minorEastAsia"/>
          <w:kern w:val="0"/>
          <w:szCs w:val="21"/>
        </w:rPr>
        <w:t>赵雅</w:t>
      </w:r>
      <w:r>
        <w:rPr>
          <w:rFonts w:eastAsiaTheme="minorEastAsia"/>
          <w:kern w:val="0"/>
          <w:szCs w:val="21"/>
        </w:rPr>
        <w:t xml:space="preserve">  </w:t>
      </w:r>
      <w:r>
        <w:rPr>
          <w:rFonts w:eastAsiaTheme="minorEastAsia"/>
          <w:kern w:val="0"/>
          <w:szCs w:val="21"/>
        </w:rPr>
        <w:t>李明明签字出具了安永华明（</w:t>
      </w:r>
      <w:r>
        <w:rPr>
          <w:rFonts w:eastAsiaTheme="minorEastAsia"/>
          <w:kern w:val="0"/>
          <w:szCs w:val="21"/>
        </w:rPr>
        <w:t>2019</w:t>
      </w:r>
      <w:r>
        <w:rPr>
          <w:rFonts w:eastAsiaTheme="minorEastAsia"/>
          <w:kern w:val="0"/>
          <w:szCs w:val="21"/>
        </w:rPr>
        <w:t>）专字第</w:t>
      </w:r>
      <w:r>
        <w:rPr>
          <w:rFonts w:eastAsiaTheme="minorEastAsia"/>
          <w:kern w:val="0"/>
          <w:szCs w:val="21"/>
        </w:rPr>
        <w:t>60873695_G04</w:t>
      </w:r>
      <w:r>
        <w:rPr>
          <w:rFonts w:eastAsiaTheme="minorEastAsia"/>
          <w:kern w:val="0"/>
          <w:szCs w:val="21"/>
        </w:rPr>
        <w:t>号标准无保留意见的审计报告。投资者可通过年度报告正文查看审计报告全文。</w:t>
      </w:r>
    </w:p>
    <w:p w:rsidR="009B581C" w:rsidRDefault="00404602" w:rsidP="006A74CC">
      <w:pPr>
        <w:pStyle w:val="1"/>
        <w:keepNext/>
        <w:keepLines/>
        <w:widowControl w:val="0"/>
        <w:spacing w:beforeLines="100" w:afterLines="100" w:line="360" w:lineRule="auto"/>
        <w:jc w:val="center"/>
        <w:rPr>
          <w:rFonts w:eastAsiaTheme="minorEastAsia"/>
          <w:b/>
          <w:bCs/>
          <w:sz w:val="21"/>
          <w:szCs w:val="21"/>
          <w:lang w:val="en-US"/>
        </w:rPr>
      </w:pPr>
      <w:bookmarkStart w:id="51" w:name="_Toc361324872"/>
      <w:r>
        <w:rPr>
          <w:rFonts w:eastAsiaTheme="minorEastAsia"/>
          <w:b/>
          <w:bCs/>
          <w:sz w:val="21"/>
          <w:szCs w:val="21"/>
          <w:lang w:val="en-US"/>
        </w:rPr>
        <w:t xml:space="preserve">§7  </w:t>
      </w:r>
      <w:r>
        <w:rPr>
          <w:rFonts w:eastAsiaTheme="minorEastAsia"/>
          <w:b/>
          <w:bCs/>
          <w:sz w:val="21"/>
          <w:szCs w:val="21"/>
          <w:lang w:val="en-US"/>
        </w:rPr>
        <w:t>年度财务报表</w:t>
      </w:r>
      <w:bookmarkEnd w:id="51"/>
    </w:p>
    <w:p w:rsidR="009B581C" w:rsidRDefault="00404602">
      <w:pPr>
        <w:spacing w:line="360" w:lineRule="auto"/>
        <w:outlineLvl w:val="1"/>
        <w:rPr>
          <w:rFonts w:eastAsiaTheme="minorEastAsia"/>
          <w:b/>
          <w:bCs/>
          <w:kern w:val="0"/>
          <w:szCs w:val="21"/>
        </w:rPr>
      </w:pPr>
      <w:bookmarkStart w:id="52" w:name="_Toc361324873"/>
      <w:bookmarkStart w:id="53" w:name="_Toc225498268"/>
      <w:r>
        <w:rPr>
          <w:rFonts w:eastAsiaTheme="minorEastAsia"/>
          <w:b/>
          <w:bCs/>
          <w:kern w:val="0"/>
          <w:szCs w:val="21"/>
        </w:rPr>
        <w:t xml:space="preserve">7.1 </w:t>
      </w:r>
      <w:r>
        <w:rPr>
          <w:rFonts w:eastAsiaTheme="minorEastAsia"/>
          <w:b/>
          <w:bCs/>
          <w:kern w:val="0"/>
          <w:szCs w:val="21"/>
        </w:rPr>
        <w:t>资产负债表</w:t>
      </w:r>
      <w:bookmarkEnd w:id="52"/>
      <w:bookmarkEnd w:id="53"/>
    </w:p>
    <w:p w:rsidR="009B581C" w:rsidRDefault="00404602">
      <w:pPr>
        <w:spacing w:line="360" w:lineRule="auto"/>
        <w:rPr>
          <w:rFonts w:eastAsiaTheme="minorEastAsia"/>
          <w:color w:val="000000"/>
          <w:szCs w:val="21"/>
        </w:rPr>
      </w:pPr>
      <w:r>
        <w:rPr>
          <w:rFonts w:eastAsiaTheme="minorEastAsia"/>
          <w:color w:val="000000"/>
          <w:szCs w:val="21"/>
        </w:rPr>
        <w:t>会计主体：广发中证全指主要消费交易型开放式指数证券投资基金</w:t>
      </w:r>
    </w:p>
    <w:p w:rsidR="009B581C" w:rsidRDefault="00404602">
      <w:pPr>
        <w:spacing w:line="360" w:lineRule="auto"/>
        <w:rPr>
          <w:rFonts w:eastAsiaTheme="minorEastAsia"/>
          <w:color w:val="000000"/>
          <w:szCs w:val="21"/>
        </w:rPr>
      </w:pPr>
      <w:r>
        <w:rPr>
          <w:rFonts w:eastAsiaTheme="minorEastAsia"/>
          <w:color w:val="000000"/>
          <w:szCs w:val="21"/>
        </w:rPr>
        <w:t>报告截止日：</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p w:rsidR="009B581C" w:rsidRDefault="00404602">
      <w:pPr>
        <w:autoSpaceDE w:val="0"/>
        <w:autoSpaceDN w:val="0"/>
        <w:adjustRightInd w:val="0"/>
        <w:spacing w:before="29" w:line="360" w:lineRule="auto"/>
        <w:ind w:left="15"/>
        <w:jc w:val="right"/>
        <w:rPr>
          <w:rFonts w:eastAsiaTheme="minorEastAsia"/>
          <w:color w:val="000000"/>
          <w:kern w:val="0"/>
          <w:szCs w:val="21"/>
        </w:rPr>
      </w:pPr>
      <w:r>
        <w:rPr>
          <w:rFonts w:eastAsiaTheme="minorEastAsia"/>
          <w:color w:val="000000"/>
          <w:kern w:val="0"/>
          <w:szCs w:val="21"/>
        </w:rPr>
        <w:t>单位：人民币元</w:t>
      </w:r>
    </w:p>
    <w:tbl>
      <w:tblPr>
        <w:tblW w:w="89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5"/>
        <w:gridCol w:w="10"/>
        <w:gridCol w:w="2541"/>
        <w:gridCol w:w="10"/>
        <w:gridCol w:w="2752"/>
        <w:gridCol w:w="19"/>
      </w:tblGrid>
      <w:tr w:rsidR="009B581C">
        <w:tc>
          <w:tcPr>
            <w:tcW w:w="3625" w:type="dxa"/>
            <w:gridSpan w:val="2"/>
            <w:vAlign w:val="center"/>
          </w:tcPr>
          <w:p w:rsidR="009B581C" w:rsidRDefault="00404602">
            <w:pPr>
              <w:pStyle w:val="af"/>
              <w:spacing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资产</w:t>
            </w:r>
          </w:p>
        </w:tc>
        <w:tc>
          <w:tcPr>
            <w:tcW w:w="2551" w:type="dxa"/>
            <w:gridSpan w:val="2"/>
            <w:vAlign w:val="center"/>
          </w:tcPr>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本期末</w:t>
            </w:r>
          </w:p>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kern w:val="2"/>
                <w:sz w:val="21"/>
                <w:szCs w:val="21"/>
              </w:rPr>
              <w:t>2018</w:t>
            </w:r>
            <w:r>
              <w:rPr>
                <w:rFonts w:ascii="Times New Roman" w:eastAsiaTheme="minorEastAsia" w:hAnsi="Times New Roman"/>
                <w:b/>
                <w:color w:val="000000"/>
                <w:kern w:val="2"/>
                <w:sz w:val="21"/>
                <w:szCs w:val="21"/>
              </w:rPr>
              <w:t>年</w:t>
            </w:r>
            <w:r>
              <w:rPr>
                <w:rFonts w:ascii="Times New Roman" w:eastAsiaTheme="minorEastAsia" w:hAnsi="Times New Roman"/>
                <w:b/>
                <w:color w:val="000000"/>
                <w:kern w:val="2"/>
                <w:sz w:val="21"/>
                <w:szCs w:val="21"/>
              </w:rPr>
              <w:t>12</w:t>
            </w:r>
            <w:r>
              <w:rPr>
                <w:rFonts w:ascii="Times New Roman" w:eastAsiaTheme="minorEastAsia" w:hAnsi="Times New Roman"/>
                <w:b/>
                <w:color w:val="000000"/>
                <w:kern w:val="2"/>
                <w:sz w:val="21"/>
                <w:szCs w:val="21"/>
              </w:rPr>
              <w:t>月</w:t>
            </w:r>
            <w:r>
              <w:rPr>
                <w:rFonts w:ascii="Times New Roman" w:eastAsiaTheme="minorEastAsia" w:hAnsi="Times New Roman"/>
                <w:b/>
                <w:color w:val="000000"/>
                <w:kern w:val="2"/>
                <w:sz w:val="21"/>
                <w:szCs w:val="21"/>
              </w:rPr>
              <w:t>31</w:t>
            </w:r>
            <w:r>
              <w:rPr>
                <w:rFonts w:ascii="Times New Roman" w:eastAsiaTheme="minorEastAsia" w:hAnsi="Times New Roman"/>
                <w:b/>
                <w:color w:val="000000"/>
                <w:kern w:val="2"/>
                <w:sz w:val="21"/>
                <w:szCs w:val="21"/>
              </w:rPr>
              <w:t>日</w:t>
            </w:r>
          </w:p>
        </w:tc>
        <w:tc>
          <w:tcPr>
            <w:tcW w:w="2771" w:type="dxa"/>
            <w:gridSpan w:val="2"/>
            <w:vAlign w:val="center"/>
          </w:tcPr>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上年度末</w:t>
            </w:r>
          </w:p>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2017</w:t>
            </w:r>
            <w:r>
              <w:rPr>
                <w:rFonts w:ascii="Times New Roman" w:eastAsiaTheme="minorEastAsia" w:hAnsi="Times New Roman"/>
                <w:b/>
                <w:color w:val="000000"/>
                <w:sz w:val="21"/>
                <w:szCs w:val="21"/>
              </w:rPr>
              <w:t>年</w:t>
            </w:r>
            <w:r>
              <w:rPr>
                <w:rFonts w:ascii="Times New Roman" w:eastAsiaTheme="minorEastAsia" w:hAnsi="Times New Roman"/>
                <w:b/>
                <w:color w:val="000000"/>
                <w:sz w:val="21"/>
                <w:szCs w:val="21"/>
              </w:rPr>
              <w:t>12</w:t>
            </w:r>
            <w:r>
              <w:rPr>
                <w:rFonts w:ascii="Times New Roman" w:eastAsiaTheme="minorEastAsia" w:hAnsi="Times New Roman"/>
                <w:b/>
                <w:color w:val="000000"/>
                <w:sz w:val="21"/>
                <w:szCs w:val="21"/>
              </w:rPr>
              <w:t>月</w:t>
            </w:r>
            <w:r>
              <w:rPr>
                <w:rFonts w:ascii="Times New Roman" w:eastAsiaTheme="minorEastAsia" w:hAnsi="Times New Roman"/>
                <w:b/>
                <w:color w:val="000000"/>
                <w:sz w:val="21"/>
                <w:szCs w:val="21"/>
              </w:rPr>
              <w:t>31</w:t>
            </w:r>
            <w:r>
              <w:rPr>
                <w:rFonts w:ascii="Times New Roman" w:eastAsiaTheme="minorEastAsia" w:hAnsi="Times New Roman"/>
                <w:b/>
                <w:color w:val="000000"/>
                <w:sz w:val="21"/>
                <w:szCs w:val="21"/>
              </w:rPr>
              <w:t>日</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资产：</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银行存款</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4,335,902.13</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1,727,588.30</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结算备付金</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50,817.27</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211,973.32</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存出保证金</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3,162.86</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1,642.14</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交易性金融资产</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86,034,493.57</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其中：股票投资</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86,034,493.57</w:t>
            </w:r>
          </w:p>
        </w:tc>
      </w:tr>
      <w:tr w:rsidR="009B581C">
        <w:tc>
          <w:tcPr>
            <w:tcW w:w="3625" w:type="dxa"/>
            <w:gridSpan w:val="2"/>
            <w:vAlign w:val="center"/>
          </w:tcPr>
          <w:p w:rsidR="009B581C" w:rsidRDefault="00404602">
            <w:pPr>
              <w:pStyle w:val="af"/>
              <w:spacing w:line="360" w:lineRule="auto"/>
              <w:ind w:firstLineChars="300" w:firstLine="630"/>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基金投资</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3625" w:type="dxa"/>
            <w:gridSpan w:val="2"/>
            <w:vAlign w:val="center"/>
          </w:tcPr>
          <w:p w:rsidR="009B581C" w:rsidRDefault="00404602">
            <w:pPr>
              <w:spacing w:line="360" w:lineRule="auto"/>
              <w:ind w:firstLineChars="300" w:firstLine="630"/>
              <w:rPr>
                <w:rFonts w:eastAsiaTheme="minorEastAsia"/>
                <w:color w:val="000000"/>
                <w:szCs w:val="21"/>
              </w:rPr>
            </w:pPr>
            <w:r>
              <w:rPr>
                <w:rFonts w:eastAsiaTheme="minorEastAsia"/>
                <w:color w:val="000000"/>
                <w:szCs w:val="21"/>
              </w:rPr>
              <w:t>债券投资</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3625" w:type="dxa"/>
            <w:gridSpan w:val="2"/>
            <w:vAlign w:val="center"/>
          </w:tcPr>
          <w:p w:rsidR="009B581C" w:rsidRDefault="00404602">
            <w:pPr>
              <w:spacing w:line="360" w:lineRule="auto"/>
              <w:ind w:firstLineChars="300" w:firstLine="630"/>
              <w:rPr>
                <w:rFonts w:eastAsiaTheme="minorEastAsia"/>
                <w:color w:val="000000"/>
                <w:szCs w:val="21"/>
              </w:rPr>
            </w:pPr>
            <w:r>
              <w:rPr>
                <w:rFonts w:eastAsiaTheme="minorEastAsia"/>
                <w:color w:val="000000"/>
                <w:szCs w:val="21"/>
              </w:rPr>
              <w:t>资产支持证券投资</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3625" w:type="dxa"/>
            <w:gridSpan w:val="2"/>
            <w:vAlign w:val="center"/>
          </w:tcPr>
          <w:p w:rsidR="009B581C" w:rsidRDefault="00404602">
            <w:pPr>
              <w:spacing w:line="360" w:lineRule="auto"/>
              <w:ind w:firstLineChars="300" w:firstLine="630"/>
              <w:rPr>
                <w:rFonts w:eastAsiaTheme="minorEastAsia"/>
                <w:color w:val="000000"/>
                <w:szCs w:val="21"/>
              </w:rPr>
            </w:pPr>
            <w:r>
              <w:rPr>
                <w:rFonts w:eastAsiaTheme="minorEastAsia"/>
              </w:rPr>
              <w:t>贵金属投资</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衍生金融资产</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买入返售金融资产</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应收证券清算款</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12,848.99</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93,789.70</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应收利息</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483.26</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375.74</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应收股利</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应收申购款</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递延所得税资产</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3625" w:type="dxa"/>
            <w:gridSpan w:val="2"/>
            <w:vAlign w:val="center"/>
          </w:tcPr>
          <w:p w:rsidR="009B581C" w:rsidRDefault="00404602">
            <w:pPr>
              <w:spacing w:line="360" w:lineRule="auto"/>
              <w:rPr>
                <w:rFonts w:eastAsiaTheme="minorEastAsia"/>
                <w:color w:val="000000"/>
                <w:szCs w:val="21"/>
              </w:rPr>
            </w:pPr>
            <w:r>
              <w:rPr>
                <w:rFonts w:eastAsiaTheme="minorEastAsia"/>
                <w:color w:val="000000"/>
                <w:szCs w:val="21"/>
              </w:rPr>
              <w:t>其他资产</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7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3625" w:type="dxa"/>
            <w:gridSpan w:val="2"/>
            <w:vAlign w:val="center"/>
          </w:tcPr>
          <w:p w:rsidR="009B581C" w:rsidRDefault="00404602">
            <w:pPr>
              <w:spacing w:line="360" w:lineRule="auto"/>
              <w:rPr>
                <w:rFonts w:eastAsiaTheme="minorEastAsia"/>
                <w:b/>
                <w:color w:val="000000"/>
                <w:szCs w:val="21"/>
              </w:rPr>
            </w:pPr>
            <w:r>
              <w:rPr>
                <w:rFonts w:eastAsiaTheme="minorEastAsia"/>
                <w:b/>
                <w:color w:val="000000"/>
                <w:szCs w:val="21"/>
              </w:rPr>
              <w:t>资产总计</w:t>
            </w:r>
          </w:p>
        </w:tc>
        <w:tc>
          <w:tcPr>
            <w:tcW w:w="2551" w:type="dxa"/>
            <w:gridSpan w:val="2"/>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4,403,214.51</w:t>
            </w:r>
          </w:p>
        </w:tc>
        <w:tc>
          <w:tcPr>
            <w:tcW w:w="2771" w:type="dxa"/>
            <w:gridSpan w:val="2"/>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88,069,862.77</w:t>
            </w:r>
          </w:p>
        </w:tc>
      </w:tr>
      <w:tr w:rsidR="009B581C">
        <w:trPr>
          <w:gridAfter w:val="1"/>
          <w:wAfter w:w="19" w:type="dxa"/>
        </w:trPr>
        <w:tc>
          <w:tcPr>
            <w:tcW w:w="3615" w:type="dxa"/>
            <w:vAlign w:val="center"/>
          </w:tcPr>
          <w:p w:rsidR="009B581C" w:rsidRDefault="00404602">
            <w:pPr>
              <w:pStyle w:val="af"/>
              <w:spacing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负债和所有者权益</w:t>
            </w:r>
          </w:p>
        </w:tc>
        <w:tc>
          <w:tcPr>
            <w:tcW w:w="2551" w:type="dxa"/>
            <w:gridSpan w:val="2"/>
            <w:vAlign w:val="center"/>
          </w:tcPr>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本期末</w:t>
            </w:r>
          </w:p>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kern w:val="2"/>
                <w:sz w:val="21"/>
                <w:szCs w:val="21"/>
              </w:rPr>
              <w:t>2018</w:t>
            </w:r>
            <w:r>
              <w:rPr>
                <w:rFonts w:ascii="Times New Roman" w:eastAsiaTheme="minorEastAsia" w:hAnsi="Times New Roman"/>
                <w:b/>
                <w:color w:val="000000"/>
                <w:kern w:val="2"/>
                <w:sz w:val="21"/>
                <w:szCs w:val="21"/>
              </w:rPr>
              <w:t>年</w:t>
            </w:r>
            <w:r>
              <w:rPr>
                <w:rFonts w:ascii="Times New Roman" w:eastAsiaTheme="minorEastAsia" w:hAnsi="Times New Roman"/>
                <w:b/>
                <w:color w:val="000000"/>
                <w:kern w:val="2"/>
                <w:sz w:val="21"/>
                <w:szCs w:val="21"/>
              </w:rPr>
              <w:t>12</w:t>
            </w:r>
            <w:r>
              <w:rPr>
                <w:rFonts w:ascii="Times New Roman" w:eastAsiaTheme="minorEastAsia" w:hAnsi="Times New Roman"/>
                <w:b/>
                <w:color w:val="000000"/>
                <w:kern w:val="2"/>
                <w:sz w:val="21"/>
                <w:szCs w:val="21"/>
              </w:rPr>
              <w:t>月</w:t>
            </w:r>
            <w:r>
              <w:rPr>
                <w:rFonts w:ascii="Times New Roman" w:eastAsiaTheme="minorEastAsia" w:hAnsi="Times New Roman"/>
                <w:b/>
                <w:color w:val="000000"/>
                <w:kern w:val="2"/>
                <w:sz w:val="21"/>
                <w:szCs w:val="21"/>
              </w:rPr>
              <w:t>31</w:t>
            </w:r>
            <w:r>
              <w:rPr>
                <w:rFonts w:ascii="Times New Roman" w:eastAsiaTheme="minorEastAsia" w:hAnsi="Times New Roman"/>
                <w:b/>
                <w:color w:val="000000"/>
                <w:kern w:val="2"/>
                <w:sz w:val="21"/>
                <w:szCs w:val="21"/>
              </w:rPr>
              <w:t>日</w:t>
            </w:r>
          </w:p>
        </w:tc>
        <w:tc>
          <w:tcPr>
            <w:tcW w:w="2762" w:type="dxa"/>
            <w:gridSpan w:val="2"/>
            <w:vAlign w:val="center"/>
          </w:tcPr>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上年度末</w:t>
            </w:r>
          </w:p>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2017</w:t>
            </w:r>
            <w:r>
              <w:rPr>
                <w:rFonts w:ascii="Times New Roman" w:eastAsiaTheme="minorEastAsia" w:hAnsi="Times New Roman"/>
                <w:b/>
                <w:color w:val="000000"/>
                <w:sz w:val="21"/>
                <w:szCs w:val="21"/>
              </w:rPr>
              <w:t>年</w:t>
            </w:r>
            <w:r>
              <w:rPr>
                <w:rFonts w:ascii="Times New Roman" w:eastAsiaTheme="minorEastAsia" w:hAnsi="Times New Roman"/>
                <w:b/>
                <w:color w:val="000000"/>
                <w:sz w:val="21"/>
                <w:szCs w:val="21"/>
              </w:rPr>
              <w:t>12</w:t>
            </w:r>
            <w:r>
              <w:rPr>
                <w:rFonts w:ascii="Times New Roman" w:eastAsiaTheme="minorEastAsia" w:hAnsi="Times New Roman"/>
                <w:b/>
                <w:color w:val="000000"/>
                <w:sz w:val="21"/>
                <w:szCs w:val="21"/>
              </w:rPr>
              <w:t>月</w:t>
            </w:r>
            <w:r>
              <w:rPr>
                <w:rFonts w:ascii="Times New Roman" w:eastAsiaTheme="minorEastAsia" w:hAnsi="Times New Roman"/>
                <w:b/>
                <w:color w:val="000000"/>
                <w:sz w:val="21"/>
                <w:szCs w:val="21"/>
              </w:rPr>
              <w:t>31</w:t>
            </w:r>
            <w:r>
              <w:rPr>
                <w:rFonts w:ascii="Times New Roman" w:eastAsiaTheme="minorEastAsia" w:hAnsi="Times New Roman"/>
                <w:b/>
                <w:color w:val="000000"/>
                <w:sz w:val="21"/>
                <w:szCs w:val="21"/>
              </w:rPr>
              <w:t>日</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负债：</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短期借款</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交易性金融负债</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衍生金融负债</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卖出回购金融资产款</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应付证券清算款</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应付赎回款</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应付管理人报酬</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1,668.01</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31,922.49</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应付托管费</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333.59</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6,384.53</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应付销售服务费</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应付交易费用</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11,240.10</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11,000.11</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应交税费</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应付利息</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应付利润</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递延所得税负债</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其他负债</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128,199.59</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228,187.91</w:t>
            </w:r>
          </w:p>
        </w:tc>
      </w:tr>
      <w:tr w:rsidR="009B581C">
        <w:trPr>
          <w:gridAfter w:val="1"/>
          <w:wAfter w:w="19" w:type="dxa"/>
        </w:trPr>
        <w:tc>
          <w:tcPr>
            <w:tcW w:w="3615" w:type="dxa"/>
            <w:vAlign w:val="center"/>
          </w:tcPr>
          <w:p w:rsidR="009B581C" w:rsidRDefault="00404602">
            <w:pPr>
              <w:pStyle w:val="af"/>
              <w:spacing w:line="360" w:lineRule="auto"/>
              <w:jc w:val="both"/>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负债合计</w:t>
            </w:r>
          </w:p>
        </w:tc>
        <w:tc>
          <w:tcPr>
            <w:tcW w:w="2551" w:type="dxa"/>
            <w:gridSpan w:val="2"/>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141,441.29</w:t>
            </w:r>
          </w:p>
        </w:tc>
        <w:tc>
          <w:tcPr>
            <w:tcW w:w="2762" w:type="dxa"/>
            <w:gridSpan w:val="2"/>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277,495.04</w:t>
            </w:r>
          </w:p>
        </w:tc>
      </w:tr>
      <w:tr w:rsidR="009B581C">
        <w:trPr>
          <w:gridAfter w:val="1"/>
          <w:wAfter w:w="19" w:type="dxa"/>
        </w:trPr>
        <w:tc>
          <w:tcPr>
            <w:tcW w:w="3615" w:type="dxa"/>
            <w:vAlign w:val="center"/>
          </w:tcPr>
          <w:p w:rsidR="009B581C" w:rsidRDefault="00404602">
            <w:pPr>
              <w:spacing w:line="360" w:lineRule="auto"/>
              <w:rPr>
                <w:rFonts w:eastAsiaTheme="minorEastAsia"/>
                <w:b/>
                <w:color w:val="000000"/>
                <w:szCs w:val="21"/>
              </w:rPr>
            </w:pPr>
            <w:r>
              <w:rPr>
                <w:rFonts w:eastAsiaTheme="minorEastAsia"/>
                <w:b/>
                <w:color w:val="000000"/>
                <w:szCs w:val="21"/>
              </w:rPr>
              <w:t>所有者权益：</w:t>
            </w:r>
          </w:p>
        </w:tc>
        <w:tc>
          <w:tcPr>
            <w:tcW w:w="2551" w:type="dxa"/>
            <w:gridSpan w:val="2"/>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w:t>
            </w:r>
          </w:p>
        </w:tc>
        <w:tc>
          <w:tcPr>
            <w:tcW w:w="2762" w:type="dxa"/>
            <w:gridSpan w:val="2"/>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实收基金</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4,315,634.00</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68,315,634.00</w:t>
            </w:r>
          </w:p>
        </w:tc>
      </w:tr>
      <w:tr w:rsidR="009B581C">
        <w:trPr>
          <w:gridAfter w:val="1"/>
          <w:wAfter w:w="19" w:type="dxa"/>
        </w:trPr>
        <w:tc>
          <w:tcPr>
            <w:tcW w:w="3615" w:type="dxa"/>
            <w:vAlign w:val="center"/>
          </w:tcPr>
          <w:p w:rsidR="009B581C" w:rsidRDefault="00404602">
            <w:pPr>
              <w:spacing w:line="360" w:lineRule="auto"/>
              <w:rPr>
                <w:rFonts w:eastAsiaTheme="minorEastAsia"/>
                <w:color w:val="000000"/>
                <w:szCs w:val="21"/>
              </w:rPr>
            </w:pPr>
            <w:r>
              <w:rPr>
                <w:rFonts w:eastAsiaTheme="minorEastAsia"/>
                <w:color w:val="000000"/>
                <w:szCs w:val="21"/>
              </w:rPr>
              <w:t>未分配利润</w:t>
            </w:r>
          </w:p>
        </w:tc>
        <w:tc>
          <w:tcPr>
            <w:tcW w:w="2551"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-53,860.78</w:t>
            </w:r>
          </w:p>
        </w:tc>
        <w:tc>
          <w:tcPr>
            <w:tcW w:w="2762" w:type="dxa"/>
            <w:gridSpan w:val="2"/>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19,476,733.73</w:t>
            </w:r>
          </w:p>
        </w:tc>
      </w:tr>
      <w:tr w:rsidR="009B581C">
        <w:trPr>
          <w:gridAfter w:val="1"/>
          <w:wAfter w:w="19" w:type="dxa"/>
        </w:trPr>
        <w:tc>
          <w:tcPr>
            <w:tcW w:w="3615" w:type="dxa"/>
            <w:vAlign w:val="center"/>
          </w:tcPr>
          <w:p w:rsidR="009B581C" w:rsidRDefault="00404602">
            <w:pPr>
              <w:spacing w:line="360" w:lineRule="auto"/>
              <w:rPr>
                <w:rFonts w:eastAsiaTheme="minorEastAsia"/>
                <w:b/>
                <w:color w:val="000000"/>
                <w:szCs w:val="21"/>
              </w:rPr>
            </w:pPr>
            <w:r>
              <w:rPr>
                <w:rFonts w:eastAsiaTheme="minorEastAsia"/>
                <w:b/>
                <w:color w:val="000000"/>
                <w:szCs w:val="21"/>
              </w:rPr>
              <w:t>所有者权益合计</w:t>
            </w:r>
          </w:p>
        </w:tc>
        <w:tc>
          <w:tcPr>
            <w:tcW w:w="2551" w:type="dxa"/>
            <w:gridSpan w:val="2"/>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4,261,773.22</w:t>
            </w:r>
          </w:p>
        </w:tc>
        <w:tc>
          <w:tcPr>
            <w:tcW w:w="2762" w:type="dxa"/>
            <w:gridSpan w:val="2"/>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87,792,367.73</w:t>
            </w:r>
          </w:p>
        </w:tc>
      </w:tr>
      <w:tr w:rsidR="009B581C">
        <w:trPr>
          <w:gridAfter w:val="1"/>
          <w:wAfter w:w="19" w:type="dxa"/>
        </w:trPr>
        <w:tc>
          <w:tcPr>
            <w:tcW w:w="3615" w:type="dxa"/>
            <w:vAlign w:val="center"/>
          </w:tcPr>
          <w:p w:rsidR="009B581C" w:rsidRDefault="00404602">
            <w:pPr>
              <w:spacing w:line="360" w:lineRule="auto"/>
              <w:rPr>
                <w:rFonts w:eastAsiaTheme="minorEastAsia"/>
                <w:b/>
                <w:color w:val="000000"/>
                <w:szCs w:val="21"/>
              </w:rPr>
            </w:pPr>
            <w:r>
              <w:rPr>
                <w:rFonts w:eastAsiaTheme="minorEastAsia"/>
                <w:b/>
                <w:color w:val="000000"/>
                <w:szCs w:val="21"/>
              </w:rPr>
              <w:t>负债和所有者权益总计</w:t>
            </w:r>
          </w:p>
        </w:tc>
        <w:tc>
          <w:tcPr>
            <w:tcW w:w="2551" w:type="dxa"/>
            <w:gridSpan w:val="2"/>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4,403,214.51</w:t>
            </w:r>
          </w:p>
        </w:tc>
        <w:tc>
          <w:tcPr>
            <w:tcW w:w="2762" w:type="dxa"/>
            <w:gridSpan w:val="2"/>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88,069,862.77</w:t>
            </w:r>
          </w:p>
        </w:tc>
      </w:tr>
    </w:tbl>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注：报告截止日</w:t>
      </w:r>
      <w:r>
        <w:rPr>
          <w:rFonts w:eastAsiaTheme="minorEastAsia"/>
          <w:kern w:val="0"/>
          <w:szCs w:val="21"/>
        </w:rPr>
        <w:t>2018</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日，基金份额净值人民币</w:t>
      </w:r>
      <w:r>
        <w:rPr>
          <w:rFonts w:eastAsiaTheme="minorEastAsia"/>
          <w:kern w:val="0"/>
          <w:szCs w:val="21"/>
        </w:rPr>
        <w:t>0.9875</w:t>
      </w:r>
      <w:r>
        <w:rPr>
          <w:rFonts w:eastAsiaTheme="minorEastAsia"/>
          <w:kern w:val="0"/>
          <w:szCs w:val="21"/>
        </w:rPr>
        <w:t>元，基金份额总额</w:t>
      </w:r>
      <w:r>
        <w:rPr>
          <w:rFonts w:eastAsiaTheme="minorEastAsia"/>
          <w:kern w:val="0"/>
          <w:szCs w:val="21"/>
        </w:rPr>
        <w:t>4,315,634.00</w:t>
      </w:r>
      <w:r>
        <w:rPr>
          <w:rFonts w:eastAsiaTheme="minorEastAsia"/>
          <w:kern w:val="0"/>
          <w:szCs w:val="21"/>
        </w:rPr>
        <w:t>份。</w:t>
      </w:r>
    </w:p>
    <w:p w:rsidR="009B581C" w:rsidRDefault="00404602">
      <w:pPr>
        <w:spacing w:line="360" w:lineRule="auto"/>
        <w:outlineLvl w:val="1"/>
        <w:rPr>
          <w:rFonts w:eastAsiaTheme="minorEastAsia"/>
          <w:b/>
          <w:bCs/>
          <w:kern w:val="0"/>
          <w:szCs w:val="21"/>
        </w:rPr>
      </w:pPr>
      <w:bookmarkStart w:id="54" w:name="_Toc361324874"/>
      <w:bookmarkStart w:id="55" w:name="_Toc225498269"/>
      <w:r>
        <w:rPr>
          <w:rFonts w:eastAsiaTheme="minorEastAsia"/>
          <w:b/>
          <w:bCs/>
          <w:kern w:val="0"/>
          <w:szCs w:val="21"/>
        </w:rPr>
        <w:t xml:space="preserve">7.2 </w:t>
      </w:r>
      <w:r>
        <w:rPr>
          <w:rFonts w:eastAsiaTheme="minorEastAsia"/>
          <w:b/>
          <w:bCs/>
          <w:kern w:val="0"/>
          <w:szCs w:val="21"/>
        </w:rPr>
        <w:t>利润表</w:t>
      </w:r>
      <w:bookmarkEnd w:id="54"/>
      <w:bookmarkEnd w:id="55"/>
    </w:p>
    <w:p w:rsidR="009B581C" w:rsidRDefault="00404602">
      <w:pPr>
        <w:spacing w:line="360" w:lineRule="auto"/>
        <w:rPr>
          <w:rFonts w:eastAsiaTheme="minorEastAsia"/>
          <w:kern w:val="0"/>
          <w:szCs w:val="21"/>
        </w:rPr>
      </w:pPr>
      <w:r>
        <w:rPr>
          <w:rFonts w:eastAsiaTheme="minorEastAsia"/>
          <w:color w:val="000000"/>
          <w:szCs w:val="21"/>
        </w:rPr>
        <w:t>会计主体：</w:t>
      </w:r>
      <w:r>
        <w:rPr>
          <w:rFonts w:eastAsiaTheme="minorEastAsia"/>
          <w:kern w:val="0"/>
          <w:szCs w:val="21"/>
        </w:rPr>
        <w:t>广发中证全指主要消费交易型开放式指数证券投资基金</w:t>
      </w:r>
    </w:p>
    <w:p w:rsidR="009B581C" w:rsidRDefault="00404602">
      <w:pPr>
        <w:spacing w:line="360" w:lineRule="auto"/>
        <w:rPr>
          <w:rFonts w:eastAsiaTheme="minorEastAsia"/>
          <w:color w:val="000000"/>
          <w:kern w:val="0"/>
          <w:szCs w:val="21"/>
        </w:rPr>
      </w:pPr>
      <w:r>
        <w:rPr>
          <w:rFonts w:eastAsiaTheme="minorEastAsia"/>
          <w:color w:val="000000"/>
          <w:szCs w:val="21"/>
        </w:rPr>
        <w:t>本报告期：</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2018</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w:t>
      </w:r>
    </w:p>
    <w:p w:rsidR="009B581C" w:rsidRDefault="00404602">
      <w:pPr>
        <w:autoSpaceDE w:val="0"/>
        <w:autoSpaceDN w:val="0"/>
        <w:adjustRightInd w:val="0"/>
        <w:spacing w:before="29" w:line="360" w:lineRule="auto"/>
        <w:ind w:left="15"/>
        <w:jc w:val="right"/>
        <w:rPr>
          <w:rFonts w:eastAsiaTheme="minorEastAsia"/>
          <w:color w:val="000000"/>
          <w:kern w:val="0"/>
          <w:szCs w:val="21"/>
        </w:rPr>
      </w:pPr>
      <w:bookmarkStart w:id="56" w:name="_Toc361324875"/>
      <w:bookmarkStart w:id="57" w:name="_Toc225498270"/>
      <w:r>
        <w:rPr>
          <w:rFonts w:eastAsiaTheme="minorEastAsia"/>
          <w:color w:val="000000"/>
          <w:kern w:val="0"/>
          <w:szCs w:val="21"/>
        </w:rPr>
        <w:t>单位：人民币元</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3"/>
        <w:gridCol w:w="2604"/>
        <w:gridCol w:w="2726"/>
      </w:tblGrid>
      <w:tr w:rsidR="009B581C">
        <w:trPr>
          <w:jc w:val="center"/>
        </w:trPr>
        <w:tc>
          <w:tcPr>
            <w:tcW w:w="3633" w:type="dxa"/>
            <w:vAlign w:val="center"/>
          </w:tcPr>
          <w:p w:rsidR="009B581C" w:rsidRDefault="00404602">
            <w:pPr>
              <w:pStyle w:val="af"/>
              <w:spacing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项目</w:t>
            </w:r>
          </w:p>
        </w:tc>
        <w:tc>
          <w:tcPr>
            <w:tcW w:w="2604" w:type="dxa"/>
            <w:vAlign w:val="center"/>
          </w:tcPr>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本期</w:t>
            </w:r>
          </w:p>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sz w:val="21"/>
                <w:szCs w:val="21"/>
              </w:rPr>
              <w:t>2018</w:t>
            </w:r>
            <w:r>
              <w:rPr>
                <w:rFonts w:ascii="Times New Roman" w:eastAsiaTheme="minorEastAsia" w:hAnsi="Times New Roman"/>
                <w:sz w:val="21"/>
                <w:szCs w:val="21"/>
              </w:rPr>
              <w:t>年</w:t>
            </w:r>
            <w:r>
              <w:rPr>
                <w:rFonts w:ascii="Times New Roman" w:eastAsiaTheme="minorEastAsia" w:hAnsi="Times New Roman"/>
                <w:sz w:val="21"/>
                <w:szCs w:val="21"/>
              </w:rPr>
              <w:t>1</w:t>
            </w:r>
            <w:r>
              <w:rPr>
                <w:rFonts w:ascii="Times New Roman" w:eastAsiaTheme="minorEastAsia" w:hAnsi="Times New Roman"/>
                <w:sz w:val="21"/>
                <w:szCs w:val="21"/>
              </w:rPr>
              <w:t>月</w:t>
            </w:r>
            <w:r>
              <w:rPr>
                <w:rFonts w:ascii="Times New Roman" w:eastAsiaTheme="minorEastAsia" w:hAnsi="Times New Roman"/>
                <w:sz w:val="21"/>
                <w:szCs w:val="21"/>
              </w:rPr>
              <w:t>1</w:t>
            </w:r>
            <w:r>
              <w:rPr>
                <w:rFonts w:ascii="Times New Roman" w:eastAsiaTheme="minorEastAsia" w:hAnsi="Times New Roman"/>
                <w:sz w:val="21"/>
                <w:szCs w:val="21"/>
              </w:rPr>
              <w:t>日至</w:t>
            </w:r>
            <w:r>
              <w:rPr>
                <w:rFonts w:ascii="Times New Roman" w:eastAsiaTheme="minorEastAsia" w:hAnsi="Times New Roman"/>
                <w:sz w:val="21"/>
                <w:szCs w:val="21"/>
              </w:rPr>
              <w:t>2018</w:t>
            </w:r>
            <w:r>
              <w:rPr>
                <w:rFonts w:ascii="Times New Roman" w:eastAsiaTheme="minorEastAsia" w:hAnsi="Times New Roman"/>
                <w:sz w:val="21"/>
                <w:szCs w:val="21"/>
              </w:rPr>
              <w:t>年</w:t>
            </w:r>
            <w:r>
              <w:rPr>
                <w:rFonts w:ascii="Times New Roman" w:eastAsiaTheme="minorEastAsia" w:hAnsi="Times New Roman"/>
                <w:sz w:val="21"/>
                <w:szCs w:val="21"/>
              </w:rPr>
              <w:t>12</w:t>
            </w:r>
            <w:r>
              <w:rPr>
                <w:rFonts w:ascii="Times New Roman" w:eastAsiaTheme="minorEastAsia" w:hAnsi="Times New Roman"/>
                <w:sz w:val="21"/>
                <w:szCs w:val="21"/>
              </w:rPr>
              <w:t>月</w:t>
            </w:r>
            <w:r>
              <w:rPr>
                <w:rFonts w:ascii="Times New Roman" w:eastAsiaTheme="minorEastAsia" w:hAnsi="Times New Roman"/>
                <w:sz w:val="21"/>
                <w:szCs w:val="21"/>
              </w:rPr>
              <w:t>31</w:t>
            </w:r>
            <w:r>
              <w:rPr>
                <w:rFonts w:ascii="Times New Roman" w:eastAsiaTheme="minorEastAsia" w:hAnsi="Times New Roman"/>
                <w:sz w:val="21"/>
                <w:szCs w:val="21"/>
              </w:rPr>
              <w:t>日</w:t>
            </w:r>
          </w:p>
        </w:tc>
        <w:tc>
          <w:tcPr>
            <w:tcW w:w="2726" w:type="dxa"/>
            <w:vAlign w:val="center"/>
          </w:tcPr>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color w:val="000000"/>
                <w:sz w:val="21"/>
                <w:szCs w:val="21"/>
              </w:rPr>
              <w:t>上年度可比期间</w:t>
            </w:r>
          </w:p>
          <w:p w:rsidR="009B581C" w:rsidRDefault="00404602">
            <w:pPr>
              <w:pStyle w:val="af"/>
              <w:spacing w:before="0" w:beforeAutospacing="0" w:after="0" w:afterAutospacing="0"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2017</w:t>
            </w:r>
            <w:r>
              <w:rPr>
                <w:rFonts w:ascii="Times New Roman" w:eastAsiaTheme="minorEastAsia" w:hAnsi="Times New Roman"/>
                <w:color w:val="000000"/>
                <w:sz w:val="21"/>
                <w:szCs w:val="21"/>
              </w:rPr>
              <w:t>年</w:t>
            </w:r>
            <w:r>
              <w:rPr>
                <w:rFonts w:ascii="Times New Roman" w:eastAsiaTheme="minorEastAsia" w:hAnsi="Times New Roman"/>
                <w:color w:val="000000"/>
                <w:sz w:val="21"/>
                <w:szCs w:val="21"/>
              </w:rPr>
              <w:t>1</w:t>
            </w:r>
            <w:r>
              <w:rPr>
                <w:rFonts w:ascii="Times New Roman" w:eastAsiaTheme="minorEastAsia" w:hAnsi="Times New Roman"/>
                <w:color w:val="000000"/>
                <w:sz w:val="21"/>
                <w:szCs w:val="21"/>
              </w:rPr>
              <w:t>月</w:t>
            </w:r>
            <w:r>
              <w:rPr>
                <w:rFonts w:ascii="Times New Roman" w:eastAsiaTheme="minorEastAsia" w:hAnsi="Times New Roman"/>
                <w:color w:val="000000"/>
                <w:sz w:val="21"/>
                <w:szCs w:val="21"/>
              </w:rPr>
              <w:t>1</w:t>
            </w:r>
            <w:r>
              <w:rPr>
                <w:rFonts w:ascii="Times New Roman" w:eastAsiaTheme="minorEastAsia" w:hAnsi="Times New Roman"/>
                <w:color w:val="000000"/>
                <w:sz w:val="21"/>
                <w:szCs w:val="21"/>
              </w:rPr>
              <w:t>日至</w:t>
            </w:r>
            <w:r>
              <w:rPr>
                <w:rFonts w:ascii="Times New Roman" w:eastAsiaTheme="minorEastAsia" w:hAnsi="Times New Roman"/>
                <w:color w:val="000000"/>
                <w:sz w:val="21"/>
                <w:szCs w:val="21"/>
              </w:rPr>
              <w:t>2017</w:t>
            </w:r>
            <w:r>
              <w:rPr>
                <w:rFonts w:ascii="Times New Roman" w:eastAsiaTheme="minorEastAsia" w:hAnsi="Times New Roman"/>
                <w:color w:val="000000"/>
                <w:sz w:val="21"/>
                <w:szCs w:val="21"/>
              </w:rPr>
              <w:t>年</w:t>
            </w:r>
            <w:r>
              <w:rPr>
                <w:rFonts w:ascii="Times New Roman" w:eastAsiaTheme="minorEastAsia" w:hAnsi="Times New Roman"/>
                <w:color w:val="000000"/>
                <w:sz w:val="21"/>
                <w:szCs w:val="21"/>
              </w:rPr>
              <w:t>12</w:t>
            </w:r>
            <w:r>
              <w:rPr>
                <w:rFonts w:ascii="Times New Roman" w:eastAsiaTheme="minorEastAsia" w:hAnsi="Times New Roman"/>
                <w:color w:val="000000"/>
                <w:sz w:val="21"/>
                <w:szCs w:val="21"/>
              </w:rPr>
              <w:t>月</w:t>
            </w:r>
            <w:r>
              <w:rPr>
                <w:rFonts w:ascii="Times New Roman" w:eastAsiaTheme="minorEastAsia" w:hAnsi="Times New Roman"/>
                <w:color w:val="000000"/>
                <w:sz w:val="21"/>
                <w:szCs w:val="21"/>
              </w:rPr>
              <w:t>31</w:t>
            </w:r>
            <w:r>
              <w:rPr>
                <w:rFonts w:ascii="Times New Roman" w:eastAsiaTheme="minorEastAsia" w:hAnsi="Times New Roman"/>
                <w:color w:val="000000"/>
                <w:sz w:val="21"/>
                <w:szCs w:val="21"/>
              </w:rPr>
              <w:t>日</w:t>
            </w:r>
          </w:p>
        </w:tc>
      </w:tr>
      <w:tr w:rsidR="009B581C">
        <w:trPr>
          <w:jc w:val="center"/>
        </w:trPr>
        <w:tc>
          <w:tcPr>
            <w:tcW w:w="3633" w:type="dxa"/>
            <w:vAlign w:val="center"/>
          </w:tcPr>
          <w:p w:rsidR="009B581C" w:rsidRDefault="00404602">
            <w:pPr>
              <w:spacing w:line="360" w:lineRule="auto"/>
              <w:rPr>
                <w:rFonts w:eastAsiaTheme="minorEastAsia"/>
                <w:b/>
                <w:color w:val="000000"/>
                <w:szCs w:val="21"/>
              </w:rPr>
            </w:pPr>
            <w:r>
              <w:rPr>
                <w:rFonts w:eastAsiaTheme="minorEastAsia"/>
                <w:b/>
                <w:color w:val="000000"/>
                <w:szCs w:val="21"/>
              </w:rPr>
              <w:t>一、收入</w:t>
            </w:r>
          </w:p>
        </w:tc>
        <w:tc>
          <w:tcPr>
            <w:tcW w:w="2604" w:type="dxa"/>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-6,119,707.34</w:t>
            </w:r>
          </w:p>
        </w:tc>
        <w:tc>
          <w:tcPr>
            <w:tcW w:w="2726" w:type="dxa"/>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12,470,511.21</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1.</w:t>
            </w:r>
            <w:r>
              <w:rPr>
                <w:rFonts w:eastAsiaTheme="minorEastAsia"/>
                <w:color w:val="000000"/>
                <w:szCs w:val="21"/>
              </w:rPr>
              <w:t>利息收入</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6,673.38</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9,265.97</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其中：存款利息收入</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6,673.38</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9,265.97</w:t>
            </w:r>
          </w:p>
        </w:tc>
      </w:tr>
      <w:tr w:rsidR="009B581C">
        <w:trPr>
          <w:jc w:val="center"/>
        </w:trPr>
        <w:tc>
          <w:tcPr>
            <w:tcW w:w="3633" w:type="dxa"/>
            <w:vAlign w:val="center"/>
          </w:tcPr>
          <w:p w:rsidR="009B581C" w:rsidRDefault="00404602">
            <w:pPr>
              <w:spacing w:line="360" w:lineRule="auto"/>
              <w:ind w:firstLineChars="250" w:firstLine="525"/>
              <w:rPr>
                <w:rFonts w:eastAsiaTheme="minorEastAsia"/>
                <w:color w:val="000000"/>
                <w:szCs w:val="21"/>
              </w:rPr>
            </w:pPr>
            <w:r>
              <w:rPr>
                <w:rFonts w:eastAsiaTheme="minorEastAsia"/>
                <w:color w:val="000000"/>
                <w:szCs w:val="21"/>
              </w:rPr>
              <w:t>债券利息收入</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ind w:firstLineChars="250" w:firstLine="525"/>
              <w:rPr>
                <w:rFonts w:eastAsiaTheme="minorEastAsia"/>
                <w:color w:val="000000"/>
                <w:szCs w:val="21"/>
              </w:rPr>
            </w:pPr>
            <w:r>
              <w:rPr>
                <w:rFonts w:eastAsiaTheme="minorEastAsia"/>
                <w:color w:val="000000"/>
                <w:szCs w:val="21"/>
              </w:rPr>
              <w:t>资产支持证券利息收入</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ind w:firstLineChars="250" w:firstLine="525"/>
              <w:rPr>
                <w:rFonts w:eastAsiaTheme="minorEastAsia"/>
                <w:color w:val="000000"/>
                <w:szCs w:val="21"/>
              </w:rPr>
            </w:pPr>
            <w:r>
              <w:rPr>
                <w:rFonts w:eastAsiaTheme="minorEastAsia"/>
                <w:color w:val="000000"/>
                <w:szCs w:val="21"/>
              </w:rPr>
              <w:t>买入返售金融资产收入</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ind w:firstLineChars="250" w:firstLine="525"/>
              <w:rPr>
                <w:rFonts w:eastAsiaTheme="minorEastAsia"/>
                <w:color w:val="000000"/>
                <w:szCs w:val="21"/>
              </w:rPr>
            </w:pPr>
            <w:r>
              <w:rPr>
                <w:rFonts w:eastAsiaTheme="minorEastAsia"/>
                <w:color w:val="000000"/>
                <w:szCs w:val="21"/>
              </w:rPr>
              <w:t>其他利息收入</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2.</w:t>
            </w:r>
            <w:r>
              <w:rPr>
                <w:rFonts w:eastAsiaTheme="minorEastAsia"/>
                <w:color w:val="000000"/>
                <w:szCs w:val="21"/>
              </w:rPr>
              <w:t>投资收益（损失以</w:t>
            </w:r>
            <w:r>
              <w:rPr>
                <w:rFonts w:eastAsiaTheme="minorEastAsia"/>
                <w:color w:val="000000"/>
                <w:szCs w:val="21"/>
              </w:rPr>
              <w:t>“-”</w:t>
            </w:r>
            <w:r>
              <w:rPr>
                <w:rFonts w:eastAsiaTheme="minorEastAsia"/>
                <w:color w:val="000000"/>
                <w:szCs w:val="21"/>
              </w:rPr>
              <w:t>填列）</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-106,327.85</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7,096,254.29</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其中：股票投资收益</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-824,267.84</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6,548,061.16</w:t>
            </w:r>
          </w:p>
        </w:tc>
      </w:tr>
      <w:tr w:rsidR="009B581C">
        <w:trPr>
          <w:jc w:val="center"/>
        </w:trPr>
        <w:tc>
          <w:tcPr>
            <w:tcW w:w="3633" w:type="dxa"/>
            <w:vAlign w:val="center"/>
          </w:tcPr>
          <w:p w:rsidR="009B581C" w:rsidRDefault="00404602">
            <w:pPr>
              <w:spacing w:line="360" w:lineRule="auto"/>
              <w:ind w:firstLineChars="300" w:firstLine="630"/>
              <w:rPr>
                <w:rFonts w:eastAsiaTheme="minorEastAsia"/>
                <w:color w:val="000000"/>
                <w:szCs w:val="21"/>
              </w:rPr>
            </w:pPr>
            <w:r>
              <w:rPr>
                <w:rFonts w:eastAsiaTheme="minorEastAsia"/>
                <w:color w:val="000000"/>
                <w:szCs w:val="21"/>
              </w:rPr>
              <w:t>基金投资收益</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tcPr>
          <w:p w:rsidR="009B581C" w:rsidRDefault="00404602">
            <w:pPr>
              <w:spacing w:line="360" w:lineRule="auto"/>
              <w:ind w:firstLineChars="300" w:firstLine="630"/>
              <w:rPr>
                <w:rFonts w:eastAsiaTheme="minorEastAsia"/>
                <w:color w:val="000000"/>
                <w:szCs w:val="21"/>
              </w:rPr>
            </w:pPr>
            <w:r>
              <w:rPr>
                <w:rFonts w:eastAsiaTheme="minorEastAsia"/>
                <w:color w:val="000000"/>
                <w:szCs w:val="21"/>
              </w:rPr>
              <w:t>债券投资收益</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tcPr>
          <w:p w:rsidR="009B581C" w:rsidRDefault="00404602">
            <w:pPr>
              <w:spacing w:line="360" w:lineRule="auto"/>
              <w:ind w:firstLineChars="300" w:firstLine="630"/>
              <w:rPr>
                <w:rFonts w:eastAsiaTheme="minorEastAsia"/>
                <w:color w:val="000000"/>
                <w:szCs w:val="21"/>
              </w:rPr>
            </w:pPr>
            <w:r>
              <w:rPr>
                <w:rFonts w:eastAsiaTheme="minorEastAsia"/>
                <w:color w:val="000000"/>
                <w:szCs w:val="21"/>
              </w:rPr>
              <w:t>资产支持证券投资收益</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tcPr>
          <w:p w:rsidR="009B581C" w:rsidRDefault="00404602">
            <w:pPr>
              <w:spacing w:line="360" w:lineRule="auto"/>
              <w:ind w:firstLineChars="300" w:firstLine="630"/>
              <w:rPr>
                <w:rFonts w:eastAsiaTheme="minorEastAsia"/>
                <w:color w:val="000000"/>
                <w:szCs w:val="21"/>
              </w:rPr>
            </w:pPr>
            <w:r>
              <w:t>贵金属投资收益</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ind w:firstLineChars="300" w:firstLine="630"/>
              <w:rPr>
                <w:rFonts w:eastAsiaTheme="minorEastAsia"/>
                <w:color w:val="000000"/>
                <w:szCs w:val="21"/>
              </w:rPr>
            </w:pPr>
            <w:r>
              <w:rPr>
                <w:rFonts w:eastAsiaTheme="minorEastAsia"/>
                <w:color w:val="000000"/>
                <w:szCs w:val="21"/>
              </w:rPr>
              <w:t>衍生工具收益</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ind w:firstLineChars="300" w:firstLine="630"/>
              <w:rPr>
                <w:rFonts w:eastAsiaTheme="minorEastAsia"/>
                <w:color w:val="000000"/>
                <w:szCs w:val="21"/>
              </w:rPr>
            </w:pPr>
            <w:r>
              <w:rPr>
                <w:rFonts w:eastAsiaTheme="minorEastAsia"/>
                <w:color w:val="000000"/>
                <w:szCs w:val="21"/>
              </w:rPr>
              <w:t>股利收益</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717,939.99</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548,193.13</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3.</w:t>
            </w:r>
            <w:r>
              <w:rPr>
                <w:rFonts w:eastAsiaTheme="minorEastAsia"/>
                <w:color w:val="000000"/>
                <w:szCs w:val="21"/>
              </w:rPr>
              <w:t>公允价值变动收益（损失以</w:t>
            </w:r>
            <w:r>
              <w:rPr>
                <w:rFonts w:eastAsiaTheme="minorEastAsia"/>
                <w:color w:val="000000"/>
                <w:szCs w:val="21"/>
              </w:rPr>
              <w:t>“-”</w:t>
            </w:r>
            <w:r>
              <w:rPr>
                <w:rFonts w:eastAsiaTheme="minorEastAsia"/>
                <w:color w:val="000000"/>
                <w:szCs w:val="21"/>
              </w:rPr>
              <w:t>号填列）</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-6,043,098.03</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5,421,031.57</w:t>
            </w:r>
          </w:p>
        </w:tc>
      </w:tr>
      <w:tr w:rsidR="009B581C">
        <w:trPr>
          <w:jc w:val="center"/>
        </w:trPr>
        <w:tc>
          <w:tcPr>
            <w:tcW w:w="3633" w:type="dxa"/>
            <w:vAlign w:val="center"/>
          </w:tcPr>
          <w:p w:rsidR="009B581C" w:rsidRDefault="00404602">
            <w:pPr>
              <w:pStyle w:val="af"/>
              <w:spacing w:line="36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4.</w:t>
            </w:r>
            <w:r>
              <w:rPr>
                <w:rFonts w:ascii="Times New Roman" w:eastAsiaTheme="minorEastAsia" w:hAnsi="Times New Roman"/>
                <w:color w:val="000000"/>
                <w:sz w:val="21"/>
                <w:szCs w:val="21"/>
              </w:rPr>
              <w:t>汇兑收益（损失以</w:t>
            </w:r>
            <w:r>
              <w:rPr>
                <w:rFonts w:ascii="Times New Roman" w:eastAsiaTheme="minorEastAsia" w:hAnsi="Times New Roman"/>
                <w:color w:val="000000"/>
                <w:sz w:val="21"/>
                <w:szCs w:val="21"/>
              </w:rPr>
              <w:t>“</w:t>
            </w:r>
            <w:r>
              <w:rPr>
                <w:rFonts w:ascii="Times New Roman" w:eastAsiaTheme="minorEastAsia" w:hAnsi="Times New Roman"/>
                <w:color w:val="000000"/>
                <w:sz w:val="21"/>
                <w:szCs w:val="21"/>
              </w:rPr>
              <w:t>－</w:t>
            </w:r>
            <w:r>
              <w:rPr>
                <w:rFonts w:ascii="Times New Roman" w:eastAsiaTheme="minorEastAsia" w:hAnsi="Times New Roman"/>
                <w:color w:val="000000"/>
                <w:sz w:val="21"/>
                <w:szCs w:val="21"/>
              </w:rPr>
              <w:t>”</w:t>
            </w:r>
            <w:r>
              <w:rPr>
                <w:rFonts w:ascii="Times New Roman" w:eastAsiaTheme="minorEastAsia" w:hAnsi="Times New Roman"/>
                <w:color w:val="000000"/>
                <w:sz w:val="21"/>
                <w:szCs w:val="21"/>
              </w:rPr>
              <w:t>号填列）</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5.</w:t>
            </w:r>
            <w:r>
              <w:rPr>
                <w:rFonts w:eastAsiaTheme="minorEastAsia"/>
                <w:color w:val="000000"/>
                <w:szCs w:val="21"/>
              </w:rPr>
              <w:t>其他收入（损失以</w:t>
            </w:r>
            <w:r>
              <w:rPr>
                <w:rFonts w:eastAsiaTheme="minorEastAsia"/>
                <w:color w:val="000000"/>
                <w:szCs w:val="21"/>
              </w:rPr>
              <w:t>“-”</w:t>
            </w:r>
            <w:r>
              <w:rPr>
                <w:rFonts w:eastAsiaTheme="minorEastAsia"/>
                <w:color w:val="000000"/>
                <w:szCs w:val="21"/>
              </w:rPr>
              <w:t>号填列）</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23,045.16</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-56,040.62</w:t>
            </w:r>
          </w:p>
        </w:tc>
      </w:tr>
      <w:tr w:rsidR="009B581C">
        <w:trPr>
          <w:jc w:val="center"/>
        </w:trPr>
        <w:tc>
          <w:tcPr>
            <w:tcW w:w="3633" w:type="dxa"/>
            <w:vAlign w:val="center"/>
          </w:tcPr>
          <w:p w:rsidR="009B581C" w:rsidRDefault="00404602">
            <w:pPr>
              <w:spacing w:line="360" w:lineRule="auto"/>
              <w:rPr>
                <w:rFonts w:eastAsiaTheme="minorEastAsia"/>
                <w:b/>
                <w:color w:val="000000"/>
                <w:szCs w:val="21"/>
              </w:rPr>
            </w:pPr>
            <w:r>
              <w:rPr>
                <w:rFonts w:eastAsiaTheme="minorEastAsia"/>
                <w:b/>
                <w:color w:val="000000"/>
                <w:szCs w:val="21"/>
              </w:rPr>
              <w:t>减：二、费用</w:t>
            </w:r>
          </w:p>
        </w:tc>
        <w:tc>
          <w:tcPr>
            <w:tcW w:w="2604" w:type="dxa"/>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490,247.04</w:t>
            </w:r>
          </w:p>
        </w:tc>
        <w:tc>
          <w:tcPr>
            <w:tcW w:w="2726" w:type="dxa"/>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600,856.09</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1</w:t>
            </w:r>
            <w:r>
              <w:rPr>
                <w:rFonts w:eastAsiaTheme="minorEastAsia"/>
                <w:color w:val="000000"/>
                <w:szCs w:val="21"/>
              </w:rPr>
              <w:t>．管理人报酬</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185,689.33</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254,189.22</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2</w:t>
            </w:r>
            <w:r>
              <w:rPr>
                <w:rFonts w:eastAsiaTheme="minorEastAsia"/>
                <w:color w:val="000000"/>
                <w:szCs w:val="21"/>
              </w:rPr>
              <w:t>．托管费</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37,137.83</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50,837.91</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3</w:t>
            </w:r>
            <w:r>
              <w:rPr>
                <w:rFonts w:eastAsiaTheme="minorEastAsia"/>
                <w:color w:val="000000"/>
                <w:szCs w:val="21"/>
              </w:rPr>
              <w:t>．销售服务费</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4</w:t>
            </w:r>
            <w:r>
              <w:rPr>
                <w:rFonts w:eastAsiaTheme="minorEastAsia"/>
                <w:color w:val="000000"/>
                <w:szCs w:val="21"/>
              </w:rPr>
              <w:t>．交易费用</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37,594.56</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33,567.90</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5</w:t>
            </w:r>
            <w:r>
              <w:rPr>
                <w:rFonts w:eastAsiaTheme="minorEastAsia"/>
                <w:color w:val="000000"/>
                <w:szCs w:val="21"/>
              </w:rPr>
              <w:t>．利息支出</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其中：卖出回购金融资产支出</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hint="eastAsia"/>
                <w:color w:val="000000"/>
                <w:szCs w:val="21"/>
              </w:rPr>
              <w:t>6</w:t>
            </w:r>
            <w:r>
              <w:rPr>
                <w:rFonts w:eastAsiaTheme="minorEastAsia"/>
                <w:color w:val="000000"/>
                <w:szCs w:val="21"/>
              </w:rPr>
              <w:t>．</w:t>
            </w:r>
            <w:r>
              <w:rPr>
                <w:rFonts w:eastAsiaTheme="minorEastAsia" w:hint="eastAsia"/>
                <w:color w:val="000000"/>
                <w:szCs w:val="21"/>
              </w:rPr>
              <w:t>税金及附加</w:t>
            </w:r>
          </w:p>
        </w:tc>
        <w:tc>
          <w:tcPr>
            <w:tcW w:w="2604" w:type="dxa"/>
            <w:vAlign w:val="bottom"/>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bottom"/>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rPr>
                <w:rFonts w:eastAsiaTheme="minorEastAsia"/>
                <w:color w:val="000000"/>
                <w:szCs w:val="21"/>
              </w:rPr>
            </w:pPr>
            <w:r>
              <w:rPr>
                <w:rFonts w:eastAsiaTheme="minorEastAsia"/>
                <w:color w:val="000000"/>
                <w:szCs w:val="21"/>
              </w:rPr>
              <w:t>7</w:t>
            </w:r>
            <w:r>
              <w:rPr>
                <w:rFonts w:eastAsiaTheme="minorEastAsia"/>
                <w:color w:val="000000"/>
                <w:szCs w:val="21"/>
              </w:rPr>
              <w:t>．其他费用</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229,825.32</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262,261.06</w:t>
            </w:r>
          </w:p>
        </w:tc>
      </w:tr>
      <w:tr w:rsidR="009B581C">
        <w:trPr>
          <w:jc w:val="center"/>
        </w:trPr>
        <w:tc>
          <w:tcPr>
            <w:tcW w:w="3633" w:type="dxa"/>
            <w:vAlign w:val="center"/>
          </w:tcPr>
          <w:p w:rsidR="009B581C" w:rsidRDefault="00404602">
            <w:pPr>
              <w:spacing w:line="360" w:lineRule="auto"/>
              <w:rPr>
                <w:rFonts w:eastAsiaTheme="minorEastAsia"/>
                <w:b/>
                <w:color w:val="000000"/>
                <w:szCs w:val="21"/>
              </w:rPr>
            </w:pPr>
            <w:r>
              <w:rPr>
                <w:rFonts w:eastAsiaTheme="minorEastAsia"/>
                <w:b/>
                <w:color w:val="000000"/>
                <w:szCs w:val="21"/>
              </w:rPr>
              <w:t>三、利润总额（亏损总额以</w:t>
            </w:r>
            <w:r>
              <w:rPr>
                <w:rFonts w:eastAsiaTheme="minorEastAsia"/>
                <w:b/>
                <w:color w:val="000000"/>
                <w:szCs w:val="21"/>
              </w:rPr>
              <w:t>“-”</w:t>
            </w:r>
            <w:r>
              <w:rPr>
                <w:rFonts w:eastAsiaTheme="minorEastAsia"/>
                <w:b/>
                <w:color w:val="000000"/>
                <w:szCs w:val="21"/>
              </w:rPr>
              <w:t>号填列）</w:t>
            </w:r>
          </w:p>
        </w:tc>
        <w:tc>
          <w:tcPr>
            <w:tcW w:w="2604" w:type="dxa"/>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-6,609,954.38</w:t>
            </w:r>
          </w:p>
        </w:tc>
        <w:tc>
          <w:tcPr>
            <w:tcW w:w="2726" w:type="dxa"/>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11,869,655.12</w:t>
            </w:r>
          </w:p>
        </w:tc>
      </w:tr>
      <w:tr w:rsidR="009B581C">
        <w:trPr>
          <w:jc w:val="center"/>
        </w:trPr>
        <w:tc>
          <w:tcPr>
            <w:tcW w:w="3633" w:type="dxa"/>
            <w:vAlign w:val="center"/>
          </w:tcPr>
          <w:p w:rsidR="009B581C" w:rsidRDefault="00404602">
            <w:pPr>
              <w:spacing w:line="360" w:lineRule="auto"/>
              <w:rPr>
                <w:rFonts w:eastAsiaTheme="minorEastAsia"/>
                <w:b/>
                <w:color w:val="000000"/>
                <w:szCs w:val="21"/>
              </w:rPr>
            </w:pPr>
            <w:r>
              <w:rPr>
                <w:rFonts w:eastAsiaTheme="minorEastAsia"/>
                <w:szCs w:val="21"/>
              </w:rPr>
              <w:t>减：所得税费用</w:t>
            </w:r>
          </w:p>
        </w:tc>
        <w:tc>
          <w:tcPr>
            <w:tcW w:w="2604"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72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rPr>
          <w:jc w:val="center"/>
        </w:trPr>
        <w:tc>
          <w:tcPr>
            <w:tcW w:w="3633" w:type="dxa"/>
            <w:vAlign w:val="center"/>
          </w:tcPr>
          <w:p w:rsidR="009B581C" w:rsidRDefault="00404602">
            <w:pPr>
              <w:spacing w:line="360" w:lineRule="auto"/>
              <w:rPr>
                <w:rFonts w:eastAsiaTheme="minorEastAsia"/>
                <w:b/>
                <w:color w:val="000000"/>
                <w:szCs w:val="21"/>
              </w:rPr>
            </w:pPr>
            <w:r>
              <w:rPr>
                <w:rFonts w:eastAsiaTheme="minorEastAsia"/>
                <w:b/>
                <w:color w:val="000000"/>
                <w:szCs w:val="21"/>
              </w:rPr>
              <w:t>四、净利润（净亏损以</w:t>
            </w:r>
            <w:r>
              <w:rPr>
                <w:rFonts w:eastAsiaTheme="minorEastAsia"/>
                <w:b/>
                <w:color w:val="000000"/>
                <w:szCs w:val="21"/>
              </w:rPr>
              <w:t>“-”</w:t>
            </w:r>
            <w:r>
              <w:rPr>
                <w:rFonts w:eastAsiaTheme="minorEastAsia"/>
                <w:b/>
                <w:color w:val="000000"/>
                <w:szCs w:val="21"/>
              </w:rPr>
              <w:t>号填列）</w:t>
            </w:r>
          </w:p>
        </w:tc>
        <w:tc>
          <w:tcPr>
            <w:tcW w:w="2604" w:type="dxa"/>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-6,609,954.38</w:t>
            </w:r>
          </w:p>
        </w:tc>
        <w:tc>
          <w:tcPr>
            <w:tcW w:w="2726" w:type="dxa"/>
            <w:vAlign w:val="center"/>
          </w:tcPr>
          <w:p w:rsidR="009B581C" w:rsidRDefault="00404602">
            <w:pPr>
              <w:spacing w:line="360" w:lineRule="auto"/>
              <w:jc w:val="right"/>
              <w:rPr>
                <w:rFonts w:eastAsiaTheme="minorEastAsia"/>
                <w:b/>
                <w:color w:val="000000"/>
                <w:szCs w:val="21"/>
              </w:rPr>
            </w:pPr>
            <w:r>
              <w:rPr>
                <w:rFonts w:eastAsiaTheme="minorEastAsia"/>
                <w:b/>
                <w:color w:val="000000"/>
                <w:szCs w:val="21"/>
              </w:rPr>
              <w:t>11,869,655.12</w:t>
            </w:r>
          </w:p>
        </w:tc>
      </w:tr>
    </w:tbl>
    <w:p w:rsidR="009B581C" w:rsidRDefault="00404602">
      <w:pPr>
        <w:spacing w:line="360" w:lineRule="auto"/>
        <w:outlineLvl w:val="1"/>
        <w:rPr>
          <w:rFonts w:eastAsiaTheme="minorEastAsia"/>
          <w:b/>
          <w:bCs/>
          <w:kern w:val="0"/>
          <w:szCs w:val="21"/>
        </w:rPr>
      </w:pPr>
      <w:r>
        <w:rPr>
          <w:rFonts w:eastAsiaTheme="minorEastAsia"/>
          <w:b/>
          <w:bCs/>
          <w:kern w:val="0"/>
          <w:szCs w:val="21"/>
        </w:rPr>
        <w:t xml:space="preserve">7.3 </w:t>
      </w:r>
      <w:r>
        <w:rPr>
          <w:rFonts w:eastAsiaTheme="minorEastAsia"/>
          <w:b/>
          <w:bCs/>
          <w:kern w:val="0"/>
          <w:szCs w:val="21"/>
        </w:rPr>
        <w:t>所有者权益（基金净值）变动表</w:t>
      </w:r>
      <w:bookmarkEnd w:id="56"/>
      <w:bookmarkEnd w:id="57"/>
    </w:p>
    <w:p w:rsidR="009B581C" w:rsidRDefault="00404602">
      <w:pPr>
        <w:spacing w:line="360" w:lineRule="auto"/>
        <w:rPr>
          <w:rFonts w:eastAsiaTheme="minorEastAsia"/>
          <w:kern w:val="0"/>
          <w:szCs w:val="21"/>
        </w:rPr>
      </w:pPr>
      <w:r>
        <w:rPr>
          <w:rFonts w:eastAsiaTheme="minorEastAsia"/>
          <w:color w:val="000000"/>
          <w:szCs w:val="21"/>
        </w:rPr>
        <w:t>会计主体：</w:t>
      </w:r>
      <w:r>
        <w:rPr>
          <w:rFonts w:eastAsiaTheme="minorEastAsia"/>
          <w:kern w:val="0"/>
          <w:szCs w:val="21"/>
        </w:rPr>
        <w:t>广发中证全指主要消费交易型开放式指数证券投资基金</w:t>
      </w:r>
    </w:p>
    <w:p w:rsidR="009B581C" w:rsidRDefault="00404602">
      <w:pPr>
        <w:spacing w:line="360" w:lineRule="auto"/>
        <w:rPr>
          <w:rFonts w:eastAsiaTheme="minorEastAsia"/>
          <w:kern w:val="0"/>
          <w:szCs w:val="21"/>
        </w:rPr>
      </w:pPr>
      <w:r>
        <w:rPr>
          <w:rFonts w:eastAsiaTheme="minorEastAsia"/>
          <w:color w:val="000000"/>
          <w:szCs w:val="21"/>
        </w:rPr>
        <w:t>本报告期：</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2018</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w:t>
      </w:r>
    </w:p>
    <w:p w:rsidR="009B581C" w:rsidRDefault="00404602">
      <w:pPr>
        <w:autoSpaceDE w:val="0"/>
        <w:autoSpaceDN w:val="0"/>
        <w:adjustRightInd w:val="0"/>
        <w:spacing w:before="29" w:line="360" w:lineRule="auto"/>
        <w:ind w:left="15"/>
        <w:jc w:val="right"/>
        <w:rPr>
          <w:rFonts w:eastAsiaTheme="minorEastAsia"/>
          <w:color w:val="000000"/>
          <w:kern w:val="0"/>
          <w:szCs w:val="21"/>
        </w:rPr>
      </w:pPr>
      <w:r>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196"/>
        <w:gridCol w:w="2197"/>
        <w:gridCol w:w="2197"/>
      </w:tblGrid>
      <w:tr w:rsidR="009B581C">
        <w:tc>
          <w:tcPr>
            <w:tcW w:w="2410" w:type="dxa"/>
            <w:vMerge w:val="restart"/>
            <w:vAlign w:val="center"/>
          </w:tcPr>
          <w:p w:rsidR="009B581C" w:rsidRDefault="00404602">
            <w:pPr>
              <w:spacing w:line="360" w:lineRule="auto"/>
              <w:jc w:val="center"/>
              <w:rPr>
                <w:rFonts w:eastAsiaTheme="minorEastAsia"/>
                <w:b/>
                <w:color w:val="000000"/>
                <w:szCs w:val="21"/>
              </w:rPr>
            </w:pPr>
            <w:r>
              <w:rPr>
                <w:rFonts w:eastAsiaTheme="minorEastAsia"/>
                <w:b/>
                <w:color w:val="000000"/>
                <w:szCs w:val="21"/>
              </w:rPr>
              <w:t>项目</w:t>
            </w:r>
          </w:p>
        </w:tc>
        <w:tc>
          <w:tcPr>
            <w:tcW w:w="6590" w:type="dxa"/>
            <w:gridSpan w:val="3"/>
            <w:vAlign w:val="center"/>
          </w:tcPr>
          <w:p w:rsidR="009B581C" w:rsidRDefault="00404602">
            <w:pPr>
              <w:spacing w:line="360" w:lineRule="auto"/>
              <w:jc w:val="center"/>
              <w:rPr>
                <w:rFonts w:eastAsiaTheme="minorEastAsia"/>
                <w:b/>
                <w:color w:val="000000"/>
                <w:szCs w:val="21"/>
              </w:rPr>
            </w:pPr>
            <w:r>
              <w:rPr>
                <w:rFonts w:eastAsiaTheme="minorEastAsia"/>
                <w:b/>
                <w:color w:val="000000"/>
                <w:szCs w:val="21"/>
              </w:rPr>
              <w:t>本期</w:t>
            </w:r>
          </w:p>
          <w:p w:rsidR="009B581C" w:rsidRDefault="00404602">
            <w:pPr>
              <w:pStyle w:val="af"/>
              <w:spacing w:before="0" w:beforeAutospacing="0" w:after="0" w:afterAutospacing="0" w:line="360" w:lineRule="auto"/>
              <w:jc w:val="center"/>
              <w:rPr>
                <w:rFonts w:ascii="Times New Roman" w:eastAsiaTheme="minorEastAsia" w:hAnsi="Times New Roman"/>
                <w:b/>
                <w:color w:val="000000"/>
                <w:sz w:val="21"/>
                <w:szCs w:val="21"/>
              </w:rPr>
            </w:pPr>
            <w:r>
              <w:rPr>
                <w:rFonts w:ascii="Times New Roman" w:eastAsiaTheme="minorEastAsia" w:hAnsi="Times New Roman"/>
                <w:b/>
                <w:sz w:val="21"/>
                <w:szCs w:val="21"/>
              </w:rPr>
              <w:t>2018</w:t>
            </w:r>
            <w:r>
              <w:rPr>
                <w:rFonts w:ascii="Times New Roman" w:eastAsiaTheme="minorEastAsia" w:hAnsi="Times New Roman"/>
                <w:b/>
                <w:sz w:val="21"/>
                <w:szCs w:val="21"/>
              </w:rPr>
              <w:t>年</w:t>
            </w:r>
            <w:r>
              <w:rPr>
                <w:rFonts w:ascii="Times New Roman" w:eastAsiaTheme="minorEastAsia" w:hAnsi="Times New Roman"/>
                <w:b/>
                <w:sz w:val="21"/>
                <w:szCs w:val="21"/>
              </w:rPr>
              <w:t>1</w:t>
            </w:r>
            <w:r>
              <w:rPr>
                <w:rFonts w:ascii="Times New Roman" w:eastAsiaTheme="minorEastAsia" w:hAnsi="Times New Roman"/>
                <w:b/>
                <w:sz w:val="21"/>
                <w:szCs w:val="21"/>
              </w:rPr>
              <w:t>月</w:t>
            </w:r>
            <w:r>
              <w:rPr>
                <w:rFonts w:ascii="Times New Roman" w:eastAsiaTheme="minorEastAsia" w:hAnsi="Times New Roman"/>
                <w:b/>
                <w:sz w:val="21"/>
                <w:szCs w:val="21"/>
              </w:rPr>
              <w:t>1</w:t>
            </w:r>
            <w:r>
              <w:rPr>
                <w:rFonts w:ascii="Times New Roman" w:eastAsiaTheme="minorEastAsia" w:hAnsi="Times New Roman"/>
                <w:b/>
                <w:sz w:val="21"/>
                <w:szCs w:val="21"/>
              </w:rPr>
              <w:t>日至</w:t>
            </w:r>
            <w:r>
              <w:rPr>
                <w:rFonts w:ascii="Times New Roman" w:eastAsiaTheme="minorEastAsia" w:hAnsi="Times New Roman"/>
                <w:b/>
                <w:sz w:val="21"/>
                <w:szCs w:val="21"/>
              </w:rPr>
              <w:t>2018</w:t>
            </w:r>
            <w:r>
              <w:rPr>
                <w:rFonts w:ascii="Times New Roman" w:eastAsiaTheme="minorEastAsia" w:hAnsi="Times New Roman"/>
                <w:b/>
                <w:sz w:val="21"/>
                <w:szCs w:val="21"/>
              </w:rPr>
              <w:t>年</w:t>
            </w:r>
            <w:r>
              <w:rPr>
                <w:rFonts w:ascii="Times New Roman" w:eastAsiaTheme="minorEastAsia" w:hAnsi="Times New Roman"/>
                <w:b/>
                <w:sz w:val="21"/>
                <w:szCs w:val="21"/>
              </w:rPr>
              <w:t>12</w:t>
            </w:r>
            <w:r>
              <w:rPr>
                <w:rFonts w:ascii="Times New Roman" w:eastAsiaTheme="minorEastAsia" w:hAnsi="Times New Roman"/>
                <w:b/>
                <w:sz w:val="21"/>
                <w:szCs w:val="21"/>
              </w:rPr>
              <w:t>月</w:t>
            </w:r>
            <w:r>
              <w:rPr>
                <w:rFonts w:ascii="Times New Roman" w:eastAsiaTheme="minorEastAsia" w:hAnsi="Times New Roman"/>
                <w:b/>
                <w:sz w:val="21"/>
                <w:szCs w:val="21"/>
              </w:rPr>
              <w:t>31</w:t>
            </w:r>
            <w:r>
              <w:rPr>
                <w:rFonts w:ascii="Times New Roman" w:eastAsiaTheme="minorEastAsia" w:hAnsi="Times New Roman"/>
                <w:b/>
                <w:sz w:val="21"/>
                <w:szCs w:val="21"/>
              </w:rPr>
              <w:t>日</w:t>
            </w:r>
          </w:p>
        </w:tc>
      </w:tr>
      <w:tr w:rsidR="009B581C">
        <w:tc>
          <w:tcPr>
            <w:tcW w:w="2410" w:type="dxa"/>
            <w:vMerge/>
            <w:vAlign w:val="center"/>
          </w:tcPr>
          <w:p w:rsidR="009B581C" w:rsidRDefault="009B581C">
            <w:pPr>
              <w:widowControl/>
              <w:spacing w:line="360" w:lineRule="auto"/>
              <w:jc w:val="left"/>
              <w:rPr>
                <w:rFonts w:eastAsiaTheme="minorEastAsia"/>
                <w:b/>
                <w:color w:val="000000"/>
                <w:szCs w:val="21"/>
              </w:rPr>
            </w:pPr>
          </w:p>
        </w:tc>
        <w:tc>
          <w:tcPr>
            <w:tcW w:w="2196" w:type="dxa"/>
            <w:vAlign w:val="center"/>
          </w:tcPr>
          <w:p w:rsidR="009B581C" w:rsidRDefault="00404602">
            <w:pPr>
              <w:spacing w:line="360" w:lineRule="auto"/>
              <w:jc w:val="center"/>
              <w:rPr>
                <w:rFonts w:eastAsiaTheme="minorEastAsia"/>
                <w:b/>
                <w:color w:val="000000"/>
                <w:szCs w:val="21"/>
              </w:rPr>
            </w:pPr>
            <w:r>
              <w:rPr>
                <w:rFonts w:eastAsiaTheme="minorEastAsia"/>
                <w:b/>
                <w:color w:val="000000"/>
                <w:szCs w:val="21"/>
              </w:rPr>
              <w:t>实收基金</w:t>
            </w:r>
          </w:p>
        </w:tc>
        <w:tc>
          <w:tcPr>
            <w:tcW w:w="2197" w:type="dxa"/>
            <w:vAlign w:val="center"/>
          </w:tcPr>
          <w:p w:rsidR="009B581C" w:rsidRDefault="00404602">
            <w:pPr>
              <w:spacing w:line="360" w:lineRule="auto"/>
              <w:jc w:val="center"/>
              <w:rPr>
                <w:rFonts w:eastAsiaTheme="minorEastAsia"/>
                <w:b/>
                <w:color w:val="000000"/>
                <w:szCs w:val="21"/>
              </w:rPr>
            </w:pPr>
            <w:r>
              <w:rPr>
                <w:rFonts w:eastAsiaTheme="minorEastAsia"/>
                <w:b/>
                <w:color w:val="000000"/>
                <w:szCs w:val="21"/>
              </w:rPr>
              <w:t>未分配利润</w:t>
            </w:r>
          </w:p>
        </w:tc>
        <w:tc>
          <w:tcPr>
            <w:tcW w:w="2197" w:type="dxa"/>
            <w:vAlign w:val="center"/>
          </w:tcPr>
          <w:p w:rsidR="009B581C" w:rsidRDefault="00404602">
            <w:pPr>
              <w:spacing w:line="360" w:lineRule="auto"/>
              <w:jc w:val="center"/>
              <w:rPr>
                <w:rFonts w:eastAsiaTheme="minorEastAsia"/>
                <w:color w:val="000000"/>
                <w:szCs w:val="21"/>
              </w:rPr>
            </w:pPr>
            <w:r>
              <w:rPr>
                <w:rFonts w:eastAsiaTheme="minorEastAsia"/>
                <w:b/>
                <w:color w:val="000000"/>
                <w:szCs w:val="21"/>
              </w:rPr>
              <w:t>所有者权益合计</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一、期初所有者权益（基金净值）</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68,315,634.00</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19,476,733.73</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87,792,367.73</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二、本期经营活动产生的基金净值变动数（本期利润）</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-6,609,954.38</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-6,609,954.38</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三、本期基金份额交易产生的基金净值变动数（净值减少以</w:t>
            </w:r>
            <w:r>
              <w:rPr>
                <w:rFonts w:eastAsiaTheme="minorEastAsia"/>
                <w:color w:val="000000"/>
                <w:szCs w:val="21"/>
              </w:rPr>
              <w:t>“-”</w:t>
            </w:r>
            <w:r>
              <w:rPr>
                <w:rFonts w:eastAsiaTheme="minorEastAsia"/>
                <w:color w:val="000000"/>
                <w:szCs w:val="21"/>
              </w:rPr>
              <w:t>号填列）</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-64,000,000.00</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-12,920,640.13</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-76,920,640.13</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其中：</w:t>
            </w:r>
            <w:r>
              <w:rPr>
                <w:rFonts w:eastAsiaTheme="minorEastAsia"/>
                <w:color w:val="000000"/>
                <w:szCs w:val="21"/>
              </w:rPr>
              <w:t>1.</w:t>
            </w:r>
            <w:r>
              <w:rPr>
                <w:rFonts w:eastAsiaTheme="minorEastAsia"/>
                <w:color w:val="000000"/>
                <w:szCs w:val="21"/>
              </w:rPr>
              <w:t>基金申购款</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33,944,099.02</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8,240,346.36</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42,184,445.38</w:t>
            </w:r>
          </w:p>
        </w:tc>
      </w:tr>
      <w:tr w:rsidR="009B581C">
        <w:tc>
          <w:tcPr>
            <w:tcW w:w="2410" w:type="dxa"/>
            <w:vAlign w:val="center"/>
          </w:tcPr>
          <w:p w:rsidR="009B581C" w:rsidRDefault="00404602">
            <w:pPr>
              <w:spacing w:line="360" w:lineRule="auto"/>
              <w:ind w:firstLineChars="300" w:firstLine="630"/>
              <w:rPr>
                <w:rFonts w:eastAsiaTheme="minorEastAsia"/>
                <w:color w:val="000000"/>
                <w:szCs w:val="21"/>
              </w:rPr>
            </w:pPr>
            <w:r>
              <w:rPr>
                <w:rFonts w:eastAsiaTheme="minorEastAsia"/>
                <w:color w:val="000000"/>
                <w:szCs w:val="21"/>
              </w:rPr>
              <w:t>2.</w:t>
            </w:r>
            <w:r>
              <w:rPr>
                <w:rFonts w:eastAsiaTheme="minorEastAsia"/>
                <w:color w:val="000000"/>
                <w:szCs w:val="21"/>
              </w:rPr>
              <w:t>基金赎回款</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-97,944,099.02</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-21,160,986.49</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-119,105,085.51</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四、本期向基金份额持有人分配利润产生的基金净值变动（净值减少以</w:t>
            </w:r>
            <w:r>
              <w:rPr>
                <w:rFonts w:eastAsiaTheme="minorEastAsia"/>
                <w:color w:val="000000"/>
                <w:szCs w:val="21"/>
              </w:rPr>
              <w:t>“-”</w:t>
            </w:r>
            <w:r>
              <w:rPr>
                <w:rFonts w:eastAsiaTheme="minorEastAsia"/>
                <w:color w:val="000000"/>
                <w:szCs w:val="21"/>
              </w:rPr>
              <w:t>号填列）</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五、期末所有者权益（基金净值）</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4,315,634.00</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-53,860.78</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4,261,773.22</w:t>
            </w:r>
          </w:p>
        </w:tc>
      </w:tr>
      <w:tr w:rsidR="009B581C">
        <w:tc>
          <w:tcPr>
            <w:tcW w:w="2410" w:type="dxa"/>
            <w:vMerge w:val="restart"/>
            <w:vAlign w:val="center"/>
          </w:tcPr>
          <w:p w:rsidR="009B581C" w:rsidRDefault="00404602">
            <w:pPr>
              <w:spacing w:line="360" w:lineRule="auto"/>
              <w:jc w:val="center"/>
              <w:rPr>
                <w:rFonts w:eastAsiaTheme="minorEastAsia"/>
                <w:color w:val="000000"/>
                <w:szCs w:val="21"/>
              </w:rPr>
            </w:pPr>
            <w:r>
              <w:rPr>
                <w:rFonts w:eastAsiaTheme="minorEastAsia"/>
                <w:b/>
                <w:color w:val="000000"/>
                <w:szCs w:val="21"/>
              </w:rPr>
              <w:t>项目</w:t>
            </w:r>
          </w:p>
        </w:tc>
        <w:tc>
          <w:tcPr>
            <w:tcW w:w="6590" w:type="dxa"/>
            <w:gridSpan w:val="3"/>
            <w:vAlign w:val="center"/>
          </w:tcPr>
          <w:p w:rsidR="009B581C" w:rsidRDefault="00404602">
            <w:pPr>
              <w:spacing w:line="360" w:lineRule="auto"/>
              <w:jc w:val="center"/>
              <w:rPr>
                <w:rFonts w:eastAsiaTheme="minorEastAsia"/>
                <w:b/>
                <w:color w:val="000000"/>
                <w:szCs w:val="21"/>
              </w:rPr>
            </w:pPr>
            <w:r>
              <w:rPr>
                <w:rFonts w:eastAsiaTheme="minorEastAsia"/>
                <w:b/>
                <w:color w:val="000000"/>
                <w:szCs w:val="21"/>
              </w:rPr>
              <w:t>上年度可比期间</w:t>
            </w:r>
          </w:p>
          <w:p w:rsidR="009B581C" w:rsidRDefault="00404602">
            <w:pPr>
              <w:pStyle w:val="af"/>
              <w:spacing w:before="0" w:beforeAutospacing="0" w:after="0" w:afterAutospacing="0" w:line="360" w:lineRule="auto"/>
              <w:jc w:val="center"/>
              <w:rPr>
                <w:rFonts w:ascii="Times New Roman" w:eastAsiaTheme="minorEastAsia" w:hAnsi="Times New Roman"/>
                <w:color w:val="000000"/>
                <w:sz w:val="21"/>
                <w:szCs w:val="21"/>
              </w:rPr>
            </w:pPr>
            <w:r>
              <w:rPr>
                <w:rFonts w:ascii="Times New Roman" w:eastAsiaTheme="minorEastAsia" w:hAnsi="Times New Roman"/>
                <w:color w:val="000000"/>
                <w:sz w:val="21"/>
                <w:szCs w:val="21"/>
              </w:rPr>
              <w:t>2017</w:t>
            </w:r>
            <w:r>
              <w:rPr>
                <w:rFonts w:ascii="Times New Roman" w:eastAsiaTheme="minorEastAsia" w:hAnsi="Times New Roman"/>
                <w:color w:val="000000"/>
                <w:sz w:val="21"/>
                <w:szCs w:val="21"/>
              </w:rPr>
              <w:t>年</w:t>
            </w:r>
            <w:r>
              <w:rPr>
                <w:rFonts w:ascii="Times New Roman" w:eastAsiaTheme="minorEastAsia" w:hAnsi="Times New Roman"/>
                <w:color w:val="000000"/>
                <w:sz w:val="21"/>
                <w:szCs w:val="21"/>
              </w:rPr>
              <w:t>1</w:t>
            </w:r>
            <w:r>
              <w:rPr>
                <w:rFonts w:ascii="Times New Roman" w:eastAsiaTheme="minorEastAsia" w:hAnsi="Times New Roman"/>
                <w:color w:val="000000"/>
                <w:sz w:val="21"/>
                <w:szCs w:val="21"/>
              </w:rPr>
              <w:t>月</w:t>
            </w:r>
            <w:r>
              <w:rPr>
                <w:rFonts w:ascii="Times New Roman" w:eastAsiaTheme="minorEastAsia" w:hAnsi="Times New Roman"/>
                <w:color w:val="000000"/>
                <w:sz w:val="21"/>
                <w:szCs w:val="21"/>
              </w:rPr>
              <w:t>1</w:t>
            </w:r>
            <w:r>
              <w:rPr>
                <w:rFonts w:ascii="Times New Roman" w:eastAsiaTheme="minorEastAsia" w:hAnsi="Times New Roman"/>
                <w:color w:val="000000"/>
                <w:sz w:val="21"/>
                <w:szCs w:val="21"/>
              </w:rPr>
              <w:t>日至</w:t>
            </w:r>
            <w:r>
              <w:rPr>
                <w:rFonts w:ascii="Times New Roman" w:eastAsiaTheme="minorEastAsia" w:hAnsi="Times New Roman"/>
                <w:color w:val="000000"/>
                <w:sz w:val="21"/>
                <w:szCs w:val="21"/>
              </w:rPr>
              <w:t>2017</w:t>
            </w:r>
            <w:r>
              <w:rPr>
                <w:rFonts w:ascii="Times New Roman" w:eastAsiaTheme="minorEastAsia" w:hAnsi="Times New Roman"/>
                <w:color w:val="000000"/>
                <w:sz w:val="21"/>
                <w:szCs w:val="21"/>
              </w:rPr>
              <w:t>年</w:t>
            </w:r>
            <w:r>
              <w:rPr>
                <w:rFonts w:ascii="Times New Roman" w:eastAsiaTheme="minorEastAsia" w:hAnsi="Times New Roman"/>
                <w:color w:val="000000"/>
                <w:sz w:val="21"/>
                <w:szCs w:val="21"/>
              </w:rPr>
              <w:t>12</w:t>
            </w:r>
            <w:r>
              <w:rPr>
                <w:rFonts w:ascii="Times New Roman" w:eastAsiaTheme="minorEastAsia" w:hAnsi="Times New Roman"/>
                <w:color w:val="000000"/>
                <w:sz w:val="21"/>
                <w:szCs w:val="21"/>
              </w:rPr>
              <w:t>月</w:t>
            </w:r>
            <w:r>
              <w:rPr>
                <w:rFonts w:ascii="Times New Roman" w:eastAsiaTheme="minorEastAsia" w:hAnsi="Times New Roman"/>
                <w:color w:val="000000"/>
                <w:sz w:val="21"/>
                <w:szCs w:val="21"/>
              </w:rPr>
              <w:t>31</w:t>
            </w:r>
            <w:r>
              <w:rPr>
                <w:rFonts w:ascii="Times New Roman" w:eastAsiaTheme="minorEastAsia" w:hAnsi="Times New Roman"/>
                <w:color w:val="000000"/>
                <w:sz w:val="21"/>
                <w:szCs w:val="21"/>
              </w:rPr>
              <w:t>日</w:t>
            </w:r>
          </w:p>
        </w:tc>
      </w:tr>
      <w:tr w:rsidR="009B581C">
        <w:tc>
          <w:tcPr>
            <w:tcW w:w="2410" w:type="dxa"/>
            <w:vMerge/>
            <w:vAlign w:val="center"/>
          </w:tcPr>
          <w:p w:rsidR="009B581C" w:rsidRDefault="009B581C">
            <w:pPr>
              <w:widowControl/>
              <w:spacing w:line="360" w:lineRule="auto"/>
              <w:jc w:val="left"/>
              <w:rPr>
                <w:rFonts w:eastAsiaTheme="minorEastAsia"/>
                <w:color w:val="000000"/>
                <w:szCs w:val="21"/>
              </w:rPr>
            </w:pPr>
          </w:p>
        </w:tc>
        <w:tc>
          <w:tcPr>
            <w:tcW w:w="2196" w:type="dxa"/>
            <w:vAlign w:val="center"/>
          </w:tcPr>
          <w:p w:rsidR="009B581C" w:rsidRDefault="00404602">
            <w:pPr>
              <w:spacing w:line="360" w:lineRule="auto"/>
              <w:jc w:val="center"/>
              <w:rPr>
                <w:rFonts w:eastAsiaTheme="minorEastAsia"/>
                <w:color w:val="000000"/>
                <w:szCs w:val="21"/>
              </w:rPr>
            </w:pPr>
            <w:r>
              <w:rPr>
                <w:rFonts w:eastAsiaTheme="minorEastAsia"/>
                <w:b/>
                <w:color w:val="000000"/>
                <w:szCs w:val="21"/>
              </w:rPr>
              <w:t>实收基金</w:t>
            </w:r>
          </w:p>
        </w:tc>
        <w:tc>
          <w:tcPr>
            <w:tcW w:w="2197" w:type="dxa"/>
          </w:tcPr>
          <w:p w:rsidR="009B581C" w:rsidRDefault="00404602">
            <w:pPr>
              <w:spacing w:line="360" w:lineRule="auto"/>
              <w:jc w:val="center"/>
              <w:rPr>
                <w:rFonts w:eastAsiaTheme="minorEastAsia"/>
                <w:color w:val="000000"/>
                <w:szCs w:val="21"/>
              </w:rPr>
            </w:pPr>
            <w:r>
              <w:rPr>
                <w:rFonts w:eastAsiaTheme="minorEastAsia"/>
                <w:b/>
                <w:color w:val="000000"/>
                <w:szCs w:val="21"/>
              </w:rPr>
              <w:t>未分配利润</w:t>
            </w:r>
          </w:p>
        </w:tc>
        <w:tc>
          <w:tcPr>
            <w:tcW w:w="2197" w:type="dxa"/>
            <w:vAlign w:val="center"/>
          </w:tcPr>
          <w:p w:rsidR="009B581C" w:rsidRDefault="00404602">
            <w:pPr>
              <w:spacing w:line="360" w:lineRule="auto"/>
              <w:jc w:val="center"/>
              <w:rPr>
                <w:rFonts w:eastAsiaTheme="minorEastAsia"/>
                <w:b/>
                <w:color w:val="000000"/>
                <w:szCs w:val="21"/>
              </w:rPr>
            </w:pPr>
            <w:r>
              <w:rPr>
                <w:rFonts w:eastAsiaTheme="minorEastAsia"/>
                <w:b/>
                <w:color w:val="000000"/>
                <w:szCs w:val="21"/>
              </w:rPr>
              <w:t>所有者权益合计</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一、期初所有者权益（基金净值）</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49,315,634.00</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-291,716.12</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49,023,917.88</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二、本期经营活动产生的基金净值变动数（本期利润）</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11,869,655.12</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11,869,655.12</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三、本期基金份额交易产生的基金净值变动数（净值减少以</w:t>
            </w:r>
            <w:r>
              <w:rPr>
                <w:rFonts w:eastAsiaTheme="minorEastAsia"/>
                <w:color w:val="000000"/>
                <w:szCs w:val="21"/>
              </w:rPr>
              <w:t>“-”</w:t>
            </w:r>
            <w:r>
              <w:rPr>
                <w:rFonts w:eastAsiaTheme="minorEastAsia"/>
                <w:color w:val="000000"/>
                <w:szCs w:val="21"/>
              </w:rPr>
              <w:t>号填列）</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19,000,000.00</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7,898,794.73</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26,898,794.73</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其中：</w:t>
            </w:r>
            <w:r>
              <w:rPr>
                <w:rFonts w:eastAsiaTheme="minorEastAsia"/>
                <w:color w:val="000000"/>
                <w:szCs w:val="21"/>
              </w:rPr>
              <w:t>1.</w:t>
            </w:r>
            <w:r>
              <w:rPr>
                <w:rFonts w:eastAsiaTheme="minorEastAsia"/>
                <w:color w:val="000000"/>
                <w:szCs w:val="21"/>
              </w:rPr>
              <w:t>基金申购款</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130,000,000.00</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18,929,619.86</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148,929,619.86</w:t>
            </w:r>
          </w:p>
        </w:tc>
      </w:tr>
      <w:tr w:rsidR="009B581C">
        <w:tc>
          <w:tcPr>
            <w:tcW w:w="2410" w:type="dxa"/>
            <w:vAlign w:val="center"/>
          </w:tcPr>
          <w:p w:rsidR="009B581C" w:rsidRDefault="00404602">
            <w:pPr>
              <w:spacing w:line="360" w:lineRule="auto"/>
              <w:ind w:firstLineChars="300" w:firstLine="630"/>
              <w:rPr>
                <w:rFonts w:eastAsiaTheme="minorEastAsia"/>
                <w:color w:val="000000"/>
                <w:szCs w:val="21"/>
              </w:rPr>
            </w:pPr>
            <w:r>
              <w:rPr>
                <w:rFonts w:eastAsiaTheme="minorEastAsia"/>
                <w:color w:val="000000"/>
                <w:szCs w:val="21"/>
              </w:rPr>
              <w:t>2.</w:t>
            </w:r>
            <w:r>
              <w:rPr>
                <w:rFonts w:eastAsiaTheme="minorEastAsia"/>
                <w:color w:val="000000"/>
                <w:szCs w:val="21"/>
              </w:rPr>
              <w:t>基金赎回款</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-111,000,000.00</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-11,030,825.13</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-122,030,825.13</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四、本期向基金份额持有人分配利润产生的基金净值变动（净值减少以</w:t>
            </w:r>
            <w:r>
              <w:rPr>
                <w:rFonts w:eastAsiaTheme="minorEastAsia"/>
                <w:color w:val="000000"/>
                <w:szCs w:val="21"/>
              </w:rPr>
              <w:t>“-”</w:t>
            </w:r>
            <w:r>
              <w:rPr>
                <w:rFonts w:eastAsiaTheme="minorEastAsia"/>
                <w:color w:val="000000"/>
                <w:szCs w:val="21"/>
              </w:rPr>
              <w:t>号填列）</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w:t>
            </w:r>
          </w:p>
        </w:tc>
      </w:tr>
      <w:tr w:rsidR="009B581C">
        <w:tc>
          <w:tcPr>
            <w:tcW w:w="2410" w:type="dxa"/>
            <w:vAlign w:val="center"/>
          </w:tcPr>
          <w:p w:rsidR="009B581C" w:rsidRDefault="00404602">
            <w:pPr>
              <w:spacing w:line="360" w:lineRule="auto"/>
              <w:rPr>
                <w:rFonts w:eastAsiaTheme="minorEastAsia"/>
                <w:color w:val="000000"/>
                <w:szCs w:val="21"/>
              </w:rPr>
            </w:pPr>
            <w:r>
              <w:rPr>
                <w:rFonts w:eastAsiaTheme="minorEastAsia"/>
                <w:color w:val="000000"/>
                <w:szCs w:val="21"/>
              </w:rPr>
              <w:t>五、期末所有者权益（基金净值）</w:t>
            </w:r>
          </w:p>
        </w:tc>
        <w:tc>
          <w:tcPr>
            <w:tcW w:w="2196"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68,315,634.00</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19,476,733.73</w:t>
            </w:r>
          </w:p>
        </w:tc>
        <w:tc>
          <w:tcPr>
            <w:tcW w:w="2197" w:type="dxa"/>
            <w:vAlign w:val="center"/>
          </w:tcPr>
          <w:p w:rsidR="009B581C" w:rsidRDefault="00404602">
            <w:pPr>
              <w:spacing w:line="360" w:lineRule="auto"/>
              <w:jc w:val="right"/>
              <w:rPr>
                <w:rFonts w:eastAsiaTheme="minorEastAsia"/>
                <w:color w:val="000000"/>
                <w:szCs w:val="21"/>
              </w:rPr>
            </w:pPr>
            <w:r>
              <w:rPr>
                <w:rFonts w:eastAsiaTheme="minorEastAsia"/>
                <w:color w:val="000000"/>
                <w:szCs w:val="21"/>
              </w:rPr>
              <w:t>87,792,367.73</w:t>
            </w:r>
          </w:p>
        </w:tc>
      </w:tr>
    </w:tbl>
    <w:p w:rsidR="009B581C" w:rsidRDefault="00404602" w:rsidP="006A74CC">
      <w:pPr>
        <w:spacing w:beforeLines="100" w:line="360" w:lineRule="auto"/>
        <w:rPr>
          <w:rFonts w:eastAsiaTheme="minorEastAsia"/>
          <w:szCs w:val="21"/>
        </w:rPr>
      </w:pPr>
      <w:r>
        <w:rPr>
          <w:rFonts w:eastAsiaTheme="minorEastAsia"/>
          <w:szCs w:val="21"/>
        </w:rPr>
        <w:t>报表附注为财务报表的组成部分。</w:t>
      </w:r>
    </w:p>
    <w:p w:rsidR="009B581C" w:rsidRDefault="00404602">
      <w:pPr>
        <w:spacing w:line="360" w:lineRule="auto"/>
        <w:rPr>
          <w:rFonts w:eastAsiaTheme="minorEastAsia"/>
          <w:szCs w:val="21"/>
        </w:rPr>
      </w:pPr>
      <w:r>
        <w:rPr>
          <w:rFonts w:eastAsiaTheme="minorEastAsia"/>
          <w:szCs w:val="21"/>
        </w:rPr>
        <w:t>本报告页码（序号）从</w:t>
      </w:r>
      <w:r>
        <w:rPr>
          <w:rFonts w:eastAsiaTheme="minorEastAsia"/>
          <w:szCs w:val="21"/>
        </w:rPr>
        <w:t>7.1</w:t>
      </w:r>
      <w:r>
        <w:rPr>
          <w:rFonts w:eastAsiaTheme="minorEastAsia"/>
          <w:szCs w:val="21"/>
        </w:rPr>
        <w:t>至</w:t>
      </w:r>
      <w:r>
        <w:rPr>
          <w:rFonts w:eastAsiaTheme="minorEastAsia"/>
          <w:szCs w:val="21"/>
        </w:rPr>
        <w:t>7.4</w:t>
      </w:r>
      <w:r>
        <w:rPr>
          <w:rFonts w:eastAsiaTheme="minorEastAsia"/>
          <w:szCs w:val="21"/>
        </w:rPr>
        <w:t>，财务报表由下列负责人签署：</w:t>
      </w:r>
    </w:p>
    <w:p w:rsidR="009B581C" w:rsidRDefault="00404602">
      <w:pPr>
        <w:spacing w:line="360" w:lineRule="auto"/>
        <w:rPr>
          <w:rFonts w:eastAsiaTheme="minorEastAsia"/>
          <w:szCs w:val="21"/>
        </w:rPr>
      </w:pPr>
      <w:r>
        <w:rPr>
          <w:rFonts w:eastAsiaTheme="minorEastAsia"/>
          <w:szCs w:val="21"/>
        </w:rPr>
        <w:t>基金管理人负责人：孙树明，主管会计工作负责人：窦刚，会计机构负责人：张晓章</w:t>
      </w:r>
    </w:p>
    <w:p w:rsidR="009B581C" w:rsidRDefault="00404602">
      <w:pPr>
        <w:spacing w:line="360" w:lineRule="auto"/>
        <w:rPr>
          <w:rFonts w:eastAsiaTheme="minorEastAsia"/>
          <w:b/>
          <w:bCs/>
          <w:kern w:val="0"/>
          <w:szCs w:val="21"/>
        </w:rPr>
      </w:pPr>
      <w:bookmarkStart w:id="58" w:name="_Toc361324876"/>
      <w:bookmarkStart w:id="59" w:name="_Toc225498271"/>
      <w:r>
        <w:rPr>
          <w:rFonts w:eastAsiaTheme="minorEastAsia"/>
          <w:b/>
          <w:bCs/>
          <w:kern w:val="0"/>
          <w:szCs w:val="21"/>
        </w:rPr>
        <w:t xml:space="preserve">7.4 </w:t>
      </w:r>
      <w:r>
        <w:rPr>
          <w:rFonts w:eastAsiaTheme="minorEastAsia"/>
          <w:b/>
          <w:bCs/>
          <w:kern w:val="0"/>
          <w:szCs w:val="21"/>
        </w:rPr>
        <w:t>报表附注</w:t>
      </w:r>
      <w:bookmarkEnd w:id="58"/>
      <w:bookmarkEnd w:id="59"/>
    </w:p>
    <w:p w:rsidR="009B581C" w:rsidRDefault="00404602">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 xml:space="preserve">7.4.1 </w:t>
      </w:r>
      <w:r>
        <w:rPr>
          <w:rFonts w:eastAsiaTheme="minorEastAsia"/>
          <w:b/>
          <w:color w:val="000000"/>
          <w:kern w:val="0"/>
          <w:szCs w:val="21"/>
        </w:rPr>
        <w:t>基金基本情况</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广发中证全指主要消费交易型开放式指数证券投资基金</w:t>
      </w:r>
      <w:r>
        <w:rPr>
          <w:rFonts w:eastAsiaTheme="minorEastAsia"/>
          <w:color w:val="000000"/>
          <w:szCs w:val="21"/>
        </w:rPr>
        <w:t xml:space="preserve"> </w:t>
      </w:r>
      <w:r>
        <w:rPr>
          <w:rFonts w:eastAsiaTheme="minorEastAsia"/>
          <w:color w:val="000000"/>
          <w:szCs w:val="21"/>
        </w:rPr>
        <w:t>（</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[2013]1264</w:t>
      </w:r>
      <w:r>
        <w:rPr>
          <w:rFonts w:eastAsiaTheme="minorEastAsia"/>
          <w:color w:val="000000"/>
          <w:szCs w:val="21"/>
        </w:rPr>
        <w:t>号文核准，由广发基金管理有限公司依照《中华人民共和国证券投资基金法》、《公开募集证券投资基金运作管理办法》等有关规定和《广发中证全指主要消费交易型开放式指数证券投资基金基金合同》（</w:t>
      </w:r>
      <w:r>
        <w:rPr>
          <w:rFonts w:eastAsiaTheme="minorEastAsia"/>
          <w:color w:val="000000"/>
          <w:szCs w:val="21"/>
        </w:rPr>
        <w:t>“</w:t>
      </w:r>
      <w:r>
        <w:rPr>
          <w:rFonts w:eastAsiaTheme="minorEastAsia"/>
          <w:color w:val="000000"/>
          <w:szCs w:val="21"/>
        </w:rPr>
        <w:t>基金合同</w:t>
      </w:r>
      <w:r>
        <w:rPr>
          <w:rFonts w:eastAsiaTheme="minorEastAsia"/>
          <w:color w:val="000000"/>
          <w:szCs w:val="21"/>
        </w:rPr>
        <w:t>”</w:t>
      </w:r>
      <w:r>
        <w:rPr>
          <w:rFonts w:eastAsiaTheme="minorEastAsia"/>
          <w:color w:val="000000"/>
          <w:szCs w:val="21"/>
        </w:rPr>
        <w:t>）发起，于</w:t>
      </w:r>
      <w:r>
        <w:rPr>
          <w:rFonts w:eastAsiaTheme="minorEastAsia"/>
          <w:color w:val="000000"/>
          <w:szCs w:val="21"/>
        </w:rPr>
        <w:t>2015</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1</w:t>
      </w:r>
      <w:r>
        <w:rPr>
          <w:rFonts w:eastAsiaTheme="minorEastAsia"/>
          <w:color w:val="000000"/>
          <w:szCs w:val="21"/>
        </w:rPr>
        <w:t>日募集成立。本基金的基金管理人为广发基金管理有限公司，基金托管人为中国银行股份有限公司。</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本基金募集期为</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15</w:t>
      </w:r>
      <w:r>
        <w:rPr>
          <w:rFonts w:eastAsiaTheme="minorEastAsia"/>
          <w:color w:val="000000"/>
          <w:szCs w:val="21"/>
        </w:rPr>
        <w:t>日至</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24</w:t>
      </w:r>
      <w:r>
        <w:rPr>
          <w:rFonts w:eastAsiaTheme="minorEastAsia"/>
          <w:color w:val="000000"/>
          <w:szCs w:val="21"/>
        </w:rPr>
        <w:t>日，本基金为交易型开放式基金，存续期限不定，募集资金总额为人民币</w:t>
      </w:r>
      <w:r>
        <w:rPr>
          <w:rFonts w:eastAsiaTheme="minorEastAsia"/>
          <w:color w:val="000000"/>
          <w:szCs w:val="21"/>
        </w:rPr>
        <w:t>255,315,634.00</w:t>
      </w:r>
      <w:r>
        <w:rPr>
          <w:rFonts w:eastAsiaTheme="minorEastAsia"/>
          <w:color w:val="000000"/>
          <w:szCs w:val="21"/>
        </w:rPr>
        <w:t>元，有效认购户数为</w:t>
      </w:r>
      <w:r>
        <w:rPr>
          <w:rFonts w:eastAsiaTheme="minorEastAsia"/>
          <w:color w:val="000000"/>
          <w:szCs w:val="21"/>
        </w:rPr>
        <w:t>2,897</w:t>
      </w:r>
      <w:r>
        <w:rPr>
          <w:rFonts w:eastAsiaTheme="minorEastAsia"/>
          <w:color w:val="000000"/>
          <w:szCs w:val="21"/>
        </w:rPr>
        <w:t>户。其中，认购资金在募集期间产生的利息共计人民币</w:t>
      </w:r>
      <w:r>
        <w:rPr>
          <w:rFonts w:eastAsiaTheme="minorEastAsia"/>
          <w:color w:val="000000"/>
          <w:szCs w:val="21"/>
        </w:rPr>
        <w:t>18,714.00</w:t>
      </w:r>
      <w:r>
        <w:rPr>
          <w:rFonts w:eastAsiaTheme="minorEastAsia"/>
          <w:color w:val="000000"/>
          <w:szCs w:val="21"/>
        </w:rPr>
        <w:t>元，折合基金份额</w:t>
      </w:r>
      <w:r>
        <w:rPr>
          <w:rFonts w:eastAsiaTheme="minorEastAsia"/>
          <w:color w:val="000000"/>
          <w:szCs w:val="21"/>
        </w:rPr>
        <w:t>18,714.00</w:t>
      </w:r>
      <w:r>
        <w:rPr>
          <w:rFonts w:eastAsiaTheme="minorEastAsia"/>
          <w:color w:val="000000"/>
          <w:szCs w:val="21"/>
        </w:rPr>
        <w:t>份，按照基金合同的有关约定计入基金份额持有人的基金账户。本基金募集资金经德勤华永会计师事务所（特殊普通合伙）验资。</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21</w:t>
      </w:r>
      <w:r>
        <w:rPr>
          <w:rFonts w:eastAsiaTheme="minorEastAsia"/>
          <w:color w:val="000000"/>
          <w:szCs w:val="21"/>
        </w:rPr>
        <w:t>日起至</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20</w:t>
      </w:r>
      <w:r>
        <w:rPr>
          <w:rFonts w:eastAsiaTheme="minorEastAsia"/>
          <w:color w:val="000000"/>
          <w:szCs w:val="21"/>
        </w:rPr>
        <w:t>日止，本基金以通讯方式召开了基金份额持有人大会。于</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21</w:t>
      </w:r>
      <w:r>
        <w:rPr>
          <w:rFonts w:eastAsiaTheme="minorEastAsia"/>
          <w:color w:val="000000"/>
          <w:szCs w:val="21"/>
        </w:rPr>
        <w:t>日，本</w:t>
      </w:r>
      <w:r>
        <w:rPr>
          <w:rFonts w:eastAsiaTheme="minorEastAsia"/>
          <w:color w:val="000000"/>
          <w:szCs w:val="21"/>
        </w:rPr>
        <w:t>基金基金份额持有人大会审议并通过了《关于广发中证全指主要消费交易型开放式指数证券投资基金终止基金合同并终止上市相关事项的议案》。根据基金管理人于</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24</w:t>
      </w:r>
      <w:r>
        <w:rPr>
          <w:rFonts w:eastAsiaTheme="minorEastAsia"/>
          <w:color w:val="000000"/>
          <w:szCs w:val="21"/>
        </w:rPr>
        <w:t>日公布的《广发基金管理有限公司关于广发中证全指主要消费交易型开放式指数证券投资基金基金份额持有人大会表决结果暨决议生效的公告》，本基金从</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25</w:t>
      </w:r>
      <w:r>
        <w:rPr>
          <w:rFonts w:eastAsiaTheme="minorEastAsia"/>
          <w:color w:val="000000"/>
          <w:szCs w:val="21"/>
        </w:rPr>
        <w:t>日起进入清算期。</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本基金的财务报表于</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28</w:t>
      </w:r>
      <w:r>
        <w:rPr>
          <w:rFonts w:eastAsiaTheme="minorEastAsia"/>
          <w:color w:val="000000"/>
          <w:szCs w:val="21"/>
        </w:rPr>
        <w:t>日已经本基金的基金管理人及基金托管人批准报出。</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 xml:space="preserve">7.4.2 </w:t>
      </w:r>
      <w:r>
        <w:rPr>
          <w:rFonts w:eastAsiaTheme="minorEastAsia"/>
          <w:b/>
          <w:color w:val="000000"/>
          <w:kern w:val="0"/>
          <w:szCs w:val="21"/>
        </w:rPr>
        <w:t>会计报表的编制基础</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本财务报表是在非持续经营的前提下参考《企业会计准则》、《证券投资基金会计核算业务指引》等有关规定以及财务报表附注</w:t>
      </w:r>
      <w:r>
        <w:rPr>
          <w:rFonts w:eastAsiaTheme="minorEastAsia"/>
          <w:color w:val="000000"/>
          <w:szCs w:val="21"/>
        </w:rPr>
        <w:t xml:space="preserve">7.4.4 </w:t>
      </w:r>
      <w:r>
        <w:rPr>
          <w:rFonts w:eastAsiaTheme="minorEastAsia"/>
          <w:color w:val="000000"/>
          <w:szCs w:val="21"/>
        </w:rPr>
        <w:t>重要会计政策和会计估计编制的。</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 xml:space="preserve">7.4.3 </w:t>
      </w:r>
      <w:r>
        <w:rPr>
          <w:rFonts w:eastAsiaTheme="minorEastAsia"/>
          <w:b/>
          <w:color w:val="000000"/>
          <w:kern w:val="0"/>
          <w:szCs w:val="21"/>
        </w:rPr>
        <w:t>遵循企业会计准则及其他有关规定的声明</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本基金财务报表的编制符合企业会计准则、中国证监会发布的关于基金行业实务操作以及财务报表附注</w:t>
      </w:r>
      <w:r>
        <w:rPr>
          <w:rFonts w:eastAsiaTheme="minorEastAsia"/>
          <w:color w:val="000000"/>
          <w:szCs w:val="21"/>
        </w:rPr>
        <w:t xml:space="preserve">7.4.2 </w:t>
      </w:r>
      <w:r>
        <w:rPr>
          <w:rFonts w:eastAsiaTheme="minorEastAsia"/>
          <w:color w:val="000000"/>
          <w:szCs w:val="21"/>
        </w:rPr>
        <w:t>会计报表的编制基础的有关规定的要求，真实、完整地反映了本基金</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日的财务状况以及</w:t>
      </w:r>
      <w:r>
        <w:rPr>
          <w:rFonts w:eastAsiaTheme="minorEastAsia"/>
          <w:color w:val="000000"/>
          <w:szCs w:val="21"/>
        </w:rPr>
        <w:t>2018</w:t>
      </w:r>
      <w:r>
        <w:rPr>
          <w:rFonts w:eastAsiaTheme="minorEastAsia"/>
          <w:color w:val="000000"/>
          <w:szCs w:val="21"/>
        </w:rPr>
        <w:t>年度的经营成果和基金净值变动情况。</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 xml:space="preserve">7.4.4 </w:t>
      </w:r>
      <w:r>
        <w:rPr>
          <w:rFonts w:eastAsiaTheme="minorEastAsia"/>
          <w:b/>
          <w:kern w:val="0"/>
          <w:szCs w:val="21"/>
        </w:rPr>
        <w:t>本报告期所采用的会计政策、会计估计与最近一期年度报告相一致的说明</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本报告期所采用的会计政策、会计估计与最近一期年度报告相一致。</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 xml:space="preserve">7.4.5 </w:t>
      </w:r>
      <w:r>
        <w:rPr>
          <w:rFonts w:eastAsiaTheme="minorEastAsia"/>
          <w:b/>
          <w:color w:val="000000"/>
          <w:kern w:val="0"/>
          <w:szCs w:val="21"/>
        </w:rPr>
        <w:t>会计政策和会计估计变更以及差错更正的说明</w:t>
      </w:r>
    </w:p>
    <w:p w:rsidR="009B581C" w:rsidRDefault="00404602">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7.4.5.1</w:t>
      </w:r>
      <w:r>
        <w:rPr>
          <w:rFonts w:eastAsiaTheme="minorEastAsia"/>
          <w:b/>
          <w:color w:val="000000"/>
          <w:kern w:val="0"/>
          <w:szCs w:val="21"/>
        </w:rPr>
        <w:t>会计政策变更的说明</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本基金在本报告期间无需说明的重大会计政策变更。</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7.4.5.2</w:t>
      </w:r>
      <w:r>
        <w:rPr>
          <w:rFonts w:eastAsiaTheme="minorEastAsia"/>
          <w:b/>
          <w:color w:val="000000"/>
          <w:kern w:val="0"/>
          <w:szCs w:val="21"/>
        </w:rPr>
        <w:t>会计估计变更的说明</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本基金在本报告期间无需说明的重大会计估计变更。</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7.4.5.3</w:t>
      </w:r>
      <w:r>
        <w:rPr>
          <w:rFonts w:eastAsiaTheme="minorEastAsia"/>
          <w:b/>
          <w:color w:val="000000"/>
          <w:kern w:val="0"/>
          <w:szCs w:val="21"/>
        </w:rPr>
        <w:t>差错更正的说明</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本基金在本报告期间无需说明的重大会计差错更正。</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 xml:space="preserve">7.4.6 </w:t>
      </w:r>
      <w:r>
        <w:rPr>
          <w:rFonts w:eastAsiaTheme="minorEastAsia"/>
          <w:b/>
          <w:color w:val="000000"/>
          <w:kern w:val="0"/>
          <w:szCs w:val="21"/>
        </w:rPr>
        <w:t>税项</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1</w:t>
      </w:r>
      <w:r>
        <w:rPr>
          <w:rFonts w:eastAsiaTheme="minorEastAsia"/>
          <w:color w:val="000000"/>
          <w:szCs w:val="21"/>
        </w:rPr>
        <w:t>）印花税</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证券（股票）交易印花税税率为</w:t>
      </w:r>
      <w:r>
        <w:rPr>
          <w:rFonts w:eastAsiaTheme="minorEastAsia"/>
          <w:color w:val="000000"/>
          <w:szCs w:val="21"/>
        </w:rPr>
        <w:t>1‰</w:t>
      </w:r>
      <w:r>
        <w:rPr>
          <w:rFonts w:eastAsiaTheme="minorEastAsia"/>
          <w:color w:val="000000"/>
          <w:szCs w:val="21"/>
        </w:rPr>
        <w:t>，由出让方缴纳。</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2</w:t>
      </w:r>
      <w:r>
        <w:rPr>
          <w:rFonts w:eastAsiaTheme="minorEastAsia"/>
          <w:color w:val="000000"/>
          <w:szCs w:val="21"/>
        </w:rPr>
        <w:t>）增值税、城建税、教育费附加及地方教育费附加</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根据财政</w:t>
      </w:r>
      <w:r>
        <w:rPr>
          <w:rFonts w:eastAsiaTheme="minorEastAsia"/>
          <w:color w:val="000000"/>
          <w:szCs w:val="21"/>
        </w:rPr>
        <w:t>部、国家税务总局财税</w:t>
      </w:r>
      <w:r>
        <w:rPr>
          <w:rFonts w:eastAsiaTheme="minorEastAsia"/>
          <w:color w:val="000000"/>
          <w:szCs w:val="21"/>
        </w:rPr>
        <w:t>[2016]36</w:t>
      </w:r>
      <w:r>
        <w:rPr>
          <w:rFonts w:eastAsiaTheme="minorEastAsia"/>
          <w:color w:val="000000"/>
          <w:szCs w:val="21"/>
        </w:rPr>
        <w:t>号文《关于全面推开营业税改增值税试点的通知》的规定，经国务院批准，自</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1</w:t>
      </w:r>
      <w:r>
        <w:rPr>
          <w:rFonts w:eastAsiaTheme="minorEastAsia"/>
          <w:color w:val="000000"/>
          <w:szCs w:val="21"/>
        </w:rPr>
        <w:t>日起在全国范围内全面推开营业税改征增值税试点，金融业纳入试点范围，由缴纳营业税改为缴纳增值税。金融商品转让，按照卖出价扣除买入价后的余额为销售额。对证券投资基金（封闭式证券投资基金，开放式证券投资基金）管理人运用基金买卖股票、债券的转让收入免征增值税；国债、地方政府债利息收入以及金融同业往来利息收入免征增值税；存款利息收入不征收增值税；</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[2016]46</w:t>
      </w:r>
      <w:r>
        <w:rPr>
          <w:rFonts w:eastAsiaTheme="minorEastAsia"/>
          <w:color w:val="000000"/>
          <w:szCs w:val="21"/>
        </w:rPr>
        <w:t>号文《关</w:t>
      </w:r>
      <w:r>
        <w:rPr>
          <w:rFonts w:eastAsiaTheme="minorEastAsia"/>
          <w:color w:val="000000"/>
          <w:szCs w:val="21"/>
        </w:rPr>
        <w:t>于进一步明确全面推开营改增试点金融业有关政策的通知》的规定，金融机构开展的质押式买入返售金融商品业务及持有政策性金融债券取得的利息收入属于金融同业往来利息收入；</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[2016]70</w:t>
      </w:r>
      <w:r>
        <w:rPr>
          <w:rFonts w:eastAsiaTheme="minorEastAsia"/>
          <w:color w:val="000000"/>
          <w:szCs w:val="21"/>
        </w:rPr>
        <w:t>号文《关于金融机构同业往来等增值税政策的补充通知》的规定，金融机构开展的买断式买入返售金融商品业务、同业存款、同业存单以及持有金融债券取得的利息收入属于金融同业往来利息收入；</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[2016]140</w:t>
      </w:r>
      <w:r>
        <w:rPr>
          <w:rFonts w:eastAsiaTheme="minorEastAsia"/>
          <w:color w:val="000000"/>
          <w:szCs w:val="21"/>
        </w:rPr>
        <w:t>号文《关于明确金融、房地产开发、教育辅助服务等增值税政策的通知》的规定，资管产品运营</w:t>
      </w:r>
      <w:r>
        <w:rPr>
          <w:rFonts w:eastAsiaTheme="minorEastAsia"/>
          <w:color w:val="000000"/>
          <w:szCs w:val="21"/>
        </w:rPr>
        <w:t>过程中发生的增值税应税行为，以资管产品管理人为增值税纳税人；</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[2017]56</w:t>
      </w:r>
      <w:r>
        <w:rPr>
          <w:rFonts w:eastAsiaTheme="minorEastAsia"/>
          <w:color w:val="000000"/>
          <w:szCs w:val="21"/>
        </w:rPr>
        <w:t>号文《关于资管产品增值税有关问题的通知》的规定，自</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日起，资管产品管理人运营资管产品过程中发生的增值税应税行为（以下简称</w:t>
      </w:r>
      <w:r>
        <w:rPr>
          <w:rFonts w:eastAsiaTheme="minorEastAsia"/>
          <w:color w:val="000000"/>
          <w:szCs w:val="21"/>
        </w:rPr>
        <w:t>“</w:t>
      </w:r>
      <w:r>
        <w:rPr>
          <w:rFonts w:eastAsiaTheme="minorEastAsia"/>
          <w:color w:val="000000"/>
          <w:szCs w:val="21"/>
        </w:rPr>
        <w:t>资管产品运营业务</w:t>
      </w:r>
      <w:r>
        <w:rPr>
          <w:rFonts w:eastAsiaTheme="minorEastAsia"/>
          <w:color w:val="000000"/>
          <w:szCs w:val="21"/>
        </w:rPr>
        <w:t>”</w:t>
      </w:r>
      <w:r>
        <w:rPr>
          <w:rFonts w:eastAsiaTheme="minorEastAsia"/>
          <w:color w:val="000000"/>
          <w:szCs w:val="21"/>
        </w:rPr>
        <w:t>），暂适用简易计税方法，按照</w:t>
      </w:r>
      <w:r>
        <w:rPr>
          <w:rFonts w:eastAsiaTheme="minorEastAsia"/>
          <w:color w:val="000000"/>
          <w:szCs w:val="21"/>
        </w:rPr>
        <w:t>3%</w:t>
      </w:r>
      <w:r>
        <w:rPr>
          <w:rFonts w:eastAsiaTheme="minorEastAsia"/>
          <w:color w:val="000000"/>
          <w:szCs w:val="21"/>
        </w:rPr>
        <w:t>的征收率缴纳增值税，资管产品管理人未分别核算资管产品运营业务和其他业务的销售额和增值税应纳税额的除外。资管产品管理人可选择分别或汇总核算资管产品运营业务销售额和增值税应纳税额。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w:t>
      </w:r>
      <w:r>
        <w:rPr>
          <w:rFonts w:eastAsiaTheme="minorEastAsia"/>
          <w:color w:val="000000"/>
          <w:szCs w:val="21"/>
        </w:rPr>
        <w:t>已纳税额从资管产品管理人以后月份的增值税应纳税额中抵减；</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[2017]90</w:t>
      </w:r>
      <w:r>
        <w:rPr>
          <w:rFonts w:eastAsiaTheme="minorEastAsia"/>
          <w:color w:val="000000"/>
          <w:szCs w:val="21"/>
        </w:rPr>
        <w:t>号文《关于租入固定资产进项税额抵扣等增值税政策的通知》的规定，自</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日起，资管产品管理人运营资管产品提供的贷款服务、发生的部分金融商品转让业务，按照以下规定确定销售额：提供贷款服务，以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日起产生的利息及利息性质的收入为销售额；转让</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日前取得的股票（不包括限售股）、债券、基金、非货物期货，可以选择按照实际买入价计算销售额，或者以</w:t>
      </w:r>
      <w:r>
        <w:rPr>
          <w:rFonts w:eastAsiaTheme="minorEastAsia"/>
          <w:color w:val="000000"/>
          <w:szCs w:val="21"/>
        </w:rPr>
        <w:t>2017</w:t>
      </w:r>
      <w:r>
        <w:rPr>
          <w:rFonts w:eastAsiaTheme="minorEastAsia"/>
          <w:color w:val="000000"/>
          <w:szCs w:val="21"/>
        </w:rPr>
        <w:t>年最后一个交易日的股票收盘价（</w:t>
      </w:r>
      <w:r>
        <w:rPr>
          <w:rFonts w:eastAsiaTheme="minorEastAsia"/>
          <w:color w:val="000000"/>
          <w:szCs w:val="21"/>
        </w:rPr>
        <w:t>2017</w:t>
      </w:r>
      <w:r>
        <w:rPr>
          <w:rFonts w:eastAsiaTheme="minorEastAsia"/>
          <w:color w:val="000000"/>
          <w:szCs w:val="21"/>
        </w:rPr>
        <w:t>年最后一个交易日处于停牌期间的股票，为停牌前最后一个交易日收盘价）、债券估值（中债金融估值中心有限公司或中证指数有限公司提供的债券估值）、基金份额净值、非货物期货结算价格作为买入价计算销售额。</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本基金分别按实际缴纳的增值税额的</w:t>
      </w:r>
      <w:r>
        <w:rPr>
          <w:rFonts w:eastAsiaTheme="minorEastAsia"/>
          <w:color w:val="000000"/>
          <w:szCs w:val="21"/>
        </w:rPr>
        <w:t>7%</w:t>
      </w:r>
      <w:r>
        <w:rPr>
          <w:rFonts w:eastAsiaTheme="minorEastAsia"/>
          <w:color w:val="000000"/>
          <w:szCs w:val="21"/>
        </w:rPr>
        <w:t>、</w:t>
      </w:r>
      <w:r>
        <w:rPr>
          <w:rFonts w:eastAsiaTheme="minorEastAsia"/>
          <w:color w:val="000000"/>
          <w:szCs w:val="21"/>
        </w:rPr>
        <w:t>3%</w:t>
      </w:r>
      <w:r>
        <w:rPr>
          <w:rFonts w:eastAsiaTheme="minorEastAsia"/>
          <w:color w:val="000000"/>
          <w:szCs w:val="21"/>
        </w:rPr>
        <w:t>和</w:t>
      </w:r>
      <w:r>
        <w:rPr>
          <w:rFonts w:eastAsiaTheme="minorEastAsia"/>
          <w:color w:val="000000"/>
          <w:szCs w:val="21"/>
        </w:rPr>
        <w:t>2%</w:t>
      </w:r>
      <w:r>
        <w:rPr>
          <w:rFonts w:eastAsiaTheme="minorEastAsia"/>
          <w:color w:val="000000"/>
          <w:szCs w:val="21"/>
        </w:rPr>
        <w:t>缴纳城市维护建设税、教育费附加和地方教育费附加。</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3</w:t>
      </w:r>
      <w:r>
        <w:rPr>
          <w:rFonts w:eastAsiaTheme="minorEastAsia"/>
          <w:color w:val="000000"/>
          <w:szCs w:val="21"/>
        </w:rPr>
        <w:t>）企业所得税</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证券投资基金从证券市场中取得的收入，包括买卖股票、债券的差价收入，股权的股息、红利收入，债券的利息收入及其他收入，暂不征收企业所得税。</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4</w:t>
      </w:r>
      <w:r>
        <w:rPr>
          <w:rFonts w:eastAsiaTheme="minorEastAsia"/>
          <w:color w:val="000000"/>
          <w:szCs w:val="21"/>
        </w:rPr>
        <w:t>）个人所得税</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个人所得税税率为</w:t>
      </w:r>
      <w:r>
        <w:rPr>
          <w:rFonts w:eastAsiaTheme="minorEastAsia"/>
          <w:color w:val="000000"/>
          <w:szCs w:val="21"/>
        </w:rPr>
        <w:t>20%</w:t>
      </w:r>
      <w:r>
        <w:rPr>
          <w:rFonts w:eastAsiaTheme="minorEastAsia"/>
          <w:color w:val="000000"/>
          <w:szCs w:val="21"/>
        </w:rPr>
        <w:t>。</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基金从上市公司分配取得的股息红利所得，持股期限在</w:t>
      </w:r>
      <w:r>
        <w:rPr>
          <w:rFonts w:eastAsiaTheme="minorEastAsia"/>
          <w:color w:val="000000"/>
          <w:szCs w:val="21"/>
        </w:rPr>
        <w:t>1</w:t>
      </w:r>
      <w:r>
        <w:rPr>
          <w:rFonts w:eastAsiaTheme="minorEastAsia"/>
          <w:color w:val="000000"/>
          <w:szCs w:val="21"/>
        </w:rPr>
        <w:t>个月以内（含</w:t>
      </w:r>
      <w:r>
        <w:rPr>
          <w:rFonts w:eastAsiaTheme="minorEastAsia"/>
          <w:color w:val="000000"/>
          <w:szCs w:val="21"/>
        </w:rPr>
        <w:t>1</w:t>
      </w:r>
      <w:r>
        <w:rPr>
          <w:rFonts w:eastAsiaTheme="minorEastAsia"/>
          <w:color w:val="000000"/>
          <w:szCs w:val="21"/>
        </w:rPr>
        <w:t>个月）的，其股息红利所得全额计入应纳税所得额；持股期限在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年（含</w:t>
      </w:r>
      <w:r>
        <w:rPr>
          <w:rFonts w:eastAsiaTheme="minorEastAsia"/>
          <w:color w:val="000000"/>
          <w:szCs w:val="21"/>
        </w:rPr>
        <w:t>1</w:t>
      </w:r>
      <w:r>
        <w:rPr>
          <w:rFonts w:eastAsiaTheme="minorEastAsia"/>
          <w:color w:val="000000"/>
          <w:szCs w:val="21"/>
        </w:rPr>
        <w:t>年）的，减按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年的，减按</w:t>
      </w:r>
      <w:r>
        <w:rPr>
          <w:rFonts w:eastAsiaTheme="minorEastAsia"/>
          <w:color w:val="000000"/>
          <w:szCs w:val="21"/>
        </w:rPr>
        <w:t>25%</w:t>
      </w:r>
      <w:r>
        <w:rPr>
          <w:rFonts w:eastAsiaTheme="minorEastAsia"/>
          <w:color w:val="000000"/>
          <w:szCs w:val="21"/>
        </w:rPr>
        <w:t>计入应纳税所得额；自</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8</w:t>
      </w:r>
      <w:r>
        <w:rPr>
          <w:rFonts w:eastAsiaTheme="minorEastAsia"/>
          <w:color w:val="000000"/>
          <w:szCs w:val="21"/>
        </w:rPr>
        <w:t>日起，证券投资基金从公开发行和转让市场取得的上市公司股票，持股期限超过</w:t>
      </w:r>
      <w:r>
        <w:rPr>
          <w:rFonts w:eastAsiaTheme="minorEastAsia"/>
          <w:color w:val="000000"/>
          <w:szCs w:val="21"/>
        </w:rPr>
        <w:t>1</w:t>
      </w:r>
      <w:r>
        <w:rPr>
          <w:rFonts w:eastAsiaTheme="minorEastAsia"/>
          <w:color w:val="000000"/>
          <w:szCs w:val="21"/>
        </w:rPr>
        <w:t>年的，股息红利所得暂免征收个人所得税。</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暂免征收储蓄存款利息所得个人所得税。</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 xml:space="preserve">7.4.7 </w:t>
      </w:r>
      <w:r>
        <w:rPr>
          <w:rFonts w:eastAsiaTheme="minorEastAsia"/>
          <w:b/>
          <w:color w:val="000000"/>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0"/>
        <w:gridCol w:w="3780"/>
      </w:tblGrid>
      <w:tr w:rsidR="009B581C">
        <w:tc>
          <w:tcPr>
            <w:tcW w:w="5220" w:type="dxa"/>
          </w:tcPr>
          <w:p w:rsidR="009B581C" w:rsidRDefault="00404602">
            <w:pPr>
              <w:spacing w:line="360" w:lineRule="auto"/>
              <w:jc w:val="center"/>
              <w:rPr>
                <w:rFonts w:eastAsiaTheme="minorEastAsia"/>
                <w:color w:val="000000"/>
                <w:szCs w:val="21"/>
              </w:rPr>
            </w:pPr>
            <w:r>
              <w:rPr>
                <w:rFonts w:eastAsiaTheme="minorEastAsia"/>
                <w:color w:val="000000"/>
                <w:szCs w:val="21"/>
              </w:rPr>
              <w:t>关联方名称</w:t>
            </w:r>
          </w:p>
        </w:tc>
        <w:tc>
          <w:tcPr>
            <w:tcW w:w="3780" w:type="dxa"/>
          </w:tcPr>
          <w:p w:rsidR="009B581C" w:rsidRDefault="00404602">
            <w:pPr>
              <w:spacing w:line="360" w:lineRule="auto"/>
              <w:jc w:val="center"/>
              <w:rPr>
                <w:rFonts w:eastAsiaTheme="minorEastAsia"/>
                <w:color w:val="000000"/>
                <w:szCs w:val="21"/>
              </w:rPr>
            </w:pPr>
            <w:r>
              <w:rPr>
                <w:rFonts w:eastAsiaTheme="minorEastAsia"/>
                <w:color w:val="000000"/>
                <w:szCs w:val="21"/>
              </w:rPr>
              <w:t>与本基金的关系</w:t>
            </w:r>
          </w:p>
        </w:tc>
      </w:tr>
      <w:tr w:rsidR="0077068F">
        <w:tc>
          <w:tcPr>
            <w:tcW w:w="5220" w:type="dxa"/>
            <w:vAlign w:val="center"/>
          </w:tcPr>
          <w:p w:rsidR="0077068F" w:rsidRDefault="006A74CC">
            <w:pPr>
              <w:jc w:val="left"/>
            </w:pPr>
            <w:r>
              <w:rPr>
                <w:rFonts w:eastAsiaTheme="minorEastAsia"/>
                <w:color w:val="000000"/>
                <w:szCs w:val="21"/>
              </w:rPr>
              <w:t>中国银行股份有限公司</w:t>
            </w:r>
          </w:p>
        </w:tc>
        <w:tc>
          <w:tcPr>
            <w:tcW w:w="3780" w:type="dxa"/>
            <w:vAlign w:val="center"/>
          </w:tcPr>
          <w:p w:rsidR="0077068F" w:rsidRDefault="006A74CC">
            <w:pPr>
              <w:jc w:val="center"/>
            </w:pPr>
            <w:r>
              <w:rPr>
                <w:rFonts w:eastAsiaTheme="minorEastAsia"/>
                <w:color w:val="000000"/>
                <w:szCs w:val="21"/>
              </w:rPr>
              <w:t>基金托管人、代销机构</w:t>
            </w:r>
          </w:p>
        </w:tc>
      </w:tr>
      <w:tr w:rsidR="0077068F">
        <w:tc>
          <w:tcPr>
            <w:tcW w:w="5220" w:type="dxa"/>
            <w:vAlign w:val="center"/>
          </w:tcPr>
          <w:p w:rsidR="0077068F" w:rsidRDefault="006A74CC">
            <w:pPr>
              <w:jc w:val="left"/>
            </w:pPr>
            <w:r>
              <w:rPr>
                <w:rFonts w:eastAsiaTheme="minorEastAsia"/>
                <w:color w:val="000000"/>
                <w:szCs w:val="21"/>
              </w:rPr>
              <w:t>广发基金管理有限公司</w:t>
            </w:r>
          </w:p>
        </w:tc>
        <w:tc>
          <w:tcPr>
            <w:tcW w:w="3780" w:type="dxa"/>
            <w:vAlign w:val="center"/>
          </w:tcPr>
          <w:p w:rsidR="0077068F" w:rsidRDefault="006A74CC">
            <w:pPr>
              <w:jc w:val="center"/>
            </w:pPr>
            <w:r>
              <w:rPr>
                <w:rFonts w:eastAsiaTheme="minorEastAsia"/>
                <w:color w:val="000000"/>
                <w:szCs w:val="21"/>
              </w:rPr>
              <w:t>基金发起人、基金管理人、注册登记与过户机构、直销机构</w:t>
            </w:r>
          </w:p>
        </w:tc>
      </w:tr>
      <w:tr w:rsidR="0077068F">
        <w:tc>
          <w:tcPr>
            <w:tcW w:w="5220" w:type="dxa"/>
            <w:vAlign w:val="center"/>
          </w:tcPr>
          <w:p w:rsidR="0077068F" w:rsidRDefault="006A74CC">
            <w:pPr>
              <w:jc w:val="left"/>
            </w:pPr>
            <w:r>
              <w:rPr>
                <w:rFonts w:eastAsiaTheme="minorEastAsia"/>
                <w:color w:val="000000"/>
                <w:szCs w:val="21"/>
              </w:rPr>
              <w:t>广发证券股份有限公司</w:t>
            </w:r>
          </w:p>
        </w:tc>
        <w:tc>
          <w:tcPr>
            <w:tcW w:w="3780" w:type="dxa"/>
            <w:vAlign w:val="center"/>
          </w:tcPr>
          <w:p w:rsidR="0077068F" w:rsidRDefault="006A74CC">
            <w:pPr>
              <w:jc w:val="center"/>
            </w:pPr>
            <w:r>
              <w:rPr>
                <w:rFonts w:eastAsiaTheme="minorEastAsia"/>
                <w:color w:val="000000"/>
                <w:szCs w:val="21"/>
              </w:rPr>
              <w:t>基金管理人母公司、代销机构</w:t>
            </w:r>
          </w:p>
        </w:tc>
      </w:tr>
      <w:tr w:rsidR="0077068F">
        <w:tc>
          <w:tcPr>
            <w:tcW w:w="5220" w:type="dxa"/>
            <w:vAlign w:val="center"/>
          </w:tcPr>
          <w:p w:rsidR="0077068F" w:rsidRDefault="006A74CC">
            <w:pPr>
              <w:jc w:val="left"/>
            </w:pPr>
            <w:r>
              <w:rPr>
                <w:rFonts w:eastAsiaTheme="minorEastAsia"/>
                <w:color w:val="000000"/>
                <w:szCs w:val="21"/>
              </w:rPr>
              <w:t>深圳市前海香江金融控股集团有限公司</w:t>
            </w:r>
          </w:p>
        </w:tc>
        <w:tc>
          <w:tcPr>
            <w:tcW w:w="3780" w:type="dxa"/>
            <w:vAlign w:val="center"/>
          </w:tcPr>
          <w:p w:rsidR="0077068F" w:rsidRDefault="006A74CC">
            <w:pPr>
              <w:jc w:val="center"/>
            </w:pPr>
            <w:r>
              <w:rPr>
                <w:rFonts w:eastAsiaTheme="minorEastAsia"/>
                <w:color w:val="000000"/>
                <w:szCs w:val="21"/>
              </w:rPr>
              <w:t>基金管理人股东</w:t>
            </w:r>
          </w:p>
        </w:tc>
      </w:tr>
      <w:tr w:rsidR="0077068F">
        <w:tc>
          <w:tcPr>
            <w:tcW w:w="5220" w:type="dxa"/>
            <w:vAlign w:val="center"/>
          </w:tcPr>
          <w:p w:rsidR="0077068F" w:rsidRDefault="006A74CC">
            <w:pPr>
              <w:jc w:val="left"/>
            </w:pPr>
            <w:r>
              <w:rPr>
                <w:rFonts w:eastAsiaTheme="minorEastAsia"/>
                <w:color w:val="000000"/>
                <w:szCs w:val="21"/>
              </w:rPr>
              <w:t>烽火通信科技股份有限公司</w:t>
            </w:r>
          </w:p>
        </w:tc>
        <w:tc>
          <w:tcPr>
            <w:tcW w:w="3780" w:type="dxa"/>
            <w:vAlign w:val="center"/>
          </w:tcPr>
          <w:p w:rsidR="0077068F" w:rsidRDefault="006A74CC">
            <w:pPr>
              <w:jc w:val="center"/>
            </w:pPr>
            <w:r>
              <w:rPr>
                <w:rFonts w:eastAsiaTheme="minorEastAsia"/>
                <w:color w:val="000000"/>
                <w:szCs w:val="21"/>
              </w:rPr>
              <w:t>基金管理人股东</w:t>
            </w:r>
          </w:p>
        </w:tc>
      </w:tr>
      <w:tr w:rsidR="0077068F">
        <w:tc>
          <w:tcPr>
            <w:tcW w:w="5220" w:type="dxa"/>
            <w:vAlign w:val="center"/>
          </w:tcPr>
          <w:p w:rsidR="0077068F" w:rsidRDefault="006A74CC">
            <w:pPr>
              <w:jc w:val="left"/>
            </w:pPr>
            <w:r>
              <w:rPr>
                <w:rFonts w:eastAsiaTheme="minorEastAsia"/>
                <w:color w:val="000000"/>
                <w:szCs w:val="21"/>
              </w:rPr>
              <w:t>康美药业股份有限公司</w:t>
            </w:r>
          </w:p>
        </w:tc>
        <w:tc>
          <w:tcPr>
            <w:tcW w:w="3780" w:type="dxa"/>
            <w:vAlign w:val="center"/>
          </w:tcPr>
          <w:p w:rsidR="0077068F" w:rsidRDefault="006A74CC">
            <w:pPr>
              <w:jc w:val="center"/>
            </w:pPr>
            <w:r>
              <w:rPr>
                <w:rFonts w:eastAsiaTheme="minorEastAsia"/>
                <w:color w:val="000000"/>
                <w:szCs w:val="21"/>
              </w:rPr>
              <w:t>基金管理人股东</w:t>
            </w:r>
          </w:p>
        </w:tc>
      </w:tr>
      <w:tr w:rsidR="0077068F">
        <w:tc>
          <w:tcPr>
            <w:tcW w:w="5220" w:type="dxa"/>
            <w:vAlign w:val="center"/>
          </w:tcPr>
          <w:p w:rsidR="0077068F" w:rsidRDefault="006A74CC">
            <w:pPr>
              <w:jc w:val="left"/>
            </w:pPr>
            <w:r>
              <w:rPr>
                <w:rFonts w:eastAsiaTheme="minorEastAsia"/>
                <w:color w:val="000000"/>
                <w:szCs w:val="21"/>
              </w:rPr>
              <w:t>广州科技金融创新投资控股有限公司</w:t>
            </w:r>
            <w:r>
              <w:rPr>
                <w:rFonts w:eastAsiaTheme="minorEastAsia"/>
                <w:color w:val="000000"/>
                <w:szCs w:val="21"/>
              </w:rPr>
              <w:t xml:space="preserve"> </w:t>
            </w:r>
          </w:p>
        </w:tc>
        <w:tc>
          <w:tcPr>
            <w:tcW w:w="3780" w:type="dxa"/>
            <w:vAlign w:val="center"/>
          </w:tcPr>
          <w:p w:rsidR="0077068F" w:rsidRDefault="006A74CC">
            <w:pPr>
              <w:jc w:val="center"/>
            </w:pPr>
            <w:r>
              <w:rPr>
                <w:rFonts w:eastAsiaTheme="minorEastAsia"/>
                <w:color w:val="000000"/>
                <w:szCs w:val="21"/>
              </w:rPr>
              <w:t>基金管理人股东</w:t>
            </w:r>
          </w:p>
        </w:tc>
      </w:tr>
      <w:tr w:rsidR="0077068F">
        <w:tc>
          <w:tcPr>
            <w:tcW w:w="5220" w:type="dxa"/>
            <w:vAlign w:val="center"/>
          </w:tcPr>
          <w:p w:rsidR="0077068F" w:rsidRDefault="006A74CC">
            <w:pPr>
              <w:jc w:val="left"/>
            </w:pPr>
            <w:r>
              <w:rPr>
                <w:rFonts w:eastAsiaTheme="minorEastAsia"/>
                <w:color w:val="000000"/>
                <w:szCs w:val="21"/>
              </w:rPr>
              <w:t>GF International Investment Management Limited</w:t>
            </w:r>
            <w:r>
              <w:rPr>
                <w:rFonts w:eastAsiaTheme="minorEastAsia"/>
                <w:color w:val="000000"/>
                <w:szCs w:val="21"/>
              </w:rPr>
              <w:t>（广发国际资产管理有限公司）</w:t>
            </w:r>
          </w:p>
        </w:tc>
        <w:tc>
          <w:tcPr>
            <w:tcW w:w="3780" w:type="dxa"/>
            <w:vAlign w:val="center"/>
          </w:tcPr>
          <w:p w:rsidR="0077068F" w:rsidRDefault="006A74CC">
            <w:pPr>
              <w:jc w:val="center"/>
            </w:pPr>
            <w:r>
              <w:rPr>
                <w:rFonts w:eastAsiaTheme="minorEastAsia"/>
                <w:color w:val="000000"/>
                <w:szCs w:val="21"/>
              </w:rPr>
              <w:t>基金管理人全资子公司</w:t>
            </w:r>
          </w:p>
        </w:tc>
      </w:tr>
      <w:tr w:rsidR="0077068F">
        <w:tc>
          <w:tcPr>
            <w:tcW w:w="5220" w:type="dxa"/>
            <w:vAlign w:val="center"/>
          </w:tcPr>
          <w:p w:rsidR="0077068F" w:rsidRDefault="006A74CC">
            <w:pPr>
              <w:jc w:val="left"/>
            </w:pPr>
            <w:r>
              <w:rPr>
                <w:rFonts w:eastAsiaTheme="minorEastAsia"/>
                <w:color w:val="000000"/>
                <w:szCs w:val="21"/>
              </w:rPr>
              <w:t>瑞元资本管理有限公司</w:t>
            </w:r>
          </w:p>
        </w:tc>
        <w:tc>
          <w:tcPr>
            <w:tcW w:w="3780" w:type="dxa"/>
            <w:vAlign w:val="center"/>
          </w:tcPr>
          <w:p w:rsidR="0077068F" w:rsidRDefault="006A74CC">
            <w:pPr>
              <w:jc w:val="center"/>
            </w:pPr>
            <w:r>
              <w:rPr>
                <w:rFonts w:eastAsiaTheme="minorEastAsia"/>
                <w:color w:val="000000"/>
                <w:szCs w:val="21"/>
              </w:rPr>
              <w:t>基金管理人控股子公司</w:t>
            </w:r>
          </w:p>
        </w:tc>
      </w:tr>
      <w:tr w:rsidR="0077068F">
        <w:tc>
          <w:tcPr>
            <w:tcW w:w="5220" w:type="dxa"/>
            <w:vAlign w:val="center"/>
          </w:tcPr>
          <w:p w:rsidR="0077068F" w:rsidRDefault="006A74CC">
            <w:pPr>
              <w:jc w:val="left"/>
            </w:pPr>
            <w:r>
              <w:rPr>
                <w:rFonts w:eastAsiaTheme="minorEastAsia"/>
                <w:color w:val="000000"/>
                <w:szCs w:val="21"/>
              </w:rPr>
              <w:t>珠海瑞元祥和股权投资基金合伙企业（有限合伙）</w:t>
            </w:r>
          </w:p>
        </w:tc>
        <w:tc>
          <w:tcPr>
            <w:tcW w:w="3780" w:type="dxa"/>
            <w:vAlign w:val="center"/>
          </w:tcPr>
          <w:p w:rsidR="0077068F" w:rsidRDefault="006A74CC">
            <w:pPr>
              <w:jc w:val="center"/>
            </w:pPr>
            <w:r>
              <w:rPr>
                <w:rFonts w:eastAsiaTheme="minorEastAsia"/>
                <w:color w:val="000000"/>
                <w:szCs w:val="21"/>
              </w:rPr>
              <w:t>基金管理人控股子公司的控股子公司</w:t>
            </w:r>
          </w:p>
        </w:tc>
      </w:tr>
      <w:tr w:rsidR="0077068F">
        <w:tc>
          <w:tcPr>
            <w:tcW w:w="5220" w:type="dxa"/>
            <w:vAlign w:val="center"/>
          </w:tcPr>
          <w:p w:rsidR="0077068F" w:rsidRDefault="006A74CC">
            <w:pPr>
              <w:jc w:val="left"/>
            </w:pPr>
            <w:r>
              <w:rPr>
                <w:rFonts w:eastAsiaTheme="minorEastAsia"/>
                <w:color w:val="000000"/>
                <w:szCs w:val="21"/>
              </w:rPr>
              <w:t>GF International Asset Management (UK) Company Limited</w:t>
            </w:r>
            <w:r>
              <w:rPr>
                <w:rFonts w:eastAsiaTheme="minorEastAsia"/>
                <w:color w:val="000000"/>
                <w:szCs w:val="21"/>
              </w:rPr>
              <w:t>（广发国际资产管理（英国）有限公司）</w:t>
            </w:r>
          </w:p>
        </w:tc>
        <w:tc>
          <w:tcPr>
            <w:tcW w:w="3780" w:type="dxa"/>
            <w:vAlign w:val="center"/>
          </w:tcPr>
          <w:p w:rsidR="0077068F" w:rsidRDefault="006A74CC">
            <w:pPr>
              <w:jc w:val="center"/>
            </w:pPr>
            <w:r>
              <w:rPr>
                <w:rFonts w:eastAsiaTheme="minorEastAsia"/>
                <w:color w:val="000000"/>
                <w:szCs w:val="21"/>
              </w:rPr>
              <w:t>基金管理人全资子公司的全资子公司</w:t>
            </w:r>
          </w:p>
        </w:tc>
      </w:tr>
      <w:tr w:rsidR="0077068F">
        <w:tc>
          <w:tcPr>
            <w:tcW w:w="5220" w:type="dxa"/>
            <w:vAlign w:val="center"/>
          </w:tcPr>
          <w:p w:rsidR="0077068F" w:rsidRDefault="006A74CC">
            <w:pPr>
              <w:jc w:val="left"/>
            </w:pPr>
            <w:r>
              <w:rPr>
                <w:rFonts w:eastAsiaTheme="minorEastAsia"/>
                <w:color w:val="000000"/>
                <w:szCs w:val="21"/>
              </w:rPr>
              <w:t>广发纳正（上海）资产管理有限公司</w:t>
            </w:r>
          </w:p>
        </w:tc>
        <w:tc>
          <w:tcPr>
            <w:tcW w:w="3780" w:type="dxa"/>
            <w:vAlign w:val="center"/>
          </w:tcPr>
          <w:p w:rsidR="0077068F" w:rsidRDefault="006A74CC">
            <w:pPr>
              <w:jc w:val="center"/>
            </w:pPr>
            <w:r>
              <w:rPr>
                <w:rFonts w:eastAsiaTheme="minorEastAsia"/>
                <w:color w:val="000000"/>
                <w:szCs w:val="21"/>
              </w:rPr>
              <w:t>基金管理人全资子公司的全资子公司</w:t>
            </w:r>
          </w:p>
        </w:tc>
      </w:tr>
      <w:tr w:rsidR="0077068F">
        <w:tc>
          <w:tcPr>
            <w:tcW w:w="5220" w:type="dxa"/>
            <w:vAlign w:val="center"/>
          </w:tcPr>
          <w:p w:rsidR="0077068F" w:rsidRDefault="006A74CC">
            <w:pPr>
              <w:jc w:val="left"/>
            </w:pPr>
            <w:r>
              <w:rPr>
                <w:rFonts w:eastAsiaTheme="minorEastAsia"/>
                <w:color w:val="000000"/>
                <w:szCs w:val="21"/>
              </w:rPr>
              <w:t>广发中证全指主要消费交易型开放式指数证券投资基金发起式联接基金</w:t>
            </w:r>
          </w:p>
        </w:tc>
        <w:tc>
          <w:tcPr>
            <w:tcW w:w="3780" w:type="dxa"/>
            <w:vAlign w:val="center"/>
          </w:tcPr>
          <w:p w:rsidR="0077068F" w:rsidRDefault="006A74CC">
            <w:pPr>
              <w:jc w:val="center"/>
            </w:pPr>
            <w:r>
              <w:rPr>
                <w:rFonts w:eastAsiaTheme="minorEastAsia"/>
                <w:color w:val="000000"/>
                <w:szCs w:val="21"/>
              </w:rPr>
              <w:t>本基金的联接基金</w:t>
            </w:r>
          </w:p>
        </w:tc>
      </w:tr>
    </w:tbl>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注：本基金本报告期不存在控制关系或者其他重大利害关系的关联方关系发生变化的情况。</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 xml:space="preserve">7.4.8 </w:t>
      </w:r>
      <w:r>
        <w:rPr>
          <w:rFonts w:eastAsiaTheme="minorEastAsia"/>
          <w:b/>
          <w:color w:val="000000"/>
          <w:kern w:val="0"/>
          <w:szCs w:val="21"/>
        </w:rPr>
        <w:t>本报告期及上年度可比期间的关联方交易</w:t>
      </w:r>
    </w:p>
    <w:p w:rsidR="009B581C" w:rsidRDefault="00404602">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 xml:space="preserve">7.4.8.1 </w:t>
      </w:r>
      <w:r>
        <w:rPr>
          <w:rFonts w:eastAsiaTheme="minorEastAsia"/>
          <w:b/>
          <w:color w:val="000000"/>
          <w:kern w:val="0"/>
          <w:szCs w:val="21"/>
        </w:rPr>
        <w:t>通过关联方交易单元进行的交易</w:t>
      </w:r>
    </w:p>
    <w:p w:rsidR="009B581C" w:rsidRDefault="00404602">
      <w:pPr>
        <w:spacing w:line="360" w:lineRule="auto"/>
        <w:rPr>
          <w:rFonts w:eastAsiaTheme="minorEastAsia"/>
          <w:color w:val="000000"/>
          <w:szCs w:val="21"/>
        </w:rPr>
      </w:pPr>
      <w:r>
        <w:rPr>
          <w:rFonts w:eastAsiaTheme="minorEastAsia"/>
          <w:b/>
          <w:bCs/>
          <w:color w:val="000000"/>
          <w:kern w:val="0"/>
          <w:szCs w:val="21"/>
        </w:rPr>
        <w:t xml:space="preserve">7.4.8.1.1 </w:t>
      </w:r>
      <w:r>
        <w:rPr>
          <w:rFonts w:eastAsiaTheme="minorEastAsia"/>
          <w:b/>
          <w:color w:val="000000"/>
          <w:szCs w:val="21"/>
        </w:rPr>
        <w:t>股票交易</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本基金本报告期内及上年度可比期间内无通过关联方交易单元进行的股票交易。</w:t>
      </w:r>
    </w:p>
    <w:p w:rsidR="009B581C" w:rsidRDefault="00404602" w:rsidP="006A74CC">
      <w:pPr>
        <w:spacing w:beforeLines="100" w:line="360" w:lineRule="auto"/>
        <w:rPr>
          <w:rFonts w:eastAsiaTheme="minorEastAsia"/>
          <w:b/>
          <w:color w:val="000000"/>
          <w:szCs w:val="21"/>
        </w:rPr>
      </w:pPr>
      <w:r>
        <w:rPr>
          <w:rFonts w:eastAsiaTheme="minorEastAsia"/>
          <w:b/>
          <w:bCs/>
          <w:color w:val="000000"/>
          <w:kern w:val="0"/>
          <w:szCs w:val="21"/>
        </w:rPr>
        <w:t xml:space="preserve">7.4.8.1.2 </w:t>
      </w:r>
      <w:r>
        <w:rPr>
          <w:rFonts w:eastAsiaTheme="minorEastAsia"/>
          <w:b/>
          <w:color w:val="000000"/>
          <w:szCs w:val="21"/>
        </w:rPr>
        <w:t>权证交易</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本基金本报告期内及上年度可比期间内无通过关联方交易单元进行的权证交易。</w:t>
      </w:r>
    </w:p>
    <w:p w:rsidR="009B581C" w:rsidRDefault="00404602" w:rsidP="006A74CC">
      <w:pPr>
        <w:spacing w:beforeLines="100" w:line="360" w:lineRule="auto"/>
        <w:rPr>
          <w:rFonts w:eastAsiaTheme="minorEastAsia"/>
          <w:b/>
          <w:color w:val="000000"/>
          <w:szCs w:val="21"/>
        </w:rPr>
      </w:pPr>
      <w:r>
        <w:rPr>
          <w:rFonts w:eastAsiaTheme="minorEastAsia"/>
          <w:b/>
          <w:bCs/>
          <w:color w:val="000000"/>
          <w:kern w:val="0"/>
          <w:szCs w:val="21"/>
        </w:rPr>
        <w:t xml:space="preserve">7.4.8.1.3 </w:t>
      </w:r>
      <w:r>
        <w:rPr>
          <w:rFonts w:eastAsiaTheme="minorEastAsia"/>
          <w:b/>
          <w:color w:val="000000"/>
          <w:szCs w:val="21"/>
        </w:rPr>
        <w:t>应支付关联方的佣金</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本基金本报告期内及上年度可比期间内无应支付关联方的佣金，本报告期末及上年度可比期间末无应付关联方佣金余额。</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 xml:space="preserve">7.4.8.2 </w:t>
      </w:r>
      <w:r>
        <w:rPr>
          <w:rFonts w:eastAsiaTheme="minorEastAsia"/>
          <w:b/>
          <w:color w:val="000000"/>
          <w:kern w:val="0"/>
          <w:szCs w:val="21"/>
        </w:rPr>
        <w:t>关联方报酬</w:t>
      </w:r>
    </w:p>
    <w:p w:rsidR="009B581C" w:rsidRDefault="00404602">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 xml:space="preserve">7.4.8.2.1 </w:t>
      </w:r>
      <w:r>
        <w:rPr>
          <w:rFonts w:eastAsiaTheme="minorEastAsia"/>
          <w:b/>
          <w:color w:val="000000"/>
          <w:kern w:val="0"/>
          <w:szCs w:val="21"/>
        </w:rPr>
        <w:t>基金管理费</w:t>
      </w:r>
    </w:p>
    <w:p w:rsidR="009B581C" w:rsidRDefault="00404602">
      <w:pPr>
        <w:autoSpaceDE w:val="0"/>
        <w:autoSpaceDN w:val="0"/>
        <w:adjustRightInd w:val="0"/>
        <w:spacing w:before="29" w:line="360" w:lineRule="auto"/>
        <w:ind w:left="15" w:right="210"/>
        <w:jc w:val="right"/>
        <w:rPr>
          <w:rFonts w:eastAsiaTheme="minorEastAsia"/>
          <w:color w:val="000000"/>
          <w:kern w:val="0"/>
          <w:szCs w:val="21"/>
        </w:rPr>
      </w:pPr>
      <w:r>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2657"/>
        <w:gridCol w:w="2657"/>
      </w:tblGrid>
      <w:tr w:rsidR="009B581C">
        <w:tc>
          <w:tcPr>
            <w:tcW w:w="3686"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项目</w:t>
            </w:r>
          </w:p>
        </w:tc>
        <w:tc>
          <w:tcPr>
            <w:tcW w:w="2657" w:type="dxa"/>
          </w:tcPr>
          <w:p w:rsidR="009B581C" w:rsidRDefault="00404602">
            <w:pPr>
              <w:spacing w:line="360" w:lineRule="auto"/>
              <w:jc w:val="center"/>
              <w:rPr>
                <w:rFonts w:eastAsiaTheme="minorEastAsia"/>
                <w:color w:val="000000"/>
                <w:szCs w:val="21"/>
              </w:rPr>
            </w:pPr>
            <w:r>
              <w:rPr>
                <w:rFonts w:eastAsiaTheme="minorEastAsia"/>
                <w:color w:val="000000"/>
                <w:szCs w:val="21"/>
              </w:rPr>
              <w:t>本期</w:t>
            </w:r>
          </w:p>
          <w:p w:rsidR="009B581C" w:rsidRDefault="00404602">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日至</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c>
          <w:tcPr>
            <w:tcW w:w="2657" w:type="dxa"/>
          </w:tcPr>
          <w:p w:rsidR="009B581C" w:rsidRDefault="00404602">
            <w:pPr>
              <w:spacing w:line="360" w:lineRule="auto"/>
              <w:jc w:val="center"/>
              <w:rPr>
                <w:rFonts w:eastAsiaTheme="minorEastAsia"/>
                <w:color w:val="000000"/>
                <w:szCs w:val="21"/>
              </w:rPr>
            </w:pPr>
            <w:r>
              <w:rPr>
                <w:rFonts w:eastAsiaTheme="minorEastAsia"/>
                <w:color w:val="000000"/>
                <w:szCs w:val="21"/>
              </w:rPr>
              <w:t>上年度可比期间</w:t>
            </w:r>
          </w:p>
          <w:p w:rsidR="009B581C" w:rsidRDefault="00404602">
            <w:pPr>
              <w:widowControl/>
              <w:autoSpaceDE w:val="0"/>
              <w:autoSpaceDN w:val="0"/>
              <w:spacing w:line="360" w:lineRule="auto"/>
              <w:ind w:right="-15"/>
              <w:jc w:val="center"/>
              <w:textAlignment w:val="bottom"/>
              <w:rPr>
                <w:rFonts w:eastAsiaTheme="minorEastAsia"/>
                <w:color w:val="000000"/>
                <w:kern w:val="0"/>
                <w:szCs w:val="21"/>
              </w:rPr>
            </w:pP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日至</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r>
      <w:tr w:rsidR="009B581C">
        <w:tc>
          <w:tcPr>
            <w:tcW w:w="3686" w:type="dxa"/>
            <w:vAlign w:val="center"/>
          </w:tcPr>
          <w:p w:rsidR="009B581C" w:rsidRDefault="00404602">
            <w:pPr>
              <w:spacing w:line="360" w:lineRule="auto"/>
              <w:rPr>
                <w:rFonts w:eastAsiaTheme="minorEastAsia"/>
                <w:color w:val="000000"/>
                <w:szCs w:val="21"/>
              </w:rPr>
            </w:pPr>
            <w:r>
              <w:rPr>
                <w:rFonts w:eastAsiaTheme="minorEastAsia"/>
                <w:szCs w:val="21"/>
              </w:rPr>
              <w:t>当期发生的基金应支付的管理费</w:t>
            </w:r>
          </w:p>
        </w:tc>
        <w:tc>
          <w:tcPr>
            <w:tcW w:w="2657" w:type="dxa"/>
            <w:vAlign w:val="center"/>
          </w:tcPr>
          <w:p w:rsidR="009B581C" w:rsidRDefault="00404602">
            <w:pPr>
              <w:spacing w:line="360" w:lineRule="auto"/>
              <w:jc w:val="right"/>
              <w:rPr>
                <w:rFonts w:eastAsiaTheme="minorEastAsia"/>
                <w:szCs w:val="21"/>
              </w:rPr>
            </w:pPr>
            <w:r>
              <w:rPr>
                <w:rFonts w:eastAsiaTheme="minorEastAsia"/>
                <w:szCs w:val="21"/>
              </w:rPr>
              <w:t>185,689.33</w:t>
            </w:r>
          </w:p>
        </w:tc>
        <w:tc>
          <w:tcPr>
            <w:tcW w:w="2657" w:type="dxa"/>
            <w:vAlign w:val="center"/>
          </w:tcPr>
          <w:p w:rsidR="009B581C" w:rsidRDefault="00404602">
            <w:pPr>
              <w:spacing w:line="360" w:lineRule="auto"/>
              <w:jc w:val="right"/>
              <w:rPr>
                <w:rFonts w:eastAsiaTheme="minorEastAsia"/>
                <w:szCs w:val="21"/>
              </w:rPr>
            </w:pPr>
            <w:r>
              <w:rPr>
                <w:rFonts w:eastAsiaTheme="minorEastAsia"/>
                <w:szCs w:val="21"/>
              </w:rPr>
              <w:t>254,189.22</w:t>
            </w:r>
          </w:p>
        </w:tc>
      </w:tr>
      <w:tr w:rsidR="009B581C">
        <w:tc>
          <w:tcPr>
            <w:tcW w:w="3686" w:type="dxa"/>
            <w:vAlign w:val="center"/>
          </w:tcPr>
          <w:p w:rsidR="009B581C" w:rsidRDefault="00404602">
            <w:pPr>
              <w:spacing w:line="360" w:lineRule="auto"/>
              <w:rPr>
                <w:rFonts w:eastAsiaTheme="minorEastAsia"/>
                <w:color w:val="000000"/>
                <w:szCs w:val="21"/>
              </w:rPr>
            </w:pPr>
            <w:r>
              <w:rPr>
                <w:rFonts w:eastAsiaTheme="minorEastAsia"/>
                <w:szCs w:val="21"/>
              </w:rPr>
              <w:t>其中：支付销售机构的客户维护费</w:t>
            </w:r>
          </w:p>
        </w:tc>
        <w:tc>
          <w:tcPr>
            <w:tcW w:w="2657" w:type="dxa"/>
            <w:vAlign w:val="center"/>
          </w:tcPr>
          <w:p w:rsidR="009B581C" w:rsidRDefault="00404602">
            <w:pPr>
              <w:spacing w:line="360" w:lineRule="auto"/>
              <w:jc w:val="right"/>
              <w:rPr>
                <w:rFonts w:eastAsiaTheme="minorEastAsia"/>
                <w:szCs w:val="21"/>
              </w:rPr>
            </w:pPr>
            <w:r>
              <w:rPr>
                <w:rFonts w:eastAsiaTheme="minorEastAsia"/>
                <w:szCs w:val="21"/>
              </w:rPr>
              <w:t>855.71</w:t>
            </w:r>
          </w:p>
        </w:tc>
        <w:tc>
          <w:tcPr>
            <w:tcW w:w="2657" w:type="dxa"/>
            <w:vAlign w:val="center"/>
          </w:tcPr>
          <w:p w:rsidR="009B581C" w:rsidRDefault="00404602">
            <w:pPr>
              <w:spacing w:line="360" w:lineRule="auto"/>
              <w:jc w:val="right"/>
              <w:rPr>
                <w:rFonts w:eastAsiaTheme="minorEastAsia"/>
                <w:szCs w:val="21"/>
              </w:rPr>
            </w:pPr>
            <w:r>
              <w:rPr>
                <w:rFonts w:eastAsiaTheme="minorEastAsia"/>
                <w:szCs w:val="21"/>
              </w:rPr>
              <w:t>4,474.20</w:t>
            </w:r>
          </w:p>
        </w:tc>
      </w:tr>
    </w:tbl>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注：本基金的管理费按前一日的基金资产净值的</w:t>
      </w:r>
      <w:r>
        <w:rPr>
          <w:rFonts w:eastAsiaTheme="minorEastAsia"/>
          <w:kern w:val="0"/>
          <w:szCs w:val="21"/>
        </w:rPr>
        <w:t>0.50%</w:t>
      </w:r>
      <w:r>
        <w:rPr>
          <w:rFonts w:eastAsiaTheme="minorEastAsia"/>
          <w:kern w:val="0"/>
          <w:szCs w:val="21"/>
        </w:rPr>
        <w:t>年费率计提。管理费的计算方法如下：</w:t>
      </w:r>
    </w:p>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 0.50%÷</w:t>
      </w:r>
      <w:r>
        <w:rPr>
          <w:rFonts w:eastAsiaTheme="minorEastAsia"/>
          <w:kern w:val="0"/>
          <w:szCs w:val="21"/>
        </w:rPr>
        <w:t>当年天数</w:t>
      </w:r>
    </w:p>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本基金管理费每日计算，逐日累计至每月月末，按月支付，由基金管理人向基金托管人发送基金管理费划款指令，基金托管人复核后于次月前</w:t>
      </w:r>
      <w:r>
        <w:rPr>
          <w:rFonts w:eastAsiaTheme="minorEastAsia"/>
          <w:kern w:val="0"/>
          <w:szCs w:val="21"/>
        </w:rPr>
        <w:t>5</w:t>
      </w:r>
      <w:r>
        <w:rPr>
          <w:rFonts w:eastAsiaTheme="minorEastAsia"/>
          <w:kern w:val="0"/>
          <w:szCs w:val="21"/>
        </w:rPr>
        <w:t>个工作日内从基金财产中一次性支付给基金管理人。若遇法定节假日、公休假等，支付日期顺延。</w:t>
      </w:r>
    </w:p>
    <w:p w:rsidR="009B581C" w:rsidRDefault="00404602" w:rsidP="006A74CC">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 xml:space="preserve">7.4.8.2.2 </w:t>
      </w:r>
      <w:r>
        <w:rPr>
          <w:rFonts w:eastAsiaTheme="minorEastAsia"/>
          <w:b/>
          <w:color w:val="000000"/>
          <w:kern w:val="0"/>
          <w:szCs w:val="21"/>
        </w:rPr>
        <w:t>基金托管费</w:t>
      </w:r>
    </w:p>
    <w:p w:rsidR="009B581C" w:rsidRDefault="00404602">
      <w:pPr>
        <w:autoSpaceDE w:val="0"/>
        <w:autoSpaceDN w:val="0"/>
        <w:adjustRightInd w:val="0"/>
        <w:spacing w:before="29" w:line="360" w:lineRule="auto"/>
        <w:ind w:left="15" w:right="210"/>
        <w:jc w:val="right"/>
        <w:rPr>
          <w:rFonts w:eastAsiaTheme="minorEastAsia"/>
          <w:color w:val="000000"/>
          <w:kern w:val="0"/>
          <w:szCs w:val="21"/>
        </w:rPr>
      </w:pPr>
      <w:r>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2657"/>
        <w:gridCol w:w="2657"/>
      </w:tblGrid>
      <w:tr w:rsidR="009B581C">
        <w:tc>
          <w:tcPr>
            <w:tcW w:w="3686"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项目</w:t>
            </w:r>
          </w:p>
        </w:tc>
        <w:tc>
          <w:tcPr>
            <w:tcW w:w="2657" w:type="dxa"/>
          </w:tcPr>
          <w:p w:rsidR="009B581C" w:rsidRDefault="00404602">
            <w:pPr>
              <w:spacing w:line="360" w:lineRule="auto"/>
              <w:jc w:val="center"/>
              <w:rPr>
                <w:rFonts w:eastAsiaTheme="minorEastAsia"/>
                <w:color w:val="000000"/>
                <w:szCs w:val="21"/>
              </w:rPr>
            </w:pPr>
            <w:r>
              <w:rPr>
                <w:rFonts w:eastAsiaTheme="minorEastAsia"/>
                <w:color w:val="000000"/>
                <w:szCs w:val="21"/>
              </w:rPr>
              <w:t>本期</w:t>
            </w:r>
          </w:p>
          <w:p w:rsidR="009B581C" w:rsidRDefault="00404602">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日至</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c>
          <w:tcPr>
            <w:tcW w:w="2657" w:type="dxa"/>
          </w:tcPr>
          <w:p w:rsidR="009B581C" w:rsidRDefault="00404602">
            <w:pPr>
              <w:spacing w:line="360" w:lineRule="auto"/>
              <w:jc w:val="center"/>
              <w:rPr>
                <w:rFonts w:eastAsiaTheme="minorEastAsia"/>
                <w:color w:val="000000"/>
                <w:szCs w:val="21"/>
              </w:rPr>
            </w:pPr>
            <w:r>
              <w:rPr>
                <w:rFonts w:eastAsiaTheme="minorEastAsia"/>
                <w:color w:val="000000"/>
                <w:szCs w:val="21"/>
              </w:rPr>
              <w:t>上年度可比期间</w:t>
            </w:r>
          </w:p>
          <w:p w:rsidR="009B581C" w:rsidRDefault="00404602">
            <w:pPr>
              <w:widowControl/>
              <w:autoSpaceDE w:val="0"/>
              <w:autoSpaceDN w:val="0"/>
              <w:spacing w:line="360" w:lineRule="auto"/>
              <w:ind w:right="-15"/>
              <w:jc w:val="center"/>
              <w:textAlignment w:val="bottom"/>
              <w:rPr>
                <w:rFonts w:eastAsiaTheme="minorEastAsia"/>
                <w:color w:val="000000"/>
                <w:kern w:val="0"/>
                <w:szCs w:val="21"/>
              </w:rPr>
            </w:pP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日至</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r>
      <w:tr w:rsidR="009B581C">
        <w:tc>
          <w:tcPr>
            <w:tcW w:w="3686" w:type="dxa"/>
            <w:vAlign w:val="center"/>
          </w:tcPr>
          <w:p w:rsidR="009B581C" w:rsidRDefault="00404602">
            <w:pPr>
              <w:spacing w:line="360" w:lineRule="auto"/>
              <w:rPr>
                <w:rFonts w:eastAsiaTheme="minorEastAsia"/>
                <w:color w:val="000000"/>
                <w:szCs w:val="21"/>
              </w:rPr>
            </w:pPr>
            <w:r>
              <w:rPr>
                <w:rFonts w:eastAsiaTheme="minorEastAsia"/>
                <w:szCs w:val="21"/>
              </w:rPr>
              <w:t>当期发生的基金应支付的托管费</w:t>
            </w:r>
          </w:p>
        </w:tc>
        <w:tc>
          <w:tcPr>
            <w:tcW w:w="2657" w:type="dxa"/>
            <w:vAlign w:val="center"/>
          </w:tcPr>
          <w:p w:rsidR="009B581C" w:rsidRDefault="00404602">
            <w:pPr>
              <w:spacing w:line="360" w:lineRule="auto"/>
              <w:jc w:val="right"/>
              <w:rPr>
                <w:rFonts w:eastAsiaTheme="minorEastAsia"/>
                <w:color w:val="000000"/>
                <w:kern w:val="0"/>
                <w:szCs w:val="21"/>
              </w:rPr>
            </w:pPr>
            <w:r>
              <w:rPr>
                <w:rFonts w:eastAsiaTheme="minorEastAsia"/>
                <w:szCs w:val="21"/>
              </w:rPr>
              <w:t>37,137.83</w:t>
            </w:r>
          </w:p>
        </w:tc>
        <w:tc>
          <w:tcPr>
            <w:tcW w:w="2657" w:type="dxa"/>
            <w:vAlign w:val="center"/>
          </w:tcPr>
          <w:p w:rsidR="009B581C" w:rsidRDefault="00404602">
            <w:pPr>
              <w:spacing w:line="360" w:lineRule="auto"/>
              <w:jc w:val="right"/>
              <w:rPr>
                <w:rFonts w:eastAsiaTheme="minorEastAsia"/>
                <w:color w:val="000000"/>
                <w:szCs w:val="21"/>
              </w:rPr>
            </w:pPr>
            <w:r>
              <w:rPr>
                <w:rFonts w:eastAsiaTheme="minorEastAsia"/>
                <w:szCs w:val="21"/>
              </w:rPr>
              <w:t>50,837.91</w:t>
            </w:r>
          </w:p>
        </w:tc>
      </w:tr>
    </w:tbl>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注：本基金的托管费按前一日的基金资产净值的</w:t>
      </w:r>
      <w:r>
        <w:rPr>
          <w:rFonts w:eastAsiaTheme="minorEastAsia"/>
          <w:kern w:val="0"/>
          <w:szCs w:val="21"/>
        </w:rPr>
        <w:t>0.10%</w:t>
      </w:r>
      <w:r>
        <w:rPr>
          <w:rFonts w:eastAsiaTheme="minorEastAsia"/>
          <w:kern w:val="0"/>
          <w:szCs w:val="21"/>
        </w:rPr>
        <w:t>的年费率计提。托管费的计算方法如下：</w:t>
      </w:r>
    </w:p>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E×0.10%÷</w:t>
      </w:r>
      <w:r>
        <w:rPr>
          <w:rFonts w:eastAsiaTheme="minorEastAsia"/>
          <w:kern w:val="0"/>
          <w:szCs w:val="21"/>
        </w:rPr>
        <w:t>当年天数</w:t>
      </w:r>
    </w:p>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本基金托管费每日计算，逐日累计至每月月末，按月支付，由基金管理人向基金托管人发送基金托管费划款指令，基金托管人复核后于次月前</w:t>
      </w:r>
      <w:r>
        <w:rPr>
          <w:rFonts w:eastAsiaTheme="minorEastAsia"/>
          <w:kern w:val="0"/>
          <w:szCs w:val="21"/>
        </w:rPr>
        <w:t>5</w:t>
      </w:r>
      <w:r>
        <w:rPr>
          <w:rFonts w:eastAsiaTheme="minorEastAsia"/>
          <w:kern w:val="0"/>
          <w:szCs w:val="21"/>
        </w:rPr>
        <w:t>个工作日内从基金财产中一次性支取。若遇法定节假日、公休日等，支付日期顺延。</w:t>
      </w:r>
    </w:p>
    <w:p w:rsidR="009B581C" w:rsidRDefault="00404602" w:rsidP="006A74CC">
      <w:pPr>
        <w:spacing w:beforeLines="100" w:line="360" w:lineRule="auto"/>
        <w:rPr>
          <w:rFonts w:eastAsiaTheme="minorEastAsia"/>
          <w:b/>
          <w:bCs/>
          <w:color w:val="000000"/>
          <w:szCs w:val="21"/>
        </w:rPr>
      </w:pPr>
      <w:r>
        <w:rPr>
          <w:rFonts w:eastAsiaTheme="minorEastAsia"/>
          <w:b/>
          <w:bCs/>
          <w:color w:val="000000"/>
          <w:kern w:val="0"/>
          <w:szCs w:val="21"/>
        </w:rPr>
        <w:t xml:space="preserve">7.4.8.3 </w:t>
      </w:r>
      <w:r>
        <w:rPr>
          <w:rFonts w:eastAsiaTheme="minorEastAsia"/>
          <w:b/>
          <w:bCs/>
          <w:color w:val="000000"/>
          <w:szCs w:val="21"/>
        </w:rPr>
        <w:t>与关联方进行银行间同业市场的债券</w:t>
      </w:r>
      <w:r>
        <w:rPr>
          <w:rFonts w:eastAsiaTheme="minorEastAsia"/>
          <w:b/>
          <w:bCs/>
          <w:color w:val="000000"/>
          <w:szCs w:val="21"/>
        </w:rPr>
        <w:t>(</w:t>
      </w:r>
      <w:r>
        <w:rPr>
          <w:rFonts w:eastAsiaTheme="minorEastAsia"/>
          <w:b/>
          <w:bCs/>
          <w:color w:val="000000"/>
          <w:szCs w:val="21"/>
        </w:rPr>
        <w:t>含回购</w:t>
      </w:r>
      <w:r>
        <w:rPr>
          <w:rFonts w:eastAsiaTheme="minorEastAsia"/>
          <w:b/>
          <w:bCs/>
          <w:color w:val="000000"/>
          <w:szCs w:val="21"/>
        </w:rPr>
        <w:t>)</w:t>
      </w:r>
      <w:r>
        <w:rPr>
          <w:rFonts w:eastAsiaTheme="minorEastAsia"/>
          <w:b/>
          <w:bCs/>
          <w:color w:val="000000"/>
          <w:szCs w:val="21"/>
        </w:rPr>
        <w:t>交易</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本基金本报告期内及上年度可比期间内无与关联方进行银行间同业市场的债券（含回购）交易。</w:t>
      </w:r>
    </w:p>
    <w:p w:rsidR="009B581C" w:rsidRDefault="00404602" w:rsidP="006A74CC">
      <w:pPr>
        <w:spacing w:beforeLines="100" w:line="360" w:lineRule="auto"/>
        <w:rPr>
          <w:rFonts w:eastAsiaTheme="minorEastAsia"/>
          <w:b/>
          <w:bCs/>
          <w:color w:val="000000"/>
          <w:szCs w:val="21"/>
        </w:rPr>
      </w:pPr>
      <w:r>
        <w:rPr>
          <w:rFonts w:eastAsiaTheme="minorEastAsia"/>
          <w:b/>
          <w:bCs/>
          <w:color w:val="000000"/>
          <w:kern w:val="0"/>
          <w:szCs w:val="21"/>
        </w:rPr>
        <w:t xml:space="preserve">7.4.8.4 </w:t>
      </w:r>
      <w:r>
        <w:rPr>
          <w:rFonts w:eastAsiaTheme="minorEastAsia"/>
          <w:b/>
          <w:bCs/>
          <w:color w:val="000000"/>
          <w:szCs w:val="21"/>
        </w:rPr>
        <w:t>各关联方投资本基金的情况</w:t>
      </w:r>
    </w:p>
    <w:p w:rsidR="009B581C" w:rsidRDefault="00404602">
      <w:pPr>
        <w:adjustRightInd w:val="0"/>
        <w:snapToGrid w:val="0"/>
        <w:spacing w:line="360" w:lineRule="auto"/>
        <w:rPr>
          <w:rFonts w:eastAsiaTheme="minorEastAsia"/>
          <w:b/>
          <w:bCs/>
          <w:color w:val="000000"/>
          <w:szCs w:val="21"/>
        </w:rPr>
      </w:pPr>
      <w:r>
        <w:rPr>
          <w:rFonts w:eastAsiaTheme="minorEastAsia"/>
          <w:b/>
          <w:bCs/>
          <w:color w:val="000000"/>
          <w:kern w:val="0"/>
          <w:szCs w:val="21"/>
        </w:rPr>
        <w:t xml:space="preserve">7.4.8.4.1 </w:t>
      </w:r>
      <w:r>
        <w:rPr>
          <w:rFonts w:eastAsiaTheme="minorEastAsia"/>
          <w:b/>
          <w:bCs/>
          <w:color w:val="000000"/>
          <w:szCs w:val="21"/>
        </w:rPr>
        <w:t>报告期内基金管理人运用固有资金投资本基金的情况</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本报告期内及上年度可比期间内基金管理人无运用固有资金投资本基金的情况。</w:t>
      </w:r>
    </w:p>
    <w:p w:rsidR="009B581C" w:rsidRDefault="00404602" w:rsidP="006A74CC">
      <w:pPr>
        <w:adjustRightInd w:val="0"/>
        <w:snapToGrid w:val="0"/>
        <w:spacing w:beforeLines="100" w:line="360" w:lineRule="auto"/>
        <w:rPr>
          <w:rFonts w:eastAsiaTheme="minorEastAsia"/>
          <w:b/>
          <w:bCs/>
          <w:color w:val="000000"/>
          <w:szCs w:val="21"/>
        </w:rPr>
      </w:pPr>
      <w:r>
        <w:rPr>
          <w:rFonts w:eastAsiaTheme="minorEastAsia"/>
          <w:b/>
          <w:bCs/>
          <w:color w:val="000000"/>
          <w:kern w:val="0"/>
          <w:szCs w:val="21"/>
        </w:rPr>
        <w:t xml:space="preserve">7.4.8.4.2 </w:t>
      </w:r>
      <w:r>
        <w:rPr>
          <w:rFonts w:eastAsiaTheme="minorEastAsia"/>
          <w:b/>
          <w:bCs/>
          <w:color w:val="000000"/>
          <w:szCs w:val="21"/>
        </w:rPr>
        <w:t>报告期末除基金管理人之外的其他关联方投资本基金的情况</w:t>
      </w:r>
    </w:p>
    <w:p w:rsidR="009B581C" w:rsidRDefault="00404602">
      <w:pPr>
        <w:adjustRightInd w:val="0"/>
        <w:snapToGrid w:val="0"/>
        <w:spacing w:line="360" w:lineRule="auto"/>
        <w:jc w:val="right"/>
        <w:rPr>
          <w:rFonts w:eastAsiaTheme="minorEastAsia"/>
          <w:color w:val="000000"/>
          <w:szCs w:val="21"/>
        </w:rPr>
      </w:pPr>
      <w:r>
        <w:rPr>
          <w:rFonts w:eastAsiaTheme="minorEastAsia"/>
          <w:color w:val="000000"/>
          <w:szCs w:val="21"/>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1980"/>
        <w:gridCol w:w="1440"/>
        <w:gridCol w:w="2160"/>
        <w:gridCol w:w="1620"/>
      </w:tblGrid>
      <w:tr w:rsidR="009B581C">
        <w:tc>
          <w:tcPr>
            <w:tcW w:w="1800" w:type="dxa"/>
            <w:vMerge w:val="restart"/>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关联方名称</w:t>
            </w:r>
          </w:p>
        </w:tc>
        <w:tc>
          <w:tcPr>
            <w:tcW w:w="3420" w:type="dxa"/>
            <w:gridSpan w:val="2"/>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本期末</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c>
          <w:tcPr>
            <w:tcW w:w="3780" w:type="dxa"/>
            <w:gridSpan w:val="2"/>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上年度末</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r>
      <w:tr w:rsidR="009B581C">
        <w:tc>
          <w:tcPr>
            <w:tcW w:w="1800" w:type="dxa"/>
            <w:vMerge/>
            <w:vAlign w:val="center"/>
          </w:tcPr>
          <w:p w:rsidR="009B581C" w:rsidRDefault="009B581C">
            <w:pPr>
              <w:widowControl/>
              <w:spacing w:line="360" w:lineRule="auto"/>
              <w:jc w:val="left"/>
              <w:rPr>
                <w:rFonts w:eastAsiaTheme="minorEastAsia"/>
                <w:color w:val="000000"/>
                <w:szCs w:val="21"/>
              </w:rPr>
            </w:pPr>
          </w:p>
        </w:tc>
        <w:tc>
          <w:tcPr>
            <w:tcW w:w="198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持有的基金份额</w:t>
            </w:r>
          </w:p>
        </w:tc>
        <w:tc>
          <w:tcPr>
            <w:tcW w:w="144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持有的基金份额占基金总份额的比例</w:t>
            </w:r>
          </w:p>
        </w:tc>
        <w:tc>
          <w:tcPr>
            <w:tcW w:w="216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持有的基金份额</w:t>
            </w:r>
          </w:p>
        </w:tc>
        <w:tc>
          <w:tcPr>
            <w:tcW w:w="162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持有的基金份额占基金总份额的比例</w:t>
            </w:r>
          </w:p>
        </w:tc>
      </w:tr>
      <w:tr w:rsidR="0077068F">
        <w:tc>
          <w:tcPr>
            <w:tcW w:w="1800" w:type="dxa"/>
            <w:vAlign w:val="center"/>
          </w:tcPr>
          <w:p w:rsidR="0077068F" w:rsidRDefault="006A74CC">
            <w:pPr>
              <w:jc w:val="left"/>
            </w:pPr>
            <w:r>
              <w:rPr>
                <w:rFonts w:eastAsiaTheme="minorEastAsia"/>
                <w:szCs w:val="21"/>
              </w:rPr>
              <w:t>广发中证全指主要消费交易型开放式指数证券投资基金发起式联接基金</w:t>
            </w:r>
          </w:p>
        </w:tc>
        <w:tc>
          <w:tcPr>
            <w:tcW w:w="1980" w:type="dxa"/>
            <w:vAlign w:val="center"/>
          </w:tcPr>
          <w:p w:rsidR="0077068F" w:rsidRDefault="006A74CC">
            <w:pPr>
              <w:jc w:val="right"/>
            </w:pPr>
            <w:r>
              <w:rPr>
                <w:rFonts w:eastAsiaTheme="minorEastAsia"/>
                <w:szCs w:val="21"/>
              </w:rPr>
              <w:t>-</w:t>
            </w:r>
          </w:p>
        </w:tc>
        <w:tc>
          <w:tcPr>
            <w:tcW w:w="1440" w:type="dxa"/>
            <w:vAlign w:val="center"/>
          </w:tcPr>
          <w:p w:rsidR="0077068F" w:rsidRDefault="006A74CC">
            <w:pPr>
              <w:jc w:val="right"/>
            </w:pPr>
            <w:r>
              <w:rPr>
                <w:rFonts w:eastAsiaTheme="minorEastAsia"/>
                <w:szCs w:val="21"/>
              </w:rPr>
              <w:t>-</w:t>
            </w:r>
          </w:p>
        </w:tc>
        <w:tc>
          <w:tcPr>
            <w:tcW w:w="2160" w:type="dxa"/>
            <w:vAlign w:val="center"/>
          </w:tcPr>
          <w:p w:rsidR="0077068F" w:rsidRDefault="006A74CC">
            <w:pPr>
              <w:jc w:val="right"/>
            </w:pPr>
            <w:r>
              <w:rPr>
                <w:rFonts w:eastAsiaTheme="minorEastAsia"/>
                <w:szCs w:val="21"/>
              </w:rPr>
              <w:t>61,337,777.00</w:t>
            </w:r>
          </w:p>
        </w:tc>
        <w:tc>
          <w:tcPr>
            <w:tcW w:w="1620" w:type="dxa"/>
            <w:vAlign w:val="center"/>
          </w:tcPr>
          <w:p w:rsidR="0077068F" w:rsidRDefault="006A74CC">
            <w:pPr>
              <w:jc w:val="right"/>
            </w:pPr>
            <w:r>
              <w:rPr>
                <w:rFonts w:eastAsiaTheme="minorEastAsia"/>
                <w:szCs w:val="21"/>
              </w:rPr>
              <w:t>89.79%</w:t>
            </w:r>
          </w:p>
        </w:tc>
      </w:tr>
    </w:tbl>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注：本报告期末无除基金管理人之外的其他关联方投资本基金的情况。</w:t>
      </w:r>
    </w:p>
    <w:p w:rsidR="009B581C" w:rsidRDefault="00404602" w:rsidP="006A74CC">
      <w:pPr>
        <w:spacing w:beforeLines="100" w:line="360" w:lineRule="auto"/>
        <w:rPr>
          <w:rFonts w:eastAsiaTheme="minorEastAsia"/>
          <w:b/>
          <w:bCs/>
          <w:color w:val="000000"/>
          <w:szCs w:val="21"/>
        </w:rPr>
      </w:pPr>
      <w:r>
        <w:rPr>
          <w:rFonts w:eastAsiaTheme="minorEastAsia"/>
          <w:b/>
          <w:bCs/>
          <w:color w:val="000000"/>
          <w:kern w:val="0"/>
          <w:szCs w:val="21"/>
        </w:rPr>
        <w:t xml:space="preserve">7.4.8.5 </w:t>
      </w:r>
      <w:r>
        <w:rPr>
          <w:rFonts w:eastAsiaTheme="minorEastAsia"/>
          <w:b/>
          <w:bCs/>
          <w:color w:val="000000"/>
          <w:szCs w:val="21"/>
        </w:rPr>
        <w:t>由关联方保管的银行存款余额及当期产生的利息收入</w:t>
      </w:r>
    </w:p>
    <w:p w:rsidR="009B581C" w:rsidRDefault="00404602">
      <w:pPr>
        <w:autoSpaceDE w:val="0"/>
        <w:autoSpaceDN w:val="0"/>
        <w:adjustRightInd w:val="0"/>
        <w:spacing w:before="29" w:line="360" w:lineRule="auto"/>
        <w:ind w:left="15" w:right="210"/>
        <w:jc w:val="right"/>
        <w:rPr>
          <w:rFonts w:eastAsiaTheme="minorEastAsia"/>
          <w:color w:val="000000"/>
          <w:kern w:val="0"/>
          <w:szCs w:val="21"/>
        </w:rPr>
      </w:pPr>
      <w:r>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683"/>
        <w:gridCol w:w="1683"/>
        <w:gridCol w:w="1683"/>
        <w:gridCol w:w="1683"/>
      </w:tblGrid>
      <w:tr w:rsidR="009B581C">
        <w:tc>
          <w:tcPr>
            <w:tcW w:w="2268" w:type="dxa"/>
            <w:vMerge w:val="restart"/>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关联方名称</w:t>
            </w:r>
          </w:p>
        </w:tc>
        <w:tc>
          <w:tcPr>
            <w:tcW w:w="3366" w:type="dxa"/>
            <w:gridSpan w:val="2"/>
          </w:tcPr>
          <w:p w:rsidR="009B581C" w:rsidRDefault="00404602">
            <w:pPr>
              <w:spacing w:line="360" w:lineRule="auto"/>
              <w:jc w:val="center"/>
              <w:rPr>
                <w:rFonts w:eastAsiaTheme="minorEastAsia"/>
                <w:color w:val="000000"/>
                <w:szCs w:val="21"/>
              </w:rPr>
            </w:pPr>
            <w:r>
              <w:rPr>
                <w:rFonts w:eastAsiaTheme="minorEastAsia"/>
                <w:color w:val="000000"/>
                <w:szCs w:val="21"/>
              </w:rPr>
              <w:t>本期</w:t>
            </w:r>
          </w:p>
          <w:p w:rsidR="009B581C" w:rsidRDefault="00404602">
            <w:pPr>
              <w:widowControl/>
              <w:autoSpaceDE w:val="0"/>
              <w:autoSpaceDN w:val="0"/>
              <w:spacing w:line="360" w:lineRule="auto"/>
              <w:ind w:right="-15"/>
              <w:jc w:val="center"/>
              <w:textAlignment w:val="bottom"/>
              <w:rPr>
                <w:rFonts w:eastAsiaTheme="minorEastAsia"/>
                <w:color w:val="000000"/>
                <w:szCs w:val="21"/>
              </w:rPr>
            </w:pP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日至</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c>
          <w:tcPr>
            <w:tcW w:w="3366" w:type="dxa"/>
            <w:gridSpan w:val="2"/>
          </w:tcPr>
          <w:p w:rsidR="009B581C" w:rsidRDefault="00404602">
            <w:pPr>
              <w:spacing w:line="360" w:lineRule="auto"/>
              <w:jc w:val="center"/>
              <w:rPr>
                <w:rFonts w:eastAsiaTheme="minorEastAsia"/>
                <w:color w:val="000000"/>
                <w:szCs w:val="21"/>
              </w:rPr>
            </w:pPr>
            <w:r>
              <w:rPr>
                <w:rFonts w:eastAsiaTheme="minorEastAsia"/>
                <w:color w:val="000000"/>
                <w:szCs w:val="21"/>
              </w:rPr>
              <w:t>上年度可比期间</w:t>
            </w:r>
          </w:p>
          <w:p w:rsidR="009B581C" w:rsidRDefault="00404602">
            <w:pPr>
              <w:widowControl/>
              <w:autoSpaceDE w:val="0"/>
              <w:autoSpaceDN w:val="0"/>
              <w:spacing w:line="360" w:lineRule="auto"/>
              <w:ind w:right="-15"/>
              <w:jc w:val="center"/>
              <w:textAlignment w:val="bottom"/>
              <w:rPr>
                <w:rFonts w:eastAsiaTheme="minorEastAsia"/>
                <w:color w:val="000000"/>
                <w:kern w:val="0"/>
                <w:szCs w:val="21"/>
              </w:rPr>
            </w:pP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日至</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w:t>
            </w:r>
          </w:p>
        </w:tc>
      </w:tr>
      <w:tr w:rsidR="009B581C">
        <w:tc>
          <w:tcPr>
            <w:tcW w:w="2268" w:type="dxa"/>
            <w:vMerge/>
            <w:vAlign w:val="center"/>
          </w:tcPr>
          <w:p w:rsidR="009B581C" w:rsidRDefault="009B581C">
            <w:pPr>
              <w:widowControl/>
              <w:spacing w:line="360" w:lineRule="auto"/>
              <w:jc w:val="left"/>
              <w:rPr>
                <w:rFonts w:eastAsiaTheme="minorEastAsia"/>
                <w:color w:val="000000"/>
                <w:szCs w:val="21"/>
              </w:rPr>
            </w:pPr>
          </w:p>
        </w:tc>
        <w:tc>
          <w:tcPr>
            <w:tcW w:w="1683"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期末余额</w:t>
            </w:r>
          </w:p>
        </w:tc>
        <w:tc>
          <w:tcPr>
            <w:tcW w:w="1683"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当期利息收入</w:t>
            </w:r>
          </w:p>
        </w:tc>
        <w:tc>
          <w:tcPr>
            <w:tcW w:w="1683"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期末余额</w:t>
            </w:r>
          </w:p>
        </w:tc>
        <w:tc>
          <w:tcPr>
            <w:tcW w:w="1683"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当期利息收入</w:t>
            </w:r>
          </w:p>
        </w:tc>
      </w:tr>
      <w:tr w:rsidR="0077068F">
        <w:tc>
          <w:tcPr>
            <w:tcW w:w="2268" w:type="dxa"/>
            <w:vAlign w:val="center"/>
          </w:tcPr>
          <w:p w:rsidR="0077068F" w:rsidRDefault="006A74CC">
            <w:pPr>
              <w:jc w:val="left"/>
            </w:pPr>
            <w:r>
              <w:rPr>
                <w:rFonts w:eastAsiaTheme="minorEastAsia"/>
                <w:szCs w:val="21"/>
              </w:rPr>
              <w:t>中国银行股份有限公司</w:t>
            </w:r>
          </w:p>
        </w:tc>
        <w:tc>
          <w:tcPr>
            <w:tcW w:w="1683" w:type="dxa"/>
            <w:vAlign w:val="center"/>
          </w:tcPr>
          <w:p w:rsidR="0077068F" w:rsidRDefault="006A74CC">
            <w:pPr>
              <w:jc w:val="right"/>
            </w:pPr>
            <w:r>
              <w:rPr>
                <w:rFonts w:eastAsiaTheme="minorEastAsia"/>
                <w:szCs w:val="21"/>
              </w:rPr>
              <w:t>4,335,902.13</w:t>
            </w:r>
          </w:p>
        </w:tc>
        <w:tc>
          <w:tcPr>
            <w:tcW w:w="1683" w:type="dxa"/>
            <w:vAlign w:val="center"/>
          </w:tcPr>
          <w:p w:rsidR="0077068F" w:rsidRDefault="006A74CC">
            <w:pPr>
              <w:jc w:val="right"/>
            </w:pPr>
            <w:r>
              <w:rPr>
                <w:rFonts w:eastAsiaTheme="minorEastAsia"/>
                <w:szCs w:val="21"/>
              </w:rPr>
              <w:t>6,145.38</w:t>
            </w:r>
          </w:p>
        </w:tc>
        <w:tc>
          <w:tcPr>
            <w:tcW w:w="1683" w:type="dxa"/>
            <w:vAlign w:val="center"/>
          </w:tcPr>
          <w:p w:rsidR="0077068F" w:rsidRDefault="006A74CC">
            <w:pPr>
              <w:jc w:val="right"/>
            </w:pPr>
            <w:r>
              <w:rPr>
                <w:rFonts w:eastAsiaTheme="minorEastAsia"/>
                <w:szCs w:val="21"/>
              </w:rPr>
              <w:t>1,727,588.30</w:t>
            </w:r>
          </w:p>
        </w:tc>
        <w:tc>
          <w:tcPr>
            <w:tcW w:w="1683" w:type="dxa"/>
            <w:vAlign w:val="center"/>
          </w:tcPr>
          <w:p w:rsidR="0077068F" w:rsidRDefault="006A74CC">
            <w:pPr>
              <w:jc w:val="right"/>
            </w:pPr>
            <w:r>
              <w:rPr>
                <w:rFonts w:eastAsiaTheme="minorEastAsia"/>
                <w:szCs w:val="21"/>
              </w:rPr>
              <w:t>8,405.14</w:t>
            </w:r>
          </w:p>
        </w:tc>
      </w:tr>
    </w:tbl>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注：本基金的银行存款由基金托管人中国银行股份有限公司保管，按银行同业利率或约定利率计息。</w:t>
      </w:r>
    </w:p>
    <w:p w:rsidR="009B581C" w:rsidRDefault="00404602" w:rsidP="006A74CC">
      <w:pPr>
        <w:spacing w:beforeLines="100" w:line="360" w:lineRule="auto"/>
        <w:rPr>
          <w:rFonts w:eastAsiaTheme="minorEastAsia"/>
          <w:b/>
          <w:bCs/>
          <w:color w:val="000000"/>
          <w:szCs w:val="21"/>
        </w:rPr>
      </w:pPr>
      <w:r>
        <w:rPr>
          <w:rFonts w:eastAsiaTheme="minorEastAsia"/>
          <w:b/>
          <w:bCs/>
          <w:color w:val="000000"/>
          <w:kern w:val="0"/>
          <w:szCs w:val="21"/>
        </w:rPr>
        <w:t xml:space="preserve">7.4.8.6 </w:t>
      </w:r>
      <w:r>
        <w:rPr>
          <w:rFonts w:eastAsiaTheme="minorEastAsia"/>
          <w:b/>
          <w:bCs/>
          <w:color w:val="000000"/>
          <w:szCs w:val="21"/>
        </w:rPr>
        <w:t>本基金在承销期内参与关联方承销证券的情况</w:t>
      </w:r>
    </w:p>
    <w:p w:rsidR="009B581C" w:rsidRDefault="00404602">
      <w:pPr>
        <w:widowControl/>
        <w:spacing w:line="360" w:lineRule="auto"/>
        <w:ind w:firstLineChars="200" w:firstLine="420"/>
        <w:jc w:val="left"/>
        <w:rPr>
          <w:rFonts w:eastAsiaTheme="minorEastAsia"/>
          <w:kern w:val="0"/>
          <w:szCs w:val="21"/>
        </w:rPr>
      </w:pPr>
      <w:r>
        <w:rPr>
          <w:rFonts w:eastAsiaTheme="minorEastAsia"/>
          <w:kern w:val="0"/>
          <w:szCs w:val="21"/>
        </w:rPr>
        <w:t>本基金本报告期内及上年度可比期间内无在承销期内参与关联方承销的证券。</w:t>
      </w:r>
    </w:p>
    <w:p w:rsidR="009B581C" w:rsidRDefault="00404602" w:rsidP="006A74CC">
      <w:pPr>
        <w:spacing w:beforeLines="100" w:line="360" w:lineRule="auto"/>
        <w:rPr>
          <w:rFonts w:eastAsiaTheme="minorEastAsia"/>
          <w:b/>
          <w:bCs/>
          <w:color w:val="000000"/>
          <w:szCs w:val="21"/>
        </w:rPr>
      </w:pPr>
      <w:r>
        <w:rPr>
          <w:rFonts w:eastAsiaTheme="minorEastAsia"/>
          <w:b/>
          <w:bCs/>
          <w:color w:val="000000"/>
          <w:kern w:val="0"/>
          <w:szCs w:val="21"/>
        </w:rPr>
        <w:t xml:space="preserve">7.4.9 </w:t>
      </w:r>
      <w:r>
        <w:rPr>
          <w:rFonts w:eastAsiaTheme="minorEastAsia"/>
          <w:b/>
          <w:bCs/>
          <w:color w:val="000000"/>
          <w:szCs w:val="21"/>
        </w:rPr>
        <w:t>期末（</w:t>
      </w:r>
      <w:r>
        <w:rPr>
          <w:rFonts w:eastAsiaTheme="minorEastAsia"/>
          <w:b/>
          <w:bCs/>
          <w:color w:val="000000"/>
          <w:szCs w:val="21"/>
        </w:rPr>
        <w:t>2018</w:t>
      </w:r>
      <w:r>
        <w:rPr>
          <w:rFonts w:eastAsiaTheme="minorEastAsia"/>
          <w:b/>
          <w:bCs/>
          <w:color w:val="000000"/>
          <w:szCs w:val="21"/>
        </w:rPr>
        <w:t>年</w:t>
      </w:r>
      <w:r>
        <w:rPr>
          <w:rFonts w:eastAsiaTheme="minorEastAsia"/>
          <w:b/>
          <w:bCs/>
          <w:color w:val="000000"/>
          <w:szCs w:val="21"/>
        </w:rPr>
        <w:t>12</w:t>
      </w:r>
      <w:r>
        <w:rPr>
          <w:rFonts w:eastAsiaTheme="minorEastAsia"/>
          <w:b/>
          <w:bCs/>
          <w:color w:val="000000"/>
          <w:szCs w:val="21"/>
        </w:rPr>
        <w:t>月</w:t>
      </w:r>
      <w:r>
        <w:rPr>
          <w:rFonts w:eastAsiaTheme="minorEastAsia"/>
          <w:b/>
          <w:bCs/>
          <w:color w:val="000000"/>
          <w:szCs w:val="21"/>
        </w:rPr>
        <w:t>31</w:t>
      </w:r>
      <w:r>
        <w:rPr>
          <w:rFonts w:eastAsiaTheme="minorEastAsia"/>
          <w:b/>
          <w:bCs/>
          <w:color w:val="000000"/>
          <w:szCs w:val="21"/>
        </w:rPr>
        <w:t>日）本基金持有的流通受限证券</w:t>
      </w:r>
    </w:p>
    <w:p w:rsidR="009B581C" w:rsidRDefault="00404602">
      <w:pPr>
        <w:spacing w:line="360" w:lineRule="auto"/>
        <w:rPr>
          <w:rFonts w:eastAsiaTheme="minorEastAsia"/>
          <w:b/>
          <w:bCs/>
          <w:color w:val="000000"/>
          <w:szCs w:val="21"/>
        </w:rPr>
      </w:pPr>
      <w:r>
        <w:rPr>
          <w:rFonts w:eastAsiaTheme="minorEastAsia"/>
          <w:b/>
          <w:bCs/>
          <w:color w:val="000000"/>
          <w:kern w:val="0"/>
          <w:szCs w:val="21"/>
        </w:rPr>
        <w:t xml:space="preserve">7.4.9.1 </w:t>
      </w:r>
      <w:r>
        <w:rPr>
          <w:rFonts w:eastAsiaTheme="minorEastAsia"/>
          <w:b/>
          <w:bCs/>
          <w:color w:val="000000"/>
          <w:szCs w:val="21"/>
        </w:rPr>
        <w:t>因认购新发</w:t>
      </w:r>
      <w:r>
        <w:rPr>
          <w:rFonts w:eastAsiaTheme="minorEastAsia"/>
          <w:b/>
          <w:bCs/>
          <w:color w:val="000000"/>
          <w:szCs w:val="21"/>
        </w:rPr>
        <w:t>/</w:t>
      </w:r>
      <w:r>
        <w:rPr>
          <w:rFonts w:eastAsiaTheme="minorEastAsia"/>
          <w:b/>
          <w:bCs/>
          <w:color w:val="000000"/>
          <w:szCs w:val="21"/>
        </w:rPr>
        <w:t>增发证券而于期末持有的流通受限证券</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截至本报告期末</w:t>
      </w:r>
      <w:r>
        <w:rPr>
          <w:rFonts w:eastAsiaTheme="minorEastAsia"/>
          <w:kern w:val="0"/>
          <w:szCs w:val="21"/>
        </w:rPr>
        <w:t>2018</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日止，本基金无因认购新发</w:t>
      </w:r>
      <w:r>
        <w:rPr>
          <w:rFonts w:eastAsiaTheme="minorEastAsia"/>
          <w:kern w:val="0"/>
          <w:szCs w:val="21"/>
        </w:rPr>
        <w:t>/</w:t>
      </w:r>
      <w:r>
        <w:rPr>
          <w:rFonts w:eastAsiaTheme="minorEastAsia"/>
          <w:kern w:val="0"/>
          <w:szCs w:val="21"/>
        </w:rPr>
        <w:t>增发证券而持有的流通受限证券。</w:t>
      </w:r>
    </w:p>
    <w:p w:rsidR="009B581C" w:rsidRDefault="00404602" w:rsidP="006A74CC">
      <w:pPr>
        <w:spacing w:beforeLines="100" w:line="360" w:lineRule="auto"/>
        <w:rPr>
          <w:rFonts w:eastAsiaTheme="minorEastAsia"/>
          <w:b/>
          <w:bCs/>
          <w:color w:val="000000"/>
          <w:szCs w:val="21"/>
        </w:rPr>
      </w:pPr>
      <w:r>
        <w:rPr>
          <w:rFonts w:eastAsiaTheme="minorEastAsia"/>
          <w:b/>
          <w:bCs/>
          <w:color w:val="000000"/>
          <w:kern w:val="0"/>
          <w:szCs w:val="21"/>
        </w:rPr>
        <w:t xml:space="preserve">7.4.9.2 </w:t>
      </w:r>
      <w:r>
        <w:rPr>
          <w:rFonts w:eastAsiaTheme="minorEastAsia"/>
          <w:b/>
          <w:bCs/>
          <w:color w:val="000000"/>
          <w:szCs w:val="21"/>
        </w:rPr>
        <w:t>期末持有的暂时停牌等流通受限股票</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截至本报告期末</w:t>
      </w:r>
      <w:r>
        <w:rPr>
          <w:rFonts w:eastAsiaTheme="minorEastAsia"/>
          <w:kern w:val="0"/>
          <w:szCs w:val="21"/>
        </w:rPr>
        <w:t>2018</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日止，本基金无持有暂时停牌等流通受限股票。</w:t>
      </w:r>
    </w:p>
    <w:p w:rsidR="009B581C" w:rsidRDefault="00404602" w:rsidP="006A74CC">
      <w:pPr>
        <w:spacing w:beforeLines="100" w:line="360" w:lineRule="auto"/>
        <w:rPr>
          <w:rFonts w:eastAsiaTheme="minorEastAsia"/>
          <w:b/>
          <w:bCs/>
          <w:color w:val="000000"/>
          <w:szCs w:val="21"/>
        </w:rPr>
      </w:pPr>
      <w:r>
        <w:rPr>
          <w:rFonts w:eastAsiaTheme="minorEastAsia"/>
          <w:b/>
          <w:bCs/>
          <w:color w:val="000000"/>
          <w:kern w:val="0"/>
          <w:szCs w:val="21"/>
        </w:rPr>
        <w:t xml:space="preserve">7.4.9.3 </w:t>
      </w:r>
      <w:r>
        <w:rPr>
          <w:rFonts w:eastAsiaTheme="minorEastAsia"/>
          <w:b/>
          <w:bCs/>
          <w:color w:val="000000"/>
          <w:szCs w:val="21"/>
        </w:rPr>
        <w:t>期末债券正回购交易中作为抵押的债券</w:t>
      </w:r>
    </w:p>
    <w:p w:rsidR="009B581C" w:rsidRDefault="00404602">
      <w:pPr>
        <w:spacing w:line="360" w:lineRule="auto"/>
        <w:rPr>
          <w:rFonts w:eastAsiaTheme="minorEastAsia"/>
          <w:b/>
          <w:bCs/>
          <w:color w:val="000000"/>
          <w:szCs w:val="21"/>
        </w:rPr>
      </w:pPr>
      <w:r>
        <w:rPr>
          <w:rFonts w:eastAsiaTheme="minorEastAsia"/>
          <w:b/>
          <w:bCs/>
          <w:color w:val="000000"/>
          <w:kern w:val="0"/>
          <w:szCs w:val="21"/>
        </w:rPr>
        <w:t xml:space="preserve">7.4.9.3.1 </w:t>
      </w:r>
      <w:r>
        <w:rPr>
          <w:rFonts w:eastAsiaTheme="minorEastAsia"/>
          <w:b/>
          <w:bCs/>
          <w:color w:val="000000"/>
          <w:szCs w:val="21"/>
        </w:rPr>
        <w:t>银行间市场债券正回购</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截至本报告期末</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日止，本基金无从事银行间市场债券正回购交易形成的卖出回购证券款，无抵押债券。</w:t>
      </w:r>
    </w:p>
    <w:p w:rsidR="009B581C" w:rsidRDefault="00404602" w:rsidP="006A74CC">
      <w:pPr>
        <w:spacing w:beforeLines="100" w:line="360" w:lineRule="auto"/>
        <w:rPr>
          <w:rFonts w:eastAsiaTheme="minorEastAsia"/>
          <w:b/>
          <w:bCs/>
          <w:color w:val="000000"/>
          <w:szCs w:val="21"/>
        </w:rPr>
      </w:pPr>
      <w:r>
        <w:rPr>
          <w:rFonts w:eastAsiaTheme="minorEastAsia"/>
          <w:b/>
          <w:bCs/>
          <w:color w:val="000000"/>
          <w:kern w:val="0"/>
          <w:szCs w:val="21"/>
        </w:rPr>
        <w:t xml:space="preserve">7.4.9.3.2 </w:t>
      </w:r>
      <w:r>
        <w:rPr>
          <w:rFonts w:eastAsiaTheme="minorEastAsia"/>
          <w:b/>
          <w:bCs/>
          <w:color w:val="000000"/>
          <w:szCs w:val="21"/>
        </w:rPr>
        <w:t>交易所市场债券正回购</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截至本报告期末</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日止，本基金无从事证券交易所债券正回购交易形成的卖出回购证券款，无抵押债券。</w:t>
      </w:r>
    </w:p>
    <w:p w:rsidR="009B581C" w:rsidRDefault="00404602" w:rsidP="006A74CC">
      <w:pPr>
        <w:spacing w:beforeLines="100" w:line="360" w:lineRule="auto"/>
        <w:rPr>
          <w:rFonts w:eastAsiaTheme="minorEastAsia"/>
          <w:b/>
          <w:color w:val="000000"/>
          <w:szCs w:val="21"/>
        </w:rPr>
      </w:pPr>
      <w:r>
        <w:rPr>
          <w:rFonts w:eastAsiaTheme="minorEastAsia"/>
          <w:b/>
          <w:bCs/>
          <w:color w:val="000000"/>
          <w:kern w:val="0"/>
          <w:szCs w:val="21"/>
        </w:rPr>
        <w:t xml:space="preserve">7.4.10 </w:t>
      </w:r>
      <w:r>
        <w:rPr>
          <w:rFonts w:eastAsiaTheme="minorEastAsia"/>
          <w:b/>
          <w:color w:val="000000"/>
          <w:szCs w:val="21"/>
        </w:rPr>
        <w:t>有助于理解和分析会计报表需要说明的其他事项</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、公允价值</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1</w:t>
      </w:r>
      <w:r>
        <w:rPr>
          <w:rFonts w:eastAsiaTheme="minorEastAsia"/>
          <w:color w:val="000000"/>
          <w:szCs w:val="21"/>
        </w:rPr>
        <w:t>）不以公允价值计量的金融工具</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不以公允价值计量的金融资产和负债主要包括应收款项和其他金融负债，其账面价值接近于公允价值。</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2</w:t>
      </w:r>
      <w:r>
        <w:rPr>
          <w:rFonts w:eastAsiaTheme="minorEastAsia"/>
          <w:color w:val="000000"/>
          <w:szCs w:val="21"/>
        </w:rPr>
        <w:t>）以公允价值计量的金融工具</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i</w:t>
      </w:r>
      <w:r>
        <w:rPr>
          <w:rFonts w:eastAsiaTheme="minorEastAsia"/>
          <w:color w:val="000000"/>
          <w:szCs w:val="21"/>
        </w:rPr>
        <w:t>）金融工具公允价值计量的方法</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公允价值计量结果所属的层次，由对公允价值计量整体而言具有重要意义的输入值所属的最低层次决定：</w:t>
      </w:r>
      <w:r>
        <w:rPr>
          <w:rFonts w:eastAsiaTheme="minorEastAsia"/>
          <w:color w:val="000000"/>
          <w:szCs w:val="21"/>
        </w:rPr>
        <w:t xml:space="preserve"> </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第一层次：相同资产或负债在活跃市场上未经调整的报价。</w:t>
      </w:r>
      <w:r>
        <w:rPr>
          <w:rFonts w:eastAsiaTheme="minorEastAsia"/>
          <w:color w:val="000000"/>
          <w:szCs w:val="21"/>
        </w:rPr>
        <w:t xml:space="preserve"> </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第二层次：除第一层次输入值外相关资产或负债直接或间接可观察的输入值。</w:t>
      </w:r>
      <w:r>
        <w:rPr>
          <w:rFonts w:eastAsiaTheme="minorEastAsia"/>
          <w:color w:val="000000"/>
          <w:szCs w:val="21"/>
        </w:rPr>
        <w:t xml:space="preserve">  </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第三层次：相关资产或负债的不可观察输入值。</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ii</w:t>
      </w:r>
      <w:r>
        <w:rPr>
          <w:rFonts w:eastAsiaTheme="minorEastAsia"/>
          <w:color w:val="000000"/>
          <w:szCs w:val="21"/>
        </w:rPr>
        <w:t>）各层级金融工具公允价值</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日，本基金未持有以公允价值计量的金融工具（</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31</w:t>
      </w:r>
      <w:r>
        <w:rPr>
          <w:rFonts w:eastAsiaTheme="minorEastAsia"/>
          <w:color w:val="000000"/>
          <w:szCs w:val="21"/>
        </w:rPr>
        <w:t>日：属于第一层级的余额为</w:t>
      </w:r>
      <w:r>
        <w:rPr>
          <w:rFonts w:eastAsiaTheme="minorEastAsia"/>
          <w:color w:val="000000"/>
          <w:szCs w:val="21"/>
        </w:rPr>
        <w:t>84,089,862.23</w:t>
      </w:r>
      <w:r>
        <w:rPr>
          <w:rFonts w:eastAsiaTheme="minorEastAsia"/>
          <w:color w:val="000000"/>
          <w:szCs w:val="21"/>
        </w:rPr>
        <w:t>元，属于第二层级的余额为</w:t>
      </w:r>
      <w:r>
        <w:rPr>
          <w:rFonts w:eastAsiaTheme="minorEastAsia"/>
          <w:color w:val="000000"/>
          <w:szCs w:val="21"/>
        </w:rPr>
        <w:t>1,944,631.34</w:t>
      </w:r>
      <w:r>
        <w:rPr>
          <w:rFonts w:eastAsiaTheme="minorEastAsia"/>
          <w:color w:val="000000"/>
          <w:szCs w:val="21"/>
        </w:rPr>
        <w:t>元，无属于第三层级的金额）。</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w:t>
      </w:r>
      <w:r>
        <w:rPr>
          <w:rFonts w:eastAsiaTheme="minorEastAsia"/>
          <w:color w:val="000000"/>
          <w:szCs w:val="21"/>
        </w:rPr>
        <w:t>iii</w:t>
      </w:r>
      <w:r>
        <w:rPr>
          <w:rFonts w:eastAsiaTheme="minorEastAsia"/>
          <w:color w:val="000000"/>
          <w:szCs w:val="21"/>
        </w:rPr>
        <w:t>）公允价值所属层级间的重大变动</w:t>
      </w:r>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对于证券交易所上市的证券，若出现重大事项停牌、交易不活跃、或属于非公开发行等情况，本基金分别于停牌日至交易恢复活跃日期间、交易不活跃期间及限售期间将相关证券的公允价值列入第二层级或第三</w:t>
      </w:r>
      <w:r>
        <w:rPr>
          <w:rFonts w:eastAsiaTheme="minorEastAsia"/>
          <w:color w:val="000000"/>
          <w:szCs w:val="21"/>
        </w:rPr>
        <w:t>层级，上述事项解除时将相关证券的公允价值列入第一层级。</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、除公允价值外，截至资产负债表日本基金无需要说明的其他重要事项。</w:t>
      </w:r>
    </w:p>
    <w:p w:rsidR="009B581C" w:rsidRDefault="00404602" w:rsidP="006A74CC">
      <w:pPr>
        <w:pStyle w:val="1"/>
        <w:keepNext/>
        <w:keepLines/>
        <w:widowControl w:val="0"/>
        <w:spacing w:beforeLines="100" w:afterLines="100" w:line="360" w:lineRule="auto"/>
        <w:jc w:val="center"/>
        <w:rPr>
          <w:rFonts w:eastAsiaTheme="minorEastAsia"/>
          <w:b/>
          <w:bCs/>
          <w:sz w:val="21"/>
          <w:szCs w:val="21"/>
          <w:lang w:val="en-US"/>
        </w:rPr>
      </w:pPr>
      <w:bookmarkStart w:id="60" w:name="_Toc225498272"/>
      <w:bookmarkStart w:id="61" w:name="_Toc361324877"/>
      <w:r>
        <w:rPr>
          <w:rFonts w:eastAsiaTheme="minorEastAsia"/>
          <w:b/>
          <w:bCs/>
          <w:sz w:val="21"/>
          <w:szCs w:val="21"/>
          <w:lang w:val="en-US"/>
        </w:rPr>
        <w:t xml:space="preserve">§8  </w:t>
      </w:r>
      <w:r>
        <w:rPr>
          <w:rFonts w:eastAsiaTheme="minorEastAsia"/>
          <w:b/>
          <w:bCs/>
          <w:sz w:val="21"/>
          <w:szCs w:val="21"/>
          <w:lang w:val="en-US"/>
        </w:rPr>
        <w:t>投资组合报告</w:t>
      </w:r>
      <w:bookmarkEnd w:id="60"/>
      <w:bookmarkEnd w:id="61"/>
    </w:p>
    <w:p w:rsidR="009B581C" w:rsidRDefault="00404602" w:rsidP="006A74CC">
      <w:pPr>
        <w:pStyle w:val="2"/>
        <w:spacing w:beforeLines="100" w:after="0"/>
        <w:rPr>
          <w:rFonts w:ascii="Times New Roman" w:eastAsiaTheme="minorEastAsia" w:hAnsi="Times New Roman"/>
          <w:kern w:val="0"/>
          <w:sz w:val="21"/>
          <w:szCs w:val="21"/>
        </w:rPr>
      </w:pPr>
      <w:bookmarkStart w:id="62" w:name="_Toc361324878"/>
      <w:bookmarkStart w:id="63" w:name="_Toc225498273"/>
      <w:r>
        <w:rPr>
          <w:rFonts w:ascii="Times New Roman" w:eastAsiaTheme="minorEastAsia" w:hAnsi="Times New Roman"/>
          <w:kern w:val="0"/>
          <w:sz w:val="21"/>
          <w:szCs w:val="21"/>
        </w:rPr>
        <w:t xml:space="preserve">8.1 </w:t>
      </w:r>
      <w:r>
        <w:rPr>
          <w:rFonts w:ascii="Times New Roman" w:eastAsiaTheme="minorEastAsia" w:hAnsi="Times New Roman"/>
          <w:kern w:val="0"/>
          <w:sz w:val="21"/>
          <w:szCs w:val="21"/>
        </w:rPr>
        <w:t>期末基金资产组合情况</w:t>
      </w:r>
      <w:bookmarkEnd w:id="62"/>
      <w:bookmarkEnd w:id="6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748"/>
        <w:gridCol w:w="2551"/>
        <w:gridCol w:w="2621"/>
      </w:tblGrid>
      <w:tr w:rsidR="009B581C">
        <w:tc>
          <w:tcPr>
            <w:tcW w:w="1080" w:type="dxa"/>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序号</w:t>
            </w:r>
          </w:p>
        </w:tc>
        <w:tc>
          <w:tcPr>
            <w:tcW w:w="2748" w:type="dxa"/>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项目</w:t>
            </w:r>
          </w:p>
        </w:tc>
        <w:tc>
          <w:tcPr>
            <w:tcW w:w="2551" w:type="dxa"/>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金额</w:t>
            </w:r>
          </w:p>
        </w:tc>
        <w:tc>
          <w:tcPr>
            <w:tcW w:w="2621" w:type="dxa"/>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r>
              <w:rPr>
                <w:rFonts w:eastAsiaTheme="minorEastAsia"/>
                <w:color w:val="000000" w:themeColor="text1"/>
                <w:szCs w:val="21"/>
              </w:rPr>
              <w:t>）</w:t>
            </w:r>
          </w:p>
        </w:tc>
      </w:tr>
      <w:tr w:rsidR="009B581C">
        <w:tc>
          <w:tcPr>
            <w:tcW w:w="1080" w:type="dxa"/>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1</w:t>
            </w: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color w:val="000000" w:themeColor="text1"/>
                <w:szCs w:val="21"/>
              </w:rPr>
              <w:t>权益投资</w:t>
            </w:r>
          </w:p>
        </w:tc>
        <w:tc>
          <w:tcPr>
            <w:tcW w:w="255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9B581C">
        <w:tc>
          <w:tcPr>
            <w:tcW w:w="1080" w:type="dxa"/>
            <w:vAlign w:val="center"/>
          </w:tcPr>
          <w:p w:rsidR="009B581C" w:rsidRDefault="009B581C">
            <w:pPr>
              <w:spacing w:line="276" w:lineRule="auto"/>
              <w:jc w:val="center"/>
              <w:rPr>
                <w:rFonts w:eastAsiaTheme="minorEastAsia"/>
                <w:color w:val="000000" w:themeColor="text1"/>
                <w:szCs w:val="21"/>
              </w:rPr>
            </w:pP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color w:val="000000" w:themeColor="text1"/>
                <w:szCs w:val="21"/>
              </w:rPr>
              <w:t>其中：股票</w:t>
            </w:r>
          </w:p>
        </w:tc>
        <w:tc>
          <w:tcPr>
            <w:tcW w:w="255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9B581C">
        <w:tc>
          <w:tcPr>
            <w:tcW w:w="1080" w:type="dxa"/>
            <w:vAlign w:val="center"/>
          </w:tcPr>
          <w:p w:rsidR="009B581C" w:rsidRDefault="00404602">
            <w:pPr>
              <w:spacing w:line="276" w:lineRule="auto"/>
              <w:jc w:val="center"/>
              <w:rPr>
                <w:rFonts w:eastAsiaTheme="minorEastAsia"/>
                <w:color w:val="000000" w:themeColor="text1"/>
                <w:szCs w:val="21"/>
              </w:rPr>
            </w:pPr>
            <w:r>
              <w:rPr>
                <w:rFonts w:eastAsiaTheme="minorEastAsia" w:hint="eastAsia"/>
                <w:color w:val="000000" w:themeColor="text1"/>
                <w:szCs w:val="21"/>
              </w:rPr>
              <w:t>2</w:t>
            </w: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hint="eastAsia"/>
                <w:color w:val="000000" w:themeColor="text1"/>
                <w:szCs w:val="21"/>
              </w:rPr>
              <w:t>基金投资</w:t>
            </w:r>
          </w:p>
        </w:tc>
        <w:tc>
          <w:tcPr>
            <w:tcW w:w="255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262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9B581C">
        <w:tc>
          <w:tcPr>
            <w:tcW w:w="1080" w:type="dxa"/>
            <w:vAlign w:val="center"/>
          </w:tcPr>
          <w:p w:rsidR="009B581C" w:rsidRDefault="00404602">
            <w:pPr>
              <w:spacing w:line="276" w:lineRule="auto"/>
              <w:jc w:val="center"/>
              <w:rPr>
                <w:rFonts w:eastAsiaTheme="minorEastAsia"/>
                <w:color w:val="000000" w:themeColor="text1"/>
                <w:szCs w:val="21"/>
              </w:rPr>
            </w:pPr>
            <w:r>
              <w:rPr>
                <w:rFonts w:eastAsiaTheme="minorEastAsia" w:hint="eastAsia"/>
                <w:color w:val="000000" w:themeColor="text1"/>
                <w:szCs w:val="21"/>
              </w:rPr>
              <w:t>3</w:t>
            </w: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color w:val="000000" w:themeColor="text1"/>
                <w:szCs w:val="21"/>
              </w:rPr>
              <w:t>固定收益投资</w:t>
            </w:r>
          </w:p>
        </w:tc>
        <w:tc>
          <w:tcPr>
            <w:tcW w:w="255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9B581C">
        <w:tc>
          <w:tcPr>
            <w:tcW w:w="1080" w:type="dxa"/>
            <w:vAlign w:val="center"/>
          </w:tcPr>
          <w:p w:rsidR="009B581C" w:rsidRDefault="009B581C">
            <w:pPr>
              <w:spacing w:line="276" w:lineRule="auto"/>
              <w:jc w:val="center"/>
              <w:rPr>
                <w:rFonts w:eastAsiaTheme="minorEastAsia"/>
                <w:color w:val="000000" w:themeColor="text1"/>
                <w:szCs w:val="21"/>
              </w:rPr>
            </w:pP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color w:val="000000" w:themeColor="text1"/>
                <w:szCs w:val="21"/>
              </w:rPr>
              <w:t>其中：债券</w:t>
            </w:r>
          </w:p>
        </w:tc>
        <w:tc>
          <w:tcPr>
            <w:tcW w:w="255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9B581C">
        <w:tc>
          <w:tcPr>
            <w:tcW w:w="1080" w:type="dxa"/>
            <w:vAlign w:val="center"/>
          </w:tcPr>
          <w:p w:rsidR="009B581C" w:rsidRDefault="009B581C">
            <w:pPr>
              <w:spacing w:line="276" w:lineRule="auto"/>
              <w:jc w:val="center"/>
              <w:rPr>
                <w:rFonts w:eastAsiaTheme="minorEastAsia"/>
                <w:color w:val="000000" w:themeColor="text1"/>
                <w:szCs w:val="21"/>
              </w:rPr>
            </w:pPr>
          </w:p>
        </w:tc>
        <w:tc>
          <w:tcPr>
            <w:tcW w:w="2748" w:type="dxa"/>
            <w:vAlign w:val="center"/>
          </w:tcPr>
          <w:p w:rsidR="009B581C" w:rsidRDefault="00404602">
            <w:pPr>
              <w:spacing w:line="276" w:lineRule="auto"/>
              <w:ind w:leftChars="50" w:left="105" w:firstLineChars="300" w:firstLine="630"/>
              <w:rPr>
                <w:rFonts w:eastAsiaTheme="minorEastAsia"/>
                <w:color w:val="000000" w:themeColor="text1"/>
                <w:szCs w:val="21"/>
              </w:rPr>
            </w:pPr>
            <w:r>
              <w:rPr>
                <w:rFonts w:eastAsiaTheme="minorEastAsia"/>
                <w:color w:val="000000" w:themeColor="text1"/>
                <w:szCs w:val="21"/>
              </w:rPr>
              <w:t>资产支持证券</w:t>
            </w:r>
          </w:p>
        </w:tc>
        <w:tc>
          <w:tcPr>
            <w:tcW w:w="255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9B581C">
        <w:tc>
          <w:tcPr>
            <w:tcW w:w="1080" w:type="dxa"/>
            <w:vAlign w:val="center"/>
          </w:tcPr>
          <w:p w:rsidR="009B581C" w:rsidRDefault="00404602">
            <w:pPr>
              <w:spacing w:line="276" w:lineRule="auto"/>
              <w:jc w:val="center"/>
              <w:rPr>
                <w:rFonts w:eastAsiaTheme="minorEastAsia"/>
                <w:color w:val="000000" w:themeColor="text1"/>
                <w:szCs w:val="21"/>
              </w:rPr>
            </w:pPr>
            <w:r>
              <w:rPr>
                <w:rFonts w:eastAsiaTheme="minorEastAsia" w:hint="eastAsia"/>
                <w:color w:val="000000" w:themeColor="text1"/>
                <w:szCs w:val="21"/>
              </w:rPr>
              <w:t>4</w:t>
            </w: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55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9B581C">
        <w:tc>
          <w:tcPr>
            <w:tcW w:w="1080" w:type="dxa"/>
            <w:vAlign w:val="center"/>
          </w:tcPr>
          <w:p w:rsidR="009B581C" w:rsidRDefault="00404602">
            <w:pPr>
              <w:spacing w:line="276" w:lineRule="auto"/>
              <w:jc w:val="center"/>
              <w:rPr>
                <w:rFonts w:eastAsiaTheme="minorEastAsia"/>
                <w:color w:val="000000" w:themeColor="text1"/>
                <w:szCs w:val="21"/>
              </w:rPr>
            </w:pPr>
            <w:r>
              <w:rPr>
                <w:rFonts w:eastAsiaTheme="minorEastAsia" w:hint="eastAsia"/>
                <w:color w:val="000000" w:themeColor="text1"/>
                <w:szCs w:val="21"/>
              </w:rPr>
              <w:t>5</w:t>
            </w: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color w:val="000000" w:themeColor="text1"/>
                <w:szCs w:val="21"/>
              </w:rPr>
              <w:t>金融衍生品投资</w:t>
            </w:r>
          </w:p>
        </w:tc>
        <w:tc>
          <w:tcPr>
            <w:tcW w:w="255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9B581C">
        <w:tc>
          <w:tcPr>
            <w:tcW w:w="1080" w:type="dxa"/>
            <w:vAlign w:val="center"/>
          </w:tcPr>
          <w:p w:rsidR="009B581C" w:rsidRDefault="00404602">
            <w:pPr>
              <w:spacing w:line="276" w:lineRule="auto"/>
              <w:jc w:val="center"/>
              <w:rPr>
                <w:rFonts w:eastAsiaTheme="minorEastAsia"/>
                <w:color w:val="000000" w:themeColor="text1"/>
                <w:szCs w:val="21"/>
              </w:rPr>
            </w:pPr>
            <w:r>
              <w:rPr>
                <w:rFonts w:eastAsiaTheme="minorEastAsia" w:hint="eastAsia"/>
                <w:color w:val="000000" w:themeColor="text1"/>
                <w:szCs w:val="21"/>
              </w:rPr>
              <w:t>6</w:t>
            </w: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color w:val="000000" w:themeColor="text1"/>
                <w:szCs w:val="21"/>
              </w:rPr>
              <w:t>买入返售金融资产</w:t>
            </w:r>
          </w:p>
        </w:tc>
        <w:tc>
          <w:tcPr>
            <w:tcW w:w="255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9B581C">
        <w:tc>
          <w:tcPr>
            <w:tcW w:w="1080" w:type="dxa"/>
            <w:vAlign w:val="center"/>
          </w:tcPr>
          <w:p w:rsidR="009B581C" w:rsidRDefault="009B581C">
            <w:pPr>
              <w:spacing w:line="276" w:lineRule="auto"/>
              <w:jc w:val="center"/>
              <w:rPr>
                <w:rFonts w:eastAsiaTheme="minorEastAsia"/>
                <w:color w:val="000000" w:themeColor="text1"/>
                <w:szCs w:val="21"/>
              </w:rPr>
            </w:pP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color w:val="000000" w:themeColor="text1"/>
                <w:szCs w:val="21"/>
              </w:rPr>
              <w:t>其中：买断式回购的买入返售金融资产</w:t>
            </w:r>
          </w:p>
        </w:tc>
        <w:tc>
          <w:tcPr>
            <w:tcW w:w="255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9B581C">
        <w:tc>
          <w:tcPr>
            <w:tcW w:w="1080" w:type="dxa"/>
            <w:vAlign w:val="center"/>
          </w:tcPr>
          <w:p w:rsidR="009B581C" w:rsidRDefault="00404602">
            <w:pPr>
              <w:spacing w:line="276" w:lineRule="auto"/>
              <w:jc w:val="center"/>
              <w:rPr>
                <w:rFonts w:eastAsiaTheme="minorEastAsia"/>
                <w:color w:val="000000" w:themeColor="text1"/>
                <w:szCs w:val="21"/>
              </w:rPr>
            </w:pPr>
            <w:r>
              <w:rPr>
                <w:rFonts w:eastAsiaTheme="minorEastAsia" w:hint="eastAsia"/>
                <w:color w:val="000000" w:themeColor="text1"/>
                <w:szCs w:val="21"/>
              </w:rPr>
              <w:t>7</w:t>
            </w: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color w:val="000000" w:themeColor="text1"/>
                <w:szCs w:val="21"/>
              </w:rPr>
              <w:t>银行存款和结算备付金合计</w:t>
            </w:r>
          </w:p>
        </w:tc>
        <w:tc>
          <w:tcPr>
            <w:tcW w:w="255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4,386,719.40</w:t>
            </w:r>
          </w:p>
        </w:tc>
        <w:tc>
          <w:tcPr>
            <w:tcW w:w="2621" w:type="dxa"/>
            <w:vAlign w:val="center"/>
          </w:tcPr>
          <w:p w:rsidR="009B581C" w:rsidRDefault="00404602">
            <w:pPr>
              <w:spacing w:before="29" w:line="276" w:lineRule="auto"/>
              <w:ind w:left="17"/>
              <w:jc w:val="right"/>
              <w:rPr>
                <w:rFonts w:eastAsiaTheme="minorEastAsia"/>
                <w:color w:val="000000" w:themeColor="text1"/>
                <w:szCs w:val="21"/>
              </w:rPr>
            </w:pPr>
            <w:r>
              <w:rPr>
                <w:rFonts w:eastAsiaTheme="minorEastAsia"/>
                <w:color w:val="000000" w:themeColor="text1"/>
                <w:szCs w:val="21"/>
              </w:rPr>
              <w:t>99.63</w:t>
            </w:r>
          </w:p>
        </w:tc>
      </w:tr>
      <w:tr w:rsidR="009B581C">
        <w:tc>
          <w:tcPr>
            <w:tcW w:w="1080" w:type="dxa"/>
            <w:vAlign w:val="center"/>
          </w:tcPr>
          <w:p w:rsidR="009B581C" w:rsidRDefault="00404602">
            <w:pPr>
              <w:spacing w:before="29" w:line="276" w:lineRule="auto"/>
              <w:ind w:left="17"/>
              <w:jc w:val="center"/>
              <w:rPr>
                <w:rFonts w:eastAsiaTheme="minorEastAsia"/>
                <w:color w:val="000000" w:themeColor="text1"/>
                <w:szCs w:val="21"/>
              </w:rPr>
            </w:pPr>
            <w:r>
              <w:rPr>
                <w:rFonts w:eastAsiaTheme="minorEastAsia"/>
                <w:color w:val="000000" w:themeColor="text1"/>
                <w:szCs w:val="21"/>
              </w:rPr>
              <w:t>8</w:t>
            </w: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color w:val="000000" w:themeColor="text1"/>
                <w:szCs w:val="21"/>
              </w:rPr>
              <w:t>其他各项资产</w:t>
            </w:r>
          </w:p>
        </w:tc>
        <w:tc>
          <w:tcPr>
            <w:tcW w:w="2551" w:type="dxa"/>
            <w:vAlign w:val="center"/>
          </w:tcPr>
          <w:p w:rsidR="009B581C" w:rsidRDefault="00404602">
            <w:pPr>
              <w:spacing w:line="276" w:lineRule="auto"/>
              <w:jc w:val="right"/>
              <w:rPr>
                <w:rFonts w:eastAsiaTheme="minorEastAsia"/>
                <w:color w:val="000000" w:themeColor="text1"/>
                <w:szCs w:val="21"/>
              </w:rPr>
            </w:pPr>
            <w:r>
              <w:rPr>
                <w:rFonts w:eastAsiaTheme="minorEastAsia"/>
                <w:color w:val="000000" w:themeColor="text1"/>
                <w:szCs w:val="21"/>
              </w:rPr>
              <w:t>16,495.11</w:t>
            </w:r>
          </w:p>
        </w:tc>
        <w:tc>
          <w:tcPr>
            <w:tcW w:w="2621" w:type="dxa"/>
            <w:vAlign w:val="center"/>
          </w:tcPr>
          <w:p w:rsidR="009B581C" w:rsidRDefault="00404602">
            <w:pPr>
              <w:spacing w:line="276" w:lineRule="auto"/>
              <w:jc w:val="right"/>
              <w:rPr>
                <w:rFonts w:eastAsiaTheme="minorEastAsia"/>
                <w:color w:val="000000" w:themeColor="text1"/>
                <w:szCs w:val="21"/>
              </w:rPr>
            </w:pPr>
            <w:r>
              <w:rPr>
                <w:rFonts w:eastAsiaTheme="minorEastAsia"/>
                <w:color w:val="000000" w:themeColor="text1"/>
                <w:szCs w:val="21"/>
              </w:rPr>
              <w:t>0.37</w:t>
            </w:r>
          </w:p>
        </w:tc>
      </w:tr>
      <w:tr w:rsidR="009B581C">
        <w:tc>
          <w:tcPr>
            <w:tcW w:w="1080" w:type="dxa"/>
            <w:vAlign w:val="center"/>
          </w:tcPr>
          <w:p w:rsidR="009B581C" w:rsidRDefault="00404602">
            <w:pPr>
              <w:spacing w:before="29" w:line="276" w:lineRule="auto"/>
              <w:ind w:left="17"/>
              <w:jc w:val="center"/>
              <w:rPr>
                <w:rFonts w:eastAsiaTheme="minorEastAsia"/>
                <w:color w:val="000000" w:themeColor="text1"/>
                <w:szCs w:val="21"/>
              </w:rPr>
            </w:pPr>
            <w:r>
              <w:rPr>
                <w:rFonts w:eastAsiaTheme="minorEastAsia"/>
                <w:color w:val="000000" w:themeColor="text1"/>
                <w:szCs w:val="21"/>
              </w:rPr>
              <w:t>9</w:t>
            </w:r>
          </w:p>
        </w:tc>
        <w:tc>
          <w:tcPr>
            <w:tcW w:w="2748" w:type="dxa"/>
            <w:vAlign w:val="center"/>
          </w:tcPr>
          <w:p w:rsidR="009B581C" w:rsidRDefault="00404602">
            <w:pPr>
              <w:spacing w:line="276" w:lineRule="auto"/>
              <w:ind w:leftChars="50" w:left="105"/>
              <w:rPr>
                <w:rFonts w:eastAsiaTheme="minorEastAsia"/>
                <w:color w:val="000000" w:themeColor="text1"/>
                <w:szCs w:val="21"/>
              </w:rPr>
            </w:pPr>
            <w:r>
              <w:rPr>
                <w:rFonts w:eastAsiaTheme="minorEastAsia"/>
                <w:color w:val="000000" w:themeColor="text1"/>
                <w:szCs w:val="21"/>
              </w:rPr>
              <w:t>合计</w:t>
            </w:r>
          </w:p>
        </w:tc>
        <w:tc>
          <w:tcPr>
            <w:tcW w:w="2551" w:type="dxa"/>
            <w:vAlign w:val="center"/>
          </w:tcPr>
          <w:p w:rsidR="009B581C" w:rsidRDefault="00404602">
            <w:pPr>
              <w:spacing w:line="276" w:lineRule="auto"/>
              <w:jc w:val="right"/>
              <w:rPr>
                <w:rFonts w:eastAsiaTheme="minorEastAsia"/>
                <w:color w:val="000000" w:themeColor="text1"/>
                <w:szCs w:val="21"/>
              </w:rPr>
            </w:pPr>
            <w:r>
              <w:rPr>
                <w:rFonts w:eastAsiaTheme="minorEastAsia"/>
                <w:color w:val="000000" w:themeColor="text1"/>
                <w:szCs w:val="21"/>
              </w:rPr>
              <w:t>4,403,214.51</w:t>
            </w:r>
          </w:p>
        </w:tc>
        <w:tc>
          <w:tcPr>
            <w:tcW w:w="2621" w:type="dxa"/>
            <w:vAlign w:val="center"/>
          </w:tcPr>
          <w:p w:rsidR="009B581C" w:rsidRDefault="00404602">
            <w:pPr>
              <w:spacing w:line="276" w:lineRule="auto"/>
              <w:jc w:val="right"/>
              <w:rPr>
                <w:rFonts w:eastAsiaTheme="minorEastAsia"/>
                <w:color w:val="000000" w:themeColor="text1"/>
                <w:szCs w:val="21"/>
              </w:rPr>
            </w:pPr>
            <w:r>
              <w:rPr>
                <w:rFonts w:eastAsiaTheme="minorEastAsia"/>
                <w:color w:val="000000" w:themeColor="text1"/>
                <w:szCs w:val="21"/>
              </w:rPr>
              <w:t>100.00</w:t>
            </w:r>
          </w:p>
        </w:tc>
      </w:tr>
    </w:tbl>
    <w:p w:rsidR="009B581C" w:rsidRDefault="00404602">
      <w:pPr>
        <w:widowControl/>
        <w:spacing w:line="360" w:lineRule="auto"/>
        <w:ind w:firstLineChars="200" w:firstLine="420"/>
        <w:jc w:val="left"/>
        <w:rPr>
          <w:rFonts w:eastAsiaTheme="minorEastAsia"/>
          <w:kern w:val="0"/>
          <w:szCs w:val="21"/>
        </w:rPr>
      </w:pPr>
      <w:r>
        <w:rPr>
          <w:rFonts w:eastAsiaTheme="minorEastAsia"/>
          <w:kern w:val="0"/>
          <w:szCs w:val="21"/>
        </w:rPr>
        <w:t>注：上表中的股票投资项含可退替代款估值增值，而</w:t>
      </w:r>
      <w:r>
        <w:rPr>
          <w:rFonts w:eastAsiaTheme="minorEastAsia"/>
          <w:kern w:val="0"/>
          <w:szCs w:val="21"/>
        </w:rPr>
        <w:t>8.2</w:t>
      </w:r>
      <w:r>
        <w:rPr>
          <w:rFonts w:eastAsiaTheme="minorEastAsia"/>
          <w:kern w:val="0"/>
          <w:szCs w:val="21"/>
        </w:rPr>
        <w:t>的合计项不含可退替代款估值增值。</w:t>
      </w:r>
    </w:p>
    <w:p w:rsidR="009B581C" w:rsidRDefault="00404602" w:rsidP="006A74CC">
      <w:pPr>
        <w:pStyle w:val="2"/>
        <w:spacing w:beforeLines="100" w:after="0"/>
        <w:rPr>
          <w:rFonts w:ascii="Times New Roman" w:eastAsiaTheme="minorEastAsia" w:hAnsi="Times New Roman"/>
          <w:kern w:val="0"/>
          <w:sz w:val="21"/>
          <w:szCs w:val="21"/>
        </w:rPr>
      </w:pPr>
      <w:bookmarkStart w:id="64" w:name="_Toc361324879"/>
      <w:bookmarkStart w:id="65" w:name="_Toc225498274"/>
      <w:r>
        <w:rPr>
          <w:rFonts w:ascii="Times New Roman" w:eastAsiaTheme="minorEastAsia" w:hAnsi="Times New Roman"/>
          <w:kern w:val="0"/>
          <w:sz w:val="21"/>
          <w:szCs w:val="21"/>
        </w:rPr>
        <w:t xml:space="preserve">8.2 </w:t>
      </w:r>
      <w:r>
        <w:rPr>
          <w:rFonts w:ascii="Times New Roman" w:eastAsiaTheme="minorEastAsia" w:hAnsi="Times New Roman"/>
          <w:kern w:val="0"/>
          <w:sz w:val="21"/>
          <w:szCs w:val="21"/>
        </w:rPr>
        <w:t>期末按行业分类的股票投资组合</w:t>
      </w:r>
      <w:bookmarkEnd w:id="64"/>
      <w:bookmarkEnd w:id="65"/>
    </w:p>
    <w:p w:rsidR="009B581C" w:rsidRDefault="00404602">
      <w:pPr>
        <w:pStyle w:val="a0"/>
        <w:ind w:firstLineChars="0" w:firstLine="0"/>
      </w:pPr>
      <w:r>
        <w:rPr>
          <w:rFonts w:eastAsiaTheme="minorEastAsia"/>
          <w:b/>
          <w:color w:val="000000"/>
          <w:szCs w:val="21"/>
        </w:rPr>
        <w:t>8.2.1</w:t>
      </w:r>
      <w:r>
        <w:rPr>
          <w:rFonts w:eastAsiaTheme="minorEastAsia" w:hint="eastAsia"/>
          <w:b/>
          <w:color w:val="000000"/>
          <w:szCs w:val="21"/>
        </w:rPr>
        <w:t>报告期末按行业分类的境内股票投资组合</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本基金本报告期末未持有股票。</w:t>
      </w:r>
    </w:p>
    <w:p w:rsidR="009B581C" w:rsidRDefault="00404602" w:rsidP="006A74CC">
      <w:pPr>
        <w:spacing w:beforeLines="100" w:line="360" w:lineRule="auto"/>
        <w:rPr>
          <w:rFonts w:eastAsiaTheme="minorEastAsia"/>
          <w:b/>
          <w:bCs/>
          <w:kern w:val="0"/>
          <w:szCs w:val="21"/>
        </w:rPr>
      </w:pPr>
      <w:r>
        <w:rPr>
          <w:rFonts w:eastAsiaTheme="minorEastAsia"/>
          <w:b/>
          <w:color w:val="000000"/>
          <w:szCs w:val="21"/>
        </w:rPr>
        <w:t>8.2.2</w:t>
      </w:r>
      <w:r>
        <w:rPr>
          <w:rFonts w:eastAsiaTheme="minorEastAsia" w:hint="eastAsia"/>
          <w:b/>
          <w:bCs/>
          <w:kern w:val="0"/>
          <w:szCs w:val="21"/>
        </w:rPr>
        <w:t>报告期末按行业分类的港股通投资股票投资组合</w:t>
      </w:r>
    </w:p>
    <w:p w:rsidR="009B581C" w:rsidRDefault="00404602">
      <w:pPr>
        <w:tabs>
          <w:tab w:val="left" w:pos="426"/>
        </w:tabs>
        <w:spacing w:line="360" w:lineRule="auto"/>
        <w:jc w:val="left"/>
        <w:rPr>
          <w:rFonts w:eastAsiaTheme="minorEastAsia"/>
          <w:color w:val="000000" w:themeColor="text1"/>
          <w:kern w:val="0"/>
          <w:szCs w:val="21"/>
        </w:rPr>
      </w:pPr>
      <w:r>
        <w:rPr>
          <w:rFonts w:eastAsiaTheme="minorEastAsia"/>
          <w:szCs w:val="21"/>
        </w:rPr>
        <w:t>本基金本报告期末未持有通过港股通投资的股票。</w:t>
      </w:r>
    </w:p>
    <w:p w:rsidR="009B581C" w:rsidRDefault="00404602" w:rsidP="006A74CC">
      <w:pPr>
        <w:pStyle w:val="2"/>
        <w:spacing w:beforeLines="100" w:after="0"/>
        <w:rPr>
          <w:rFonts w:ascii="Times New Roman" w:eastAsiaTheme="minorEastAsia" w:hAnsi="Times New Roman"/>
          <w:kern w:val="0"/>
          <w:sz w:val="21"/>
          <w:szCs w:val="21"/>
        </w:rPr>
      </w:pPr>
      <w:bookmarkStart w:id="66" w:name="_Toc361324881"/>
      <w:r>
        <w:rPr>
          <w:rFonts w:ascii="Times New Roman" w:eastAsiaTheme="minorEastAsia" w:hAnsi="Times New Roman"/>
          <w:kern w:val="0"/>
          <w:sz w:val="21"/>
          <w:szCs w:val="21"/>
        </w:rPr>
        <w:t xml:space="preserve">8.3 </w:t>
      </w:r>
      <w:r>
        <w:rPr>
          <w:rFonts w:ascii="Times New Roman" w:eastAsiaTheme="minorEastAsia" w:hAnsi="Times New Roman"/>
          <w:kern w:val="0"/>
          <w:sz w:val="21"/>
          <w:szCs w:val="21"/>
        </w:rPr>
        <w:t>期末按公允价值占基金资产净值比例大小排序的前十名股票投资明细</w:t>
      </w:r>
      <w:bookmarkEnd w:id="66"/>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本基金本报告期末未持有股票。</w:t>
      </w:r>
    </w:p>
    <w:p w:rsidR="009B581C" w:rsidRDefault="00404602" w:rsidP="006A74CC">
      <w:pPr>
        <w:pStyle w:val="2"/>
        <w:spacing w:beforeLines="100" w:after="0"/>
        <w:rPr>
          <w:rFonts w:ascii="Times New Roman" w:eastAsiaTheme="minorEastAsia" w:hAnsi="Times New Roman"/>
          <w:kern w:val="0"/>
          <w:sz w:val="21"/>
          <w:szCs w:val="21"/>
        </w:rPr>
      </w:pPr>
      <w:bookmarkStart w:id="67" w:name="_Toc361324882"/>
      <w:r>
        <w:rPr>
          <w:rFonts w:ascii="Times New Roman" w:eastAsiaTheme="minorEastAsia" w:hAnsi="Times New Roman"/>
          <w:kern w:val="0"/>
          <w:sz w:val="21"/>
          <w:szCs w:val="21"/>
        </w:rPr>
        <w:t>8.4</w:t>
      </w:r>
      <w:bookmarkStart w:id="68" w:name="_Toc234814103"/>
      <w:r>
        <w:rPr>
          <w:rFonts w:ascii="Times New Roman" w:eastAsiaTheme="minorEastAsia" w:hAnsi="Times New Roman"/>
          <w:kern w:val="0"/>
          <w:sz w:val="21"/>
          <w:szCs w:val="21"/>
        </w:rPr>
        <w:t>报告期内股票投资组合的重大变动</w:t>
      </w:r>
      <w:bookmarkEnd w:id="67"/>
      <w:bookmarkEnd w:id="68"/>
    </w:p>
    <w:p w:rsidR="009B581C" w:rsidRDefault="00404602">
      <w:pPr>
        <w:spacing w:line="360" w:lineRule="auto"/>
        <w:rPr>
          <w:rFonts w:eastAsiaTheme="minorEastAsia"/>
          <w:b/>
          <w:bCs/>
          <w:color w:val="000000"/>
          <w:szCs w:val="21"/>
        </w:rPr>
      </w:pPr>
      <w:r>
        <w:rPr>
          <w:rFonts w:eastAsiaTheme="minorEastAsia"/>
          <w:b/>
          <w:color w:val="000000"/>
          <w:szCs w:val="21"/>
        </w:rPr>
        <w:t xml:space="preserve">8.4.1 </w:t>
      </w:r>
      <w:r>
        <w:rPr>
          <w:rFonts w:eastAsiaTheme="minorEastAsia"/>
          <w:b/>
          <w:bCs/>
          <w:color w:val="000000"/>
          <w:szCs w:val="21"/>
        </w:rPr>
        <w:t>累计买入金额超出</w:t>
      </w:r>
      <w:r>
        <w:rPr>
          <w:rFonts w:eastAsiaTheme="minorEastAsia"/>
          <w:b/>
          <w:color w:val="000000"/>
          <w:kern w:val="0"/>
          <w:szCs w:val="21"/>
        </w:rPr>
        <w:t>期初</w:t>
      </w:r>
      <w:r>
        <w:rPr>
          <w:rFonts w:eastAsiaTheme="minorEastAsia"/>
          <w:b/>
          <w:bCs/>
          <w:color w:val="000000"/>
          <w:szCs w:val="21"/>
        </w:rPr>
        <w:t>基金资产净值</w:t>
      </w:r>
      <w:r>
        <w:rPr>
          <w:rFonts w:eastAsiaTheme="minorEastAsia"/>
          <w:b/>
          <w:bCs/>
          <w:color w:val="000000"/>
          <w:szCs w:val="21"/>
        </w:rPr>
        <w:t>2</w:t>
      </w:r>
      <w:r>
        <w:rPr>
          <w:rFonts w:eastAsiaTheme="minorEastAsia"/>
          <w:b/>
          <w:bCs/>
          <w:color w:val="000000"/>
          <w:szCs w:val="21"/>
        </w:rPr>
        <w:t>％或前</w:t>
      </w:r>
      <w:r>
        <w:rPr>
          <w:rFonts w:eastAsiaTheme="minorEastAsia"/>
          <w:b/>
          <w:bCs/>
          <w:color w:val="000000"/>
          <w:szCs w:val="21"/>
        </w:rPr>
        <w:t>20</w:t>
      </w:r>
      <w:r>
        <w:rPr>
          <w:rFonts w:eastAsiaTheme="minorEastAsia"/>
          <w:b/>
          <w:bCs/>
          <w:color w:val="000000"/>
          <w:szCs w:val="21"/>
        </w:rPr>
        <w:t>名的股票明细</w:t>
      </w:r>
    </w:p>
    <w:p w:rsidR="009B581C" w:rsidRDefault="00404602">
      <w:pPr>
        <w:autoSpaceDE w:val="0"/>
        <w:autoSpaceDN w:val="0"/>
        <w:adjustRightInd w:val="0"/>
        <w:spacing w:before="29" w:line="360" w:lineRule="auto"/>
        <w:ind w:left="15"/>
        <w:jc w:val="right"/>
        <w:rPr>
          <w:rFonts w:eastAsiaTheme="minorEastAsia"/>
          <w:color w:val="000000"/>
          <w:kern w:val="0"/>
          <w:szCs w:val="21"/>
        </w:rPr>
      </w:pPr>
      <w:r>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0"/>
        <w:gridCol w:w="1650"/>
        <w:gridCol w:w="1980"/>
        <w:gridCol w:w="2880"/>
        <w:gridCol w:w="1620"/>
      </w:tblGrid>
      <w:tr w:rsidR="009B581C">
        <w:tc>
          <w:tcPr>
            <w:tcW w:w="87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序号</w:t>
            </w:r>
          </w:p>
        </w:tc>
        <w:tc>
          <w:tcPr>
            <w:tcW w:w="165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股票代码</w:t>
            </w:r>
          </w:p>
        </w:tc>
        <w:tc>
          <w:tcPr>
            <w:tcW w:w="198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股票名称</w:t>
            </w:r>
          </w:p>
        </w:tc>
        <w:tc>
          <w:tcPr>
            <w:tcW w:w="288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本期累计买入金额</w:t>
            </w:r>
          </w:p>
        </w:tc>
        <w:tc>
          <w:tcPr>
            <w:tcW w:w="162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占</w:t>
            </w:r>
            <w:r>
              <w:rPr>
                <w:rFonts w:eastAsiaTheme="minorEastAsia"/>
                <w:color w:val="000000"/>
                <w:kern w:val="0"/>
                <w:szCs w:val="21"/>
              </w:rPr>
              <w:t>期初</w:t>
            </w:r>
            <w:r>
              <w:rPr>
                <w:rFonts w:eastAsiaTheme="minorEastAsia"/>
                <w:color w:val="000000"/>
                <w:szCs w:val="21"/>
              </w:rPr>
              <w:t>基金资产净值比例（％）</w:t>
            </w:r>
          </w:p>
        </w:tc>
      </w:tr>
      <w:tr w:rsidR="0077068F">
        <w:tc>
          <w:tcPr>
            <w:tcW w:w="870" w:type="dxa"/>
            <w:vAlign w:val="center"/>
          </w:tcPr>
          <w:p w:rsidR="0077068F" w:rsidRDefault="006A74CC">
            <w:pPr>
              <w:jc w:val="center"/>
            </w:pPr>
            <w:r>
              <w:rPr>
                <w:rFonts w:eastAsiaTheme="minorEastAsia"/>
                <w:szCs w:val="21"/>
              </w:rPr>
              <w:t>1</w:t>
            </w:r>
          </w:p>
        </w:tc>
        <w:tc>
          <w:tcPr>
            <w:tcW w:w="1650" w:type="dxa"/>
            <w:vAlign w:val="center"/>
          </w:tcPr>
          <w:p w:rsidR="0077068F" w:rsidRDefault="006A74CC">
            <w:pPr>
              <w:jc w:val="center"/>
            </w:pPr>
            <w:r>
              <w:rPr>
                <w:rFonts w:eastAsiaTheme="minorEastAsia"/>
                <w:szCs w:val="21"/>
              </w:rPr>
              <w:t>600519</w:t>
            </w:r>
          </w:p>
        </w:tc>
        <w:tc>
          <w:tcPr>
            <w:tcW w:w="1980" w:type="dxa"/>
            <w:vAlign w:val="center"/>
          </w:tcPr>
          <w:p w:rsidR="0077068F" w:rsidRDefault="006A74CC">
            <w:pPr>
              <w:jc w:val="center"/>
            </w:pPr>
            <w:r>
              <w:rPr>
                <w:rFonts w:eastAsiaTheme="minorEastAsia"/>
                <w:szCs w:val="21"/>
              </w:rPr>
              <w:t>贵州茅台</w:t>
            </w:r>
          </w:p>
        </w:tc>
        <w:tc>
          <w:tcPr>
            <w:tcW w:w="2880" w:type="dxa"/>
            <w:vAlign w:val="center"/>
          </w:tcPr>
          <w:p w:rsidR="0077068F" w:rsidRDefault="006A74CC">
            <w:pPr>
              <w:jc w:val="right"/>
            </w:pPr>
            <w:r>
              <w:rPr>
                <w:rFonts w:eastAsiaTheme="minorEastAsia"/>
                <w:szCs w:val="21"/>
              </w:rPr>
              <w:t>1,120,880.00</w:t>
            </w:r>
          </w:p>
        </w:tc>
        <w:tc>
          <w:tcPr>
            <w:tcW w:w="1620" w:type="dxa"/>
            <w:vAlign w:val="center"/>
          </w:tcPr>
          <w:p w:rsidR="0077068F" w:rsidRDefault="006A74CC">
            <w:pPr>
              <w:jc w:val="right"/>
            </w:pPr>
            <w:r>
              <w:rPr>
                <w:rFonts w:eastAsiaTheme="minorEastAsia"/>
                <w:szCs w:val="21"/>
              </w:rPr>
              <w:t>1.28</w:t>
            </w:r>
          </w:p>
        </w:tc>
      </w:tr>
      <w:tr w:rsidR="0077068F">
        <w:tc>
          <w:tcPr>
            <w:tcW w:w="870" w:type="dxa"/>
            <w:vAlign w:val="center"/>
          </w:tcPr>
          <w:p w:rsidR="0077068F" w:rsidRDefault="006A74CC">
            <w:pPr>
              <w:jc w:val="center"/>
            </w:pPr>
            <w:r>
              <w:rPr>
                <w:rFonts w:eastAsiaTheme="minorEastAsia"/>
                <w:szCs w:val="21"/>
              </w:rPr>
              <w:t>2</w:t>
            </w:r>
          </w:p>
        </w:tc>
        <w:tc>
          <w:tcPr>
            <w:tcW w:w="1650" w:type="dxa"/>
            <w:vAlign w:val="center"/>
          </w:tcPr>
          <w:p w:rsidR="0077068F" w:rsidRDefault="006A74CC">
            <w:pPr>
              <w:jc w:val="center"/>
            </w:pPr>
            <w:r>
              <w:rPr>
                <w:rFonts w:eastAsiaTheme="minorEastAsia"/>
                <w:szCs w:val="21"/>
              </w:rPr>
              <w:t>600887</w:t>
            </w:r>
          </w:p>
        </w:tc>
        <w:tc>
          <w:tcPr>
            <w:tcW w:w="1980" w:type="dxa"/>
            <w:vAlign w:val="center"/>
          </w:tcPr>
          <w:p w:rsidR="0077068F" w:rsidRDefault="006A74CC">
            <w:pPr>
              <w:jc w:val="center"/>
            </w:pPr>
            <w:r>
              <w:rPr>
                <w:rFonts w:eastAsiaTheme="minorEastAsia"/>
                <w:szCs w:val="21"/>
              </w:rPr>
              <w:t>伊利股份</w:t>
            </w:r>
          </w:p>
        </w:tc>
        <w:tc>
          <w:tcPr>
            <w:tcW w:w="2880" w:type="dxa"/>
            <w:vAlign w:val="center"/>
          </w:tcPr>
          <w:p w:rsidR="0077068F" w:rsidRDefault="006A74CC">
            <w:pPr>
              <w:jc w:val="right"/>
            </w:pPr>
            <w:r>
              <w:rPr>
                <w:rFonts w:eastAsiaTheme="minorEastAsia"/>
                <w:szCs w:val="21"/>
              </w:rPr>
              <w:t>926,166.00</w:t>
            </w:r>
          </w:p>
        </w:tc>
        <w:tc>
          <w:tcPr>
            <w:tcW w:w="1620" w:type="dxa"/>
            <w:vAlign w:val="center"/>
          </w:tcPr>
          <w:p w:rsidR="0077068F" w:rsidRDefault="006A74CC">
            <w:pPr>
              <w:jc w:val="right"/>
            </w:pPr>
            <w:r>
              <w:rPr>
                <w:rFonts w:eastAsiaTheme="minorEastAsia"/>
                <w:szCs w:val="21"/>
              </w:rPr>
              <w:t>1.05</w:t>
            </w:r>
          </w:p>
        </w:tc>
      </w:tr>
      <w:tr w:rsidR="0077068F">
        <w:tc>
          <w:tcPr>
            <w:tcW w:w="870" w:type="dxa"/>
            <w:vAlign w:val="center"/>
          </w:tcPr>
          <w:p w:rsidR="0077068F" w:rsidRDefault="006A74CC">
            <w:pPr>
              <w:jc w:val="center"/>
            </w:pPr>
            <w:r>
              <w:rPr>
                <w:rFonts w:eastAsiaTheme="minorEastAsia"/>
                <w:szCs w:val="21"/>
              </w:rPr>
              <w:t>3</w:t>
            </w:r>
          </w:p>
        </w:tc>
        <w:tc>
          <w:tcPr>
            <w:tcW w:w="1650" w:type="dxa"/>
            <w:vAlign w:val="center"/>
          </w:tcPr>
          <w:p w:rsidR="0077068F" w:rsidRDefault="006A74CC">
            <w:pPr>
              <w:jc w:val="center"/>
            </w:pPr>
            <w:r>
              <w:rPr>
                <w:rFonts w:eastAsiaTheme="minorEastAsia"/>
                <w:szCs w:val="21"/>
              </w:rPr>
              <w:t>000858</w:t>
            </w:r>
          </w:p>
        </w:tc>
        <w:tc>
          <w:tcPr>
            <w:tcW w:w="1980" w:type="dxa"/>
            <w:vAlign w:val="center"/>
          </w:tcPr>
          <w:p w:rsidR="0077068F" w:rsidRDefault="006A74CC">
            <w:pPr>
              <w:jc w:val="center"/>
            </w:pPr>
            <w:r>
              <w:rPr>
                <w:rFonts w:eastAsiaTheme="minorEastAsia"/>
                <w:szCs w:val="21"/>
              </w:rPr>
              <w:t>五粮液</w:t>
            </w:r>
          </w:p>
        </w:tc>
        <w:tc>
          <w:tcPr>
            <w:tcW w:w="2880" w:type="dxa"/>
            <w:vAlign w:val="center"/>
          </w:tcPr>
          <w:p w:rsidR="0077068F" w:rsidRDefault="006A74CC">
            <w:pPr>
              <w:jc w:val="right"/>
            </w:pPr>
            <w:r>
              <w:rPr>
                <w:rFonts w:eastAsiaTheme="minorEastAsia"/>
                <w:szCs w:val="21"/>
              </w:rPr>
              <w:t>902,433.00</w:t>
            </w:r>
          </w:p>
        </w:tc>
        <w:tc>
          <w:tcPr>
            <w:tcW w:w="1620" w:type="dxa"/>
            <w:vAlign w:val="center"/>
          </w:tcPr>
          <w:p w:rsidR="0077068F" w:rsidRDefault="006A74CC">
            <w:pPr>
              <w:jc w:val="right"/>
            </w:pPr>
            <w:r>
              <w:rPr>
                <w:rFonts w:eastAsiaTheme="minorEastAsia"/>
                <w:szCs w:val="21"/>
              </w:rPr>
              <w:t>1.03</w:t>
            </w:r>
          </w:p>
        </w:tc>
      </w:tr>
      <w:tr w:rsidR="0077068F">
        <w:tc>
          <w:tcPr>
            <w:tcW w:w="870" w:type="dxa"/>
            <w:vAlign w:val="center"/>
          </w:tcPr>
          <w:p w:rsidR="0077068F" w:rsidRDefault="006A74CC">
            <w:pPr>
              <w:jc w:val="center"/>
            </w:pPr>
            <w:r>
              <w:rPr>
                <w:rFonts w:eastAsiaTheme="minorEastAsia"/>
                <w:szCs w:val="21"/>
              </w:rPr>
              <w:t>4</w:t>
            </w:r>
          </w:p>
        </w:tc>
        <w:tc>
          <w:tcPr>
            <w:tcW w:w="1650" w:type="dxa"/>
            <w:vAlign w:val="center"/>
          </w:tcPr>
          <w:p w:rsidR="0077068F" w:rsidRDefault="006A74CC">
            <w:pPr>
              <w:jc w:val="center"/>
            </w:pPr>
            <w:r>
              <w:rPr>
                <w:rFonts w:eastAsiaTheme="minorEastAsia"/>
                <w:szCs w:val="21"/>
              </w:rPr>
              <w:t>603288</w:t>
            </w:r>
          </w:p>
        </w:tc>
        <w:tc>
          <w:tcPr>
            <w:tcW w:w="1980" w:type="dxa"/>
            <w:vAlign w:val="center"/>
          </w:tcPr>
          <w:p w:rsidR="0077068F" w:rsidRDefault="006A74CC">
            <w:pPr>
              <w:jc w:val="center"/>
            </w:pPr>
            <w:r>
              <w:rPr>
                <w:rFonts w:eastAsiaTheme="minorEastAsia"/>
                <w:szCs w:val="21"/>
              </w:rPr>
              <w:t>海天味业</w:t>
            </w:r>
          </w:p>
        </w:tc>
        <w:tc>
          <w:tcPr>
            <w:tcW w:w="2880" w:type="dxa"/>
            <w:vAlign w:val="center"/>
          </w:tcPr>
          <w:p w:rsidR="0077068F" w:rsidRDefault="006A74CC">
            <w:pPr>
              <w:jc w:val="right"/>
            </w:pPr>
            <w:r>
              <w:rPr>
                <w:rFonts w:eastAsiaTheme="minorEastAsia"/>
                <w:szCs w:val="21"/>
              </w:rPr>
              <w:t>864,145.00</w:t>
            </w:r>
          </w:p>
        </w:tc>
        <w:tc>
          <w:tcPr>
            <w:tcW w:w="1620" w:type="dxa"/>
            <w:vAlign w:val="center"/>
          </w:tcPr>
          <w:p w:rsidR="0077068F" w:rsidRDefault="006A74CC">
            <w:pPr>
              <w:jc w:val="right"/>
            </w:pPr>
            <w:r>
              <w:rPr>
                <w:rFonts w:eastAsiaTheme="minorEastAsia"/>
                <w:szCs w:val="21"/>
              </w:rPr>
              <w:t>0.98</w:t>
            </w:r>
          </w:p>
        </w:tc>
      </w:tr>
      <w:tr w:rsidR="0077068F">
        <w:tc>
          <w:tcPr>
            <w:tcW w:w="870" w:type="dxa"/>
            <w:vAlign w:val="center"/>
          </w:tcPr>
          <w:p w:rsidR="0077068F" w:rsidRDefault="006A74CC">
            <w:pPr>
              <w:jc w:val="center"/>
            </w:pPr>
            <w:r>
              <w:rPr>
                <w:rFonts w:eastAsiaTheme="minorEastAsia"/>
                <w:szCs w:val="21"/>
              </w:rPr>
              <w:t>5</w:t>
            </w:r>
          </w:p>
        </w:tc>
        <w:tc>
          <w:tcPr>
            <w:tcW w:w="1650" w:type="dxa"/>
            <w:vAlign w:val="center"/>
          </w:tcPr>
          <w:p w:rsidR="0077068F" w:rsidRDefault="006A74CC">
            <w:pPr>
              <w:jc w:val="center"/>
            </w:pPr>
            <w:r>
              <w:rPr>
                <w:rFonts w:eastAsiaTheme="minorEastAsia"/>
                <w:szCs w:val="21"/>
              </w:rPr>
              <w:t>300498</w:t>
            </w:r>
          </w:p>
        </w:tc>
        <w:tc>
          <w:tcPr>
            <w:tcW w:w="1980" w:type="dxa"/>
            <w:vAlign w:val="center"/>
          </w:tcPr>
          <w:p w:rsidR="0077068F" w:rsidRDefault="006A74CC">
            <w:pPr>
              <w:jc w:val="center"/>
            </w:pPr>
            <w:r>
              <w:rPr>
                <w:rFonts w:eastAsiaTheme="minorEastAsia"/>
                <w:szCs w:val="21"/>
              </w:rPr>
              <w:t>温氏股份</w:t>
            </w:r>
          </w:p>
        </w:tc>
        <w:tc>
          <w:tcPr>
            <w:tcW w:w="2880" w:type="dxa"/>
            <w:vAlign w:val="center"/>
          </w:tcPr>
          <w:p w:rsidR="0077068F" w:rsidRDefault="006A74CC">
            <w:pPr>
              <w:jc w:val="right"/>
            </w:pPr>
            <w:r>
              <w:rPr>
                <w:rFonts w:eastAsiaTheme="minorEastAsia"/>
                <w:szCs w:val="21"/>
              </w:rPr>
              <w:t>617,970.81</w:t>
            </w:r>
          </w:p>
        </w:tc>
        <w:tc>
          <w:tcPr>
            <w:tcW w:w="1620" w:type="dxa"/>
            <w:vAlign w:val="center"/>
          </w:tcPr>
          <w:p w:rsidR="0077068F" w:rsidRDefault="006A74CC">
            <w:pPr>
              <w:jc w:val="right"/>
            </w:pPr>
            <w:r>
              <w:rPr>
                <w:rFonts w:eastAsiaTheme="minorEastAsia"/>
                <w:szCs w:val="21"/>
              </w:rPr>
              <w:t>0.70</w:t>
            </w:r>
          </w:p>
        </w:tc>
      </w:tr>
      <w:tr w:rsidR="0077068F">
        <w:tc>
          <w:tcPr>
            <w:tcW w:w="870" w:type="dxa"/>
            <w:vAlign w:val="center"/>
          </w:tcPr>
          <w:p w:rsidR="0077068F" w:rsidRDefault="006A74CC">
            <w:pPr>
              <w:jc w:val="center"/>
            </w:pPr>
            <w:r>
              <w:rPr>
                <w:rFonts w:eastAsiaTheme="minorEastAsia"/>
                <w:szCs w:val="21"/>
              </w:rPr>
              <w:t>6</w:t>
            </w:r>
          </w:p>
        </w:tc>
        <w:tc>
          <w:tcPr>
            <w:tcW w:w="1650" w:type="dxa"/>
            <w:vAlign w:val="center"/>
          </w:tcPr>
          <w:p w:rsidR="0077068F" w:rsidRDefault="006A74CC">
            <w:pPr>
              <w:jc w:val="center"/>
            </w:pPr>
            <w:r>
              <w:rPr>
                <w:rFonts w:eastAsiaTheme="minorEastAsia"/>
                <w:szCs w:val="21"/>
              </w:rPr>
              <w:t>601933</w:t>
            </w:r>
          </w:p>
        </w:tc>
        <w:tc>
          <w:tcPr>
            <w:tcW w:w="1980" w:type="dxa"/>
            <w:vAlign w:val="center"/>
          </w:tcPr>
          <w:p w:rsidR="0077068F" w:rsidRDefault="006A74CC">
            <w:pPr>
              <w:jc w:val="center"/>
            </w:pPr>
            <w:r>
              <w:rPr>
                <w:rFonts w:eastAsiaTheme="minorEastAsia"/>
                <w:szCs w:val="21"/>
              </w:rPr>
              <w:t>永辉超市</w:t>
            </w:r>
          </w:p>
        </w:tc>
        <w:tc>
          <w:tcPr>
            <w:tcW w:w="2880" w:type="dxa"/>
            <w:vAlign w:val="center"/>
          </w:tcPr>
          <w:p w:rsidR="0077068F" w:rsidRDefault="006A74CC">
            <w:pPr>
              <w:jc w:val="right"/>
            </w:pPr>
            <w:r>
              <w:rPr>
                <w:rFonts w:eastAsiaTheme="minorEastAsia"/>
                <w:szCs w:val="21"/>
              </w:rPr>
              <w:t>496,305.00</w:t>
            </w:r>
          </w:p>
        </w:tc>
        <w:tc>
          <w:tcPr>
            <w:tcW w:w="1620" w:type="dxa"/>
            <w:vAlign w:val="center"/>
          </w:tcPr>
          <w:p w:rsidR="0077068F" w:rsidRDefault="006A74CC">
            <w:pPr>
              <w:jc w:val="right"/>
            </w:pPr>
            <w:r>
              <w:rPr>
                <w:rFonts w:eastAsiaTheme="minorEastAsia"/>
                <w:szCs w:val="21"/>
              </w:rPr>
              <w:t>0.57</w:t>
            </w:r>
          </w:p>
        </w:tc>
      </w:tr>
      <w:tr w:rsidR="0077068F">
        <w:tc>
          <w:tcPr>
            <w:tcW w:w="870" w:type="dxa"/>
            <w:vAlign w:val="center"/>
          </w:tcPr>
          <w:p w:rsidR="0077068F" w:rsidRDefault="006A74CC">
            <w:pPr>
              <w:jc w:val="center"/>
            </w:pPr>
            <w:r>
              <w:rPr>
                <w:rFonts w:eastAsiaTheme="minorEastAsia"/>
                <w:szCs w:val="21"/>
              </w:rPr>
              <w:t>7</w:t>
            </w:r>
          </w:p>
        </w:tc>
        <w:tc>
          <w:tcPr>
            <w:tcW w:w="1650" w:type="dxa"/>
            <w:vAlign w:val="center"/>
          </w:tcPr>
          <w:p w:rsidR="0077068F" w:rsidRDefault="006A74CC">
            <w:pPr>
              <w:jc w:val="center"/>
            </w:pPr>
            <w:r>
              <w:rPr>
                <w:rFonts w:eastAsiaTheme="minorEastAsia"/>
                <w:szCs w:val="21"/>
              </w:rPr>
              <w:t>002507</w:t>
            </w:r>
          </w:p>
        </w:tc>
        <w:tc>
          <w:tcPr>
            <w:tcW w:w="1980" w:type="dxa"/>
            <w:vAlign w:val="center"/>
          </w:tcPr>
          <w:p w:rsidR="0077068F" w:rsidRDefault="006A74CC">
            <w:pPr>
              <w:jc w:val="center"/>
            </w:pPr>
            <w:r>
              <w:rPr>
                <w:rFonts w:eastAsiaTheme="minorEastAsia"/>
                <w:szCs w:val="21"/>
              </w:rPr>
              <w:t>涪陵榨菜</w:t>
            </w:r>
          </w:p>
        </w:tc>
        <w:tc>
          <w:tcPr>
            <w:tcW w:w="2880" w:type="dxa"/>
            <w:vAlign w:val="center"/>
          </w:tcPr>
          <w:p w:rsidR="0077068F" w:rsidRDefault="006A74CC">
            <w:pPr>
              <w:jc w:val="right"/>
            </w:pPr>
            <w:r>
              <w:rPr>
                <w:rFonts w:eastAsiaTheme="minorEastAsia"/>
                <w:szCs w:val="21"/>
              </w:rPr>
              <w:t>433,803.00</w:t>
            </w:r>
          </w:p>
        </w:tc>
        <w:tc>
          <w:tcPr>
            <w:tcW w:w="1620" w:type="dxa"/>
            <w:vAlign w:val="center"/>
          </w:tcPr>
          <w:p w:rsidR="0077068F" w:rsidRDefault="006A74CC">
            <w:pPr>
              <w:jc w:val="right"/>
            </w:pPr>
            <w:r>
              <w:rPr>
                <w:rFonts w:eastAsiaTheme="minorEastAsia"/>
                <w:szCs w:val="21"/>
              </w:rPr>
              <w:t>0.49</w:t>
            </w:r>
          </w:p>
        </w:tc>
      </w:tr>
      <w:tr w:rsidR="0077068F">
        <w:tc>
          <w:tcPr>
            <w:tcW w:w="870" w:type="dxa"/>
            <w:vAlign w:val="center"/>
          </w:tcPr>
          <w:p w:rsidR="0077068F" w:rsidRDefault="006A74CC">
            <w:pPr>
              <w:jc w:val="center"/>
            </w:pPr>
            <w:r>
              <w:rPr>
                <w:rFonts w:eastAsiaTheme="minorEastAsia"/>
                <w:szCs w:val="21"/>
              </w:rPr>
              <w:t>8</w:t>
            </w:r>
          </w:p>
        </w:tc>
        <w:tc>
          <w:tcPr>
            <w:tcW w:w="1650" w:type="dxa"/>
            <w:vAlign w:val="center"/>
          </w:tcPr>
          <w:p w:rsidR="0077068F" w:rsidRDefault="006A74CC">
            <w:pPr>
              <w:jc w:val="center"/>
            </w:pPr>
            <w:r>
              <w:rPr>
                <w:rFonts w:eastAsiaTheme="minorEastAsia"/>
                <w:szCs w:val="21"/>
              </w:rPr>
              <w:t>000568</w:t>
            </w:r>
          </w:p>
        </w:tc>
        <w:tc>
          <w:tcPr>
            <w:tcW w:w="1980" w:type="dxa"/>
            <w:vAlign w:val="center"/>
          </w:tcPr>
          <w:p w:rsidR="0077068F" w:rsidRDefault="006A74CC">
            <w:pPr>
              <w:jc w:val="center"/>
            </w:pPr>
            <w:r>
              <w:rPr>
                <w:rFonts w:eastAsiaTheme="minorEastAsia"/>
                <w:szCs w:val="21"/>
              </w:rPr>
              <w:t>泸州老窖</w:t>
            </w:r>
          </w:p>
        </w:tc>
        <w:tc>
          <w:tcPr>
            <w:tcW w:w="2880" w:type="dxa"/>
            <w:vAlign w:val="center"/>
          </w:tcPr>
          <w:p w:rsidR="0077068F" w:rsidRDefault="006A74CC">
            <w:pPr>
              <w:jc w:val="right"/>
            </w:pPr>
            <w:r>
              <w:rPr>
                <w:rFonts w:eastAsiaTheme="minorEastAsia"/>
                <w:szCs w:val="21"/>
              </w:rPr>
              <w:t>301,113.00</w:t>
            </w:r>
          </w:p>
        </w:tc>
        <w:tc>
          <w:tcPr>
            <w:tcW w:w="1620" w:type="dxa"/>
            <w:vAlign w:val="center"/>
          </w:tcPr>
          <w:p w:rsidR="0077068F" w:rsidRDefault="006A74CC">
            <w:pPr>
              <w:jc w:val="right"/>
            </w:pPr>
            <w:r>
              <w:rPr>
                <w:rFonts w:eastAsiaTheme="minorEastAsia"/>
                <w:szCs w:val="21"/>
              </w:rPr>
              <w:t>0.34</w:t>
            </w:r>
          </w:p>
        </w:tc>
      </w:tr>
      <w:tr w:rsidR="0077068F">
        <w:tc>
          <w:tcPr>
            <w:tcW w:w="870" w:type="dxa"/>
            <w:vAlign w:val="center"/>
          </w:tcPr>
          <w:p w:rsidR="0077068F" w:rsidRDefault="006A74CC">
            <w:pPr>
              <w:jc w:val="center"/>
            </w:pPr>
            <w:r>
              <w:rPr>
                <w:rFonts w:eastAsiaTheme="minorEastAsia"/>
                <w:szCs w:val="21"/>
              </w:rPr>
              <w:t>9</w:t>
            </w:r>
          </w:p>
        </w:tc>
        <w:tc>
          <w:tcPr>
            <w:tcW w:w="1650" w:type="dxa"/>
            <w:vAlign w:val="center"/>
          </w:tcPr>
          <w:p w:rsidR="0077068F" w:rsidRDefault="006A74CC">
            <w:pPr>
              <w:jc w:val="center"/>
            </w:pPr>
            <w:r>
              <w:rPr>
                <w:rFonts w:eastAsiaTheme="minorEastAsia"/>
                <w:szCs w:val="21"/>
              </w:rPr>
              <w:t>002304</w:t>
            </w:r>
          </w:p>
        </w:tc>
        <w:tc>
          <w:tcPr>
            <w:tcW w:w="1980" w:type="dxa"/>
            <w:vAlign w:val="center"/>
          </w:tcPr>
          <w:p w:rsidR="0077068F" w:rsidRDefault="006A74CC">
            <w:pPr>
              <w:jc w:val="center"/>
            </w:pPr>
            <w:r>
              <w:rPr>
                <w:rFonts w:eastAsiaTheme="minorEastAsia"/>
                <w:szCs w:val="21"/>
              </w:rPr>
              <w:t>洋河股份</w:t>
            </w:r>
          </w:p>
        </w:tc>
        <w:tc>
          <w:tcPr>
            <w:tcW w:w="2880" w:type="dxa"/>
            <w:vAlign w:val="center"/>
          </w:tcPr>
          <w:p w:rsidR="0077068F" w:rsidRDefault="006A74CC">
            <w:pPr>
              <w:jc w:val="right"/>
            </w:pPr>
            <w:r>
              <w:rPr>
                <w:rFonts w:eastAsiaTheme="minorEastAsia"/>
                <w:szCs w:val="21"/>
              </w:rPr>
              <w:t>276,733.00</w:t>
            </w:r>
          </w:p>
        </w:tc>
        <w:tc>
          <w:tcPr>
            <w:tcW w:w="1620" w:type="dxa"/>
            <w:vAlign w:val="center"/>
          </w:tcPr>
          <w:p w:rsidR="0077068F" w:rsidRDefault="006A74CC">
            <w:pPr>
              <w:jc w:val="right"/>
            </w:pPr>
            <w:r>
              <w:rPr>
                <w:rFonts w:eastAsiaTheme="minorEastAsia"/>
                <w:szCs w:val="21"/>
              </w:rPr>
              <w:t>0.32</w:t>
            </w:r>
          </w:p>
        </w:tc>
      </w:tr>
      <w:tr w:rsidR="0077068F">
        <w:tc>
          <w:tcPr>
            <w:tcW w:w="870" w:type="dxa"/>
            <w:vAlign w:val="center"/>
          </w:tcPr>
          <w:p w:rsidR="0077068F" w:rsidRDefault="006A74CC">
            <w:pPr>
              <w:jc w:val="center"/>
            </w:pPr>
            <w:r>
              <w:rPr>
                <w:rFonts w:eastAsiaTheme="minorEastAsia"/>
                <w:szCs w:val="21"/>
              </w:rPr>
              <w:t>10</w:t>
            </w:r>
          </w:p>
        </w:tc>
        <w:tc>
          <w:tcPr>
            <w:tcW w:w="1650" w:type="dxa"/>
            <w:vAlign w:val="center"/>
          </w:tcPr>
          <w:p w:rsidR="0077068F" w:rsidRDefault="006A74CC">
            <w:pPr>
              <w:jc w:val="center"/>
            </w:pPr>
            <w:r>
              <w:rPr>
                <w:rFonts w:eastAsiaTheme="minorEastAsia"/>
                <w:szCs w:val="21"/>
              </w:rPr>
              <w:t>603866</w:t>
            </w:r>
          </w:p>
        </w:tc>
        <w:tc>
          <w:tcPr>
            <w:tcW w:w="1980" w:type="dxa"/>
            <w:vAlign w:val="center"/>
          </w:tcPr>
          <w:p w:rsidR="0077068F" w:rsidRDefault="006A74CC">
            <w:pPr>
              <w:jc w:val="center"/>
            </w:pPr>
            <w:r>
              <w:rPr>
                <w:rFonts w:eastAsiaTheme="minorEastAsia"/>
                <w:szCs w:val="21"/>
              </w:rPr>
              <w:t>桃李面包</w:t>
            </w:r>
          </w:p>
        </w:tc>
        <w:tc>
          <w:tcPr>
            <w:tcW w:w="2880" w:type="dxa"/>
            <w:vAlign w:val="center"/>
          </w:tcPr>
          <w:p w:rsidR="0077068F" w:rsidRDefault="006A74CC">
            <w:pPr>
              <w:jc w:val="right"/>
            </w:pPr>
            <w:r>
              <w:rPr>
                <w:rFonts w:eastAsiaTheme="minorEastAsia"/>
                <w:szCs w:val="21"/>
              </w:rPr>
              <w:t>271,634.00</w:t>
            </w:r>
          </w:p>
        </w:tc>
        <w:tc>
          <w:tcPr>
            <w:tcW w:w="1620" w:type="dxa"/>
            <w:vAlign w:val="center"/>
          </w:tcPr>
          <w:p w:rsidR="0077068F" w:rsidRDefault="006A74CC">
            <w:pPr>
              <w:jc w:val="right"/>
            </w:pPr>
            <w:r>
              <w:rPr>
                <w:rFonts w:eastAsiaTheme="minorEastAsia"/>
                <w:szCs w:val="21"/>
              </w:rPr>
              <w:t>0.31</w:t>
            </w:r>
          </w:p>
        </w:tc>
      </w:tr>
      <w:tr w:rsidR="0077068F">
        <w:tc>
          <w:tcPr>
            <w:tcW w:w="870" w:type="dxa"/>
            <w:vAlign w:val="center"/>
          </w:tcPr>
          <w:p w:rsidR="0077068F" w:rsidRDefault="006A74CC">
            <w:pPr>
              <w:jc w:val="center"/>
            </w:pPr>
            <w:r>
              <w:rPr>
                <w:rFonts w:eastAsiaTheme="minorEastAsia"/>
                <w:szCs w:val="21"/>
              </w:rPr>
              <w:t>11</w:t>
            </w:r>
          </w:p>
        </w:tc>
        <w:tc>
          <w:tcPr>
            <w:tcW w:w="1650" w:type="dxa"/>
            <w:vAlign w:val="center"/>
          </w:tcPr>
          <w:p w:rsidR="0077068F" w:rsidRDefault="006A74CC">
            <w:pPr>
              <w:jc w:val="center"/>
            </w:pPr>
            <w:r>
              <w:rPr>
                <w:rFonts w:eastAsiaTheme="minorEastAsia"/>
                <w:szCs w:val="21"/>
              </w:rPr>
              <w:t>000895</w:t>
            </w:r>
          </w:p>
        </w:tc>
        <w:tc>
          <w:tcPr>
            <w:tcW w:w="1980" w:type="dxa"/>
            <w:vAlign w:val="center"/>
          </w:tcPr>
          <w:p w:rsidR="0077068F" w:rsidRDefault="006A74CC">
            <w:pPr>
              <w:jc w:val="center"/>
            </w:pPr>
            <w:r>
              <w:rPr>
                <w:rFonts w:eastAsiaTheme="minorEastAsia"/>
                <w:szCs w:val="21"/>
              </w:rPr>
              <w:t>双汇发展</w:t>
            </w:r>
          </w:p>
        </w:tc>
        <w:tc>
          <w:tcPr>
            <w:tcW w:w="2880" w:type="dxa"/>
            <w:vAlign w:val="center"/>
          </w:tcPr>
          <w:p w:rsidR="0077068F" w:rsidRDefault="006A74CC">
            <w:pPr>
              <w:jc w:val="right"/>
            </w:pPr>
            <w:r>
              <w:rPr>
                <w:rFonts w:eastAsiaTheme="minorEastAsia"/>
                <w:szCs w:val="21"/>
              </w:rPr>
              <w:t>207,821.00</w:t>
            </w:r>
          </w:p>
        </w:tc>
        <w:tc>
          <w:tcPr>
            <w:tcW w:w="1620" w:type="dxa"/>
            <w:vAlign w:val="center"/>
          </w:tcPr>
          <w:p w:rsidR="0077068F" w:rsidRDefault="006A74CC">
            <w:pPr>
              <w:jc w:val="right"/>
            </w:pPr>
            <w:r>
              <w:rPr>
                <w:rFonts w:eastAsiaTheme="minorEastAsia"/>
                <w:szCs w:val="21"/>
              </w:rPr>
              <w:t>0.24</w:t>
            </w:r>
          </w:p>
        </w:tc>
      </w:tr>
      <w:tr w:rsidR="0077068F">
        <w:tc>
          <w:tcPr>
            <w:tcW w:w="870" w:type="dxa"/>
            <w:vAlign w:val="center"/>
          </w:tcPr>
          <w:p w:rsidR="0077068F" w:rsidRDefault="006A74CC">
            <w:pPr>
              <w:jc w:val="center"/>
            </w:pPr>
            <w:r>
              <w:rPr>
                <w:rFonts w:eastAsiaTheme="minorEastAsia"/>
                <w:szCs w:val="21"/>
              </w:rPr>
              <w:t>12</w:t>
            </w:r>
          </w:p>
        </w:tc>
        <w:tc>
          <w:tcPr>
            <w:tcW w:w="1650" w:type="dxa"/>
            <w:vAlign w:val="center"/>
          </w:tcPr>
          <w:p w:rsidR="0077068F" w:rsidRDefault="006A74CC">
            <w:pPr>
              <w:jc w:val="center"/>
            </w:pPr>
            <w:r>
              <w:rPr>
                <w:rFonts w:eastAsiaTheme="minorEastAsia"/>
                <w:szCs w:val="21"/>
              </w:rPr>
              <w:t>600438</w:t>
            </w:r>
          </w:p>
        </w:tc>
        <w:tc>
          <w:tcPr>
            <w:tcW w:w="1980" w:type="dxa"/>
            <w:vAlign w:val="center"/>
          </w:tcPr>
          <w:p w:rsidR="0077068F" w:rsidRDefault="006A74CC">
            <w:pPr>
              <w:jc w:val="center"/>
            </w:pPr>
            <w:r>
              <w:rPr>
                <w:rFonts w:eastAsiaTheme="minorEastAsia"/>
                <w:szCs w:val="21"/>
              </w:rPr>
              <w:t>通威股份</w:t>
            </w:r>
          </w:p>
        </w:tc>
        <w:tc>
          <w:tcPr>
            <w:tcW w:w="2880" w:type="dxa"/>
            <w:vAlign w:val="center"/>
          </w:tcPr>
          <w:p w:rsidR="0077068F" w:rsidRDefault="006A74CC">
            <w:pPr>
              <w:jc w:val="right"/>
            </w:pPr>
            <w:r>
              <w:rPr>
                <w:rFonts w:eastAsiaTheme="minorEastAsia"/>
                <w:szCs w:val="21"/>
              </w:rPr>
              <w:t>188,316.00</w:t>
            </w:r>
          </w:p>
        </w:tc>
        <w:tc>
          <w:tcPr>
            <w:tcW w:w="1620" w:type="dxa"/>
            <w:vAlign w:val="center"/>
          </w:tcPr>
          <w:p w:rsidR="0077068F" w:rsidRDefault="006A74CC">
            <w:pPr>
              <w:jc w:val="right"/>
            </w:pPr>
            <w:r>
              <w:rPr>
                <w:rFonts w:eastAsiaTheme="minorEastAsia"/>
                <w:szCs w:val="21"/>
              </w:rPr>
              <w:t>0.21</w:t>
            </w:r>
          </w:p>
        </w:tc>
      </w:tr>
      <w:tr w:rsidR="0077068F">
        <w:tc>
          <w:tcPr>
            <w:tcW w:w="870" w:type="dxa"/>
            <w:vAlign w:val="center"/>
          </w:tcPr>
          <w:p w:rsidR="0077068F" w:rsidRDefault="006A74CC">
            <w:pPr>
              <w:jc w:val="center"/>
            </w:pPr>
            <w:r>
              <w:rPr>
                <w:rFonts w:eastAsiaTheme="minorEastAsia"/>
                <w:szCs w:val="21"/>
              </w:rPr>
              <w:t>13</w:t>
            </w:r>
          </w:p>
        </w:tc>
        <w:tc>
          <w:tcPr>
            <w:tcW w:w="1650" w:type="dxa"/>
            <w:vAlign w:val="center"/>
          </w:tcPr>
          <w:p w:rsidR="0077068F" w:rsidRDefault="006A74CC">
            <w:pPr>
              <w:jc w:val="center"/>
            </w:pPr>
            <w:r>
              <w:rPr>
                <w:rFonts w:eastAsiaTheme="minorEastAsia"/>
                <w:szCs w:val="21"/>
              </w:rPr>
              <w:t>603605</w:t>
            </w:r>
          </w:p>
        </w:tc>
        <w:tc>
          <w:tcPr>
            <w:tcW w:w="1980" w:type="dxa"/>
            <w:vAlign w:val="center"/>
          </w:tcPr>
          <w:p w:rsidR="0077068F" w:rsidRDefault="006A74CC">
            <w:pPr>
              <w:jc w:val="center"/>
            </w:pPr>
            <w:r>
              <w:rPr>
                <w:rFonts w:eastAsiaTheme="minorEastAsia"/>
                <w:szCs w:val="21"/>
              </w:rPr>
              <w:t>珀莱雅</w:t>
            </w:r>
          </w:p>
        </w:tc>
        <w:tc>
          <w:tcPr>
            <w:tcW w:w="2880" w:type="dxa"/>
            <w:vAlign w:val="center"/>
          </w:tcPr>
          <w:p w:rsidR="0077068F" w:rsidRDefault="006A74CC">
            <w:pPr>
              <w:jc w:val="right"/>
            </w:pPr>
            <w:r>
              <w:rPr>
                <w:rFonts w:eastAsiaTheme="minorEastAsia"/>
                <w:szCs w:val="21"/>
              </w:rPr>
              <w:t>188,155.00</w:t>
            </w:r>
          </w:p>
        </w:tc>
        <w:tc>
          <w:tcPr>
            <w:tcW w:w="1620" w:type="dxa"/>
            <w:vAlign w:val="center"/>
          </w:tcPr>
          <w:p w:rsidR="0077068F" w:rsidRDefault="006A74CC">
            <w:pPr>
              <w:jc w:val="right"/>
            </w:pPr>
            <w:r>
              <w:rPr>
                <w:rFonts w:eastAsiaTheme="minorEastAsia"/>
                <w:szCs w:val="21"/>
              </w:rPr>
              <w:t>0.21</w:t>
            </w:r>
          </w:p>
        </w:tc>
      </w:tr>
      <w:tr w:rsidR="0077068F">
        <w:tc>
          <w:tcPr>
            <w:tcW w:w="870" w:type="dxa"/>
            <w:vAlign w:val="center"/>
          </w:tcPr>
          <w:p w:rsidR="0077068F" w:rsidRDefault="006A74CC">
            <w:pPr>
              <w:jc w:val="center"/>
            </w:pPr>
            <w:r>
              <w:rPr>
                <w:rFonts w:eastAsiaTheme="minorEastAsia"/>
                <w:szCs w:val="21"/>
              </w:rPr>
              <w:t>14</w:t>
            </w:r>
          </w:p>
        </w:tc>
        <w:tc>
          <w:tcPr>
            <w:tcW w:w="1650" w:type="dxa"/>
            <w:vAlign w:val="center"/>
          </w:tcPr>
          <w:p w:rsidR="0077068F" w:rsidRDefault="006A74CC">
            <w:pPr>
              <w:jc w:val="center"/>
            </w:pPr>
            <w:r>
              <w:rPr>
                <w:rFonts w:eastAsiaTheme="minorEastAsia"/>
                <w:szCs w:val="21"/>
              </w:rPr>
              <w:t>002557</w:t>
            </w:r>
          </w:p>
        </w:tc>
        <w:tc>
          <w:tcPr>
            <w:tcW w:w="1980" w:type="dxa"/>
            <w:vAlign w:val="center"/>
          </w:tcPr>
          <w:p w:rsidR="0077068F" w:rsidRDefault="006A74CC">
            <w:pPr>
              <w:jc w:val="center"/>
            </w:pPr>
            <w:r>
              <w:rPr>
                <w:rFonts w:eastAsiaTheme="minorEastAsia"/>
                <w:szCs w:val="21"/>
              </w:rPr>
              <w:t>洽洽食品</w:t>
            </w:r>
          </w:p>
        </w:tc>
        <w:tc>
          <w:tcPr>
            <w:tcW w:w="2880" w:type="dxa"/>
            <w:vAlign w:val="center"/>
          </w:tcPr>
          <w:p w:rsidR="0077068F" w:rsidRDefault="006A74CC">
            <w:pPr>
              <w:jc w:val="right"/>
            </w:pPr>
            <w:r>
              <w:rPr>
                <w:rFonts w:eastAsiaTheme="minorEastAsia"/>
                <w:szCs w:val="21"/>
              </w:rPr>
              <w:t>172,944.00</w:t>
            </w:r>
          </w:p>
        </w:tc>
        <w:tc>
          <w:tcPr>
            <w:tcW w:w="1620" w:type="dxa"/>
            <w:vAlign w:val="center"/>
          </w:tcPr>
          <w:p w:rsidR="0077068F" w:rsidRDefault="006A74CC">
            <w:pPr>
              <w:jc w:val="right"/>
            </w:pPr>
            <w:r>
              <w:rPr>
                <w:rFonts w:eastAsiaTheme="minorEastAsia"/>
                <w:szCs w:val="21"/>
              </w:rPr>
              <w:t>0.20</w:t>
            </w:r>
          </w:p>
        </w:tc>
      </w:tr>
      <w:tr w:rsidR="0077068F">
        <w:tc>
          <w:tcPr>
            <w:tcW w:w="870" w:type="dxa"/>
            <w:vAlign w:val="center"/>
          </w:tcPr>
          <w:p w:rsidR="0077068F" w:rsidRDefault="006A74CC">
            <w:pPr>
              <w:jc w:val="center"/>
            </w:pPr>
            <w:r>
              <w:rPr>
                <w:rFonts w:eastAsiaTheme="minorEastAsia"/>
                <w:szCs w:val="21"/>
              </w:rPr>
              <w:t>15</w:t>
            </w:r>
          </w:p>
        </w:tc>
        <w:tc>
          <w:tcPr>
            <w:tcW w:w="1650" w:type="dxa"/>
            <w:vAlign w:val="center"/>
          </w:tcPr>
          <w:p w:rsidR="0077068F" w:rsidRDefault="006A74CC">
            <w:pPr>
              <w:jc w:val="center"/>
            </w:pPr>
            <w:r>
              <w:rPr>
                <w:rFonts w:eastAsiaTheme="minorEastAsia"/>
                <w:szCs w:val="21"/>
              </w:rPr>
              <w:t>300087</w:t>
            </w:r>
          </w:p>
        </w:tc>
        <w:tc>
          <w:tcPr>
            <w:tcW w:w="1980" w:type="dxa"/>
            <w:vAlign w:val="center"/>
          </w:tcPr>
          <w:p w:rsidR="0077068F" w:rsidRDefault="006A74CC">
            <w:pPr>
              <w:jc w:val="center"/>
            </w:pPr>
            <w:r>
              <w:rPr>
                <w:rFonts w:eastAsiaTheme="minorEastAsia"/>
                <w:szCs w:val="21"/>
              </w:rPr>
              <w:t>荃银高科</w:t>
            </w:r>
          </w:p>
        </w:tc>
        <w:tc>
          <w:tcPr>
            <w:tcW w:w="2880" w:type="dxa"/>
            <w:vAlign w:val="center"/>
          </w:tcPr>
          <w:p w:rsidR="0077068F" w:rsidRDefault="006A74CC">
            <w:pPr>
              <w:jc w:val="right"/>
            </w:pPr>
            <w:r>
              <w:rPr>
                <w:rFonts w:eastAsiaTheme="minorEastAsia"/>
                <w:szCs w:val="21"/>
              </w:rPr>
              <w:t>167,685.00</w:t>
            </w:r>
          </w:p>
        </w:tc>
        <w:tc>
          <w:tcPr>
            <w:tcW w:w="1620" w:type="dxa"/>
            <w:vAlign w:val="center"/>
          </w:tcPr>
          <w:p w:rsidR="0077068F" w:rsidRDefault="006A74CC">
            <w:pPr>
              <w:jc w:val="right"/>
            </w:pPr>
            <w:r>
              <w:rPr>
                <w:rFonts w:eastAsiaTheme="minorEastAsia"/>
                <w:szCs w:val="21"/>
              </w:rPr>
              <w:t>0.19</w:t>
            </w:r>
          </w:p>
        </w:tc>
      </w:tr>
      <w:tr w:rsidR="0077068F">
        <w:tc>
          <w:tcPr>
            <w:tcW w:w="870" w:type="dxa"/>
            <w:vAlign w:val="center"/>
          </w:tcPr>
          <w:p w:rsidR="0077068F" w:rsidRDefault="006A74CC">
            <w:pPr>
              <w:jc w:val="center"/>
            </w:pPr>
            <w:r>
              <w:rPr>
                <w:rFonts w:eastAsiaTheme="minorEastAsia"/>
                <w:szCs w:val="21"/>
              </w:rPr>
              <w:t>16</w:t>
            </w:r>
          </w:p>
        </w:tc>
        <w:tc>
          <w:tcPr>
            <w:tcW w:w="1650" w:type="dxa"/>
            <w:vAlign w:val="center"/>
          </w:tcPr>
          <w:p w:rsidR="0077068F" w:rsidRDefault="006A74CC">
            <w:pPr>
              <w:jc w:val="center"/>
            </w:pPr>
            <w:r>
              <w:rPr>
                <w:rFonts w:eastAsiaTheme="minorEastAsia"/>
                <w:szCs w:val="21"/>
              </w:rPr>
              <w:t>000860</w:t>
            </w:r>
          </w:p>
        </w:tc>
        <w:tc>
          <w:tcPr>
            <w:tcW w:w="1980" w:type="dxa"/>
            <w:vAlign w:val="center"/>
          </w:tcPr>
          <w:p w:rsidR="0077068F" w:rsidRDefault="006A74CC">
            <w:pPr>
              <w:jc w:val="center"/>
            </w:pPr>
            <w:r>
              <w:rPr>
                <w:rFonts w:eastAsiaTheme="minorEastAsia"/>
                <w:szCs w:val="21"/>
              </w:rPr>
              <w:t>顺鑫农业</w:t>
            </w:r>
          </w:p>
        </w:tc>
        <w:tc>
          <w:tcPr>
            <w:tcW w:w="2880" w:type="dxa"/>
            <w:vAlign w:val="center"/>
          </w:tcPr>
          <w:p w:rsidR="0077068F" w:rsidRDefault="006A74CC">
            <w:pPr>
              <w:jc w:val="right"/>
            </w:pPr>
            <w:r>
              <w:rPr>
                <w:rFonts w:eastAsiaTheme="minorEastAsia"/>
                <w:szCs w:val="21"/>
              </w:rPr>
              <w:t>163,060.00</w:t>
            </w:r>
          </w:p>
        </w:tc>
        <w:tc>
          <w:tcPr>
            <w:tcW w:w="1620" w:type="dxa"/>
            <w:vAlign w:val="center"/>
          </w:tcPr>
          <w:p w:rsidR="0077068F" w:rsidRDefault="006A74CC">
            <w:pPr>
              <w:jc w:val="right"/>
            </w:pPr>
            <w:r>
              <w:rPr>
                <w:rFonts w:eastAsiaTheme="minorEastAsia"/>
                <w:szCs w:val="21"/>
              </w:rPr>
              <w:t>0.19</w:t>
            </w:r>
          </w:p>
        </w:tc>
      </w:tr>
      <w:tr w:rsidR="0077068F">
        <w:tc>
          <w:tcPr>
            <w:tcW w:w="870" w:type="dxa"/>
            <w:vAlign w:val="center"/>
          </w:tcPr>
          <w:p w:rsidR="0077068F" w:rsidRDefault="006A74CC">
            <w:pPr>
              <w:jc w:val="center"/>
            </w:pPr>
            <w:r>
              <w:rPr>
                <w:rFonts w:eastAsiaTheme="minorEastAsia"/>
                <w:szCs w:val="21"/>
              </w:rPr>
              <w:t>17</w:t>
            </w:r>
          </w:p>
        </w:tc>
        <w:tc>
          <w:tcPr>
            <w:tcW w:w="1650" w:type="dxa"/>
            <w:vAlign w:val="center"/>
          </w:tcPr>
          <w:p w:rsidR="0077068F" w:rsidRDefault="006A74CC">
            <w:pPr>
              <w:jc w:val="center"/>
            </w:pPr>
            <w:r>
              <w:rPr>
                <w:rFonts w:eastAsiaTheme="minorEastAsia"/>
                <w:szCs w:val="21"/>
              </w:rPr>
              <w:t>002714</w:t>
            </w:r>
          </w:p>
        </w:tc>
        <w:tc>
          <w:tcPr>
            <w:tcW w:w="1980" w:type="dxa"/>
            <w:vAlign w:val="center"/>
          </w:tcPr>
          <w:p w:rsidR="0077068F" w:rsidRDefault="006A74CC">
            <w:pPr>
              <w:jc w:val="center"/>
            </w:pPr>
            <w:r>
              <w:rPr>
                <w:rFonts w:eastAsiaTheme="minorEastAsia"/>
                <w:szCs w:val="21"/>
              </w:rPr>
              <w:t>牧原股份</w:t>
            </w:r>
          </w:p>
        </w:tc>
        <w:tc>
          <w:tcPr>
            <w:tcW w:w="2880" w:type="dxa"/>
            <w:vAlign w:val="center"/>
          </w:tcPr>
          <w:p w:rsidR="0077068F" w:rsidRDefault="006A74CC">
            <w:pPr>
              <w:jc w:val="right"/>
            </w:pPr>
            <w:r>
              <w:rPr>
                <w:rFonts w:eastAsiaTheme="minorEastAsia"/>
                <w:szCs w:val="21"/>
              </w:rPr>
              <w:t>150,787.00</w:t>
            </w:r>
          </w:p>
        </w:tc>
        <w:tc>
          <w:tcPr>
            <w:tcW w:w="1620" w:type="dxa"/>
            <w:vAlign w:val="center"/>
          </w:tcPr>
          <w:p w:rsidR="0077068F" w:rsidRDefault="006A74CC">
            <w:pPr>
              <w:jc w:val="right"/>
            </w:pPr>
            <w:r>
              <w:rPr>
                <w:rFonts w:eastAsiaTheme="minorEastAsia"/>
                <w:szCs w:val="21"/>
              </w:rPr>
              <w:t>0.17</w:t>
            </w:r>
          </w:p>
        </w:tc>
      </w:tr>
      <w:tr w:rsidR="0077068F">
        <w:tc>
          <w:tcPr>
            <w:tcW w:w="870" w:type="dxa"/>
            <w:vAlign w:val="center"/>
          </w:tcPr>
          <w:p w:rsidR="0077068F" w:rsidRDefault="006A74CC">
            <w:pPr>
              <w:jc w:val="center"/>
            </w:pPr>
            <w:r>
              <w:rPr>
                <w:rFonts w:eastAsiaTheme="minorEastAsia"/>
                <w:szCs w:val="21"/>
              </w:rPr>
              <w:t>18</w:t>
            </w:r>
          </w:p>
        </w:tc>
        <w:tc>
          <w:tcPr>
            <w:tcW w:w="1650" w:type="dxa"/>
            <w:vAlign w:val="center"/>
          </w:tcPr>
          <w:p w:rsidR="0077068F" w:rsidRDefault="006A74CC">
            <w:pPr>
              <w:jc w:val="center"/>
            </w:pPr>
            <w:r>
              <w:rPr>
                <w:rFonts w:eastAsiaTheme="minorEastAsia"/>
                <w:szCs w:val="21"/>
              </w:rPr>
              <w:t>300138</w:t>
            </w:r>
          </w:p>
        </w:tc>
        <w:tc>
          <w:tcPr>
            <w:tcW w:w="1980" w:type="dxa"/>
            <w:vAlign w:val="center"/>
          </w:tcPr>
          <w:p w:rsidR="0077068F" w:rsidRDefault="006A74CC">
            <w:pPr>
              <w:jc w:val="center"/>
            </w:pPr>
            <w:r>
              <w:rPr>
                <w:rFonts w:eastAsiaTheme="minorEastAsia"/>
                <w:szCs w:val="21"/>
              </w:rPr>
              <w:t>晨光生物</w:t>
            </w:r>
          </w:p>
        </w:tc>
        <w:tc>
          <w:tcPr>
            <w:tcW w:w="2880" w:type="dxa"/>
            <w:vAlign w:val="center"/>
          </w:tcPr>
          <w:p w:rsidR="0077068F" w:rsidRDefault="006A74CC">
            <w:pPr>
              <w:jc w:val="right"/>
            </w:pPr>
            <w:r>
              <w:rPr>
                <w:rFonts w:eastAsiaTheme="minorEastAsia"/>
                <w:szCs w:val="21"/>
              </w:rPr>
              <w:t>141,370.00</w:t>
            </w:r>
          </w:p>
        </w:tc>
        <w:tc>
          <w:tcPr>
            <w:tcW w:w="1620" w:type="dxa"/>
            <w:vAlign w:val="center"/>
          </w:tcPr>
          <w:p w:rsidR="0077068F" w:rsidRDefault="006A74CC">
            <w:pPr>
              <w:jc w:val="right"/>
            </w:pPr>
            <w:r>
              <w:rPr>
                <w:rFonts w:eastAsiaTheme="minorEastAsia"/>
                <w:szCs w:val="21"/>
              </w:rPr>
              <w:t>0.16</w:t>
            </w:r>
          </w:p>
        </w:tc>
      </w:tr>
      <w:tr w:rsidR="0077068F">
        <w:tc>
          <w:tcPr>
            <w:tcW w:w="870" w:type="dxa"/>
            <w:vAlign w:val="center"/>
          </w:tcPr>
          <w:p w:rsidR="0077068F" w:rsidRDefault="006A74CC">
            <w:pPr>
              <w:jc w:val="center"/>
            </w:pPr>
            <w:r>
              <w:rPr>
                <w:rFonts w:eastAsiaTheme="minorEastAsia"/>
                <w:szCs w:val="21"/>
              </w:rPr>
              <w:t>19</w:t>
            </w:r>
          </w:p>
        </w:tc>
        <w:tc>
          <w:tcPr>
            <w:tcW w:w="1650" w:type="dxa"/>
            <w:vAlign w:val="center"/>
          </w:tcPr>
          <w:p w:rsidR="0077068F" w:rsidRDefault="006A74CC">
            <w:pPr>
              <w:jc w:val="center"/>
            </w:pPr>
            <w:r>
              <w:rPr>
                <w:rFonts w:eastAsiaTheme="minorEastAsia"/>
                <w:szCs w:val="21"/>
              </w:rPr>
              <w:t>002697</w:t>
            </w:r>
          </w:p>
        </w:tc>
        <w:tc>
          <w:tcPr>
            <w:tcW w:w="1980" w:type="dxa"/>
            <w:vAlign w:val="center"/>
          </w:tcPr>
          <w:p w:rsidR="0077068F" w:rsidRDefault="006A74CC">
            <w:pPr>
              <w:jc w:val="center"/>
            </w:pPr>
            <w:r>
              <w:rPr>
                <w:rFonts w:eastAsiaTheme="minorEastAsia"/>
                <w:szCs w:val="21"/>
              </w:rPr>
              <w:t>红旗连锁</w:t>
            </w:r>
          </w:p>
        </w:tc>
        <w:tc>
          <w:tcPr>
            <w:tcW w:w="2880" w:type="dxa"/>
            <w:vAlign w:val="center"/>
          </w:tcPr>
          <w:p w:rsidR="0077068F" w:rsidRDefault="006A74CC">
            <w:pPr>
              <w:jc w:val="right"/>
            </w:pPr>
            <w:r>
              <w:rPr>
                <w:rFonts w:eastAsiaTheme="minorEastAsia"/>
                <w:szCs w:val="21"/>
              </w:rPr>
              <w:t>139,013.00</w:t>
            </w:r>
          </w:p>
        </w:tc>
        <w:tc>
          <w:tcPr>
            <w:tcW w:w="1620" w:type="dxa"/>
            <w:vAlign w:val="center"/>
          </w:tcPr>
          <w:p w:rsidR="0077068F" w:rsidRDefault="006A74CC">
            <w:pPr>
              <w:jc w:val="right"/>
            </w:pPr>
            <w:r>
              <w:rPr>
                <w:rFonts w:eastAsiaTheme="minorEastAsia"/>
                <w:szCs w:val="21"/>
              </w:rPr>
              <w:t>0.16</w:t>
            </w:r>
          </w:p>
        </w:tc>
      </w:tr>
      <w:tr w:rsidR="0077068F">
        <w:tc>
          <w:tcPr>
            <w:tcW w:w="870" w:type="dxa"/>
            <w:vAlign w:val="center"/>
          </w:tcPr>
          <w:p w:rsidR="0077068F" w:rsidRDefault="006A74CC">
            <w:pPr>
              <w:jc w:val="center"/>
            </w:pPr>
            <w:r>
              <w:rPr>
                <w:rFonts w:eastAsiaTheme="minorEastAsia"/>
                <w:szCs w:val="21"/>
              </w:rPr>
              <w:t>20</w:t>
            </w:r>
          </w:p>
        </w:tc>
        <w:tc>
          <w:tcPr>
            <w:tcW w:w="1650" w:type="dxa"/>
            <w:vAlign w:val="center"/>
          </w:tcPr>
          <w:p w:rsidR="0077068F" w:rsidRDefault="006A74CC">
            <w:pPr>
              <w:jc w:val="center"/>
            </w:pPr>
            <w:r>
              <w:rPr>
                <w:rFonts w:eastAsiaTheme="minorEastAsia"/>
                <w:szCs w:val="21"/>
              </w:rPr>
              <w:t>603517</w:t>
            </w:r>
          </w:p>
        </w:tc>
        <w:tc>
          <w:tcPr>
            <w:tcW w:w="1980" w:type="dxa"/>
            <w:vAlign w:val="center"/>
          </w:tcPr>
          <w:p w:rsidR="0077068F" w:rsidRDefault="006A74CC">
            <w:pPr>
              <w:jc w:val="center"/>
            </w:pPr>
            <w:r>
              <w:rPr>
                <w:rFonts w:eastAsiaTheme="minorEastAsia"/>
                <w:szCs w:val="21"/>
              </w:rPr>
              <w:t>绝味食品</w:t>
            </w:r>
          </w:p>
        </w:tc>
        <w:tc>
          <w:tcPr>
            <w:tcW w:w="2880" w:type="dxa"/>
            <w:vAlign w:val="center"/>
          </w:tcPr>
          <w:p w:rsidR="0077068F" w:rsidRDefault="006A74CC">
            <w:pPr>
              <w:jc w:val="right"/>
            </w:pPr>
            <w:r>
              <w:rPr>
                <w:rFonts w:eastAsiaTheme="minorEastAsia"/>
                <w:szCs w:val="21"/>
              </w:rPr>
              <w:t>138,837.00</w:t>
            </w:r>
          </w:p>
        </w:tc>
        <w:tc>
          <w:tcPr>
            <w:tcW w:w="1620" w:type="dxa"/>
            <w:vAlign w:val="center"/>
          </w:tcPr>
          <w:p w:rsidR="0077068F" w:rsidRDefault="006A74CC">
            <w:pPr>
              <w:jc w:val="right"/>
            </w:pPr>
            <w:r>
              <w:rPr>
                <w:rFonts w:eastAsiaTheme="minorEastAsia"/>
                <w:szCs w:val="21"/>
              </w:rPr>
              <w:t>0.16</w:t>
            </w:r>
          </w:p>
        </w:tc>
      </w:tr>
    </w:tbl>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注：本项及下项</w:t>
      </w:r>
      <w:r>
        <w:rPr>
          <w:rFonts w:eastAsiaTheme="minorEastAsia"/>
          <w:kern w:val="0"/>
          <w:szCs w:val="21"/>
        </w:rPr>
        <w:t>8.4.2</w:t>
      </w:r>
      <w:r>
        <w:rPr>
          <w:rFonts w:eastAsiaTheme="minorEastAsia"/>
          <w:kern w:val="0"/>
          <w:szCs w:val="21"/>
        </w:rPr>
        <w:t>、</w:t>
      </w:r>
      <w:r>
        <w:rPr>
          <w:rFonts w:eastAsiaTheme="minorEastAsia"/>
          <w:kern w:val="0"/>
          <w:szCs w:val="21"/>
        </w:rPr>
        <w:t>8.4.3</w:t>
      </w:r>
      <w:r>
        <w:rPr>
          <w:rFonts w:eastAsiaTheme="minorEastAsia"/>
          <w:kern w:val="0"/>
          <w:szCs w:val="21"/>
        </w:rPr>
        <w:t>的买入包括基金二级市场上主动的买入、新股、配股、债转股、换股及行权等获得的股票，卖出主要指二级市场上主动的卖出、换股、要约收购、发行人回购及行权等减少的股票，此外，</w:t>
      </w:r>
      <w:r>
        <w:rPr>
          <w:rFonts w:eastAsiaTheme="minorEastAsia"/>
          <w:kern w:val="0"/>
          <w:szCs w:val="21"/>
        </w:rPr>
        <w:t xml:space="preserve"> “</w:t>
      </w:r>
      <w:r>
        <w:rPr>
          <w:rFonts w:eastAsiaTheme="minorEastAsia"/>
          <w:kern w:val="0"/>
          <w:szCs w:val="21"/>
        </w:rPr>
        <w:t>买入金额</w:t>
      </w:r>
      <w:r>
        <w:rPr>
          <w:rFonts w:eastAsiaTheme="minorEastAsia"/>
          <w:kern w:val="0"/>
          <w:szCs w:val="21"/>
        </w:rPr>
        <w:t>”</w:t>
      </w:r>
      <w:r>
        <w:rPr>
          <w:rFonts w:eastAsiaTheme="minorEastAsia"/>
          <w:kern w:val="0"/>
          <w:szCs w:val="21"/>
        </w:rPr>
        <w:t>（或</w:t>
      </w:r>
      <w:r>
        <w:rPr>
          <w:rFonts w:eastAsiaTheme="minorEastAsia"/>
          <w:kern w:val="0"/>
          <w:szCs w:val="21"/>
        </w:rPr>
        <w:t>“</w:t>
      </w:r>
      <w:r>
        <w:rPr>
          <w:rFonts w:eastAsiaTheme="minorEastAsia"/>
          <w:kern w:val="0"/>
          <w:szCs w:val="21"/>
        </w:rPr>
        <w:t>买入股票成本</w:t>
      </w:r>
      <w:r>
        <w:rPr>
          <w:rFonts w:eastAsiaTheme="minorEastAsia"/>
          <w:kern w:val="0"/>
          <w:szCs w:val="21"/>
        </w:rPr>
        <w:t>”</w:t>
      </w:r>
      <w:r>
        <w:rPr>
          <w:rFonts w:eastAsiaTheme="minorEastAsia"/>
          <w:kern w:val="0"/>
          <w:szCs w:val="21"/>
        </w:rPr>
        <w:t>）、</w:t>
      </w:r>
      <w:r>
        <w:rPr>
          <w:rFonts w:eastAsiaTheme="minorEastAsia"/>
          <w:kern w:val="0"/>
          <w:szCs w:val="21"/>
        </w:rPr>
        <w:t>“</w:t>
      </w:r>
      <w:r>
        <w:rPr>
          <w:rFonts w:eastAsiaTheme="minorEastAsia"/>
          <w:kern w:val="0"/>
          <w:szCs w:val="21"/>
        </w:rPr>
        <w:t>卖出金额</w:t>
      </w:r>
      <w:r>
        <w:rPr>
          <w:rFonts w:eastAsiaTheme="minorEastAsia"/>
          <w:kern w:val="0"/>
          <w:szCs w:val="21"/>
        </w:rPr>
        <w:t>”</w:t>
      </w:r>
      <w:r>
        <w:rPr>
          <w:rFonts w:eastAsiaTheme="minorEastAsia"/>
          <w:kern w:val="0"/>
          <w:szCs w:val="21"/>
        </w:rPr>
        <w:t>（或</w:t>
      </w:r>
      <w:r>
        <w:rPr>
          <w:rFonts w:eastAsiaTheme="minorEastAsia"/>
          <w:kern w:val="0"/>
          <w:szCs w:val="21"/>
        </w:rPr>
        <w:t>“</w:t>
      </w:r>
      <w:r>
        <w:rPr>
          <w:rFonts w:eastAsiaTheme="minorEastAsia"/>
          <w:kern w:val="0"/>
          <w:szCs w:val="21"/>
        </w:rPr>
        <w:t>卖出股票收入</w:t>
      </w:r>
      <w:r>
        <w:rPr>
          <w:rFonts w:eastAsiaTheme="minorEastAsia"/>
          <w:kern w:val="0"/>
          <w:szCs w:val="21"/>
        </w:rPr>
        <w:t>”</w:t>
      </w:r>
      <w:r>
        <w:rPr>
          <w:rFonts w:eastAsiaTheme="minorEastAsia"/>
          <w:kern w:val="0"/>
          <w:szCs w:val="21"/>
        </w:rPr>
        <w:t>）均按买卖成交金额（成交单价乘以成交数量）填列，不考虑相关交易费用，不包括因投资者申购赎回基金份额导致的基金组合中股票的增减。</w:t>
      </w:r>
    </w:p>
    <w:p w:rsidR="009B581C" w:rsidRDefault="00404602" w:rsidP="006A74CC">
      <w:pPr>
        <w:spacing w:beforeLines="100" w:line="360" w:lineRule="auto"/>
        <w:rPr>
          <w:rFonts w:eastAsiaTheme="minorEastAsia"/>
          <w:b/>
          <w:bCs/>
          <w:color w:val="000000"/>
          <w:szCs w:val="21"/>
        </w:rPr>
      </w:pPr>
      <w:r>
        <w:rPr>
          <w:rFonts w:eastAsiaTheme="minorEastAsia"/>
          <w:b/>
          <w:color w:val="000000"/>
          <w:szCs w:val="21"/>
        </w:rPr>
        <w:t xml:space="preserve">8.4.2 </w:t>
      </w:r>
      <w:r>
        <w:rPr>
          <w:rFonts w:eastAsiaTheme="minorEastAsia"/>
          <w:b/>
          <w:bCs/>
          <w:color w:val="000000"/>
          <w:szCs w:val="21"/>
        </w:rPr>
        <w:t>累计卖出金额超出</w:t>
      </w:r>
      <w:r>
        <w:rPr>
          <w:rFonts w:eastAsiaTheme="minorEastAsia"/>
          <w:b/>
          <w:color w:val="000000"/>
          <w:kern w:val="0"/>
          <w:szCs w:val="21"/>
        </w:rPr>
        <w:t>期初</w:t>
      </w:r>
      <w:r>
        <w:rPr>
          <w:rFonts w:eastAsiaTheme="minorEastAsia"/>
          <w:b/>
          <w:bCs/>
          <w:color w:val="000000"/>
          <w:szCs w:val="21"/>
        </w:rPr>
        <w:t>基金资产净值</w:t>
      </w:r>
      <w:r>
        <w:rPr>
          <w:rFonts w:eastAsiaTheme="minorEastAsia"/>
          <w:b/>
          <w:bCs/>
          <w:color w:val="000000"/>
          <w:szCs w:val="21"/>
        </w:rPr>
        <w:t>2</w:t>
      </w:r>
      <w:r>
        <w:rPr>
          <w:rFonts w:eastAsiaTheme="minorEastAsia"/>
          <w:b/>
          <w:bCs/>
          <w:color w:val="000000"/>
          <w:szCs w:val="21"/>
        </w:rPr>
        <w:t>％或前</w:t>
      </w:r>
      <w:r>
        <w:rPr>
          <w:rFonts w:eastAsiaTheme="minorEastAsia"/>
          <w:b/>
          <w:bCs/>
          <w:color w:val="000000"/>
          <w:szCs w:val="21"/>
        </w:rPr>
        <w:t>20</w:t>
      </w:r>
      <w:r>
        <w:rPr>
          <w:rFonts w:eastAsiaTheme="minorEastAsia"/>
          <w:b/>
          <w:bCs/>
          <w:color w:val="000000"/>
          <w:szCs w:val="21"/>
        </w:rPr>
        <w:t>名的股票明细</w:t>
      </w:r>
    </w:p>
    <w:p w:rsidR="009B581C" w:rsidRDefault="00404602">
      <w:pPr>
        <w:autoSpaceDE w:val="0"/>
        <w:autoSpaceDN w:val="0"/>
        <w:adjustRightInd w:val="0"/>
        <w:spacing w:before="29" w:line="360" w:lineRule="auto"/>
        <w:ind w:left="15"/>
        <w:jc w:val="right"/>
        <w:rPr>
          <w:rFonts w:eastAsiaTheme="minorEastAsia"/>
          <w:color w:val="000000"/>
          <w:kern w:val="0"/>
          <w:szCs w:val="21"/>
        </w:rPr>
      </w:pPr>
      <w:r>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0"/>
        <w:gridCol w:w="1650"/>
        <w:gridCol w:w="1980"/>
        <w:gridCol w:w="2880"/>
        <w:gridCol w:w="1620"/>
      </w:tblGrid>
      <w:tr w:rsidR="009B581C">
        <w:tc>
          <w:tcPr>
            <w:tcW w:w="87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序号</w:t>
            </w:r>
          </w:p>
        </w:tc>
        <w:tc>
          <w:tcPr>
            <w:tcW w:w="165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股票代码</w:t>
            </w:r>
          </w:p>
        </w:tc>
        <w:tc>
          <w:tcPr>
            <w:tcW w:w="198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股票名称</w:t>
            </w:r>
          </w:p>
        </w:tc>
        <w:tc>
          <w:tcPr>
            <w:tcW w:w="288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本期累计卖出金额</w:t>
            </w:r>
          </w:p>
        </w:tc>
        <w:tc>
          <w:tcPr>
            <w:tcW w:w="1620"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占</w:t>
            </w:r>
            <w:r>
              <w:rPr>
                <w:rFonts w:eastAsiaTheme="minorEastAsia"/>
                <w:color w:val="000000"/>
                <w:kern w:val="0"/>
                <w:szCs w:val="21"/>
              </w:rPr>
              <w:t>期初</w:t>
            </w:r>
            <w:r>
              <w:rPr>
                <w:rFonts w:eastAsiaTheme="minorEastAsia"/>
                <w:color w:val="000000"/>
                <w:szCs w:val="21"/>
              </w:rPr>
              <w:t>基金资产净值比例（％）</w:t>
            </w:r>
          </w:p>
        </w:tc>
      </w:tr>
      <w:tr w:rsidR="0077068F">
        <w:tc>
          <w:tcPr>
            <w:tcW w:w="870" w:type="dxa"/>
            <w:vAlign w:val="center"/>
          </w:tcPr>
          <w:p w:rsidR="0077068F" w:rsidRDefault="006A74CC">
            <w:pPr>
              <w:jc w:val="center"/>
            </w:pPr>
            <w:r>
              <w:rPr>
                <w:rFonts w:eastAsiaTheme="minorEastAsia"/>
                <w:szCs w:val="21"/>
              </w:rPr>
              <w:t>1</w:t>
            </w:r>
          </w:p>
        </w:tc>
        <w:tc>
          <w:tcPr>
            <w:tcW w:w="1650" w:type="dxa"/>
            <w:vAlign w:val="center"/>
          </w:tcPr>
          <w:p w:rsidR="0077068F" w:rsidRDefault="006A74CC">
            <w:pPr>
              <w:jc w:val="center"/>
            </w:pPr>
            <w:r>
              <w:rPr>
                <w:rFonts w:eastAsiaTheme="minorEastAsia"/>
                <w:szCs w:val="21"/>
              </w:rPr>
              <w:t>600519</w:t>
            </w:r>
          </w:p>
        </w:tc>
        <w:tc>
          <w:tcPr>
            <w:tcW w:w="1980" w:type="dxa"/>
            <w:vAlign w:val="center"/>
          </w:tcPr>
          <w:p w:rsidR="0077068F" w:rsidRDefault="006A74CC">
            <w:pPr>
              <w:jc w:val="center"/>
            </w:pPr>
            <w:r>
              <w:rPr>
                <w:rFonts w:eastAsiaTheme="minorEastAsia"/>
                <w:szCs w:val="21"/>
              </w:rPr>
              <w:t>贵州茅台</w:t>
            </w:r>
          </w:p>
        </w:tc>
        <w:tc>
          <w:tcPr>
            <w:tcW w:w="2880" w:type="dxa"/>
            <w:vAlign w:val="center"/>
          </w:tcPr>
          <w:p w:rsidR="0077068F" w:rsidRDefault="006A74CC">
            <w:pPr>
              <w:jc w:val="right"/>
            </w:pPr>
            <w:r>
              <w:rPr>
                <w:rFonts w:eastAsiaTheme="minorEastAsia"/>
                <w:szCs w:val="21"/>
              </w:rPr>
              <w:t>1,526,412.62</w:t>
            </w:r>
          </w:p>
        </w:tc>
        <w:tc>
          <w:tcPr>
            <w:tcW w:w="1620" w:type="dxa"/>
            <w:vAlign w:val="center"/>
          </w:tcPr>
          <w:p w:rsidR="0077068F" w:rsidRDefault="006A74CC">
            <w:pPr>
              <w:jc w:val="right"/>
            </w:pPr>
            <w:r>
              <w:rPr>
                <w:rFonts w:eastAsiaTheme="minorEastAsia"/>
                <w:szCs w:val="21"/>
              </w:rPr>
              <w:t>1.74</w:t>
            </w:r>
          </w:p>
        </w:tc>
      </w:tr>
      <w:tr w:rsidR="0077068F">
        <w:tc>
          <w:tcPr>
            <w:tcW w:w="870" w:type="dxa"/>
            <w:vAlign w:val="center"/>
          </w:tcPr>
          <w:p w:rsidR="0077068F" w:rsidRDefault="006A74CC">
            <w:pPr>
              <w:jc w:val="center"/>
            </w:pPr>
            <w:r>
              <w:rPr>
                <w:rFonts w:eastAsiaTheme="minorEastAsia"/>
                <w:szCs w:val="21"/>
              </w:rPr>
              <w:t>2</w:t>
            </w:r>
          </w:p>
        </w:tc>
        <w:tc>
          <w:tcPr>
            <w:tcW w:w="1650" w:type="dxa"/>
            <w:vAlign w:val="center"/>
          </w:tcPr>
          <w:p w:rsidR="0077068F" w:rsidRDefault="006A74CC">
            <w:pPr>
              <w:jc w:val="center"/>
            </w:pPr>
            <w:r>
              <w:rPr>
                <w:rFonts w:eastAsiaTheme="minorEastAsia"/>
                <w:szCs w:val="21"/>
              </w:rPr>
              <w:t>000858</w:t>
            </w:r>
          </w:p>
        </w:tc>
        <w:tc>
          <w:tcPr>
            <w:tcW w:w="1980" w:type="dxa"/>
            <w:vAlign w:val="center"/>
          </w:tcPr>
          <w:p w:rsidR="0077068F" w:rsidRDefault="006A74CC">
            <w:pPr>
              <w:jc w:val="center"/>
            </w:pPr>
            <w:r>
              <w:rPr>
                <w:rFonts w:eastAsiaTheme="minorEastAsia"/>
                <w:szCs w:val="21"/>
              </w:rPr>
              <w:t>五粮液</w:t>
            </w:r>
          </w:p>
        </w:tc>
        <w:tc>
          <w:tcPr>
            <w:tcW w:w="2880" w:type="dxa"/>
            <w:vAlign w:val="center"/>
          </w:tcPr>
          <w:p w:rsidR="0077068F" w:rsidRDefault="006A74CC">
            <w:pPr>
              <w:jc w:val="right"/>
            </w:pPr>
            <w:r>
              <w:rPr>
                <w:rFonts w:eastAsiaTheme="minorEastAsia"/>
                <w:szCs w:val="21"/>
              </w:rPr>
              <w:t>1,390,414.00</w:t>
            </w:r>
          </w:p>
        </w:tc>
        <w:tc>
          <w:tcPr>
            <w:tcW w:w="1620" w:type="dxa"/>
            <w:vAlign w:val="center"/>
          </w:tcPr>
          <w:p w:rsidR="0077068F" w:rsidRDefault="006A74CC">
            <w:pPr>
              <w:jc w:val="right"/>
            </w:pPr>
            <w:r>
              <w:rPr>
                <w:rFonts w:eastAsiaTheme="minorEastAsia"/>
                <w:szCs w:val="21"/>
              </w:rPr>
              <w:t>1.58</w:t>
            </w:r>
          </w:p>
        </w:tc>
      </w:tr>
      <w:tr w:rsidR="0077068F">
        <w:tc>
          <w:tcPr>
            <w:tcW w:w="870" w:type="dxa"/>
            <w:vAlign w:val="center"/>
          </w:tcPr>
          <w:p w:rsidR="0077068F" w:rsidRDefault="006A74CC">
            <w:pPr>
              <w:jc w:val="center"/>
            </w:pPr>
            <w:r>
              <w:rPr>
                <w:rFonts w:eastAsiaTheme="minorEastAsia"/>
                <w:szCs w:val="21"/>
              </w:rPr>
              <w:t>3</w:t>
            </w:r>
          </w:p>
        </w:tc>
        <w:tc>
          <w:tcPr>
            <w:tcW w:w="1650" w:type="dxa"/>
            <w:vAlign w:val="center"/>
          </w:tcPr>
          <w:p w:rsidR="0077068F" w:rsidRDefault="006A74CC">
            <w:pPr>
              <w:jc w:val="center"/>
            </w:pPr>
            <w:r>
              <w:rPr>
                <w:rFonts w:eastAsiaTheme="minorEastAsia"/>
                <w:szCs w:val="21"/>
              </w:rPr>
              <w:t>600887</w:t>
            </w:r>
          </w:p>
        </w:tc>
        <w:tc>
          <w:tcPr>
            <w:tcW w:w="1980" w:type="dxa"/>
            <w:vAlign w:val="center"/>
          </w:tcPr>
          <w:p w:rsidR="0077068F" w:rsidRDefault="006A74CC">
            <w:pPr>
              <w:jc w:val="center"/>
            </w:pPr>
            <w:r>
              <w:rPr>
                <w:rFonts w:eastAsiaTheme="minorEastAsia"/>
                <w:szCs w:val="21"/>
              </w:rPr>
              <w:t>伊利股份</w:t>
            </w:r>
          </w:p>
        </w:tc>
        <w:tc>
          <w:tcPr>
            <w:tcW w:w="2880" w:type="dxa"/>
            <w:vAlign w:val="center"/>
          </w:tcPr>
          <w:p w:rsidR="0077068F" w:rsidRDefault="006A74CC">
            <w:pPr>
              <w:jc w:val="right"/>
            </w:pPr>
            <w:r>
              <w:rPr>
                <w:rFonts w:eastAsiaTheme="minorEastAsia"/>
                <w:szCs w:val="21"/>
              </w:rPr>
              <w:t>1,075,517.58</w:t>
            </w:r>
          </w:p>
        </w:tc>
        <w:tc>
          <w:tcPr>
            <w:tcW w:w="1620" w:type="dxa"/>
            <w:vAlign w:val="center"/>
          </w:tcPr>
          <w:p w:rsidR="0077068F" w:rsidRDefault="006A74CC">
            <w:pPr>
              <w:jc w:val="right"/>
            </w:pPr>
            <w:r>
              <w:rPr>
                <w:rFonts w:eastAsiaTheme="minorEastAsia"/>
                <w:szCs w:val="21"/>
              </w:rPr>
              <w:t>1.23</w:t>
            </w:r>
          </w:p>
        </w:tc>
      </w:tr>
      <w:tr w:rsidR="0077068F">
        <w:tc>
          <w:tcPr>
            <w:tcW w:w="870" w:type="dxa"/>
            <w:vAlign w:val="center"/>
          </w:tcPr>
          <w:p w:rsidR="0077068F" w:rsidRDefault="006A74CC">
            <w:pPr>
              <w:jc w:val="center"/>
            </w:pPr>
            <w:r>
              <w:rPr>
                <w:rFonts w:eastAsiaTheme="minorEastAsia"/>
                <w:szCs w:val="21"/>
              </w:rPr>
              <w:t>4</w:t>
            </w:r>
          </w:p>
        </w:tc>
        <w:tc>
          <w:tcPr>
            <w:tcW w:w="1650" w:type="dxa"/>
            <w:vAlign w:val="center"/>
          </w:tcPr>
          <w:p w:rsidR="0077068F" w:rsidRDefault="006A74CC">
            <w:pPr>
              <w:jc w:val="center"/>
            </w:pPr>
            <w:r>
              <w:rPr>
                <w:rFonts w:eastAsiaTheme="minorEastAsia"/>
                <w:szCs w:val="21"/>
              </w:rPr>
              <w:t>300498</w:t>
            </w:r>
          </w:p>
        </w:tc>
        <w:tc>
          <w:tcPr>
            <w:tcW w:w="1980" w:type="dxa"/>
            <w:vAlign w:val="center"/>
          </w:tcPr>
          <w:p w:rsidR="0077068F" w:rsidRDefault="006A74CC">
            <w:pPr>
              <w:jc w:val="center"/>
            </w:pPr>
            <w:r>
              <w:rPr>
                <w:rFonts w:eastAsiaTheme="minorEastAsia"/>
                <w:szCs w:val="21"/>
              </w:rPr>
              <w:t>温氏股份</w:t>
            </w:r>
          </w:p>
        </w:tc>
        <w:tc>
          <w:tcPr>
            <w:tcW w:w="2880" w:type="dxa"/>
            <w:vAlign w:val="center"/>
          </w:tcPr>
          <w:p w:rsidR="0077068F" w:rsidRDefault="006A74CC">
            <w:pPr>
              <w:jc w:val="right"/>
            </w:pPr>
            <w:r>
              <w:rPr>
                <w:rFonts w:eastAsiaTheme="minorEastAsia"/>
                <w:szCs w:val="21"/>
              </w:rPr>
              <w:t>940,986.00</w:t>
            </w:r>
          </w:p>
        </w:tc>
        <w:tc>
          <w:tcPr>
            <w:tcW w:w="1620" w:type="dxa"/>
            <w:vAlign w:val="center"/>
          </w:tcPr>
          <w:p w:rsidR="0077068F" w:rsidRDefault="006A74CC">
            <w:pPr>
              <w:jc w:val="right"/>
            </w:pPr>
            <w:r>
              <w:rPr>
                <w:rFonts w:eastAsiaTheme="minorEastAsia"/>
                <w:szCs w:val="21"/>
              </w:rPr>
              <w:t>1.07</w:t>
            </w:r>
          </w:p>
        </w:tc>
      </w:tr>
      <w:tr w:rsidR="0077068F">
        <w:tc>
          <w:tcPr>
            <w:tcW w:w="870" w:type="dxa"/>
            <w:vAlign w:val="center"/>
          </w:tcPr>
          <w:p w:rsidR="0077068F" w:rsidRDefault="006A74CC">
            <w:pPr>
              <w:jc w:val="center"/>
            </w:pPr>
            <w:r>
              <w:rPr>
                <w:rFonts w:eastAsiaTheme="minorEastAsia"/>
                <w:szCs w:val="21"/>
              </w:rPr>
              <w:t>5</w:t>
            </w:r>
          </w:p>
        </w:tc>
        <w:tc>
          <w:tcPr>
            <w:tcW w:w="1650" w:type="dxa"/>
            <w:vAlign w:val="center"/>
          </w:tcPr>
          <w:p w:rsidR="0077068F" w:rsidRDefault="006A74CC">
            <w:pPr>
              <w:jc w:val="center"/>
            </w:pPr>
            <w:r>
              <w:rPr>
                <w:rFonts w:eastAsiaTheme="minorEastAsia"/>
                <w:szCs w:val="21"/>
              </w:rPr>
              <w:t>002304</w:t>
            </w:r>
          </w:p>
        </w:tc>
        <w:tc>
          <w:tcPr>
            <w:tcW w:w="1980" w:type="dxa"/>
            <w:vAlign w:val="center"/>
          </w:tcPr>
          <w:p w:rsidR="0077068F" w:rsidRDefault="006A74CC">
            <w:pPr>
              <w:jc w:val="center"/>
            </w:pPr>
            <w:r>
              <w:rPr>
                <w:rFonts w:eastAsiaTheme="minorEastAsia"/>
                <w:szCs w:val="21"/>
              </w:rPr>
              <w:t>洋河股份</w:t>
            </w:r>
          </w:p>
        </w:tc>
        <w:tc>
          <w:tcPr>
            <w:tcW w:w="2880" w:type="dxa"/>
            <w:vAlign w:val="center"/>
          </w:tcPr>
          <w:p w:rsidR="0077068F" w:rsidRDefault="006A74CC">
            <w:pPr>
              <w:jc w:val="right"/>
            </w:pPr>
            <w:r>
              <w:rPr>
                <w:rFonts w:eastAsiaTheme="minorEastAsia"/>
                <w:szCs w:val="21"/>
              </w:rPr>
              <w:t>717,923.77</w:t>
            </w:r>
          </w:p>
        </w:tc>
        <w:tc>
          <w:tcPr>
            <w:tcW w:w="1620" w:type="dxa"/>
            <w:vAlign w:val="center"/>
          </w:tcPr>
          <w:p w:rsidR="0077068F" w:rsidRDefault="006A74CC">
            <w:pPr>
              <w:jc w:val="right"/>
            </w:pPr>
            <w:r>
              <w:rPr>
                <w:rFonts w:eastAsiaTheme="minorEastAsia"/>
                <w:szCs w:val="21"/>
              </w:rPr>
              <w:t>0.82</w:t>
            </w:r>
          </w:p>
        </w:tc>
      </w:tr>
      <w:tr w:rsidR="0077068F">
        <w:tc>
          <w:tcPr>
            <w:tcW w:w="870" w:type="dxa"/>
            <w:vAlign w:val="center"/>
          </w:tcPr>
          <w:p w:rsidR="0077068F" w:rsidRDefault="006A74CC">
            <w:pPr>
              <w:jc w:val="center"/>
            </w:pPr>
            <w:r>
              <w:rPr>
                <w:rFonts w:eastAsiaTheme="minorEastAsia"/>
                <w:szCs w:val="21"/>
              </w:rPr>
              <w:t>6</w:t>
            </w:r>
          </w:p>
        </w:tc>
        <w:tc>
          <w:tcPr>
            <w:tcW w:w="1650" w:type="dxa"/>
            <w:vAlign w:val="center"/>
          </w:tcPr>
          <w:p w:rsidR="0077068F" w:rsidRDefault="006A74CC">
            <w:pPr>
              <w:jc w:val="center"/>
            </w:pPr>
            <w:r>
              <w:rPr>
                <w:rFonts w:eastAsiaTheme="minorEastAsia"/>
                <w:szCs w:val="21"/>
              </w:rPr>
              <w:t>603288</w:t>
            </w:r>
          </w:p>
        </w:tc>
        <w:tc>
          <w:tcPr>
            <w:tcW w:w="1980" w:type="dxa"/>
            <w:vAlign w:val="center"/>
          </w:tcPr>
          <w:p w:rsidR="0077068F" w:rsidRDefault="006A74CC">
            <w:pPr>
              <w:jc w:val="center"/>
            </w:pPr>
            <w:r>
              <w:rPr>
                <w:rFonts w:eastAsiaTheme="minorEastAsia"/>
                <w:szCs w:val="21"/>
              </w:rPr>
              <w:t>海天味业</w:t>
            </w:r>
          </w:p>
        </w:tc>
        <w:tc>
          <w:tcPr>
            <w:tcW w:w="2880" w:type="dxa"/>
            <w:vAlign w:val="center"/>
          </w:tcPr>
          <w:p w:rsidR="0077068F" w:rsidRDefault="006A74CC">
            <w:pPr>
              <w:jc w:val="right"/>
            </w:pPr>
            <w:r>
              <w:rPr>
                <w:rFonts w:eastAsiaTheme="minorEastAsia"/>
                <w:szCs w:val="21"/>
              </w:rPr>
              <w:t>481,402.30</w:t>
            </w:r>
          </w:p>
        </w:tc>
        <w:tc>
          <w:tcPr>
            <w:tcW w:w="1620" w:type="dxa"/>
            <w:vAlign w:val="center"/>
          </w:tcPr>
          <w:p w:rsidR="0077068F" w:rsidRDefault="006A74CC">
            <w:pPr>
              <w:jc w:val="right"/>
            </w:pPr>
            <w:r>
              <w:rPr>
                <w:rFonts w:eastAsiaTheme="minorEastAsia"/>
                <w:szCs w:val="21"/>
              </w:rPr>
              <w:t>0.55</w:t>
            </w:r>
          </w:p>
        </w:tc>
      </w:tr>
      <w:tr w:rsidR="0077068F">
        <w:tc>
          <w:tcPr>
            <w:tcW w:w="870" w:type="dxa"/>
            <w:vAlign w:val="center"/>
          </w:tcPr>
          <w:p w:rsidR="0077068F" w:rsidRDefault="006A74CC">
            <w:pPr>
              <w:jc w:val="center"/>
            </w:pPr>
            <w:r>
              <w:rPr>
                <w:rFonts w:eastAsiaTheme="minorEastAsia"/>
                <w:szCs w:val="21"/>
              </w:rPr>
              <w:t>7</w:t>
            </w:r>
          </w:p>
        </w:tc>
        <w:tc>
          <w:tcPr>
            <w:tcW w:w="1650" w:type="dxa"/>
            <w:vAlign w:val="center"/>
          </w:tcPr>
          <w:p w:rsidR="0077068F" w:rsidRDefault="006A74CC">
            <w:pPr>
              <w:jc w:val="center"/>
            </w:pPr>
            <w:r>
              <w:rPr>
                <w:rFonts w:eastAsiaTheme="minorEastAsia"/>
                <w:szCs w:val="21"/>
              </w:rPr>
              <w:t>000568</w:t>
            </w:r>
          </w:p>
        </w:tc>
        <w:tc>
          <w:tcPr>
            <w:tcW w:w="1980" w:type="dxa"/>
            <w:vAlign w:val="center"/>
          </w:tcPr>
          <w:p w:rsidR="0077068F" w:rsidRDefault="006A74CC">
            <w:pPr>
              <w:jc w:val="center"/>
            </w:pPr>
            <w:r>
              <w:rPr>
                <w:rFonts w:eastAsiaTheme="minorEastAsia"/>
                <w:szCs w:val="21"/>
              </w:rPr>
              <w:t>泸州老窖</w:t>
            </w:r>
          </w:p>
        </w:tc>
        <w:tc>
          <w:tcPr>
            <w:tcW w:w="2880" w:type="dxa"/>
            <w:vAlign w:val="center"/>
          </w:tcPr>
          <w:p w:rsidR="0077068F" w:rsidRDefault="006A74CC">
            <w:pPr>
              <w:jc w:val="right"/>
            </w:pPr>
            <w:r>
              <w:rPr>
                <w:rFonts w:eastAsiaTheme="minorEastAsia"/>
                <w:szCs w:val="21"/>
              </w:rPr>
              <w:t>351,717.00</w:t>
            </w:r>
          </w:p>
        </w:tc>
        <w:tc>
          <w:tcPr>
            <w:tcW w:w="1620" w:type="dxa"/>
            <w:vAlign w:val="center"/>
          </w:tcPr>
          <w:p w:rsidR="0077068F" w:rsidRDefault="006A74CC">
            <w:pPr>
              <w:jc w:val="right"/>
            </w:pPr>
            <w:r>
              <w:rPr>
                <w:rFonts w:eastAsiaTheme="minorEastAsia"/>
                <w:szCs w:val="21"/>
              </w:rPr>
              <w:t>0.40</w:t>
            </w:r>
          </w:p>
        </w:tc>
      </w:tr>
      <w:tr w:rsidR="0077068F">
        <w:tc>
          <w:tcPr>
            <w:tcW w:w="870" w:type="dxa"/>
            <w:vAlign w:val="center"/>
          </w:tcPr>
          <w:p w:rsidR="0077068F" w:rsidRDefault="006A74CC">
            <w:pPr>
              <w:jc w:val="center"/>
            </w:pPr>
            <w:r>
              <w:rPr>
                <w:rFonts w:eastAsiaTheme="minorEastAsia"/>
                <w:szCs w:val="21"/>
              </w:rPr>
              <w:t>8</w:t>
            </w:r>
          </w:p>
        </w:tc>
        <w:tc>
          <w:tcPr>
            <w:tcW w:w="1650" w:type="dxa"/>
            <w:vAlign w:val="center"/>
          </w:tcPr>
          <w:p w:rsidR="0077068F" w:rsidRDefault="006A74CC">
            <w:pPr>
              <w:jc w:val="center"/>
            </w:pPr>
            <w:r>
              <w:rPr>
                <w:rFonts w:eastAsiaTheme="minorEastAsia"/>
                <w:szCs w:val="21"/>
              </w:rPr>
              <w:t>601933</w:t>
            </w:r>
          </w:p>
        </w:tc>
        <w:tc>
          <w:tcPr>
            <w:tcW w:w="1980" w:type="dxa"/>
            <w:vAlign w:val="center"/>
          </w:tcPr>
          <w:p w:rsidR="0077068F" w:rsidRDefault="006A74CC">
            <w:pPr>
              <w:jc w:val="center"/>
            </w:pPr>
            <w:r>
              <w:rPr>
                <w:rFonts w:eastAsiaTheme="minorEastAsia"/>
                <w:szCs w:val="21"/>
              </w:rPr>
              <w:t>永辉超市</w:t>
            </w:r>
          </w:p>
        </w:tc>
        <w:tc>
          <w:tcPr>
            <w:tcW w:w="2880" w:type="dxa"/>
            <w:vAlign w:val="center"/>
          </w:tcPr>
          <w:p w:rsidR="0077068F" w:rsidRDefault="006A74CC">
            <w:pPr>
              <w:jc w:val="right"/>
            </w:pPr>
            <w:r>
              <w:rPr>
                <w:rFonts w:eastAsiaTheme="minorEastAsia"/>
                <w:szCs w:val="21"/>
              </w:rPr>
              <w:t>348,965.00</w:t>
            </w:r>
          </w:p>
        </w:tc>
        <w:tc>
          <w:tcPr>
            <w:tcW w:w="1620" w:type="dxa"/>
            <w:vAlign w:val="center"/>
          </w:tcPr>
          <w:p w:rsidR="0077068F" w:rsidRDefault="006A74CC">
            <w:pPr>
              <w:jc w:val="right"/>
            </w:pPr>
            <w:r>
              <w:rPr>
                <w:rFonts w:eastAsiaTheme="minorEastAsia"/>
                <w:szCs w:val="21"/>
              </w:rPr>
              <w:t>0.40</w:t>
            </w:r>
          </w:p>
        </w:tc>
      </w:tr>
      <w:tr w:rsidR="0077068F">
        <w:tc>
          <w:tcPr>
            <w:tcW w:w="870" w:type="dxa"/>
            <w:vAlign w:val="center"/>
          </w:tcPr>
          <w:p w:rsidR="0077068F" w:rsidRDefault="006A74CC">
            <w:pPr>
              <w:jc w:val="center"/>
            </w:pPr>
            <w:r>
              <w:rPr>
                <w:rFonts w:eastAsiaTheme="minorEastAsia"/>
                <w:szCs w:val="21"/>
              </w:rPr>
              <w:t>9</w:t>
            </w:r>
          </w:p>
        </w:tc>
        <w:tc>
          <w:tcPr>
            <w:tcW w:w="1650" w:type="dxa"/>
            <w:vAlign w:val="center"/>
          </w:tcPr>
          <w:p w:rsidR="0077068F" w:rsidRDefault="006A74CC">
            <w:pPr>
              <w:jc w:val="center"/>
            </w:pPr>
            <w:r>
              <w:rPr>
                <w:rFonts w:eastAsiaTheme="minorEastAsia"/>
                <w:szCs w:val="21"/>
              </w:rPr>
              <w:t>600315</w:t>
            </w:r>
          </w:p>
        </w:tc>
        <w:tc>
          <w:tcPr>
            <w:tcW w:w="1980" w:type="dxa"/>
            <w:vAlign w:val="center"/>
          </w:tcPr>
          <w:p w:rsidR="0077068F" w:rsidRDefault="006A74CC">
            <w:pPr>
              <w:jc w:val="center"/>
            </w:pPr>
            <w:r>
              <w:rPr>
                <w:rFonts w:eastAsiaTheme="minorEastAsia"/>
                <w:szCs w:val="21"/>
              </w:rPr>
              <w:t>上海家化</w:t>
            </w:r>
          </w:p>
        </w:tc>
        <w:tc>
          <w:tcPr>
            <w:tcW w:w="2880" w:type="dxa"/>
            <w:vAlign w:val="center"/>
          </w:tcPr>
          <w:p w:rsidR="0077068F" w:rsidRDefault="006A74CC">
            <w:pPr>
              <w:jc w:val="right"/>
            </w:pPr>
            <w:r>
              <w:rPr>
                <w:rFonts w:eastAsiaTheme="minorEastAsia"/>
                <w:szCs w:val="21"/>
              </w:rPr>
              <w:t>321,264.74</w:t>
            </w:r>
          </w:p>
        </w:tc>
        <w:tc>
          <w:tcPr>
            <w:tcW w:w="1620" w:type="dxa"/>
            <w:vAlign w:val="center"/>
          </w:tcPr>
          <w:p w:rsidR="0077068F" w:rsidRDefault="006A74CC">
            <w:pPr>
              <w:jc w:val="right"/>
            </w:pPr>
            <w:r>
              <w:rPr>
                <w:rFonts w:eastAsiaTheme="minorEastAsia"/>
                <w:szCs w:val="21"/>
              </w:rPr>
              <w:t>0.37</w:t>
            </w:r>
          </w:p>
        </w:tc>
      </w:tr>
      <w:tr w:rsidR="0077068F">
        <w:tc>
          <w:tcPr>
            <w:tcW w:w="870" w:type="dxa"/>
            <w:vAlign w:val="center"/>
          </w:tcPr>
          <w:p w:rsidR="0077068F" w:rsidRDefault="006A74CC">
            <w:pPr>
              <w:jc w:val="center"/>
            </w:pPr>
            <w:r>
              <w:rPr>
                <w:rFonts w:eastAsiaTheme="minorEastAsia"/>
                <w:szCs w:val="21"/>
              </w:rPr>
              <w:t>10</w:t>
            </w:r>
          </w:p>
        </w:tc>
        <w:tc>
          <w:tcPr>
            <w:tcW w:w="1650" w:type="dxa"/>
            <w:vAlign w:val="center"/>
          </w:tcPr>
          <w:p w:rsidR="0077068F" w:rsidRDefault="006A74CC">
            <w:pPr>
              <w:jc w:val="center"/>
            </w:pPr>
            <w:r>
              <w:rPr>
                <w:rFonts w:eastAsiaTheme="minorEastAsia"/>
                <w:szCs w:val="21"/>
              </w:rPr>
              <w:t>000895</w:t>
            </w:r>
          </w:p>
        </w:tc>
        <w:tc>
          <w:tcPr>
            <w:tcW w:w="1980" w:type="dxa"/>
            <w:vAlign w:val="center"/>
          </w:tcPr>
          <w:p w:rsidR="0077068F" w:rsidRDefault="006A74CC">
            <w:pPr>
              <w:jc w:val="center"/>
            </w:pPr>
            <w:r>
              <w:rPr>
                <w:rFonts w:eastAsiaTheme="minorEastAsia"/>
                <w:szCs w:val="21"/>
              </w:rPr>
              <w:t>双汇发展</w:t>
            </w:r>
          </w:p>
        </w:tc>
        <w:tc>
          <w:tcPr>
            <w:tcW w:w="2880" w:type="dxa"/>
            <w:vAlign w:val="center"/>
          </w:tcPr>
          <w:p w:rsidR="0077068F" w:rsidRDefault="006A74CC">
            <w:pPr>
              <w:jc w:val="right"/>
            </w:pPr>
            <w:r>
              <w:rPr>
                <w:rFonts w:eastAsiaTheme="minorEastAsia"/>
                <w:szCs w:val="21"/>
              </w:rPr>
              <w:t>270,320.00</w:t>
            </w:r>
          </w:p>
        </w:tc>
        <w:tc>
          <w:tcPr>
            <w:tcW w:w="1620" w:type="dxa"/>
            <w:vAlign w:val="center"/>
          </w:tcPr>
          <w:p w:rsidR="0077068F" w:rsidRDefault="006A74CC">
            <w:pPr>
              <w:jc w:val="right"/>
            </w:pPr>
            <w:r>
              <w:rPr>
                <w:rFonts w:eastAsiaTheme="minorEastAsia"/>
                <w:szCs w:val="21"/>
              </w:rPr>
              <w:t>0.31</w:t>
            </w:r>
          </w:p>
        </w:tc>
      </w:tr>
      <w:tr w:rsidR="0077068F">
        <w:tc>
          <w:tcPr>
            <w:tcW w:w="870" w:type="dxa"/>
            <w:vAlign w:val="center"/>
          </w:tcPr>
          <w:p w:rsidR="0077068F" w:rsidRDefault="006A74CC">
            <w:pPr>
              <w:jc w:val="center"/>
            </w:pPr>
            <w:r>
              <w:rPr>
                <w:rFonts w:eastAsiaTheme="minorEastAsia"/>
                <w:szCs w:val="21"/>
              </w:rPr>
              <w:t>11</w:t>
            </w:r>
          </w:p>
        </w:tc>
        <w:tc>
          <w:tcPr>
            <w:tcW w:w="1650" w:type="dxa"/>
            <w:vAlign w:val="center"/>
          </w:tcPr>
          <w:p w:rsidR="0077068F" w:rsidRDefault="006A74CC">
            <w:pPr>
              <w:jc w:val="center"/>
            </w:pPr>
            <w:r>
              <w:rPr>
                <w:rFonts w:eastAsiaTheme="minorEastAsia"/>
                <w:szCs w:val="21"/>
              </w:rPr>
              <w:t>600811</w:t>
            </w:r>
          </w:p>
        </w:tc>
        <w:tc>
          <w:tcPr>
            <w:tcW w:w="1980" w:type="dxa"/>
            <w:vAlign w:val="center"/>
          </w:tcPr>
          <w:p w:rsidR="0077068F" w:rsidRDefault="006A74CC">
            <w:pPr>
              <w:jc w:val="center"/>
            </w:pPr>
            <w:r>
              <w:rPr>
                <w:rFonts w:eastAsiaTheme="minorEastAsia"/>
                <w:szCs w:val="21"/>
              </w:rPr>
              <w:t>东方集团</w:t>
            </w:r>
          </w:p>
        </w:tc>
        <w:tc>
          <w:tcPr>
            <w:tcW w:w="2880" w:type="dxa"/>
            <w:vAlign w:val="center"/>
          </w:tcPr>
          <w:p w:rsidR="0077068F" w:rsidRDefault="006A74CC">
            <w:pPr>
              <w:jc w:val="right"/>
            </w:pPr>
            <w:r>
              <w:rPr>
                <w:rFonts w:eastAsiaTheme="minorEastAsia"/>
                <w:szCs w:val="21"/>
              </w:rPr>
              <w:t>227,431.50</w:t>
            </w:r>
          </w:p>
        </w:tc>
        <w:tc>
          <w:tcPr>
            <w:tcW w:w="1620" w:type="dxa"/>
            <w:vAlign w:val="center"/>
          </w:tcPr>
          <w:p w:rsidR="0077068F" w:rsidRDefault="006A74CC">
            <w:pPr>
              <w:jc w:val="right"/>
            </w:pPr>
            <w:r>
              <w:rPr>
                <w:rFonts w:eastAsiaTheme="minorEastAsia"/>
                <w:szCs w:val="21"/>
              </w:rPr>
              <w:t>0.26</w:t>
            </w:r>
          </w:p>
        </w:tc>
      </w:tr>
      <w:tr w:rsidR="0077068F">
        <w:tc>
          <w:tcPr>
            <w:tcW w:w="870" w:type="dxa"/>
            <w:vAlign w:val="center"/>
          </w:tcPr>
          <w:p w:rsidR="0077068F" w:rsidRDefault="006A74CC">
            <w:pPr>
              <w:jc w:val="center"/>
            </w:pPr>
            <w:r>
              <w:rPr>
                <w:rFonts w:eastAsiaTheme="minorEastAsia"/>
                <w:szCs w:val="21"/>
              </w:rPr>
              <w:t>12</w:t>
            </w:r>
          </w:p>
        </w:tc>
        <w:tc>
          <w:tcPr>
            <w:tcW w:w="1650" w:type="dxa"/>
            <w:vAlign w:val="center"/>
          </w:tcPr>
          <w:p w:rsidR="0077068F" w:rsidRDefault="006A74CC">
            <w:pPr>
              <w:jc w:val="center"/>
            </w:pPr>
            <w:r>
              <w:rPr>
                <w:rFonts w:eastAsiaTheme="minorEastAsia"/>
                <w:szCs w:val="21"/>
              </w:rPr>
              <w:t>000735</w:t>
            </w:r>
          </w:p>
        </w:tc>
        <w:tc>
          <w:tcPr>
            <w:tcW w:w="1980" w:type="dxa"/>
            <w:vAlign w:val="center"/>
          </w:tcPr>
          <w:p w:rsidR="0077068F" w:rsidRDefault="006A74CC">
            <w:pPr>
              <w:jc w:val="center"/>
            </w:pPr>
            <w:r>
              <w:rPr>
                <w:rFonts w:eastAsiaTheme="minorEastAsia"/>
                <w:szCs w:val="21"/>
              </w:rPr>
              <w:t>罗牛山</w:t>
            </w:r>
          </w:p>
        </w:tc>
        <w:tc>
          <w:tcPr>
            <w:tcW w:w="2880" w:type="dxa"/>
            <w:vAlign w:val="center"/>
          </w:tcPr>
          <w:p w:rsidR="0077068F" w:rsidRDefault="006A74CC">
            <w:pPr>
              <w:jc w:val="right"/>
            </w:pPr>
            <w:r>
              <w:rPr>
                <w:rFonts w:eastAsiaTheme="minorEastAsia"/>
                <w:szCs w:val="21"/>
              </w:rPr>
              <w:t>226,020.00</w:t>
            </w:r>
          </w:p>
        </w:tc>
        <w:tc>
          <w:tcPr>
            <w:tcW w:w="1620" w:type="dxa"/>
            <w:vAlign w:val="center"/>
          </w:tcPr>
          <w:p w:rsidR="0077068F" w:rsidRDefault="006A74CC">
            <w:pPr>
              <w:jc w:val="right"/>
            </w:pPr>
            <w:r>
              <w:rPr>
                <w:rFonts w:eastAsiaTheme="minorEastAsia"/>
                <w:szCs w:val="21"/>
              </w:rPr>
              <w:t>0.26</w:t>
            </w:r>
          </w:p>
        </w:tc>
      </w:tr>
      <w:tr w:rsidR="0077068F">
        <w:tc>
          <w:tcPr>
            <w:tcW w:w="870" w:type="dxa"/>
            <w:vAlign w:val="center"/>
          </w:tcPr>
          <w:p w:rsidR="0077068F" w:rsidRDefault="006A74CC">
            <w:pPr>
              <w:jc w:val="center"/>
            </w:pPr>
            <w:r>
              <w:rPr>
                <w:rFonts w:eastAsiaTheme="minorEastAsia"/>
                <w:szCs w:val="21"/>
              </w:rPr>
              <w:t>13</w:t>
            </w:r>
          </w:p>
        </w:tc>
        <w:tc>
          <w:tcPr>
            <w:tcW w:w="1650" w:type="dxa"/>
            <w:vAlign w:val="center"/>
          </w:tcPr>
          <w:p w:rsidR="0077068F" w:rsidRDefault="006A74CC">
            <w:pPr>
              <w:jc w:val="center"/>
            </w:pPr>
            <w:r>
              <w:rPr>
                <w:rFonts w:eastAsiaTheme="minorEastAsia"/>
                <w:szCs w:val="21"/>
              </w:rPr>
              <w:t>600809</w:t>
            </w:r>
          </w:p>
        </w:tc>
        <w:tc>
          <w:tcPr>
            <w:tcW w:w="1980" w:type="dxa"/>
            <w:vAlign w:val="center"/>
          </w:tcPr>
          <w:p w:rsidR="0077068F" w:rsidRDefault="006A74CC">
            <w:pPr>
              <w:jc w:val="center"/>
            </w:pPr>
            <w:r>
              <w:rPr>
                <w:rFonts w:eastAsiaTheme="minorEastAsia"/>
                <w:szCs w:val="21"/>
              </w:rPr>
              <w:t>山西汾酒</w:t>
            </w:r>
          </w:p>
        </w:tc>
        <w:tc>
          <w:tcPr>
            <w:tcW w:w="2880" w:type="dxa"/>
            <w:vAlign w:val="center"/>
          </w:tcPr>
          <w:p w:rsidR="0077068F" w:rsidRDefault="006A74CC">
            <w:pPr>
              <w:jc w:val="right"/>
            </w:pPr>
            <w:r>
              <w:rPr>
                <w:rFonts w:eastAsiaTheme="minorEastAsia"/>
                <w:szCs w:val="21"/>
              </w:rPr>
              <w:t>209,665.00</w:t>
            </w:r>
          </w:p>
        </w:tc>
        <w:tc>
          <w:tcPr>
            <w:tcW w:w="1620" w:type="dxa"/>
            <w:vAlign w:val="center"/>
          </w:tcPr>
          <w:p w:rsidR="0077068F" w:rsidRDefault="006A74CC">
            <w:pPr>
              <w:jc w:val="right"/>
            </w:pPr>
            <w:r>
              <w:rPr>
                <w:rFonts w:eastAsiaTheme="minorEastAsia"/>
                <w:szCs w:val="21"/>
              </w:rPr>
              <w:t>0.24</w:t>
            </w:r>
          </w:p>
        </w:tc>
      </w:tr>
      <w:tr w:rsidR="0077068F">
        <w:tc>
          <w:tcPr>
            <w:tcW w:w="870" w:type="dxa"/>
            <w:vAlign w:val="center"/>
          </w:tcPr>
          <w:p w:rsidR="0077068F" w:rsidRDefault="006A74CC">
            <w:pPr>
              <w:jc w:val="center"/>
            </w:pPr>
            <w:r>
              <w:rPr>
                <w:rFonts w:eastAsiaTheme="minorEastAsia"/>
                <w:szCs w:val="21"/>
              </w:rPr>
              <w:t>14</w:t>
            </w:r>
          </w:p>
        </w:tc>
        <w:tc>
          <w:tcPr>
            <w:tcW w:w="1650" w:type="dxa"/>
            <w:vAlign w:val="center"/>
          </w:tcPr>
          <w:p w:rsidR="0077068F" w:rsidRDefault="006A74CC">
            <w:pPr>
              <w:jc w:val="center"/>
            </w:pPr>
            <w:r>
              <w:rPr>
                <w:rFonts w:eastAsiaTheme="minorEastAsia"/>
                <w:szCs w:val="21"/>
              </w:rPr>
              <w:t>300146</w:t>
            </w:r>
          </w:p>
        </w:tc>
        <w:tc>
          <w:tcPr>
            <w:tcW w:w="1980" w:type="dxa"/>
            <w:vAlign w:val="center"/>
          </w:tcPr>
          <w:p w:rsidR="0077068F" w:rsidRDefault="006A74CC">
            <w:pPr>
              <w:jc w:val="center"/>
            </w:pPr>
            <w:r>
              <w:rPr>
                <w:rFonts w:eastAsiaTheme="minorEastAsia"/>
                <w:szCs w:val="21"/>
              </w:rPr>
              <w:t>汤臣倍健</w:t>
            </w:r>
          </w:p>
        </w:tc>
        <w:tc>
          <w:tcPr>
            <w:tcW w:w="2880" w:type="dxa"/>
            <w:vAlign w:val="center"/>
          </w:tcPr>
          <w:p w:rsidR="0077068F" w:rsidRDefault="006A74CC">
            <w:pPr>
              <w:jc w:val="right"/>
            </w:pPr>
            <w:r>
              <w:rPr>
                <w:rFonts w:eastAsiaTheme="minorEastAsia"/>
                <w:szCs w:val="21"/>
              </w:rPr>
              <w:t>196,380.00</w:t>
            </w:r>
          </w:p>
        </w:tc>
        <w:tc>
          <w:tcPr>
            <w:tcW w:w="1620" w:type="dxa"/>
            <w:vAlign w:val="center"/>
          </w:tcPr>
          <w:p w:rsidR="0077068F" w:rsidRDefault="006A74CC">
            <w:pPr>
              <w:jc w:val="right"/>
            </w:pPr>
            <w:r>
              <w:rPr>
                <w:rFonts w:eastAsiaTheme="minorEastAsia"/>
                <w:szCs w:val="21"/>
              </w:rPr>
              <w:t>0.22</w:t>
            </w:r>
          </w:p>
        </w:tc>
      </w:tr>
      <w:tr w:rsidR="0077068F">
        <w:tc>
          <w:tcPr>
            <w:tcW w:w="870" w:type="dxa"/>
            <w:vAlign w:val="center"/>
          </w:tcPr>
          <w:p w:rsidR="0077068F" w:rsidRDefault="006A74CC">
            <w:pPr>
              <w:jc w:val="center"/>
            </w:pPr>
            <w:r>
              <w:rPr>
                <w:rFonts w:eastAsiaTheme="minorEastAsia"/>
                <w:szCs w:val="21"/>
              </w:rPr>
              <w:t>15</w:t>
            </w:r>
          </w:p>
        </w:tc>
        <w:tc>
          <w:tcPr>
            <w:tcW w:w="1650" w:type="dxa"/>
            <w:vAlign w:val="center"/>
          </w:tcPr>
          <w:p w:rsidR="0077068F" w:rsidRDefault="006A74CC">
            <w:pPr>
              <w:jc w:val="center"/>
            </w:pPr>
            <w:r>
              <w:rPr>
                <w:rFonts w:eastAsiaTheme="minorEastAsia"/>
                <w:szCs w:val="21"/>
              </w:rPr>
              <w:t>300149</w:t>
            </w:r>
          </w:p>
        </w:tc>
        <w:tc>
          <w:tcPr>
            <w:tcW w:w="1980" w:type="dxa"/>
            <w:vAlign w:val="center"/>
          </w:tcPr>
          <w:p w:rsidR="0077068F" w:rsidRDefault="006A74CC">
            <w:pPr>
              <w:jc w:val="center"/>
            </w:pPr>
            <w:r>
              <w:rPr>
                <w:rFonts w:eastAsiaTheme="minorEastAsia"/>
                <w:szCs w:val="21"/>
              </w:rPr>
              <w:t>量子生物</w:t>
            </w:r>
          </w:p>
        </w:tc>
        <w:tc>
          <w:tcPr>
            <w:tcW w:w="2880" w:type="dxa"/>
            <w:vAlign w:val="center"/>
          </w:tcPr>
          <w:p w:rsidR="0077068F" w:rsidRDefault="006A74CC">
            <w:pPr>
              <w:jc w:val="right"/>
            </w:pPr>
            <w:r>
              <w:rPr>
                <w:rFonts w:eastAsiaTheme="minorEastAsia"/>
                <w:szCs w:val="21"/>
              </w:rPr>
              <w:t>191,251.00</w:t>
            </w:r>
          </w:p>
        </w:tc>
        <w:tc>
          <w:tcPr>
            <w:tcW w:w="1620" w:type="dxa"/>
            <w:vAlign w:val="center"/>
          </w:tcPr>
          <w:p w:rsidR="0077068F" w:rsidRDefault="006A74CC">
            <w:pPr>
              <w:jc w:val="right"/>
            </w:pPr>
            <w:r>
              <w:rPr>
                <w:rFonts w:eastAsiaTheme="minorEastAsia"/>
                <w:szCs w:val="21"/>
              </w:rPr>
              <w:t>0.22</w:t>
            </w:r>
          </w:p>
        </w:tc>
      </w:tr>
      <w:tr w:rsidR="0077068F">
        <w:tc>
          <w:tcPr>
            <w:tcW w:w="870" w:type="dxa"/>
            <w:vAlign w:val="center"/>
          </w:tcPr>
          <w:p w:rsidR="0077068F" w:rsidRDefault="006A74CC">
            <w:pPr>
              <w:jc w:val="center"/>
            </w:pPr>
            <w:r>
              <w:rPr>
                <w:rFonts w:eastAsiaTheme="minorEastAsia"/>
                <w:szCs w:val="21"/>
              </w:rPr>
              <w:t>16</w:t>
            </w:r>
          </w:p>
        </w:tc>
        <w:tc>
          <w:tcPr>
            <w:tcW w:w="1650" w:type="dxa"/>
            <w:vAlign w:val="center"/>
          </w:tcPr>
          <w:p w:rsidR="0077068F" w:rsidRDefault="006A74CC">
            <w:pPr>
              <w:jc w:val="center"/>
            </w:pPr>
            <w:r>
              <w:rPr>
                <w:rFonts w:eastAsiaTheme="minorEastAsia"/>
                <w:szCs w:val="21"/>
              </w:rPr>
              <w:t>000998</w:t>
            </w:r>
          </w:p>
        </w:tc>
        <w:tc>
          <w:tcPr>
            <w:tcW w:w="1980" w:type="dxa"/>
            <w:vAlign w:val="center"/>
          </w:tcPr>
          <w:p w:rsidR="0077068F" w:rsidRDefault="006A74CC">
            <w:pPr>
              <w:jc w:val="center"/>
            </w:pPr>
            <w:r>
              <w:rPr>
                <w:rFonts w:eastAsiaTheme="minorEastAsia"/>
                <w:szCs w:val="21"/>
              </w:rPr>
              <w:t>隆平高科</w:t>
            </w:r>
          </w:p>
        </w:tc>
        <w:tc>
          <w:tcPr>
            <w:tcW w:w="2880" w:type="dxa"/>
            <w:vAlign w:val="center"/>
          </w:tcPr>
          <w:p w:rsidR="0077068F" w:rsidRDefault="006A74CC">
            <w:pPr>
              <w:jc w:val="right"/>
            </w:pPr>
            <w:r>
              <w:rPr>
                <w:rFonts w:eastAsiaTheme="minorEastAsia"/>
                <w:szCs w:val="21"/>
              </w:rPr>
              <w:t>189,444.56</w:t>
            </w:r>
          </w:p>
        </w:tc>
        <w:tc>
          <w:tcPr>
            <w:tcW w:w="1620" w:type="dxa"/>
            <w:vAlign w:val="center"/>
          </w:tcPr>
          <w:p w:rsidR="0077068F" w:rsidRDefault="006A74CC">
            <w:pPr>
              <w:jc w:val="right"/>
            </w:pPr>
            <w:r>
              <w:rPr>
                <w:rFonts w:eastAsiaTheme="minorEastAsia"/>
                <w:szCs w:val="21"/>
              </w:rPr>
              <w:t>0.22</w:t>
            </w:r>
          </w:p>
        </w:tc>
      </w:tr>
      <w:tr w:rsidR="0077068F">
        <w:tc>
          <w:tcPr>
            <w:tcW w:w="870" w:type="dxa"/>
            <w:vAlign w:val="center"/>
          </w:tcPr>
          <w:p w:rsidR="0077068F" w:rsidRDefault="006A74CC">
            <w:pPr>
              <w:jc w:val="center"/>
            </w:pPr>
            <w:r>
              <w:rPr>
                <w:rFonts w:eastAsiaTheme="minorEastAsia"/>
                <w:szCs w:val="21"/>
              </w:rPr>
              <w:t>17</w:t>
            </w:r>
          </w:p>
        </w:tc>
        <w:tc>
          <w:tcPr>
            <w:tcW w:w="1650" w:type="dxa"/>
            <w:vAlign w:val="center"/>
          </w:tcPr>
          <w:p w:rsidR="0077068F" w:rsidRDefault="006A74CC">
            <w:pPr>
              <w:jc w:val="center"/>
            </w:pPr>
            <w:r>
              <w:rPr>
                <w:rFonts w:eastAsiaTheme="minorEastAsia"/>
                <w:szCs w:val="21"/>
              </w:rPr>
              <w:t>002714</w:t>
            </w:r>
          </w:p>
        </w:tc>
        <w:tc>
          <w:tcPr>
            <w:tcW w:w="1980" w:type="dxa"/>
            <w:vAlign w:val="center"/>
          </w:tcPr>
          <w:p w:rsidR="0077068F" w:rsidRDefault="006A74CC">
            <w:pPr>
              <w:jc w:val="center"/>
            </w:pPr>
            <w:r>
              <w:rPr>
                <w:rFonts w:eastAsiaTheme="minorEastAsia"/>
                <w:szCs w:val="21"/>
              </w:rPr>
              <w:t>牧原股份</w:t>
            </w:r>
          </w:p>
        </w:tc>
        <w:tc>
          <w:tcPr>
            <w:tcW w:w="2880" w:type="dxa"/>
            <w:vAlign w:val="center"/>
          </w:tcPr>
          <w:p w:rsidR="0077068F" w:rsidRDefault="006A74CC">
            <w:pPr>
              <w:jc w:val="right"/>
            </w:pPr>
            <w:r>
              <w:rPr>
                <w:rFonts w:eastAsiaTheme="minorEastAsia"/>
                <w:szCs w:val="21"/>
              </w:rPr>
              <w:t>178,940.20</w:t>
            </w:r>
          </w:p>
        </w:tc>
        <w:tc>
          <w:tcPr>
            <w:tcW w:w="1620" w:type="dxa"/>
            <w:vAlign w:val="center"/>
          </w:tcPr>
          <w:p w:rsidR="0077068F" w:rsidRDefault="006A74CC">
            <w:pPr>
              <w:jc w:val="right"/>
            </w:pPr>
            <w:r>
              <w:rPr>
                <w:rFonts w:eastAsiaTheme="minorEastAsia"/>
                <w:szCs w:val="21"/>
              </w:rPr>
              <w:t>0.20</w:t>
            </w:r>
          </w:p>
        </w:tc>
      </w:tr>
      <w:tr w:rsidR="0077068F">
        <w:tc>
          <w:tcPr>
            <w:tcW w:w="870" w:type="dxa"/>
            <w:vAlign w:val="center"/>
          </w:tcPr>
          <w:p w:rsidR="0077068F" w:rsidRDefault="006A74CC">
            <w:pPr>
              <w:jc w:val="center"/>
            </w:pPr>
            <w:r>
              <w:rPr>
                <w:rFonts w:eastAsiaTheme="minorEastAsia"/>
                <w:szCs w:val="21"/>
              </w:rPr>
              <w:t>18</w:t>
            </w:r>
          </w:p>
        </w:tc>
        <w:tc>
          <w:tcPr>
            <w:tcW w:w="1650" w:type="dxa"/>
            <w:vAlign w:val="center"/>
          </w:tcPr>
          <w:p w:rsidR="0077068F" w:rsidRDefault="006A74CC">
            <w:pPr>
              <w:jc w:val="center"/>
            </w:pPr>
            <w:r>
              <w:rPr>
                <w:rFonts w:eastAsiaTheme="minorEastAsia"/>
                <w:szCs w:val="21"/>
              </w:rPr>
              <w:t>002387</w:t>
            </w:r>
          </w:p>
        </w:tc>
        <w:tc>
          <w:tcPr>
            <w:tcW w:w="1980" w:type="dxa"/>
            <w:vAlign w:val="center"/>
          </w:tcPr>
          <w:p w:rsidR="0077068F" w:rsidRDefault="006A74CC">
            <w:pPr>
              <w:jc w:val="center"/>
            </w:pPr>
            <w:r>
              <w:rPr>
                <w:rFonts w:eastAsiaTheme="minorEastAsia"/>
                <w:szCs w:val="21"/>
              </w:rPr>
              <w:t>维信诺</w:t>
            </w:r>
          </w:p>
        </w:tc>
        <w:tc>
          <w:tcPr>
            <w:tcW w:w="2880" w:type="dxa"/>
            <w:vAlign w:val="center"/>
          </w:tcPr>
          <w:p w:rsidR="0077068F" w:rsidRDefault="006A74CC">
            <w:pPr>
              <w:jc w:val="right"/>
            </w:pPr>
            <w:r>
              <w:rPr>
                <w:rFonts w:eastAsiaTheme="minorEastAsia"/>
                <w:szCs w:val="21"/>
              </w:rPr>
              <w:t>163,221.00</w:t>
            </w:r>
          </w:p>
        </w:tc>
        <w:tc>
          <w:tcPr>
            <w:tcW w:w="1620" w:type="dxa"/>
            <w:vAlign w:val="center"/>
          </w:tcPr>
          <w:p w:rsidR="0077068F" w:rsidRDefault="006A74CC">
            <w:pPr>
              <w:jc w:val="right"/>
            </w:pPr>
            <w:r>
              <w:rPr>
                <w:rFonts w:eastAsiaTheme="minorEastAsia"/>
                <w:szCs w:val="21"/>
              </w:rPr>
              <w:t>0.19</w:t>
            </w:r>
          </w:p>
        </w:tc>
      </w:tr>
      <w:tr w:rsidR="0077068F">
        <w:tc>
          <w:tcPr>
            <w:tcW w:w="870" w:type="dxa"/>
            <w:vAlign w:val="center"/>
          </w:tcPr>
          <w:p w:rsidR="0077068F" w:rsidRDefault="006A74CC">
            <w:pPr>
              <w:jc w:val="center"/>
            </w:pPr>
            <w:r>
              <w:rPr>
                <w:rFonts w:eastAsiaTheme="minorEastAsia"/>
                <w:szCs w:val="21"/>
              </w:rPr>
              <w:t>19</w:t>
            </w:r>
          </w:p>
        </w:tc>
        <w:tc>
          <w:tcPr>
            <w:tcW w:w="1650" w:type="dxa"/>
            <w:vAlign w:val="center"/>
          </w:tcPr>
          <w:p w:rsidR="0077068F" w:rsidRDefault="006A74CC">
            <w:pPr>
              <w:jc w:val="center"/>
            </w:pPr>
            <w:r>
              <w:rPr>
                <w:rFonts w:eastAsiaTheme="minorEastAsia"/>
                <w:szCs w:val="21"/>
              </w:rPr>
              <w:t>600298</w:t>
            </w:r>
          </w:p>
        </w:tc>
        <w:tc>
          <w:tcPr>
            <w:tcW w:w="1980" w:type="dxa"/>
            <w:vAlign w:val="center"/>
          </w:tcPr>
          <w:p w:rsidR="0077068F" w:rsidRDefault="006A74CC">
            <w:pPr>
              <w:jc w:val="center"/>
            </w:pPr>
            <w:r>
              <w:rPr>
                <w:rFonts w:eastAsiaTheme="minorEastAsia"/>
                <w:szCs w:val="21"/>
              </w:rPr>
              <w:t>安琪酵母</w:t>
            </w:r>
          </w:p>
        </w:tc>
        <w:tc>
          <w:tcPr>
            <w:tcW w:w="2880" w:type="dxa"/>
            <w:vAlign w:val="center"/>
          </w:tcPr>
          <w:p w:rsidR="0077068F" w:rsidRDefault="006A74CC">
            <w:pPr>
              <w:jc w:val="right"/>
            </w:pPr>
            <w:r>
              <w:rPr>
                <w:rFonts w:eastAsiaTheme="minorEastAsia"/>
                <w:szCs w:val="21"/>
              </w:rPr>
              <w:t>159,179.00</w:t>
            </w:r>
          </w:p>
        </w:tc>
        <w:tc>
          <w:tcPr>
            <w:tcW w:w="1620" w:type="dxa"/>
            <w:vAlign w:val="center"/>
          </w:tcPr>
          <w:p w:rsidR="0077068F" w:rsidRDefault="006A74CC">
            <w:pPr>
              <w:jc w:val="right"/>
            </w:pPr>
            <w:r>
              <w:rPr>
                <w:rFonts w:eastAsiaTheme="minorEastAsia"/>
                <w:szCs w:val="21"/>
              </w:rPr>
              <w:t>0.18</w:t>
            </w:r>
          </w:p>
        </w:tc>
      </w:tr>
      <w:tr w:rsidR="0077068F">
        <w:tc>
          <w:tcPr>
            <w:tcW w:w="870" w:type="dxa"/>
            <w:vAlign w:val="center"/>
          </w:tcPr>
          <w:p w:rsidR="0077068F" w:rsidRDefault="006A74CC">
            <w:pPr>
              <w:jc w:val="center"/>
            </w:pPr>
            <w:r>
              <w:rPr>
                <w:rFonts w:eastAsiaTheme="minorEastAsia"/>
                <w:szCs w:val="21"/>
              </w:rPr>
              <w:t>20</w:t>
            </w:r>
          </w:p>
        </w:tc>
        <w:tc>
          <w:tcPr>
            <w:tcW w:w="1650" w:type="dxa"/>
            <w:vAlign w:val="center"/>
          </w:tcPr>
          <w:p w:rsidR="0077068F" w:rsidRDefault="006A74CC">
            <w:pPr>
              <w:jc w:val="center"/>
            </w:pPr>
            <w:r>
              <w:rPr>
                <w:rFonts w:eastAsiaTheme="minorEastAsia"/>
                <w:szCs w:val="21"/>
              </w:rPr>
              <w:t>600872</w:t>
            </w:r>
          </w:p>
        </w:tc>
        <w:tc>
          <w:tcPr>
            <w:tcW w:w="1980" w:type="dxa"/>
            <w:vAlign w:val="center"/>
          </w:tcPr>
          <w:p w:rsidR="0077068F" w:rsidRDefault="006A74CC">
            <w:pPr>
              <w:jc w:val="center"/>
            </w:pPr>
            <w:r>
              <w:rPr>
                <w:rFonts w:eastAsiaTheme="minorEastAsia"/>
                <w:szCs w:val="21"/>
              </w:rPr>
              <w:t>中炬高新</w:t>
            </w:r>
          </w:p>
        </w:tc>
        <w:tc>
          <w:tcPr>
            <w:tcW w:w="2880" w:type="dxa"/>
            <w:vAlign w:val="center"/>
          </w:tcPr>
          <w:p w:rsidR="0077068F" w:rsidRDefault="006A74CC">
            <w:pPr>
              <w:jc w:val="right"/>
            </w:pPr>
            <w:r>
              <w:rPr>
                <w:rFonts w:eastAsiaTheme="minorEastAsia"/>
                <w:szCs w:val="21"/>
              </w:rPr>
              <w:t>155,652.82</w:t>
            </w:r>
          </w:p>
        </w:tc>
        <w:tc>
          <w:tcPr>
            <w:tcW w:w="1620" w:type="dxa"/>
            <w:vAlign w:val="center"/>
          </w:tcPr>
          <w:p w:rsidR="0077068F" w:rsidRDefault="006A74CC">
            <w:pPr>
              <w:jc w:val="right"/>
            </w:pPr>
            <w:r>
              <w:rPr>
                <w:rFonts w:eastAsiaTheme="minorEastAsia"/>
                <w:szCs w:val="21"/>
              </w:rPr>
              <w:t>0.18</w:t>
            </w:r>
          </w:p>
        </w:tc>
      </w:tr>
    </w:tbl>
    <w:p w:rsidR="009B581C" w:rsidRDefault="00404602" w:rsidP="006A74CC">
      <w:pPr>
        <w:spacing w:beforeLines="100" w:line="360" w:lineRule="auto"/>
        <w:rPr>
          <w:rFonts w:eastAsiaTheme="minorEastAsia"/>
          <w:b/>
          <w:bCs/>
          <w:color w:val="000000"/>
          <w:szCs w:val="21"/>
        </w:rPr>
      </w:pPr>
      <w:r>
        <w:rPr>
          <w:rFonts w:eastAsiaTheme="minorEastAsia"/>
          <w:b/>
          <w:color w:val="000000"/>
          <w:szCs w:val="21"/>
        </w:rPr>
        <w:t xml:space="preserve">8.4.3 </w:t>
      </w:r>
      <w:r>
        <w:rPr>
          <w:rFonts w:eastAsiaTheme="minorEastAsia"/>
          <w:b/>
          <w:bCs/>
          <w:color w:val="000000"/>
          <w:szCs w:val="21"/>
        </w:rPr>
        <w:t>买入股票的成本总额及卖出股票的收入总额</w:t>
      </w:r>
    </w:p>
    <w:p w:rsidR="009B581C" w:rsidRDefault="00404602">
      <w:pPr>
        <w:autoSpaceDE w:val="0"/>
        <w:autoSpaceDN w:val="0"/>
        <w:adjustRightInd w:val="0"/>
        <w:spacing w:before="29" w:line="360" w:lineRule="auto"/>
        <w:ind w:left="15"/>
        <w:jc w:val="right"/>
        <w:rPr>
          <w:rFonts w:eastAsiaTheme="minorEastAsia"/>
          <w:color w:val="000000"/>
          <w:kern w:val="0"/>
          <w:szCs w:val="21"/>
        </w:rPr>
      </w:pPr>
      <w:r>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0"/>
        <w:gridCol w:w="4500"/>
      </w:tblGrid>
      <w:tr w:rsidR="009B581C">
        <w:tc>
          <w:tcPr>
            <w:tcW w:w="4500" w:type="dxa"/>
            <w:vAlign w:val="center"/>
          </w:tcPr>
          <w:p w:rsidR="009B581C" w:rsidRDefault="00404602">
            <w:pPr>
              <w:spacing w:line="360" w:lineRule="auto"/>
              <w:rPr>
                <w:rFonts w:eastAsiaTheme="minorEastAsia"/>
                <w:color w:val="000000"/>
                <w:szCs w:val="21"/>
              </w:rPr>
            </w:pPr>
            <w:r>
              <w:rPr>
                <w:rFonts w:eastAsiaTheme="minorEastAsia"/>
                <w:color w:val="000000"/>
                <w:szCs w:val="21"/>
              </w:rPr>
              <w:t>买入股票的成本（成交）总额</w:t>
            </w:r>
          </w:p>
        </w:tc>
        <w:tc>
          <w:tcPr>
            <w:tcW w:w="4500" w:type="dxa"/>
            <w:vAlign w:val="center"/>
          </w:tcPr>
          <w:p w:rsidR="009B581C" w:rsidRDefault="00404602">
            <w:pPr>
              <w:spacing w:line="360" w:lineRule="auto"/>
              <w:jc w:val="right"/>
              <w:rPr>
                <w:rFonts w:eastAsiaTheme="minorEastAsia"/>
                <w:szCs w:val="21"/>
              </w:rPr>
            </w:pPr>
            <w:r>
              <w:rPr>
                <w:rFonts w:eastAsiaTheme="minorEastAsia"/>
                <w:szCs w:val="21"/>
              </w:rPr>
              <w:t>12,614,162.61</w:t>
            </w:r>
          </w:p>
        </w:tc>
      </w:tr>
      <w:tr w:rsidR="009B581C">
        <w:tc>
          <w:tcPr>
            <w:tcW w:w="4500" w:type="dxa"/>
            <w:vAlign w:val="center"/>
          </w:tcPr>
          <w:p w:rsidR="009B581C" w:rsidRDefault="00404602">
            <w:pPr>
              <w:spacing w:line="360" w:lineRule="auto"/>
              <w:rPr>
                <w:rFonts w:eastAsiaTheme="minorEastAsia"/>
                <w:color w:val="000000"/>
                <w:szCs w:val="21"/>
              </w:rPr>
            </w:pPr>
            <w:r>
              <w:rPr>
                <w:rFonts w:eastAsiaTheme="minorEastAsia"/>
                <w:color w:val="000000"/>
                <w:szCs w:val="21"/>
              </w:rPr>
              <w:t>卖出股票的收入（成交）总额</w:t>
            </w:r>
          </w:p>
        </w:tc>
        <w:tc>
          <w:tcPr>
            <w:tcW w:w="4500" w:type="dxa"/>
            <w:vAlign w:val="center"/>
          </w:tcPr>
          <w:p w:rsidR="009B581C" w:rsidRDefault="00404602">
            <w:pPr>
              <w:spacing w:line="360" w:lineRule="auto"/>
              <w:jc w:val="right"/>
              <w:rPr>
                <w:rFonts w:eastAsiaTheme="minorEastAsia"/>
                <w:szCs w:val="21"/>
              </w:rPr>
            </w:pPr>
            <w:r>
              <w:rPr>
                <w:rFonts w:eastAsiaTheme="minorEastAsia"/>
                <w:szCs w:val="21"/>
              </w:rPr>
              <w:t>14,978,570.04</w:t>
            </w:r>
          </w:p>
        </w:tc>
      </w:tr>
    </w:tbl>
    <w:p w:rsidR="009B581C" w:rsidRDefault="00404602" w:rsidP="006A74CC">
      <w:pPr>
        <w:pStyle w:val="2"/>
        <w:spacing w:beforeLines="100" w:after="0"/>
        <w:rPr>
          <w:rFonts w:ascii="Times New Roman" w:eastAsiaTheme="minorEastAsia" w:hAnsi="Times New Roman"/>
          <w:kern w:val="0"/>
          <w:sz w:val="21"/>
          <w:szCs w:val="21"/>
        </w:rPr>
      </w:pPr>
      <w:bookmarkStart w:id="69" w:name="_Toc361324883"/>
      <w:bookmarkStart w:id="70" w:name="_Toc234814104"/>
      <w:r>
        <w:rPr>
          <w:rFonts w:ascii="Times New Roman" w:eastAsiaTheme="minorEastAsia" w:hAnsi="Times New Roman"/>
          <w:kern w:val="0"/>
          <w:sz w:val="21"/>
          <w:szCs w:val="21"/>
        </w:rPr>
        <w:t xml:space="preserve">8.5 </w:t>
      </w:r>
      <w:r>
        <w:rPr>
          <w:rFonts w:ascii="Times New Roman" w:eastAsiaTheme="minorEastAsia" w:hAnsi="Times New Roman"/>
          <w:kern w:val="0"/>
          <w:sz w:val="21"/>
          <w:szCs w:val="21"/>
        </w:rPr>
        <w:t>期末按债券品种分类的债券投资组合</w:t>
      </w:r>
      <w:bookmarkEnd w:id="69"/>
      <w:bookmarkEnd w:id="70"/>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color w:val="000000" w:themeColor="text1"/>
          <w:kern w:val="0"/>
          <w:szCs w:val="21"/>
        </w:rPr>
        <w:t>本基金本报告期末未持有债券。</w:t>
      </w:r>
    </w:p>
    <w:p w:rsidR="009B581C" w:rsidRDefault="00404602" w:rsidP="006A74CC">
      <w:pPr>
        <w:pStyle w:val="2"/>
        <w:spacing w:beforeLines="100" w:after="0"/>
        <w:rPr>
          <w:rFonts w:ascii="Times New Roman" w:eastAsiaTheme="minorEastAsia" w:hAnsi="Times New Roman"/>
          <w:kern w:val="0"/>
          <w:sz w:val="21"/>
          <w:szCs w:val="21"/>
        </w:rPr>
      </w:pPr>
      <w:bookmarkStart w:id="71" w:name="_Toc361324884"/>
      <w:r>
        <w:rPr>
          <w:rFonts w:ascii="Times New Roman" w:eastAsiaTheme="minorEastAsia" w:hAnsi="Times New Roman"/>
          <w:kern w:val="0"/>
          <w:sz w:val="21"/>
          <w:szCs w:val="21"/>
        </w:rPr>
        <w:t>8.6</w:t>
      </w:r>
      <w:bookmarkStart w:id="72" w:name="_Toc234814105"/>
      <w:r>
        <w:rPr>
          <w:rFonts w:ascii="Times New Roman" w:eastAsiaTheme="minorEastAsia" w:hAnsi="Times New Roman"/>
          <w:kern w:val="0"/>
          <w:sz w:val="21"/>
          <w:szCs w:val="21"/>
        </w:rPr>
        <w:t>期末按公允价值占基金资产净值比例大小排序的前五名债券投资明细</w:t>
      </w:r>
      <w:bookmarkEnd w:id="71"/>
      <w:bookmarkEnd w:id="72"/>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本基金本报告期末未持有债券。</w:t>
      </w:r>
    </w:p>
    <w:p w:rsidR="009B581C" w:rsidRDefault="00404602" w:rsidP="006A74CC">
      <w:pPr>
        <w:pStyle w:val="2"/>
        <w:spacing w:beforeLines="100" w:after="0"/>
        <w:rPr>
          <w:rFonts w:ascii="Times New Roman" w:eastAsiaTheme="minorEastAsia" w:hAnsi="Times New Roman"/>
          <w:kern w:val="0"/>
          <w:sz w:val="21"/>
          <w:szCs w:val="21"/>
        </w:rPr>
      </w:pPr>
      <w:bookmarkStart w:id="73" w:name="_Toc361324885"/>
      <w:r>
        <w:rPr>
          <w:rFonts w:ascii="Times New Roman" w:eastAsiaTheme="minorEastAsia" w:hAnsi="Times New Roman"/>
          <w:kern w:val="0"/>
          <w:sz w:val="21"/>
          <w:szCs w:val="21"/>
        </w:rPr>
        <w:t xml:space="preserve">8.7 </w:t>
      </w:r>
      <w:r>
        <w:rPr>
          <w:rFonts w:ascii="Times New Roman" w:eastAsiaTheme="minorEastAsia" w:hAnsi="Times New Roman"/>
          <w:kern w:val="0"/>
          <w:sz w:val="21"/>
          <w:szCs w:val="21"/>
        </w:rPr>
        <w:t>期末按公允价值占基金资产净值比例大小排序的前十名资产支持证券投资明细</w:t>
      </w:r>
      <w:bookmarkEnd w:id="73"/>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本基金本报告期末未持有资产支持证券。</w:t>
      </w:r>
    </w:p>
    <w:p w:rsidR="009B581C" w:rsidRDefault="00404602" w:rsidP="006A74CC">
      <w:pPr>
        <w:pStyle w:val="2"/>
        <w:spacing w:beforeLines="100" w:after="0"/>
        <w:rPr>
          <w:rFonts w:ascii="Times New Roman" w:eastAsiaTheme="minorEastAsia" w:hAnsi="Times New Roman"/>
          <w:kern w:val="0"/>
          <w:sz w:val="21"/>
          <w:szCs w:val="21"/>
        </w:rPr>
      </w:pPr>
      <w:r>
        <w:rPr>
          <w:rFonts w:ascii="Times New Roman" w:eastAsiaTheme="minorEastAsia" w:hAnsi="Times New Roman"/>
          <w:kern w:val="0"/>
          <w:sz w:val="21"/>
          <w:szCs w:val="21"/>
        </w:rPr>
        <w:t xml:space="preserve">8.8 </w:t>
      </w:r>
      <w:r>
        <w:rPr>
          <w:rFonts w:ascii="Times New Roman" w:eastAsiaTheme="minorEastAsia" w:hAnsi="Times New Roman"/>
          <w:kern w:val="0"/>
          <w:sz w:val="21"/>
          <w:szCs w:val="21"/>
        </w:rPr>
        <w:t>报告期末按公允价值占基金资产净值比例大小排序的前五名贵金属投资明细</w:t>
      </w:r>
    </w:p>
    <w:p w:rsidR="009B581C" w:rsidRDefault="00404602">
      <w:pPr>
        <w:widowControl/>
        <w:spacing w:line="360" w:lineRule="auto"/>
        <w:ind w:firstLineChars="200" w:firstLine="420"/>
        <w:jc w:val="left"/>
        <w:rPr>
          <w:rFonts w:eastAsiaTheme="minorEastAsia"/>
          <w:szCs w:val="21"/>
        </w:rPr>
      </w:pPr>
      <w:r>
        <w:rPr>
          <w:rFonts w:eastAsiaTheme="minorEastAsia"/>
          <w:szCs w:val="21"/>
        </w:rPr>
        <w:t>本基金本报告期末未持有贵金属。</w:t>
      </w:r>
    </w:p>
    <w:p w:rsidR="009B581C" w:rsidRDefault="00404602" w:rsidP="006A74CC">
      <w:pPr>
        <w:pStyle w:val="2"/>
        <w:spacing w:beforeLines="100" w:after="0"/>
        <w:rPr>
          <w:rFonts w:ascii="Times New Roman" w:eastAsiaTheme="minorEastAsia" w:hAnsi="Times New Roman"/>
          <w:kern w:val="0"/>
          <w:sz w:val="21"/>
          <w:szCs w:val="21"/>
        </w:rPr>
      </w:pPr>
      <w:bookmarkStart w:id="74" w:name="_Toc361324886"/>
      <w:r>
        <w:rPr>
          <w:rFonts w:ascii="Times New Roman" w:eastAsiaTheme="minorEastAsia" w:hAnsi="Times New Roman"/>
          <w:kern w:val="0"/>
          <w:sz w:val="21"/>
          <w:szCs w:val="21"/>
        </w:rPr>
        <w:t xml:space="preserve">8.9 </w:t>
      </w:r>
      <w:r>
        <w:rPr>
          <w:rFonts w:ascii="Times New Roman" w:eastAsiaTheme="minorEastAsia" w:hAnsi="Times New Roman"/>
          <w:kern w:val="0"/>
          <w:sz w:val="21"/>
          <w:szCs w:val="21"/>
        </w:rPr>
        <w:t>期末按公允价值占基金资产净值比例大小排序的前五名权证投资明细</w:t>
      </w:r>
      <w:bookmarkEnd w:id="74"/>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本基金本报告期末未持有权证。</w:t>
      </w:r>
    </w:p>
    <w:p w:rsidR="009B581C" w:rsidRDefault="00404602" w:rsidP="006A74CC">
      <w:pPr>
        <w:pStyle w:val="2"/>
        <w:spacing w:beforeLines="100" w:after="0"/>
        <w:rPr>
          <w:rFonts w:ascii="Times New Roman" w:eastAsiaTheme="minorEastAsia" w:hAnsi="Times New Roman"/>
          <w:kern w:val="0"/>
          <w:sz w:val="21"/>
          <w:szCs w:val="21"/>
        </w:rPr>
      </w:pPr>
      <w:r>
        <w:rPr>
          <w:rFonts w:ascii="Times New Roman" w:eastAsiaTheme="minorEastAsia" w:hAnsi="Times New Roman"/>
          <w:kern w:val="0"/>
          <w:sz w:val="21"/>
          <w:szCs w:val="21"/>
        </w:rPr>
        <w:t xml:space="preserve">8.10 </w:t>
      </w:r>
      <w:r>
        <w:rPr>
          <w:rFonts w:ascii="Times New Roman" w:eastAsiaTheme="minorEastAsia" w:hAnsi="Times New Roman"/>
          <w:kern w:val="0"/>
          <w:sz w:val="21"/>
          <w:szCs w:val="21"/>
        </w:rPr>
        <w:t>报告期末本基金投资的股指期货交易情况说明</w:t>
      </w:r>
    </w:p>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）本基金本报告期末未持有股指期货。</w:t>
      </w:r>
      <w:r>
        <w:rPr>
          <w:rFonts w:eastAsiaTheme="minorEastAsia"/>
          <w:kern w:val="0"/>
          <w:szCs w:val="21"/>
        </w:rPr>
        <w:t xml:space="preserve"> </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）本基金本报告期内未进行股指期货交易。</w:t>
      </w:r>
    </w:p>
    <w:p w:rsidR="009B581C" w:rsidRDefault="00404602" w:rsidP="006A74CC">
      <w:pPr>
        <w:pStyle w:val="2"/>
        <w:spacing w:beforeLines="100" w:after="0"/>
        <w:rPr>
          <w:rFonts w:ascii="Times New Roman" w:eastAsiaTheme="minorEastAsia" w:hAnsi="Times New Roman"/>
          <w:kern w:val="0"/>
          <w:sz w:val="21"/>
          <w:szCs w:val="21"/>
        </w:rPr>
      </w:pPr>
      <w:r>
        <w:rPr>
          <w:rFonts w:ascii="Times New Roman" w:eastAsiaTheme="minorEastAsia" w:hAnsi="Times New Roman"/>
          <w:kern w:val="0"/>
          <w:sz w:val="21"/>
          <w:szCs w:val="21"/>
        </w:rPr>
        <w:t>8.11</w:t>
      </w:r>
      <w:r>
        <w:rPr>
          <w:rFonts w:ascii="Times New Roman" w:eastAsiaTheme="minorEastAsia" w:hAnsi="Times New Roman"/>
          <w:kern w:val="0"/>
          <w:sz w:val="21"/>
          <w:szCs w:val="21"/>
        </w:rPr>
        <w:t>报告期末本基金投资的国债期货交易情况说明</w:t>
      </w:r>
    </w:p>
    <w:p w:rsidR="0077068F" w:rsidRDefault="006A74CC">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）本基金本报告期末未持有国债期货。</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）本基金本报告期内未进行国债期货交易。</w:t>
      </w:r>
    </w:p>
    <w:p w:rsidR="009B581C" w:rsidRDefault="00404602" w:rsidP="006A74CC">
      <w:pPr>
        <w:pStyle w:val="2"/>
        <w:spacing w:beforeLines="100" w:after="0"/>
        <w:rPr>
          <w:rFonts w:ascii="Times New Roman" w:eastAsiaTheme="minorEastAsia" w:hAnsi="Times New Roman"/>
          <w:kern w:val="0"/>
          <w:sz w:val="21"/>
          <w:szCs w:val="21"/>
        </w:rPr>
      </w:pPr>
      <w:r>
        <w:rPr>
          <w:rFonts w:ascii="Times New Roman" w:eastAsiaTheme="minorEastAsia" w:hAnsi="Times New Roman"/>
          <w:kern w:val="0"/>
          <w:sz w:val="21"/>
          <w:szCs w:val="21"/>
        </w:rPr>
        <w:t xml:space="preserve">8.12 </w:t>
      </w:r>
      <w:r>
        <w:rPr>
          <w:rFonts w:ascii="Times New Roman" w:eastAsiaTheme="minorEastAsia" w:hAnsi="Times New Roman"/>
          <w:kern w:val="0"/>
          <w:sz w:val="21"/>
          <w:szCs w:val="21"/>
        </w:rPr>
        <w:t>投资组合报告附注</w:t>
      </w:r>
    </w:p>
    <w:p w:rsidR="009B581C" w:rsidRDefault="00404602">
      <w:pPr>
        <w:spacing w:line="360" w:lineRule="auto"/>
        <w:rPr>
          <w:rFonts w:eastAsiaTheme="minorEastAsia"/>
          <w:color w:val="000000"/>
          <w:szCs w:val="21"/>
        </w:rPr>
      </w:pPr>
      <w:r>
        <w:rPr>
          <w:rFonts w:eastAsiaTheme="minorEastAsia"/>
          <w:b/>
          <w:color w:val="000000"/>
          <w:szCs w:val="21"/>
        </w:rPr>
        <w:t xml:space="preserve">8.12.1 </w:t>
      </w:r>
      <w:r>
        <w:rPr>
          <w:rFonts w:eastAsiaTheme="minorEastAsia"/>
          <w:color w:val="000000"/>
          <w:szCs w:val="21"/>
        </w:rPr>
        <w:t>本基金投资的前十名证券的发行主体在本报告期内没有出现被监管部门立案调查，或在报告编制日前一年内受到公开谴责、处罚的情形。</w:t>
      </w:r>
    </w:p>
    <w:p w:rsidR="009B581C" w:rsidRDefault="00404602">
      <w:pPr>
        <w:spacing w:line="360" w:lineRule="auto"/>
        <w:rPr>
          <w:rFonts w:eastAsiaTheme="minorEastAsia"/>
          <w:color w:val="000000"/>
          <w:szCs w:val="21"/>
        </w:rPr>
      </w:pPr>
      <w:r>
        <w:rPr>
          <w:rFonts w:eastAsiaTheme="minorEastAsia"/>
          <w:b/>
          <w:color w:val="000000"/>
          <w:szCs w:val="21"/>
        </w:rPr>
        <w:t xml:space="preserve">8.12.2 </w:t>
      </w:r>
      <w:r>
        <w:rPr>
          <w:rFonts w:eastAsiaTheme="minorEastAsia"/>
          <w:color w:val="000000"/>
          <w:szCs w:val="21"/>
        </w:rPr>
        <w:t>报告期内本基金投资的前十名股票未超出基金合同规定的备选股票库。</w:t>
      </w:r>
    </w:p>
    <w:p w:rsidR="009B581C" w:rsidRDefault="00404602">
      <w:pPr>
        <w:spacing w:line="360" w:lineRule="auto"/>
        <w:rPr>
          <w:rFonts w:eastAsiaTheme="minorEastAsia"/>
          <w:b/>
          <w:bCs/>
          <w:color w:val="000000"/>
          <w:szCs w:val="21"/>
        </w:rPr>
      </w:pPr>
      <w:r>
        <w:rPr>
          <w:rFonts w:eastAsiaTheme="minorEastAsia"/>
          <w:b/>
          <w:color w:val="000000"/>
          <w:szCs w:val="21"/>
        </w:rPr>
        <w:t xml:space="preserve">8.12.3 </w:t>
      </w:r>
      <w:r>
        <w:rPr>
          <w:rFonts w:eastAsiaTheme="minorEastAsia"/>
          <w:b/>
          <w:bCs/>
          <w:color w:val="000000"/>
          <w:szCs w:val="21"/>
        </w:rPr>
        <w:t>期末其他各项资产构成</w:t>
      </w:r>
    </w:p>
    <w:p w:rsidR="009B581C" w:rsidRDefault="00404602">
      <w:pPr>
        <w:autoSpaceDE w:val="0"/>
        <w:autoSpaceDN w:val="0"/>
        <w:adjustRightInd w:val="0"/>
        <w:spacing w:before="29" w:line="360" w:lineRule="auto"/>
        <w:ind w:left="15"/>
        <w:jc w:val="right"/>
        <w:rPr>
          <w:rFonts w:eastAsiaTheme="minorEastAsia"/>
          <w:color w:val="000000"/>
          <w:kern w:val="0"/>
          <w:szCs w:val="21"/>
        </w:rPr>
      </w:pPr>
      <w:r>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
        <w:gridCol w:w="4117"/>
        <w:gridCol w:w="4118"/>
      </w:tblGrid>
      <w:tr w:rsidR="009B581C">
        <w:tc>
          <w:tcPr>
            <w:tcW w:w="765" w:type="dxa"/>
            <w:vAlign w:val="center"/>
          </w:tcPr>
          <w:p w:rsidR="009B581C" w:rsidRDefault="00404602">
            <w:pPr>
              <w:spacing w:line="360" w:lineRule="auto"/>
              <w:jc w:val="center"/>
              <w:rPr>
                <w:rFonts w:eastAsiaTheme="minorEastAsia"/>
                <w:color w:val="000000"/>
                <w:szCs w:val="21"/>
              </w:rPr>
            </w:pPr>
            <w:r>
              <w:rPr>
                <w:rFonts w:eastAsiaTheme="minorEastAsia"/>
                <w:color w:val="000000"/>
                <w:szCs w:val="21"/>
              </w:rPr>
              <w:t>序号</w:t>
            </w:r>
          </w:p>
        </w:tc>
        <w:tc>
          <w:tcPr>
            <w:tcW w:w="4117" w:type="dxa"/>
          </w:tcPr>
          <w:p w:rsidR="009B581C" w:rsidRDefault="00404602">
            <w:pPr>
              <w:spacing w:line="360" w:lineRule="auto"/>
              <w:jc w:val="center"/>
              <w:rPr>
                <w:rFonts w:eastAsiaTheme="minorEastAsia"/>
                <w:color w:val="000000"/>
                <w:szCs w:val="21"/>
              </w:rPr>
            </w:pPr>
            <w:r>
              <w:rPr>
                <w:rFonts w:eastAsiaTheme="minorEastAsia"/>
                <w:color w:val="000000"/>
                <w:szCs w:val="21"/>
              </w:rPr>
              <w:t>名称</w:t>
            </w:r>
          </w:p>
        </w:tc>
        <w:tc>
          <w:tcPr>
            <w:tcW w:w="4118" w:type="dxa"/>
          </w:tcPr>
          <w:p w:rsidR="009B581C" w:rsidRDefault="00404602">
            <w:pPr>
              <w:spacing w:line="360" w:lineRule="auto"/>
              <w:jc w:val="center"/>
              <w:rPr>
                <w:rFonts w:eastAsiaTheme="minorEastAsia"/>
                <w:color w:val="000000"/>
                <w:szCs w:val="21"/>
              </w:rPr>
            </w:pPr>
            <w:r>
              <w:rPr>
                <w:rFonts w:eastAsiaTheme="minorEastAsia"/>
                <w:color w:val="000000"/>
                <w:szCs w:val="21"/>
              </w:rPr>
              <w:t>金额</w:t>
            </w:r>
          </w:p>
        </w:tc>
      </w:tr>
      <w:tr w:rsidR="009B581C">
        <w:tc>
          <w:tcPr>
            <w:tcW w:w="765" w:type="dxa"/>
          </w:tcPr>
          <w:p w:rsidR="009B581C" w:rsidRDefault="00404602">
            <w:pPr>
              <w:spacing w:line="360" w:lineRule="auto"/>
              <w:jc w:val="center"/>
              <w:rPr>
                <w:rFonts w:eastAsiaTheme="minorEastAsia"/>
                <w:color w:val="000000"/>
                <w:szCs w:val="21"/>
              </w:rPr>
            </w:pPr>
            <w:r>
              <w:rPr>
                <w:rFonts w:eastAsiaTheme="minorEastAsia"/>
                <w:color w:val="000000"/>
                <w:szCs w:val="21"/>
              </w:rPr>
              <w:t>1</w:t>
            </w:r>
          </w:p>
        </w:tc>
        <w:tc>
          <w:tcPr>
            <w:tcW w:w="4117" w:type="dxa"/>
          </w:tcPr>
          <w:p w:rsidR="009B581C" w:rsidRDefault="00404602">
            <w:pPr>
              <w:spacing w:line="360" w:lineRule="auto"/>
              <w:ind w:leftChars="50" w:left="105"/>
              <w:rPr>
                <w:rFonts w:eastAsiaTheme="minorEastAsia"/>
                <w:color w:val="000000"/>
                <w:szCs w:val="21"/>
              </w:rPr>
            </w:pPr>
            <w:r>
              <w:rPr>
                <w:rFonts w:eastAsiaTheme="minorEastAsia"/>
                <w:color w:val="000000"/>
                <w:szCs w:val="21"/>
              </w:rPr>
              <w:t>存出保证金</w:t>
            </w:r>
          </w:p>
        </w:tc>
        <w:tc>
          <w:tcPr>
            <w:tcW w:w="4118" w:type="dxa"/>
            <w:vAlign w:val="center"/>
          </w:tcPr>
          <w:p w:rsidR="009B581C" w:rsidRDefault="00404602">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3,162.86</w:t>
            </w:r>
          </w:p>
        </w:tc>
      </w:tr>
      <w:tr w:rsidR="009B581C">
        <w:tc>
          <w:tcPr>
            <w:tcW w:w="765" w:type="dxa"/>
          </w:tcPr>
          <w:p w:rsidR="009B581C" w:rsidRDefault="00404602">
            <w:pPr>
              <w:spacing w:line="360" w:lineRule="auto"/>
              <w:jc w:val="center"/>
              <w:rPr>
                <w:rFonts w:eastAsiaTheme="minorEastAsia"/>
                <w:color w:val="000000"/>
                <w:szCs w:val="21"/>
              </w:rPr>
            </w:pPr>
            <w:r>
              <w:rPr>
                <w:rFonts w:eastAsiaTheme="minorEastAsia"/>
                <w:color w:val="000000"/>
                <w:szCs w:val="21"/>
              </w:rPr>
              <w:t>2</w:t>
            </w:r>
          </w:p>
        </w:tc>
        <w:tc>
          <w:tcPr>
            <w:tcW w:w="4117" w:type="dxa"/>
          </w:tcPr>
          <w:p w:rsidR="009B581C" w:rsidRDefault="00404602">
            <w:pPr>
              <w:spacing w:line="360" w:lineRule="auto"/>
              <w:ind w:leftChars="50" w:left="105"/>
              <w:rPr>
                <w:rFonts w:eastAsiaTheme="minorEastAsia"/>
                <w:color w:val="000000"/>
                <w:szCs w:val="21"/>
              </w:rPr>
            </w:pPr>
            <w:r>
              <w:rPr>
                <w:rFonts w:eastAsiaTheme="minorEastAsia"/>
                <w:color w:val="000000"/>
                <w:szCs w:val="21"/>
              </w:rPr>
              <w:t>应收证券清算款</w:t>
            </w:r>
          </w:p>
        </w:tc>
        <w:tc>
          <w:tcPr>
            <w:tcW w:w="4118" w:type="dxa"/>
            <w:vAlign w:val="center"/>
          </w:tcPr>
          <w:p w:rsidR="009B581C" w:rsidRDefault="00404602">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12,848.99</w:t>
            </w:r>
          </w:p>
        </w:tc>
      </w:tr>
      <w:tr w:rsidR="009B581C">
        <w:tc>
          <w:tcPr>
            <w:tcW w:w="765" w:type="dxa"/>
          </w:tcPr>
          <w:p w:rsidR="009B581C" w:rsidRDefault="00404602">
            <w:pPr>
              <w:spacing w:line="360" w:lineRule="auto"/>
              <w:jc w:val="center"/>
              <w:rPr>
                <w:rFonts w:eastAsiaTheme="minorEastAsia"/>
                <w:color w:val="000000"/>
                <w:szCs w:val="21"/>
              </w:rPr>
            </w:pPr>
            <w:r>
              <w:rPr>
                <w:rFonts w:eastAsiaTheme="minorEastAsia"/>
                <w:color w:val="000000"/>
                <w:szCs w:val="21"/>
              </w:rPr>
              <w:t>3</w:t>
            </w:r>
          </w:p>
        </w:tc>
        <w:tc>
          <w:tcPr>
            <w:tcW w:w="4117" w:type="dxa"/>
          </w:tcPr>
          <w:p w:rsidR="009B581C" w:rsidRDefault="00404602">
            <w:pPr>
              <w:spacing w:line="360" w:lineRule="auto"/>
              <w:ind w:leftChars="50" w:left="105"/>
              <w:rPr>
                <w:rFonts w:eastAsiaTheme="minorEastAsia"/>
                <w:color w:val="000000"/>
                <w:szCs w:val="21"/>
              </w:rPr>
            </w:pPr>
            <w:r>
              <w:rPr>
                <w:rFonts w:eastAsiaTheme="minorEastAsia"/>
                <w:color w:val="000000"/>
                <w:szCs w:val="21"/>
              </w:rPr>
              <w:t>应收股利</w:t>
            </w:r>
          </w:p>
        </w:tc>
        <w:tc>
          <w:tcPr>
            <w:tcW w:w="4118" w:type="dxa"/>
            <w:vAlign w:val="center"/>
          </w:tcPr>
          <w:p w:rsidR="009B581C" w:rsidRDefault="00404602">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w:t>
            </w:r>
          </w:p>
        </w:tc>
      </w:tr>
      <w:tr w:rsidR="009B581C">
        <w:tc>
          <w:tcPr>
            <w:tcW w:w="765" w:type="dxa"/>
          </w:tcPr>
          <w:p w:rsidR="009B581C" w:rsidRDefault="00404602">
            <w:pPr>
              <w:spacing w:line="360" w:lineRule="auto"/>
              <w:jc w:val="center"/>
              <w:rPr>
                <w:rFonts w:eastAsiaTheme="minorEastAsia"/>
                <w:color w:val="000000"/>
                <w:szCs w:val="21"/>
              </w:rPr>
            </w:pPr>
            <w:r>
              <w:rPr>
                <w:rFonts w:eastAsiaTheme="minorEastAsia"/>
                <w:color w:val="000000"/>
                <w:szCs w:val="21"/>
              </w:rPr>
              <w:t>4</w:t>
            </w:r>
          </w:p>
        </w:tc>
        <w:tc>
          <w:tcPr>
            <w:tcW w:w="4117" w:type="dxa"/>
          </w:tcPr>
          <w:p w:rsidR="009B581C" w:rsidRDefault="00404602">
            <w:pPr>
              <w:spacing w:line="360" w:lineRule="auto"/>
              <w:ind w:leftChars="50" w:left="105"/>
              <w:rPr>
                <w:rFonts w:eastAsiaTheme="minorEastAsia"/>
                <w:color w:val="000000"/>
                <w:szCs w:val="21"/>
              </w:rPr>
            </w:pPr>
            <w:r>
              <w:rPr>
                <w:rFonts w:eastAsiaTheme="minorEastAsia"/>
                <w:color w:val="000000"/>
                <w:szCs w:val="21"/>
              </w:rPr>
              <w:t>应收利息</w:t>
            </w:r>
          </w:p>
        </w:tc>
        <w:tc>
          <w:tcPr>
            <w:tcW w:w="4118" w:type="dxa"/>
            <w:vAlign w:val="center"/>
          </w:tcPr>
          <w:p w:rsidR="009B581C" w:rsidRDefault="00404602">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483.26</w:t>
            </w:r>
          </w:p>
        </w:tc>
      </w:tr>
      <w:tr w:rsidR="009B581C">
        <w:tc>
          <w:tcPr>
            <w:tcW w:w="765" w:type="dxa"/>
          </w:tcPr>
          <w:p w:rsidR="009B581C" w:rsidRDefault="00404602">
            <w:pPr>
              <w:spacing w:line="360" w:lineRule="auto"/>
              <w:jc w:val="center"/>
              <w:rPr>
                <w:rFonts w:eastAsiaTheme="minorEastAsia"/>
                <w:color w:val="000000"/>
                <w:szCs w:val="21"/>
              </w:rPr>
            </w:pPr>
            <w:r>
              <w:rPr>
                <w:rFonts w:eastAsiaTheme="minorEastAsia"/>
                <w:color w:val="000000"/>
                <w:szCs w:val="21"/>
              </w:rPr>
              <w:t>5</w:t>
            </w:r>
          </w:p>
        </w:tc>
        <w:tc>
          <w:tcPr>
            <w:tcW w:w="4117" w:type="dxa"/>
          </w:tcPr>
          <w:p w:rsidR="009B581C" w:rsidRDefault="00404602">
            <w:pPr>
              <w:spacing w:line="360" w:lineRule="auto"/>
              <w:ind w:leftChars="50" w:left="105"/>
              <w:rPr>
                <w:rFonts w:eastAsiaTheme="minorEastAsia"/>
                <w:color w:val="000000"/>
                <w:szCs w:val="21"/>
              </w:rPr>
            </w:pPr>
            <w:r>
              <w:rPr>
                <w:rFonts w:eastAsiaTheme="minorEastAsia"/>
                <w:color w:val="000000"/>
                <w:szCs w:val="21"/>
              </w:rPr>
              <w:t>应收申购款</w:t>
            </w:r>
          </w:p>
        </w:tc>
        <w:tc>
          <w:tcPr>
            <w:tcW w:w="4118" w:type="dxa"/>
            <w:vAlign w:val="center"/>
          </w:tcPr>
          <w:p w:rsidR="009B581C" w:rsidRDefault="00404602">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w:t>
            </w:r>
          </w:p>
        </w:tc>
      </w:tr>
      <w:tr w:rsidR="009B581C">
        <w:tc>
          <w:tcPr>
            <w:tcW w:w="765" w:type="dxa"/>
          </w:tcPr>
          <w:p w:rsidR="009B581C" w:rsidRDefault="00404602">
            <w:pPr>
              <w:spacing w:line="360" w:lineRule="auto"/>
              <w:jc w:val="center"/>
              <w:rPr>
                <w:rFonts w:eastAsiaTheme="minorEastAsia"/>
                <w:color w:val="000000"/>
                <w:szCs w:val="21"/>
              </w:rPr>
            </w:pPr>
            <w:r>
              <w:rPr>
                <w:rFonts w:eastAsiaTheme="minorEastAsia"/>
                <w:color w:val="000000"/>
                <w:szCs w:val="21"/>
              </w:rPr>
              <w:t>6</w:t>
            </w:r>
          </w:p>
        </w:tc>
        <w:tc>
          <w:tcPr>
            <w:tcW w:w="4117" w:type="dxa"/>
          </w:tcPr>
          <w:p w:rsidR="009B581C" w:rsidRDefault="00404602">
            <w:pPr>
              <w:spacing w:line="360" w:lineRule="auto"/>
              <w:ind w:leftChars="50" w:left="105"/>
              <w:rPr>
                <w:rFonts w:eastAsiaTheme="minorEastAsia"/>
                <w:color w:val="000000"/>
                <w:szCs w:val="21"/>
              </w:rPr>
            </w:pPr>
            <w:r>
              <w:rPr>
                <w:rFonts w:eastAsiaTheme="minorEastAsia"/>
                <w:color w:val="000000"/>
                <w:szCs w:val="21"/>
              </w:rPr>
              <w:t>其他应收款</w:t>
            </w:r>
          </w:p>
        </w:tc>
        <w:tc>
          <w:tcPr>
            <w:tcW w:w="4118" w:type="dxa"/>
            <w:vAlign w:val="center"/>
          </w:tcPr>
          <w:p w:rsidR="009B581C" w:rsidRDefault="00404602">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w:t>
            </w:r>
          </w:p>
        </w:tc>
      </w:tr>
      <w:tr w:rsidR="009B581C">
        <w:tc>
          <w:tcPr>
            <w:tcW w:w="765" w:type="dxa"/>
          </w:tcPr>
          <w:p w:rsidR="009B581C" w:rsidRDefault="00404602">
            <w:pPr>
              <w:spacing w:line="360" w:lineRule="auto"/>
              <w:jc w:val="center"/>
              <w:rPr>
                <w:rFonts w:eastAsiaTheme="minorEastAsia"/>
                <w:color w:val="000000"/>
                <w:szCs w:val="21"/>
              </w:rPr>
            </w:pPr>
            <w:r>
              <w:rPr>
                <w:rFonts w:eastAsiaTheme="minorEastAsia"/>
                <w:color w:val="000000"/>
                <w:szCs w:val="21"/>
              </w:rPr>
              <w:t>7</w:t>
            </w:r>
          </w:p>
        </w:tc>
        <w:tc>
          <w:tcPr>
            <w:tcW w:w="4117" w:type="dxa"/>
          </w:tcPr>
          <w:p w:rsidR="009B581C" w:rsidRDefault="00404602">
            <w:pPr>
              <w:spacing w:line="360" w:lineRule="auto"/>
              <w:ind w:leftChars="50" w:left="105"/>
              <w:rPr>
                <w:rFonts w:eastAsiaTheme="minorEastAsia"/>
                <w:color w:val="000000"/>
                <w:szCs w:val="21"/>
              </w:rPr>
            </w:pPr>
            <w:r>
              <w:rPr>
                <w:rFonts w:eastAsiaTheme="minorEastAsia"/>
                <w:color w:val="000000"/>
                <w:szCs w:val="21"/>
              </w:rPr>
              <w:t>待摊费用</w:t>
            </w:r>
          </w:p>
        </w:tc>
        <w:tc>
          <w:tcPr>
            <w:tcW w:w="4118" w:type="dxa"/>
            <w:vAlign w:val="center"/>
          </w:tcPr>
          <w:p w:rsidR="009B581C" w:rsidRDefault="00404602">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w:t>
            </w:r>
          </w:p>
        </w:tc>
      </w:tr>
      <w:tr w:rsidR="009B581C">
        <w:tc>
          <w:tcPr>
            <w:tcW w:w="765" w:type="dxa"/>
            <w:vAlign w:val="center"/>
          </w:tcPr>
          <w:p w:rsidR="009B581C" w:rsidRDefault="00404602">
            <w:pPr>
              <w:autoSpaceDE w:val="0"/>
              <w:autoSpaceDN w:val="0"/>
              <w:adjustRightInd w:val="0"/>
              <w:spacing w:before="29" w:line="360" w:lineRule="auto"/>
              <w:ind w:left="15"/>
              <w:jc w:val="center"/>
              <w:rPr>
                <w:rFonts w:eastAsiaTheme="minorEastAsia"/>
                <w:color w:val="000000"/>
                <w:szCs w:val="21"/>
              </w:rPr>
            </w:pPr>
            <w:r>
              <w:rPr>
                <w:rFonts w:eastAsiaTheme="minorEastAsia"/>
                <w:color w:val="000000"/>
                <w:szCs w:val="21"/>
              </w:rPr>
              <w:t>8</w:t>
            </w:r>
          </w:p>
        </w:tc>
        <w:tc>
          <w:tcPr>
            <w:tcW w:w="4117" w:type="dxa"/>
          </w:tcPr>
          <w:p w:rsidR="009B581C" w:rsidRDefault="00404602">
            <w:pPr>
              <w:spacing w:line="360" w:lineRule="auto"/>
              <w:ind w:leftChars="50" w:left="105"/>
              <w:rPr>
                <w:rFonts w:eastAsiaTheme="minorEastAsia"/>
                <w:color w:val="000000"/>
                <w:szCs w:val="21"/>
              </w:rPr>
            </w:pPr>
            <w:r>
              <w:rPr>
                <w:rFonts w:eastAsiaTheme="minorEastAsia"/>
                <w:color w:val="000000"/>
                <w:szCs w:val="21"/>
              </w:rPr>
              <w:t>其他</w:t>
            </w:r>
          </w:p>
        </w:tc>
        <w:tc>
          <w:tcPr>
            <w:tcW w:w="4118" w:type="dxa"/>
            <w:vAlign w:val="center"/>
          </w:tcPr>
          <w:p w:rsidR="009B581C" w:rsidRDefault="00404602">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w:t>
            </w:r>
          </w:p>
        </w:tc>
      </w:tr>
      <w:tr w:rsidR="009B581C">
        <w:tc>
          <w:tcPr>
            <w:tcW w:w="765" w:type="dxa"/>
            <w:vAlign w:val="center"/>
          </w:tcPr>
          <w:p w:rsidR="009B581C" w:rsidRDefault="00404602">
            <w:pPr>
              <w:autoSpaceDE w:val="0"/>
              <w:autoSpaceDN w:val="0"/>
              <w:adjustRightInd w:val="0"/>
              <w:spacing w:before="29" w:line="360" w:lineRule="auto"/>
              <w:ind w:left="15"/>
              <w:jc w:val="center"/>
              <w:rPr>
                <w:rFonts w:eastAsiaTheme="minorEastAsia"/>
                <w:color w:val="000000"/>
                <w:szCs w:val="21"/>
              </w:rPr>
            </w:pPr>
            <w:r>
              <w:rPr>
                <w:rFonts w:eastAsiaTheme="minorEastAsia"/>
                <w:color w:val="000000"/>
                <w:szCs w:val="21"/>
              </w:rPr>
              <w:t>9</w:t>
            </w:r>
          </w:p>
        </w:tc>
        <w:tc>
          <w:tcPr>
            <w:tcW w:w="4117" w:type="dxa"/>
          </w:tcPr>
          <w:p w:rsidR="009B581C" w:rsidRDefault="00404602">
            <w:pPr>
              <w:spacing w:line="360" w:lineRule="auto"/>
              <w:ind w:leftChars="50" w:left="105"/>
              <w:rPr>
                <w:rFonts w:eastAsiaTheme="minorEastAsia"/>
                <w:color w:val="000000"/>
                <w:szCs w:val="21"/>
              </w:rPr>
            </w:pPr>
            <w:r>
              <w:rPr>
                <w:rFonts w:eastAsiaTheme="minorEastAsia"/>
                <w:color w:val="000000"/>
                <w:szCs w:val="21"/>
              </w:rPr>
              <w:t>合计</w:t>
            </w:r>
          </w:p>
        </w:tc>
        <w:tc>
          <w:tcPr>
            <w:tcW w:w="4118" w:type="dxa"/>
            <w:vAlign w:val="center"/>
          </w:tcPr>
          <w:p w:rsidR="009B581C" w:rsidRDefault="00404602">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16,495.11</w:t>
            </w:r>
          </w:p>
        </w:tc>
      </w:tr>
    </w:tbl>
    <w:p w:rsidR="009B581C" w:rsidRDefault="00404602" w:rsidP="006A74CC">
      <w:pPr>
        <w:spacing w:beforeLines="100" w:line="360" w:lineRule="auto"/>
        <w:rPr>
          <w:rFonts w:eastAsiaTheme="minorEastAsia"/>
          <w:b/>
          <w:bCs/>
          <w:color w:val="000000"/>
          <w:szCs w:val="21"/>
        </w:rPr>
      </w:pPr>
      <w:r>
        <w:rPr>
          <w:rFonts w:eastAsiaTheme="minorEastAsia"/>
          <w:b/>
          <w:color w:val="000000"/>
          <w:szCs w:val="21"/>
        </w:rPr>
        <w:t xml:space="preserve">8.12.4 </w:t>
      </w:r>
      <w:r>
        <w:rPr>
          <w:rFonts w:eastAsiaTheme="minorEastAsia"/>
          <w:b/>
          <w:bCs/>
          <w:color w:val="000000"/>
          <w:szCs w:val="21"/>
        </w:rPr>
        <w:t>期末持有的处于转股期的可转换债券明细</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本基金本报告期末未持有处于转股期的可转换债券。</w:t>
      </w:r>
    </w:p>
    <w:p w:rsidR="009B581C" w:rsidRDefault="00404602" w:rsidP="006A74CC">
      <w:pPr>
        <w:spacing w:beforeLines="100" w:line="360" w:lineRule="auto"/>
        <w:rPr>
          <w:rFonts w:eastAsiaTheme="minorEastAsia"/>
          <w:b/>
          <w:bCs/>
          <w:color w:val="000000"/>
          <w:szCs w:val="21"/>
        </w:rPr>
      </w:pPr>
      <w:r>
        <w:rPr>
          <w:rFonts w:eastAsiaTheme="minorEastAsia"/>
          <w:b/>
          <w:color w:val="000000"/>
          <w:szCs w:val="21"/>
        </w:rPr>
        <w:t xml:space="preserve">8.12.5 </w:t>
      </w:r>
      <w:r>
        <w:rPr>
          <w:rFonts w:eastAsiaTheme="minorEastAsia"/>
          <w:b/>
          <w:bCs/>
          <w:color w:val="000000"/>
          <w:szCs w:val="21"/>
        </w:rPr>
        <w:t>期末前十名股票中存在流通受限情况的说明</w:t>
      </w:r>
    </w:p>
    <w:p w:rsidR="009B581C" w:rsidRDefault="00404602">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本基金本报告期末前十名股票中不存在流通受限情况。</w:t>
      </w:r>
    </w:p>
    <w:p w:rsidR="009B581C" w:rsidRDefault="00404602" w:rsidP="006A74CC">
      <w:pPr>
        <w:pStyle w:val="1"/>
        <w:keepNext/>
        <w:keepLines/>
        <w:widowControl w:val="0"/>
        <w:spacing w:beforeLines="100" w:afterLines="100" w:line="360" w:lineRule="auto"/>
        <w:jc w:val="center"/>
        <w:rPr>
          <w:rFonts w:eastAsiaTheme="minorEastAsia"/>
          <w:b/>
          <w:bCs/>
          <w:sz w:val="21"/>
          <w:szCs w:val="21"/>
          <w:lang w:val="en-US"/>
        </w:rPr>
      </w:pPr>
      <w:bookmarkStart w:id="75" w:name="_Toc225500050"/>
      <w:bookmarkStart w:id="76" w:name="_Toc361324888"/>
      <w:r>
        <w:rPr>
          <w:rFonts w:eastAsiaTheme="minorEastAsia"/>
          <w:b/>
          <w:bCs/>
          <w:sz w:val="21"/>
          <w:szCs w:val="21"/>
          <w:lang w:val="en-US"/>
        </w:rPr>
        <w:t xml:space="preserve">§9  </w:t>
      </w:r>
      <w:r>
        <w:rPr>
          <w:rFonts w:eastAsiaTheme="minorEastAsia"/>
          <w:b/>
          <w:bCs/>
          <w:sz w:val="21"/>
          <w:szCs w:val="21"/>
          <w:lang w:val="en-US"/>
        </w:rPr>
        <w:t>基金份额持有人信息</w:t>
      </w:r>
      <w:bookmarkEnd w:id="75"/>
      <w:bookmarkEnd w:id="76"/>
    </w:p>
    <w:p w:rsidR="009B581C" w:rsidRDefault="00404602" w:rsidP="006A74CC">
      <w:pPr>
        <w:pStyle w:val="2"/>
        <w:spacing w:beforeLines="100" w:after="0"/>
        <w:rPr>
          <w:rFonts w:ascii="Times New Roman" w:eastAsiaTheme="minorEastAsia" w:hAnsi="Times New Roman"/>
          <w:kern w:val="0"/>
          <w:sz w:val="21"/>
          <w:szCs w:val="21"/>
        </w:rPr>
      </w:pPr>
      <w:bookmarkStart w:id="77" w:name="_Toc361324889"/>
      <w:bookmarkStart w:id="78" w:name="_Toc225500051"/>
      <w:r>
        <w:rPr>
          <w:rFonts w:ascii="Times New Roman" w:eastAsiaTheme="minorEastAsia" w:hAnsi="Times New Roman"/>
          <w:kern w:val="0"/>
          <w:sz w:val="21"/>
          <w:szCs w:val="21"/>
        </w:rPr>
        <w:t xml:space="preserve">9.1 </w:t>
      </w:r>
      <w:r>
        <w:rPr>
          <w:rFonts w:ascii="Times New Roman" w:eastAsiaTheme="minorEastAsia" w:hAnsi="Times New Roman"/>
          <w:kern w:val="0"/>
          <w:sz w:val="21"/>
          <w:szCs w:val="21"/>
        </w:rPr>
        <w:t>期末基金份额持有人户数及持有人结构</w:t>
      </w:r>
      <w:bookmarkEnd w:id="77"/>
      <w:bookmarkEnd w:id="78"/>
    </w:p>
    <w:p w:rsidR="009B581C" w:rsidRDefault="00404602">
      <w:pPr>
        <w:autoSpaceDE w:val="0"/>
        <w:autoSpaceDN w:val="0"/>
        <w:adjustRightInd w:val="0"/>
        <w:spacing w:before="29" w:line="360" w:lineRule="auto"/>
        <w:ind w:left="15"/>
        <w:jc w:val="right"/>
        <w:rPr>
          <w:rFonts w:eastAsiaTheme="minorEastAsia"/>
          <w:color w:val="000000"/>
          <w:szCs w:val="21"/>
        </w:rPr>
      </w:pPr>
      <w:r>
        <w:rPr>
          <w:rFonts w:eastAsiaTheme="minorEastAsia"/>
          <w:color w:val="000000"/>
          <w:szCs w:val="21"/>
        </w:rPr>
        <w:t>份额单位：份</w:t>
      </w:r>
    </w:p>
    <w:p w:rsidR="009B581C" w:rsidRDefault="009B581C">
      <w:pPr>
        <w:autoSpaceDE w:val="0"/>
        <w:autoSpaceDN w:val="0"/>
        <w:adjustRightInd w:val="0"/>
        <w:spacing w:line="360" w:lineRule="auto"/>
        <w:jc w:val="left"/>
        <w:rPr>
          <w:rFonts w:eastAsiaTheme="minorEastAsia"/>
          <w:color w:val="000000"/>
          <w:szCs w:val="21"/>
        </w:rPr>
      </w:pPr>
    </w:p>
    <w:tbl>
      <w:tblPr>
        <w:tblW w:w="9286" w:type="dxa"/>
        <w:tblInd w:w="108" w:type="dxa"/>
        <w:tblLayout w:type="fixed"/>
        <w:tblLook w:val="04A0"/>
      </w:tblPr>
      <w:tblGrid>
        <w:gridCol w:w="1"/>
        <w:gridCol w:w="2049"/>
        <w:gridCol w:w="1463"/>
        <w:gridCol w:w="1756"/>
        <w:gridCol w:w="1129"/>
        <w:gridCol w:w="1793"/>
        <w:gridCol w:w="1095"/>
      </w:tblGrid>
      <w:tr w:rsidR="009B581C">
        <w:tc>
          <w:tcPr>
            <w:tcW w:w="1790" w:type="dxa"/>
            <w:hMerge w:val="restart"/>
            <w:vMerge w:val="restart"/>
            <w:tcBorders>
              <w:top w:val="single" w:sz="8" w:space="0" w:color="000000"/>
              <w:left w:val="single" w:sz="8" w:space="0" w:color="000000"/>
              <w:right w:val="single" w:sz="8" w:space="0" w:color="000000"/>
            </w:tcBorders>
            <w:vAlign w:val="center"/>
          </w:tcPr>
          <w:p w:rsidR="0077068F" w:rsidRDefault="006A74CC">
            <w:pPr>
              <w:jc w:val="center"/>
            </w:pPr>
            <w:r>
              <w:t>持有人户数</w:t>
            </w:r>
            <w:r>
              <w:t>(</w:t>
            </w:r>
            <w:r>
              <w:t>户</w:t>
            </w:r>
            <w:r>
              <w:t>)</w:t>
            </w:r>
          </w:p>
        </w:tc>
        <w:tc>
          <w:tcPr>
            <w:tcW w:w="1176" w:type="dxa"/>
            <w:hMerge/>
            <w:vMerge w:val="restart"/>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center"/>
              <w:rPr>
                <w:rFonts w:eastAsiaTheme="minorEastAsia"/>
                <w:bCs/>
                <w:color w:val="000000"/>
                <w:szCs w:val="21"/>
              </w:rPr>
            </w:pPr>
            <w:r>
              <w:rPr>
                <w:rFonts w:eastAsiaTheme="minorEastAsia"/>
                <w:bCs/>
                <w:color w:val="000000"/>
                <w:szCs w:val="21"/>
              </w:rPr>
              <w:t>持有人户数</w:t>
            </w:r>
            <w:r>
              <w:rPr>
                <w:rFonts w:eastAsiaTheme="minorEastAsia"/>
                <w:bCs/>
                <w:color w:val="000000"/>
                <w:szCs w:val="21"/>
              </w:rPr>
              <w:t>(</w:t>
            </w:r>
            <w:r>
              <w:rPr>
                <w:rFonts w:eastAsiaTheme="minorEastAsia"/>
                <w:bCs/>
                <w:color w:val="000000"/>
                <w:szCs w:val="21"/>
              </w:rPr>
              <w:t>户</w:t>
            </w:r>
            <w:r>
              <w:rPr>
                <w:rFonts w:eastAsiaTheme="minorEastAsia"/>
                <w:bCs/>
                <w:color w:val="000000"/>
                <w:szCs w:val="21"/>
              </w:rP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center"/>
              <w:rPr>
                <w:rFonts w:eastAsiaTheme="minorEastAsia"/>
                <w:bCs/>
                <w:color w:val="000000"/>
                <w:szCs w:val="21"/>
              </w:rPr>
            </w:pPr>
            <w:r>
              <w:rPr>
                <w:rFonts w:eastAsiaTheme="minorEastAsia"/>
                <w:bCs/>
                <w:color w:val="000000"/>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9B581C" w:rsidRDefault="00404602">
            <w:pPr>
              <w:spacing w:line="360" w:lineRule="auto"/>
              <w:jc w:val="center"/>
              <w:rPr>
                <w:rFonts w:eastAsiaTheme="minorEastAsia"/>
                <w:bCs/>
                <w:color w:val="000000"/>
                <w:szCs w:val="21"/>
              </w:rPr>
            </w:pPr>
            <w:r>
              <w:rPr>
                <w:rFonts w:eastAsiaTheme="minorEastAsia"/>
                <w:bCs/>
                <w:color w:val="000000"/>
                <w:szCs w:val="21"/>
              </w:rPr>
              <w:t>持有人结构</w:t>
            </w:r>
          </w:p>
        </w:tc>
      </w:tr>
      <w:tr w:rsidR="009B581C">
        <w:tc>
          <w:tcPr>
            <w:tcW w:w="1790" w:type="dxa"/>
            <w:hMerge w:val="restart"/>
            <w:vMerge/>
            <w:tcBorders>
              <w:left w:val="single" w:sz="8" w:space="0" w:color="000000"/>
              <w:right w:val="single" w:sz="8" w:space="0" w:color="000000"/>
            </w:tcBorders>
          </w:tcPr>
          <w:p w:rsidR="0077068F" w:rsidRDefault="0077068F">
            <w:pPr>
              <w:jc w:val="left"/>
            </w:pPr>
          </w:p>
        </w:tc>
        <w:tc>
          <w:tcPr>
            <w:tcW w:w="1176" w:type="dxa"/>
            <w:hMerge/>
            <w:vMerge/>
            <w:tcBorders>
              <w:top w:val="single" w:sz="8" w:space="0" w:color="000000"/>
              <w:left w:val="single" w:sz="8" w:space="0" w:color="000000"/>
              <w:bottom w:val="single" w:sz="8" w:space="0" w:color="000000"/>
              <w:right w:val="single" w:sz="8" w:space="0" w:color="000000"/>
            </w:tcBorders>
            <w:vAlign w:val="center"/>
          </w:tcPr>
          <w:p w:rsidR="009B581C" w:rsidRDefault="009B581C">
            <w:pPr>
              <w:widowControl/>
              <w:spacing w:line="360" w:lineRule="auto"/>
              <w:jc w:val="left"/>
              <w:rPr>
                <w:rFonts w:eastAsiaTheme="minorEastAsia"/>
                <w:bCs/>
                <w:color w:val="000000"/>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9B581C" w:rsidRDefault="009B581C">
            <w:pPr>
              <w:widowControl/>
              <w:spacing w:line="360" w:lineRule="auto"/>
              <w:jc w:val="left"/>
              <w:rPr>
                <w:rFonts w:eastAsiaTheme="minorEastAsia"/>
                <w:bCs/>
                <w:color w:val="000000"/>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center"/>
              <w:rPr>
                <w:rFonts w:eastAsiaTheme="minorEastAsia"/>
                <w:bCs/>
                <w:color w:val="000000"/>
                <w:szCs w:val="21"/>
              </w:rPr>
            </w:pPr>
            <w:r>
              <w:rPr>
                <w:rFonts w:eastAsiaTheme="minorEastAsia"/>
                <w:bCs/>
                <w:color w:val="000000"/>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center"/>
              <w:rPr>
                <w:rFonts w:eastAsiaTheme="minorEastAsia"/>
                <w:bCs/>
                <w:color w:val="000000"/>
                <w:szCs w:val="21"/>
              </w:rPr>
            </w:pPr>
            <w:r>
              <w:rPr>
                <w:rFonts w:eastAsiaTheme="minorEastAsia"/>
                <w:bCs/>
                <w:color w:val="000000"/>
                <w:szCs w:val="21"/>
              </w:rPr>
              <w:t>个人投资者</w:t>
            </w:r>
          </w:p>
        </w:tc>
      </w:tr>
      <w:tr w:rsidR="009B581C">
        <w:tc>
          <w:tcPr>
            <w:tcW w:w="1790" w:type="dxa"/>
            <w:hMerge w:val="restart"/>
            <w:vMerge/>
            <w:tcBorders>
              <w:left w:val="single" w:sz="8" w:space="0" w:color="000000"/>
              <w:bottom w:val="single" w:sz="8" w:space="0" w:color="000000"/>
              <w:right w:val="single" w:sz="8" w:space="0" w:color="000000"/>
            </w:tcBorders>
          </w:tcPr>
          <w:p w:rsidR="0077068F" w:rsidRDefault="0077068F">
            <w:pPr>
              <w:jc w:val="left"/>
            </w:pPr>
          </w:p>
        </w:tc>
        <w:tc>
          <w:tcPr>
            <w:tcW w:w="1176" w:type="dxa"/>
            <w:hMerge/>
            <w:vMerge/>
            <w:tcBorders>
              <w:top w:val="single" w:sz="8" w:space="0" w:color="000000"/>
              <w:left w:val="single" w:sz="8" w:space="0" w:color="000000"/>
              <w:bottom w:val="single" w:sz="8" w:space="0" w:color="000000"/>
              <w:right w:val="single" w:sz="8" w:space="0" w:color="000000"/>
            </w:tcBorders>
            <w:vAlign w:val="center"/>
          </w:tcPr>
          <w:p w:rsidR="009B581C" w:rsidRDefault="009B581C">
            <w:pPr>
              <w:widowControl/>
              <w:spacing w:line="360" w:lineRule="auto"/>
              <w:jc w:val="left"/>
              <w:rPr>
                <w:rFonts w:eastAsiaTheme="minorEastAsia"/>
                <w:bCs/>
                <w:color w:val="000000"/>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9B581C" w:rsidRDefault="009B581C">
            <w:pPr>
              <w:widowControl/>
              <w:spacing w:line="360" w:lineRule="auto"/>
              <w:jc w:val="left"/>
              <w:rPr>
                <w:rFonts w:eastAsiaTheme="minorEastAsia"/>
                <w:bCs/>
                <w:color w:val="000000"/>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center"/>
              <w:rPr>
                <w:rFonts w:eastAsiaTheme="minorEastAsia"/>
                <w:bCs/>
                <w:color w:val="000000"/>
                <w:szCs w:val="21"/>
              </w:rPr>
            </w:pPr>
            <w:r>
              <w:rPr>
                <w:rFonts w:eastAsiaTheme="minorEastAsia"/>
                <w:bCs/>
                <w:color w:val="000000"/>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center"/>
              <w:rPr>
                <w:rFonts w:eastAsiaTheme="minorEastAsia"/>
                <w:bCs/>
                <w:color w:val="000000"/>
                <w:szCs w:val="21"/>
              </w:rPr>
            </w:pPr>
            <w:r>
              <w:rPr>
                <w:rFonts w:eastAsiaTheme="minorEastAsia"/>
                <w:bCs/>
                <w:color w:val="000000"/>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center"/>
              <w:rPr>
                <w:rFonts w:eastAsiaTheme="minorEastAsia"/>
                <w:bCs/>
                <w:color w:val="000000"/>
                <w:szCs w:val="21"/>
              </w:rPr>
            </w:pPr>
            <w:r>
              <w:rPr>
                <w:rFonts w:eastAsiaTheme="minorEastAsia"/>
                <w:bCs/>
                <w:color w:val="000000"/>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9B581C" w:rsidRDefault="00404602">
            <w:pPr>
              <w:spacing w:line="360" w:lineRule="auto"/>
              <w:jc w:val="center"/>
              <w:rPr>
                <w:rFonts w:eastAsiaTheme="minorEastAsia"/>
                <w:bCs/>
                <w:color w:val="000000"/>
                <w:szCs w:val="21"/>
              </w:rPr>
            </w:pPr>
            <w:r>
              <w:rPr>
                <w:rFonts w:eastAsiaTheme="minorEastAsia"/>
                <w:bCs/>
                <w:color w:val="000000"/>
                <w:szCs w:val="21"/>
              </w:rPr>
              <w:t>占总份额比例</w:t>
            </w:r>
          </w:p>
        </w:tc>
      </w:tr>
      <w:tr w:rsidR="009B581C">
        <w:tc>
          <w:tcPr>
            <w:tcW w:w="1790" w:type="dxa"/>
            <w:hMerge w:val="restart"/>
            <w:tcBorders>
              <w:top w:val="single" w:sz="8" w:space="0" w:color="000000"/>
              <w:left w:val="single" w:sz="8" w:space="0" w:color="000000"/>
              <w:bottom w:val="single" w:sz="8" w:space="0" w:color="000000"/>
              <w:right w:val="single" w:sz="8" w:space="0" w:color="000000"/>
            </w:tcBorders>
          </w:tcPr>
          <w:p w:rsidR="0077068F" w:rsidRDefault="006A74CC">
            <w:pPr>
              <w:jc w:val="center"/>
            </w:pPr>
            <w:r>
              <w:rPr>
                <w:rFonts w:eastAsiaTheme="minorEastAsia"/>
                <w:bCs/>
                <w:color w:val="000000"/>
                <w:szCs w:val="21"/>
              </w:rPr>
              <w:t>260</w:t>
            </w:r>
          </w:p>
        </w:tc>
        <w:tc>
          <w:tcPr>
            <w:tcW w:w="1176" w:type="dxa"/>
            <w:hMerge/>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center"/>
              <w:rPr>
                <w:rFonts w:eastAsiaTheme="minorEastAsia"/>
                <w:bCs/>
                <w:color w:val="000000"/>
                <w:szCs w:val="21"/>
              </w:rPr>
            </w:pPr>
            <w:r>
              <w:rPr>
                <w:rFonts w:eastAsiaTheme="minorEastAsia"/>
                <w:bCs/>
                <w:color w:val="000000"/>
                <w:szCs w:val="21"/>
              </w:rPr>
              <w:t>260</w:t>
            </w:r>
          </w:p>
        </w:tc>
        <w:tc>
          <w:tcPr>
            <w:tcW w:w="1278" w:type="dxa"/>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right"/>
              <w:rPr>
                <w:rFonts w:eastAsiaTheme="minorEastAsia"/>
                <w:bCs/>
                <w:color w:val="000000"/>
                <w:szCs w:val="21"/>
              </w:rPr>
            </w:pPr>
            <w:r>
              <w:rPr>
                <w:rFonts w:eastAsiaTheme="minorEastAsia"/>
                <w:bCs/>
                <w:color w:val="000000"/>
                <w:szCs w:val="21"/>
              </w:rPr>
              <w:t>16,598.59</w:t>
            </w:r>
          </w:p>
        </w:tc>
        <w:tc>
          <w:tcPr>
            <w:tcW w:w="1534" w:type="dxa"/>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right"/>
              <w:rPr>
                <w:rFonts w:eastAsiaTheme="minorEastAsia"/>
                <w:bCs/>
                <w:color w:val="000000"/>
                <w:szCs w:val="21"/>
              </w:rPr>
            </w:pPr>
            <w:r>
              <w:rPr>
                <w:rFonts w:eastAsiaTheme="minorEastAsia"/>
                <w:bCs/>
                <w:color w:val="000000"/>
                <w:szCs w:val="21"/>
              </w:rPr>
              <w:t>0.00</w:t>
            </w:r>
          </w:p>
        </w:tc>
        <w:tc>
          <w:tcPr>
            <w:tcW w:w="986" w:type="dxa"/>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right"/>
              <w:rPr>
                <w:rFonts w:eastAsiaTheme="minorEastAsia"/>
                <w:bCs/>
                <w:color w:val="000000"/>
                <w:szCs w:val="21"/>
              </w:rPr>
            </w:pPr>
            <w:r>
              <w:rPr>
                <w:rFonts w:eastAsiaTheme="minorEastAsia"/>
                <w:bCs/>
                <w:color w:val="000000"/>
                <w:szCs w:val="21"/>
              </w:rPr>
              <w:t>0.00%</w:t>
            </w:r>
          </w:p>
        </w:tc>
        <w:tc>
          <w:tcPr>
            <w:tcW w:w="1566" w:type="dxa"/>
            <w:tcBorders>
              <w:top w:val="single" w:sz="8" w:space="0" w:color="000000"/>
              <w:left w:val="single" w:sz="8" w:space="0" w:color="000000"/>
              <w:bottom w:val="single" w:sz="8" w:space="0" w:color="000000"/>
              <w:right w:val="single" w:sz="8" w:space="0" w:color="000000"/>
            </w:tcBorders>
            <w:vAlign w:val="center"/>
          </w:tcPr>
          <w:p w:rsidR="009B581C" w:rsidRDefault="00404602">
            <w:pPr>
              <w:spacing w:line="360" w:lineRule="auto"/>
              <w:jc w:val="right"/>
              <w:rPr>
                <w:rFonts w:eastAsiaTheme="minorEastAsia"/>
                <w:bCs/>
                <w:color w:val="000000"/>
                <w:szCs w:val="21"/>
              </w:rPr>
            </w:pPr>
            <w:r>
              <w:rPr>
                <w:rFonts w:eastAsiaTheme="minorEastAsia"/>
                <w:bCs/>
                <w:color w:val="000000"/>
                <w:szCs w:val="21"/>
              </w:rPr>
              <w:t>4,315,634.00</w:t>
            </w:r>
          </w:p>
        </w:tc>
        <w:tc>
          <w:tcPr>
            <w:tcW w:w="956" w:type="dxa"/>
            <w:tcBorders>
              <w:top w:val="single" w:sz="8" w:space="0" w:color="000000"/>
              <w:left w:val="single" w:sz="8" w:space="0" w:color="000000"/>
              <w:bottom w:val="single" w:sz="8" w:space="0" w:color="000000"/>
              <w:right w:val="single" w:sz="4" w:space="0" w:color="auto"/>
            </w:tcBorders>
            <w:vAlign w:val="center"/>
          </w:tcPr>
          <w:p w:rsidR="009B581C" w:rsidRDefault="00404602">
            <w:pPr>
              <w:spacing w:line="360" w:lineRule="auto"/>
              <w:jc w:val="right"/>
              <w:rPr>
                <w:rFonts w:eastAsiaTheme="minorEastAsia"/>
                <w:bCs/>
                <w:color w:val="000000"/>
                <w:szCs w:val="21"/>
              </w:rPr>
            </w:pPr>
            <w:r>
              <w:rPr>
                <w:rFonts w:eastAsiaTheme="minorEastAsia"/>
                <w:bCs/>
                <w:color w:val="000000"/>
                <w:szCs w:val="21"/>
              </w:rPr>
              <w:t>100.00%</w:t>
            </w:r>
          </w:p>
        </w:tc>
      </w:tr>
    </w:tbl>
    <w:p w:rsidR="009B581C" w:rsidRDefault="00404602">
      <w:pPr>
        <w:autoSpaceDE w:val="0"/>
        <w:autoSpaceDN w:val="0"/>
        <w:adjustRightInd w:val="0"/>
        <w:spacing w:line="360" w:lineRule="auto"/>
        <w:ind w:firstLineChars="200" w:firstLine="420"/>
        <w:jc w:val="left"/>
        <w:rPr>
          <w:rFonts w:eastAsiaTheme="minorEastAsia"/>
          <w:color w:val="000000"/>
          <w:szCs w:val="21"/>
        </w:rPr>
      </w:pPr>
      <w:r>
        <w:rPr>
          <w:rFonts w:eastAsiaTheme="minorEastAsia"/>
          <w:color w:val="000000"/>
          <w:szCs w:val="21"/>
        </w:rPr>
        <w:t>注：已包含场外持有人。</w:t>
      </w:r>
    </w:p>
    <w:p w:rsidR="009B581C" w:rsidRDefault="00404602" w:rsidP="006A74CC">
      <w:pPr>
        <w:pStyle w:val="2"/>
        <w:spacing w:beforeLines="100" w:after="0"/>
        <w:rPr>
          <w:rFonts w:ascii="Times New Roman" w:eastAsiaTheme="minorEastAsia" w:hAnsi="Times New Roman"/>
          <w:kern w:val="0"/>
          <w:sz w:val="21"/>
          <w:szCs w:val="21"/>
        </w:rPr>
      </w:pPr>
      <w:bookmarkStart w:id="79" w:name="_Toc361324891"/>
      <w:r>
        <w:rPr>
          <w:rFonts w:ascii="Times New Roman" w:eastAsiaTheme="minorEastAsia" w:hAnsi="Times New Roman"/>
          <w:kern w:val="0"/>
          <w:sz w:val="21"/>
          <w:szCs w:val="21"/>
        </w:rPr>
        <w:t xml:space="preserve">9.2 </w:t>
      </w:r>
      <w:r>
        <w:rPr>
          <w:rFonts w:ascii="Times New Roman" w:eastAsiaTheme="minorEastAsia" w:hAnsi="Times New Roman"/>
          <w:kern w:val="0"/>
          <w:sz w:val="21"/>
          <w:szCs w:val="21"/>
        </w:rPr>
        <w:t>期末基金管理人的从业人员持有本基金的情况</w:t>
      </w:r>
      <w:bookmarkEnd w:id="7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3012"/>
        <w:gridCol w:w="2160"/>
      </w:tblGrid>
      <w:tr w:rsidR="009B581C">
        <w:tc>
          <w:tcPr>
            <w:tcW w:w="3828" w:type="dxa"/>
            <w:vAlign w:val="center"/>
          </w:tcPr>
          <w:p w:rsidR="009B581C" w:rsidRDefault="00404602">
            <w:pPr>
              <w:widowControl/>
              <w:spacing w:line="360" w:lineRule="auto"/>
              <w:jc w:val="center"/>
              <w:rPr>
                <w:rFonts w:eastAsiaTheme="minorEastAsia"/>
                <w:color w:val="000000"/>
                <w:kern w:val="0"/>
                <w:szCs w:val="21"/>
              </w:rPr>
            </w:pPr>
            <w:r>
              <w:rPr>
                <w:rFonts w:eastAsiaTheme="minorEastAsia"/>
                <w:color w:val="000000"/>
                <w:kern w:val="0"/>
                <w:szCs w:val="21"/>
              </w:rPr>
              <w:t>项目</w:t>
            </w:r>
          </w:p>
        </w:tc>
        <w:tc>
          <w:tcPr>
            <w:tcW w:w="3012" w:type="dxa"/>
            <w:vAlign w:val="center"/>
          </w:tcPr>
          <w:p w:rsidR="009B581C" w:rsidRDefault="00404602">
            <w:pPr>
              <w:widowControl/>
              <w:spacing w:line="360" w:lineRule="auto"/>
              <w:jc w:val="center"/>
              <w:rPr>
                <w:rFonts w:eastAsiaTheme="minorEastAsia"/>
                <w:color w:val="000000"/>
                <w:kern w:val="0"/>
                <w:szCs w:val="21"/>
              </w:rPr>
            </w:pPr>
            <w:r>
              <w:rPr>
                <w:rFonts w:eastAsiaTheme="minorEastAsia"/>
                <w:color w:val="000000"/>
                <w:kern w:val="0"/>
                <w:szCs w:val="21"/>
              </w:rPr>
              <w:t>持有份额总数（份）</w:t>
            </w:r>
          </w:p>
        </w:tc>
        <w:tc>
          <w:tcPr>
            <w:tcW w:w="2160" w:type="dxa"/>
            <w:vAlign w:val="center"/>
          </w:tcPr>
          <w:p w:rsidR="009B581C" w:rsidRDefault="00404602">
            <w:pPr>
              <w:widowControl/>
              <w:spacing w:line="360" w:lineRule="auto"/>
              <w:jc w:val="center"/>
              <w:rPr>
                <w:rFonts w:eastAsiaTheme="minorEastAsia"/>
                <w:color w:val="000000"/>
                <w:kern w:val="0"/>
                <w:szCs w:val="21"/>
              </w:rPr>
            </w:pPr>
            <w:r>
              <w:rPr>
                <w:rFonts w:eastAsiaTheme="minorEastAsia"/>
                <w:color w:val="000000"/>
                <w:kern w:val="0"/>
                <w:szCs w:val="21"/>
              </w:rPr>
              <w:t>占基金总份额比例</w:t>
            </w:r>
          </w:p>
        </w:tc>
      </w:tr>
      <w:tr w:rsidR="009B581C">
        <w:tc>
          <w:tcPr>
            <w:tcW w:w="3828" w:type="dxa"/>
            <w:vAlign w:val="center"/>
          </w:tcPr>
          <w:p w:rsidR="009B581C" w:rsidRDefault="00404602">
            <w:pPr>
              <w:spacing w:line="360" w:lineRule="auto"/>
              <w:jc w:val="left"/>
              <w:rPr>
                <w:rFonts w:eastAsiaTheme="minorEastAsia"/>
                <w:color w:val="000000"/>
                <w:szCs w:val="21"/>
              </w:rPr>
            </w:pPr>
            <w:r>
              <w:rPr>
                <w:rFonts w:eastAsiaTheme="minorEastAsia"/>
                <w:color w:val="000000"/>
                <w:szCs w:val="21"/>
              </w:rPr>
              <w:t>基金管理人所有从业人员持有本基金</w:t>
            </w:r>
          </w:p>
        </w:tc>
        <w:tc>
          <w:tcPr>
            <w:tcW w:w="3012" w:type="dxa"/>
            <w:vAlign w:val="center"/>
          </w:tcPr>
          <w:p w:rsidR="009B581C" w:rsidRDefault="00404602">
            <w:pPr>
              <w:widowControl/>
              <w:spacing w:line="360" w:lineRule="auto"/>
              <w:jc w:val="right"/>
              <w:rPr>
                <w:rFonts w:eastAsiaTheme="minorEastAsia"/>
                <w:color w:val="000000"/>
                <w:kern w:val="0"/>
                <w:szCs w:val="21"/>
              </w:rPr>
            </w:pPr>
            <w:r>
              <w:rPr>
                <w:rFonts w:eastAsiaTheme="minorEastAsia"/>
                <w:color w:val="000000"/>
                <w:kern w:val="0"/>
                <w:szCs w:val="21"/>
              </w:rPr>
              <w:t>0.00</w:t>
            </w:r>
          </w:p>
        </w:tc>
        <w:tc>
          <w:tcPr>
            <w:tcW w:w="2160" w:type="dxa"/>
            <w:vAlign w:val="center"/>
          </w:tcPr>
          <w:p w:rsidR="009B581C" w:rsidRDefault="00404602">
            <w:pPr>
              <w:widowControl/>
              <w:spacing w:line="360" w:lineRule="auto"/>
              <w:jc w:val="right"/>
              <w:rPr>
                <w:rFonts w:eastAsiaTheme="minorEastAsia"/>
                <w:color w:val="000000"/>
                <w:kern w:val="0"/>
                <w:szCs w:val="21"/>
              </w:rPr>
            </w:pPr>
            <w:r>
              <w:rPr>
                <w:rFonts w:eastAsiaTheme="minorEastAsia"/>
                <w:color w:val="000000"/>
                <w:kern w:val="0"/>
                <w:szCs w:val="21"/>
              </w:rPr>
              <w:t>0.0000%</w:t>
            </w:r>
          </w:p>
        </w:tc>
      </w:tr>
    </w:tbl>
    <w:p w:rsidR="009B581C" w:rsidRDefault="00404602" w:rsidP="006A74CC">
      <w:pPr>
        <w:pStyle w:val="2"/>
        <w:spacing w:beforeLines="100" w:after="0"/>
        <w:rPr>
          <w:rFonts w:ascii="Times New Roman" w:eastAsiaTheme="minorEastAsia" w:hAnsi="Times New Roman"/>
          <w:kern w:val="0"/>
          <w:sz w:val="21"/>
          <w:szCs w:val="21"/>
        </w:rPr>
      </w:pPr>
      <w:r>
        <w:rPr>
          <w:rFonts w:ascii="Times New Roman" w:eastAsiaTheme="minorEastAsia" w:hAnsi="Times New Roman"/>
          <w:kern w:val="0"/>
          <w:sz w:val="21"/>
          <w:szCs w:val="21"/>
        </w:rPr>
        <w:t>9.3</w:t>
      </w:r>
      <w:r>
        <w:rPr>
          <w:rFonts w:ascii="Times New Roman" w:eastAsiaTheme="minorEastAsia" w:hAnsi="Times New Roman"/>
          <w:kern w:val="0"/>
          <w:sz w:val="21"/>
          <w:szCs w:val="21"/>
        </w:rPr>
        <w:t>期末基金管理人的从业人员持有本开放式基金份额总量区间的情况</w:t>
      </w:r>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6095"/>
      </w:tblGrid>
      <w:tr w:rsidR="009B581C">
        <w:trPr>
          <w:trHeight w:val="285"/>
        </w:trPr>
        <w:tc>
          <w:tcPr>
            <w:tcW w:w="3369" w:type="dxa"/>
            <w:shd w:val="clear" w:color="auto" w:fill="auto"/>
            <w:tcMar>
              <w:top w:w="0" w:type="dxa"/>
              <w:left w:w="108" w:type="dxa"/>
              <w:bottom w:w="0" w:type="dxa"/>
              <w:right w:w="108" w:type="dxa"/>
            </w:tcMar>
            <w:vAlign w:val="center"/>
          </w:tcPr>
          <w:p w:rsidR="009B581C" w:rsidRDefault="00404602">
            <w:pPr>
              <w:widowControl/>
              <w:jc w:val="center"/>
              <w:rPr>
                <w:rFonts w:eastAsiaTheme="minorEastAsia"/>
                <w:kern w:val="0"/>
                <w:szCs w:val="21"/>
              </w:rPr>
            </w:pPr>
            <w:r>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9B581C" w:rsidRDefault="00404602">
            <w:pPr>
              <w:widowControl/>
              <w:jc w:val="center"/>
              <w:rPr>
                <w:rFonts w:eastAsiaTheme="minorEastAsia"/>
                <w:kern w:val="0"/>
                <w:szCs w:val="21"/>
              </w:rPr>
            </w:pPr>
            <w:r>
              <w:rPr>
                <w:rFonts w:eastAsiaTheme="minorEastAsia"/>
                <w:kern w:val="0"/>
                <w:szCs w:val="21"/>
              </w:rPr>
              <w:t>持有基金份额总量的数量区间（万份）</w:t>
            </w:r>
          </w:p>
        </w:tc>
      </w:tr>
      <w:tr w:rsidR="009B581C">
        <w:trPr>
          <w:trHeight w:val="713"/>
        </w:trPr>
        <w:tc>
          <w:tcPr>
            <w:tcW w:w="3369" w:type="dxa"/>
            <w:shd w:val="clear" w:color="auto" w:fill="auto"/>
            <w:tcMar>
              <w:top w:w="0" w:type="dxa"/>
              <w:left w:w="108" w:type="dxa"/>
              <w:bottom w:w="0" w:type="dxa"/>
              <w:right w:w="108" w:type="dxa"/>
            </w:tcMar>
            <w:vAlign w:val="center"/>
          </w:tcPr>
          <w:p w:rsidR="009B581C" w:rsidRDefault="00404602">
            <w:pPr>
              <w:widowControl/>
              <w:jc w:val="left"/>
              <w:rPr>
                <w:rFonts w:eastAsiaTheme="minorEastAsia"/>
                <w:kern w:val="0"/>
                <w:szCs w:val="21"/>
              </w:rPr>
            </w:pPr>
            <w:r>
              <w:rPr>
                <w:rFonts w:eastAsiaTheme="minorEastAsia"/>
                <w:kern w:val="0"/>
                <w:szCs w:val="21"/>
              </w:rPr>
              <w:t>本公司高级管理人员、基金投资和研究部门负责人</w:t>
            </w:r>
            <w:r>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9B581C" w:rsidRDefault="00404602">
            <w:pPr>
              <w:widowControl/>
              <w:jc w:val="center"/>
              <w:rPr>
                <w:rFonts w:eastAsiaTheme="minorEastAsia"/>
                <w:kern w:val="0"/>
                <w:szCs w:val="21"/>
              </w:rPr>
            </w:pPr>
            <w:r>
              <w:rPr>
                <w:rFonts w:eastAsiaTheme="minorEastAsia"/>
                <w:kern w:val="0"/>
                <w:szCs w:val="21"/>
              </w:rPr>
              <w:t>0</w:t>
            </w:r>
          </w:p>
        </w:tc>
      </w:tr>
      <w:tr w:rsidR="009B581C">
        <w:trPr>
          <w:trHeight w:val="285"/>
        </w:trPr>
        <w:tc>
          <w:tcPr>
            <w:tcW w:w="3369" w:type="dxa"/>
            <w:shd w:val="clear" w:color="auto" w:fill="auto"/>
            <w:tcMar>
              <w:top w:w="0" w:type="dxa"/>
              <w:left w:w="108" w:type="dxa"/>
              <w:bottom w:w="0" w:type="dxa"/>
              <w:right w:w="108" w:type="dxa"/>
            </w:tcMar>
            <w:vAlign w:val="center"/>
          </w:tcPr>
          <w:p w:rsidR="009B581C" w:rsidRDefault="00404602">
            <w:pPr>
              <w:widowControl/>
              <w:jc w:val="left"/>
              <w:rPr>
                <w:rFonts w:eastAsiaTheme="minorEastAsia"/>
                <w:kern w:val="0"/>
                <w:szCs w:val="21"/>
              </w:rPr>
            </w:pPr>
            <w:r>
              <w:rPr>
                <w:rFonts w:eastAsiaTheme="minorEastAsia"/>
                <w:kern w:val="0"/>
                <w:szCs w:val="21"/>
              </w:rPr>
              <w:t>本基金基金经理</w:t>
            </w:r>
            <w:r>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9B581C" w:rsidRDefault="00404602">
            <w:pPr>
              <w:widowControl/>
              <w:jc w:val="center"/>
              <w:rPr>
                <w:rFonts w:eastAsiaTheme="minorEastAsia"/>
                <w:kern w:val="0"/>
                <w:szCs w:val="21"/>
              </w:rPr>
            </w:pPr>
            <w:r>
              <w:rPr>
                <w:rFonts w:eastAsiaTheme="minorEastAsia"/>
                <w:kern w:val="0"/>
                <w:szCs w:val="21"/>
              </w:rPr>
              <w:t>0</w:t>
            </w:r>
          </w:p>
        </w:tc>
      </w:tr>
    </w:tbl>
    <w:p w:rsidR="009B581C" w:rsidRDefault="00404602" w:rsidP="006A74CC">
      <w:pPr>
        <w:pStyle w:val="1"/>
        <w:keepNext/>
        <w:keepLines/>
        <w:widowControl w:val="0"/>
        <w:spacing w:beforeLines="100" w:afterLines="100" w:line="360" w:lineRule="auto"/>
        <w:jc w:val="center"/>
        <w:rPr>
          <w:rFonts w:eastAsiaTheme="minorEastAsia"/>
          <w:b/>
          <w:bCs/>
          <w:sz w:val="21"/>
          <w:szCs w:val="21"/>
          <w:lang w:val="en-US"/>
        </w:rPr>
      </w:pPr>
      <w:bookmarkStart w:id="80" w:name="_Toc225500053"/>
      <w:bookmarkStart w:id="81" w:name="_Toc361324892"/>
      <w:r>
        <w:rPr>
          <w:rFonts w:eastAsiaTheme="minorEastAsia"/>
          <w:b/>
          <w:bCs/>
          <w:sz w:val="21"/>
          <w:szCs w:val="21"/>
          <w:lang w:val="en-US"/>
        </w:rPr>
        <w:t xml:space="preserve">§10  </w:t>
      </w:r>
      <w:r>
        <w:rPr>
          <w:rFonts w:eastAsiaTheme="minorEastAsia"/>
          <w:b/>
          <w:bCs/>
          <w:sz w:val="21"/>
          <w:szCs w:val="21"/>
          <w:lang w:val="en-US"/>
        </w:rPr>
        <w:t>开放式基金份额变动</w:t>
      </w:r>
      <w:bookmarkEnd w:id="80"/>
      <w:bookmarkEnd w:id="81"/>
    </w:p>
    <w:p w:rsidR="009B581C" w:rsidRDefault="00404602">
      <w:pPr>
        <w:spacing w:line="360" w:lineRule="auto"/>
        <w:jc w:val="right"/>
        <w:rPr>
          <w:rFonts w:eastAsiaTheme="minorEastAsia"/>
          <w:szCs w:val="21"/>
        </w:rPr>
      </w:pPr>
      <w:r>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3508"/>
      </w:tblGrid>
      <w:tr w:rsidR="009B581C">
        <w:tc>
          <w:tcPr>
            <w:tcW w:w="5778" w:type="dxa"/>
            <w:vAlign w:val="center"/>
          </w:tcPr>
          <w:p w:rsidR="009B581C" w:rsidRDefault="00404602">
            <w:pPr>
              <w:spacing w:line="360" w:lineRule="auto"/>
              <w:rPr>
                <w:rFonts w:eastAsiaTheme="minorEastAsia"/>
                <w:szCs w:val="21"/>
              </w:rPr>
            </w:pPr>
            <w:r>
              <w:rPr>
                <w:rFonts w:eastAsiaTheme="minorEastAsia"/>
                <w:szCs w:val="21"/>
              </w:rPr>
              <w:t>基金合同生效日</w:t>
            </w:r>
            <w:r>
              <w:rPr>
                <w:rFonts w:eastAsiaTheme="minorEastAsia"/>
                <w:szCs w:val="21"/>
              </w:rPr>
              <w:t>(2015</w:t>
            </w:r>
            <w:r>
              <w:rPr>
                <w:rFonts w:eastAsiaTheme="minorEastAsia"/>
                <w:szCs w:val="21"/>
              </w:rPr>
              <w:t>年</w:t>
            </w:r>
            <w:r>
              <w:rPr>
                <w:rFonts w:eastAsiaTheme="minorEastAsia"/>
                <w:szCs w:val="21"/>
              </w:rPr>
              <w:t>7</w:t>
            </w:r>
            <w:r>
              <w:rPr>
                <w:rFonts w:eastAsiaTheme="minorEastAsia"/>
                <w:szCs w:val="21"/>
              </w:rPr>
              <w:t>月</w:t>
            </w:r>
            <w:r>
              <w:rPr>
                <w:rFonts w:eastAsiaTheme="minorEastAsia"/>
                <w:szCs w:val="21"/>
              </w:rPr>
              <w:t>1</w:t>
            </w:r>
            <w:r>
              <w:rPr>
                <w:rFonts w:eastAsiaTheme="minorEastAsia"/>
                <w:szCs w:val="21"/>
              </w:rPr>
              <w:t>日</w:t>
            </w:r>
            <w:r>
              <w:rPr>
                <w:rFonts w:eastAsiaTheme="minorEastAsia"/>
                <w:szCs w:val="21"/>
              </w:rPr>
              <w:t>)</w:t>
            </w:r>
            <w:r>
              <w:rPr>
                <w:rFonts w:eastAsiaTheme="minorEastAsia"/>
                <w:szCs w:val="21"/>
              </w:rPr>
              <w:t>基金份额总额</w:t>
            </w:r>
          </w:p>
        </w:tc>
        <w:tc>
          <w:tcPr>
            <w:tcW w:w="3508" w:type="dxa"/>
          </w:tcPr>
          <w:p w:rsidR="009B581C" w:rsidRDefault="00404602">
            <w:pPr>
              <w:spacing w:line="360" w:lineRule="auto"/>
              <w:jc w:val="right"/>
              <w:rPr>
                <w:rFonts w:eastAsiaTheme="minorEastAsia"/>
                <w:szCs w:val="21"/>
              </w:rPr>
            </w:pPr>
            <w:r>
              <w:rPr>
                <w:rFonts w:eastAsiaTheme="minorEastAsia"/>
                <w:szCs w:val="21"/>
              </w:rPr>
              <w:t xml:space="preserve">255,315,634.00 </w:t>
            </w:r>
          </w:p>
        </w:tc>
      </w:tr>
      <w:tr w:rsidR="009B581C">
        <w:tc>
          <w:tcPr>
            <w:tcW w:w="5778" w:type="dxa"/>
            <w:vAlign w:val="center"/>
          </w:tcPr>
          <w:p w:rsidR="009B581C" w:rsidRDefault="00404602">
            <w:pPr>
              <w:spacing w:line="360" w:lineRule="auto"/>
              <w:rPr>
                <w:rFonts w:eastAsiaTheme="minorEastAsia"/>
                <w:szCs w:val="21"/>
              </w:rPr>
            </w:pPr>
            <w:r>
              <w:rPr>
                <w:rFonts w:eastAsiaTheme="minorEastAsia"/>
                <w:szCs w:val="21"/>
              </w:rPr>
              <w:t>本报告期期初基金份额总额</w:t>
            </w:r>
          </w:p>
        </w:tc>
        <w:tc>
          <w:tcPr>
            <w:tcW w:w="3508" w:type="dxa"/>
          </w:tcPr>
          <w:p w:rsidR="009B581C" w:rsidRDefault="00404602">
            <w:pPr>
              <w:spacing w:line="360" w:lineRule="auto"/>
              <w:jc w:val="right"/>
              <w:rPr>
                <w:rFonts w:eastAsiaTheme="minorEastAsia"/>
                <w:szCs w:val="21"/>
              </w:rPr>
            </w:pPr>
            <w:r>
              <w:rPr>
                <w:rFonts w:eastAsiaTheme="minorEastAsia"/>
                <w:szCs w:val="21"/>
              </w:rPr>
              <w:t>68,315,634.00</w:t>
            </w:r>
          </w:p>
        </w:tc>
      </w:tr>
      <w:tr w:rsidR="009B581C">
        <w:tc>
          <w:tcPr>
            <w:tcW w:w="5778" w:type="dxa"/>
            <w:vAlign w:val="center"/>
          </w:tcPr>
          <w:p w:rsidR="009B581C" w:rsidRDefault="00404602">
            <w:pPr>
              <w:spacing w:line="360" w:lineRule="auto"/>
              <w:rPr>
                <w:rFonts w:eastAsiaTheme="minorEastAsia"/>
                <w:szCs w:val="21"/>
              </w:rPr>
            </w:pPr>
            <w:r>
              <w:rPr>
                <w:rFonts w:eastAsiaTheme="minorEastAsia"/>
                <w:szCs w:val="21"/>
              </w:rPr>
              <w:t>本报告期基金总申购份额</w:t>
            </w:r>
          </w:p>
        </w:tc>
        <w:tc>
          <w:tcPr>
            <w:tcW w:w="3508" w:type="dxa"/>
          </w:tcPr>
          <w:p w:rsidR="009B581C" w:rsidRDefault="00404602">
            <w:pPr>
              <w:spacing w:line="360" w:lineRule="auto"/>
              <w:jc w:val="right"/>
              <w:rPr>
                <w:rFonts w:eastAsiaTheme="minorEastAsia"/>
                <w:szCs w:val="21"/>
              </w:rPr>
            </w:pPr>
            <w:r>
              <w:rPr>
                <w:rFonts w:eastAsiaTheme="minorEastAsia"/>
                <w:szCs w:val="21"/>
              </w:rPr>
              <w:t>33,944,099.02</w:t>
            </w:r>
          </w:p>
        </w:tc>
      </w:tr>
      <w:tr w:rsidR="009B581C">
        <w:tc>
          <w:tcPr>
            <w:tcW w:w="5778" w:type="dxa"/>
            <w:vAlign w:val="center"/>
          </w:tcPr>
          <w:p w:rsidR="009B581C" w:rsidRDefault="00404602">
            <w:pPr>
              <w:spacing w:line="360" w:lineRule="auto"/>
              <w:rPr>
                <w:rFonts w:eastAsiaTheme="minorEastAsia"/>
                <w:szCs w:val="21"/>
              </w:rPr>
            </w:pPr>
            <w:r>
              <w:rPr>
                <w:rFonts w:eastAsiaTheme="minorEastAsia"/>
                <w:szCs w:val="21"/>
              </w:rPr>
              <w:t>减：本报告期基金总赎回份额</w:t>
            </w:r>
          </w:p>
        </w:tc>
        <w:tc>
          <w:tcPr>
            <w:tcW w:w="3508" w:type="dxa"/>
          </w:tcPr>
          <w:p w:rsidR="009B581C" w:rsidRDefault="00404602">
            <w:pPr>
              <w:spacing w:line="360" w:lineRule="auto"/>
              <w:jc w:val="right"/>
              <w:rPr>
                <w:rFonts w:eastAsiaTheme="minorEastAsia"/>
                <w:szCs w:val="21"/>
              </w:rPr>
            </w:pPr>
            <w:r>
              <w:rPr>
                <w:rFonts w:eastAsiaTheme="minorEastAsia"/>
                <w:szCs w:val="21"/>
              </w:rPr>
              <w:t>97,944,099.02</w:t>
            </w:r>
          </w:p>
        </w:tc>
      </w:tr>
      <w:tr w:rsidR="009B581C">
        <w:tc>
          <w:tcPr>
            <w:tcW w:w="5778" w:type="dxa"/>
            <w:vAlign w:val="center"/>
          </w:tcPr>
          <w:p w:rsidR="009B581C" w:rsidRDefault="00404602">
            <w:pPr>
              <w:spacing w:line="360" w:lineRule="auto"/>
              <w:rPr>
                <w:rFonts w:eastAsiaTheme="minorEastAsia"/>
                <w:szCs w:val="21"/>
              </w:rPr>
            </w:pPr>
            <w:r>
              <w:rPr>
                <w:rFonts w:eastAsiaTheme="minorEastAsia"/>
                <w:szCs w:val="21"/>
              </w:rPr>
              <w:t>本报告期基金拆分变动份额</w:t>
            </w:r>
          </w:p>
        </w:tc>
        <w:tc>
          <w:tcPr>
            <w:tcW w:w="3508" w:type="dxa"/>
          </w:tcPr>
          <w:p w:rsidR="009B581C" w:rsidRDefault="00404602">
            <w:pPr>
              <w:spacing w:line="360" w:lineRule="auto"/>
              <w:jc w:val="right"/>
              <w:rPr>
                <w:rFonts w:eastAsiaTheme="minorEastAsia"/>
                <w:szCs w:val="21"/>
              </w:rPr>
            </w:pPr>
            <w:r>
              <w:rPr>
                <w:rFonts w:eastAsiaTheme="minorEastAsia"/>
                <w:szCs w:val="21"/>
              </w:rPr>
              <w:t>-</w:t>
            </w:r>
          </w:p>
        </w:tc>
      </w:tr>
      <w:tr w:rsidR="009B581C">
        <w:tc>
          <w:tcPr>
            <w:tcW w:w="5778" w:type="dxa"/>
            <w:vAlign w:val="center"/>
          </w:tcPr>
          <w:p w:rsidR="009B581C" w:rsidRDefault="00404602">
            <w:pPr>
              <w:spacing w:line="360" w:lineRule="auto"/>
              <w:rPr>
                <w:rFonts w:eastAsiaTheme="minorEastAsia"/>
                <w:szCs w:val="21"/>
              </w:rPr>
            </w:pPr>
            <w:r>
              <w:rPr>
                <w:rFonts w:eastAsiaTheme="minorEastAsia"/>
                <w:szCs w:val="21"/>
              </w:rPr>
              <w:t>本报告期期末基金份额总额</w:t>
            </w:r>
          </w:p>
        </w:tc>
        <w:tc>
          <w:tcPr>
            <w:tcW w:w="3508" w:type="dxa"/>
          </w:tcPr>
          <w:p w:rsidR="009B581C" w:rsidRDefault="00404602">
            <w:pPr>
              <w:spacing w:line="360" w:lineRule="auto"/>
              <w:jc w:val="right"/>
              <w:rPr>
                <w:rFonts w:eastAsiaTheme="minorEastAsia"/>
                <w:szCs w:val="21"/>
              </w:rPr>
            </w:pPr>
            <w:r>
              <w:rPr>
                <w:rFonts w:eastAsiaTheme="minorEastAsia"/>
                <w:szCs w:val="21"/>
              </w:rPr>
              <w:t>4,315,634.00</w:t>
            </w:r>
          </w:p>
        </w:tc>
      </w:tr>
    </w:tbl>
    <w:p w:rsidR="009B581C" w:rsidRDefault="009B581C">
      <w:pPr>
        <w:spacing w:line="360" w:lineRule="auto"/>
        <w:rPr>
          <w:rFonts w:eastAsiaTheme="minorEastAsia"/>
          <w:szCs w:val="21"/>
        </w:rPr>
      </w:pPr>
    </w:p>
    <w:p w:rsidR="009B581C" w:rsidRDefault="00404602" w:rsidP="006A74CC">
      <w:pPr>
        <w:pStyle w:val="1"/>
        <w:keepNext/>
        <w:keepLines/>
        <w:widowControl w:val="0"/>
        <w:spacing w:beforeLines="100" w:afterLines="100" w:line="360" w:lineRule="auto"/>
        <w:jc w:val="center"/>
        <w:rPr>
          <w:rFonts w:eastAsiaTheme="minorEastAsia"/>
          <w:b/>
          <w:bCs/>
          <w:sz w:val="21"/>
          <w:szCs w:val="21"/>
          <w:lang w:val="en-US"/>
        </w:rPr>
      </w:pPr>
      <w:bookmarkStart w:id="82" w:name="_Toc225500054"/>
      <w:bookmarkStart w:id="83" w:name="_Toc361324893"/>
      <w:r>
        <w:rPr>
          <w:rFonts w:eastAsiaTheme="minorEastAsia"/>
          <w:b/>
          <w:bCs/>
          <w:sz w:val="21"/>
          <w:szCs w:val="21"/>
          <w:lang w:val="en-US"/>
        </w:rPr>
        <w:t xml:space="preserve">§11  </w:t>
      </w:r>
      <w:r>
        <w:rPr>
          <w:rFonts w:eastAsiaTheme="minorEastAsia"/>
          <w:b/>
          <w:bCs/>
          <w:sz w:val="21"/>
          <w:szCs w:val="21"/>
          <w:lang w:val="en-US"/>
        </w:rPr>
        <w:t>重大事件揭示</w:t>
      </w:r>
      <w:bookmarkEnd w:id="82"/>
      <w:bookmarkEnd w:id="83"/>
    </w:p>
    <w:p w:rsidR="009B581C" w:rsidRDefault="00404602" w:rsidP="006A74CC">
      <w:pPr>
        <w:pStyle w:val="2"/>
        <w:spacing w:beforeLines="100" w:after="0"/>
        <w:rPr>
          <w:rFonts w:ascii="Times New Roman" w:eastAsiaTheme="minorEastAsia" w:hAnsi="Times New Roman"/>
          <w:kern w:val="0"/>
          <w:sz w:val="21"/>
          <w:szCs w:val="21"/>
        </w:rPr>
      </w:pPr>
      <w:bookmarkStart w:id="84" w:name="_Toc361324894"/>
      <w:r>
        <w:rPr>
          <w:rFonts w:ascii="Times New Roman" w:eastAsiaTheme="minorEastAsia" w:hAnsi="Times New Roman"/>
          <w:kern w:val="0"/>
          <w:sz w:val="21"/>
          <w:szCs w:val="21"/>
        </w:rPr>
        <w:t xml:space="preserve">11.1 </w:t>
      </w:r>
      <w:r>
        <w:rPr>
          <w:rFonts w:ascii="Times New Roman" w:eastAsiaTheme="minorEastAsia" w:hAnsi="Times New Roman"/>
          <w:kern w:val="0"/>
          <w:sz w:val="21"/>
          <w:szCs w:val="21"/>
        </w:rPr>
        <w:t>基金份额持有人大会决议</w:t>
      </w:r>
      <w:bookmarkEnd w:id="84"/>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本基金于</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21</w:t>
      </w:r>
      <w:r>
        <w:rPr>
          <w:rFonts w:eastAsiaTheme="minorEastAsia"/>
          <w:color w:val="000000"/>
          <w:szCs w:val="21"/>
        </w:rPr>
        <w:t>日至</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20</w:t>
      </w:r>
      <w:r>
        <w:rPr>
          <w:rFonts w:eastAsiaTheme="minorEastAsia"/>
          <w:color w:val="000000"/>
          <w:szCs w:val="21"/>
        </w:rPr>
        <w:t>日期间以通讯方式召开基金份额持有人大会，并于</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21</w:t>
      </w:r>
      <w:r>
        <w:rPr>
          <w:rFonts w:eastAsiaTheme="minorEastAsia"/>
          <w:color w:val="000000"/>
          <w:szCs w:val="21"/>
        </w:rPr>
        <w:t>日通过了《关于广发中证全指主要消费交易型开放式指数证券投资基金终止基金合同并终止上市相关事项的议案》。根据持有人大会通过的议案，自</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25</w:t>
      </w:r>
      <w:r>
        <w:rPr>
          <w:rFonts w:eastAsiaTheme="minorEastAsia"/>
          <w:color w:val="000000"/>
          <w:szCs w:val="21"/>
        </w:rPr>
        <w:t>日起，本基金进入清算期，本基金管理人将组织成立基金财产清算小组履行基金财产清算程序，并将清算结果及时予以公告。有关重要事项详情可见本基金管理人</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24</w:t>
      </w:r>
      <w:r>
        <w:rPr>
          <w:rFonts w:eastAsiaTheme="minorEastAsia"/>
          <w:color w:val="000000"/>
          <w:szCs w:val="21"/>
        </w:rPr>
        <w:t>日在《中国证券报》、《上海证券报》、《证券时报》及本公司网站（</w:t>
      </w:r>
      <w:r>
        <w:rPr>
          <w:rFonts w:eastAsiaTheme="minorEastAsia"/>
          <w:color w:val="000000"/>
          <w:szCs w:val="21"/>
        </w:rPr>
        <w:t>www.gffunds.com.cn</w:t>
      </w:r>
      <w:r>
        <w:rPr>
          <w:rFonts w:eastAsiaTheme="minorEastAsia"/>
          <w:color w:val="000000"/>
          <w:szCs w:val="21"/>
        </w:rPr>
        <w:t>）刊登的《关于广发中证全指主要消费交易型开放式指数证券投资基金基金份额持有人大会表决结果暨决议生效的公告》。</w:t>
      </w:r>
    </w:p>
    <w:p w:rsidR="009B581C" w:rsidRDefault="00404602" w:rsidP="006A74CC">
      <w:pPr>
        <w:pStyle w:val="2"/>
        <w:spacing w:beforeLines="100" w:after="0"/>
        <w:rPr>
          <w:rFonts w:ascii="Times New Roman" w:eastAsiaTheme="minorEastAsia" w:hAnsi="Times New Roman"/>
          <w:kern w:val="0"/>
          <w:sz w:val="21"/>
          <w:szCs w:val="21"/>
        </w:rPr>
      </w:pPr>
      <w:bookmarkStart w:id="85" w:name="_Toc361324895"/>
      <w:r>
        <w:rPr>
          <w:rFonts w:ascii="Times New Roman" w:eastAsiaTheme="minorEastAsia" w:hAnsi="Times New Roman"/>
          <w:kern w:val="0"/>
          <w:sz w:val="21"/>
          <w:szCs w:val="21"/>
        </w:rPr>
        <w:t xml:space="preserve">11.2 </w:t>
      </w:r>
      <w:r>
        <w:rPr>
          <w:rFonts w:ascii="Times New Roman" w:eastAsiaTheme="minorEastAsia" w:hAnsi="Times New Roman"/>
          <w:kern w:val="0"/>
          <w:sz w:val="21"/>
          <w:szCs w:val="21"/>
        </w:rPr>
        <w:t>基金管理人、基金托管人的专门基金托管部门的重大人事变动</w:t>
      </w:r>
      <w:bookmarkEnd w:id="85"/>
    </w:p>
    <w:p w:rsidR="0077068F" w:rsidRDefault="006A74CC">
      <w:pPr>
        <w:spacing w:line="360" w:lineRule="auto"/>
        <w:ind w:firstLineChars="200" w:firstLine="420"/>
        <w:rPr>
          <w:rFonts w:eastAsiaTheme="minorEastAsia"/>
          <w:color w:val="000000"/>
          <w:szCs w:val="21"/>
        </w:rPr>
      </w:pPr>
      <w:r>
        <w:rPr>
          <w:rFonts w:eastAsiaTheme="minorEastAsia"/>
          <w:color w:val="000000"/>
          <w:szCs w:val="21"/>
        </w:rPr>
        <w:t>本基金管理人于</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6</w:t>
      </w:r>
      <w:r>
        <w:rPr>
          <w:rFonts w:eastAsiaTheme="minorEastAsia"/>
          <w:color w:val="000000"/>
          <w:szCs w:val="21"/>
        </w:rPr>
        <w:t>日发布公告，自</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5</w:t>
      </w:r>
      <w:r>
        <w:rPr>
          <w:rFonts w:eastAsiaTheme="minorEastAsia"/>
          <w:color w:val="000000"/>
          <w:szCs w:val="21"/>
        </w:rPr>
        <w:t>日起，聘任张芊女士担任公司副总经理；于</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28</w:t>
      </w:r>
      <w:r>
        <w:rPr>
          <w:rFonts w:eastAsiaTheme="minorEastAsia"/>
          <w:color w:val="000000"/>
          <w:szCs w:val="21"/>
        </w:rPr>
        <w:t>日发布公告，自</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28</w:t>
      </w:r>
      <w:r>
        <w:rPr>
          <w:rFonts w:eastAsiaTheme="minorEastAsia"/>
          <w:color w:val="000000"/>
          <w:szCs w:val="21"/>
        </w:rPr>
        <w:t>日起，聘任王凡先生担任公司副总经理；于</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3</w:t>
      </w:r>
      <w:r>
        <w:rPr>
          <w:rFonts w:eastAsiaTheme="minorEastAsia"/>
          <w:color w:val="000000"/>
          <w:szCs w:val="21"/>
        </w:rPr>
        <w:t>日发布公告，自</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2</w:t>
      </w:r>
      <w:r>
        <w:rPr>
          <w:rFonts w:eastAsiaTheme="minorEastAsia"/>
          <w:color w:val="000000"/>
          <w:szCs w:val="21"/>
        </w:rPr>
        <w:t>日起，聘任邱春杨先生担任公司督察长，段西军先生不再担任公司督察长。</w:t>
      </w:r>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本报告期内，</w:t>
      </w:r>
      <w:r>
        <w:rPr>
          <w:rFonts w:eastAsiaTheme="minorEastAsia"/>
          <w:color w:val="000000"/>
          <w:szCs w:val="21"/>
        </w:rPr>
        <w:t>2018</w:t>
      </w:r>
      <w:r>
        <w:rPr>
          <w:rFonts w:eastAsiaTheme="minorEastAsia"/>
          <w:color w:val="000000"/>
          <w:szCs w:val="21"/>
        </w:rPr>
        <w:t>年</w:t>
      </w:r>
      <w:r>
        <w:rPr>
          <w:rFonts w:eastAsiaTheme="minorEastAsia"/>
          <w:color w:val="000000"/>
          <w:szCs w:val="21"/>
        </w:rPr>
        <w:t>8</w:t>
      </w:r>
      <w:r>
        <w:rPr>
          <w:rFonts w:eastAsiaTheme="minorEastAsia"/>
          <w:color w:val="000000"/>
          <w:szCs w:val="21"/>
        </w:rPr>
        <w:t>月，刘连舸先生担任中国银行股份有限公司行长职务。上述人事变动已按相关规定备案、公告。</w:t>
      </w:r>
    </w:p>
    <w:p w:rsidR="009B581C" w:rsidRDefault="00404602" w:rsidP="006A74CC">
      <w:pPr>
        <w:pStyle w:val="2"/>
        <w:spacing w:beforeLines="100" w:after="0"/>
        <w:rPr>
          <w:rFonts w:ascii="Times New Roman" w:eastAsiaTheme="minorEastAsia" w:hAnsi="Times New Roman"/>
          <w:kern w:val="0"/>
          <w:sz w:val="21"/>
          <w:szCs w:val="21"/>
        </w:rPr>
      </w:pPr>
      <w:bookmarkStart w:id="86" w:name="_Toc361324896"/>
      <w:r>
        <w:rPr>
          <w:rFonts w:ascii="Times New Roman" w:eastAsiaTheme="minorEastAsia" w:hAnsi="Times New Roman"/>
          <w:kern w:val="0"/>
          <w:sz w:val="21"/>
          <w:szCs w:val="21"/>
        </w:rPr>
        <w:t xml:space="preserve">11.3 </w:t>
      </w:r>
      <w:r>
        <w:rPr>
          <w:rFonts w:ascii="Times New Roman" w:eastAsiaTheme="minorEastAsia" w:hAnsi="Times New Roman"/>
          <w:kern w:val="0"/>
          <w:sz w:val="21"/>
          <w:szCs w:val="21"/>
        </w:rPr>
        <w:t>涉及基金管理人、基金财产、基金托管业务的诉讼</w:t>
      </w:r>
      <w:bookmarkEnd w:id="86"/>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本报告期内无涉及基金管理人、基金财产、基金托管业务的诉讼事项。</w:t>
      </w:r>
    </w:p>
    <w:p w:rsidR="009B581C" w:rsidRDefault="00404602" w:rsidP="006A74CC">
      <w:pPr>
        <w:pStyle w:val="2"/>
        <w:spacing w:beforeLines="100" w:after="0"/>
        <w:rPr>
          <w:rFonts w:ascii="Times New Roman" w:eastAsiaTheme="minorEastAsia" w:hAnsi="Times New Roman"/>
          <w:kern w:val="0"/>
          <w:sz w:val="21"/>
          <w:szCs w:val="21"/>
        </w:rPr>
      </w:pPr>
      <w:bookmarkStart w:id="87" w:name="_Toc361324897"/>
      <w:r>
        <w:rPr>
          <w:rFonts w:ascii="Times New Roman" w:eastAsiaTheme="minorEastAsia" w:hAnsi="Times New Roman"/>
          <w:kern w:val="0"/>
          <w:sz w:val="21"/>
          <w:szCs w:val="21"/>
        </w:rPr>
        <w:t xml:space="preserve">11.4 </w:t>
      </w:r>
      <w:r>
        <w:rPr>
          <w:rFonts w:ascii="Times New Roman" w:eastAsiaTheme="minorEastAsia" w:hAnsi="Times New Roman"/>
          <w:kern w:val="0"/>
          <w:sz w:val="21"/>
          <w:szCs w:val="21"/>
        </w:rPr>
        <w:t>基金投资策略的改变</w:t>
      </w:r>
      <w:bookmarkEnd w:id="87"/>
    </w:p>
    <w:p w:rsidR="009B581C" w:rsidRDefault="00404602">
      <w:pPr>
        <w:spacing w:line="360" w:lineRule="auto"/>
        <w:ind w:firstLineChars="200" w:firstLine="420"/>
        <w:rPr>
          <w:rFonts w:eastAsiaTheme="minorEastAsia"/>
          <w:color w:val="000000"/>
          <w:szCs w:val="21"/>
        </w:rPr>
      </w:pPr>
      <w:r>
        <w:rPr>
          <w:rFonts w:eastAsiaTheme="minorEastAsia"/>
          <w:color w:val="000000"/>
          <w:szCs w:val="21"/>
        </w:rPr>
        <w:t>本报告期内本基金投资策略未发生改变。</w:t>
      </w:r>
    </w:p>
    <w:p w:rsidR="009B581C" w:rsidRDefault="00404602">
      <w:pPr>
        <w:pStyle w:val="2"/>
        <w:spacing w:before="0" w:after="0"/>
        <w:rPr>
          <w:rFonts w:ascii="Times New Roman" w:eastAsiaTheme="minorEastAsia" w:hAnsi="Times New Roman"/>
          <w:color w:val="000000" w:themeColor="text1"/>
          <w:kern w:val="0"/>
          <w:sz w:val="21"/>
          <w:szCs w:val="21"/>
        </w:rPr>
      </w:pPr>
      <w:bookmarkStart w:id="88" w:name="_Toc361324898"/>
      <w:bookmarkStart w:id="89" w:name="_Toc409100103"/>
      <w:bookmarkStart w:id="90" w:name="_Toc409100466"/>
      <w:r>
        <w:rPr>
          <w:rFonts w:ascii="Times New Roman" w:eastAsiaTheme="minorEastAsia" w:hAnsi="Times New Roman"/>
          <w:bCs w:val="0"/>
          <w:color w:val="000000" w:themeColor="text1"/>
          <w:sz w:val="21"/>
          <w:szCs w:val="21"/>
        </w:rPr>
        <w:t>11.</w:t>
      </w:r>
      <w:bookmarkEnd w:id="88"/>
      <w:r>
        <w:rPr>
          <w:rFonts w:ascii="Times New Roman" w:eastAsiaTheme="minorEastAsia" w:hAnsi="Times New Roman"/>
          <w:kern w:val="0"/>
          <w:sz w:val="21"/>
          <w:szCs w:val="21"/>
        </w:rPr>
        <w:t xml:space="preserve">5 </w:t>
      </w:r>
      <w:r>
        <w:rPr>
          <w:rFonts w:ascii="Times New Roman" w:eastAsiaTheme="minorEastAsia" w:hAnsi="Times New Roman"/>
          <w:bCs w:val="0"/>
          <w:color w:val="000000" w:themeColor="text1"/>
          <w:sz w:val="21"/>
          <w:szCs w:val="21"/>
        </w:rPr>
        <w:t>为基金</w:t>
      </w:r>
      <w:r>
        <w:rPr>
          <w:rFonts w:ascii="Times New Roman" w:eastAsiaTheme="minorEastAsia" w:hAnsi="Times New Roman"/>
          <w:color w:val="000000" w:themeColor="text1"/>
          <w:sz w:val="21"/>
          <w:szCs w:val="21"/>
        </w:rPr>
        <w:t>进行审计的会计师事务所情况</w:t>
      </w:r>
      <w:bookmarkEnd w:id="89"/>
      <w:bookmarkEnd w:id="90"/>
    </w:p>
    <w:p w:rsidR="009B581C" w:rsidRDefault="00404602">
      <w:pPr>
        <w:spacing w:line="360" w:lineRule="auto"/>
        <w:ind w:firstLineChars="200" w:firstLine="420"/>
        <w:rPr>
          <w:rFonts w:eastAsiaTheme="minorEastAsia"/>
          <w:color w:val="000000" w:themeColor="text1"/>
          <w:szCs w:val="21"/>
        </w:rPr>
      </w:pPr>
      <w:bookmarkStart w:id="91" w:name="OLE_LINK3"/>
      <w:r>
        <w:rPr>
          <w:rFonts w:eastAsiaTheme="minorEastAsia"/>
          <w:color w:val="000000" w:themeColor="text1"/>
          <w:szCs w:val="21"/>
        </w:rPr>
        <w:t>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日起，本基金管理人改聘安永华明会计师事务所（特殊普通合伙）提供审计服务。</w:t>
      </w:r>
    </w:p>
    <w:p w:rsidR="009B581C" w:rsidRDefault="00404602">
      <w:pPr>
        <w:pStyle w:val="2"/>
        <w:spacing w:before="0" w:after="0"/>
        <w:rPr>
          <w:rFonts w:ascii="Times New Roman" w:eastAsiaTheme="minorEastAsia" w:hAnsi="Times New Roman"/>
          <w:color w:val="000000" w:themeColor="text1"/>
          <w:kern w:val="0"/>
          <w:sz w:val="21"/>
          <w:szCs w:val="21"/>
        </w:rPr>
      </w:pPr>
      <w:bookmarkStart w:id="92" w:name="_Toc409100467"/>
      <w:bookmarkStart w:id="93" w:name="_Toc409100104"/>
      <w:bookmarkStart w:id="94" w:name="_Toc361324899"/>
      <w:bookmarkEnd w:id="91"/>
      <w:r>
        <w:rPr>
          <w:rFonts w:ascii="Times New Roman" w:eastAsiaTheme="minorEastAsia" w:hAnsi="Times New Roman"/>
          <w:bCs w:val="0"/>
          <w:color w:val="000000" w:themeColor="text1"/>
          <w:sz w:val="21"/>
          <w:szCs w:val="21"/>
        </w:rPr>
        <w:t>11.</w:t>
      </w:r>
      <w:r>
        <w:rPr>
          <w:rFonts w:ascii="Times New Roman" w:eastAsiaTheme="minorEastAsia" w:hAnsi="Times New Roman"/>
          <w:kern w:val="0"/>
          <w:sz w:val="21"/>
          <w:szCs w:val="21"/>
        </w:rPr>
        <w:t>6</w:t>
      </w:r>
      <w:r>
        <w:rPr>
          <w:rFonts w:ascii="Times New Roman" w:eastAsiaTheme="minorEastAsia" w:hAnsi="Times New Roman"/>
          <w:bCs w:val="0"/>
          <w:color w:val="000000" w:themeColor="text1"/>
          <w:sz w:val="21"/>
          <w:szCs w:val="21"/>
        </w:rPr>
        <w:t>管理人、</w:t>
      </w:r>
      <w:r>
        <w:rPr>
          <w:rFonts w:ascii="Times New Roman" w:eastAsiaTheme="minorEastAsia" w:hAnsi="Times New Roman"/>
          <w:color w:val="000000" w:themeColor="text1"/>
          <w:kern w:val="0"/>
          <w:sz w:val="21"/>
          <w:szCs w:val="21"/>
        </w:rPr>
        <w:t>托管人及其高级管理人员受稽查或处罚等情况</w:t>
      </w:r>
      <w:bookmarkEnd w:id="92"/>
      <w:bookmarkEnd w:id="93"/>
      <w:bookmarkEnd w:id="94"/>
    </w:p>
    <w:p w:rsidR="009B581C" w:rsidRDefault="0040460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本报告期内，本基金管理人、托管人的托管业务部门及其相关高级管理人员无受稽查或处罚等情况。</w:t>
      </w:r>
    </w:p>
    <w:p w:rsidR="009B581C" w:rsidRDefault="00404602">
      <w:pPr>
        <w:pStyle w:val="2"/>
        <w:spacing w:before="0" w:after="0"/>
        <w:rPr>
          <w:rFonts w:ascii="Times New Roman" w:eastAsiaTheme="minorEastAsia" w:hAnsi="Times New Roman"/>
          <w:bCs w:val="0"/>
          <w:color w:val="000000" w:themeColor="text1"/>
          <w:sz w:val="21"/>
          <w:szCs w:val="21"/>
        </w:rPr>
      </w:pPr>
      <w:bookmarkStart w:id="95" w:name="_Toc409100468"/>
      <w:bookmarkStart w:id="96" w:name="_Toc409100105"/>
      <w:bookmarkStart w:id="97" w:name="_Toc361324900"/>
      <w:r>
        <w:rPr>
          <w:rFonts w:ascii="Times New Roman" w:eastAsiaTheme="minorEastAsia" w:hAnsi="Times New Roman"/>
          <w:bCs w:val="0"/>
          <w:color w:val="000000" w:themeColor="text1"/>
          <w:sz w:val="21"/>
          <w:szCs w:val="21"/>
        </w:rPr>
        <w:t>11.</w:t>
      </w:r>
      <w:r>
        <w:rPr>
          <w:rFonts w:ascii="Times New Roman" w:eastAsiaTheme="minorEastAsia" w:hAnsi="Times New Roman"/>
          <w:kern w:val="0"/>
          <w:sz w:val="21"/>
          <w:szCs w:val="21"/>
        </w:rPr>
        <w:t>7</w:t>
      </w:r>
      <w:r>
        <w:rPr>
          <w:rFonts w:ascii="Times New Roman" w:eastAsiaTheme="minorEastAsia" w:hAnsi="Times New Roman"/>
          <w:bCs w:val="0"/>
          <w:color w:val="000000" w:themeColor="text1"/>
          <w:sz w:val="21"/>
          <w:szCs w:val="21"/>
        </w:rPr>
        <w:t>基金租用证券公司交易单元的有关情况</w:t>
      </w:r>
      <w:bookmarkEnd w:id="95"/>
      <w:bookmarkEnd w:id="96"/>
      <w:bookmarkEnd w:id="97"/>
    </w:p>
    <w:p w:rsidR="009B581C" w:rsidRDefault="00404602">
      <w:pPr>
        <w:spacing w:line="360" w:lineRule="auto"/>
        <w:rPr>
          <w:rFonts w:eastAsiaTheme="minorEastAsia"/>
          <w:b/>
          <w:color w:val="000000" w:themeColor="text1"/>
          <w:szCs w:val="21"/>
        </w:rPr>
      </w:pPr>
      <w:bookmarkStart w:id="98" w:name="_Toc249760070"/>
      <w:r>
        <w:rPr>
          <w:rFonts w:eastAsiaTheme="minorEastAsia"/>
          <w:b/>
          <w:color w:val="000000" w:themeColor="text1"/>
          <w:szCs w:val="21"/>
        </w:rPr>
        <w:t>11.</w:t>
      </w:r>
      <w:r>
        <w:rPr>
          <w:rFonts w:eastAsiaTheme="minorEastAsia" w:hint="eastAsia"/>
          <w:b/>
          <w:color w:val="000000" w:themeColor="text1"/>
          <w:szCs w:val="21"/>
        </w:rPr>
        <w:t>7</w:t>
      </w:r>
      <w:r>
        <w:rPr>
          <w:rFonts w:eastAsiaTheme="minorEastAsia"/>
          <w:b/>
          <w:color w:val="000000" w:themeColor="text1"/>
          <w:szCs w:val="21"/>
        </w:rPr>
        <w:t xml:space="preserve">.1 </w:t>
      </w:r>
      <w:r>
        <w:rPr>
          <w:rFonts w:eastAsiaTheme="minorEastAsia"/>
          <w:b/>
          <w:color w:val="000000" w:themeColor="text1"/>
          <w:szCs w:val="21"/>
        </w:rPr>
        <w:t>基金租用证券公司交易单元进行股票投资及佣金支付情况</w:t>
      </w:r>
      <w:bookmarkEnd w:id="98"/>
    </w:p>
    <w:p w:rsidR="009B581C" w:rsidRDefault="00404602">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9B581C">
        <w:tc>
          <w:tcPr>
            <w:tcW w:w="1560" w:type="dxa"/>
            <w:vMerge w:val="restart"/>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券商名称</w:t>
            </w:r>
          </w:p>
        </w:tc>
        <w:tc>
          <w:tcPr>
            <w:tcW w:w="780" w:type="dxa"/>
            <w:vMerge w:val="restart"/>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9B581C" w:rsidRDefault="00404602">
            <w:pPr>
              <w:spacing w:line="276"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9B581C">
        <w:tc>
          <w:tcPr>
            <w:tcW w:w="1560" w:type="dxa"/>
            <w:vMerge/>
            <w:vAlign w:val="center"/>
          </w:tcPr>
          <w:p w:rsidR="009B581C" w:rsidRDefault="009B581C">
            <w:pPr>
              <w:widowControl/>
              <w:spacing w:line="276" w:lineRule="auto"/>
              <w:jc w:val="left"/>
              <w:rPr>
                <w:rFonts w:eastAsiaTheme="minorEastAsia"/>
                <w:color w:val="000000" w:themeColor="text1"/>
                <w:szCs w:val="21"/>
              </w:rPr>
            </w:pPr>
          </w:p>
        </w:tc>
        <w:tc>
          <w:tcPr>
            <w:tcW w:w="780" w:type="dxa"/>
            <w:vMerge/>
            <w:vAlign w:val="center"/>
          </w:tcPr>
          <w:p w:rsidR="009B581C" w:rsidRDefault="009B581C">
            <w:pPr>
              <w:widowControl/>
              <w:spacing w:line="276" w:lineRule="auto"/>
              <w:jc w:val="left"/>
              <w:rPr>
                <w:rFonts w:eastAsiaTheme="minorEastAsia"/>
                <w:color w:val="000000" w:themeColor="text1"/>
                <w:szCs w:val="21"/>
              </w:rPr>
            </w:pPr>
          </w:p>
        </w:tc>
        <w:tc>
          <w:tcPr>
            <w:tcW w:w="1800" w:type="dxa"/>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9B581C" w:rsidRDefault="00404602">
            <w:pPr>
              <w:spacing w:line="276"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9B581C" w:rsidRDefault="00404602">
            <w:pPr>
              <w:spacing w:line="276"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9B581C" w:rsidRDefault="009B581C">
            <w:pPr>
              <w:widowControl/>
              <w:spacing w:line="276" w:lineRule="auto"/>
              <w:jc w:val="left"/>
              <w:rPr>
                <w:rFonts w:eastAsiaTheme="minorEastAsia"/>
                <w:color w:val="000000" w:themeColor="text1"/>
                <w:kern w:val="0"/>
                <w:szCs w:val="21"/>
              </w:rPr>
            </w:pPr>
          </w:p>
        </w:tc>
      </w:tr>
      <w:tr w:rsidR="0077068F">
        <w:tc>
          <w:tcPr>
            <w:tcW w:w="1560" w:type="dxa"/>
            <w:vAlign w:val="center"/>
          </w:tcPr>
          <w:p w:rsidR="0077068F" w:rsidRDefault="006A74CC">
            <w:pPr>
              <w:jc w:val="left"/>
            </w:pPr>
            <w:r>
              <w:rPr>
                <w:rFonts w:eastAsiaTheme="minorEastAsia"/>
                <w:color w:val="000000" w:themeColor="text1"/>
                <w:szCs w:val="21"/>
              </w:rPr>
              <w:t>安信证券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13,964,775.02</w:t>
            </w:r>
          </w:p>
        </w:tc>
        <w:tc>
          <w:tcPr>
            <w:tcW w:w="1080" w:type="dxa"/>
            <w:vAlign w:val="center"/>
          </w:tcPr>
          <w:p w:rsidR="0077068F" w:rsidRDefault="006A74CC">
            <w:pPr>
              <w:jc w:val="right"/>
            </w:pPr>
            <w:r>
              <w:rPr>
                <w:rFonts w:eastAsiaTheme="minorEastAsia"/>
                <w:color w:val="000000" w:themeColor="text1"/>
                <w:szCs w:val="21"/>
              </w:rPr>
              <w:t>50.64%</w:t>
            </w:r>
          </w:p>
        </w:tc>
        <w:tc>
          <w:tcPr>
            <w:tcW w:w="1620" w:type="dxa"/>
            <w:vAlign w:val="center"/>
          </w:tcPr>
          <w:p w:rsidR="0077068F" w:rsidRDefault="006A74CC">
            <w:pPr>
              <w:jc w:val="right"/>
            </w:pPr>
            <w:r>
              <w:rPr>
                <w:rFonts w:eastAsiaTheme="minorEastAsia"/>
                <w:color w:val="000000" w:themeColor="text1"/>
                <w:szCs w:val="21"/>
              </w:rPr>
              <w:t>10,212.85</w:t>
            </w:r>
          </w:p>
        </w:tc>
        <w:tc>
          <w:tcPr>
            <w:tcW w:w="1080" w:type="dxa"/>
            <w:vAlign w:val="center"/>
          </w:tcPr>
          <w:p w:rsidR="0077068F" w:rsidRDefault="006A74CC">
            <w:pPr>
              <w:jc w:val="right"/>
            </w:pPr>
            <w:r>
              <w:rPr>
                <w:rFonts w:eastAsiaTheme="minorEastAsia"/>
                <w:color w:val="000000" w:themeColor="text1"/>
                <w:szCs w:val="21"/>
              </w:rPr>
              <w:t>50.65%</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银河证券</w:t>
            </w:r>
          </w:p>
        </w:tc>
        <w:tc>
          <w:tcPr>
            <w:tcW w:w="780" w:type="dxa"/>
            <w:vAlign w:val="center"/>
          </w:tcPr>
          <w:p w:rsidR="0077068F" w:rsidRDefault="006A74CC">
            <w:pPr>
              <w:jc w:val="right"/>
            </w:pPr>
            <w:r>
              <w:rPr>
                <w:rFonts w:eastAsiaTheme="minorEastAsia"/>
                <w:color w:val="000000" w:themeColor="text1"/>
                <w:szCs w:val="21"/>
              </w:rPr>
              <w:t>2</w:t>
            </w:r>
          </w:p>
        </w:tc>
        <w:tc>
          <w:tcPr>
            <w:tcW w:w="1800" w:type="dxa"/>
            <w:vAlign w:val="center"/>
          </w:tcPr>
          <w:p w:rsidR="0077068F" w:rsidRDefault="006A74CC">
            <w:pPr>
              <w:jc w:val="right"/>
            </w:pPr>
            <w:r>
              <w:rPr>
                <w:rFonts w:eastAsiaTheme="minorEastAsia"/>
                <w:color w:val="000000" w:themeColor="text1"/>
                <w:szCs w:val="21"/>
              </w:rPr>
              <w:t>13,610,597.63</w:t>
            </w:r>
          </w:p>
        </w:tc>
        <w:tc>
          <w:tcPr>
            <w:tcW w:w="1080" w:type="dxa"/>
            <w:vAlign w:val="center"/>
          </w:tcPr>
          <w:p w:rsidR="0077068F" w:rsidRDefault="006A74CC">
            <w:pPr>
              <w:jc w:val="right"/>
            </w:pPr>
            <w:r>
              <w:rPr>
                <w:rFonts w:eastAsiaTheme="minorEastAsia"/>
                <w:color w:val="000000" w:themeColor="text1"/>
                <w:szCs w:val="21"/>
              </w:rPr>
              <w:t>49.36%</w:t>
            </w:r>
          </w:p>
        </w:tc>
        <w:tc>
          <w:tcPr>
            <w:tcW w:w="1620" w:type="dxa"/>
            <w:vAlign w:val="center"/>
          </w:tcPr>
          <w:p w:rsidR="0077068F" w:rsidRDefault="006A74CC">
            <w:pPr>
              <w:jc w:val="right"/>
            </w:pPr>
            <w:r>
              <w:rPr>
                <w:rFonts w:eastAsiaTheme="minorEastAsia"/>
                <w:color w:val="000000" w:themeColor="text1"/>
                <w:szCs w:val="21"/>
              </w:rPr>
              <w:t>9,951.98</w:t>
            </w:r>
          </w:p>
        </w:tc>
        <w:tc>
          <w:tcPr>
            <w:tcW w:w="1080" w:type="dxa"/>
            <w:vAlign w:val="center"/>
          </w:tcPr>
          <w:p w:rsidR="0077068F" w:rsidRDefault="006A74CC">
            <w:pPr>
              <w:jc w:val="right"/>
            </w:pPr>
            <w:r>
              <w:rPr>
                <w:rFonts w:eastAsiaTheme="minorEastAsia"/>
                <w:color w:val="000000" w:themeColor="text1"/>
                <w:szCs w:val="21"/>
              </w:rPr>
              <w:t>49.35%</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山西证券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77068F">
        <w:tc>
          <w:tcPr>
            <w:tcW w:w="1560" w:type="dxa"/>
            <w:vAlign w:val="center"/>
          </w:tcPr>
          <w:p w:rsidR="0077068F" w:rsidRDefault="006A74CC">
            <w:pPr>
              <w:jc w:val="left"/>
            </w:pPr>
            <w:r>
              <w:rPr>
                <w:rFonts w:eastAsiaTheme="minorEastAsia"/>
                <w:color w:val="000000" w:themeColor="text1"/>
                <w:szCs w:val="21"/>
              </w:rPr>
              <w:t>华创证券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华金证券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77068F">
        <w:tc>
          <w:tcPr>
            <w:tcW w:w="1560" w:type="dxa"/>
            <w:vAlign w:val="center"/>
          </w:tcPr>
          <w:p w:rsidR="0077068F" w:rsidRDefault="006A74CC">
            <w:pPr>
              <w:jc w:val="left"/>
            </w:pPr>
            <w:r>
              <w:rPr>
                <w:rFonts w:eastAsiaTheme="minorEastAsia"/>
                <w:color w:val="000000" w:themeColor="text1"/>
                <w:szCs w:val="21"/>
              </w:rPr>
              <w:t>广发证券</w:t>
            </w:r>
          </w:p>
        </w:tc>
        <w:tc>
          <w:tcPr>
            <w:tcW w:w="780" w:type="dxa"/>
            <w:vAlign w:val="center"/>
          </w:tcPr>
          <w:p w:rsidR="0077068F" w:rsidRDefault="006A74CC">
            <w:pPr>
              <w:jc w:val="right"/>
            </w:pPr>
            <w:r>
              <w:rPr>
                <w:rFonts w:eastAsiaTheme="minorEastAsia"/>
                <w:color w:val="000000" w:themeColor="text1"/>
                <w:szCs w:val="21"/>
              </w:rPr>
              <w:t>3</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恒泰证券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国融证券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77068F">
        <w:tc>
          <w:tcPr>
            <w:tcW w:w="1560" w:type="dxa"/>
            <w:vAlign w:val="center"/>
          </w:tcPr>
          <w:p w:rsidR="0077068F" w:rsidRDefault="006A74CC">
            <w:pPr>
              <w:jc w:val="left"/>
            </w:pPr>
            <w:r>
              <w:rPr>
                <w:rFonts w:eastAsiaTheme="minorEastAsia"/>
                <w:color w:val="000000" w:themeColor="text1"/>
                <w:szCs w:val="21"/>
              </w:rPr>
              <w:t>招商证券</w:t>
            </w:r>
          </w:p>
        </w:tc>
        <w:tc>
          <w:tcPr>
            <w:tcW w:w="780" w:type="dxa"/>
            <w:vAlign w:val="center"/>
          </w:tcPr>
          <w:p w:rsidR="0077068F" w:rsidRDefault="006A74CC">
            <w:pPr>
              <w:jc w:val="right"/>
            </w:pPr>
            <w:r>
              <w:rPr>
                <w:rFonts w:eastAsiaTheme="minorEastAsia"/>
                <w:color w:val="000000" w:themeColor="text1"/>
                <w:szCs w:val="21"/>
              </w:rPr>
              <w:t>2</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方正证券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大同证券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中信证券</w:t>
            </w:r>
          </w:p>
        </w:tc>
        <w:tc>
          <w:tcPr>
            <w:tcW w:w="780" w:type="dxa"/>
            <w:vAlign w:val="center"/>
          </w:tcPr>
          <w:p w:rsidR="0077068F" w:rsidRDefault="006A74CC">
            <w:pPr>
              <w:jc w:val="right"/>
            </w:pPr>
            <w:r>
              <w:rPr>
                <w:rFonts w:eastAsiaTheme="minorEastAsia"/>
                <w:color w:val="000000" w:themeColor="text1"/>
                <w:szCs w:val="21"/>
              </w:rPr>
              <w:t>2</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财达证券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77068F">
        <w:tc>
          <w:tcPr>
            <w:tcW w:w="1560" w:type="dxa"/>
            <w:vAlign w:val="center"/>
          </w:tcPr>
          <w:p w:rsidR="0077068F" w:rsidRDefault="006A74CC">
            <w:pPr>
              <w:jc w:val="left"/>
            </w:pPr>
            <w:r>
              <w:rPr>
                <w:rFonts w:eastAsiaTheme="minorEastAsia"/>
                <w:color w:val="000000" w:themeColor="text1"/>
                <w:szCs w:val="21"/>
              </w:rPr>
              <w:t>联讯证券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天风证券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海通证券</w:t>
            </w:r>
          </w:p>
        </w:tc>
        <w:tc>
          <w:tcPr>
            <w:tcW w:w="780" w:type="dxa"/>
            <w:vAlign w:val="center"/>
          </w:tcPr>
          <w:p w:rsidR="0077068F" w:rsidRDefault="006A74CC">
            <w:pPr>
              <w:jc w:val="right"/>
            </w:pPr>
            <w:r>
              <w:rPr>
                <w:rFonts w:eastAsiaTheme="minorEastAsia"/>
                <w:color w:val="000000" w:themeColor="text1"/>
                <w:szCs w:val="21"/>
              </w:rPr>
              <w:t>2</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东莞证券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w:t>
            </w:r>
          </w:p>
        </w:tc>
      </w:tr>
      <w:tr w:rsidR="0077068F">
        <w:tc>
          <w:tcPr>
            <w:tcW w:w="1560" w:type="dxa"/>
            <w:vAlign w:val="center"/>
          </w:tcPr>
          <w:p w:rsidR="0077068F" w:rsidRDefault="006A74CC">
            <w:pPr>
              <w:jc w:val="left"/>
            </w:pPr>
            <w:r>
              <w:rPr>
                <w:rFonts w:eastAsiaTheme="minorEastAsia"/>
                <w:color w:val="000000" w:themeColor="text1"/>
                <w:szCs w:val="21"/>
              </w:rPr>
              <w:t>联储证券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r w:rsidR="0077068F">
        <w:tc>
          <w:tcPr>
            <w:tcW w:w="1560" w:type="dxa"/>
            <w:vAlign w:val="center"/>
          </w:tcPr>
          <w:p w:rsidR="0077068F" w:rsidRDefault="006A74CC">
            <w:pPr>
              <w:jc w:val="left"/>
            </w:pPr>
            <w:r>
              <w:rPr>
                <w:rFonts w:eastAsiaTheme="minorEastAsia"/>
                <w:color w:val="000000" w:themeColor="text1"/>
                <w:szCs w:val="21"/>
              </w:rPr>
              <w:t>华西证券</w:t>
            </w:r>
          </w:p>
        </w:tc>
        <w:tc>
          <w:tcPr>
            <w:tcW w:w="780" w:type="dxa"/>
            <w:vAlign w:val="center"/>
          </w:tcPr>
          <w:p w:rsidR="0077068F" w:rsidRDefault="006A74CC">
            <w:pPr>
              <w:jc w:val="right"/>
            </w:pPr>
            <w:r>
              <w:rPr>
                <w:rFonts w:eastAsiaTheme="minorEastAsia"/>
                <w:color w:val="000000" w:themeColor="text1"/>
                <w:szCs w:val="21"/>
              </w:rPr>
              <w:t>1</w:t>
            </w:r>
          </w:p>
        </w:tc>
        <w:tc>
          <w:tcPr>
            <w:tcW w:w="180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62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right"/>
            </w:pPr>
            <w:r>
              <w:rPr>
                <w:rFonts w:eastAsiaTheme="minorEastAsia"/>
                <w:color w:val="000000" w:themeColor="text1"/>
                <w:szCs w:val="21"/>
              </w:rPr>
              <w:t>-</w:t>
            </w:r>
          </w:p>
        </w:tc>
        <w:tc>
          <w:tcPr>
            <w:tcW w:w="1080" w:type="dxa"/>
            <w:vAlign w:val="center"/>
          </w:tcPr>
          <w:p w:rsidR="0077068F" w:rsidRDefault="006A74CC">
            <w:pPr>
              <w:jc w:val="left"/>
            </w:pPr>
            <w:r>
              <w:rPr>
                <w:rFonts w:eastAsiaTheme="minorEastAsia"/>
                <w:color w:val="000000" w:themeColor="text1"/>
                <w:szCs w:val="21"/>
              </w:rPr>
              <w:t>新增</w:t>
            </w:r>
            <w:r>
              <w:rPr>
                <w:rFonts w:eastAsiaTheme="minorEastAsia"/>
                <w:color w:val="000000" w:themeColor="text1"/>
                <w:szCs w:val="21"/>
              </w:rPr>
              <w:t>1</w:t>
            </w:r>
            <w:r>
              <w:rPr>
                <w:rFonts w:eastAsiaTheme="minorEastAsia"/>
                <w:color w:val="000000" w:themeColor="text1"/>
                <w:szCs w:val="21"/>
              </w:rPr>
              <w:t>个</w:t>
            </w:r>
          </w:p>
        </w:tc>
      </w:tr>
    </w:tbl>
    <w:p w:rsidR="0077068F" w:rsidRDefault="006A74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、交易席位选择标准：</w:t>
      </w:r>
    </w:p>
    <w:p w:rsidR="0077068F" w:rsidRDefault="006A74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）财务状况良好，在最近一年内无重大违规行为；</w:t>
      </w:r>
    </w:p>
    <w:p w:rsidR="0077068F" w:rsidRDefault="006A74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）经营行为规范，内控制度健全，在业内有良好的声誉；</w:t>
      </w:r>
    </w:p>
    <w:p w:rsidR="0077068F" w:rsidRDefault="006A74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）具备投资运作所需的高效、安全、合规的席位资源，满足投资组合进行证券交易的需要；</w:t>
      </w:r>
    </w:p>
    <w:p w:rsidR="0077068F" w:rsidRDefault="006A74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4</w:t>
      </w:r>
      <w:r>
        <w:rPr>
          <w:rFonts w:eastAsiaTheme="minorEastAsia"/>
          <w:color w:val="000000" w:themeColor="text1"/>
          <w:szCs w:val="21"/>
        </w:rPr>
        <w:t>）具有较强的研究和行业分析能力，能及时、全面、准确地向公司提供关于宏观、行业、市场及个股的高质量报告，并能根据基金投资的特殊要求，提供专门的研究报告；</w:t>
      </w:r>
    </w:p>
    <w:p w:rsidR="0077068F" w:rsidRDefault="006A74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5</w:t>
      </w:r>
      <w:r>
        <w:rPr>
          <w:rFonts w:eastAsiaTheme="minorEastAsia"/>
          <w:color w:val="000000" w:themeColor="text1"/>
          <w:szCs w:val="21"/>
        </w:rPr>
        <w:t>）能积极为公司投资业务的开展，提供良好的信息交流和客户服务；</w:t>
      </w:r>
    </w:p>
    <w:p w:rsidR="0077068F" w:rsidRDefault="006A74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6</w:t>
      </w:r>
      <w:r>
        <w:rPr>
          <w:rFonts w:eastAsiaTheme="minorEastAsia"/>
          <w:color w:val="000000" w:themeColor="text1"/>
          <w:szCs w:val="21"/>
        </w:rPr>
        <w:t>）能提供其他基金运作和管理所需的服务。</w:t>
      </w:r>
    </w:p>
    <w:p w:rsidR="0077068F" w:rsidRDefault="006A74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、交易席位选择流程：</w:t>
      </w:r>
    </w:p>
    <w:p w:rsidR="0077068F" w:rsidRDefault="006A74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）对交易单元候选券商的研究服务进行评估。本基金管理人组织相关人员依据交易单元选择标准对交易单元候选券商的服务质量和研究实力进行评估，确定选用交易单元的券商。</w:t>
      </w:r>
    </w:p>
    <w:p w:rsidR="009B581C" w:rsidRDefault="0040460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）协议签署及通知托管人。本基金管理人与被选择的券商签订交易单元租用协议，并通知基金托管人。</w:t>
      </w:r>
    </w:p>
    <w:p w:rsidR="009B581C" w:rsidRDefault="00404602" w:rsidP="006A74CC">
      <w:pPr>
        <w:pStyle w:val="1"/>
        <w:keepNext/>
        <w:keepLines/>
        <w:widowControl w:val="0"/>
        <w:spacing w:beforeLines="100" w:afterLines="100" w:line="360" w:lineRule="auto"/>
        <w:jc w:val="center"/>
        <w:rPr>
          <w:rFonts w:asciiTheme="minorEastAsia" w:eastAsiaTheme="minorEastAsia" w:hAnsiTheme="minorEastAsia"/>
          <w:b/>
          <w:bCs/>
          <w:sz w:val="21"/>
          <w:szCs w:val="21"/>
          <w:lang w:val="en-US"/>
        </w:rPr>
      </w:pPr>
      <w:r>
        <w:rPr>
          <w:rFonts w:asciiTheme="minorEastAsia" w:eastAsiaTheme="minorEastAsia" w:hAnsiTheme="minorEastAsia" w:hint="eastAsia"/>
          <w:b/>
          <w:bCs/>
          <w:sz w:val="21"/>
          <w:szCs w:val="21"/>
          <w:lang w:val="en-US"/>
        </w:rPr>
        <w:t>§</w:t>
      </w:r>
      <w:r>
        <w:rPr>
          <w:rFonts w:asciiTheme="minorEastAsia" w:eastAsiaTheme="minorEastAsia" w:hAnsiTheme="minorEastAsia"/>
          <w:b/>
          <w:bCs/>
          <w:sz w:val="21"/>
          <w:szCs w:val="21"/>
          <w:lang w:val="en-US"/>
        </w:rPr>
        <w:t>12</w:t>
      </w:r>
      <w:r>
        <w:rPr>
          <w:rFonts w:asciiTheme="minorEastAsia" w:eastAsiaTheme="minorEastAsia" w:hAnsiTheme="minorEastAsia" w:hint="eastAsia"/>
          <w:b/>
          <w:bCs/>
          <w:sz w:val="21"/>
          <w:szCs w:val="21"/>
          <w:lang w:val="en-US"/>
        </w:rPr>
        <w:t>影响投资者决策的其他重要信息</w:t>
      </w:r>
    </w:p>
    <w:p w:rsidR="009B581C" w:rsidRDefault="00404602" w:rsidP="006A74CC">
      <w:pPr>
        <w:pStyle w:val="2"/>
        <w:tabs>
          <w:tab w:val="left" w:pos="927"/>
        </w:tabs>
        <w:spacing w:beforeLines="100" w:afterLines="100"/>
        <w:ind w:left="927" w:hanging="567"/>
        <w:rPr>
          <w:rFonts w:ascii="宋体" w:hAnsi="宋体" w:cs="Arial"/>
          <w:color w:val="000000"/>
          <w:sz w:val="21"/>
          <w:szCs w:val="21"/>
        </w:rPr>
      </w:pPr>
      <w:r>
        <w:rPr>
          <w:rFonts w:ascii="宋体" w:hAnsi="宋体" w:cs="Arial"/>
          <w:color w:val="000000"/>
          <w:sz w:val="21"/>
          <w:szCs w:val="21"/>
        </w:rPr>
        <w:t>12.1 报告期内单一投资者持有基金份额比例达到或超过20%的情况</w:t>
      </w:r>
    </w:p>
    <w:tbl>
      <w:tblPr>
        <w:tblStyle w:val="af1"/>
        <w:tblW w:w="9640" w:type="dxa"/>
        <w:jc w:val="center"/>
        <w:tblLayout w:type="fixed"/>
        <w:tblLook w:val="04A0"/>
      </w:tblPr>
      <w:tblGrid>
        <w:gridCol w:w="2128"/>
        <w:gridCol w:w="709"/>
        <w:gridCol w:w="1984"/>
        <w:gridCol w:w="993"/>
        <w:gridCol w:w="992"/>
        <w:gridCol w:w="992"/>
        <w:gridCol w:w="991"/>
        <w:gridCol w:w="851"/>
      </w:tblGrid>
      <w:tr w:rsidR="009B581C">
        <w:trPr>
          <w:jc w:val="center"/>
        </w:trPr>
        <w:tc>
          <w:tcPr>
            <w:tcW w:w="2128" w:type="dxa"/>
            <w:vMerge w:val="restart"/>
            <w:vAlign w:val="center"/>
          </w:tcPr>
          <w:p w:rsidR="009B581C" w:rsidRDefault="00404602">
            <w:pPr>
              <w:autoSpaceDE w:val="0"/>
              <w:autoSpaceDN w:val="0"/>
              <w:adjustRightInd w:val="0"/>
              <w:jc w:val="center"/>
              <w:rPr>
                <w:rFonts w:eastAsiaTheme="minorEastAsia"/>
                <w:b/>
                <w:bCs/>
                <w:color w:val="000000" w:themeColor="text1"/>
                <w:szCs w:val="21"/>
              </w:rPr>
            </w:pPr>
            <w:r>
              <w:rPr>
                <w:color w:val="000000"/>
                <w:szCs w:val="21"/>
              </w:rPr>
              <w:t>投资者类别</w:t>
            </w:r>
          </w:p>
        </w:tc>
        <w:tc>
          <w:tcPr>
            <w:tcW w:w="5670" w:type="dxa"/>
            <w:gridSpan w:val="5"/>
            <w:vAlign w:val="center"/>
          </w:tcPr>
          <w:p w:rsidR="009B581C" w:rsidRDefault="00404602">
            <w:pPr>
              <w:autoSpaceDE w:val="0"/>
              <w:autoSpaceDN w:val="0"/>
              <w:adjustRightInd w:val="0"/>
              <w:ind w:firstLine="1126"/>
              <w:jc w:val="center"/>
              <w:rPr>
                <w:rFonts w:eastAsiaTheme="minorEastAsia"/>
                <w:b/>
                <w:bCs/>
                <w:color w:val="000000" w:themeColor="text1"/>
                <w:szCs w:val="21"/>
              </w:rPr>
            </w:pPr>
            <w:r>
              <w:rPr>
                <w:color w:val="000000"/>
                <w:szCs w:val="21"/>
              </w:rPr>
              <w:t>报告期内持有基金份额变化情况</w:t>
            </w:r>
          </w:p>
        </w:tc>
        <w:tc>
          <w:tcPr>
            <w:tcW w:w="1842" w:type="dxa"/>
            <w:gridSpan w:val="2"/>
            <w:vAlign w:val="center"/>
          </w:tcPr>
          <w:p w:rsidR="009B581C" w:rsidRDefault="00404602">
            <w:pPr>
              <w:autoSpaceDE w:val="0"/>
              <w:autoSpaceDN w:val="0"/>
              <w:adjustRightInd w:val="0"/>
              <w:jc w:val="center"/>
              <w:rPr>
                <w:rFonts w:eastAsiaTheme="minorEastAsia"/>
                <w:b/>
                <w:bCs/>
                <w:color w:val="000000" w:themeColor="text1"/>
                <w:szCs w:val="21"/>
              </w:rPr>
            </w:pPr>
            <w:r>
              <w:rPr>
                <w:color w:val="000000"/>
                <w:szCs w:val="21"/>
              </w:rPr>
              <w:t>报告期末持有基金情况</w:t>
            </w:r>
          </w:p>
        </w:tc>
      </w:tr>
      <w:tr w:rsidR="009B581C">
        <w:trPr>
          <w:jc w:val="center"/>
        </w:trPr>
        <w:tc>
          <w:tcPr>
            <w:tcW w:w="2128" w:type="dxa"/>
            <w:vMerge/>
            <w:vAlign w:val="center"/>
          </w:tcPr>
          <w:p w:rsidR="009B581C" w:rsidRDefault="009B581C">
            <w:pPr>
              <w:autoSpaceDE w:val="0"/>
              <w:autoSpaceDN w:val="0"/>
              <w:adjustRightInd w:val="0"/>
              <w:ind w:firstLine="1234"/>
              <w:jc w:val="center"/>
              <w:rPr>
                <w:rFonts w:eastAsiaTheme="minorEastAsia"/>
                <w:b/>
                <w:bCs/>
                <w:color w:val="000000" w:themeColor="text1"/>
                <w:szCs w:val="21"/>
              </w:rPr>
            </w:pPr>
          </w:p>
        </w:tc>
        <w:tc>
          <w:tcPr>
            <w:tcW w:w="709" w:type="dxa"/>
            <w:vAlign w:val="center"/>
          </w:tcPr>
          <w:p w:rsidR="009B581C" w:rsidRDefault="00404602">
            <w:pPr>
              <w:autoSpaceDE w:val="0"/>
              <w:autoSpaceDN w:val="0"/>
              <w:adjustRightInd w:val="0"/>
              <w:jc w:val="center"/>
              <w:rPr>
                <w:rFonts w:eastAsiaTheme="minorEastAsia"/>
                <w:b/>
                <w:bCs/>
                <w:color w:val="000000" w:themeColor="text1"/>
                <w:szCs w:val="21"/>
              </w:rPr>
            </w:pPr>
            <w:r>
              <w:rPr>
                <w:color w:val="000000"/>
                <w:szCs w:val="21"/>
              </w:rPr>
              <w:t>序号</w:t>
            </w:r>
          </w:p>
        </w:tc>
        <w:tc>
          <w:tcPr>
            <w:tcW w:w="1984" w:type="dxa"/>
            <w:vAlign w:val="center"/>
          </w:tcPr>
          <w:p w:rsidR="009B581C" w:rsidRDefault="00404602">
            <w:pPr>
              <w:autoSpaceDE w:val="0"/>
              <w:autoSpaceDN w:val="0"/>
              <w:adjustRightInd w:val="0"/>
              <w:jc w:val="center"/>
              <w:rPr>
                <w:rFonts w:eastAsiaTheme="minorEastAsia"/>
                <w:b/>
                <w:bCs/>
                <w:color w:val="000000" w:themeColor="text1"/>
                <w:szCs w:val="21"/>
              </w:rPr>
            </w:pPr>
            <w:r>
              <w:rPr>
                <w:color w:val="000000"/>
                <w:szCs w:val="21"/>
              </w:rPr>
              <w:t>持有基金份额比例达到或者超过</w:t>
            </w:r>
            <w:r>
              <w:rPr>
                <w:color w:val="000000"/>
                <w:szCs w:val="21"/>
              </w:rPr>
              <w:t>20%</w:t>
            </w:r>
            <w:r>
              <w:rPr>
                <w:color w:val="000000"/>
                <w:szCs w:val="21"/>
              </w:rPr>
              <w:t>的时间区间</w:t>
            </w:r>
          </w:p>
        </w:tc>
        <w:tc>
          <w:tcPr>
            <w:tcW w:w="993" w:type="dxa"/>
            <w:vAlign w:val="center"/>
          </w:tcPr>
          <w:p w:rsidR="009B581C" w:rsidRDefault="00404602">
            <w:pPr>
              <w:widowControl/>
              <w:rPr>
                <w:rFonts w:eastAsiaTheme="minorEastAsia"/>
                <w:b/>
                <w:bCs/>
                <w:color w:val="000000" w:themeColor="text1"/>
                <w:szCs w:val="21"/>
              </w:rPr>
            </w:pPr>
            <w:r>
              <w:rPr>
                <w:color w:val="000000"/>
                <w:szCs w:val="21"/>
              </w:rPr>
              <w:t>期初份额</w:t>
            </w:r>
          </w:p>
        </w:tc>
        <w:tc>
          <w:tcPr>
            <w:tcW w:w="992" w:type="dxa"/>
            <w:vAlign w:val="center"/>
          </w:tcPr>
          <w:p w:rsidR="009B581C" w:rsidRDefault="00404602">
            <w:pPr>
              <w:widowControl/>
              <w:rPr>
                <w:rFonts w:eastAsiaTheme="minorEastAsia"/>
                <w:b/>
                <w:bCs/>
                <w:color w:val="000000" w:themeColor="text1"/>
                <w:szCs w:val="21"/>
              </w:rPr>
            </w:pPr>
            <w:r>
              <w:rPr>
                <w:color w:val="000000"/>
                <w:szCs w:val="21"/>
              </w:rPr>
              <w:t>申购份额</w:t>
            </w:r>
          </w:p>
        </w:tc>
        <w:tc>
          <w:tcPr>
            <w:tcW w:w="992" w:type="dxa"/>
            <w:vAlign w:val="center"/>
          </w:tcPr>
          <w:p w:rsidR="009B581C" w:rsidRDefault="00404602">
            <w:pPr>
              <w:widowControl/>
              <w:rPr>
                <w:rFonts w:eastAsiaTheme="minorEastAsia"/>
                <w:b/>
                <w:bCs/>
                <w:color w:val="000000" w:themeColor="text1"/>
                <w:szCs w:val="21"/>
              </w:rPr>
            </w:pPr>
            <w:r>
              <w:rPr>
                <w:color w:val="000000"/>
                <w:szCs w:val="21"/>
              </w:rPr>
              <w:t>赎回份额</w:t>
            </w:r>
          </w:p>
        </w:tc>
        <w:tc>
          <w:tcPr>
            <w:tcW w:w="991" w:type="dxa"/>
            <w:vAlign w:val="center"/>
          </w:tcPr>
          <w:p w:rsidR="009B581C" w:rsidRDefault="00404602">
            <w:pPr>
              <w:autoSpaceDE w:val="0"/>
              <w:autoSpaceDN w:val="0"/>
              <w:adjustRightInd w:val="0"/>
              <w:jc w:val="center"/>
              <w:rPr>
                <w:rFonts w:eastAsiaTheme="minorEastAsia"/>
                <w:b/>
                <w:bCs/>
                <w:color w:val="000000" w:themeColor="text1"/>
                <w:szCs w:val="21"/>
              </w:rPr>
            </w:pPr>
            <w:r>
              <w:rPr>
                <w:color w:val="000000"/>
                <w:szCs w:val="21"/>
              </w:rPr>
              <w:t>持有份额</w:t>
            </w:r>
          </w:p>
        </w:tc>
        <w:tc>
          <w:tcPr>
            <w:tcW w:w="851" w:type="dxa"/>
            <w:vAlign w:val="center"/>
          </w:tcPr>
          <w:p w:rsidR="009B581C" w:rsidRDefault="00404602">
            <w:pPr>
              <w:autoSpaceDE w:val="0"/>
              <w:autoSpaceDN w:val="0"/>
              <w:adjustRightInd w:val="0"/>
              <w:jc w:val="center"/>
              <w:rPr>
                <w:rFonts w:eastAsiaTheme="minorEastAsia"/>
                <w:b/>
                <w:bCs/>
                <w:color w:val="000000" w:themeColor="text1"/>
                <w:szCs w:val="21"/>
              </w:rPr>
            </w:pPr>
            <w:r>
              <w:rPr>
                <w:color w:val="000000"/>
                <w:szCs w:val="21"/>
              </w:rPr>
              <w:t>份额占比</w:t>
            </w:r>
          </w:p>
        </w:tc>
      </w:tr>
      <w:tr w:rsidR="0077068F">
        <w:trPr>
          <w:jc w:val="center"/>
        </w:trPr>
        <w:tc>
          <w:tcPr>
            <w:tcW w:w="2128" w:type="dxa"/>
            <w:vMerge w:val="restart"/>
          </w:tcPr>
          <w:p w:rsidR="0077068F" w:rsidRDefault="0077068F"/>
          <w:p w:rsidR="0077068F" w:rsidRDefault="006A74CC">
            <w:r>
              <w:rPr>
                <w:rFonts w:eastAsiaTheme="minorEastAsia"/>
                <w:bCs/>
                <w:color w:val="000000" w:themeColor="text1"/>
                <w:szCs w:val="21"/>
              </w:rPr>
              <w:t>机构</w:t>
            </w:r>
          </w:p>
        </w:tc>
        <w:tc>
          <w:tcPr>
            <w:tcW w:w="709" w:type="dxa"/>
            <w:vAlign w:val="center"/>
          </w:tcPr>
          <w:p w:rsidR="0077068F" w:rsidRDefault="006A74CC">
            <w:pPr>
              <w:jc w:val="center"/>
            </w:pPr>
            <w:r>
              <w:t>1</w:t>
            </w:r>
          </w:p>
        </w:tc>
        <w:tc>
          <w:tcPr>
            <w:tcW w:w="1984" w:type="dxa"/>
            <w:vAlign w:val="center"/>
          </w:tcPr>
          <w:p w:rsidR="0077068F" w:rsidRDefault="006A74CC">
            <w:pPr>
              <w:jc w:val="center"/>
            </w:pPr>
            <w:r>
              <w:t>20181116-20181122</w:t>
            </w:r>
          </w:p>
        </w:tc>
        <w:tc>
          <w:tcPr>
            <w:tcW w:w="993" w:type="dxa"/>
            <w:vAlign w:val="center"/>
          </w:tcPr>
          <w:p w:rsidR="0077068F" w:rsidRDefault="006A74CC">
            <w:pPr>
              <w:jc w:val="center"/>
            </w:pPr>
            <w:r>
              <w:t>-</w:t>
            </w:r>
          </w:p>
        </w:tc>
        <w:tc>
          <w:tcPr>
            <w:tcW w:w="992" w:type="dxa"/>
            <w:vAlign w:val="center"/>
          </w:tcPr>
          <w:p w:rsidR="0077068F" w:rsidRDefault="006A74CC">
            <w:pPr>
              <w:jc w:val="center"/>
            </w:pPr>
            <w:r>
              <w:t>2,773,912.88</w:t>
            </w:r>
          </w:p>
        </w:tc>
        <w:tc>
          <w:tcPr>
            <w:tcW w:w="992" w:type="dxa"/>
            <w:vAlign w:val="center"/>
          </w:tcPr>
          <w:p w:rsidR="0077068F" w:rsidRDefault="006A74CC">
            <w:pPr>
              <w:jc w:val="center"/>
            </w:pPr>
            <w:r>
              <w:t>2,773,912.88</w:t>
            </w:r>
          </w:p>
        </w:tc>
        <w:tc>
          <w:tcPr>
            <w:tcW w:w="991" w:type="dxa"/>
            <w:vAlign w:val="center"/>
          </w:tcPr>
          <w:p w:rsidR="0077068F" w:rsidRDefault="006A74CC">
            <w:pPr>
              <w:jc w:val="center"/>
            </w:pPr>
            <w:r>
              <w:t>0.00</w:t>
            </w:r>
          </w:p>
        </w:tc>
        <w:tc>
          <w:tcPr>
            <w:tcW w:w="851" w:type="dxa"/>
            <w:vAlign w:val="center"/>
          </w:tcPr>
          <w:p w:rsidR="0077068F" w:rsidRDefault="006A74CC">
            <w:pPr>
              <w:jc w:val="center"/>
            </w:pPr>
            <w:r>
              <w:t>0.00%</w:t>
            </w:r>
          </w:p>
        </w:tc>
      </w:tr>
      <w:tr w:rsidR="0077068F">
        <w:trPr>
          <w:jc w:val="center"/>
        </w:trPr>
        <w:tc>
          <w:tcPr>
            <w:tcW w:w="2128" w:type="dxa"/>
            <w:vMerge w:val="restart"/>
          </w:tcPr>
          <w:p w:rsidR="0077068F" w:rsidRDefault="0077068F"/>
          <w:p w:rsidR="0077068F" w:rsidRDefault="006A74CC">
            <w:r>
              <w:rPr>
                <w:rFonts w:eastAsiaTheme="minorEastAsia"/>
                <w:bCs/>
                <w:color w:val="000000" w:themeColor="text1"/>
                <w:szCs w:val="21"/>
              </w:rPr>
              <w:t>个人</w:t>
            </w:r>
          </w:p>
        </w:tc>
        <w:tc>
          <w:tcPr>
            <w:tcW w:w="709" w:type="dxa"/>
            <w:vAlign w:val="center"/>
          </w:tcPr>
          <w:p w:rsidR="0077068F" w:rsidRDefault="006A74CC">
            <w:pPr>
              <w:jc w:val="center"/>
            </w:pPr>
            <w:r>
              <w:t>1</w:t>
            </w:r>
          </w:p>
        </w:tc>
        <w:tc>
          <w:tcPr>
            <w:tcW w:w="1984" w:type="dxa"/>
            <w:vAlign w:val="center"/>
          </w:tcPr>
          <w:p w:rsidR="0077068F" w:rsidRDefault="006A74CC">
            <w:pPr>
              <w:jc w:val="center"/>
            </w:pPr>
            <w:r>
              <w:t>20181116-20181122</w:t>
            </w:r>
          </w:p>
        </w:tc>
        <w:tc>
          <w:tcPr>
            <w:tcW w:w="993" w:type="dxa"/>
            <w:vAlign w:val="center"/>
          </w:tcPr>
          <w:p w:rsidR="0077068F" w:rsidRDefault="006A74CC">
            <w:pPr>
              <w:jc w:val="center"/>
            </w:pPr>
            <w:r>
              <w:t>-</w:t>
            </w:r>
          </w:p>
        </w:tc>
        <w:tc>
          <w:tcPr>
            <w:tcW w:w="992" w:type="dxa"/>
            <w:vAlign w:val="center"/>
          </w:tcPr>
          <w:p w:rsidR="0077068F" w:rsidRDefault="006A74CC">
            <w:pPr>
              <w:jc w:val="center"/>
            </w:pPr>
            <w:r>
              <w:t>3,170,186.14</w:t>
            </w:r>
          </w:p>
        </w:tc>
        <w:tc>
          <w:tcPr>
            <w:tcW w:w="992" w:type="dxa"/>
            <w:vAlign w:val="center"/>
          </w:tcPr>
          <w:p w:rsidR="0077068F" w:rsidRDefault="006A74CC">
            <w:pPr>
              <w:jc w:val="center"/>
            </w:pPr>
            <w:r>
              <w:t>3,170,186.14</w:t>
            </w:r>
          </w:p>
        </w:tc>
        <w:tc>
          <w:tcPr>
            <w:tcW w:w="991" w:type="dxa"/>
            <w:vAlign w:val="center"/>
          </w:tcPr>
          <w:p w:rsidR="0077068F" w:rsidRDefault="006A74CC">
            <w:pPr>
              <w:jc w:val="center"/>
            </w:pPr>
            <w:r>
              <w:t>0.00</w:t>
            </w:r>
          </w:p>
        </w:tc>
        <w:tc>
          <w:tcPr>
            <w:tcW w:w="851" w:type="dxa"/>
            <w:vAlign w:val="center"/>
          </w:tcPr>
          <w:p w:rsidR="0077068F" w:rsidRDefault="006A74CC">
            <w:pPr>
              <w:jc w:val="center"/>
            </w:pPr>
            <w:r>
              <w:t>0.00%</w:t>
            </w:r>
          </w:p>
        </w:tc>
      </w:tr>
      <w:tr w:rsidR="0077068F">
        <w:trPr>
          <w:jc w:val="center"/>
        </w:trPr>
        <w:tc>
          <w:tcPr>
            <w:tcW w:w="2128" w:type="dxa"/>
            <w:vMerge w:val="restart"/>
          </w:tcPr>
          <w:p w:rsidR="0077068F" w:rsidRDefault="0077068F"/>
          <w:p w:rsidR="0077068F" w:rsidRDefault="006A74CC">
            <w:r>
              <w:t>广发中证全指主要消费交易型开放式指数证券投资基金发起式联接基金</w:t>
            </w:r>
          </w:p>
        </w:tc>
        <w:tc>
          <w:tcPr>
            <w:tcW w:w="709" w:type="dxa"/>
            <w:vAlign w:val="center"/>
          </w:tcPr>
          <w:p w:rsidR="0077068F" w:rsidRDefault="006A74CC">
            <w:pPr>
              <w:jc w:val="center"/>
            </w:pPr>
            <w:r>
              <w:t>1</w:t>
            </w:r>
          </w:p>
        </w:tc>
        <w:tc>
          <w:tcPr>
            <w:tcW w:w="1984" w:type="dxa"/>
            <w:vAlign w:val="center"/>
          </w:tcPr>
          <w:p w:rsidR="0077068F" w:rsidRDefault="006A74CC">
            <w:pPr>
              <w:jc w:val="center"/>
            </w:pPr>
            <w:r>
              <w:t>20180101-20180816</w:t>
            </w:r>
          </w:p>
        </w:tc>
        <w:tc>
          <w:tcPr>
            <w:tcW w:w="993" w:type="dxa"/>
            <w:vAlign w:val="center"/>
          </w:tcPr>
          <w:p w:rsidR="0077068F" w:rsidRDefault="006A74CC">
            <w:pPr>
              <w:jc w:val="center"/>
            </w:pPr>
            <w:r>
              <w:t>61,337,777.00</w:t>
            </w:r>
          </w:p>
        </w:tc>
        <w:tc>
          <w:tcPr>
            <w:tcW w:w="992" w:type="dxa"/>
            <w:vAlign w:val="center"/>
          </w:tcPr>
          <w:p w:rsidR="0077068F" w:rsidRDefault="006A74CC">
            <w:pPr>
              <w:jc w:val="center"/>
            </w:pPr>
            <w:r>
              <w:t>28,000,000.00</w:t>
            </w:r>
          </w:p>
        </w:tc>
        <w:tc>
          <w:tcPr>
            <w:tcW w:w="992" w:type="dxa"/>
            <w:vAlign w:val="center"/>
          </w:tcPr>
          <w:p w:rsidR="0077068F" w:rsidRDefault="006A74CC">
            <w:pPr>
              <w:jc w:val="center"/>
            </w:pPr>
            <w:r>
              <w:t>89,337,777.00</w:t>
            </w:r>
          </w:p>
        </w:tc>
        <w:tc>
          <w:tcPr>
            <w:tcW w:w="991" w:type="dxa"/>
            <w:vAlign w:val="center"/>
          </w:tcPr>
          <w:p w:rsidR="0077068F" w:rsidRDefault="006A74CC">
            <w:pPr>
              <w:jc w:val="center"/>
            </w:pPr>
            <w:r>
              <w:t>0.00</w:t>
            </w:r>
          </w:p>
        </w:tc>
        <w:tc>
          <w:tcPr>
            <w:tcW w:w="851" w:type="dxa"/>
            <w:vAlign w:val="center"/>
          </w:tcPr>
          <w:p w:rsidR="0077068F" w:rsidRDefault="006A74CC">
            <w:pPr>
              <w:jc w:val="center"/>
            </w:pPr>
            <w:r>
              <w:t>0.00%</w:t>
            </w:r>
          </w:p>
        </w:tc>
      </w:tr>
      <w:tr w:rsidR="009B581C">
        <w:trPr>
          <w:jc w:val="center"/>
        </w:trPr>
        <w:tc>
          <w:tcPr>
            <w:tcW w:w="9637" w:type="dxa"/>
            <w:gridSpan w:val="8"/>
            <w:vAlign w:val="center"/>
          </w:tcPr>
          <w:p w:rsidR="009B581C" w:rsidRDefault="00404602">
            <w:pPr>
              <w:autoSpaceDE w:val="0"/>
              <w:autoSpaceDN w:val="0"/>
              <w:adjustRightInd w:val="0"/>
              <w:jc w:val="center"/>
              <w:rPr>
                <w:szCs w:val="21"/>
              </w:rPr>
            </w:pPr>
            <w:r>
              <w:rPr>
                <w:color w:val="000000"/>
                <w:szCs w:val="21"/>
              </w:rPr>
              <w:t>产品特有风险</w:t>
            </w:r>
          </w:p>
        </w:tc>
      </w:tr>
      <w:tr w:rsidR="009B581C">
        <w:trPr>
          <w:jc w:val="center"/>
        </w:trPr>
        <w:tc>
          <w:tcPr>
            <w:tcW w:w="9637" w:type="dxa"/>
            <w:gridSpan w:val="8"/>
            <w:vAlign w:val="center"/>
          </w:tcPr>
          <w:p w:rsidR="009B581C" w:rsidRDefault="00404602">
            <w:pPr>
              <w:autoSpaceDE w:val="0"/>
              <w:autoSpaceDN w:val="0"/>
              <w:adjustRightInd w:val="0"/>
              <w:jc w:val="left"/>
              <w:rPr>
                <w:szCs w:val="21"/>
              </w:rPr>
            </w:pPr>
            <w:r>
              <w:rPr>
                <w:szCs w:val="21"/>
              </w:rPr>
              <w:t>报告期内，本基金存在单一投资者持有份额比例达到或超过</w:t>
            </w:r>
            <w:r>
              <w:rPr>
                <w:szCs w:val="21"/>
              </w:rPr>
              <w:t>20%</w:t>
            </w:r>
            <w:r>
              <w:rPr>
                <w:szCs w:val="21"/>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Pr>
                <w:szCs w:val="21"/>
              </w:rPr>
              <w:t xml:space="preserve"> 5000 </w:t>
            </w:r>
            <w:r>
              <w:rPr>
                <w:szCs w:val="21"/>
              </w:rPr>
              <w:t>万元，基金还可能面临转换运作方式、与其他基金合并或者终止基金合同等情形。本基金管理人将对基金的大额申赎进行审慎评估并合理应对，完善流动性风险管控机制，切实保护持有人利益。</w:t>
            </w:r>
          </w:p>
        </w:tc>
      </w:tr>
    </w:tbl>
    <w:p w:rsidR="009B581C" w:rsidRDefault="00404602">
      <w:pPr>
        <w:spacing w:line="360" w:lineRule="auto"/>
        <w:ind w:left="840"/>
        <w:jc w:val="right"/>
        <w:rPr>
          <w:rFonts w:eastAsiaTheme="minorEastAsia"/>
          <w:b/>
          <w:bCs/>
          <w:szCs w:val="21"/>
        </w:rPr>
      </w:pPr>
      <w:r>
        <w:rPr>
          <w:rFonts w:eastAsiaTheme="minorEastAsia"/>
          <w:b/>
          <w:bCs/>
          <w:szCs w:val="21"/>
        </w:rPr>
        <w:t>广发基金管理有限公司</w:t>
      </w:r>
    </w:p>
    <w:p w:rsidR="009B581C" w:rsidRDefault="00404602">
      <w:pPr>
        <w:spacing w:line="360" w:lineRule="auto"/>
        <w:ind w:left="840"/>
        <w:jc w:val="right"/>
        <w:rPr>
          <w:rFonts w:eastAsiaTheme="minorEastAsia"/>
          <w:b/>
          <w:bCs/>
          <w:szCs w:val="21"/>
        </w:rPr>
      </w:pPr>
      <w:r>
        <w:rPr>
          <w:rFonts w:eastAsiaTheme="minorEastAsia"/>
          <w:b/>
          <w:bCs/>
          <w:szCs w:val="21"/>
        </w:rPr>
        <w:t>二〇一九年三月三十日</w:t>
      </w:r>
    </w:p>
    <w:p w:rsidR="009B581C" w:rsidRDefault="009B581C">
      <w:pPr>
        <w:spacing w:line="360" w:lineRule="auto"/>
        <w:rPr>
          <w:rFonts w:eastAsiaTheme="minorEastAsia"/>
          <w:szCs w:val="21"/>
        </w:rPr>
      </w:pPr>
    </w:p>
    <w:sectPr w:rsidR="009B581C" w:rsidSect="0077068F">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02" w:rsidRDefault="00404602">
      <w:r>
        <w:separator/>
      </w:r>
    </w:p>
  </w:endnote>
  <w:endnote w:type="continuationSeparator" w:id="1">
    <w:p w:rsidR="00404602" w:rsidRDefault="00404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1C" w:rsidRDefault="0077068F">
    <w:pPr>
      <w:pStyle w:val="ab"/>
      <w:framePr w:wrap="around" w:vAnchor="text" w:hAnchor="margin" w:xAlign="right" w:y="1"/>
      <w:rPr>
        <w:rStyle w:val="af3"/>
      </w:rPr>
    </w:pPr>
    <w:r>
      <w:rPr>
        <w:rStyle w:val="af3"/>
      </w:rPr>
      <w:fldChar w:fldCharType="begin"/>
    </w:r>
    <w:r w:rsidR="00404602">
      <w:rPr>
        <w:rStyle w:val="af3"/>
      </w:rPr>
      <w:instrText xml:space="preserve">PAGE  </w:instrText>
    </w:r>
    <w:r>
      <w:rPr>
        <w:rStyle w:val="af3"/>
      </w:rPr>
      <w:fldChar w:fldCharType="end"/>
    </w:r>
  </w:p>
  <w:p w:rsidR="009B581C" w:rsidRDefault="009B581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1C" w:rsidRDefault="00404602">
    <w:pPr>
      <w:pStyle w:val="ab"/>
      <w:ind w:right="360"/>
      <w:jc w:val="center"/>
    </w:pPr>
    <w:r>
      <w:rPr>
        <w:rFonts w:hint="eastAsia"/>
        <w:kern w:val="0"/>
        <w:szCs w:val="21"/>
      </w:rPr>
      <w:t>第</w:t>
    </w:r>
    <w:r w:rsidR="0077068F">
      <w:rPr>
        <w:kern w:val="0"/>
        <w:szCs w:val="21"/>
      </w:rPr>
      <w:fldChar w:fldCharType="begin"/>
    </w:r>
    <w:r>
      <w:rPr>
        <w:kern w:val="0"/>
        <w:szCs w:val="21"/>
      </w:rPr>
      <w:instrText xml:space="preserve"> PAGE </w:instrText>
    </w:r>
    <w:r w:rsidR="0077068F">
      <w:rPr>
        <w:kern w:val="0"/>
        <w:szCs w:val="21"/>
      </w:rPr>
      <w:fldChar w:fldCharType="separate"/>
    </w:r>
    <w:r w:rsidR="006A74CC">
      <w:rPr>
        <w:noProof/>
        <w:kern w:val="0"/>
        <w:szCs w:val="21"/>
      </w:rPr>
      <w:t>2</w:t>
    </w:r>
    <w:r w:rsidR="0077068F">
      <w:rPr>
        <w:kern w:val="0"/>
        <w:szCs w:val="21"/>
      </w:rPr>
      <w:fldChar w:fldCharType="end"/>
    </w:r>
    <w:r>
      <w:rPr>
        <w:rFonts w:hint="eastAsia"/>
        <w:kern w:val="0"/>
        <w:szCs w:val="21"/>
      </w:rPr>
      <w:t>页共</w:t>
    </w:r>
    <w:r w:rsidR="0077068F">
      <w:rPr>
        <w:kern w:val="0"/>
        <w:szCs w:val="21"/>
      </w:rPr>
      <w:fldChar w:fldCharType="begin"/>
    </w:r>
    <w:r>
      <w:rPr>
        <w:kern w:val="0"/>
        <w:szCs w:val="21"/>
      </w:rPr>
      <w:instrText xml:space="preserve"> NUMPAGES </w:instrText>
    </w:r>
    <w:r w:rsidR="0077068F">
      <w:rPr>
        <w:kern w:val="0"/>
        <w:szCs w:val="21"/>
      </w:rPr>
      <w:fldChar w:fldCharType="separate"/>
    </w:r>
    <w:r w:rsidR="006A74CC">
      <w:rPr>
        <w:noProof/>
        <w:kern w:val="0"/>
        <w:szCs w:val="21"/>
      </w:rPr>
      <w:t>3</w:t>
    </w:r>
    <w:r w:rsidR="0077068F">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02" w:rsidRDefault="00404602">
      <w:r>
        <w:separator/>
      </w:r>
    </w:p>
  </w:footnote>
  <w:footnote w:type="continuationSeparator" w:id="1">
    <w:p w:rsidR="00404602" w:rsidRDefault="00404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1C" w:rsidRDefault="00404602">
    <w:pPr>
      <w:pStyle w:val="ac"/>
      <w:pBdr>
        <w:bottom w:val="single" w:sz="6" w:space="0" w:color="auto"/>
      </w:pBdr>
      <w:jc w:val="right"/>
    </w:pPr>
    <w:r>
      <w:rPr>
        <w:sz w:val="21"/>
        <w:szCs w:val="21"/>
      </w:rPr>
      <w:t>广发中证全指主要消费交易型开放式指数证券投资基金</w:t>
    </w:r>
    <w:r>
      <w:rPr>
        <w:sz w:val="21"/>
        <w:szCs w:val="21"/>
      </w:rPr>
      <w:t>2018</w:t>
    </w:r>
    <w:r>
      <w:rPr>
        <w:sz w:val="21"/>
        <w:szCs w:val="21"/>
      </w:rPr>
      <w:t>年年度报告</w:t>
    </w:r>
    <w:r>
      <w:rPr>
        <w:rFonts w:hint="eastAsia"/>
        <w:sz w:val="21"/>
        <w:szCs w:val="21"/>
      </w:rPr>
      <w:t>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19B6"/>
    <w:rsid w:val="00001B39"/>
    <w:rsid w:val="00002644"/>
    <w:rsid w:val="00003577"/>
    <w:rsid w:val="0000403B"/>
    <w:rsid w:val="00004337"/>
    <w:rsid w:val="00005172"/>
    <w:rsid w:val="0000551D"/>
    <w:rsid w:val="00005911"/>
    <w:rsid w:val="000102A7"/>
    <w:rsid w:val="00010918"/>
    <w:rsid w:val="00010A83"/>
    <w:rsid w:val="00010A8E"/>
    <w:rsid w:val="00010AC3"/>
    <w:rsid w:val="00010C1F"/>
    <w:rsid w:val="00010F11"/>
    <w:rsid w:val="00011081"/>
    <w:rsid w:val="00011850"/>
    <w:rsid w:val="00011EB5"/>
    <w:rsid w:val="0001280C"/>
    <w:rsid w:val="00013CAE"/>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59"/>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A5"/>
    <w:rsid w:val="000430CA"/>
    <w:rsid w:val="0004381B"/>
    <w:rsid w:val="00043ABF"/>
    <w:rsid w:val="00044158"/>
    <w:rsid w:val="000445E4"/>
    <w:rsid w:val="00045D10"/>
    <w:rsid w:val="000471B4"/>
    <w:rsid w:val="0004778D"/>
    <w:rsid w:val="00047D10"/>
    <w:rsid w:val="00050260"/>
    <w:rsid w:val="000510AB"/>
    <w:rsid w:val="000514E0"/>
    <w:rsid w:val="00051D0B"/>
    <w:rsid w:val="00053091"/>
    <w:rsid w:val="00053242"/>
    <w:rsid w:val="0005346A"/>
    <w:rsid w:val="000534CD"/>
    <w:rsid w:val="00053EED"/>
    <w:rsid w:val="0005448A"/>
    <w:rsid w:val="00054499"/>
    <w:rsid w:val="00055AF1"/>
    <w:rsid w:val="00055D56"/>
    <w:rsid w:val="000573B5"/>
    <w:rsid w:val="00057A1D"/>
    <w:rsid w:val="00060597"/>
    <w:rsid w:val="00060744"/>
    <w:rsid w:val="00060A2C"/>
    <w:rsid w:val="00060CB4"/>
    <w:rsid w:val="00061167"/>
    <w:rsid w:val="00061582"/>
    <w:rsid w:val="00062997"/>
    <w:rsid w:val="00063D34"/>
    <w:rsid w:val="0006475F"/>
    <w:rsid w:val="00064AE3"/>
    <w:rsid w:val="00064FC8"/>
    <w:rsid w:val="00065208"/>
    <w:rsid w:val="00066524"/>
    <w:rsid w:val="000671A3"/>
    <w:rsid w:val="00070549"/>
    <w:rsid w:val="00070CD1"/>
    <w:rsid w:val="00071022"/>
    <w:rsid w:val="0007171B"/>
    <w:rsid w:val="000717A1"/>
    <w:rsid w:val="00072DE0"/>
    <w:rsid w:val="00073DB1"/>
    <w:rsid w:val="00073EA5"/>
    <w:rsid w:val="00073F87"/>
    <w:rsid w:val="00074730"/>
    <w:rsid w:val="00075473"/>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4456"/>
    <w:rsid w:val="000E4505"/>
    <w:rsid w:val="000E6184"/>
    <w:rsid w:val="000E67FE"/>
    <w:rsid w:val="000E7B5C"/>
    <w:rsid w:val="000F0C0A"/>
    <w:rsid w:val="000F175F"/>
    <w:rsid w:val="000F17D1"/>
    <w:rsid w:val="000F255E"/>
    <w:rsid w:val="000F285F"/>
    <w:rsid w:val="000F2C75"/>
    <w:rsid w:val="000F3506"/>
    <w:rsid w:val="000F3D89"/>
    <w:rsid w:val="000F5122"/>
    <w:rsid w:val="000F5396"/>
    <w:rsid w:val="000F5704"/>
    <w:rsid w:val="000F593E"/>
    <w:rsid w:val="000F60F3"/>
    <w:rsid w:val="000F60FF"/>
    <w:rsid w:val="000F635F"/>
    <w:rsid w:val="000F6C61"/>
    <w:rsid w:val="000F6F41"/>
    <w:rsid w:val="000F754C"/>
    <w:rsid w:val="00100C12"/>
    <w:rsid w:val="001013A8"/>
    <w:rsid w:val="00101C35"/>
    <w:rsid w:val="00102046"/>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7C7"/>
    <w:rsid w:val="00126502"/>
    <w:rsid w:val="001268F9"/>
    <w:rsid w:val="00126AF2"/>
    <w:rsid w:val="00126DDF"/>
    <w:rsid w:val="001270BF"/>
    <w:rsid w:val="00127BAC"/>
    <w:rsid w:val="00127FF5"/>
    <w:rsid w:val="00131EC2"/>
    <w:rsid w:val="00132E82"/>
    <w:rsid w:val="0013374F"/>
    <w:rsid w:val="00134789"/>
    <w:rsid w:val="00135467"/>
    <w:rsid w:val="00135D7E"/>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492"/>
    <w:rsid w:val="00147D41"/>
    <w:rsid w:val="0015080E"/>
    <w:rsid w:val="00150AD6"/>
    <w:rsid w:val="0015173F"/>
    <w:rsid w:val="00151B23"/>
    <w:rsid w:val="00152B88"/>
    <w:rsid w:val="00152EE6"/>
    <w:rsid w:val="001535AE"/>
    <w:rsid w:val="001539AA"/>
    <w:rsid w:val="00153B40"/>
    <w:rsid w:val="00153BCF"/>
    <w:rsid w:val="00154ADA"/>
    <w:rsid w:val="00154B08"/>
    <w:rsid w:val="00154C47"/>
    <w:rsid w:val="0015531A"/>
    <w:rsid w:val="00157418"/>
    <w:rsid w:val="00157B5A"/>
    <w:rsid w:val="0016050B"/>
    <w:rsid w:val="00162C6F"/>
    <w:rsid w:val="0016380C"/>
    <w:rsid w:val="00163816"/>
    <w:rsid w:val="00163B27"/>
    <w:rsid w:val="0016425E"/>
    <w:rsid w:val="00164BF7"/>
    <w:rsid w:val="00165317"/>
    <w:rsid w:val="001657AB"/>
    <w:rsid w:val="0016724C"/>
    <w:rsid w:val="0017073D"/>
    <w:rsid w:val="00170D38"/>
    <w:rsid w:val="00171484"/>
    <w:rsid w:val="00171BAD"/>
    <w:rsid w:val="00171F2C"/>
    <w:rsid w:val="00172045"/>
    <w:rsid w:val="00173AF1"/>
    <w:rsid w:val="001744B4"/>
    <w:rsid w:val="001751EF"/>
    <w:rsid w:val="001756A1"/>
    <w:rsid w:val="001761EE"/>
    <w:rsid w:val="00176EAA"/>
    <w:rsid w:val="00177030"/>
    <w:rsid w:val="0017725A"/>
    <w:rsid w:val="00177405"/>
    <w:rsid w:val="0017761A"/>
    <w:rsid w:val="00177C4B"/>
    <w:rsid w:val="00177F6A"/>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1A9"/>
    <w:rsid w:val="001A2A97"/>
    <w:rsid w:val="001A364F"/>
    <w:rsid w:val="001A39B7"/>
    <w:rsid w:val="001A3AF4"/>
    <w:rsid w:val="001A42FA"/>
    <w:rsid w:val="001A4AEC"/>
    <w:rsid w:val="001A5743"/>
    <w:rsid w:val="001A59D8"/>
    <w:rsid w:val="001A59F9"/>
    <w:rsid w:val="001A5FA6"/>
    <w:rsid w:val="001A668F"/>
    <w:rsid w:val="001A71CC"/>
    <w:rsid w:val="001A7F30"/>
    <w:rsid w:val="001B03FB"/>
    <w:rsid w:val="001B04D4"/>
    <w:rsid w:val="001B0A5D"/>
    <w:rsid w:val="001B25CD"/>
    <w:rsid w:val="001B261A"/>
    <w:rsid w:val="001B2D52"/>
    <w:rsid w:val="001B2F0C"/>
    <w:rsid w:val="001B30CA"/>
    <w:rsid w:val="001B3513"/>
    <w:rsid w:val="001B353A"/>
    <w:rsid w:val="001B3D3E"/>
    <w:rsid w:val="001B50CD"/>
    <w:rsid w:val="001B52FE"/>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38F2"/>
    <w:rsid w:val="001D5045"/>
    <w:rsid w:val="001D5494"/>
    <w:rsid w:val="001D5A44"/>
    <w:rsid w:val="001D5A62"/>
    <w:rsid w:val="001D6213"/>
    <w:rsid w:val="001D724B"/>
    <w:rsid w:val="001E03BE"/>
    <w:rsid w:val="001E0AAA"/>
    <w:rsid w:val="001E0F28"/>
    <w:rsid w:val="001E11D3"/>
    <w:rsid w:val="001E15F1"/>
    <w:rsid w:val="001E1C4F"/>
    <w:rsid w:val="001E287E"/>
    <w:rsid w:val="001E2A6A"/>
    <w:rsid w:val="001E3DC2"/>
    <w:rsid w:val="001E4E2C"/>
    <w:rsid w:val="001E56FF"/>
    <w:rsid w:val="001E5C6B"/>
    <w:rsid w:val="001E6EBF"/>
    <w:rsid w:val="001E7ADB"/>
    <w:rsid w:val="001F0307"/>
    <w:rsid w:val="001F03E1"/>
    <w:rsid w:val="001F03EC"/>
    <w:rsid w:val="001F221F"/>
    <w:rsid w:val="001F3CC6"/>
    <w:rsid w:val="001F3EE3"/>
    <w:rsid w:val="001F3F50"/>
    <w:rsid w:val="001F4530"/>
    <w:rsid w:val="001F5CE2"/>
    <w:rsid w:val="001F5DBA"/>
    <w:rsid w:val="001F5DE3"/>
    <w:rsid w:val="001F5F74"/>
    <w:rsid w:val="001F790F"/>
    <w:rsid w:val="002010DE"/>
    <w:rsid w:val="00201962"/>
    <w:rsid w:val="00201B58"/>
    <w:rsid w:val="00202968"/>
    <w:rsid w:val="00202C32"/>
    <w:rsid w:val="00203973"/>
    <w:rsid w:val="00203AEF"/>
    <w:rsid w:val="00204CB6"/>
    <w:rsid w:val="00207A65"/>
    <w:rsid w:val="00210CF1"/>
    <w:rsid w:val="00211520"/>
    <w:rsid w:val="00211615"/>
    <w:rsid w:val="00211A26"/>
    <w:rsid w:val="00212249"/>
    <w:rsid w:val="002125F7"/>
    <w:rsid w:val="00212901"/>
    <w:rsid w:val="00212DFE"/>
    <w:rsid w:val="002136AC"/>
    <w:rsid w:val="0021397C"/>
    <w:rsid w:val="00214463"/>
    <w:rsid w:val="00214756"/>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8F3"/>
    <w:rsid w:val="002330CE"/>
    <w:rsid w:val="0023323F"/>
    <w:rsid w:val="002334A5"/>
    <w:rsid w:val="00234202"/>
    <w:rsid w:val="002359EB"/>
    <w:rsid w:val="00235AF6"/>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F49"/>
    <w:rsid w:val="00242FA2"/>
    <w:rsid w:val="00244740"/>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41BE"/>
    <w:rsid w:val="002742D7"/>
    <w:rsid w:val="002752EA"/>
    <w:rsid w:val="00275EAD"/>
    <w:rsid w:val="00276B03"/>
    <w:rsid w:val="002773FB"/>
    <w:rsid w:val="002774F0"/>
    <w:rsid w:val="00277722"/>
    <w:rsid w:val="00280DB6"/>
    <w:rsid w:val="002813C5"/>
    <w:rsid w:val="00281D9D"/>
    <w:rsid w:val="00282C23"/>
    <w:rsid w:val="0028315D"/>
    <w:rsid w:val="00283687"/>
    <w:rsid w:val="00283885"/>
    <w:rsid w:val="002839A4"/>
    <w:rsid w:val="0028459B"/>
    <w:rsid w:val="00284C5F"/>
    <w:rsid w:val="0028507E"/>
    <w:rsid w:val="00286183"/>
    <w:rsid w:val="002869EF"/>
    <w:rsid w:val="002873F0"/>
    <w:rsid w:val="00287762"/>
    <w:rsid w:val="00290793"/>
    <w:rsid w:val="00290FC7"/>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A7F5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F0F79"/>
    <w:rsid w:val="002F1C9E"/>
    <w:rsid w:val="002F1EB2"/>
    <w:rsid w:val="002F25C3"/>
    <w:rsid w:val="002F280E"/>
    <w:rsid w:val="002F2CBB"/>
    <w:rsid w:val="002F3470"/>
    <w:rsid w:val="002F3709"/>
    <w:rsid w:val="002F3A6C"/>
    <w:rsid w:val="002F4296"/>
    <w:rsid w:val="002F5777"/>
    <w:rsid w:val="002F60EA"/>
    <w:rsid w:val="002F680E"/>
    <w:rsid w:val="002F6FFD"/>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1864"/>
    <w:rsid w:val="00311F79"/>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87D"/>
    <w:rsid w:val="0034096C"/>
    <w:rsid w:val="003410A1"/>
    <w:rsid w:val="00341188"/>
    <w:rsid w:val="0034147B"/>
    <w:rsid w:val="003424CB"/>
    <w:rsid w:val="003439DB"/>
    <w:rsid w:val="003444EB"/>
    <w:rsid w:val="00344FBE"/>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F81"/>
    <w:rsid w:val="00361E7E"/>
    <w:rsid w:val="00362ACD"/>
    <w:rsid w:val="003648F2"/>
    <w:rsid w:val="00364FA1"/>
    <w:rsid w:val="00366B02"/>
    <w:rsid w:val="003671F5"/>
    <w:rsid w:val="00370005"/>
    <w:rsid w:val="00370096"/>
    <w:rsid w:val="00370AA4"/>
    <w:rsid w:val="00370FB7"/>
    <w:rsid w:val="003711F2"/>
    <w:rsid w:val="003717FC"/>
    <w:rsid w:val="00371AF7"/>
    <w:rsid w:val="00371FF4"/>
    <w:rsid w:val="003723C2"/>
    <w:rsid w:val="0037269C"/>
    <w:rsid w:val="0037275D"/>
    <w:rsid w:val="00372797"/>
    <w:rsid w:val="0037470E"/>
    <w:rsid w:val="00375CC4"/>
    <w:rsid w:val="00376103"/>
    <w:rsid w:val="003767B3"/>
    <w:rsid w:val="00376B49"/>
    <w:rsid w:val="00376FC5"/>
    <w:rsid w:val="00377520"/>
    <w:rsid w:val="00380D36"/>
    <w:rsid w:val="00380F49"/>
    <w:rsid w:val="003822D3"/>
    <w:rsid w:val="003828F5"/>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3302"/>
    <w:rsid w:val="00395B3E"/>
    <w:rsid w:val="00395CAA"/>
    <w:rsid w:val="00396588"/>
    <w:rsid w:val="00396863"/>
    <w:rsid w:val="00397156"/>
    <w:rsid w:val="00397960"/>
    <w:rsid w:val="003A0663"/>
    <w:rsid w:val="003A0FD0"/>
    <w:rsid w:val="003A1FE0"/>
    <w:rsid w:val="003A3B3B"/>
    <w:rsid w:val="003A3BC4"/>
    <w:rsid w:val="003A3F9D"/>
    <w:rsid w:val="003A458A"/>
    <w:rsid w:val="003A4FE2"/>
    <w:rsid w:val="003A551D"/>
    <w:rsid w:val="003A5B8B"/>
    <w:rsid w:val="003A7E6F"/>
    <w:rsid w:val="003B05F2"/>
    <w:rsid w:val="003B0D04"/>
    <w:rsid w:val="003B208E"/>
    <w:rsid w:val="003B2F13"/>
    <w:rsid w:val="003B3353"/>
    <w:rsid w:val="003B405E"/>
    <w:rsid w:val="003B4712"/>
    <w:rsid w:val="003B47EB"/>
    <w:rsid w:val="003B48BA"/>
    <w:rsid w:val="003B5508"/>
    <w:rsid w:val="003B57D3"/>
    <w:rsid w:val="003B59CA"/>
    <w:rsid w:val="003B6067"/>
    <w:rsid w:val="003B6141"/>
    <w:rsid w:val="003C07BB"/>
    <w:rsid w:val="003C0892"/>
    <w:rsid w:val="003C08E3"/>
    <w:rsid w:val="003C09B5"/>
    <w:rsid w:val="003C0F62"/>
    <w:rsid w:val="003C1176"/>
    <w:rsid w:val="003C1D9A"/>
    <w:rsid w:val="003C1F58"/>
    <w:rsid w:val="003C48B1"/>
    <w:rsid w:val="003C4BC8"/>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8B5"/>
    <w:rsid w:val="003E04AE"/>
    <w:rsid w:val="003E099F"/>
    <w:rsid w:val="003E17DE"/>
    <w:rsid w:val="003E19FF"/>
    <w:rsid w:val="003E244F"/>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B8A"/>
    <w:rsid w:val="003F62BB"/>
    <w:rsid w:val="003F6580"/>
    <w:rsid w:val="003F6FEC"/>
    <w:rsid w:val="003F7C45"/>
    <w:rsid w:val="00400241"/>
    <w:rsid w:val="00401314"/>
    <w:rsid w:val="0040132C"/>
    <w:rsid w:val="0040141B"/>
    <w:rsid w:val="0040231A"/>
    <w:rsid w:val="004036C3"/>
    <w:rsid w:val="00403F0C"/>
    <w:rsid w:val="00404602"/>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4AE7"/>
    <w:rsid w:val="004153B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7334"/>
    <w:rsid w:val="00437C96"/>
    <w:rsid w:val="00437F46"/>
    <w:rsid w:val="004408EC"/>
    <w:rsid w:val="004416A4"/>
    <w:rsid w:val="00441E6A"/>
    <w:rsid w:val="00442AEE"/>
    <w:rsid w:val="00443C8F"/>
    <w:rsid w:val="00444C60"/>
    <w:rsid w:val="00444E35"/>
    <w:rsid w:val="0044502D"/>
    <w:rsid w:val="00445F6B"/>
    <w:rsid w:val="00447B61"/>
    <w:rsid w:val="00447CEF"/>
    <w:rsid w:val="00447E28"/>
    <w:rsid w:val="00450BA9"/>
    <w:rsid w:val="00451388"/>
    <w:rsid w:val="00452481"/>
    <w:rsid w:val="004528FA"/>
    <w:rsid w:val="00453DC8"/>
    <w:rsid w:val="00454BB6"/>
    <w:rsid w:val="00455165"/>
    <w:rsid w:val="00455821"/>
    <w:rsid w:val="00457804"/>
    <w:rsid w:val="00460304"/>
    <w:rsid w:val="00460AEF"/>
    <w:rsid w:val="00460C52"/>
    <w:rsid w:val="00460EF9"/>
    <w:rsid w:val="00461001"/>
    <w:rsid w:val="00462279"/>
    <w:rsid w:val="00463035"/>
    <w:rsid w:val="0046389C"/>
    <w:rsid w:val="004646BF"/>
    <w:rsid w:val="00464744"/>
    <w:rsid w:val="00465368"/>
    <w:rsid w:val="004665E3"/>
    <w:rsid w:val="0046760F"/>
    <w:rsid w:val="0047237D"/>
    <w:rsid w:val="00472561"/>
    <w:rsid w:val="004731F1"/>
    <w:rsid w:val="00473EB5"/>
    <w:rsid w:val="0047456B"/>
    <w:rsid w:val="00475251"/>
    <w:rsid w:val="004761E6"/>
    <w:rsid w:val="00477400"/>
    <w:rsid w:val="00480BC8"/>
    <w:rsid w:val="00481265"/>
    <w:rsid w:val="004814BF"/>
    <w:rsid w:val="00482649"/>
    <w:rsid w:val="004832A8"/>
    <w:rsid w:val="00483630"/>
    <w:rsid w:val="004836EA"/>
    <w:rsid w:val="00483F72"/>
    <w:rsid w:val="00485215"/>
    <w:rsid w:val="00485340"/>
    <w:rsid w:val="004856AF"/>
    <w:rsid w:val="0048587E"/>
    <w:rsid w:val="004873E8"/>
    <w:rsid w:val="00487C2B"/>
    <w:rsid w:val="004900FF"/>
    <w:rsid w:val="0049125B"/>
    <w:rsid w:val="00491C58"/>
    <w:rsid w:val="00491FAB"/>
    <w:rsid w:val="00492081"/>
    <w:rsid w:val="0049227D"/>
    <w:rsid w:val="0049297D"/>
    <w:rsid w:val="004929F2"/>
    <w:rsid w:val="00492F5E"/>
    <w:rsid w:val="00495A03"/>
    <w:rsid w:val="00495D1C"/>
    <w:rsid w:val="00495E28"/>
    <w:rsid w:val="00497079"/>
    <w:rsid w:val="00497450"/>
    <w:rsid w:val="00497F49"/>
    <w:rsid w:val="004A16E8"/>
    <w:rsid w:val="004A1BBA"/>
    <w:rsid w:val="004A207B"/>
    <w:rsid w:val="004A23C2"/>
    <w:rsid w:val="004A2CB1"/>
    <w:rsid w:val="004A3336"/>
    <w:rsid w:val="004A3DCB"/>
    <w:rsid w:val="004A3E3C"/>
    <w:rsid w:val="004A4069"/>
    <w:rsid w:val="004A484E"/>
    <w:rsid w:val="004A4FB6"/>
    <w:rsid w:val="004A6513"/>
    <w:rsid w:val="004B0E6D"/>
    <w:rsid w:val="004B16E8"/>
    <w:rsid w:val="004B2CA5"/>
    <w:rsid w:val="004B412E"/>
    <w:rsid w:val="004B51C9"/>
    <w:rsid w:val="004B5B92"/>
    <w:rsid w:val="004B6250"/>
    <w:rsid w:val="004B66F3"/>
    <w:rsid w:val="004B76B1"/>
    <w:rsid w:val="004B7800"/>
    <w:rsid w:val="004C0057"/>
    <w:rsid w:val="004C0541"/>
    <w:rsid w:val="004C0BBF"/>
    <w:rsid w:val="004C1D08"/>
    <w:rsid w:val="004C1D55"/>
    <w:rsid w:val="004C2836"/>
    <w:rsid w:val="004C2C35"/>
    <w:rsid w:val="004C2C46"/>
    <w:rsid w:val="004C3626"/>
    <w:rsid w:val="004C405B"/>
    <w:rsid w:val="004C4550"/>
    <w:rsid w:val="004C54CA"/>
    <w:rsid w:val="004C63DF"/>
    <w:rsid w:val="004C7235"/>
    <w:rsid w:val="004C75C5"/>
    <w:rsid w:val="004C7955"/>
    <w:rsid w:val="004D0213"/>
    <w:rsid w:val="004D047F"/>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8FC"/>
    <w:rsid w:val="004E0ADE"/>
    <w:rsid w:val="004E0B6E"/>
    <w:rsid w:val="004E2133"/>
    <w:rsid w:val="004E2BD2"/>
    <w:rsid w:val="004E395B"/>
    <w:rsid w:val="004E3CB2"/>
    <w:rsid w:val="004E3D3A"/>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7F4"/>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27B7B"/>
    <w:rsid w:val="00530A21"/>
    <w:rsid w:val="005310DD"/>
    <w:rsid w:val="00531851"/>
    <w:rsid w:val="005318CC"/>
    <w:rsid w:val="0053199E"/>
    <w:rsid w:val="00531D65"/>
    <w:rsid w:val="005334E4"/>
    <w:rsid w:val="005346AD"/>
    <w:rsid w:val="005349B1"/>
    <w:rsid w:val="00535AA4"/>
    <w:rsid w:val="00535C00"/>
    <w:rsid w:val="00535DA3"/>
    <w:rsid w:val="005364A6"/>
    <w:rsid w:val="005364AE"/>
    <w:rsid w:val="0053652C"/>
    <w:rsid w:val="0053659B"/>
    <w:rsid w:val="005368A0"/>
    <w:rsid w:val="005374BC"/>
    <w:rsid w:val="0054097B"/>
    <w:rsid w:val="00540A78"/>
    <w:rsid w:val="00540B00"/>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5B7"/>
    <w:rsid w:val="00554CAC"/>
    <w:rsid w:val="0055513C"/>
    <w:rsid w:val="0055637C"/>
    <w:rsid w:val="00556B00"/>
    <w:rsid w:val="005573FE"/>
    <w:rsid w:val="0055753F"/>
    <w:rsid w:val="00557618"/>
    <w:rsid w:val="00557782"/>
    <w:rsid w:val="00560C94"/>
    <w:rsid w:val="00560FD5"/>
    <w:rsid w:val="00561C0A"/>
    <w:rsid w:val="00562765"/>
    <w:rsid w:val="0056283B"/>
    <w:rsid w:val="0056291C"/>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5F6C"/>
    <w:rsid w:val="00576FEE"/>
    <w:rsid w:val="0057733C"/>
    <w:rsid w:val="0057737F"/>
    <w:rsid w:val="00577C32"/>
    <w:rsid w:val="005800A9"/>
    <w:rsid w:val="00580488"/>
    <w:rsid w:val="0058074D"/>
    <w:rsid w:val="00580FD1"/>
    <w:rsid w:val="00582FAD"/>
    <w:rsid w:val="00583489"/>
    <w:rsid w:val="0058391F"/>
    <w:rsid w:val="00583A80"/>
    <w:rsid w:val="00583E3F"/>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6EEB"/>
    <w:rsid w:val="005B7476"/>
    <w:rsid w:val="005B75B3"/>
    <w:rsid w:val="005B7688"/>
    <w:rsid w:val="005B7849"/>
    <w:rsid w:val="005B7B0E"/>
    <w:rsid w:val="005C04E3"/>
    <w:rsid w:val="005C0DFA"/>
    <w:rsid w:val="005C0FF0"/>
    <w:rsid w:val="005C1282"/>
    <w:rsid w:val="005C219B"/>
    <w:rsid w:val="005C3AFB"/>
    <w:rsid w:val="005C4505"/>
    <w:rsid w:val="005C492F"/>
    <w:rsid w:val="005C4B4C"/>
    <w:rsid w:val="005C5409"/>
    <w:rsid w:val="005C55D8"/>
    <w:rsid w:val="005C55EF"/>
    <w:rsid w:val="005C628C"/>
    <w:rsid w:val="005C6765"/>
    <w:rsid w:val="005C69AC"/>
    <w:rsid w:val="005C722E"/>
    <w:rsid w:val="005C7576"/>
    <w:rsid w:val="005C7759"/>
    <w:rsid w:val="005D01A4"/>
    <w:rsid w:val="005D072B"/>
    <w:rsid w:val="005D1394"/>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3F7"/>
    <w:rsid w:val="005E4EB2"/>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4D3"/>
    <w:rsid w:val="00630AB9"/>
    <w:rsid w:val="00630B42"/>
    <w:rsid w:val="0063104D"/>
    <w:rsid w:val="006310FC"/>
    <w:rsid w:val="00631688"/>
    <w:rsid w:val="006320D8"/>
    <w:rsid w:val="006321F5"/>
    <w:rsid w:val="00632540"/>
    <w:rsid w:val="00632E88"/>
    <w:rsid w:val="0063454C"/>
    <w:rsid w:val="00634DBB"/>
    <w:rsid w:val="00635002"/>
    <w:rsid w:val="00637C26"/>
    <w:rsid w:val="00640732"/>
    <w:rsid w:val="00642072"/>
    <w:rsid w:val="00643BA5"/>
    <w:rsid w:val="006440ED"/>
    <w:rsid w:val="0064467C"/>
    <w:rsid w:val="00644AB5"/>
    <w:rsid w:val="00645213"/>
    <w:rsid w:val="00645293"/>
    <w:rsid w:val="00645980"/>
    <w:rsid w:val="006468CB"/>
    <w:rsid w:val="00651927"/>
    <w:rsid w:val="00651A3C"/>
    <w:rsid w:val="00651B78"/>
    <w:rsid w:val="00652263"/>
    <w:rsid w:val="0065238F"/>
    <w:rsid w:val="006523FC"/>
    <w:rsid w:val="00652881"/>
    <w:rsid w:val="00652985"/>
    <w:rsid w:val="006533AE"/>
    <w:rsid w:val="006542A8"/>
    <w:rsid w:val="006551AE"/>
    <w:rsid w:val="00655F30"/>
    <w:rsid w:val="00657D9D"/>
    <w:rsid w:val="00661974"/>
    <w:rsid w:val="006623E2"/>
    <w:rsid w:val="006624E3"/>
    <w:rsid w:val="006640F9"/>
    <w:rsid w:val="00664551"/>
    <w:rsid w:val="00664685"/>
    <w:rsid w:val="00664B95"/>
    <w:rsid w:val="00665D5F"/>
    <w:rsid w:val="006676A0"/>
    <w:rsid w:val="006704F3"/>
    <w:rsid w:val="00670857"/>
    <w:rsid w:val="00671124"/>
    <w:rsid w:val="0067271C"/>
    <w:rsid w:val="006727B0"/>
    <w:rsid w:val="00672F43"/>
    <w:rsid w:val="0067307E"/>
    <w:rsid w:val="006739C0"/>
    <w:rsid w:val="00673F6D"/>
    <w:rsid w:val="00674850"/>
    <w:rsid w:val="00675116"/>
    <w:rsid w:val="00675D03"/>
    <w:rsid w:val="00676016"/>
    <w:rsid w:val="00676EA7"/>
    <w:rsid w:val="00680CD4"/>
    <w:rsid w:val="00682AAC"/>
    <w:rsid w:val="00682EFD"/>
    <w:rsid w:val="00683F61"/>
    <w:rsid w:val="00686A36"/>
    <w:rsid w:val="00687AD5"/>
    <w:rsid w:val="0069211A"/>
    <w:rsid w:val="00692B81"/>
    <w:rsid w:val="00692C4F"/>
    <w:rsid w:val="00692F83"/>
    <w:rsid w:val="006949D2"/>
    <w:rsid w:val="00694C5F"/>
    <w:rsid w:val="00695027"/>
    <w:rsid w:val="00695251"/>
    <w:rsid w:val="006953EF"/>
    <w:rsid w:val="00695689"/>
    <w:rsid w:val="00695ADE"/>
    <w:rsid w:val="00695C0D"/>
    <w:rsid w:val="00695CAE"/>
    <w:rsid w:val="00696356"/>
    <w:rsid w:val="006968EA"/>
    <w:rsid w:val="0069776C"/>
    <w:rsid w:val="006A015D"/>
    <w:rsid w:val="006A1645"/>
    <w:rsid w:val="006A2EA3"/>
    <w:rsid w:val="006A3CC1"/>
    <w:rsid w:val="006A4899"/>
    <w:rsid w:val="006A4B92"/>
    <w:rsid w:val="006A62E1"/>
    <w:rsid w:val="006A6566"/>
    <w:rsid w:val="006A7175"/>
    <w:rsid w:val="006A72C6"/>
    <w:rsid w:val="006A7310"/>
    <w:rsid w:val="006A74CC"/>
    <w:rsid w:val="006A74F4"/>
    <w:rsid w:val="006A7E68"/>
    <w:rsid w:val="006B02DA"/>
    <w:rsid w:val="006B08FB"/>
    <w:rsid w:val="006B2065"/>
    <w:rsid w:val="006B275B"/>
    <w:rsid w:val="006B30BF"/>
    <w:rsid w:val="006B38C6"/>
    <w:rsid w:val="006B3940"/>
    <w:rsid w:val="006B45A6"/>
    <w:rsid w:val="006B62F0"/>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CF3"/>
    <w:rsid w:val="006D2D08"/>
    <w:rsid w:val="006D2F35"/>
    <w:rsid w:val="006D3228"/>
    <w:rsid w:val="006D349E"/>
    <w:rsid w:val="006D41EF"/>
    <w:rsid w:val="006D44F2"/>
    <w:rsid w:val="006D4A94"/>
    <w:rsid w:val="006D53AA"/>
    <w:rsid w:val="006D6993"/>
    <w:rsid w:val="006E0D09"/>
    <w:rsid w:val="006E241F"/>
    <w:rsid w:val="006E24EE"/>
    <w:rsid w:val="006E25BD"/>
    <w:rsid w:val="006E3379"/>
    <w:rsid w:val="006E33C9"/>
    <w:rsid w:val="006E34B7"/>
    <w:rsid w:val="006E36B8"/>
    <w:rsid w:val="006E3874"/>
    <w:rsid w:val="006E50C7"/>
    <w:rsid w:val="006E5585"/>
    <w:rsid w:val="006E5E32"/>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6F7945"/>
    <w:rsid w:val="007004DC"/>
    <w:rsid w:val="00701093"/>
    <w:rsid w:val="007013D9"/>
    <w:rsid w:val="007022C4"/>
    <w:rsid w:val="007026E9"/>
    <w:rsid w:val="00702E1B"/>
    <w:rsid w:val="00703C8B"/>
    <w:rsid w:val="00703E8A"/>
    <w:rsid w:val="00704F60"/>
    <w:rsid w:val="007056F3"/>
    <w:rsid w:val="00706EA3"/>
    <w:rsid w:val="007078BE"/>
    <w:rsid w:val="00707A3C"/>
    <w:rsid w:val="00710BF6"/>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5306"/>
    <w:rsid w:val="007253CC"/>
    <w:rsid w:val="00726452"/>
    <w:rsid w:val="007264DF"/>
    <w:rsid w:val="00726F5A"/>
    <w:rsid w:val="0072708F"/>
    <w:rsid w:val="00730E81"/>
    <w:rsid w:val="00731000"/>
    <w:rsid w:val="00731204"/>
    <w:rsid w:val="007319BC"/>
    <w:rsid w:val="0073222B"/>
    <w:rsid w:val="00732582"/>
    <w:rsid w:val="00732D1D"/>
    <w:rsid w:val="007332C4"/>
    <w:rsid w:val="0073364B"/>
    <w:rsid w:val="00734381"/>
    <w:rsid w:val="00735F28"/>
    <w:rsid w:val="00736034"/>
    <w:rsid w:val="0073681C"/>
    <w:rsid w:val="0073725B"/>
    <w:rsid w:val="0074033C"/>
    <w:rsid w:val="0074050E"/>
    <w:rsid w:val="00740B66"/>
    <w:rsid w:val="00741AF8"/>
    <w:rsid w:val="00741EBE"/>
    <w:rsid w:val="00742181"/>
    <w:rsid w:val="007424EC"/>
    <w:rsid w:val="00742EDA"/>
    <w:rsid w:val="00742F5D"/>
    <w:rsid w:val="007440FA"/>
    <w:rsid w:val="00744201"/>
    <w:rsid w:val="0074460E"/>
    <w:rsid w:val="00744E53"/>
    <w:rsid w:val="00745B3E"/>
    <w:rsid w:val="00745FCE"/>
    <w:rsid w:val="00746130"/>
    <w:rsid w:val="00746A40"/>
    <w:rsid w:val="00746E6A"/>
    <w:rsid w:val="00747598"/>
    <w:rsid w:val="00750358"/>
    <w:rsid w:val="00751A95"/>
    <w:rsid w:val="007520A3"/>
    <w:rsid w:val="007526F5"/>
    <w:rsid w:val="00753C69"/>
    <w:rsid w:val="00754717"/>
    <w:rsid w:val="00754836"/>
    <w:rsid w:val="00754FB9"/>
    <w:rsid w:val="00755CDF"/>
    <w:rsid w:val="00756AD3"/>
    <w:rsid w:val="00757042"/>
    <w:rsid w:val="007578C3"/>
    <w:rsid w:val="00757A4C"/>
    <w:rsid w:val="00760895"/>
    <w:rsid w:val="00761D02"/>
    <w:rsid w:val="00762ABF"/>
    <w:rsid w:val="00764A94"/>
    <w:rsid w:val="00764B26"/>
    <w:rsid w:val="00764DBA"/>
    <w:rsid w:val="00764EA6"/>
    <w:rsid w:val="007651A9"/>
    <w:rsid w:val="007651E5"/>
    <w:rsid w:val="0076524F"/>
    <w:rsid w:val="00765584"/>
    <w:rsid w:val="007665B2"/>
    <w:rsid w:val="007670DC"/>
    <w:rsid w:val="00767356"/>
    <w:rsid w:val="00767EA9"/>
    <w:rsid w:val="0077068F"/>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BF"/>
    <w:rsid w:val="0078060F"/>
    <w:rsid w:val="00780820"/>
    <w:rsid w:val="00781808"/>
    <w:rsid w:val="007819A1"/>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637"/>
    <w:rsid w:val="007A0018"/>
    <w:rsid w:val="007A05A7"/>
    <w:rsid w:val="007A0ADE"/>
    <w:rsid w:val="007A1B35"/>
    <w:rsid w:val="007A3680"/>
    <w:rsid w:val="007A3BCD"/>
    <w:rsid w:val="007A50C4"/>
    <w:rsid w:val="007A5214"/>
    <w:rsid w:val="007A59B8"/>
    <w:rsid w:val="007A65AF"/>
    <w:rsid w:val="007A7682"/>
    <w:rsid w:val="007A7F42"/>
    <w:rsid w:val="007B0C38"/>
    <w:rsid w:val="007B2862"/>
    <w:rsid w:val="007B2FD8"/>
    <w:rsid w:val="007B3968"/>
    <w:rsid w:val="007B45AF"/>
    <w:rsid w:val="007B4DD0"/>
    <w:rsid w:val="007B611E"/>
    <w:rsid w:val="007B662A"/>
    <w:rsid w:val="007B71DC"/>
    <w:rsid w:val="007B7743"/>
    <w:rsid w:val="007C0076"/>
    <w:rsid w:val="007C04F4"/>
    <w:rsid w:val="007C2139"/>
    <w:rsid w:val="007C27DE"/>
    <w:rsid w:val="007C299E"/>
    <w:rsid w:val="007C3A11"/>
    <w:rsid w:val="007C525F"/>
    <w:rsid w:val="007C532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1AA2"/>
    <w:rsid w:val="007E1EB2"/>
    <w:rsid w:val="007E1F2C"/>
    <w:rsid w:val="007E2577"/>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2DE"/>
    <w:rsid w:val="00852B48"/>
    <w:rsid w:val="0085474D"/>
    <w:rsid w:val="0085606B"/>
    <w:rsid w:val="00856481"/>
    <w:rsid w:val="008567A2"/>
    <w:rsid w:val="00856E6C"/>
    <w:rsid w:val="00857DE1"/>
    <w:rsid w:val="00857EA7"/>
    <w:rsid w:val="00860793"/>
    <w:rsid w:val="00860AC3"/>
    <w:rsid w:val="00863011"/>
    <w:rsid w:val="00863C5B"/>
    <w:rsid w:val="00863D2E"/>
    <w:rsid w:val="00864E32"/>
    <w:rsid w:val="00865075"/>
    <w:rsid w:val="0086615F"/>
    <w:rsid w:val="0086748F"/>
    <w:rsid w:val="008725CB"/>
    <w:rsid w:val="00872757"/>
    <w:rsid w:val="00872BA6"/>
    <w:rsid w:val="00872CE4"/>
    <w:rsid w:val="00873AA4"/>
    <w:rsid w:val="00873CA8"/>
    <w:rsid w:val="00873F5D"/>
    <w:rsid w:val="008741AC"/>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FB8"/>
    <w:rsid w:val="008B4198"/>
    <w:rsid w:val="008B4C9F"/>
    <w:rsid w:val="008B586A"/>
    <w:rsid w:val="008B5CC9"/>
    <w:rsid w:val="008B6651"/>
    <w:rsid w:val="008B6E16"/>
    <w:rsid w:val="008B7110"/>
    <w:rsid w:val="008B7A20"/>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F70"/>
    <w:rsid w:val="008D50F9"/>
    <w:rsid w:val="008D5CAF"/>
    <w:rsid w:val="008D6709"/>
    <w:rsid w:val="008D78D2"/>
    <w:rsid w:val="008E083A"/>
    <w:rsid w:val="008E12AD"/>
    <w:rsid w:val="008E1F62"/>
    <w:rsid w:val="008E2152"/>
    <w:rsid w:val="008E22FF"/>
    <w:rsid w:val="008E2450"/>
    <w:rsid w:val="008E2DC8"/>
    <w:rsid w:val="008E2DCA"/>
    <w:rsid w:val="008E3F27"/>
    <w:rsid w:val="008E47EF"/>
    <w:rsid w:val="008E4E6E"/>
    <w:rsid w:val="008E5783"/>
    <w:rsid w:val="008E5DB7"/>
    <w:rsid w:val="008E61EB"/>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7CE"/>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0E80"/>
    <w:rsid w:val="00922567"/>
    <w:rsid w:val="009228DB"/>
    <w:rsid w:val="00922D49"/>
    <w:rsid w:val="009236B9"/>
    <w:rsid w:val="00925932"/>
    <w:rsid w:val="00925E37"/>
    <w:rsid w:val="00925EDD"/>
    <w:rsid w:val="00925F20"/>
    <w:rsid w:val="00926B3B"/>
    <w:rsid w:val="00927899"/>
    <w:rsid w:val="00927D0E"/>
    <w:rsid w:val="009309DA"/>
    <w:rsid w:val="00931040"/>
    <w:rsid w:val="00931663"/>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6671"/>
    <w:rsid w:val="00957466"/>
    <w:rsid w:val="009576F7"/>
    <w:rsid w:val="00960722"/>
    <w:rsid w:val="0096133D"/>
    <w:rsid w:val="00961356"/>
    <w:rsid w:val="00962401"/>
    <w:rsid w:val="00962510"/>
    <w:rsid w:val="0096260B"/>
    <w:rsid w:val="0096275C"/>
    <w:rsid w:val="009627FF"/>
    <w:rsid w:val="00962A27"/>
    <w:rsid w:val="00962B9D"/>
    <w:rsid w:val="00962EDC"/>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1126"/>
    <w:rsid w:val="009A1232"/>
    <w:rsid w:val="009A36E4"/>
    <w:rsid w:val="009A5564"/>
    <w:rsid w:val="009A7469"/>
    <w:rsid w:val="009B07EE"/>
    <w:rsid w:val="009B1584"/>
    <w:rsid w:val="009B1B32"/>
    <w:rsid w:val="009B21CA"/>
    <w:rsid w:val="009B2648"/>
    <w:rsid w:val="009B3343"/>
    <w:rsid w:val="009B424E"/>
    <w:rsid w:val="009B4317"/>
    <w:rsid w:val="009B4EBB"/>
    <w:rsid w:val="009B529C"/>
    <w:rsid w:val="009B581C"/>
    <w:rsid w:val="009B5860"/>
    <w:rsid w:val="009B6133"/>
    <w:rsid w:val="009B7332"/>
    <w:rsid w:val="009B7420"/>
    <w:rsid w:val="009B7B46"/>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C78BD"/>
    <w:rsid w:val="009D0411"/>
    <w:rsid w:val="009D14EB"/>
    <w:rsid w:val="009D1B18"/>
    <w:rsid w:val="009D1E70"/>
    <w:rsid w:val="009D1EA4"/>
    <w:rsid w:val="009D27AA"/>
    <w:rsid w:val="009D2BFD"/>
    <w:rsid w:val="009D2FF8"/>
    <w:rsid w:val="009D2FFA"/>
    <w:rsid w:val="009D3F20"/>
    <w:rsid w:val="009D428F"/>
    <w:rsid w:val="009D4991"/>
    <w:rsid w:val="009D515C"/>
    <w:rsid w:val="009D597B"/>
    <w:rsid w:val="009D5BB5"/>
    <w:rsid w:val="009D683D"/>
    <w:rsid w:val="009D696D"/>
    <w:rsid w:val="009D6993"/>
    <w:rsid w:val="009D6ED2"/>
    <w:rsid w:val="009E08B3"/>
    <w:rsid w:val="009E0A6A"/>
    <w:rsid w:val="009E0D0F"/>
    <w:rsid w:val="009E0F1A"/>
    <w:rsid w:val="009E140D"/>
    <w:rsid w:val="009E1A86"/>
    <w:rsid w:val="009E43DD"/>
    <w:rsid w:val="009E4465"/>
    <w:rsid w:val="009E5318"/>
    <w:rsid w:val="009E6401"/>
    <w:rsid w:val="009E6C54"/>
    <w:rsid w:val="009F04C8"/>
    <w:rsid w:val="009F0812"/>
    <w:rsid w:val="009F0E02"/>
    <w:rsid w:val="009F248B"/>
    <w:rsid w:val="009F2A25"/>
    <w:rsid w:val="009F3A1A"/>
    <w:rsid w:val="009F4C7D"/>
    <w:rsid w:val="009F5012"/>
    <w:rsid w:val="009F5235"/>
    <w:rsid w:val="009F531A"/>
    <w:rsid w:val="009F6344"/>
    <w:rsid w:val="009F6550"/>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2107"/>
    <w:rsid w:val="00A13A65"/>
    <w:rsid w:val="00A14589"/>
    <w:rsid w:val="00A14AE3"/>
    <w:rsid w:val="00A16675"/>
    <w:rsid w:val="00A17957"/>
    <w:rsid w:val="00A20404"/>
    <w:rsid w:val="00A21955"/>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708"/>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1534"/>
    <w:rsid w:val="00A627AD"/>
    <w:rsid w:val="00A63246"/>
    <w:rsid w:val="00A63284"/>
    <w:rsid w:val="00A63458"/>
    <w:rsid w:val="00A6372D"/>
    <w:rsid w:val="00A6401C"/>
    <w:rsid w:val="00A64CB8"/>
    <w:rsid w:val="00A66065"/>
    <w:rsid w:val="00A66291"/>
    <w:rsid w:val="00A66BDE"/>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F4F"/>
    <w:rsid w:val="00A92579"/>
    <w:rsid w:val="00A936F9"/>
    <w:rsid w:val="00A943D0"/>
    <w:rsid w:val="00A947AA"/>
    <w:rsid w:val="00A94888"/>
    <w:rsid w:val="00A9681C"/>
    <w:rsid w:val="00A96867"/>
    <w:rsid w:val="00A96B3D"/>
    <w:rsid w:val="00A978B4"/>
    <w:rsid w:val="00AA18AB"/>
    <w:rsid w:val="00AA1B53"/>
    <w:rsid w:val="00AA1DEA"/>
    <w:rsid w:val="00AA256D"/>
    <w:rsid w:val="00AA2B76"/>
    <w:rsid w:val="00AA311D"/>
    <w:rsid w:val="00AA3556"/>
    <w:rsid w:val="00AA35FD"/>
    <w:rsid w:val="00AA3DB7"/>
    <w:rsid w:val="00AA41D3"/>
    <w:rsid w:val="00AB0039"/>
    <w:rsid w:val="00AB067C"/>
    <w:rsid w:val="00AB0D96"/>
    <w:rsid w:val="00AB15A3"/>
    <w:rsid w:val="00AB177A"/>
    <w:rsid w:val="00AB216D"/>
    <w:rsid w:val="00AB3012"/>
    <w:rsid w:val="00AB311F"/>
    <w:rsid w:val="00AB321C"/>
    <w:rsid w:val="00AB37D2"/>
    <w:rsid w:val="00AB473F"/>
    <w:rsid w:val="00AB4C91"/>
    <w:rsid w:val="00AB4E3B"/>
    <w:rsid w:val="00AB5381"/>
    <w:rsid w:val="00AB54BF"/>
    <w:rsid w:val="00AB54C1"/>
    <w:rsid w:val="00AB688F"/>
    <w:rsid w:val="00AB75EA"/>
    <w:rsid w:val="00AB7AA2"/>
    <w:rsid w:val="00AC0A22"/>
    <w:rsid w:val="00AC0BB4"/>
    <w:rsid w:val="00AC1249"/>
    <w:rsid w:val="00AC1515"/>
    <w:rsid w:val="00AC2234"/>
    <w:rsid w:val="00AC22D8"/>
    <w:rsid w:val="00AC28DB"/>
    <w:rsid w:val="00AC2B04"/>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7B0"/>
    <w:rsid w:val="00AF109C"/>
    <w:rsid w:val="00AF1701"/>
    <w:rsid w:val="00AF1752"/>
    <w:rsid w:val="00AF3B9D"/>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6D4E"/>
    <w:rsid w:val="00B37EEF"/>
    <w:rsid w:val="00B418AD"/>
    <w:rsid w:val="00B42F1A"/>
    <w:rsid w:val="00B43790"/>
    <w:rsid w:val="00B43829"/>
    <w:rsid w:val="00B443D9"/>
    <w:rsid w:val="00B44531"/>
    <w:rsid w:val="00B4640F"/>
    <w:rsid w:val="00B46521"/>
    <w:rsid w:val="00B46587"/>
    <w:rsid w:val="00B47AD2"/>
    <w:rsid w:val="00B47CF7"/>
    <w:rsid w:val="00B50408"/>
    <w:rsid w:val="00B50686"/>
    <w:rsid w:val="00B50C50"/>
    <w:rsid w:val="00B513C0"/>
    <w:rsid w:val="00B535AF"/>
    <w:rsid w:val="00B53708"/>
    <w:rsid w:val="00B53DCB"/>
    <w:rsid w:val="00B5428F"/>
    <w:rsid w:val="00B54370"/>
    <w:rsid w:val="00B54460"/>
    <w:rsid w:val="00B54DEA"/>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663"/>
    <w:rsid w:val="00B81730"/>
    <w:rsid w:val="00B81C0E"/>
    <w:rsid w:val="00B81F60"/>
    <w:rsid w:val="00B82123"/>
    <w:rsid w:val="00B823D4"/>
    <w:rsid w:val="00B8314A"/>
    <w:rsid w:val="00B841AC"/>
    <w:rsid w:val="00B85869"/>
    <w:rsid w:val="00B85873"/>
    <w:rsid w:val="00B85E95"/>
    <w:rsid w:val="00B85ECF"/>
    <w:rsid w:val="00B865B0"/>
    <w:rsid w:val="00B865DC"/>
    <w:rsid w:val="00B870E8"/>
    <w:rsid w:val="00B875E3"/>
    <w:rsid w:val="00B87C29"/>
    <w:rsid w:val="00B90780"/>
    <w:rsid w:val="00B90968"/>
    <w:rsid w:val="00B90BC6"/>
    <w:rsid w:val="00B91644"/>
    <w:rsid w:val="00B91BC2"/>
    <w:rsid w:val="00B9240D"/>
    <w:rsid w:val="00B94960"/>
    <w:rsid w:val="00B94AF7"/>
    <w:rsid w:val="00B96F6E"/>
    <w:rsid w:val="00BA22A8"/>
    <w:rsid w:val="00BA309F"/>
    <w:rsid w:val="00BA3E48"/>
    <w:rsid w:val="00BA47AA"/>
    <w:rsid w:val="00BA4905"/>
    <w:rsid w:val="00BA4BD3"/>
    <w:rsid w:val="00BA535D"/>
    <w:rsid w:val="00BA53F3"/>
    <w:rsid w:val="00BA6E49"/>
    <w:rsid w:val="00BB0187"/>
    <w:rsid w:val="00BB06E7"/>
    <w:rsid w:val="00BB0E56"/>
    <w:rsid w:val="00BB1EB3"/>
    <w:rsid w:val="00BB2147"/>
    <w:rsid w:val="00BB2678"/>
    <w:rsid w:val="00BB3077"/>
    <w:rsid w:val="00BB33A8"/>
    <w:rsid w:val="00BB3927"/>
    <w:rsid w:val="00BB3D8C"/>
    <w:rsid w:val="00BB40F2"/>
    <w:rsid w:val="00BB4B39"/>
    <w:rsid w:val="00BB53AF"/>
    <w:rsid w:val="00BB5883"/>
    <w:rsid w:val="00BB5C26"/>
    <w:rsid w:val="00BB6A40"/>
    <w:rsid w:val="00BC013A"/>
    <w:rsid w:val="00BC162A"/>
    <w:rsid w:val="00BC1AB7"/>
    <w:rsid w:val="00BC2060"/>
    <w:rsid w:val="00BC2343"/>
    <w:rsid w:val="00BC5824"/>
    <w:rsid w:val="00BC584D"/>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6018"/>
    <w:rsid w:val="00BE6212"/>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BA2"/>
    <w:rsid w:val="00C23BEA"/>
    <w:rsid w:val="00C2485F"/>
    <w:rsid w:val="00C248B1"/>
    <w:rsid w:val="00C24B63"/>
    <w:rsid w:val="00C2542B"/>
    <w:rsid w:val="00C25C1B"/>
    <w:rsid w:val="00C262A0"/>
    <w:rsid w:val="00C26A4E"/>
    <w:rsid w:val="00C2755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BE"/>
    <w:rsid w:val="00C403CD"/>
    <w:rsid w:val="00C411C4"/>
    <w:rsid w:val="00C42041"/>
    <w:rsid w:val="00C434C4"/>
    <w:rsid w:val="00C43934"/>
    <w:rsid w:val="00C439FB"/>
    <w:rsid w:val="00C43AA8"/>
    <w:rsid w:val="00C43F23"/>
    <w:rsid w:val="00C441A4"/>
    <w:rsid w:val="00C444F3"/>
    <w:rsid w:val="00C46234"/>
    <w:rsid w:val="00C463C9"/>
    <w:rsid w:val="00C466CF"/>
    <w:rsid w:val="00C47648"/>
    <w:rsid w:val="00C47852"/>
    <w:rsid w:val="00C50011"/>
    <w:rsid w:val="00C503E4"/>
    <w:rsid w:val="00C507B9"/>
    <w:rsid w:val="00C51C77"/>
    <w:rsid w:val="00C5254B"/>
    <w:rsid w:val="00C54F7F"/>
    <w:rsid w:val="00C55D39"/>
    <w:rsid w:val="00C55FBF"/>
    <w:rsid w:val="00C56588"/>
    <w:rsid w:val="00C5718C"/>
    <w:rsid w:val="00C57E68"/>
    <w:rsid w:val="00C601C9"/>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C32"/>
    <w:rsid w:val="00C85F45"/>
    <w:rsid w:val="00C86C8C"/>
    <w:rsid w:val="00C87568"/>
    <w:rsid w:val="00C87FD0"/>
    <w:rsid w:val="00C90628"/>
    <w:rsid w:val="00C90DB6"/>
    <w:rsid w:val="00C915A6"/>
    <w:rsid w:val="00C92603"/>
    <w:rsid w:val="00C92652"/>
    <w:rsid w:val="00C9394F"/>
    <w:rsid w:val="00C93B1A"/>
    <w:rsid w:val="00C9444E"/>
    <w:rsid w:val="00C96F5F"/>
    <w:rsid w:val="00C97055"/>
    <w:rsid w:val="00CA194C"/>
    <w:rsid w:val="00CA2B4F"/>
    <w:rsid w:val="00CA30C3"/>
    <w:rsid w:val="00CA5927"/>
    <w:rsid w:val="00CA635E"/>
    <w:rsid w:val="00CA6BB0"/>
    <w:rsid w:val="00CA70CE"/>
    <w:rsid w:val="00CA79EC"/>
    <w:rsid w:val="00CB002C"/>
    <w:rsid w:val="00CB1E4B"/>
    <w:rsid w:val="00CB259F"/>
    <w:rsid w:val="00CB39C2"/>
    <w:rsid w:val="00CB3E38"/>
    <w:rsid w:val="00CB4C8C"/>
    <w:rsid w:val="00CB4E90"/>
    <w:rsid w:val="00CB5850"/>
    <w:rsid w:val="00CB5C99"/>
    <w:rsid w:val="00CB633B"/>
    <w:rsid w:val="00CB6782"/>
    <w:rsid w:val="00CB6E3E"/>
    <w:rsid w:val="00CC080A"/>
    <w:rsid w:val="00CC0D0F"/>
    <w:rsid w:val="00CC1275"/>
    <w:rsid w:val="00CC12EE"/>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2740"/>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AE8"/>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8EC"/>
    <w:rsid w:val="00D35947"/>
    <w:rsid w:val="00D35D4A"/>
    <w:rsid w:val="00D36F6E"/>
    <w:rsid w:val="00D372B0"/>
    <w:rsid w:val="00D37343"/>
    <w:rsid w:val="00D415BF"/>
    <w:rsid w:val="00D4205E"/>
    <w:rsid w:val="00D47399"/>
    <w:rsid w:val="00D47475"/>
    <w:rsid w:val="00D478E1"/>
    <w:rsid w:val="00D47BB2"/>
    <w:rsid w:val="00D47D04"/>
    <w:rsid w:val="00D5056A"/>
    <w:rsid w:val="00D510A0"/>
    <w:rsid w:val="00D51E06"/>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DE3"/>
    <w:rsid w:val="00DA3633"/>
    <w:rsid w:val="00DA400B"/>
    <w:rsid w:val="00DA44D6"/>
    <w:rsid w:val="00DA53DE"/>
    <w:rsid w:val="00DA6443"/>
    <w:rsid w:val="00DA6B5E"/>
    <w:rsid w:val="00DA6D55"/>
    <w:rsid w:val="00DA70F5"/>
    <w:rsid w:val="00DA7146"/>
    <w:rsid w:val="00DA716A"/>
    <w:rsid w:val="00DA775D"/>
    <w:rsid w:val="00DA7B82"/>
    <w:rsid w:val="00DB0434"/>
    <w:rsid w:val="00DB1F4F"/>
    <w:rsid w:val="00DB289C"/>
    <w:rsid w:val="00DB2B47"/>
    <w:rsid w:val="00DB2CD0"/>
    <w:rsid w:val="00DB347D"/>
    <w:rsid w:val="00DB37EE"/>
    <w:rsid w:val="00DB401F"/>
    <w:rsid w:val="00DB4450"/>
    <w:rsid w:val="00DB4544"/>
    <w:rsid w:val="00DB4EE7"/>
    <w:rsid w:val="00DB521D"/>
    <w:rsid w:val="00DB5971"/>
    <w:rsid w:val="00DB5D51"/>
    <w:rsid w:val="00DB5F53"/>
    <w:rsid w:val="00DB7B69"/>
    <w:rsid w:val="00DB7E6E"/>
    <w:rsid w:val="00DC0A2F"/>
    <w:rsid w:val="00DC0DBE"/>
    <w:rsid w:val="00DC234A"/>
    <w:rsid w:val="00DC2AA0"/>
    <w:rsid w:val="00DC3AE8"/>
    <w:rsid w:val="00DC41E4"/>
    <w:rsid w:val="00DC42D9"/>
    <w:rsid w:val="00DC43D0"/>
    <w:rsid w:val="00DC496E"/>
    <w:rsid w:val="00DC5116"/>
    <w:rsid w:val="00DC7C77"/>
    <w:rsid w:val="00DC7FD5"/>
    <w:rsid w:val="00DD02FF"/>
    <w:rsid w:val="00DD24F9"/>
    <w:rsid w:val="00DD26EC"/>
    <w:rsid w:val="00DD2DFB"/>
    <w:rsid w:val="00DD3604"/>
    <w:rsid w:val="00DD36F3"/>
    <w:rsid w:val="00DD39F4"/>
    <w:rsid w:val="00DD3F4D"/>
    <w:rsid w:val="00DD481D"/>
    <w:rsid w:val="00DD5580"/>
    <w:rsid w:val="00DD6F2E"/>
    <w:rsid w:val="00DD72E1"/>
    <w:rsid w:val="00DD7EA2"/>
    <w:rsid w:val="00DD7FA4"/>
    <w:rsid w:val="00DE00F2"/>
    <w:rsid w:val="00DE117F"/>
    <w:rsid w:val="00DE2D17"/>
    <w:rsid w:val="00DE353C"/>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818"/>
    <w:rsid w:val="00E12D39"/>
    <w:rsid w:val="00E13182"/>
    <w:rsid w:val="00E14523"/>
    <w:rsid w:val="00E14972"/>
    <w:rsid w:val="00E14CB9"/>
    <w:rsid w:val="00E151F2"/>
    <w:rsid w:val="00E15383"/>
    <w:rsid w:val="00E15C82"/>
    <w:rsid w:val="00E1738C"/>
    <w:rsid w:val="00E201C0"/>
    <w:rsid w:val="00E20951"/>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620"/>
    <w:rsid w:val="00E41313"/>
    <w:rsid w:val="00E41773"/>
    <w:rsid w:val="00E41ACD"/>
    <w:rsid w:val="00E42FE6"/>
    <w:rsid w:val="00E44E78"/>
    <w:rsid w:val="00E460B6"/>
    <w:rsid w:val="00E46BD2"/>
    <w:rsid w:val="00E473D4"/>
    <w:rsid w:val="00E474CF"/>
    <w:rsid w:val="00E513F6"/>
    <w:rsid w:val="00E51EC6"/>
    <w:rsid w:val="00E52F3B"/>
    <w:rsid w:val="00E52F80"/>
    <w:rsid w:val="00E536E1"/>
    <w:rsid w:val="00E53D94"/>
    <w:rsid w:val="00E53DEA"/>
    <w:rsid w:val="00E5424B"/>
    <w:rsid w:val="00E544BA"/>
    <w:rsid w:val="00E54B49"/>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2444"/>
    <w:rsid w:val="00E73DEB"/>
    <w:rsid w:val="00E7410F"/>
    <w:rsid w:val="00E74EC5"/>
    <w:rsid w:val="00E75790"/>
    <w:rsid w:val="00E76B86"/>
    <w:rsid w:val="00E77D79"/>
    <w:rsid w:val="00E809F3"/>
    <w:rsid w:val="00E80C21"/>
    <w:rsid w:val="00E80EFF"/>
    <w:rsid w:val="00E8131A"/>
    <w:rsid w:val="00E81CA2"/>
    <w:rsid w:val="00E820BD"/>
    <w:rsid w:val="00E8227B"/>
    <w:rsid w:val="00E826BC"/>
    <w:rsid w:val="00E8342F"/>
    <w:rsid w:val="00E84210"/>
    <w:rsid w:val="00E844CD"/>
    <w:rsid w:val="00E847A7"/>
    <w:rsid w:val="00E84FE5"/>
    <w:rsid w:val="00E86682"/>
    <w:rsid w:val="00E86A48"/>
    <w:rsid w:val="00E86E79"/>
    <w:rsid w:val="00E906B4"/>
    <w:rsid w:val="00E9095B"/>
    <w:rsid w:val="00E9145E"/>
    <w:rsid w:val="00E9152D"/>
    <w:rsid w:val="00E918B3"/>
    <w:rsid w:val="00E91B24"/>
    <w:rsid w:val="00E926B8"/>
    <w:rsid w:val="00E927BF"/>
    <w:rsid w:val="00E936DA"/>
    <w:rsid w:val="00E9399B"/>
    <w:rsid w:val="00E939A7"/>
    <w:rsid w:val="00E94008"/>
    <w:rsid w:val="00E94762"/>
    <w:rsid w:val="00E94B75"/>
    <w:rsid w:val="00E956BA"/>
    <w:rsid w:val="00E96B52"/>
    <w:rsid w:val="00E97D31"/>
    <w:rsid w:val="00EA0018"/>
    <w:rsid w:val="00EA08BE"/>
    <w:rsid w:val="00EA0A85"/>
    <w:rsid w:val="00EA14B0"/>
    <w:rsid w:val="00EA2244"/>
    <w:rsid w:val="00EA2EC5"/>
    <w:rsid w:val="00EA4DDC"/>
    <w:rsid w:val="00EA6FA7"/>
    <w:rsid w:val="00EA74F2"/>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720"/>
    <w:rsid w:val="00EC2DB7"/>
    <w:rsid w:val="00EC337D"/>
    <w:rsid w:val="00EC42D0"/>
    <w:rsid w:val="00EC4E3C"/>
    <w:rsid w:val="00EC638F"/>
    <w:rsid w:val="00EC6F34"/>
    <w:rsid w:val="00EC7927"/>
    <w:rsid w:val="00ED095E"/>
    <w:rsid w:val="00ED1319"/>
    <w:rsid w:val="00ED1A0B"/>
    <w:rsid w:val="00ED27DD"/>
    <w:rsid w:val="00ED4046"/>
    <w:rsid w:val="00ED5162"/>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1AEA"/>
    <w:rsid w:val="00EF30E0"/>
    <w:rsid w:val="00EF3D05"/>
    <w:rsid w:val="00EF42CF"/>
    <w:rsid w:val="00EF5403"/>
    <w:rsid w:val="00EF567D"/>
    <w:rsid w:val="00EF5F11"/>
    <w:rsid w:val="00EF6111"/>
    <w:rsid w:val="00EF79F2"/>
    <w:rsid w:val="00F005A0"/>
    <w:rsid w:val="00F01835"/>
    <w:rsid w:val="00F01DE9"/>
    <w:rsid w:val="00F0229D"/>
    <w:rsid w:val="00F02B1B"/>
    <w:rsid w:val="00F032BB"/>
    <w:rsid w:val="00F032C8"/>
    <w:rsid w:val="00F03567"/>
    <w:rsid w:val="00F03DD3"/>
    <w:rsid w:val="00F044C6"/>
    <w:rsid w:val="00F04BBE"/>
    <w:rsid w:val="00F064A2"/>
    <w:rsid w:val="00F06616"/>
    <w:rsid w:val="00F07263"/>
    <w:rsid w:val="00F07485"/>
    <w:rsid w:val="00F10BC6"/>
    <w:rsid w:val="00F11352"/>
    <w:rsid w:val="00F11AD0"/>
    <w:rsid w:val="00F12313"/>
    <w:rsid w:val="00F13D34"/>
    <w:rsid w:val="00F14602"/>
    <w:rsid w:val="00F1498D"/>
    <w:rsid w:val="00F14DDF"/>
    <w:rsid w:val="00F152AD"/>
    <w:rsid w:val="00F15BA3"/>
    <w:rsid w:val="00F15BB3"/>
    <w:rsid w:val="00F165B7"/>
    <w:rsid w:val="00F17AE4"/>
    <w:rsid w:val="00F20C9C"/>
    <w:rsid w:val="00F21827"/>
    <w:rsid w:val="00F21A00"/>
    <w:rsid w:val="00F2285F"/>
    <w:rsid w:val="00F23155"/>
    <w:rsid w:val="00F23EE4"/>
    <w:rsid w:val="00F24236"/>
    <w:rsid w:val="00F24E0E"/>
    <w:rsid w:val="00F25707"/>
    <w:rsid w:val="00F26693"/>
    <w:rsid w:val="00F26A13"/>
    <w:rsid w:val="00F27B5F"/>
    <w:rsid w:val="00F27D3B"/>
    <w:rsid w:val="00F306ED"/>
    <w:rsid w:val="00F31261"/>
    <w:rsid w:val="00F31697"/>
    <w:rsid w:val="00F31BB3"/>
    <w:rsid w:val="00F31C67"/>
    <w:rsid w:val="00F31E27"/>
    <w:rsid w:val="00F323C3"/>
    <w:rsid w:val="00F32A15"/>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56D2"/>
    <w:rsid w:val="00F45B08"/>
    <w:rsid w:val="00F46431"/>
    <w:rsid w:val="00F469AD"/>
    <w:rsid w:val="00F4715C"/>
    <w:rsid w:val="00F47C9F"/>
    <w:rsid w:val="00F50271"/>
    <w:rsid w:val="00F50CE8"/>
    <w:rsid w:val="00F51256"/>
    <w:rsid w:val="00F51361"/>
    <w:rsid w:val="00F52330"/>
    <w:rsid w:val="00F52407"/>
    <w:rsid w:val="00F541F0"/>
    <w:rsid w:val="00F54603"/>
    <w:rsid w:val="00F54772"/>
    <w:rsid w:val="00F54869"/>
    <w:rsid w:val="00F556B2"/>
    <w:rsid w:val="00F559D5"/>
    <w:rsid w:val="00F565E8"/>
    <w:rsid w:val="00F56CB4"/>
    <w:rsid w:val="00F5754B"/>
    <w:rsid w:val="00F576DE"/>
    <w:rsid w:val="00F57747"/>
    <w:rsid w:val="00F57898"/>
    <w:rsid w:val="00F578BC"/>
    <w:rsid w:val="00F606E4"/>
    <w:rsid w:val="00F62584"/>
    <w:rsid w:val="00F633F1"/>
    <w:rsid w:val="00F63BF7"/>
    <w:rsid w:val="00F6453E"/>
    <w:rsid w:val="00F64FAD"/>
    <w:rsid w:val="00F65215"/>
    <w:rsid w:val="00F65617"/>
    <w:rsid w:val="00F65A88"/>
    <w:rsid w:val="00F66494"/>
    <w:rsid w:val="00F710BE"/>
    <w:rsid w:val="00F712C1"/>
    <w:rsid w:val="00F71D7B"/>
    <w:rsid w:val="00F71E8A"/>
    <w:rsid w:val="00F72016"/>
    <w:rsid w:val="00F72D3F"/>
    <w:rsid w:val="00F72DAD"/>
    <w:rsid w:val="00F72FAE"/>
    <w:rsid w:val="00F736D2"/>
    <w:rsid w:val="00F7564C"/>
    <w:rsid w:val="00F76220"/>
    <w:rsid w:val="00F769BE"/>
    <w:rsid w:val="00F7735C"/>
    <w:rsid w:val="00F77BD5"/>
    <w:rsid w:val="00F8216D"/>
    <w:rsid w:val="00F827C0"/>
    <w:rsid w:val="00F82E6B"/>
    <w:rsid w:val="00F83662"/>
    <w:rsid w:val="00F838C0"/>
    <w:rsid w:val="00F85F83"/>
    <w:rsid w:val="00F86F3C"/>
    <w:rsid w:val="00F912FD"/>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B0D68"/>
    <w:rsid w:val="00FB232C"/>
    <w:rsid w:val="00FB2D17"/>
    <w:rsid w:val="00FB2F69"/>
    <w:rsid w:val="00FB368B"/>
    <w:rsid w:val="00FB3A3A"/>
    <w:rsid w:val="00FB3F4C"/>
    <w:rsid w:val="00FB4217"/>
    <w:rsid w:val="00FB4379"/>
    <w:rsid w:val="00FB45FF"/>
    <w:rsid w:val="00FB5D97"/>
    <w:rsid w:val="00FB61EA"/>
    <w:rsid w:val="00FB6C7A"/>
    <w:rsid w:val="00FB732E"/>
    <w:rsid w:val="00FB79F7"/>
    <w:rsid w:val="00FC09E7"/>
    <w:rsid w:val="00FC1CA5"/>
    <w:rsid w:val="00FC1D8E"/>
    <w:rsid w:val="00FC2733"/>
    <w:rsid w:val="00FC2979"/>
    <w:rsid w:val="00FC6D6C"/>
    <w:rsid w:val="00FD1C3C"/>
    <w:rsid w:val="00FD24F6"/>
    <w:rsid w:val="00FD2D6C"/>
    <w:rsid w:val="00FD2DB1"/>
    <w:rsid w:val="00FD3669"/>
    <w:rsid w:val="00FD38A8"/>
    <w:rsid w:val="00FD634B"/>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73F7"/>
    <w:rsid w:val="00FE745E"/>
    <w:rsid w:val="00FE7865"/>
    <w:rsid w:val="00FF00DE"/>
    <w:rsid w:val="00FF0BB0"/>
    <w:rsid w:val="00FF1342"/>
    <w:rsid w:val="00FF14FA"/>
    <w:rsid w:val="00FF1513"/>
    <w:rsid w:val="00FF1577"/>
    <w:rsid w:val="00FF2145"/>
    <w:rsid w:val="00FF2470"/>
    <w:rsid w:val="00FF3334"/>
    <w:rsid w:val="00FF3DF9"/>
    <w:rsid w:val="00FF59BE"/>
    <w:rsid w:val="00FF6ADB"/>
    <w:rsid w:val="00FF6C36"/>
    <w:rsid w:val="00FF70D6"/>
    <w:rsid w:val="15FC20E7"/>
    <w:rsid w:val="27E06CF9"/>
    <w:rsid w:val="31E52F4C"/>
    <w:rsid w:val="326A6D63"/>
    <w:rsid w:val="37667A98"/>
    <w:rsid w:val="54021208"/>
    <w:rsid w:val="54FA2BE2"/>
    <w:rsid w:val="775C25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qFormat="1"/>
    <w:lsdException w:name="toc 3"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qFormat="1"/>
    <w:lsdException w:name="footnote text" w:qFormat="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uiPriority="0" w:qFormat="1"/>
    <w:lsdException w:name="Document Map"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unhideWhenUsed="1" w:qFormat="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7068F"/>
    <w:pPr>
      <w:widowControl w:val="0"/>
      <w:jc w:val="both"/>
    </w:pPr>
    <w:rPr>
      <w:kern w:val="2"/>
      <w:sz w:val="21"/>
      <w:szCs w:val="24"/>
    </w:rPr>
  </w:style>
  <w:style w:type="paragraph" w:styleId="1">
    <w:name w:val="heading 1"/>
    <w:basedOn w:val="a"/>
    <w:next w:val="a"/>
    <w:link w:val="1Char"/>
    <w:uiPriority w:val="99"/>
    <w:qFormat/>
    <w:rsid w:val="0077068F"/>
    <w:pPr>
      <w:widowControl/>
      <w:jc w:val="left"/>
      <w:outlineLvl w:val="0"/>
    </w:pPr>
    <w:rPr>
      <w:kern w:val="0"/>
      <w:sz w:val="24"/>
      <w:szCs w:val="20"/>
      <w:lang w:val="en-GB"/>
    </w:rPr>
  </w:style>
  <w:style w:type="paragraph" w:styleId="2">
    <w:name w:val="heading 2"/>
    <w:basedOn w:val="a"/>
    <w:next w:val="a0"/>
    <w:link w:val="2Char"/>
    <w:uiPriority w:val="99"/>
    <w:qFormat/>
    <w:rsid w:val="0077068F"/>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77068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77068F"/>
    <w:pPr>
      <w:ind w:firstLineChars="200" w:firstLine="420"/>
    </w:pPr>
  </w:style>
  <w:style w:type="paragraph" w:styleId="a4">
    <w:name w:val="Document Map"/>
    <w:basedOn w:val="a"/>
    <w:link w:val="Char"/>
    <w:uiPriority w:val="99"/>
    <w:semiHidden/>
    <w:qFormat/>
    <w:rsid w:val="0077068F"/>
    <w:pPr>
      <w:shd w:val="clear" w:color="auto" w:fill="000080"/>
    </w:pPr>
  </w:style>
  <w:style w:type="paragraph" w:styleId="a5">
    <w:name w:val="annotation text"/>
    <w:basedOn w:val="a"/>
    <w:link w:val="Char0"/>
    <w:uiPriority w:val="99"/>
    <w:semiHidden/>
    <w:qFormat/>
    <w:rsid w:val="0077068F"/>
    <w:pPr>
      <w:jc w:val="left"/>
    </w:pPr>
  </w:style>
  <w:style w:type="paragraph" w:styleId="a6">
    <w:name w:val="Body Text"/>
    <w:basedOn w:val="a"/>
    <w:link w:val="Char1"/>
    <w:uiPriority w:val="99"/>
    <w:qFormat/>
    <w:rsid w:val="0077068F"/>
    <w:pPr>
      <w:spacing w:after="120"/>
    </w:pPr>
  </w:style>
  <w:style w:type="paragraph" w:styleId="a7">
    <w:name w:val="Body Text Indent"/>
    <w:basedOn w:val="a"/>
    <w:link w:val="Char2"/>
    <w:uiPriority w:val="99"/>
    <w:qFormat/>
    <w:rsid w:val="0077068F"/>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77068F"/>
    <w:pPr>
      <w:ind w:leftChars="400" w:left="840"/>
    </w:pPr>
  </w:style>
  <w:style w:type="paragraph" w:styleId="a8">
    <w:name w:val="Plain Text"/>
    <w:basedOn w:val="a"/>
    <w:link w:val="Char3"/>
    <w:qFormat/>
    <w:rsid w:val="0077068F"/>
    <w:rPr>
      <w:rFonts w:ascii="宋体" w:hAnsi="Courier New"/>
      <w:szCs w:val="21"/>
    </w:rPr>
  </w:style>
  <w:style w:type="paragraph" w:styleId="a9">
    <w:name w:val="Date"/>
    <w:basedOn w:val="a"/>
    <w:next w:val="a"/>
    <w:link w:val="Char4"/>
    <w:uiPriority w:val="99"/>
    <w:qFormat/>
    <w:rsid w:val="0077068F"/>
    <w:rPr>
      <w:sz w:val="24"/>
      <w:szCs w:val="20"/>
    </w:rPr>
  </w:style>
  <w:style w:type="paragraph" w:styleId="20">
    <w:name w:val="Body Text Indent 2"/>
    <w:basedOn w:val="a"/>
    <w:link w:val="2Char0"/>
    <w:uiPriority w:val="99"/>
    <w:qFormat/>
    <w:rsid w:val="0077068F"/>
    <w:pPr>
      <w:spacing w:line="560" w:lineRule="exact"/>
      <w:ind w:firstLineChars="200" w:firstLine="480"/>
    </w:pPr>
    <w:rPr>
      <w:rFonts w:ascii="宋体" w:hAnsi="宋体"/>
      <w:color w:val="FF0000"/>
      <w:sz w:val="24"/>
    </w:rPr>
  </w:style>
  <w:style w:type="paragraph" w:styleId="aa">
    <w:name w:val="Balloon Text"/>
    <w:basedOn w:val="a"/>
    <w:link w:val="Char5"/>
    <w:uiPriority w:val="99"/>
    <w:semiHidden/>
    <w:qFormat/>
    <w:rsid w:val="0077068F"/>
    <w:rPr>
      <w:sz w:val="18"/>
      <w:szCs w:val="18"/>
    </w:rPr>
  </w:style>
  <w:style w:type="paragraph" w:styleId="ab">
    <w:name w:val="footer"/>
    <w:basedOn w:val="a"/>
    <w:link w:val="Char6"/>
    <w:uiPriority w:val="99"/>
    <w:qFormat/>
    <w:rsid w:val="0077068F"/>
    <w:pPr>
      <w:tabs>
        <w:tab w:val="center" w:pos="4153"/>
        <w:tab w:val="right" w:pos="8306"/>
      </w:tabs>
      <w:snapToGrid w:val="0"/>
      <w:jc w:val="left"/>
    </w:pPr>
    <w:rPr>
      <w:sz w:val="18"/>
      <w:szCs w:val="18"/>
    </w:rPr>
  </w:style>
  <w:style w:type="paragraph" w:styleId="ac">
    <w:name w:val="header"/>
    <w:basedOn w:val="a"/>
    <w:link w:val="Char7"/>
    <w:uiPriority w:val="99"/>
    <w:qFormat/>
    <w:rsid w:val="0077068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77068F"/>
    <w:pPr>
      <w:tabs>
        <w:tab w:val="right" w:leader="dot" w:pos="9072"/>
      </w:tabs>
    </w:pPr>
  </w:style>
  <w:style w:type="paragraph" w:styleId="ad">
    <w:name w:val="List"/>
    <w:basedOn w:val="a6"/>
    <w:uiPriority w:val="99"/>
    <w:qFormat/>
    <w:rsid w:val="0077068F"/>
    <w:pPr>
      <w:spacing w:after="220" w:line="220" w:lineRule="atLeast"/>
      <w:ind w:left="1440" w:hanging="360"/>
    </w:pPr>
    <w:rPr>
      <w:szCs w:val="20"/>
    </w:rPr>
  </w:style>
  <w:style w:type="paragraph" w:styleId="ae">
    <w:name w:val="footnote text"/>
    <w:basedOn w:val="a"/>
    <w:link w:val="Char8"/>
    <w:uiPriority w:val="99"/>
    <w:semiHidden/>
    <w:qFormat/>
    <w:rsid w:val="0077068F"/>
    <w:pPr>
      <w:snapToGrid w:val="0"/>
      <w:jc w:val="left"/>
    </w:pPr>
    <w:rPr>
      <w:sz w:val="18"/>
      <w:szCs w:val="18"/>
    </w:rPr>
  </w:style>
  <w:style w:type="paragraph" w:styleId="31">
    <w:name w:val="Body Text Indent 3"/>
    <w:basedOn w:val="a"/>
    <w:link w:val="3Char0"/>
    <w:uiPriority w:val="99"/>
    <w:qFormat/>
    <w:rsid w:val="0077068F"/>
    <w:pPr>
      <w:spacing w:line="560" w:lineRule="exact"/>
      <w:ind w:firstLineChars="200" w:firstLine="420"/>
    </w:pPr>
    <w:rPr>
      <w:rFonts w:ascii="Arial" w:hAnsi="Arial" w:cs="Arial"/>
      <w:color w:val="FF0000"/>
    </w:rPr>
  </w:style>
  <w:style w:type="paragraph" w:styleId="21">
    <w:name w:val="toc 2"/>
    <w:basedOn w:val="a"/>
    <w:next w:val="a"/>
    <w:uiPriority w:val="39"/>
    <w:qFormat/>
    <w:rsid w:val="0077068F"/>
    <w:pPr>
      <w:tabs>
        <w:tab w:val="left" w:pos="1260"/>
        <w:tab w:val="right" w:leader="dot" w:pos="9072"/>
      </w:tabs>
      <w:ind w:leftChars="200" w:left="420"/>
    </w:pPr>
    <w:rPr>
      <w:kern w:val="0"/>
      <w:szCs w:val="21"/>
    </w:rPr>
  </w:style>
  <w:style w:type="paragraph" w:styleId="af">
    <w:name w:val="Normal (Web)"/>
    <w:basedOn w:val="a"/>
    <w:uiPriority w:val="99"/>
    <w:qFormat/>
    <w:rsid w:val="0077068F"/>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77068F"/>
    <w:pPr>
      <w:jc w:val="right"/>
    </w:pPr>
    <w:rPr>
      <w:color w:val="008000"/>
    </w:rPr>
  </w:style>
  <w:style w:type="paragraph" w:styleId="af0">
    <w:name w:val="annotation subject"/>
    <w:basedOn w:val="a5"/>
    <w:next w:val="a5"/>
    <w:link w:val="Char9"/>
    <w:uiPriority w:val="99"/>
    <w:semiHidden/>
    <w:qFormat/>
    <w:rsid w:val="0077068F"/>
    <w:rPr>
      <w:b/>
      <w:bCs/>
    </w:rPr>
  </w:style>
  <w:style w:type="table" w:styleId="af1">
    <w:name w:val="Table Grid"/>
    <w:basedOn w:val="a2"/>
    <w:uiPriority w:val="99"/>
    <w:qFormat/>
    <w:rsid w:val="007706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uiPriority w:val="22"/>
    <w:qFormat/>
    <w:locked/>
    <w:rsid w:val="0077068F"/>
    <w:rPr>
      <w:b/>
      <w:bCs/>
    </w:rPr>
  </w:style>
  <w:style w:type="character" w:styleId="af3">
    <w:name w:val="page number"/>
    <w:uiPriority w:val="99"/>
    <w:qFormat/>
    <w:rsid w:val="0077068F"/>
    <w:rPr>
      <w:rFonts w:cs="Times New Roman"/>
    </w:rPr>
  </w:style>
  <w:style w:type="character" w:styleId="af4">
    <w:name w:val="FollowedHyperlink"/>
    <w:uiPriority w:val="99"/>
    <w:qFormat/>
    <w:rsid w:val="0077068F"/>
    <w:rPr>
      <w:rFonts w:cs="Times New Roman"/>
      <w:color w:val="800080"/>
      <w:u w:val="single"/>
    </w:rPr>
  </w:style>
  <w:style w:type="character" w:styleId="af5">
    <w:name w:val="Hyperlink"/>
    <w:uiPriority w:val="99"/>
    <w:qFormat/>
    <w:rsid w:val="0077068F"/>
    <w:rPr>
      <w:rFonts w:cs="Times New Roman"/>
      <w:color w:val="0000FF"/>
      <w:u w:val="single"/>
    </w:rPr>
  </w:style>
  <w:style w:type="character" w:styleId="af6">
    <w:name w:val="annotation reference"/>
    <w:uiPriority w:val="99"/>
    <w:semiHidden/>
    <w:qFormat/>
    <w:rsid w:val="0077068F"/>
    <w:rPr>
      <w:rFonts w:cs="Times New Roman"/>
      <w:sz w:val="21"/>
    </w:rPr>
  </w:style>
  <w:style w:type="character" w:styleId="af7">
    <w:name w:val="footnote reference"/>
    <w:uiPriority w:val="99"/>
    <w:semiHidden/>
    <w:qFormat/>
    <w:rsid w:val="0077068F"/>
    <w:rPr>
      <w:rFonts w:cs="Times New Roman"/>
      <w:vertAlign w:val="superscript"/>
    </w:rPr>
  </w:style>
  <w:style w:type="character" w:customStyle="1" w:styleId="1Char">
    <w:name w:val="标题 1 Char"/>
    <w:link w:val="1"/>
    <w:uiPriority w:val="99"/>
    <w:qFormat/>
    <w:locked/>
    <w:rsid w:val="0077068F"/>
    <w:rPr>
      <w:rFonts w:cs="Times New Roman"/>
      <w:sz w:val="24"/>
      <w:lang w:val="en-GB"/>
    </w:rPr>
  </w:style>
  <w:style w:type="character" w:customStyle="1" w:styleId="2Char">
    <w:name w:val="标题 2 Char"/>
    <w:link w:val="2"/>
    <w:uiPriority w:val="99"/>
    <w:qFormat/>
    <w:locked/>
    <w:rsid w:val="0077068F"/>
    <w:rPr>
      <w:rFonts w:ascii="Arial" w:hAnsi="Arial"/>
      <w:b/>
      <w:kern w:val="2"/>
      <w:sz w:val="28"/>
    </w:rPr>
  </w:style>
  <w:style w:type="character" w:customStyle="1" w:styleId="3Char">
    <w:name w:val="标题 3 Char"/>
    <w:link w:val="3"/>
    <w:uiPriority w:val="99"/>
    <w:qFormat/>
    <w:locked/>
    <w:rsid w:val="0077068F"/>
    <w:rPr>
      <w:rFonts w:cs="Times New Roman"/>
      <w:b/>
      <w:bCs/>
      <w:kern w:val="2"/>
      <w:sz w:val="32"/>
      <w:szCs w:val="32"/>
    </w:rPr>
  </w:style>
  <w:style w:type="character" w:customStyle="1" w:styleId="Char5">
    <w:name w:val="批注框文本 Char"/>
    <w:link w:val="aa"/>
    <w:uiPriority w:val="99"/>
    <w:semiHidden/>
    <w:qFormat/>
    <w:locked/>
    <w:rsid w:val="0077068F"/>
    <w:rPr>
      <w:rFonts w:cs="Times New Roman"/>
      <w:kern w:val="2"/>
      <w:sz w:val="18"/>
      <w:szCs w:val="18"/>
    </w:rPr>
  </w:style>
  <w:style w:type="character" w:customStyle="1" w:styleId="Char2">
    <w:name w:val="正文文本缩进 Char"/>
    <w:link w:val="a7"/>
    <w:uiPriority w:val="99"/>
    <w:qFormat/>
    <w:locked/>
    <w:rsid w:val="0077068F"/>
    <w:rPr>
      <w:rFonts w:ascii="Arial Unicode MS" w:eastAsia="Times New Roman" w:hAnsi="Arial Unicode MS" w:cs="Arial Unicode MS"/>
      <w:sz w:val="24"/>
      <w:szCs w:val="24"/>
    </w:rPr>
  </w:style>
  <w:style w:type="character" w:customStyle="1" w:styleId="Char3">
    <w:name w:val="纯文本 Char"/>
    <w:link w:val="a8"/>
    <w:qFormat/>
    <w:locked/>
    <w:rsid w:val="0077068F"/>
    <w:rPr>
      <w:rFonts w:ascii="宋体" w:hAnsi="Courier New"/>
      <w:kern w:val="2"/>
      <w:sz w:val="21"/>
    </w:rPr>
  </w:style>
  <w:style w:type="character" w:customStyle="1" w:styleId="2Char0">
    <w:name w:val="正文文本缩进 2 Char"/>
    <w:link w:val="20"/>
    <w:uiPriority w:val="99"/>
    <w:qFormat/>
    <w:locked/>
    <w:rsid w:val="0077068F"/>
    <w:rPr>
      <w:rFonts w:ascii="宋体" w:eastAsia="宋体" w:cs="Times New Roman"/>
      <w:color w:val="FF0000"/>
      <w:kern w:val="2"/>
      <w:sz w:val="24"/>
      <w:szCs w:val="24"/>
    </w:rPr>
  </w:style>
  <w:style w:type="character" w:customStyle="1" w:styleId="Char6">
    <w:name w:val="页脚 Char"/>
    <w:link w:val="ab"/>
    <w:uiPriority w:val="99"/>
    <w:qFormat/>
    <w:locked/>
    <w:rsid w:val="0077068F"/>
    <w:rPr>
      <w:rFonts w:cs="Times New Roman"/>
      <w:kern w:val="2"/>
      <w:sz w:val="18"/>
      <w:szCs w:val="18"/>
    </w:rPr>
  </w:style>
  <w:style w:type="character" w:customStyle="1" w:styleId="3Char0">
    <w:name w:val="正文文本缩进 3 Char"/>
    <w:link w:val="31"/>
    <w:uiPriority w:val="99"/>
    <w:qFormat/>
    <w:locked/>
    <w:rsid w:val="0077068F"/>
    <w:rPr>
      <w:rFonts w:ascii="Arial" w:hAnsi="Arial" w:cs="Arial"/>
      <w:color w:val="FF0000"/>
      <w:kern w:val="2"/>
      <w:sz w:val="24"/>
      <w:szCs w:val="24"/>
    </w:rPr>
  </w:style>
  <w:style w:type="character" w:customStyle="1" w:styleId="Char7">
    <w:name w:val="页眉 Char"/>
    <w:link w:val="ac"/>
    <w:uiPriority w:val="99"/>
    <w:qFormat/>
    <w:locked/>
    <w:rsid w:val="0077068F"/>
    <w:rPr>
      <w:rFonts w:cs="Times New Roman"/>
      <w:kern w:val="2"/>
      <w:sz w:val="18"/>
      <w:szCs w:val="18"/>
    </w:rPr>
  </w:style>
  <w:style w:type="character" w:customStyle="1" w:styleId="Char1">
    <w:name w:val="正文文本 Char"/>
    <w:link w:val="a6"/>
    <w:uiPriority w:val="99"/>
    <w:qFormat/>
    <w:locked/>
    <w:rsid w:val="0077068F"/>
    <w:rPr>
      <w:rFonts w:cs="Times New Roman"/>
      <w:kern w:val="2"/>
      <w:sz w:val="24"/>
      <w:szCs w:val="24"/>
    </w:rPr>
  </w:style>
  <w:style w:type="character" w:customStyle="1" w:styleId="Char4">
    <w:name w:val="日期 Char"/>
    <w:link w:val="a9"/>
    <w:uiPriority w:val="99"/>
    <w:qFormat/>
    <w:locked/>
    <w:rsid w:val="0077068F"/>
    <w:rPr>
      <w:rFonts w:cs="Times New Roman"/>
      <w:kern w:val="2"/>
      <w:sz w:val="24"/>
    </w:rPr>
  </w:style>
  <w:style w:type="character" w:customStyle="1" w:styleId="c1">
    <w:name w:val="c1"/>
    <w:uiPriority w:val="99"/>
    <w:qFormat/>
    <w:rsid w:val="0077068F"/>
    <w:rPr>
      <w:color w:val="000000"/>
      <w:spacing w:val="300"/>
      <w:sz w:val="18"/>
    </w:rPr>
  </w:style>
  <w:style w:type="paragraph" w:customStyle="1" w:styleId="font5">
    <w:name w:val="font5"/>
    <w:basedOn w:val="a"/>
    <w:uiPriority w:val="99"/>
    <w:qFormat/>
    <w:rsid w:val="0077068F"/>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77068F"/>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77068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77068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77068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77068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77068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77068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77068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77068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77068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77068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77068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77068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77068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77068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77068F"/>
    <w:rPr>
      <w:rFonts w:cs="Times New Roman"/>
      <w:kern w:val="2"/>
      <w:sz w:val="24"/>
      <w:szCs w:val="24"/>
    </w:rPr>
  </w:style>
  <w:style w:type="character" w:customStyle="1" w:styleId="Char9">
    <w:name w:val="批注主题 Char"/>
    <w:link w:val="af0"/>
    <w:uiPriority w:val="99"/>
    <w:semiHidden/>
    <w:qFormat/>
    <w:locked/>
    <w:rsid w:val="0077068F"/>
    <w:rPr>
      <w:rFonts w:cs="Times New Roman"/>
      <w:b/>
      <w:bCs/>
      <w:kern w:val="2"/>
      <w:sz w:val="24"/>
      <w:szCs w:val="24"/>
    </w:rPr>
  </w:style>
  <w:style w:type="paragraph" w:customStyle="1" w:styleId="Chara">
    <w:name w:val="Char"/>
    <w:basedOn w:val="a"/>
    <w:uiPriority w:val="99"/>
    <w:qFormat/>
    <w:rsid w:val="0077068F"/>
  </w:style>
  <w:style w:type="character" w:customStyle="1" w:styleId="Char">
    <w:name w:val="文档结构图 Char"/>
    <w:link w:val="a4"/>
    <w:uiPriority w:val="99"/>
    <w:semiHidden/>
    <w:qFormat/>
    <w:locked/>
    <w:rsid w:val="0077068F"/>
    <w:rPr>
      <w:rFonts w:cs="Times New Roman"/>
      <w:kern w:val="2"/>
      <w:sz w:val="24"/>
      <w:szCs w:val="24"/>
      <w:shd w:val="clear" w:color="auto" w:fill="000080"/>
    </w:rPr>
  </w:style>
  <w:style w:type="paragraph" w:customStyle="1" w:styleId="af8">
    <w:name w:val="正文 + (符号) 宋体"/>
    <w:basedOn w:val="a"/>
    <w:uiPriority w:val="99"/>
    <w:qFormat/>
    <w:rsid w:val="0077068F"/>
    <w:pPr>
      <w:autoSpaceDE w:val="0"/>
      <w:autoSpaceDN w:val="0"/>
      <w:adjustRightInd w:val="0"/>
      <w:ind w:rightChars="671" w:right="1409" w:firstLineChars="512" w:firstLine="1229"/>
      <w:jc w:val="distribute"/>
    </w:pPr>
    <w:rPr>
      <w:sz w:val="24"/>
    </w:rPr>
  </w:style>
  <w:style w:type="character" w:customStyle="1" w:styleId="Char8">
    <w:name w:val="脚注文本 Char"/>
    <w:link w:val="ae"/>
    <w:uiPriority w:val="99"/>
    <w:semiHidden/>
    <w:qFormat/>
    <w:locked/>
    <w:rsid w:val="0077068F"/>
    <w:rPr>
      <w:rFonts w:cs="Times New Roman"/>
      <w:kern w:val="2"/>
      <w:sz w:val="18"/>
      <w:szCs w:val="18"/>
    </w:rPr>
  </w:style>
  <w:style w:type="paragraph" w:customStyle="1" w:styleId="Char10">
    <w:name w:val="Char1"/>
    <w:basedOn w:val="a"/>
    <w:uiPriority w:val="99"/>
    <w:qFormat/>
    <w:rsid w:val="0077068F"/>
  </w:style>
  <w:style w:type="paragraph" w:customStyle="1" w:styleId="CharCharCharCharCharChar1CharCharChar">
    <w:name w:val="Char Char Char Char Char Char1 Char Char Char"/>
    <w:basedOn w:val="a"/>
    <w:uiPriority w:val="99"/>
    <w:qFormat/>
    <w:rsid w:val="0077068F"/>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77068F"/>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77068F"/>
    <w:pPr>
      <w:autoSpaceDE w:val="0"/>
      <w:autoSpaceDN w:val="0"/>
      <w:adjustRightInd w:val="0"/>
      <w:jc w:val="left"/>
      <w:textAlignment w:val="baseline"/>
    </w:pPr>
    <w:rPr>
      <w:rFonts w:ascii="宋体"/>
      <w:kern w:val="0"/>
      <w:sz w:val="34"/>
      <w:szCs w:val="20"/>
    </w:rPr>
  </w:style>
  <w:style w:type="paragraph" w:customStyle="1" w:styleId="Default">
    <w:name w:val="Default"/>
    <w:qFormat/>
    <w:rsid w:val="0077068F"/>
    <w:pPr>
      <w:widowControl w:val="0"/>
      <w:autoSpaceDE w:val="0"/>
      <w:autoSpaceDN w:val="0"/>
      <w:adjustRightInd w:val="0"/>
    </w:pPr>
    <w:rPr>
      <w:rFonts w:ascii="仿宋"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3360</Words>
  <Characters>19155</Characters>
  <Application>Microsoft Office Word</Application>
  <DocSecurity>4</DocSecurity>
  <Lines>159</Lines>
  <Paragraphs>44</Paragraphs>
  <ScaleCrop>false</ScaleCrop>
  <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2019-03-29T16:10:00Z</dcterms:created>
  <dcterms:modified xsi:type="dcterms:W3CDTF">2019-03-29T16:10:00Z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