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18" w:rsidRDefault="00E54D18" w:rsidP="00E54D18">
      <w:pPr>
        <w:jc w:val="center"/>
        <w:rPr>
          <w:rFonts w:asciiTheme="majorEastAsia" w:eastAsiaTheme="majorEastAsia" w:hAnsiTheme="majorEastAsia" w:cs="Arial"/>
          <w:b/>
          <w:sz w:val="32"/>
          <w:szCs w:val="32"/>
        </w:rPr>
      </w:pPr>
    </w:p>
    <w:p w:rsidR="00E54D18" w:rsidRDefault="00E54D18" w:rsidP="00E54D18">
      <w:pPr>
        <w:jc w:val="center"/>
        <w:rPr>
          <w:rFonts w:asciiTheme="majorEastAsia" w:eastAsiaTheme="majorEastAsia" w:hAnsiTheme="majorEastAsia" w:cs="Arial"/>
          <w:b/>
          <w:sz w:val="32"/>
          <w:szCs w:val="32"/>
        </w:rPr>
      </w:pPr>
    </w:p>
    <w:p w:rsidR="00E54D18" w:rsidRDefault="00E54D18" w:rsidP="00E54D18">
      <w:pPr>
        <w:jc w:val="center"/>
        <w:rPr>
          <w:rFonts w:asciiTheme="majorEastAsia" w:eastAsiaTheme="majorEastAsia" w:hAnsiTheme="majorEastAsia" w:cs="Arial"/>
          <w:b/>
          <w:sz w:val="32"/>
          <w:szCs w:val="32"/>
        </w:rPr>
      </w:pPr>
    </w:p>
    <w:p w:rsidR="00C121EE" w:rsidRDefault="00E54D18" w:rsidP="00E54D18">
      <w:pPr>
        <w:jc w:val="center"/>
        <w:rPr>
          <w:rFonts w:asciiTheme="majorEastAsia" w:eastAsiaTheme="majorEastAsia" w:hAnsiTheme="majorEastAsia" w:cs="Arial"/>
          <w:b/>
          <w:sz w:val="32"/>
          <w:szCs w:val="32"/>
        </w:rPr>
      </w:pPr>
      <w:r w:rsidRPr="00E54D18">
        <w:rPr>
          <w:rFonts w:ascii="宋体" w:eastAsia="宋体" w:hAnsi="宋体" w:cs="Arial" w:hint="eastAsia"/>
          <w:b/>
          <w:sz w:val="32"/>
          <w:szCs w:val="32"/>
        </w:rPr>
        <w:t>中海中</w:t>
      </w:r>
      <w:proofErr w:type="gramStart"/>
      <w:r w:rsidRPr="00E54D18">
        <w:rPr>
          <w:rFonts w:ascii="宋体" w:eastAsia="宋体" w:hAnsi="宋体" w:cs="Arial" w:hint="eastAsia"/>
          <w:b/>
          <w:sz w:val="32"/>
          <w:szCs w:val="32"/>
        </w:rPr>
        <w:t>鑫</w:t>
      </w:r>
      <w:proofErr w:type="gramEnd"/>
      <w:r w:rsidRPr="00E54D18">
        <w:rPr>
          <w:rFonts w:ascii="宋体" w:eastAsia="宋体" w:hAnsi="宋体" w:cs="Arial" w:hint="eastAsia"/>
          <w:b/>
          <w:sz w:val="32"/>
          <w:szCs w:val="32"/>
        </w:rPr>
        <w:t>灵活配置混合型证券投资基金</w:t>
      </w:r>
    </w:p>
    <w:p w:rsidR="009A4EAD" w:rsidRPr="009A4EAD" w:rsidRDefault="009A4EAD" w:rsidP="009A4EAD">
      <w:pPr>
        <w:jc w:val="center"/>
        <w:rPr>
          <w:rFonts w:asciiTheme="majorEastAsia" w:eastAsiaTheme="majorEastAsia" w:hAnsiTheme="majorEastAsia"/>
          <w:b/>
          <w:bCs/>
          <w:sz w:val="32"/>
          <w:szCs w:val="32"/>
        </w:rPr>
      </w:pPr>
      <w:r w:rsidRPr="009A4EAD">
        <w:rPr>
          <w:rFonts w:asciiTheme="majorEastAsia" w:eastAsiaTheme="majorEastAsia" w:hAnsiTheme="majorEastAsia" w:hint="eastAsia"/>
          <w:b/>
          <w:bCs/>
          <w:sz w:val="32"/>
          <w:szCs w:val="32"/>
        </w:rPr>
        <w:t>二次清算报告</w:t>
      </w:r>
    </w:p>
    <w:p w:rsidR="00E54D18" w:rsidRDefault="00E54D18" w:rsidP="00E54D18">
      <w:pPr>
        <w:jc w:val="center"/>
        <w:rPr>
          <w:rFonts w:asciiTheme="majorEastAsia" w:eastAsiaTheme="majorEastAsia" w:hAnsiTheme="majorEastAsia"/>
          <w:sz w:val="32"/>
          <w:szCs w:val="32"/>
        </w:rPr>
      </w:pPr>
    </w:p>
    <w:p w:rsidR="00E54D18" w:rsidRDefault="00E54D18" w:rsidP="00E54D18">
      <w:pPr>
        <w:jc w:val="center"/>
        <w:rPr>
          <w:rFonts w:asciiTheme="majorEastAsia" w:eastAsiaTheme="majorEastAsia" w:hAnsiTheme="majorEastAsia"/>
          <w:sz w:val="32"/>
          <w:szCs w:val="32"/>
        </w:rPr>
      </w:pPr>
    </w:p>
    <w:p w:rsidR="00E54D18" w:rsidRDefault="00E54D18" w:rsidP="00E54D18">
      <w:pPr>
        <w:jc w:val="center"/>
        <w:rPr>
          <w:rFonts w:asciiTheme="majorEastAsia" w:eastAsiaTheme="majorEastAsia" w:hAnsiTheme="majorEastAsia"/>
          <w:sz w:val="32"/>
          <w:szCs w:val="32"/>
        </w:rPr>
      </w:pPr>
    </w:p>
    <w:p w:rsidR="00E54D18" w:rsidRDefault="00E54D18" w:rsidP="00E54D18">
      <w:pPr>
        <w:jc w:val="center"/>
        <w:rPr>
          <w:rFonts w:asciiTheme="majorEastAsia" w:eastAsiaTheme="majorEastAsia" w:hAnsiTheme="majorEastAsia"/>
          <w:sz w:val="32"/>
          <w:szCs w:val="32"/>
        </w:rPr>
      </w:pPr>
    </w:p>
    <w:p w:rsidR="00E54D18" w:rsidRDefault="00E54D18" w:rsidP="00E54D18">
      <w:pPr>
        <w:jc w:val="center"/>
        <w:rPr>
          <w:rFonts w:asciiTheme="majorEastAsia" w:eastAsiaTheme="majorEastAsia" w:hAnsiTheme="majorEastAsia"/>
          <w:sz w:val="32"/>
          <w:szCs w:val="32"/>
        </w:rPr>
      </w:pPr>
    </w:p>
    <w:p w:rsidR="00E54D18" w:rsidRDefault="00E54D18" w:rsidP="00E54D18">
      <w:pPr>
        <w:jc w:val="center"/>
        <w:rPr>
          <w:rFonts w:asciiTheme="majorEastAsia" w:eastAsiaTheme="majorEastAsia" w:hAnsiTheme="majorEastAsia"/>
          <w:sz w:val="32"/>
          <w:szCs w:val="32"/>
        </w:rPr>
      </w:pPr>
    </w:p>
    <w:p w:rsidR="00E54D18" w:rsidRDefault="00E54D18" w:rsidP="00E54D18">
      <w:pPr>
        <w:jc w:val="center"/>
        <w:rPr>
          <w:rFonts w:asciiTheme="majorEastAsia" w:eastAsiaTheme="majorEastAsia" w:hAnsiTheme="majorEastAsia"/>
          <w:sz w:val="32"/>
          <w:szCs w:val="32"/>
        </w:rPr>
      </w:pPr>
    </w:p>
    <w:p w:rsidR="00E54D18" w:rsidRDefault="00E54D18" w:rsidP="00E54D18">
      <w:pPr>
        <w:jc w:val="center"/>
        <w:rPr>
          <w:rFonts w:asciiTheme="majorEastAsia" w:eastAsiaTheme="majorEastAsia" w:hAnsiTheme="majorEastAsia"/>
          <w:sz w:val="32"/>
          <w:szCs w:val="32"/>
        </w:rPr>
      </w:pPr>
    </w:p>
    <w:p w:rsidR="00E54D18" w:rsidRPr="00E54D18" w:rsidRDefault="00E54D18" w:rsidP="00E54D18">
      <w:pPr>
        <w:jc w:val="center"/>
        <w:rPr>
          <w:rFonts w:asciiTheme="minorEastAsia" w:hAnsiTheme="minorEastAsia"/>
          <w:sz w:val="28"/>
          <w:szCs w:val="28"/>
        </w:rPr>
      </w:pPr>
      <w:r w:rsidRPr="00E54D18">
        <w:rPr>
          <w:rFonts w:asciiTheme="minorEastAsia" w:hAnsiTheme="minorEastAsia" w:hint="eastAsia"/>
          <w:sz w:val="28"/>
          <w:szCs w:val="28"/>
        </w:rPr>
        <w:t>基金管理人：中</w:t>
      </w:r>
      <w:proofErr w:type="gramStart"/>
      <w:r w:rsidRPr="00E54D18">
        <w:rPr>
          <w:rFonts w:asciiTheme="minorEastAsia" w:hAnsiTheme="minorEastAsia" w:hint="eastAsia"/>
          <w:sz w:val="28"/>
          <w:szCs w:val="28"/>
        </w:rPr>
        <w:t>海基金</w:t>
      </w:r>
      <w:proofErr w:type="gramEnd"/>
      <w:r w:rsidRPr="00E54D18">
        <w:rPr>
          <w:rFonts w:asciiTheme="minorEastAsia" w:hAnsiTheme="minorEastAsia" w:hint="eastAsia"/>
          <w:sz w:val="28"/>
          <w:szCs w:val="28"/>
        </w:rPr>
        <w:t>管理有限公司</w:t>
      </w:r>
    </w:p>
    <w:p w:rsidR="00E54D18" w:rsidRPr="00E54D18" w:rsidRDefault="00E54D18" w:rsidP="00E54D18">
      <w:pPr>
        <w:jc w:val="center"/>
        <w:rPr>
          <w:rFonts w:asciiTheme="minorEastAsia" w:hAnsiTheme="minorEastAsia"/>
          <w:sz w:val="28"/>
          <w:szCs w:val="28"/>
        </w:rPr>
      </w:pPr>
      <w:r w:rsidRPr="00E54D18">
        <w:rPr>
          <w:rFonts w:asciiTheme="minorEastAsia" w:hAnsiTheme="minorEastAsia" w:hint="eastAsia"/>
          <w:sz w:val="28"/>
          <w:szCs w:val="28"/>
        </w:rPr>
        <w:t>基金托管人：</w:t>
      </w:r>
      <w:r w:rsidRPr="00E54D18">
        <w:rPr>
          <w:rFonts w:ascii="宋体" w:eastAsia="宋体" w:hAnsi="宋体" w:cs="Times New Roman" w:hint="eastAsia"/>
          <w:sz w:val="28"/>
          <w:szCs w:val="28"/>
        </w:rPr>
        <w:t>宁波银行股份有限公司</w:t>
      </w:r>
    </w:p>
    <w:p w:rsidR="00E54D18" w:rsidRPr="00E54D18" w:rsidRDefault="00E54D18" w:rsidP="00E54D18">
      <w:pPr>
        <w:jc w:val="center"/>
        <w:rPr>
          <w:rFonts w:asciiTheme="minorEastAsia" w:hAnsiTheme="minorEastAsia" w:cs="ArialUnicodeMS"/>
          <w:kern w:val="0"/>
          <w:sz w:val="28"/>
          <w:szCs w:val="28"/>
        </w:rPr>
      </w:pPr>
      <w:r w:rsidRPr="00E54D18">
        <w:rPr>
          <w:rFonts w:asciiTheme="minorEastAsia" w:hAnsiTheme="minorEastAsia" w:cs="ArialUnicodeMS" w:hint="eastAsia"/>
          <w:kern w:val="0"/>
          <w:sz w:val="28"/>
          <w:szCs w:val="28"/>
        </w:rPr>
        <w:t>清算报告出具日：201</w:t>
      </w:r>
      <w:r w:rsidR="00012FD7">
        <w:rPr>
          <w:rFonts w:asciiTheme="minorEastAsia" w:hAnsiTheme="minorEastAsia" w:cs="ArialUnicodeMS" w:hint="eastAsia"/>
          <w:kern w:val="0"/>
          <w:sz w:val="28"/>
          <w:szCs w:val="28"/>
        </w:rPr>
        <w:t>9</w:t>
      </w:r>
      <w:r w:rsidRPr="00E54D18">
        <w:rPr>
          <w:rFonts w:asciiTheme="minorEastAsia" w:hAnsiTheme="minorEastAsia" w:cs="ArialUnicodeMS" w:hint="eastAsia"/>
          <w:kern w:val="0"/>
          <w:sz w:val="28"/>
          <w:szCs w:val="28"/>
        </w:rPr>
        <w:t>年</w:t>
      </w:r>
      <w:r w:rsidR="00803DCA">
        <w:rPr>
          <w:rFonts w:asciiTheme="minorEastAsia" w:hAnsiTheme="minorEastAsia" w:cs="ArialUnicodeMS" w:hint="eastAsia"/>
          <w:kern w:val="0"/>
          <w:sz w:val="28"/>
          <w:szCs w:val="28"/>
        </w:rPr>
        <w:t>2</w:t>
      </w:r>
      <w:r w:rsidRPr="00E54D18">
        <w:rPr>
          <w:rFonts w:asciiTheme="minorEastAsia" w:hAnsiTheme="minorEastAsia" w:cs="ArialUnicodeMS" w:hint="eastAsia"/>
          <w:kern w:val="0"/>
          <w:sz w:val="28"/>
          <w:szCs w:val="28"/>
        </w:rPr>
        <w:t>月</w:t>
      </w:r>
      <w:r w:rsidR="00803DCA">
        <w:rPr>
          <w:rFonts w:asciiTheme="minorEastAsia" w:hAnsiTheme="minorEastAsia" w:cs="ArialUnicodeMS" w:hint="eastAsia"/>
          <w:kern w:val="0"/>
          <w:sz w:val="28"/>
          <w:szCs w:val="28"/>
        </w:rPr>
        <w:t>15</w:t>
      </w:r>
      <w:r w:rsidRPr="00E54D18">
        <w:rPr>
          <w:rFonts w:asciiTheme="minorEastAsia" w:hAnsiTheme="minorEastAsia" w:cs="ArialUnicodeMS" w:hint="eastAsia"/>
          <w:kern w:val="0"/>
          <w:sz w:val="28"/>
          <w:szCs w:val="28"/>
        </w:rPr>
        <w:t>日</w:t>
      </w:r>
    </w:p>
    <w:p w:rsidR="00E54D18" w:rsidRPr="00E54D18" w:rsidRDefault="00E54D18" w:rsidP="00E54D18">
      <w:pPr>
        <w:jc w:val="center"/>
        <w:rPr>
          <w:rFonts w:asciiTheme="minorEastAsia" w:hAnsiTheme="minorEastAsia" w:cs="ArialUnicodeMS"/>
          <w:kern w:val="0"/>
          <w:sz w:val="28"/>
          <w:szCs w:val="28"/>
        </w:rPr>
      </w:pPr>
      <w:r w:rsidRPr="00E54D18">
        <w:rPr>
          <w:rFonts w:asciiTheme="minorEastAsia" w:hAnsiTheme="minorEastAsia" w:cs="ArialUnicodeMS" w:hint="eastAsia"/>
          <w:kern w:val="0"/>
          <w:sz w:val="28"/>
          <w:szCs w:val="28"/>
        </w:rPr>
        <w:t>清算报告公告日：201</w:t>
      </w:r>
      <w:r w:rsidR="008F60A1">
        <w:rPr>
          <w:rFonts w:asciiTheme="minorEastAsia" w:hAnsiTheme="minorEastAsia" w:cs="ArialUnicodeMS" w:hint="eastAsia"/>
          <w:kern w:val="0"/>
          <w:sz w:val="28"/>
          <w:szCs w:val="28"/>
        </w:rPr>
        <w:t>9</w:t>
      </w:r>
      <w:r w:rsidRPr="00E54D18">
        <w:rPr>
          <w:rFonts w:asciiTheme="minorEastAsia" w:hAnsiTheme="minorEastAsia" w:cs="ArialUnicodeMS" w:hint="eastAsia"/>
          <w:kern w:val="0"/>
          <w:sz w:val="28"/>
          <w:szCs w:val="28"/>
        </w:rPr>
        <w:t>年</w:t>
      </w:r>
      <w:r w:rsidR="00216F32">
        <w:rPr>
          <w:rFonts w:asciiTheme="minorEastAsia" w:hAnsiTheme="minorEastAsia" w:cs="ArialUnicodeMS" w:hint="eastAsia"/>
          <w:kern w:val="0"/>
          <w:sz w:val="28"/>
          <w:szCs w:val="28"/>
        </w:rPr>
        <w:t>3</w:t>
      </w:r>
      <w:r w:rsidRPr="00E54D18">
        <w:rPr>
          <w:rFonts w:asciiTheme="minorEastAsia" w:hAnsiTheme="minorEastAsia" w:cs="ArialUnicodeMS" w:hint="eastAsia"/>
          <w:kern w:val="0"/>
          <w:sz w:val="28"/>
          <w:szCs w:val="28"/>
        </w:rPr>
        <w:t>月</w:t>
      </w:r>
      <w:r w:rsidR="00216F32">
        <w:rPr>
          <w:rFonts w:asciiTheme="minorEastAsia" w:hAnsiTheme="minorEastAsia" w:cs="ArialUnicodeMS" w:hint="eastAsia"/>
          <w:kern w:val="0"/>
          <w:sz w:val="28"/>
          <w:szCs w:val="28"/>
        </w:rPr>
        <w:t>29</w:t>
      </w:r>
      <w:r w:rsidRPr="00E54D18">
        <w:rPr>
          <w:rFonts w:asciiTheme="minorEastAsia" w:hAnsiTheme="minorEastAsia" w:cs="ArialUnicodeMS" w:hint="eastAsia"/>
          <w:kern w:val="0"/>
          <w:sz w:val="28"/>
          <w:szCs w:val="28"/>
        </w:rPr>
        <w:t>日</w:t>
      </w:r>
    </w:p>
    <w:p w:rsidR="00E54D18" w:rsidRDefault="00E54D18" w:rsidP="00E54D18">
      <w:pPr>
        <w:jc w:val="center"/>
        <w:rPr>
          <w:rFonts w:asciiTheme="majorEastAsia" w:eastAsiaTheme="majorEastAsia" w:hAnsiTheme="majorEastAsia"/>
          <w:sz w:val="32"/>
          <w:szCs w:val="32"/>
        </w:rPr>
      </w:pPr>
    </w:p>
    <w:p w:rsidR="00573D0A" w:rsidRDefault="00573D0A" w:rsidP="00E54D18">
      <w:pPr>
        <w:jc w:val="center"/>
        <w:rPr>
          <w:rFonts w:asciiTheme="majorEastAsia" w:eastAsiaTheme="majorEastAsia" w:hAnsiTheme="majorEastAsia"/>
          <w:sz w:val="32"/>
          <w:szCs w:val="32"/>
        </w:rPr>
      </w:pPr>
    </w:p>
    <w:p w:rsidR="00573D0A" w:rsidRDefault="00573D0A" w:rsidP="00E54D18">
      <w:pPr>
        <w:jc w:val="center"/>
        <w:rPr>
          <w:rFonts w:asciiTheme="majorEastAsia" w:eastAsiaTheme="majorEastAsia" w:hAnsiTheme="majorEastAsia"/>
          <w:sz w:val="32"/>
          <w:szCs w:val="32"/>
        </w:rPr>
      </w:pPr>
    </w:p>
    <w:p w:rsidR="00573D0A" w:rsidRDefault="00573D0A" w:rsidP="00E54D18">
      <w:pPr>
        <w:jc w:val="center"/>
        <w:rPr>
          <w:rFonts w:asciiTheme="majorEastAsia" w:eastAsiaTheme="majorEastAsia" w:hAnsiTheme="majorEastAsia"/>
          <w:sz w:val="32"/>
          <w:szCs w:val="32"/>
        </w:rPr>
      </w:pPr>
    </w:p>
    <w:p w:rsidR="00573D0A" w:rsidRDefault="00573D0A" w:rsidP="00E54D18">
      <w:pPr>
        <w:jc w:val="center"/>
        <w:rPr>
          <w:rFonts w:asciiTheme="majorEastAsia" w:eastAsiaTheme="majorEastAsia" w:hAnsiTheme="majorEastAsia"/>
          <w:sz w:val="32"/>
          <w:szCs w:val="32"/>
        </w:rPr>
      </w:pPr>
    </w:p>
    <w:p w:rsidR="00573D0A" w:rsidRDefault="00573D0A" w:rsidP="00573D0A">
      <w:pPr>
        <w:numPr>
          <w:ilvl w:val="0"/>
          <w:numId w:val="1"/>
        </w:numPr>
        <w:jc w:val="center"/>
        <w:rPr>
          <w:rFonts w:asciiTheme="minorEastAsia" w:hAnsiTheme="minorEastAsia"/>
          <w:b/>
          <w:sz w:val="28"/>
          <w:szCs w:val="28"/>
        </w:rPr>
      </w:pPr>
      <w:r w:rsidRPr="00573D0A">
        <w:rPr>
          <w:rFonts w:asciiTheme="minorEastAsia" w:hAnsiTheme="minorEastAsia" w:hint="eastAsia"/>
          <w:b/>
          <w:sz w:val="28"/>
          <w:szCs w:val="28"/>
        </w:rPr>
        <w:lastRenderedPageBreak/>
        <w:t>重要提示</w:t>
      </w:r>
    </w:p>
    <w:p w:rsidR="00ED69E9" w:rsidRPr="00ED69E9" w:rsidRDefault="00ED69E9" w:rsidP="00ED69E9">
      <w:pPr>
        <w:autoSpaceDE w:val="0"/>
        <w:autoSpaceDN w:val="0"/>
        <w:adjustRightInd w:val="0"/>
        <w:snapToGrid w:val="0"/>
        <w:spacing w:line="360" w:lineRule="auto"/>
        <w:ind w:firstLineChars="200" w:firstLine="480"/>
        <w:rPr>
          <w:rFonts w:ascii="Arial" w:eastAsia="宋体" w:hAnsi="Arial" w:cs="Arial"/>
          <w:sz w:val="24"/>
          <w:szCs w:val="24"/>
        </w:rPr>
      </w:pPr>
      <w:r w:rsidRPr="00ED69E9">
        <w:rPr>
          <w:rFonts w:ascii="Arial" w:eastAsia="宋体" w:hAnsi="Arial" w:cs="Arial" w:hint="eastAsia"/>
          <w:bCs/>
          <w:sz w:val="24"/>
          <w:szCs w:val="24"/>
        </w:rPr>
        <w:t>中海中</w:t>
      </w:r>
      <w:proofErr w:type="gramStart"/>
      <w:r w:rsidRPr="00ED69E9">
        <w:rPr>
          <w:rFonts w:ascii="Arial" w:eastAsia="宋体" w:hAnsi="Arial" w:cs="Arial" w:hint="eastAsia"/>
          <w:bCs/>
          <w:sz w:val="24"/>
          <w:szCs w:val="24"/>
        </w:rPr>
        <w:t>鑫</w:t>
      </w:r>
      <w:proofErr w:type="gramEnd"/>
      <w:r w:rsidRPr="00ED69E9">
        <w:rPr>
          <w:rFonts w:ascii="Arial" w:eastAsia="宋体" w:hAnsi="Arial" w:cs="Arial" w:hint="eastAsia"/>
          <w:bCs/>
          <w:sz w:val="24"/>
          <w:szCs w:val="24"/>
        </w:rPr>
        <w:t>灵活配置混合型证券投资基金</w:t>
      </w:r>
      <w:r w:rsidRPr="00ED69E9">
        <w:rPr>
          <w:rFonts w:ascii="Arial" w:eastAsia="宋体" w:hAnsi="Arial" w:cs="Arial"/>
          <w:sz w:val="24"/>
          <w:szCs w:val="24"/>
        </w:rPr>
        <w:t>（以下简称</w:t>
      </w:r>
      <w:r w:rsidRPr="00ED69E9">
        <w:rPr>
          <w:rFonts w:ascii="Arial" w:eastAsia="宋体" w:hAnsi="Arial" w:cs="Arial" w:hint="eastAsia"/>
          <w:sz w:val="24"/>
          <w:szCs w:val="24"/>
        </w:rPr>
        <w:t>“</w:t>
      </w:r>
      <w:r w:rsidRPr="00ED69E9">
        <w:rPr>
          <w:rFonts w:ascii="Arial" w:eastAsia="宋体" w:hAnsi="Arial" w:cs="Arial"/>
          <w:sz w:val="24"/>
          <w:szCs w:val="24"/>
        </w:rPr>
        <w:t>本基金</w:t>
      </w:r>
      <w:r w:rsidRPr="00ED69E9">
        <w:rPr>
          <w:rFonts w:ascii="Arial" w:eastAsia="宋体" w:hAnsi="Arial" w:cs="Arial" w:hint="eastAsia"/>
          <w:sz w:val="24"/>
          <w:szCs w:val="24"/>
        </w:rPr>
        <w:t>”</w:t>
      </w:r>
      <w:r w:rsidRPr="00ED69E9">
        <w:rPr>
          <w:rFonts w:ascii="Arial" w:eastAsia="宋体" w:hAnsi="Arial" w:cs="Arial"/>
          <w:sz w:val="24"/>
          <w:szCs w:val="24"/>
        </w:rPr>
        <w:t>）经中国证券监督管理委员会（以下简称</w:t>
      </w:r>
      <w:r w:rsidRPr="00ED69E9">
        <w:rPr>
          <w:rFonts w:ascii="Arial" w:eastAsia="宋体" w:hAnsi="Arial" w:cs="Arial" w:hint="eastAsia"/>
          <w:sz w:val="24"/>
          <w:szCs w:val="24"/>
        </w:rPr>
        <w:t>“</w:t>
      </w:r>
      <w:r w:rsidRPr="00ED69E9">
        <w:rPr>
          <w:rFonts w:ascii="Arial" w:eastAsia="宋体" w:hAnsi="Arial" w:cs="Arial"/>
          <w:sz w:val="24"/>
          <w:szCs w:val="24"/>
        </w:rPr>
        <w:t>中国证监会</w:t>
      </w:r>
      <w:r w:rsidRPr="00ED69E9">
        <w:rPr>
          <w:rFonts w:ascii="Arial" w:eastAsia="宋体" w:hAnsi="Arial" w:cs="Arial" w:hint="eastAsia"/>
          <w:sz w:val="24"/>
          <w:szCs w:val="24"/>
        </w:rPr>
        <w:t>”</w:t>
      </w:r>
      <w:r w:rsidRPr="00ED69E9">
        <w:rPr>
          <w:rFonts w:ascii="Arial" w:eastAsia="宋体" w:hAnsi="Arial" w:cs="Arial"/>
          <w:sz w:val="24"/>
          <w:szCs w:val="24"/>
        </w:rPr>
        <w:t>）</w:t>
      </w:r>
      <w:r w:rsidRPr="00ED69E9">
        <w:rPr>
          <w:rFonts w:ascii="Arial" w:eastAsia="宋体" w:hAnsi="Arial" w:cs="Arial"/>
          <w:sz w:val="24"/>
          <w:szCs w:val="24"/>
        </w:rPr>
        <w:t>201</w:t>
      </w:r>
      <w:r w:rsidRPr="00ED69E9">
        <w:rPr>
          <w:rFonts w:ascii="Arial" w:eastAsia="宋体" w:hAnsi="Arial" w:cs="Arial" w:hint="eastAsia"/>
          <w:sz w:val="24"/>
          <w:szCs w:val="24"/>
        </w:rPr>
        <w:t>5</w:t>
      </w:r>
      <w:r w:rsidRPr="00ED69E9">
        <w:rPr>
          <w:rFonts w:ascii="Arial" w:eastAsia="宋体" w:hAnsi="Arial" w:cs="Arial"/>
          <w:sz w:val="24"/>
          <w:szCs w:val="24"/>
        </w:rPr>
        <w:t>年</w:t>
      </w:r>
      <w:r w:rsidR="00175510">
        <w:rPr>
          <w:rFonts w:ascii="Arial" w:eastAsia="宋体" w:hAnsi="Arial" w:cs="Arial" w:hint="eastAsia"/>
          <w:sz w:val="24"/>
          <w:szCs w:val="24"/>
        </w:rPr>
        <w:t>11</w:t>
      </w:r>
      <w:r w:rsidRPr="00ED69E9">
        <w:rPr>
          <w:rFonts w:ascii="Arial" w:eastAsia="宋体" w:hAnsi="Arial" w:cs="Arial"/>
          <w:sz w:val="24"/>
          <w:szCs w:val="24"/>
        </w:rPr>
        <w:t>月</w:t>
      </w:r>
      <w:r w:rsidR="00175510">
        <w:rPr>
          <w:rFonts w:ascii="Arial" w:eastAsia="宋体" w:hAnsi="Arial" w:cs="Arial" w:hint="eastAsia"/>
          <w:sz w:val="24"/>
          <w:szCs w:val="24"/>
        </w:rPr>
        <w:t>12</w:t>
      </w:r>
      <w:r w:rsidRPr="00ED69E9">
        <w:rPr>
          <w:rFonts w:ascii="Arial" w:eastAsia="宋体" w:hAnsi="Arial" w:cs="Arial"/>
          <w:sz w:val="24"/>
          <w:szCs w:val="24"/>
        </w:rPr>
        <w:t>日证监许可</w:t>
      </w:r>
      <w:r w:rsidR="00175510">
        <w:rPr>
          <w:rFonts w:ascii="Arial" w:eastAsia="宋体" w:hAnsi="Arial" w:cs="Arial" w:hint="eastAsia"/>
          <w:sz w:val="24"/>
          <w:szCs w:val="24"/>
        </w:rPr>
        <w:t>【</w:t>
      </w:r>
      <w:r w:rsidR="00175510">
        <w:rPr>
          <w:rFonts w:ascii="Arial" w:eastAsia="宋体" w:hAnsi="Arial" w:cs="Arial" w:hint="eastAsia"/>
          <w:sz w:val="24"/>
          <w:szCs w:val="24"/>
        </w:rPr>
        <w:t>2015</w:t>
      </w:r>
      <w:r w:rsidR="00175510">
        <w:rPr>
          <w:rFonts w:ascii="Arial" w:eastAsia="宋体" w:hAnsi="Arial" w:cs="Arial" w:hint="eastAsia"/>
          <w:sz w:val="24"/>
          <w:szCs w:val="24"/>
        </w:rPr>
        <w:t>】</w:t>
      </w:r>
      <w:r w:rsidR="00175510">
        <w:rPr>
          <w:rFonts w:ascii="Arial" w:eastAsia="宋体" w:hAnsi="Arial" w:cs="Arial" w:hint="eastAsia"/>
          <w:sz w:val="24"/>
          <w:szCs w:val="24"/>
        </w:rPr>
        <w:t>2593</w:t>
      </w:r>
      <w:r w:rsidRPr="00ED69E9">
        <w:rPr>
          <w:rFonts w:ascii="Arial" w:eastAsia="宋体" w:hAnsi="Arial" w:cs="Arial"/>
          <w:sz w:val="24"/>
          <w:szCs w:val="24"/>
        </w:rPr>
        <w:t>号文</w:t>
      </w:r>
      <w:r w:rsidRPr="00ED69E9">
        <w:rPr>
          <w:rFonts w:ascii="Arial" w:eastAsia="宋体" w:hAnsi="Arial" w:cs="Arial" w:hint="eastAsia"/>
          <w:sz w:val="24"/>
          <w:szCs w:val="24"/>
        </w:rPr>
        <w:t>准予募集注册，</w:t>
      </w:r>
      <w:r w:rsidRPr="00ED69E9">
        <w:rPr>
          <w:rFonts w:ascii="Arial" w:eastAsia="宋体" w:hAnsi="Arial" w:cs="Arial"/>
          <w:sz w:val="24"/>
          <w:szCs w:val="24"/>
        </w:rPr>
        <w:t>自</w:t>
      </w:r>
      <w:r w:rsidRPr="00ED69E9">
        <w:rPr>
          <w:rFonts w:ascii="Arial" w:eastAsia="宋体" w:hAnsi="Arial" w:cs="Arial"/>
          <w:sz w:val="24"/>
          <w:szCs w:val="24"/>
        </w:rPr>
        <w:t>20</w:t>
      </w:r>
      <w:r w:rsidRPr="00ED69E9">
        <w:rPr>
          <w:rFonts w:ascii="Arial" w:eastAsia="宋体" w:hAnsi="Arial" w:cs="Arial" w:hint="eastAsia"/>
          <w:sz w:val="24"/>
          <w:szCs w:val="24"/>
        </w:rPr>
        <w:t>15</w:t>
      </w:r>
      <w:r w:rsidRPr="00ED69E9">
        <w:rPr>
          <w:rFonts w:ascii="Arial" w:eastAsia="宋体" w:hAnsi="Arial" w:cs="Arial"/>
          <w:sz w:val="24"/>
          <w:szCs w:val="24"/>
        </w:rPr>
        <w:t>年</w:t>
      </w:r>
      <w:r w:rsidR="00175510">
        <w:rPr>
          <w:rFonts w:ascii="Arial" w:eastAsia="宋体" w:hAnsi="Arial" w:cs="Arial" w:hint="eastAsia"/>
          <w:sz w:val="24"/>
          <w:szCs w:val="24"/>
        </w:rPr>
        <w:t>11</w:t>
      </w:r>
      <w:r w:rsidRPr="00ED69E9">
        <w:rPr>
          <w:rFonts w:ascii="Arial" w:eastAsia="宋体" w:hAnsi="Arial" w:cs="Arial"/>
          <w:sz w:val="24"/>
          <w:szCs w:val="24"/>
        </w:rPr>
        <w:t>月</w:t>
      </w:r>
      <w:r w:rsidR="00175510">
        <w:rPr>
          <w:rFonts w:ascii="Arial" w:eastAsia="宋体" w:hAnsi="Arial" w:cs="Arial" w:hint="eastAsia"/>
          <w:sz w:val="24"/>
          <w:szCs w:val="24"/>
        </w:rPr>
        <w:t>23</w:t>
      </w:r>
      <w:r w:rsidRPr="00ED69E9">
        <w:rPr>
          <w:rFonts w:ascii="Arial" w:eastAsia="宋体" w:hAnsi="Arial" w:cs="Arial"/>
          <w:sz w:val="24"/>
          <w:szCs w:val="24"/>
        </w:rPr>
        <w:t>日起基金合同生效，基金管理人为中</w:t>
      </w:r>
      <w:proofErr w:type="gramStart"/>
      <w:r w:rsidRPr="00ED69E9">
        <w:rPr>
          <w:rFonts w:ascii="Arial" w:eastAsia="宋体" w:hAnsi="Arial" w:cs="Arial"/>
          <w:sz w:val="24"/>
          <w:szCs w:val="24"/>
        </w:rPr>
        <w:t>海基金</w:t>
      </w:r>
      <w:proofErr w:type="gramEnd"/>
      <w:r w:rsidRPr="00ED69E9">
        <w:rPr>
          <w:rFonts w:ascii="Arial" w:eastAsia="宋体" w:hAnsi="Arial" w:cs="Arial"/>
          <w:sz w:val="24"/>
          <w:szCs w:val="24"/>
        </w:rPr>
        <w:t>管理有限公司</w:t>
      </w:r>
      <w:r w:rsidRPr="00ED69E9">
        <w:rPr>
          <w:rFonts w:ascii="Arial" w:eastAsia="宋体" w:hAnsi="Arial" w:cs="Arial" w:hint="eastAsia"/>
          <w:sz w:val="24"/>
          <w:szCs w:val="24"/>
        </w:rPr>
        <w:t>（以下简称“基金管理人”）</w:t>
      </w:r>
      <w:r w:rsidRPr="00ED69E9">
        <w:rPr>
          <w:rFonts w:ascii="Arial" w:eastAsia="宋体" w:hAnsi="Arial" w:cs="Arial"/>
          <w:sz w:val="24"/>
          <w:szCs w:val="24"/>
        </w:rPr>
        <w:t>，基金托管人为</w:t>
      </w:r>
      <w:r w:rsidR="00175510" w:rsidRPr="00175510">
        <w:rPr>
          <w:rFonts w:ascii="Arial" w:eastAsia="宋体" w:hAnsi="Arial" w:cs="Arial" w:hint="eastAsia"/>
          <w:sz w:val="24"/>
          <w:szCs w:val="24"/>
        </w:rPr>
        <w:t>宁波银行股份有限公司</w:t>
      </w:r>
      <w:r w:rsidRPr="00ED69E9">
        <w:rPr>
          <w:rFonts w:ascii="Arial" w:eastAsia="宋体" w:hAnsi="Arial" w:cs="Arial" w:hint="eastAsia"/>
          <w:sz w:val="24"/>
          <w:szCs w:val="24"/>
        </w:rPr>
        <w:t>（以下简称“基金托管人”）</w:t>
      </w:r>
      <w:r w:rsidRPr="00ED69E9">
        <w:rPr>
          <w:rFonts w:ascii="Arial" w:eastAsia="宋体" w:hAnsi="Arial" w:cs="Arial"/>
          <w:sz w:val="24"/>
          <w:szCs w:val="24"/>
        </w:rPr>
        <w:t>。</w:t>
      </w:r>
    </w:p>
    <w:p w:rsidR="00ED69E9" w:rsidRPr="00ED69E9" w:rsidRDefault="00ED69E9" w:rsidP="00175510">
      <w:pPr>
        <w:autoSpaceDE w:val="0"/>
        <w:autoSpaceDN w:val="0"/>
        <w:adjustRightInd w:val="0"/>
        <w:snapToGrid w:val="0"/>
        <w:spacing w:line="360" w:lineRule="auto"/>
        <w:ind w:firstLineChars="200" w:firstLine="480"/>
        <w:rPr>
          <w:rFonts w:ascii="Arial" w:eastAsia="宋体" w:hAnsi="Arial" w:cs="Arial"/>
          <w:sz w:val="24"/>
          <w:szCs w:val="24"/>
        </w:rPr>
      </w:pPr>
      <w:r w:rsidRPr="00ED69E9">
        <w:rPr>
          <w:rFonts w:ascii="Arial" w:eastAsia="宋体" w:hAnsi="Arial" w:cs="Arial" w:hint="eastAsia"/>
          <w:sz w:val="24"/>
          <w:szCs w:val="24"/>
        </w:rPr>
        <w:t>根据《</w:t>
      </w:r>
      <w:r w:rsidR="00175510" w:rsidRPr="00175510">
        <w:rPr>
          <w:rFonts w:ascii="Arial" w:eastAsia="宋体" w:hAnsi="Arial" w:cs="Arial" w:hint="eastAsia"/>
          <w:bCs/>
          <w:sz w:val="24"/>
          <w:szCs w:val="24"/>
        </w:rPr>
        <w:t>中海中鑫灵活配置混合型证券投资基金</w:t>
      </w:r>
      <w:r w:rsidR="005A5F53">
        <w:rPr>
          <w:rFonts w:ascii="Arial" w:eastAsia="宋体" w:hAnsi="Arial" w:cs="Arial" w:hint="eastAsia"/>
          <w:bCs/>
          <w:sz w:val="24"/>
          <w:szCs w:val="24"/>
        </w:rPr>
        <w:t>基金合同</w:t>
      </w:r>
      <w:r w:rsidRPr="00ED69E9">
        <w:rPr>
          <w:rFonts w:ascii="Arial" w:eastAsia="宋体" w:hAnsi="Arial" w:cs="Arial" w:hint="eastAsia"/>
          <w:sz w:val="24"/>
          <w:szCs w:val="24"/>
        </w:rPr>
        <w:t>》</w:t>
      </w:r>
      <w:r w:rsidRPr="00ED69E9">
        <w:rPr>
          <w:rFonts w:ascii="Arial" w:eastAsia="宋体" w:hAnsi="Arial" w:cs="Arial"/>
          <w:sz w:val="24"/>
          <w:szCs w:val="24"/>
        </w:rPr>
        <w:t>（以下简称</w:t>
      </w:r>
      <w:r w:rsidRPr="00ED69E9">
        <w:rPr>
          <w:rFonts w:ascii="Arial" w:eastAsia="宋体" w:hAnsi="Arial" w:cs="Arial" w:hint="eastAsia"/>
          <w:sz w:val="24"/>
          <w:szCs w:val="24"/>
        </w:rPr>
        <w:t>“</w:t>
      </w:r>
      <w:r w:rsidRPr="00ED69E9">
        <w:rPr>
          <w:rFonts w:ascii="Arial" w:eastAsia="宋体" w:hAnsi="Arial" w:cs="Arial"/>
          <w:sz w:val="24"/>
          <w:szCs w:val="24"/>
        </w:rPr>
        <w:t>基金合同</w:t>
      </w:r>
      <w:r w:rsidRPr="00ED69E9">
        <w:rPr>
          <w:rFonts w:ascii="Arial" w:eastAsia="宋体" w:hAnsi="Arial" w:cs="Arial" w:hint="eastAsia"/>
          <w:sz w:val="24"/>
          <w:szCs w:val="24"/>
        </w:rPr>
        <w:t>”</w:t>
      </w:r>
      <w:r w:rsidRPr="00ED69E9">
        <w:rPr>
          <w:rFonts w:ascii="Arial" w:eastAsia="宋体" w:hAnsi="Arial" w:cs="Arial"/>
          <w:sz w:val="24"/>
          <w:szCs w:val="24"/>
        </w:rPr>
        <w:t>）</w:t>
      </w:r>
      <w:r w:rsidRPr="00ED69E9">
        <w:rPr>
          <w:rFonts w:ascii="Arial" w:eastAsia="宋体" w:hAnsi="Arial" w:cs="Arial" w:hint="eastAsia"/>
          <w:sz w:val="24"/>
          <w:szCs w:val="24"/>
        </w:rPr>
        <w:t>的有关约定，</w:t>
      </w:r>
      <w:r w:rsidR="00175510" w:rsidRPr="00175510">
        <w:rPr>
          <w:rFonts w:ascii="Arial" w:eastAsia="宋体" w:hAnsi="Arial" w:cs="Arial"/>
          <w:bCs/>
          <w:sz w:val="24"/>
          <w:szCs w:val="24"/>
        </w:rPr>
        <w:t>连续</w:t>
      </w:r>
      <w:r w:rsidR="00175510" w:rsidRPr="00175510">
        <w:rPr>
          <w:rFonts w:ascii="Arial" w:eastAsia="宋体" w:hAnsi="Arial" w:cs="Arial"/>
          <w:bCs/>
          <w:sz w:val="24"/>
          <w:szCs w:val="24"/>
        </w:rPr>
        <w:t>60</w:t>
      </w:r>
      <w:r w:rsidR="00175510" w:rsidRPr="00175510">
        <w:rPr>
          <w:rFonts w:ascii="Arial" w:eastAsia="宋体" w:hAnsi="Arial" w:cs="Arial" w:hint="eastAsia"/>
          <w:bCs/>
          <w:sz w:val="24"/>
          <w:szCs w:val="24"/>
        </w:rPr>
        <w:t>个工作日出现基金份额持有人数量不满</w:t>
      </w:r>
      <w:r w:rsidR="00175510" w:rsidRPr="00175510">
        <w:rPr>
          <w:rFonts w:ascii="Arial" w:eastAsia="宋体" w:hAnsi="Arial" w:cs="Arial"/>
          <w:bCs/>
          <w:sz w:val="24"/>
          <w:szCs w:val="24"/>
        </w:rPr>
        <w:t>200</w:t>
      </w:r>
      <w:r w:rsidR="00175510" w:rsidRPr="00175510">
        <w:rPr>
          <w:rFonts w:ascii="Arial" w:eastAsia="宋体" w:hAnsi="Arial" w:cs="Arial" w:hint="eastAsia"/>
          <w:bCs/>
          <w:sz w:val="24"/>
          <w:szCs w:val="24"/>
        </w:rPr>
        <w:t>人情形或连续</w:t>
      </w:r>
      <w:r w:rsidR="00175510" w:rsidRPr="00175510">
        <w:rPr>
          <w:rFonts w:ascii="Arial" w:eastAsia="宋体" w:hAnsi="Arial" w:cs="Arial"/>
          <w:bCs/>
          <w:sz w:val="24"/>
          <w:szCs w:val="24"/>
        </w:rPr>
        <w:t>60</w:t>
      </w:r>
      <w:r w:rsidR="00175510" w:rsidRPr="00175510">
        <w:rPr>
          <w:rFonts w:ascii="Arial" w:eastAsia="宋体" w:hAnsi="Arial" w:cs="Arial" w:hint="eastAsia"/>
          <w:bCs/>
          <w:sz w:val="24"/>
          <w:szCs w:val="24"/>
        </w:rPr>
        <w:t>个工作日基金资产净值低于</w:t>
      </w:r>
      <w:r w:rsidR="003F1109">
        <w:rPr>
          <w:rFonts w:ascii="Arial" w:eastAsia="宋体" w:hAnsi="Arial" w:cs="Arial"/>
          <w:bCs/>
          <w:sz w:val="24"/>
          <w:szCs w:val="24"/>
        </w:rPr>
        <w:t>5000</w:t>
      </w:r>
      <w:r w:rsidR="00175510" w:rsidRPr="00175510">
        <w:rPr>
          <w:rFonts w:ascii="Arial" w:eastAsia="宋体" w:hAnsi="Arial" w:cs="Arial" w:hint="eastAsia"/>
          <w:bCs/>
          <w:sz w:val="24"/>
          <w:szCs w:val="24"/>
        </w:rPr>
        <w:t>万元的，本基金将根据</w:t>
      </w:r>
      <w:r w:rsidR="00175510">
        <w:rPr>
          <w:rFonts w:ascii="Arial" w:eastAsia="宋体" w:hAnsi="Arial" w:cs="Arial" w:hint="eastAsia"/>
          <w:bCs/>
          <w:sz w:val="24"/>
          <w:szCs w:val="24"/>
        </w:rPr>
        <w:t>基金合同的约定进入清算程序并终止，而无需召开基金份额持有人大会</w:t>
      </w:r>
      <w:r w:rsidRPr="00ED69E9">
        <w:rPr>
          <w:rFonts w:ascii="Arial" w:eastAsia="宋体" w:hAnsi="Arial" w:cs="Arial" w:hint="eastAsia"/>
          <w:sz w:val="24"/>
          <w:szCs w:val="24"/>
        </w:rPr>
        <w:t>。</w:t>
      </w:r>
      <w:r w:rsidR="00175510" w:rsidRPr="00175510">
        <w:rPr>
          <w:rFonts w:ascii="Arial" w:eastAsia="宋体" w:hAnsi="Arial" w:cs="Arial" w:hint="eastAsia"/>
          <w:sz w:val="24"/>
          <w:szCs w:val="24"/>
        </w:rPr>
        <w:t>截至</w:t>
      </w:r>
      <w:r w:rsidR="00175510" w:rsidRPr="00175510">
        <w:rPr>
          <w:rFonts w:ascii="Arial" w:eastAsia="宋体" w:hAnsi="Arial" w:cs="Arial" w:hint="eastAsia"/>
          <w:sz w:val="24"/>
          <w:szCs w:val="24"/>
        </w:rPr>
        <w:t>2018</w:t>
      </w:r>
      <w:r w:rsidR="00175510" w:rsidRPr="00175510">
        <w:rPr>
          <w:rFonts w:ascii="Arial" w:eastAsia="宋体" w:hAnsi="Arial" w:cs="Arial" w:hint="eastAsia"/>
          <w:sz w:val="24"/>
          <w:szCs w:val="24"/>
        </w:rPr>
        <w:t>年</w:t>
      </w:r>
      <w:r w:rsidR="00175510" w:rsidRPr="00175510">
        <w:rPr>
          <w:rFonts w:ascii="Arial" w:eastAsia="宋体" w:hAnsi="Arial" w:cs="Arial" w:hint="eastAsia"/>
          <w:sz w:val="24"/>
          <w:szCs w:val="24"/>
        </w:rPr>
        <w:t>9</w:t>
      </w:r>
      <w:r w:rsidR="00175510" w:rsidRPr="00175510">
        <w:rPr>
          <w:rFonts w:ascii="Arial" w:eastAsia="宋体" w:hAnsi="Arial" w:cs="Arial" w:hint="eastAsia"/>
          <w:sz w:val="24"/>
          <w:szCs w:val="24"/>
        </w:rPr>
        <w:t>月</w:t>
      </w:r>
      <w:r w:rsidR="00175510">
        <w:rPr>
          <w:rFonts w:ascii="Arial" w:eastAsia="宋体" w:hAnsi="Arial" w:cs="Arial" w:hint="eastAsia"/>
          <w:sz w:val="24"/>
          <w:szCs w:val="24"/>
        </w:rPr>
        <w:t>26</w:t>
      </w:r>
      <w:r w:rsidR="00175510" w:rsidRPr="00175510">
        <w:rPr>
          <w:rFonts w:ascii="Arial" w:eastAsia="宋体" w:hAnsi="Arial" w:cs="Arial" w:hint="eastAsia"/>
          <w:sz w:val="24"/>
          <w:szCs w:val="24"/>
        </w:rPr>
        <w:t>日</w:t>
      </w:r>
      <w:r w:rsidRPr="00ED69E9">
        <w:rPr>
          <w:rFonts w:ascii="Arial" w:eastAsia="宋体" w:hAnsi="Arial" w:cs="Arial" w:hint="eastAsia"/>
          <w:sz w:val="24"/>
          <w:szCs w:val="24"/>
        </w:rPr>
        <w:t>日终，本</w:t>
      </w:r>
      <w:proofErr w:type="gramStart"/>
      <w:r w:rsidRPr="00ED69E9">
        <w:rPr>
          <w:rFonts w:ascii="Arial" w:eastAsia="宋体" w:hAnsi="Arial" w:cs="Arial" w:hint="eastAsia"/>
          <w:sz w:val="24"/>
          <w:szCs w:val="24"/>
        </w:rPr>
        <w:t>基金基金</w:t>
      </w:r>
      <w:proofErr w:type="gramEnd"/>
      <w:r w:rsidRPr="00ED69E9">
        <w:rPr>
          <w:rFonts w:ascii="Arial" w:eastAsia="宋体" w:hAnsi="Arial" w:cs="Arial" w:hint="eastAsia"/>
          <w:sz w:val="24"/>
          <w:szCs w:val="24"/>
        </w:rPr>
        <w:t>资产净值已连续</w:t>
      </w:r>
      <w:r w:rsidRPr="00ED69E9">
        <w:rPr>
          <w:rFonts w:ascii="Arial" w:eastAsia="宋体" w:hAnsi="Arial" w:cs="Arial" w:hint="eastAsia"/>
          <w:sz w:val="24"/>
          <w:szCs w:val="24"/>
        </w:rPr>
        <w:t>60</w:t>
      </w:r>
      <w:r w:rsidRPr="00ED69E9">
        <w:rPr>
          <w:rFonts w:ascii="Arial" w:eastAsia="宋体" w:hAnsi="Arial" w:cs="Arial" w:hint="eastAsia"/>
          <w:sz w:val="24"/>
          <w:szCs w:val="24"/>
        </w:rPr>
        <w:t>个工作日低于</w:t>
      </w:r>
      <w:r w:rsidRPr="00ED69E9">
        <w:rPr>
          <w:rFonts w:ascii="Arial" w:eastAsia="宋体" w:hAnsi="Arial" w:cs="Arial" w:hint="eastAsia"/>
          <w:sz w:val="24"/>
          <w:szCs w:val="24"/>
        </w:rPr>
        <w:t>5000</w:t>
      </w:r>
      <w:r w:rsidRPr="00ED69E9">
        <w:rPr>
          <w:rFonts w:ascii="Arial" w:eastAsia="宋体" w:hAnsi="Arial" w:cs="Arial" w:hint="eastAsia"/>
          <w:sz w:val="24"/>
          <w:szCs w:val="24"/>
        </w:rPr>
        <w:t>万元，触发上述基金合同终止情形。</w:t>
      </w:r>
      <w:r w:rsidRPr="00ED69E9">
        <w:rPr>
          <w:rFonts w:ascii="Arial" w:eastAsia="宋体" w:hAnsi="Arial" w:cs="Arial"/>
          <w:sz w:val="24"/>
          <w:szCs w:val="24"/>
        </w:rPr>
        <w:t>基金管理人已就该事项于</w:t>
      </w:r>
      <w:r w:rsidRPr="00ED69E9">
        <w:rPr>
          <w:rFonts w:ascii="Arial" w:eastAsia="宋体" w:hAnsi="Arial" w:cs="Arial"/>
          <w:sz w:val="24"/>
          <w:szCs w:val="24"/>
        </w:rPr>
        <w:t>20</w:t>
      </w:r>
      <w:r w:rsidRPr="00ED69E9">
        <w:rPr>
          <w:rFonts w:ascii="Arial" w:eastAsia="宋体" w:hAnsi="Arial" w:cs="Arial" w:hint="eastAsia"/>
          <w:sz w:val="24"/>
          <w:szCs w:val="24"/>
        </w:rPr>
        <w:t>18</w:t>
      </w:r>
      <w:r w:rsidRPr="00ED69E9">
        <w:rPr>
          <w:rFonts w:ascii="Arial" w:eastAsia="宋体" w:hAnsi="Arial" w:cs="Arial"/>
          <w:sz w:val="24"/>
          <w:szCs w:val="24"/>
        </w:rPr>
        <w:t>年</w:t>
      </w:r>
      <w:r w:rsidR="00175510">
        <w:rPr>
          <w:rFonts w:ascii="Arial" w:eastAsia="宋体" w:hAnsi="Arial" w:cs="Arial" w:hint="eastAsia"/>
          <w:sz w:val="24"/>
          <w:szCs w:val="24"/>
        </w:rPr>
        <w:t>9</w:t>
      </w:r>
      <w:r w:rsidRPr="00ED69E9">
        <w:rPr>
          <w:rFonts w:ascii="Arial" w:eastAsia="宋体" w:hAnsi="Arial" w:cs="Arial"/>
          <w:sz w:val="24"/>
          <w:szCs w:val="24"/>
        </w:rPr>
        <w:t>月</w:t>
      </w:r>
      <w:r w:rsidR="00175510">
        <w:rPr>
          <w:rFonts w:ascii="Arial" w:eastAsia="宋体" w:hAnsi="Arial" w:cs="Arial" w:hint="eastAsia"/>
          <w:sz w:val="24"/>
          <w:szCs w:val="24"/>
        </w:rPr>
        <w:t>14</w:t>
      </w:r>
      <w:r w:rsidRPr="00ED69E9">
        <w:rPr>
          <w:rFonts w:ascii="Arial" w:eastAsia="宋体" w:hAnsi="Arial" w:cs="Arial"/>
          <w:sz w:val="24"/>
          <w:szCs w:val="24"/>
        </w:rPr>
        <w:t>日</w:t>
      </w:r>
      <w:r w:rsidRPr="00ED69E9">
        <w:rPr>
          <w:rFonts w:ascii="Arial" w:eastAsia="宋体" w:hAnsi="Arial" w:cs="Arial" w:hint="eastAsia"/>
          <w:sz w:val="24"/>
          <w:szCs w:val="24"/>
        </w:rPr>
        <w:t>和</w:t>
      </w:r>
      <w:r w:rsidRPr="00ED69E9">
        <w:rPr>
          <w:rFonts w:ascii="Arial" w:eastAsia="宋体" w:hAnsi="Arial" w:cs="Arial"/>
          <w:sz w:val="24"/>
          <w:szCs w:val="24"/>
        </w:rPr>
        <w:t>20</w:t>
      </w:r>
      <w:r w:rsidRPr="00ED69E9">
        <w:rPr>
          <w:rFonts w:ascii="Arial" w:eastAsia="宋体" w:hAnsi="Arial" w:cs="Arial" w:hint="eastAsia"/>
          <w:sz w:val="24"/>
          <w:szCs w:val="24"/>
        </w:rPr>
        <w:t>18</w:t>
      </w:r>
      <w:r w:rsidRPr="00ED69E9">
        <w:rPr>
          <w:rFonts w:ascii="Arial" w:eastAsia="宋体" w:hAnsi="Arial" w:cs="Arial"/>
          <w:sz w:val="24"/>
          <w:szCs w:val="24"/>
        </w:rPr>
        <w:t>年</w:t>
      </w:r>
      <w:r w:rsidR="00175510">
        <w:rPr>
          <w:rFonts w:ascii="Arial" w:eastAsia="宋体" w:hAnsi="Arial" w:cs="Arial" w:hint="eastAsia"/>
          <w:sz w:val="24"/>
          <w:szCs w:val="24"/>
        </w:rPr>
        <w:t>9</w:t>
      </w:r>
      <w:r w:rsidRPr="00ED69E9">
        <w:rPr>
          <w:rFonts w:ascii="Arial" w:eastAsia="宋体" w:hAnsi="Arial" w:cs="Arial"/>
          <w:sz w:val="24"/>
          <w:szCs w:val="24"/>
        </w:rPr>
        <w:t>月</w:t>
      </w:r>
      <w:r w:rsidR="00175510">
        <w:rPr>
          <w:rFonts w:ascii="Arial" w:eastAsia="宋体" w:hAnsi="Arial" w:cs="Arial" w:hint="eastAsia"/>
          <w:sz w:val="24"/>
          <w:szCs w:val="24"/>
        </w:rPr>
        <w:t>27</w:t>
      </w:r>
      <w:r w:rsidRPr="00ED69E9">
        <w:rPr>
          <w:rFonts w:ascii="Arial" w:eastAsia="宋体" w:hAnsi="Arial" w:cs="Arial"/>
          <w:sz w:val="24"/>
          <w:szCs w:val="24"/>
        </w:rPr>
        <w:t>日</w:t>
      </w:r>
      <w:r w:rsidRPr="00ED69E9">
        <w:rPr>
          <w:rFonts w:ascii="Arial" w:eastAsia="宋体" w:hAnsi="Arial" w:cs="Arial" w:hint="eastAsia"/>
          <w:sz w:val="24"/>
          <w:szCs w:val="24"/>
        </w:rPr>
        <w:t>在</w:t>
      </w:r>
      <w:r w:rsidR="00175510">
        <w:rPr>
          <w:rFonts w:ascii="Arial" w:eastAsia="宋体" w:hAnsi="Arial" w:cs="Arial" w:hint="eastAsia"/>
          <w:sz w:val="24"/>
          <w:szCs w:val="24"/>
        </w:rPr>
        <w:t>《中国证券报》</w:t>
      </w:r>
      <w:r w:rsidRPr="00ED69E9">
        <w:rPr>
          <w:rFonts w:ascii="Arial" w:eastAsia="宋体" w:hAnsi="Arial" w:cs="Arial" w:hint="eastAsia"/>
          <w:sz w:val="24"/>
          <w:szCs w:val="24"/>
        </w:rPr>
        <w:t>、《证券时报》及基金管理人网站</w:t>
      </w:r>
      <w:r w:rsidRPr="00ED69E9">
        <w:rPr>
          <w:rFonts w:ascii="Arial" w:eastAsia="宋体" w:hAnsi="Arial" w:cs="Arial"/>
          <w:sz w:val="24"/>
          <w:szCs w:val="24"/>
        </w:rPr>
        <w:t>分别刊登了《</w:t>
      </w:r>
      <w:r w:rsidR="00175510" w:rsidRPr="00175510">
        <w:rPr>
          <w:rFonts w:ascii="Arial" w:eastAsia="宋体" w:hAnsi="Arial" w:cs="Arial" w:hint="eastAsia"/>
          <w:sz w:val="24"/>
          <w:szCs w:val="24"/>
        </w:rPr>
        <w:t>中海基金管理有限公司关于中海中鑫灵活配置混合型证券投资基金可能触发基金合同终止情形的提示性公告</w:t>
      </w:r>
      <w:r w:rsidRPr="00ED69E9">
        <w:rPr>
          <w:rFonts w:ascii="Arial" w:eastAsia="宋体" w:hAnsi="Arial" w:cs="Arial"/>
          <w:sz w:val="24"/>
          <w:szCs w:val="24"/>
        </w:rPr>
        <w:t>》和《</w:t>
      </w:r>
      <w:r w:rsidR="00175510" w:rsidRPr="00175510">
        <w:rPr>
          <w:rFonts w:ascii="Arial" w:eastAsia="宋体" w:hAnsi="Arial" w:cs="Arial" w:hint="eastAsia"/>
          <w:sz w:val="24"/>
          <w:szCs w:val="24"/>
        </w:rPr>
        <w:t>中海基金管理有限公司关于中海中鑫灵活配置混合型证券投资基金基金合同终止及基金财产清算的公告</w:t>
      </w:r>
      <w:r w:rsidRPr="00ED69E9">
        <w:rPr>
          <w:rFonts w:ascii="Arial" w:eastAsia="宋体" w:hAnsi="Arial" w:cs="Arial"/>
          <w:sz w:val="24"/>
          <w:szCs w:val="24"/>
        </w:rPr>
        <w:t>》。</w:t>
      </w:r>
    </w:p>
    <w:p w:rsidR="00573D0A" w:rsidRPr="00ED69E9" w:rsidRDefault="00ED69E9" w:rsidP="00ED69E9">
      <w:pPr>
        <w:autoSpaceDE w:val="0"/>
        <w:autoSpaceDN w:val="0"/>
        <w:adjustRightInd w:val="0"/>
        <w:snapToGrid w:val="0"/>
        <w:spacing w:line="360" w:lineRule="auto"/>
        <w:ind w:firstLineChars="200" w:firstLine="480"/>
        <w:rPr>
          <w:rFonts w:ascii="Arial" w:eastAsia="宋体" w:hAnsi="Arial" w:cs="Arial"/>
          <w:sz w:val="24"/>
          <w:szCs w:val="24"/>
        </w:rPr>
      </w:pPr>
      <w:r w:rsidRPr="00ED69E9">
        <w:rPr>
          <w:rFonts w:ascii="Arial" w:eastAsia="宋体" w:hAnsi="Arial" w:cs="Arial"/>
          <w:sz w:val="24"/>
          <w:szCs w:val="24"/>
        </w:rPr>
        <w:t>基金管理人、基金托管人、</w:t>
      </w:r>
      <w:r w:rsidRPr="00ED69E9">
        <w:rPr>
          <w:rFonts w:ascii="Arial" w:eastAsia="宋体" w:hAnsi="Arial" w:cs="Arial" w:hint="eastAsia"/>
          <w:sz w:val="24"/>
          <w:szCs w:val="24"/>
        </w:rPr>
        <w:t>安永华明会计师事务所（特殊普通合伙）和上海市通力律师事务所于</w:t>
      </w:r>
      <w:r w:rsidRPr="00ED69E9">
        <w:rPr>
          <w:rFonts w:ascii="Arial" w:eastAsia="宋体" w:hAnsi="Arial" w:cs="Arial"/>
          <w:sz w:val="24"/>
          <w:szCs w:val="24"/>
        </w:rPr>
        <w:t>201</w:t>
      </w:r>
      <w:r w:rsidRPr="00ED69E9">
        <w:rPr>
          <w:rFonts w:ascii="Arial" w:eastAsia="宋体" w:hAnsi="Arial" w:cs="Arial" w:hint="eastAsia"/>
          <w:sz w:val="24"/>
          <w:szCs w:val="24"/>
        </w:rPr>
        <w:t>8</w:t>
      </w:r>
      <w:r w:rsidRPr="00ED69E9">
        <w:rPr>
          <w:rFonts w:ascii="Arial" w:eastAsia="宋体" w:hAnsi="Arial" w:cs="Arial"/>
          <w:sz w:val="24"/>
          <w:szCs w:val="24"/>
        </w:rPr>
        <w:t>年</w:t>
      </w:r>
      <w:r w:rsidR="00A74C7C">
        <w:rPr>
          <w:rFonts w:ascii="Arial" w:eastAsia="宋体" w:hAnsi="Arial" w:cs="Arial" w:hint="eastAsia"/>
          <w:sz w:val="24"/>
          <w:szCs w:val="24"/>
        </w:rPr>
        <w:t>10</w:t>
      </w:r>
      <w:r w:rsidRPr="00ED69E9">
        <w:rPr>
          <w:rFonts w:ascii="Arial" w:eastAsia="宋体" w:hAnsi="Arial" w:cs="Arial"/>
          <w:sz w:val="24"/>
          <w:szCs w:val="24"/>
        </w:rPr>
        <w:t>月</w:t>
      </w:r>
      <w:r w:rsidR="00A74C7C">
        <w:rPr>
          <w:rFonts w:ascii="Arial" w:eastAsia="宋体" w:hAnsi="Arial" w:cs="Arial" w:hint="eastAsia"/>
          <w:sz w:val="24"/>
          <w:szCs w:val="24"/>
        </w:rPr>
        <w:t>9</w:t>
      </w:r>
      <w:r w:rsidRPr="00ED69E9">
        <w:rPr>
          <w:rFonts w:ascii="Arial" w:eastAsia="宋体" w:hAnsi="Arial" w:cs="Arial"/>
          <w:sz w:val="24"/>
          <w:szCs w:val="24"/>
        </w:rPr>
        <w:t>日</w:t>
      </w:r>
      <w:r w:rsidRPr="00ED69E9">
        <w:rPr>
          <w:rFonts w:ascii="Arial" w:eastAsia="宋体" w:hAnsi="Arial" w:cs="Arial" w:hint="eastAsia"/>
          <w:sz w:val="24"/>
          <w:szCs w:val="24"/>
        </w:rPr>
        <w:t>成立基金财产清算小组，履行基金财产清算程序</w:t>
      </w:r>
      <w:r w:rsidRPr="00ED69E9">
        <w:rPr>
          <w:rFonts w:ascii="Arial" w:eastAsia="宋体" w:hAnsi="Arial" w:cs="Arial"/>
          <w:sz w:val="24"/>
          <w:szCs w:val="24"/>
        </w:rPr>
        <w:t>，并</w:t>
      </w:r>
      <w:r w:rsidRPr="00ED69E9">
        <w:rPr>
          <w:rFonts w:ascii="Arial" w:eastAsia="宋体" w:hAnsi="Arial" w:cs="Arial" w:hint="eastAsia"/>
          <w:sz w:val="24"/>
          <w:szCs w:val="24"/>
        </w:rPr>
        <w:t>由安永华明会计师事务所（特殊普通合伙）对本基金进行清算审计</w:t>
      </w:r>
      <w:r w:rsidRPr="00ED69E9">
        <w:rPr>
          <w:rFonts w:ascii="Arial" w:eastAsia="宋体" w:hAnsi="Arial" w:cs="Arial"/>
          <w:sz w:val="24"/>
          <w:szCs w:val="24"/>
        </w:rPr>
        <w:t>，</w:t>
      </w:r>
      <w:r w:rsidRPr="00ED69E9">
        <w:rPr>
          <w:rFonts w:ascii="Arial" w:eastAsia="宋体" w:hAnsi="Arial" w:cs="Arial" w:hint="eastAsia"/>
          <w:sz w:val="24"/>
          <w:szCs w:val="24"/>
        </w:rPr>
        <w:t>上海市通力律师事务所对清算事宜出具法律意见</w:t>
      </w:r>
      <w:r w:rsidRPr="00ED69E9">
        <w:rPr>
          <w:rFonts w:ascii="Arial" w:eastAsia="宋体" w:hAnsi="Arial" w:cs="Arial"/>
          <w:sz w:val="24"/>
          <w:szCs w:val="24"/>
        </w:rPr>
        <w:t>。</w:t>
      </w:r>
    </w:p>
    <w:p w:rsidR="00573D0A" w:rsidRPr="00ED69E9" w:rsidRDefault="00573D0A" w:rsidP="00ED69E9">
      <w:pPr>
        <w:autoSpaceDE w:val="0"/>
        <w:autoSpaceDN w:val="0"/>
        <w:adjustRightInd w:val="0"/>
        <w:snapToGrid w:val="0"/>
        <w:spacing w:line="360" w:lineRule="auto"/>
        <w:ind w:firstLineChars="200" w:firstLine="480"/>
        <w:rPr>
          <w:rFonts w:ascii="Arial" w:eastAsia="宋体" w:hAnsi="Arial" w:cs="Arial"/>
          <w:sz w:val="24"/>
          <w:szCs w:val="24"/>
        </w:rPr>
      </w:pPr>
    </w:p>
    <w:p w:rsidR="00573D0A" w:rsidRPr="00ED69E9" w:rsidRDefault="00573D0A" w:rsidP="00ED69E9">
      <w:pPr>
        <w:autoSpaceDE w:val="0"/>
        <w:autoSpaceDN w:val="0"/>
        <w:adjustRightInd w:val="0"/>
        <w:snapToGrid w:val="0"/>
        <w:spacing w:line="360" w:lineRule="auto"/>
        <w:ind w:firstLineChars="200" w:firstLine="480"/>
        <w:rPr>
          <w:rFonts w:ascii="Arial" w:eastAsia="宋体" w:hAnsi="Arial" w:cs="Arial"/>
          <w:sz w:val="24"/>
          <w:szCs w:val="24"/>
        </w:rPr>
      </w:pPr>
    </w:p>
    <w:p w:rsidR="00573D0A" w:rsidRPr="00ED69E9" w:rsidRDefault="00573D0A" w:rsidP="00ED69E9">
      <w:pPr>
        <w:autoSpaceDE w:val="0"/>
        <w:autoSpaceDN w:val="0"/>
        <w:adjustRightInd w:val="0"/>
        <w:snapToGrid w:val="0"/>
        <w:spacing w:line="360" w:lineRule="auto"/>
        <w:ind w:firstLineChars="200" w:firstLine="480"/>
        <w:rPr>
          <w:rFonts w:ascii="Arial" w:eastAsia="宋体" w:hAnsi="Arial" w:cs="Arial"/>
          <w:sz w:val="24"/>
          <w:szCs w:val="24"/>
        </w:rPr>
      </w:pPr>
    </w:p>
    <w:p w:rsidR="00573D0A" w:rsidRPr="00ED69E9" w:rsidRDefault="00573D0A" w:rsidP="00ED69E9">
      <w:pPr>
        <w:autoSpaceDE w:val="0"/>
        <w:autoSpaceDN w:val="0"/>
        <w:adjustRightInd w:val="0"/>
        <w:snapToGrid w:val="0"/>
        <w:spacing w:line="360" w:lineRule="auto"/>
        <w:ind w:firstLineChars="200" w:firstLine="480"/>
        <w:rPr>
          <w:rFonts w:ascii="Arial" w:eastAsia="宋体" w:hAnsi="Arial" w:cs="Arial"/>
          <w:sz w:val="24"/>
          <w:szCs w:val="24"/>
        </w:rPr>
      </w:pPr>
    </w:p>
    <w:p w:rsidR="00573D0A" w:rsidRPr="00ED69E9" w:rsidRDefault="00573D0A" w:rsidP="00ED69E9">
      <w:pPr>
        <w:autoSpaceDE w:val="0"/>
        <w:autoSpaceDN w:val="0"/>
        <w:adjustRightInd w:val="0"/>
        <w:snapToGrid w:val="0"/>
        <w:spacing w:line="360" w:lineRule="auto"/>
        <w:ind w:firstLineChars="200" w:firstLine="480"/>
        <w:rPr>
          <w:rFonts w:ascii="Arial" w:eastAsia="宋体" w:hAnsi="Arial" w:cs="Arial"/>
          <w:sz w:val="24"/>
          <w:szCs w:val="24"/>
        </w:rPr>
      </w:pPr>
    </w:p>
    <w:p w:rsidR="00573D0A" w:rsidRPr="00ED69E9" w:rsidRDefault="00573D0A" w:rsidP="00ED69E9">
      <w:pPr>
        <w:autoSpaceDE w:val="0"/>
        <w:autoSpaceDN w:val="0"/>
        <w:adjustRightInd w:val="0"/>
        <w:snapToGrid w:val="0"/>
        <w:spacing w:line="360" w:lineRule="auto"/>
        <w:ind w:firstLineChars="200" w:firstLine="480"/>
        <w:rPr>
          <w:rFonts w:ascii="Arial" w:eastAsia="宋体" w:hAnsi="Arial" w:cs="Arial"/>
          <w:sz w:val="24"/>
          <w:szCs w:val="24"/>
        </w:rPr>
      </w:pPr>
    </w:p>
    <w:p w:rsidR="00573D0A" w:rsidRPr="00ED69E9" w:rsidRDefault="00573D0A" w:rsidP="00ED69E9">
      <w:pPr>
        <w:autoSpaceDE w:val="0"/>
        <w:autoSpaceDN w:val="0"/>
        <w:adjustRightInd w:val="0"/>
        <w:snapToGrid w:val="0"/>
        <w:spacing w:line="360" w:lineRule="auto"/>
        <w:ind w:firstLineChars="200" w:firstLine="480"/>
        <w:rPr>
          <w:rFonts w:ascii="Arial" w:eastAsia="宋体" w:hAnsi="Arial" w:cs="Arial"/>
          <w:sz w:val="24"/>
          <w:szCs w:val="24"/>
        </w:rPr>
      </w:pPr>
    </w:p>
    <w:p w:rsidR="00573D0A" w:rsidRPr="00ED69E9" w:rsidRDefault="00573D0A" w:rsidP="00ED69E9">
      <w:pPr>
        <w:autoSpaceDE w:val="0"/>
        <w:autoSpaceDN w:val="0"/>
        <w:adjustRightInd w:val="0"/>
        <w:snapToGrid w:val="0"/>
        <w:spacing w:line="360" w:lineRule="auto"/>
        <w:ind w:firstLineChars="200" w:firstLine="480"/>
        <w:rPr>
          <w:rFonts w:ascii="Arial" w:eastAsia="宋体" w:hAnsi="Arial" w:cs="Arial"/>
          <w:sz w:val="24"/>
          <w:szCs w:val="24"/>
        </w:rPr>
      </w:pPr>
    </w:p>
    <w:p w:rsidR="00573D0A" w:rsidRDefault="00573D0A" w:rsidP="00573D0A">
      <w:pPr>
        <w:rPr>
          <w:rFonts w:asciiTheme="minorEastAsia" w:hAnsiTheme="minorEastAsia"/>
          <w:b/>
          <w:sz w:val="28"/>
          <w:szCs w:val="28"/>
        </w:rPr>
      </w:pPr>
    </w:p>
    <w:p w:rsidR="00ED69E9" w:rsidRPr="00573D0A" w:rsidRDefault="00ED69E9" w:rsidP="00573D0A">
      <w:pPr>
        <w:rPr>
          <w:rFonts w:asciiTheme="minorEastAsia" w:hAnsiTheme="minorEastAsia"/>
          <w:b/>
          <w:sz w:val="28"/>
          <w:szCs w:val="28"/>
        </w:rPr>
      </w:pPr>
    </w:p>
    <w:p w:rsidR="00573D0A" w:rsidRDefault="00573D0A" w:rsidP="00573D0A">
      <w:pPr>
        <w:numPr>
          <w:ilvl w:val="0"/>
          <w:numId w:val="1"/>
        </w:numPr>
        <w:snapToGrid w:val="0"/>
        <w:spacing w:line="360" w:lineRule="auto"/>
        <w:jc w:val="center"/>
        <w:rPr>
          <w:b/>
          <w:sz w:val="28"/>
          <w:szCs w:val="28"/>
        </w:rPr>
      </w:pPr>
      <w:r w:rsidRPr="00421228">
        <w:rPr>
          <w:rFonts w:hint="eastAsia"/>
          <w:b/>
          <w:sz w:val="28"/>
          <w:szCs w:val="28"/>
        </w:rPr>
        <w:lastRenderedPageBreak/>
        <w:t>基金概况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573D0A" w:rsidRPr="00573D0A" w:rsidTr="00DF0CEB">
        <w:tc>
          <w:tcPr>
            <w:tcW w:w="1753" w:type="pct"/>
          </w:tcPr>
          <w:p w:rsidR="00573D0A" w:rsidRPr="00573D0A" w:rsidRDefault="00573D0A" w:rsidP="00DF0CEB">
            <w:pPr>
              <w:spacing w:line="360" w:lineRule="auto"/>
              <w:rPr>
                <w:rFonts w:asciiTheme="minorEastAsia" w:hAnsiTheme="minorEastAsia"/>
                <w:sz w:val="24"/>
                <w:szCs w:val="24"/>
              </w:rPr>
            </w:pPr>
            <w:r w:rsidRPr="00573D0A">
              <w:rPr>
                <w:rFonts w:asciiTheme="minorEastAsia" w:hAnsiTheme="minorEastAsia" w:hint="eastAsia"/>
                <w:sz w:val="24"/>
                <w:szCs w:val="24"/>
              </w:rPr>
              <w:t>基金名称</w:t>
            </w:r>
          </w:p>
        </w:tc>
        <w:tc>
          <w:tcPr>
            <w:tcW w:w="3247" w:type="pct"/>
          </w:tcPr>
          <w:p w:rsidR="00573D0A" w:rsidRPr="00573D0A" w:rsidRDefault="00573D0A" w:rsidP="00DF0CEB">
            <w:pPr>
              <w:spacing w:line="360" w:lineRule="auto"/>
              <w:rPr>
                <w:rFonts w:asciiTheme="minorEastAsia" w:hAnsiTheme="minorEastAsia"/>
                <w:sz w:val="24"/>
                <w:szCs w:val="24"/>
              </w:rPr>
            </w:pPr>
            <w:r w:rsidRPr="00573D0A">
              <w:rPr>
                <w:rFonts w:ascii="Calibri" w:eastAsia="宋体" w:hAnsi="Calibri" w:cs="Times New Roman" w:hint="eastAsia"/>
                <w:sz w:val="24"/>
              </w:rPr>
              <w:t>中海中</w:t>
            </w:r>
            <w:proofErr w:type="gramStart"/>
            <w:r w:rsidRPr="00573D0A">
              <w:rPr>
                <w:rFonts w:ascii="Calibri" w:eastAsia="宋体" w:hAnsi="Calibri" w:cs="Times New Roman" w:hint="eastAsia"/>
                <w:sz w:val="24"/>
              </w:rPr>
              <w:t>鑫</w:t>
            </w:r>
            <w:proofErr w:type="gramEnd"/>
            <w:r w:rsidRPr="00573D0A">
              <w:rPr>
                <w:rFonts w:ascii="Calibri" w:eastAsia="宋体" w:hAnsi="Calibri" w:cs="Times New Roman" w:hint="eastAsia"/>
                <w:sz w:val="24"/>
              </w:rPr>
              <w:t>灵活配置混合型证券投资基金</w:t>
            </w:r>
          </w:p>
        </w:tc>
      </w:tr>
      <w:tr w:rsidR="00573D0A" w:rsidRPr="00573D0A" w:rsidTr="00DF0CEB">
        <w:tc>
          <w:tcPr>
            <w:tcW w:w="1753" w:type="pct"/>
          </w:tcPr>
          <w:p w:rsidR="00573D0A" w:rsidRPr="00573D0A" w:rsidRDefault="00573D0A" w:rsidP="00DF0CEB">
            <w:pPr>
              <w:spacing w:line="360" w:lineRule="auto"/>
              <w:rPr>
                <w:rFonts w:asciiTheme="minorEastAsia" w:hAnsiTheme="minorEastAsia"/>
                <w:sz w:val="24"/>
                <w:szCs w:val="24"/>
              </w:rPr>
            </w:pPr>
            <w:r w:rsidRPr="00573D0A">
              <w:rPr>
                <w:rFonts w:asciiTheme="minorEastAsia" w:hAnsiTheme="minorEastAsia" w:hint="eastAsia"/>
                <w:sz w:val="24"/>
                <w:szCs w:val="24"/>
              </w:rPr>
              <w:t>基金简称</w:t>
            </w:r>
          </w:p>
        </w:tc>
        <w:tc>
          <w:tcPr>
            <w:tcW w:w="3247" w:type="pct"/>
          </w:tcPr>
          <w:p w:rsidR="00573D0A" w:rsidRPr="00573D0A" w:rsidRDefault="00573D0A" w:rsidP="00DF0CEB">
            <w:pPr>
              <w:spacing w:line="360" w:lineRule="auto"/>
              <w:rPr>
                <w:rFonts w:asciiTheme="minorEastAsia" w:hAnsiTheme="minorEastAsia"/>
                <w:sz w:val="24"/>
                <w:szCs w:val="24"/>
              </w:rPr>
            </w:pPr>
            <w:r w:rsidRPr="00573D0A">
              <w:rPr>
                <w:rFonts w:ascii="Calibri" w:eastAsia="宋体" w:hAnsi="Calibri" w:cs="Times New Roman" w:hint="eastAsia"/>
                <w:sz w:val="24"/>
              </w:rPr>
              <w:t>中海中</w:t>
            </w:r>
            <w:proofErr w:type="gramStart"/>
            <w:r w:rsidRPr="00573D0A">
              <w:rPr>
                <w:rFonts w:ascii="Calibri" w:eastAsia="宋体" w:hAnsi="Calibri" w:cs="Times New Roman" w:hint="eastAsia"/>
                <w:sz w:val="24"/>
              </w:rPr>
              <w:t>鑫</w:t>
            </w:r>
            <w:proofErr w:type="gramEnd"/>
            <w:r>
              <w:rPr>
                <w:rFonts w:hint="eastAsia"/>
                <w:sz w:val="24"/>
              </w:rPr>
              <w:t>混合</w:t>
            </w:r>
          </w:p>
        </w:tc>
      </w:tr>
      <w:tr w:rsidR="00573D0A" w:rsidRPr="00573D0A" w:rsidTr="00DF0CEB">
        <w:tc>
          <w:tcPr>
            <w:tcW w:w="1753" w:type="pct"/>
          </w:tcPr>
          <w:p w:rsidR="00573D0A" w:rsidRPr="00573D0A" w:rsidRDefault="00573D0A" w:rsidP="00DF0CEB">
            <w:pPr>
              <w:spacing w:line="360" w:lineRule="auto"/>
              <w:rPr>
                <w:rFonts w:asciiTheme="minorEastAsia" w:hAnsiTheme="minorEastAsia"/>
                <w:sz w:val="24"/>
                <w:szCs w:val="24"/>
              </w:rPr>
            </w:pPr>
            <w:r w:rsidRPr="00573D0A">
              <w:rPr>
                <w:rFonts w:asciiTheme="minorEastAsia" w:hAnsiTheme="minorEastAsia" w:hint="eastAsia"/>
                <w:sz w:val="24"/>
                <w:szCs w:val="24"/>
              </w:rPr>
              <w:t>基金主代码</w:t>
            </w:r>
          </w:p>
        </w:tc>
        <w:tc>
          <w:tcPr>
            <w:tcW w:w="3247" w:type="pct"/>
          </w:tcPr>
          <w:p w:rsidR="00573D0A" w:rsidRPr="00573D0A" w:rsidRDefault="00573D0A" w:rsidP="00573D0A">
            <w:pPr>
              <w:spacing w:line="360" w:lineRule="auto"/>
              <w:rPr>
                <w:rFonts w:asciiTheme="minorEastAsia" w:hAnsiTheme="minorEastAsia"/>
                <w:sz w:val="24"/>
                <w:szCs w:val="24"/>
              </w:rPr>
            </w:pPr>
            <w:r>
              <w:rPr>
                <w:rFonts w:asciiTheme="minorEastAsia" w:hAnsiTheme="minorEastAsia" w:hint="eastAsia"/>
                <w:sz w:val="24"/>
                <w:szCs w:val="24"/>
              </w:rPr>
              <w:t>002110</w:t>
            </w:r>
          </w:p>
        </w:tc>
      </w:tr>
      <w:tr w:rsidR="00573D0A" w:rsidRPr="00573D0A" w:rsidTr="00DF0CEB">
        <w:tc>
          <w:tcPr>
            <w:tcW w:w="1753" w:type="pct"/>
          </w:tcPr>
          <w:p w:rsidR="00573D0A" w:rsidRPr="00573D0A" w:rsidRDefault="00573D0A" w:rsidP="00DF0CEB">
            <w:pPr>
              <w:spacing w:line="360" w:lineRule="auto"/>
              <w:rPr>
                <w:rFonts w:asciiTheme="minorEastAsia" w:hAnsiTheme="minorEastAsia"/>
                <w:sz w:val="24"/>
                <w:szCs w:val="24"/>
              </w:rPr>
            </w:pPr>
            <w:r w:rsidRPr="00573D0A">
              <w:rPr>
                <w:rFonts w:asciiTheme="minorEastAsia" w:hAnsiTheme="minorEastAsia" w:hint="eastAsia"/>
                <w:sz w:val="24"/>
                <w:szCs w:val="24"/>
              </w:rPr>
              <w:t>基金运作方式</w:t>
            </w:r>
          </w:p>
        </w:tc>
        <w:tc>
          <w:tcPr>
            <w:tcW w:w="3247" w:type="pct"/>
          </w:tcPr>
          <w:p w:rsidR="00573D0A" w:rsidRPr="00573D0A" w:rsidRDefault="00573D0A" w:rsidP="00DF0CEB">
            <w:pPr>
              <w:spacing w:line="360" w:lineRule="auto"/>
              <w:rPr>
                <w:rFonts w:asciiTheme="minorEastAsia" w:hAnsiTheme="minorEastAsia"/>
                <w:sz w:val="24"/>
                <w:szCs w:val="24"/>
              </w:rPr>
            </w:pPr>
            <w:r w:rsidRPr="00573D0A">
              <w:rPr>
                <w:rFonts w:asciiTheme="minorEastAsia" w:hAnsiTheme="minorEastAsia"/>
                <w:sz w:val="24"/>
                <w:szCs w:val="24"/>
              </w:rPr>
              <w:t>契约型开放式</w:t>
            </w:r>
          </w:p>
        </w:tc>
      </w:tr>
      <w:tr w:rsidR="00573D0A" w:rsidRPr="00573D0A" w:rsidTr="00DF0CEB">
        <w:tc>
          <w:tcPr>
            <w:tcW w:w="1753" w:type="pct"/>
          </w:tcPr>
          <w:p w:rsidR="00573D0A" w:rsidRPr="00573D0A" w:rsidRDefault="00573D0A" w:rsidP="00DF0CEB">
            <w:pPr>
              <w:spacing w:line="360" w:lineRule="auto"/>
              <w:rPr>
                <w:rFonts w:asciiTheme="minorEastAsia" w:hAnsiTheme="minorEastAsia"/>
                <w:sz w:val="24"/>
                <w:szCs w:val="24"/>
              </w:rPr>
            </w:pPr>
            <w:r w:rsidRPr="00573D0A">
              <w:rPr>
                <w:rFonts w:asciiTheme="minorEastAsia" w:hAnsiTheme="minorEastAsia" w:hint="eastAsia"/>
                <w:sz w:val="24"/>
                <w:szCs w:val="24"/>
              </w:rPr>
              <w:t>基金合同生效日</w:t>
            </w:r>
          </w:p>
        </w:tc>
        <w:tc>
          <w:tcPr>
            <w:tcW w:w="3247" w:type="pct"/>
          </w:tcPr>
          <w:p w:rsidR="00573D0A" w:rsidRPr="00573D0A" w:rsidRDefault="00573D0A" w:rsidP="00DF0CEB">
            <w:pPr>
              <w:spacing w:line="360" w:lineRule="auto"/>
              <w:rPr>
                <w:rFonts w:asciiTheme="minorEastAsia" w:hAnsiTheme="minorEastAsia"/>
                <w:sz w:val="24"/>
                <w:szCs w:val="24"/>
              </w:rPr>
            </w:pPr>
            <w:r w:rsidRPr="00573D0A">
              <w:rPr>
                <w:rFonts w:ascii="宋体" w:eastAsia="宋体" w:hAnsi="宋体" w:cs="Times New Roman" w:hint="eastAsia"/>
                <w:sz w:val="24"/>
                <w:szCs w:val="24"/>
              </w:rPr>
              <w:t>2015年</w:t>
            </w:r>
            <w:r w:rsidRPr="00573D0A">
              <w:rPr>
                <w:rFonts w:ascii="宋体" w:eastAsia="宋体" w:hAnsi="宋体" w:cs="Times New Roman"/>
                <w:sz w:val="24"/>
                <w:szCs w:val="24"/>
              </w:rPr>
              <w:t>11</w:t>
            </w:r>
            <w:r w:rsidRPr="00573D0A">
              <w:rPr>
                <w:rFonts w:ascii="宋体" w:eastAsia="宋体" w:hAnsi="宋体" w:cs="Times New Roman" w:hint="eastAsia"/>
                <w:sz w:val="24"/>
                <w:szCs w:val="24"/>
              </w:rPr>
              <w:t>月</w:t>
            </w:r>
            <w:r w:rsidRPr="00573D0A">
              <w:rPr>
                <w:rFonts w:ascii="宋体" w:eastAsia="宋体" w:hAnsi="宋体" w:cs="Times New Roman"/>
                <w:sz w:val="24"/>
                <w:szCs w:val="24"/>
              </w:rPr>
              <w:t>23</w:t>
            </w:r>
            <w:r w:rsidRPr="00573D0A">
              <w:rPr>
                <w:rFonts w:ascii="宋体" w:eastAsia="宋体" w:hAnsi="宋体" w:cs="Times New Roman" w:hint="eastAsia"/>
                <w:sz w:val="24"/>
                <w:szCs w:val="24"/>
              </w:rPr>
              <w:t>日</w:t>
            </w:r>
          </w:p>
        </w:tc>
      </w:tr>
      <w:tr w:rsidR="00573D0A" w:rsidRPr="00573D0A" w:rsidTr="00DF0CEB">
        <w:tc>
          <w:tcPr>
            <w:tcW w:w="1753" w:type="pct"/>
          </w:tcPr>
          <w:p w:rsidR="00573D0A" w:rsidRPr="00573D0A" w:rsidRDefault="00573D0A" w:rsidP="00DF0CEB">
            <w:pPr>
              <w:spacing w:line="360" w:lineRule="auto"/>
              <w:rPr>
                <w:rFonts w:asciiTheme="minorEastAsia" w:hAnsiTheme="minorEastAsia"/>
                <w:sz w:val="24"/>
                <w:szCs w:val="24"/>
              </w:rPr>
            </w:pPr>
            <w:r w:rsidRPr="00573D0A">
              <w:rPr>
                <w:rFonts w:asciiTheme="minorEastAsia" w:hAnsiTheme="minorEastAsia" w:hint="eastAsia"/>
                <w:sz w:val="24"/>
                <w:szCs w:val="24"/>
              </w:rPr>
              <w:t>基金管理人名称</w:t>
            </w:r>
          </w:p>
        </w:tc>
        <w:tc>
          <w:tcPr>
            <w:tcW w:w="3247" w:type="pct"/>
          </w:tcPr>
          <w:p w:rsidR="00573D0A" w:rsidRPr="00573D0A" w:rsidRDefault="00573D0A" w:rsidP="00DF0CEB">
            <w:pPr>
              <w:spacing w:line="360" w:lineRule="auto"/>
              <w:rPr>
                <w:rFonts w:asciiTheme="minorEastAsia" w:hAnsiTheme="minorEastAsia"/>
                <w:sz w:val="24"/>
                <w:szCs w:val="24"/>
              </w:rPr>
            </w:pPr>
            <w:r w:rsidRPr="00573D0A">
              <w:rPr>
                <w:rFonts w:asciiTheme="minorEastAsia" w:hAnsiTheme="minorEastAsia" w:hint="eastAsia"/>
                <w:sz w:val="24"/>
                <w:szCs w:val="24"/>
              </w:rPr>
              <w:t>中</w:t>
            </w:r>
            <w:proofErr w:type="gramStart"/>
            <w:r w:rsidRPr="00573D0A">
              <w:rPr>
                <w:rFonts w:asciiTheme="minorEastAsia" w:hAnsiTheme="minorEastAsia" w:hint="eastAsia"/>
                <w:sz w:val="24"/>
                <w:szCs w:val="24"/>
              </w:rPr>
              <w:t>海基金</w:t>
            </w:r>
            <w:proofErr w:type="gramEnd"/>
            <w:r w:rsidRPr="00573D0A">
              <w:rPr>
                <w:rFonts w:asciiTheme="minorEastAsia" w:hAnsiTheme="minorEastAsia" w:hint="eastAsia"/>
                <w:sz w:val="24"/>
                <w:szCs w:val="24"/>
              </w:rPr>
              <w:t>管理有限公司</w:t>
            </w:r>
          </w:p>
        </w:tc>
      </w:tr>
      <w:tr w:rsidR="00573D0A" w:rsidRPr="00573D0A" w:rsidTr="00DF0CEB">
        <w:tc>
          <w:tcPr>
            <w:tcW w:w="1753" w:type="pct"/>
          </w:tcPr>
          <w:p w:rsidR="00573D0A" w:rsidRPr="00573D0A" w:rsidRDefault="00573D0A" w:rsidP="00DF0CEB">
            <w:pPr>
              <w:spacing w:line="360" w:lineRule="auto"/>
              <w:rPr>
                <w:rFonts w:asciiTheme="minorEastAsia" w:hAnsiTheme="minorEastAsia"/>
                <w:sz w:val="24"/>
                <w:szCs w:val="24"/>
              </w:rPr>
            </w:pPr>
            <w:r w:rsidRPr="00573D0A">
              <w:rPr>
                <w:rFonts w:asciiTheme="minorEastAsia" w:hAnsiTheme="minorEastAsia" w:hint="eastAsia"/>
                <w:sz w:val="24"/>
                <w:szCs w:val="24"/>
              </w:rPr>
              <w:t>基金托管人名称</w:t>
            </w:r>
          </w:p>
        </w:tc>
        <w:tc>
          <w:tcPr>
            <w:tcW w:w="3247" w:type="pct"/>
          </w:tcPr>
          <w:p w:rsidR="00573D0A" w:rsidRPr="00573D0A" w:rsidRDefault="00573D0A" w:rsidP="00DF0CEB">
            <w:pPr>
              <w:spacing w:line="360" w:lineRule="auto"/>
              <w:rPr>
                <w:rFonts w:asciiTheme="minorEastAsia" w:hAnsiTheme="minorEastAsia"/>
                <w:sz w:val="24"/>
                <w:szCs w:val="24"/>
              </w:rPr>
            </w:pPr>
            <w:r w:rsidRPr="00573D0A">
              <w:rPr>
                <w:rFonts w:ascii="宋体" w:eastAsia="宋体" w:hAnsi="宋体" w:cs="Times New Roman" w:hint="eastAsia"/>
                <w:sz w:val="24"/>
                <w:szCs w:val="24"/>
              </w:rPr>
              <w:t>宁波银行股份有限公司</w:t>
            </w:r>
          </w:p>
        </w:tc>
      </w:tr>
    </w:tbl>
    <w:p w:rsidR="00573D0A" w:rsidRDefault="00573D0A" w:rsidP="00E54D18">
      <w:pPr>
        <w:jc w:val="center"/>
        <w:rPr>
          <w:rFonts w:asciiTheme="majorEastAsia" w:eastAsiaTheme="majorEastAsia" w:hAnsiTheme="majorEastAsia"/>
          <w:sz w:val="32"/>
          <w:szCs w:val="32"/>
        </w:rPr>
      </w:pPr>
    </w:p>
    <w:p w:rsidR="00573D0A" w:rsidRDefault="00573D0A" w:rsidP="00573D0A">
      <w:pPr>
        <w:numPr>
          <w:ilvl w:val="0"/>
          <w:numId w:val="1"/>
        </w:numPr>
        <w:snapToGrid w:val="0"/>
        <w:spacing w:line="360" w:lineRule="auto"/>
        <w:jc w:val="center"/>
        <w:rPr>
          <w:b/>
          <w:sz w:val="28"/>
          <w:szCs w:val="28"/>
        </w:rPr>
      </w:pPr>
      <w:r w:rsidRPr="00421228">
        <w:rPr>
          <w:rFonts w:hint="eastAsia"/>
          <w:b/>
          <w:sz w:val="28"/>
          <w:szCs w:val="28"/>
        </w:rPr>
        <w:t>基金运作情况</w:t>
      </w:r>
    </w:p>
    <w:p w:rsidR="00A74C7C" w:rsidRPr="00A74C7C" w:rsidRDefault="00A74C7C" w:rsidP="00A74C7C">
      <w:pPr>
        <w:autoSpaceDE w:val="0"/>
        <w:autoSpaceDN w:val="0"/>
        <w:adjustRightInd w:val="0"/>
        <w:snapToGrid w:val="0"/>
        <w:spacing w:line="360" w:lineRule="auto"/>
        <w:ind w:firstLineChars="200" w:firstLine="480"/>
        <w:rPr>
          <w:rFonts w:ascii="Arial" w:eastAsia="宋体" w:hAnsi="Arial" w:cs="Arial"/>
          <w:bCs/>
          <w:sz w:val="24"/>
          <w:szCs w:val="24"/>
        </w:rPr>
      </w:pPr>
      <w:r w:rsidRPr="00A74C7C">
        <w:rPr>
          <w:rFonts w:ascii="Arial" w:eastAsia="宋体" w:hAnsi="Arial" w:cs="Arial"/>
          <w:bCs/>
          <w:sz w:val="24"/>
          <w:szCs w:val="24"/>
        </w:rPr>
        <w:t>本基金经中国证监会</w:t>
      </w:r>
      <w:r w:rsidRPr="00A74C7C">
        <w:rPr>
          <w:rFonts w:ascii="Arial" w:eastAsia="宋体" w:hAnsi="Arial" w:cs="Arial"/>
          <w:bCs/>
          <w:sz w:val="24"/>
          <w:szCs w:val="24"/>
        </w:rPr>
        <w:t>20</w:t>
      </w:r>
      <w:r w:rsidRPr="00A74C7C">
        <w:rPr>
          <w:rFonts w:ascii="Arial" w:eastAsia="宋体" w:hAnsi="Arial" w:cs="Arial" w:hint="eastAsia"/>
          <w:bCs/>
          <w:sz w:val="24"/>
          <w:szCs w:val="24"/>
        </w:rPr>
        <w:t>15</w:t>
      </w:r>
      <w:r w:rsidRPr="00A74C7C">
        <w:rPr>
          <w:rFonts w:ascii="Arial" w:eastAsia="宋体" w:hAnsi="Arial" w:cs="Arial"/>
          <w:bCs/>
          <w:sz w:val="24"/>
          <w:szCs w:val="24"/>
        </w:rPr>
        <w:t>年</w:t>
      </w:r>
      <w:r>
        <w:rPr>
          <w:rFonts w:ascii="Arial" w:eastAsia="宋体" w:hAnsi="Arial" w:cs="Arial" w:hint="eastAsia"/>
          <w:bCs/>
          <w:sz w:val="24"/>
          <w:szCs w:val="24"/>
        </w:rPr>
        <w:t>11</w:t>
      </w:r>
      <w:r w:rsidRPr="00A74C7C">
        <w:rPr>
          <w:rFonts w:ascii="Arial" w:eastAsia="宋体" w:hAnsi="Arial" w:cs="Arial"/>
          <w:bCs/>
          <w:sz w:val="24"/>
          <w:szCs w:val="24"/>
        </w:rPr>
        <w:t>月</w:t>
      </w:r>
      <w:r>
        <w:rPr>
          <w:rFonts w:ascii="Arial" w:eastAsia="宋体" w:hAnsi="Arial" w:cs="Arial" w:hint="eastAsia"/>
          <w:bCs/>
          <w:sz w:val="24"/>
          <w:szCs w:val="24"/>
        </w:rPr>
        <w:t>12</w:t>
      </w:r>
      <w:r w:rsidRPr="00A74C7C">
        <w:rPr>
          <w:rFonts w:ascii="Arial" w:eastAsia="宋体" w:hAnsi="Arial" w:cs="Arial"/>
          <w:bCs/>
          <w:sz w:val="24"/>
          <w:szCs w:val="24"/>
        </w:rPr>
        <w:t>日证监许可</w:t>
      </w:r>
      <w:r>
        <w:rPr>
          <w:rFonts w:ascii="Arial" w:eastAsia="宋体" w:hAnsi="Arial" w:cs="Arial" w:hint="eastAsia"/>
          <w:bCs/>
          <w:sz w:val="24"/>
          <w:szCs w:val="24"/>
        </w:rPr>
        <w:t>【</w:t>
      </w:r>
      <w:r>
        <w:rPr>
          <w:rFonts w:ascii="Arial" w:eastAsia="宋体" w:hAnsi="Arial" w:cs="Arial" w:hint="eastAsia"/>
          <w:bCs/>
          <w:sz w:val="24"/>
          <w:szCs w:val="24"/>
        </w:rPr>
        <w:t>2015</w:t>
      </w:r>
      <w:r>
        <w:rPr>
          <w:rFonts w:ascii="Arial" w:eastAsia="宋体" w:hAnsi="Arial" w:cs="Arial" w:hint="eastAsia"/>
          <w:bCs/>
          <w:sz w:val="24"/>
          <w:szCs w:val="24"/>
        </w:rPr>
        <w:t>】</w:t>
      </w:r>
      <w:r>
        <w:rPr>
          <w:rFonts w:ascii="Arial" w:eastAsia="宋体" w:hAnsi="Arial" w:cs="Arial" w:hint="eastAsia"/>
          <w:bCs/>
          <w:sz w:val="24"/>
          <w:szCs w:val="24"/>
        </w:rPr>
        <w:t>2593</w:t>
      </w:r>
      <w:r w:rsidRPr="00A74C7C">
        <w:rPr>
          <w:rFonts w:ascii="Arial" w:eastAsia="宋体" w:hAnsi="Arial" w:cs="Arial"/>
          <w:bCs/>
          <w:sz w:val="24"/>
          <w:szCs w:val="24"/>
        </w:rPr>
        <w:t>号文</w:t>
      </w:r>
      <w:r w:rsidRPr="00A74C7C">
        <w:rPr>
          <w:rFonts w:ascii="Arial" w:eastAsia="宋体" w:hAnsi="Arial" w:cs="Arial" w:hint="eastAsia"/>
          <w:bCs/>
          <w:sz w:val="24"/>
          <w:szCs w:val="24"/>
        </w:rPr>
        <w:t>准予</w:t>
      </w:r>
      <w:r w:rsidRPr="00A74C7C">
        <w:rPr>
          <w:rFonts w:ascii="Arial" w:eastAsia="宋体" w:hAnsi="Arial" w:cs="Arial"/>
          <w:bCs/>
          <w:sz w:val="24"/>
          <w:szCs w:val="24"/>
        </w:rPr>
        <w:t>募集</w:t>
      </w:r>
      <w:r w:rsidRPr="00A74C7C">
        <w:rPr>
          <w:rFonts w:ascii="Arial" w:eastAsia="宋体" w:hAnsi="Arial" w:cs="Arial" w:hint="eastAsia"/>
          <w:bCs/>
          <w:sz w:val="24"/>
          <w:szCs w:val="24"/>
        </w:rPr>
        <w:t>注册</w:t>
      </w:r>
      <w:r w:rsidRPr="00A74C7C">
        <w:rPr>
          <w:rFonts w:ascii="Arial" w:eastAsia="宋体" w:hAnsi="Arial" w:cs="Arial"/>
          <w:bCs/>
          <w:sz w:val="24"/>
          <w:szCs w:val="24"/>
        </w:rPr>
        <w:t>，</w:t>
      </w:r>
      <w:r w:rsidRPr="00A74C7C">
        <w:rPr>
          <w:rFonts w:ascii="Arial" w:eastAsia="宋体" w:hAnsi="Arial" w:cs="Arial" w:hint="eastAsia"/>
          <w:bCs/>
          <w:sz w:val="24"/>
          <w:szCs w:val="24"/>
        </w:rPr>
        <w:t>由基金管理人依照法律法规、基金合同等规定于</w:t>
      </w:r>
      <w:r w:rsidRPr="00A74C7C">
        <w:rPr>
          <w:rFonts w:ascii="Arial" w:eastAsia="宋体" w:hAnsi="Arial" w:cs="Arial"/>
          <w:bCs/>
          <w:sz w:val="24"/>
          <w:szCs w:val="24"/>
        </w:rPr>
        <w:t>20</w:t>
      </w:r>
      <w:r w:rsidRPr="00A74C7C">
        <w:rPr>
          <w:rFonts w:ascii="Arial" w:eastAsia="宋体" w:hAnsi="Arial" w:cs="Arial" w:hint="eastAsia"/>
          <w:bCs/>
          <w:sz w:val="24"/>
          <w:szCs w:val="24"/>
        </w:rPr>
        <w:t>15</w:t>
      </w:r>
      <w:r w:rsidRPr="00A74C7C">
        <w:rPr>
          <w:rFonts w:ascii="Arial" w:eastAsia="宋体" w:hAnsi="Arial" w:cs="Arial"/>
          <w:bCs/>
          <w:sz w:val="24"/>
          <w:szCs w:val="24"/>
        </w:rPr>
        <w:t>年</w:t>
      </w:r>
      <w:r>
        <w:rPr>
          <w:rFonts w:ascii="Arial" w:eastAsia="宋体" w:hAnsi="Arial" w:cs="Arial" w:hint="eastAsia"/>
          <w:bCs/>
          <w:sz w:val="24"/>
          <w:szCs w:val="24"/>
        </w:rPr>
        <w:t>11</w:t>
      </w:r>
      <w:r w:rsidRPr="00A74C7C">
        <w:rPr>
          <w:rFonts w:ascii="Arial" w:eastAsia="宋体" w:hAnsi="Arial" w:cs="Arial"/>
          <w:bCs/>
          <w:sz w:val="24"/>
          <w:szCs w:val="24"/>
        </w:rPr>
        <w:t>月</w:t>
      </w:r>
      <w:r>
        <w:rPr>
          <w:rFonts w:ascii="Arial" w:eastAsia="宋体" w:hAnsi="Arial" w:cs="Arial" w:hint="eastAsia"/>
          <w:bCs/>
          <w:sz w:val="24"/>
          <w:szCs w:val="24"/>
        </w:rPr>
        <w:t>18</w:t>
      </w:r>
      <w:r w:rsidRPr="00A74C7C">
        <w:rPr>
          <w:rFonts w:ascii="Arial" w:eastAsia="宋体" w:hAnsi="Arial" w:cs="Arial"/>
          <w:bCs/>
          <w:sz w:val="24"/>
          <w:szCs w:val="24"/>
        </w:rPr>
        <w:t>日至</w:t>
      </w:r>
      <w:r w:rsidRPr="00A74C7C">
        <w:rPr>
          <w:rFonts w:ascii="Arial" w:eastAsia="宋体" w:hAnsi="Arial" w:cs="Arial"/>
          <w:bCs/>
          <w:sz w:val="24"/>
          <w:szCs w:val="24"/>
        </w:rPr>
        <w:t>20</w:t>
      </w:r>
      <w:r w:rsidRPr="00A74C7C">
        <w:rPr>
          <w:rFonts w:ascii="Arial" w:eastAsia="宋体" w:hAnsi="Arial" w:cs="Arial" w:hint="eastAsia"/>
          <w:bCs/>
          <w:sz w:val="24"/>
          <w:szCs w:val="24"/>
        </w:rPr>
        <w:t>15</w:t>
      </w:r>
      <w:r w:rsidRPr="00A74C7C">
        <w:rPr>
          <w:rFonts w:ascii="Arial" w:eastAsia="宋体" w:hAnsi="Arial" w:cs="Arial"/>
          <w:bCs/>
          <w:sz w:val="24"/>
          <w:szCs w:val="24"/>
        </w:rPr>
        <w:t>年</w:t>
      </w:r>
      <w:r>
        <w:rPr>
          <w:rFonts w:ascii="Arial" w:eastAsia="宋体" w:hAnsi="Arial" w:cs="Arial" w:hint="eastAsia"/>
          <w:bCs/>
          <w:sz w:val="24"/>
          <w:szCs w:val="24"/>
        </w:rPr>
        <w:t>11</w:t>
      </w:r>
      <w:r w:rsidRPr="00A74C7C">
        <w:rPr>
          <w:rFonts w:ascii="Arial" w:eastAsia="宋体" w:hAnsi="Arial" w:cs="Arial"/>
          <w:bCs/>
          <w:sz w:val="24"/>
          <w:szCs w:val="24"/>
        </w:rPr>
        <w:t>月</w:t>
      </w:r>
      <w:r>
        <w:rPr>
          <w:rFonts w:ascii="Arial" w:eastAsia="宋体" w:hAnsi="Arial" w:cs="Arial" w:hint="eastAsia"/>
          <w:bCs/>
          <w:sz w:val="24"/>
          <w:szCs w:val="24"/>
        </w:rPr>
        <w:t>18</w:t>
      </w:r>
      <w:r w:rsidRPr="00A74C7C">
        <w:rPr>
          <w:rFonts w:ascii="Arial" w:eastAsia="宋体" w:hAnsi="Arial" w:cs="Arial"/>
          <w:bCs/>
          <w:sz w:val="24"/>
          <w:szCs w:val="24"/>
        </w:rPr>
        <w:t>日期间向社会公开募集。本</w:t>
      </w:r>
      <w:proofErr w:type="gramStart"/>
      <w:r w:rsidRPr="00A74C7C">
        <w:rPr>
          <w:rFonts w:ascii="Arial" w:eastAsia="宋体" w:hAnsi="Arial" w:cs="Arial"/>
          <w:bCs/>
          <w:sz w:val="24"/>
          <w:szCs w:val="24"/>
        </w:rPr>
        <w:t>基金基金</w:t>
      </w:r>
      <w:proofErr w:type="gramEnd"/>
      <w:r w:rsidRPr="00A74C7C">
        <w:rPr>
          <w:rFonts w:ascii="Arial" w:eastAsia="宋体" w:hAnsi="Arial" w:cs="Arial"/>
          <w:bCs/>
          <w:sz w:val="24"/>
          <w:szCs w:val="24"/>
        </w:rPr>
        <w:t>合同于</w:t>
      </w:r>
      <w:r w:rsidRPr="00A74C7C">
        <w:rPr>
          <w:rFonts w:ascii="Arial" w:eastAsia="宋体" w:hAnsi="Arial" w:cs="Arial"/>
          <w:bCs/>
          <w:sz w:val="24"/>
          <w:szCs w:val="24"/>
        </w:rPr>
        <w:t>20</w:t>
      </w:r>
      <w:r w:rsidRPr="00A74C7C">
        <w:rPr>
          <w:rFonts w:ascii="Arial" w:eastAsia="宋体" w:hAnsi="Arial" w:cs="Arial" w:hint="eastAsia"/>
          <w:bCs/>
          <w:sz w:val="24"/>
          <w:szCs w:val="24"/>
        </w:rPr>
        <w:t>15</w:t>
      </w:r>
      <w:r w:rsidRPr="00A74C7C">
        <w:rPr>
          <w:rFonts w:ascii="Arial" w:eastAsia="宋体" w:hAnsi="Arial" w:cs="Arial"/>
          <w:bCs/>
          <w:sz w:val="24"/>
          <w:szCs w:val="24"/>
        </w:rPr>
        <w:t>年</w:t>
      </w:r>
      <w:r>
        <w:rPr>
          <w:rFonts w:ascii="Arial" w:eastAsia="宋体" w:hAnsi="Arial" w:cs="Arial" w:hint="eastAsia"/>
          <w:bCs/>
          <w:sz w:val="24"/>
          <w:szCs w:val="24"/>
        </w:rPr>
        <w:t>11</w:t>
      </w:r>
      <w:r w:rsidRPr="00A74C7C">
        <w:rPr>
          <w:rFonts w:ascii="Arial" w:eastAsia="宋体" w:hAnsi="Arial" w:cs="Arial"/>
          <w:bCs/>
          <w:sz w:val="24"/>
          <w:szCs w:val="24"/>
        </w:rPr>
        <w:t>月</w:t>
      </w:r>
      <w:r>
        <w:rPr>
          <w:rFonts w:ascii="Arial" w:eastAsia="宋体" w:hAnsi="Arial" w:cs="Arial" w:hint="eastAsia"/>
          <w:bCs/>
          <w:sz w:val="24"/>
          <w:szCs w:val="24"/>
        </w:rPr>
        <w:t>23</w:t>
      </w:r>
      <w:r w:rsidRPr="00A74C7C">
        <w:rPr>
          <w:rFonts w:ascii="Arial" w:eastAsia="宋体" w:hAnsi="Arial" w:cs="Arial"/>
          <w:bCs/>
          <w:sz w:val="24"/>
          <w:szCs w:val="24"/>
        </w:rPr>
        <w:t>日正式生效，基金合同生效日的基金份额总数为</w:t>
      </w:r>
      <w:r w:rsidR="003F1109">
        <w:rPr>
          <w:rFonts w:ascii="Arial" w:eastAsia="宋体" w:hAnsi="Arial" w:cs="Arial" w:hint="eastAsia"/>
          <w:bCs/>
          <w:sz w:val="24"/>
          <w:szCs w:val="24"/>
        </w:rPr>
        <w:t>804</w:t>
      </w:r>
      <w:r w:rsidRPr="00A74C7C">
        <w:rPr>
          <w:rFonts w:ascii="Arial" w:eastAsia="宋体" w:hAnsi="Arial" w:cs="Arial" w:hint="eastAsia"/>
          <w:bCs/>
          <w:sz w:val="24"/>
          <w:szCs w:val="24"/>
        </w:rPr>
        <w:t>,</w:t>
      </w:r>
      <w:r w:rsidR="003F1109">
        <w:rPr>
          <w:rFonts w:ascii="Arial" w:eastAsia="宋体" w:hAnsi="Arial" w:cs="Arial" w:hint="eastAsia"/>
          <w:bCs/>
          <w:sz w:val="24"/>
          <w:szCs w:val="24"/>
        </w:rPr>
        <w:t>209,589.43</w:t>
      </w:r>
      <w:r w:rsidRPr="00A74C7C">
        <w:rPr>
          <w:rFonts w:ascii="Arial" w:eastAsia="宋体" w:hAnsi="Arial" w:cs="Arial"/>
          <w:bCs/>
          <w:sz w:val="24"/>
          <w:szCs w:val="24"/>
        </w:rPr>
        <w:t>份（含募集期间利息结转的份额）。</w:t>
      </w:r>
      <w:r w:rsidRPr="00A74C7C">
        <w:rPr>
          <w:rFonts w:ascii="Arial" w:eastAsia="宋体" w:hAnsi="Arial" w:cs="Arial" w:hint="eastAsia"/>
          <w:bCs/>
          <w:sz w:val="24"/>
          <w:szCs w:val="24"/>
        </w:rPr>
        <w:t>本基金自成立（</w:t>
      </w:r>
      <w:r w:rsidRPr="00A74C7C">
        <w:rPr>
          <w:rFonts w:ascii="Arial" w:eastAsia="宋体" w:hAnsi="Arial" w:cs="Arial" w:hint="eastAsia"/>
          <w:bCs/>
          <w:sz w:val="24"/>
          <w:szCs w:val="24"/>
        </w:rPr>
        <w:t>2015</w:t>
      </w:r>
      <w:r w:rsidRPr="00A74C7C">
        <w:rPr>
          <w:rFonts w:ascii="Arial" w:eastAsia="宋体" w:hAnsi="Arial" w:cs="Arial" w:hint="eastAsia"/>
          <w:bCs/>
          <w:sz w:val="24"/>
          <w:szCs w:val="24"/>
        </w:rPr>
        <w:t>年</w:t>
      </w:r>
      <w:r w:rsidR="003F1109">
        <w:rPr>
          <w:rFonts w:ascii="Arial" w:eastAsia="宋体" w:hAnsi="Arial" w:cs="Arial" w:hint="eastAsia"/>
          <w:bCs/>
          <w:sz w:val="24"/>
          <w:szCs w:val="24"/>
        </w:rPr>
        <w:t>11</w:t>
      </w:r>
      <w:r w:rsidRPr="00A74C7C">
        <w:rPr>
          <w:rFonts w:ascii="Arial" w:eastAsia="宋体" w:hAnsi="Arial" w:cs="Arial" w:hint="eastAsia"/>
          <w:bCs/>
          <w:sz w:val="24"/>
          <w:szCs w:val="24"/>
        </w:rPr>
        <w:t>月</w:t>
      </w:r>
      <w:r w:rsidR="003F1109">
        <w:rPr>
          <w:rFonts w:ascii="Arial" w:eastAsia="宋体" w:hAnsi="Arial" w:cs="Arial" w:hint="eastAsia"/>
          <w:bCs/>
          <w:sz w:val="24"/>
          <w:szCs w:val="24"/>
        </w:rPr>
        <w:t>23</w:t>
      </w:r>
      <w:r w:rsidRPr="00A74C7C">
        <w:rPr>
          <w:rFonts w:ascii="Arial" w:eastAsia="宋体" w:hAnsi="Arial" w:cs="Arial" w:hint="eastAsia"/>
          <w:bCs/>
          <w:sz w:val="24"/>
          <w:szCs w:val="24"/>
        </w:rPr>
        <w:t>日）至</w:t>
      </w:r>
      <w:r w:rsidRPr="00A74C7C">
        <w:rPr>
          <w:rFonts w:ascii="Arial" w:eastAsia="宋体" w:hAnsi="Arial" w:cs="Arial" w:hint="eastAsia"/>
          <w:bCs/>
          <w:sz w:val="24"/>
          <w:szCs w:val="24"/>
        </w:rPr>
        <w:t>2018</w:t>
      </w:r>
      <w:r w:rsidRPr="00A74C7C">
        <w:rPr>
          <w:rFonts w:ascii="Arial" w:eastAsia="宋体" w:hAnsi="Arial" w:cs="Arial" w:hint="eastAsia"/>
          <w:bCs/>
          <w:sz w:val="24"/>
          <w:szCs w:val="24"/>
        </w:rPr>
        <w:t>年</w:t>
      </w:r>
      <w:r w:rsidR="003F1109">
        <w:rPr>
          <w:rFonts w:ascii="Arial" w:eastAsia="宋体" w:hAnsi="Arial" w:cs="Arial" w:hint="eastAsia"/>
          <w:bCs/>
          <w:sz w:val="24"/>
          <w:szCs w:val="24"/>
        </w:rPr>
        <w:t>10</w:t>
      </w:r>
      <w:r w:rsidRPr="00A74C7C">
        <w:rPr>
          <w:rFonts w:ascii="Arial" w:eastAsia="宋体" w:hAnsi="Arial" w:cs="Arial" w:hint="eastAsia"/>
          <w:bCs/>
          <w:sz w:val="24"/>
          <w:szCs w:val="24"/>
        </w:rPr>
        <w:t>月</w:t>
      </w:r>
      <w:r w:rsidR="003F1109">
        <w:rPr>
          <w:rFonts w:ascii="Arial" w:eastAsia="宋体" w:hAnsi="Arial" w:cs="Arial" w:hint="eastAsia"/>
          <w:bCs/>
          <w:sz w:val="24"/>
          <w:szCs w:val="24"/>
        </w:rPr>
        <w:t>8</w:t>
      </w:r>
      <w:r w:rsidRPr="00A74C7C">
        <w:rPr>
          <w:rFonts w:ascii="Arial" w:eastAsia="宋体" w:hAnsi="Arial" w:cs="Arial" w:hint="eastAsia"/>
          <w:bCs/>
          <w:sz w:val="24"/>
          <w:szCs w:val="24"/>
        </w:rPr>
        <w:t>日期间，按基金合同约定正常运作。</w:t>
      </w:r>
    </w:p>
    <w:p w:rsidR="00573D0A" w:rsidRPr="000E0976" w:rsidRDefault="00A74C7C" w:rsidP="000E0976">
      <w:pPr>
        <w:autoSpaceDE w:val="0"/>
        <w:autoSpaceDN w:val="0"/>
        <w:adjustRightInd w:val="0"/>
        <w:snapToGrid w:val="0"/>
        <w:spacing w:line="360" w:lineRule="auto"/>
        <w:ind w:firstLineChars="200" w:firstLine="480"/>
        <w:rPr>
          <w:b/>
          <w:sz w:val="28"/>
          <w:szCs w:val="28"/>
        </w:rPr>
      </w:pPr>
      <w:r w:rsidRPr="00A74C7C">
        <w:rPr>
          <w:rFonts w:ascii="Arial" w:eastAsia="宋体" w:hAnsi="Arial" w:cs="Arial" w:hint="eastAsia"/>
          <w:bCs/>
          <w:sz w:val="24"/>
          <w:szCs w:val="24"/>
        </w:rPr>
        <w:t>根据</w:t>
      </w:r>
      <w:r w:rsidRPr="00A74C7C">
        <w:rPr>
          <w:rFonts w:ascii="Arial" w:eastAsia="宋体" w:hAnsi="Arial" w:cs="Arial"/>
          <w:bCs/>
          <w:sz w:val="24"/>
          <w:szCs w:val="24"/>
        </w:rPr>
        <w:t>基金合同</w:t>
      </w:r>
      <w:r w:rsidRPr="00A74C7C">
        <w:rPr>
          <w:rFonts w:ascii="Arial" w:eastAsia="宋体" w:hAnsi="Arial" w:cs="Arial" w:hint="eastAsia"/>
          <w:bCs/>
          <w:sz w:val="24"/>
          <w:szCs w:val="24"/>
        </w:rPr>
        <w:t>的有关约定，</w:t>
      </w:r>
      <w:r w:rsidR="003F1109" w:rsidRPr="003F1109">
        <w:rPr>
          <w:rFonts w:ascii="Arial" w:eastAsia="宋体" w:hAnsi="Arial" w:cs="Arial"/>
          <w:bCs/>
          <w:sz w:val="24"/>
          <w:szCs w:val="24"/>
        </w:rPr>
        <w:t>连续</w:t>
      </w:r>
      <w:r w:rsidR="003F1109" w:rsidRPr="003F1109">
        <w:rPr>
          <w:rFonts w:ascii="Arial" w:eastAsia="宋体" w:hAnsi="Arial" w:cs="Arial"/>
          <w:bCs/>
          <w:sz w:val="24"/>
          <w:szCs w:val="24"/>
        </w:rPr>
        <w:t>60</w:t>
      </w:r>
      <w:r w:rsidR="003F1109" w:rsidRPr="003F1109">
        <w:rPr>
          <w:rFonts w:ascii="Arial" w:eastAsia="宋体" w:hAnsi="Arial" w:cs="Arial" w:hint="eastAsia"/>
          <w:bCs/>
          <w:sz w:val="24"/>
          <w:szCs w:val="24"/>
        </w:rPr>
        <w:t>个工作日出现基金份额持有人数量不满</w:t>
      </w:r>
      <w:r w:rsidR="003F1109" w:rsidRPr="003F1109">
        <w:rPr>
          <w:rFonts w:ascii="Arial" w:eastAsia="宋体" w:hAnsi="Arial" w:cs="Arial"/>
          <w:bCs/>
          <w:sz w:val="24"/>
          <w:szCs w:val="24"/>
        </w:rPr>
        <w:t>200</w:t>
      </w:r>
      <w:r w:rsidR="003F1109" w:rsidRPr="003F1109">
        <w:rPr>
          <w:rFonts w:ascii="Arial" w:eastAsia="宋体" w:hAnsi="Arial" w:cs="Arial" w:hint="eastAsia"/>
          <w:bCs/>
          <w:sz w:val="24"/>
          <w:szCs w:val="24"/>
        </w:rPr>
        <w:t>人情形或连续</w:t>
      </w:r>
      <w:r w:rsidR="003F1109" w:rsidRPr="003F1109">
        <w:rPr>
          <w:rFonts w:ascii="Arial" w:eastAsia="宋体" w:hAnsi="Arial" w:cs="Arial"/>
          <w:bCs/>
          <w:sz w:val="24"/>
          <w:szCs w:val="24"/>
        </w:rPr>
        <w:t>60</w:t>
      </w:r>
      <w:r w:rsidR="003F1109" w:rsidRPr="003F1109">
        <w:rPr>
          <w:rFonts w:ascii="Arial" w:eastAsia="宋体" w:hAnsi="Arial" w:cs="Arial" w:hint="eastAsia"/>
          <w:bCs/>
          <w:sz w:val="24"/>
          <w:szCs w:val="24"/>
        </w:rPr>
        <w:t>个工作日基金资产净值低于</w:t>
      </w:r>
      <w:r w:rsidR="003F1109">
        <w:rPr>
          <w:rFonts w:ascii="Arial" w:eastAsia="宋体" w:hAnsi="Arial" w:cs="Arial"/>
          <w:bCs/>
          <w:sz w:val="24"/>
          <w:szCs w:val="24"/>
        </w:rPr>
        <w:t>5000</w:t>
      </w:r>
      <w:r w:rsidR="003F1109" w:rsidRPr="003F1109">
        <w:rPr>
          <w:rFonts w:ascii="Arial" w:eastAsia="宋体" w:hAnsi="Arial" w:cs="Arial" w:hint="eastAsia"/>
          <w:bCs/>
          <w:sz w:val="24"/>
          <w:szCs w:val="24"/>
        </w:rPr>
        <w:t>万元的，本基金将根据基金合同的约定进入清算程序并终止，而无需召开基金份额持有人大会</w:t>
      </w:r>
      <w:r w:rsidRPr="00A74C7C">
        <w:rPr>
          <w:rFonts w:ascii="Arial" w:eastAsia="宋体" w:hAnsi="Arial" w:cs="Arial" w:hint="eastAsia"/>
          <w:bCs/>
          <w:sz w:val="24"/>
          <w:szCs w:val="24"/>
        </w:rPr>
        <w:t>。为降低对于现有及</w:t>
      </w:r>
      <w:proofErr w:type="gramStart"/>
      <w:r w:rsidRPr="00A74C7C">
        <w:rPr>
          <w:rFonts w:ascii="Arial" w:eastAsia="宋体" w:hAnsi="Arial" w:cs="Arial" w:hint="eastAsia"/>
          <w:bCs/>
          <w:sz w:val="24"/>
          <w:szCs w:val="24"/>
        </w:rPr>
        <w:t>潜在基金</w:t>
      </w:r>
      <w:proofErr w:type="gramEnd"/>
      <w:r w:rsidRPr="00A74C7C">
        <w:rPr>
          <w:rFonts w:ascii="Arial" w:eastAsia="宋体" w:hAnsi="Arial" w:cs="Arial" w:hint="eastAsia"/>
          <w:bCs/>
          <w:sz w:val="24"/>
          <w:szCs w:val="24"/>
        </w:rPr>
        <w:t>份额持有人的影响，本基金于</w:t>
      </w:r>
      <w:r w:rsidRPr="00A74C7C">
        <w:rPr>
          <w:rFonts w:ascii="Arial" w:eastAsia="宋体" w:hAnsi="Arial" w:cs="Arial"/>
          <w:bCs/>
          <w:sz w:val="24"/>
          <w:szCs w:val="24"/>
        </w:rPr>
        <w:t>2018</w:t>
      </w:r>
      <w:r w:rsidRPr="00A74C7C">
        <w:rPr>
          <w:rFonts w:ascii="Arial" w:eastAsia="宋体" w:hAnsi="Arial" w:cs="Arial" w:hint="eastAsia"/>
          <w:bCs/>
          <w:sz w:val="24"/>
          <w:szCs w:val="24"/>
        </w:rPr>
        <w:t>年</w:t>
      </w:r>
      <w:r w:rsidR="003F1109">
        <w:rPr>
          <w:rFonts w:ascii="Arial" w:eastAsia="宋体" w:hAnsi="Arial" w:cs="Arial" w:hint="eastAsia"/>
          <w:bCs/>
          <w:sz w:val="24"/>
          <w:szCs w:val="24"/>
        </w:rPr>
        <w:t>9</w:t>
      </w:r>
      <w:r w:rsidRPr="00A74C7C">
        <w:rPr>
          <w:rFonts w:ascii="Arial" w:eastAsia="宋体" w:hAnsi="Arial" w:cs="Arial" w:hint="eastAsia"/>
          <w:bCs/>
          <w:sz w:val="24"/>
          <w:szCs w:val="24"/>
        </w:rPr>
        <w:t>月</w:t>
      </w:r>
      <w:r w:rsidR="003F1109">
        <w:rPr>
          <w:rFonts w:ascii="Arial" w:eastAsia="宋体" w:hAnsi="Arial" w:cs="Arial" w:hint="eastAsia"/>
          <w:bCs/>
          <w:sz w:val="24"/>
          <w:szCs w:val="24"/>
        </w:rPr>
        <w:t>19</w:t>
      </w:r>
      <w:r w:rsidRPr="00A74C7C">
        <w:rPr>
          <w:rFonts w:ascii="Arial" w:eastAsia="宋体" w:hAnsi="Arial" w:cs="Arial" w:hint="eastAsia"/>
          <w:bCs/>
          <w:sz w:val="24"/>
          <w:szCs w:val="24"/>
        </w:rPr>
        <w:t>日起暂停申购（含转换转入及定期定额投资）业务，但正常开放赎回业务。截至</w:t>
      </w:r>
      <w:r w:rsidRPr="00A74C7C">
        <w:rPr>
          <w:rFonts w:ascii="Arial" w:eastAsia="宋体" w:hAnsi="Arial" w:cs="Arial" w:hint="eastAsia"/>
          <w:bCs/>
          <w:sz w:val="24"/>
          <w:szCs w:val="24"/>
        </w:rPr>
        <w:t>2018</w:t>
      </w:r>
      <w:r w:rsidRPr="00A74C7C">
        <w:rPr>
          <w:rFonts w:ascii="Arial" w:eastAsia="宋体" w:hAnsi="Arial" w:cs="Arial" w:hint="eastAsia"/>
          <w:bCs/>
          <w:sz w:val="24"/>
          <w:szCs w:val="24"/>
        </w:rPr>
        <w:t>年</w:t>
      </w:r>
      <w:r w:rsidR="003F1109">
        <w:rPr>
          <w:rFonts w:ascii="Arial" w:eastAsia="宋体" w:hAnsi="Arial" w:cs="Arial" w:hint="eastAsia"/>
          <w:bCs/>
          <w:sz w:val="24"/>
          <w:szCs w:val="24"/>
        </w:rPr>
        <w:t>9</w:t>
      </w:r>
      <w:r w:rsidRPr="00A74C7C">
        <w:rPr>
          <w:rFonts w:ascii="Arial" w:eastAsia="宋体" w:hAnsi="Arial" w:cs="Arial" w:hint="eastAsia"/>
          <w:bCs/>
          <w:sz w:val="24"/>
          <w:szCs w:val="24"/>
        </w:rPr>
        <w:t>月</w:t>
      </w:r>
      <w:r w:rsidR="003F1109">
        <w:rPr>
          <w:rFonts w:ascii="Arial" w:eastAsia="宋体" w:hAnsi="Arial" w:cs="Arial" w:hint="eastAsia"/>
          <w:bCs/>
          <w:sz w:val="24"/>
          <w:szCs w:val="24"/>
        </w:rPr>
        <w:t>26</w:t>
      </w:r>
      <w:r w:rsidRPr="00A74C7C">
        <w:rPr>
          <w:rFonts w:ascii="Arial" w:eastAsia="宋体" w:hAnsi="Arial" w:cs="Arial" w:hint="eastAsia"/>
          <w:bCs/>
          <w:sz w:val="24"/>
          <w:szCs w:val="24"/>
        </w:rPr>
        <w:t>日日终，本</w:t>
      </w:r>
      <w:proofErr w:type="gramStart"/>
      <w:r w:rsidRPr="00A74C7C">
        <w:rPr>
          <w:rFonts w:ascii="Arial" w:eastAsia="宋体" w:hAnsi="Arial" w:cs="Arial" w:hint="eastAsia"/>
          <w:bCs/>
          <w:sz w:val="24"/>
          <w:szCs w:val="24"/>
        </w:rPr>
        <w:t>基金基金</w:t>
      </w:r>
      <w:proofErr w:type="gramEnd"/>
      <w:r w:rsidRPr="00A74C7C">
        <w:rPr>
          <w:rFonts w:ascii="Arial" w:eastAsia="宋体" w:hAnsi="Arial" w:cs="Arial" w:hint="eastAsia"/>
          <w:bCs/>
          <w:sz w:val="24"/>
          <w:szCs w:val="24"/>
        </w:rPr>
        <w:t>资产净值已连续</w:t>
      </w:r>
      <w:r w:rsidRPr="00A74C7C">
        <w:rPr>
          <w:rFonts w:ascii="Arial" w:eastAsia="宋体" w:hAnsi="Arial" w:cs="Arial" w:hint="eastAsia"/>
          <w:bCs/>
          <w:sz w:val="24"/>
          <w:szCs w:val="24"/>
        </w:rPr>
        <w:t>60</w:t>
      </w:r>
      <w:r w:rsidRPr="00A74C7C">
        <w:rPr>
          <w:rFonts w:ascii="Arial" w:eastAsia="宋体" w:hAnsi="Arial" w:cs="Arial" w:hint="eastAsia"/>
          <w:bCs/>
          <w:sz w:val="24"/>
          <w:szCs w:val="24"/>
        </w:rPr>
        <w:t>个工作日低于</w:t>
      </w:r>
      <w:r w:rsidRPr="00A74C7C">
        <w:rPr>
          <w:rFonts w:ascii="Arial" w:eastAsia="宋体" w:hAnsi="Arial" w:cs="Arial" w:hint="eastAsia"/>
          <w:bCs/>
          <w:sz w:val="24"/>
          <w:szCs w:val="24"/>
        </w:rPr>
        <w:t>5000</w:t>
      </w:r>
      <w:r w:rsidRPr="00A74C7C">
        <w:rPr>
          <w:rFonts w:ascii="Arial" w:eastAsia="宋体" w:hAnsi="Arial" w:cs="Arial" w:hint="eastAsia"/>
          <w:bCs/>
          <w:sz w:val="24"/>
          <w:szCs w:val="24"/>
        </w:rPr>
        <w:t>万元，触发上述基金合同终止情形，</w:t>
      </w:r>
      <w:r w:rsidRPr="00A74C7C">
        <w:rPr>
          <w:rFonts w:ascii="Arial" w:eastAsia="宋体" w:hAnsi="Arial" w:cs="Arial"/>
          <w:bCs/>
          <w:sz w:val="24"/>
          <w:szCs w:val="24"/>
        </w:rPr>
        <w:t>本基金自</w:t>
      </w:r>
      <w:r w:rsidRPr="00A74C7C">
        <w:rPr>
          <w:rFonts w:ascii="Arial" w:eastAsia="宋体" w:hAnsi="Arial" w:cs="Arial"/>
          <w:bCs/>
          <w:sz w:val="24"/>
          <w:szCs w:val="24"/>
        </w:rPr>
        <w:t>201</w:t>
      </w:r>
      <w:r w:rsidRPr="00A74C7C">
        <w:rPr>
          <w:rFonts w:ascii="Arial" w:eastAsia="宋体" w:hAnsi="Arial" w:cs="Arial" w:hint="eastAsia"/>
          <w:bCs/>
          <w:sz w:val="24"/>
          <w:szCs w:val="24"/>
        </w:rPr>
        <w:t>8</w:t>
      </w:r>
      <w:r w:rsidRPr="00A74C7C">
        <w:rPr>
          <w:rFonts w:ascii="Arial" w:eastAsia="宋体" w:hAnsi="Arial" w:cs="Arial"/>
          <w:bCs/>
          <w:sz w:val="24"/>
          <w:szCs w:val="24"/>
        </w:rPr>
        <w:t>年</w:t>
      </w:r>
      <w:r w:rsidR="003F1109">
        <w:rPr>
          <w:rFonts w:ascii="Arial" w:eastAsia="宋体" w:hAnsi="Arial" w:cs="Arial" w:hint="eastAsia"/>
          <w:bCs/>
          <w:sz w:val="24"/>
          <w:szCs w:val="24"/>
        </w:rPr>
        <w:t>10</w:t>
      </w:r>
      <w:r w:rsidRPr="00A74C7C">
        <w:rPr>
          <w:rFonts w:ascii="Arial" w:eastAsia="宋体" w:hAnsi="Arial" w:cs="Arial"/>
          <w:bCs/>
          <w:sz w:val="24"/>
          <w:szCs w:val="24"/>
        </w:rPr>
        <w:t>月</w:t>
      </w:r>
      <w:r w:rsidR="003F1109">
        <w:rPr>
          <w:rFonts w:ascii="Arial" w:eastAsia="宋体" w:hAnsi="Arial" w:cs="Arial" w:hint="eastAsia"/>
          <w:bCs/>
          <w:sz w:val="24"/>
          <w:szCs w:val="24"/>
        </w:rPr>
        <w:t>9</w:t>
      </w:r>
      <w:r w:rsidRPr="00A74C7C">
        <w:rPr>
          <w:rFonts w:ascii="Arial" w:eastAsia="宋体" w:hAnsi="Arial" w:cs="Arial"/>
          <w:bCs/>
          <w:sz w:val="24"/>
          <w:szCs w:val="24"/>
        </w:rPr>
        <w:t>日起进入基金财产清算程序。</w:t>
      </w:r>
      <w:r w:rsidRPr="00A74C7C">
        <w:rPr>
          <w:rFonts w:ascii="Arial" w:eastAsia="宋体" w:hAnsi="Arial" w:cs="Arial" w:hint="eastAsia"/>
          <w:bCs/>
          <w:sz w:val="24"/>
          <w:szCs w:val="24"/>
        </w:rPr>
        <w:t>由于本基金持有的流通受限股票无法确定变现时间，本基金将进行两次清算，其中第一次清算期间为</w:t>
      </w:r>
      <w:r w:rsidRPr="00A74C7C">
        <w:rPr>
          <w:rFonts w:ascii="Arial" w:eastAsia="宋体" w:hAnsi="Arial" w:cs="Arial" w:hint="eastAsia"/>
          <w:bCs/>
          <w:sz w:val="24"/>
          <w:szCs w:val="24"/>
        </w:rPr>
        <w:t>2018</w:t>
      </w:r>
      <w:r w:rsidRPr="00A74C7C">
        <w:rPr>
          <w:rFonts w:ascii="Arial" w:eastAsia="宋体" w:hAnsi="Arial" w:cs="Arial" w:hint="eastAsia"/>
          <w:bCs/>
          <w:sz w:val="24"/>
          <w:szCs w:val="24"/>
        </w:rPr>
        <w:t>年</w:t>
      </w:r>
      <w:r w:rsidR="003F1109">
        <w:rPr>
          <w:rFonts w:ascii="Arial" w:eastAsia="宋体" w:hAnsi="Arial" w:cs="Arial" w:hint="eastAsia"/>
          <w:bCs/>
          <w:sz w:val="24"/>
          <w:szCs w:val="24"/>
        </w:rPr>
        <w:t>10</w:t>
      </w:r>
      <w:r w:rsidRPr="00A74C7C">
        <w:rPr>
          <w:rFonts w:ascii="Arial" w:eastAsia="宋体" w:hAnsi="Arial" w:cs="Arial" w:hint="eastAsia"/>
          <w:bCs/>
          <w:sz w:val="24"/>
          <w:szCs w:val="24"/>
        </w:rPr>
        <w:t>月</w:t>
      </w:r>
      <w:r w:rsidR="003F1109">
        <w:rPr>
          <w:rFonts w:ascii="Arial" w:eastAsia="宋体" w:hAnsi="Arial" w:cs="Arial" w:hint="eastAsia"/>
          <w:bCs/>
          <w:sz w:val="24"/>
          <w:szCs w:val="24"/>
        </w:rPr>
        <w:t>9</w:t>
      </w:r>
      <w:r w:rsidRPr="00A74C7C">
        <w:rPr>
          <w:rFonts w:ascii="Arial" w:eastAsia="宋体" w:hAnsi="Arial" w:cs="Arial" w:hint="eastAsia"/>
          <w:bCs/>
          <w:sz w:val="24"/>
          <w:szCs w:val="24"/>
        </w:rPr>
        <w:t>日至</w:t>
      </w:r>
      <w:r w:rsidRPr="00A74C7C">
        <w:rPr>
          <w:rFonts w:ascii="Arial" w:eastAsia="宋体" w:hAnsi="Arial" w:cs="Arial" w:hint="eastAsia"/>
          <w:bCs/>
          <w:sz w:val="24"/>
          <w:szCs w:val="24"/>
        </w:rPr>
        <w:t>2018</w:t>
      </w:r>
      <w:r w:rsidRPr="00A74C7C">
        <w:rPr>
          <w:rFonts w:ascii="Arial" w:eastAsia="宋体" w:hAnsi="Arial" w:cs="Arial" w:hint="eastAsia"/>
          <w:bCs/>
          <w:sz w:val="24"/>
          <w:szCs w:val="24"/>
        </w:rPr>
        <w:t>年</w:t>
      </w:r>
      <w:r w:rsidR="008A05B4">
        <w:rPr>
          <w:rFonts w:ascii="Arial" w:eastAsia="宋体" w:hAnsi="Arial" w:cs="Arial" w:hint="eastAsia"/>
          <w:bCs/>
          <w:sz w:val="24"/>
          <w:szCs w:val="24"/>
        </w:rPr>
        <w:t>11</w:t>
      </w:r>
      <w:r w:rsidRPr="00A74C7C">
        <w:rPr>
          <w:rFonts w:ascii="Arial" w:eastAsia="宋体" w:hAnsi="Arial" w:cs="Arial" w:hint="eastAsia"/>
          <w:bCs/>
          <w:sz w:val="24"/>
          <w:szCs w:val="24"/>
        </w:rPr>
        <w:t>月</w:t>
      </w:r>
      <w:r w:rsidR="008A05B4">
        <w:rPr>
          <w:rFonts w:ascii="Arial" w:eastAsia="宋体" w:hAnsi="Arial" w:cs="Arial" w:hint="eastAsia"/>
          <w:bCs/>
          <w:sz w:val="24"/>
          <w:szCs w:val="24"/>
        </w:rPr>
        <w:t>2</w:t>
      </w:r>
      <w:r w:rsidRPr="00A74C7C">
        <w:rPr>
          <w:rFonts w:ascii="Arial" w:eastAsia="宋体" w:hAnsi="Arial" w:cs="Arial" w:hint="eastAsia"/>
          <w:bCs/>
          <w:sz w:val="24"/>
          <w:szCs w:val="24"/>
        </w:rPr>
        <w:t>日，第二次清算期间</w:t>
      </w:r>
      <w:r w:rsidR="000E0976">
        <w:rPr>
          <w:rFonts w:ascii="Arial" w:eastAsia="宋体" w:hAnsi="Arial" w:cs="Arial" w:hint="eastAsia"/>
          <w:bCs/>
          <w:sz w:val="24"/>
          <w:szCs w:val="24"/>
        </w:rPr>
        <w:t>为</w:t>
      </w:r>
      <w:r w:rsidR="000E0976" w:rsidRPr="000E0976">
        <w:rPr>
          <w:rFonts w:ascii="Arial" w:eastAsia="宋体" w:hAnsi="Arial" w:cs="Arial"/>
          <w:bCs/>
          <w:sz w:val="24"/>
          <w:szCs w:val="24"/>
        </w:rPr>
        <w:t>2018</w:t>
      </w:r>
      <w:r w:rsidR="000E0976" w:rsidRPr="000E0976">
        <w:rPr>
          <w:rFonts w:ascii="Arial" w:eastAsia="宋体" w:hAnsi="Arial" w:cs="Arial"/>
          <w:bCs/>
          <w:sz w:val="24"/>
          <w:szCs w:val="24"/>
        </w:rPr>
        <w:t>年</w:t>
      </w:r>
      <w:r w:rsidR="000E0976" w:rsidRPr="000E0976">
        <w:rPr>
          <w:rFonts w:ascii="Arial" w:eastAsia="宋体" w:hAnsi="Arial" w:cs="Arial"/>
          <w:bCs/>
          <w:sz w:val="24"/>
          <w:szCs w:val="24"/>
        </w:rPr>
        <w:t>11</w:t>
      </w:r>
      <w:r w:rsidR="000E0976" w:rsidRPr="000E0976">
        <w:rPr>
          <w:rFonts w:ascii="Arial" w:eastAsia="宋体" w:hAnsi="Arial" w:cs="Arial"/>
          <w:bCs/>
          <w:sz w:val="24"/>
          <w:szCs w:val="24"/>
        </w:rPr>
        <w:t>月</w:t>
      </w:r>
      <w:r w:rsidR="000E0976" w:rsidRPr="000E0976">
        <w:rPr>
          <w:rFonts w:ascii="Arial" w:eastAsia="宋体" w:hAnsi="Arial" w:cs="Arial"/>
          <w:bCs/>
          <w:sz w:val="24"/>
          <w:szCs w:val="24"/>
        </w:rPr>
        <w:t>3</w:t>
      </w:r>
      <w:r w:rsidR="000E0976" w:rsidRPr="000E0976">
        <w:rPr>
          <w:rFonts w:ascii="Arial" w:eastAsia="宋体" w:hAnsi="Arial" w:cs="Arial"/>
          <w:bCs/>
          <w:sz w:val="24"/>
          <w:szCs w:val="24"/>
        </w:rPr>
        <w:t>日至</w:t>
      </w:r>
      <w:r w:rsidR="000E0976" w:rsidRPr="000E0976">
        <w:rPr>
          <w:rFonts w:ascii="Arial" w:eastAsia="宋体" w:hAnsi="Arial" w:cs="Arial"/>
          <w:bCs/>
          <w:sz w:val="24"/>
          <w:szCs w:val="24"/>
        </w:rPr>
        <w:t>2019</w:t>
      </w:r>
      <w:r w:rsidR="000E0976" w:rsidRPr="000E0976">
        <w:rPr>
          <w:rFonts w:ascii="Arial" w:eastAsia="宋体" w:hAnsi="Arial" w:cs="Arial"/>
          <w:bCs/>
          <w:sz w:val="24"/>
          <w:szCs w:val="24"/>
        </w:rPr>
        <w:t>年</w:t>
      </w:r>
      <w:r w:rsidR="000E0976" w:rsidRPr="000E0976">
        <w:rPr>
          <w:rFonts w:ascii="Arial" w:eastAsia="宋体" w:hAnsi="Arial" w:cs="Arial"/>
          <w:bCs/>
          <w:sz w:val="24"/>
          <w:szCs w:val="24"/>
        </w:rPr>
        <w:t>2</w:t>
      </w:r>
      <w:r w:rsidR="000E0976" w:rsidRPr="000E0976">
        <w:rPr>
          <w:rFonts w:ascii="Arial" w:eastAsia="宋体" w:hAnsi="Arial" w:cs="Arial"/>
          <w:bCs/>
          <w:sz w:val="24"/>
          <w:szCs w:val="24"/>
        </w:rPr>
        <w:t>月</w:t>
      </w:r>
      <w:r w:rsidR="000E0976" w:rsidRPr="000E0976">
        <w:rPr>
          <w:rFonts w:ascii="Arial" w:eastAsia="宋体" w:hAnsi="Arial" w:cs="Arial"/>
          <w:bCs/>
          <w:sz w:val="24"/>
          <w:szCs w:val="24"/>
        </w:rPr>
        <w:t>15</w:t>
      </w:r>
      <w:r w:rsidR="000E0976" w:rsidRPr="000E0976">
        <w:rPr>
          <w:rFonts w:ascii="Arial" w:eastAsia="宋体" w:hAnsi="Arial" w:cs="Arial"/>
          <w:bCs/>
          <w:sz w:val="24"/>
          <w:szCs w:val="24"/>
        </w:rPr>
        <w:t>日</w:t>
      </w:r>
      <w:r w:rsidR="000E0976" w:rsidRPr="00A74C7C">
        <w:rPr>
          <w:rFonts w:ascii="Arial" w:eastAsia="宋体" w:hAnsi="Arial" w:cs="Arial"/>
          <w:bCs/>
          <w:sz w:val="24"/>
          <w:szCs w:val="24"/>
        </w:rPr>
        <w:t>。</w:t>
      </w:r>
    </w:p>
    <w:p w:rsidR="00573D0A" w:rsidRDefault="00573D0A" w:rsidP="00573D0A">
      <w:pPr>
        <w:snapToGrid w:val="0"/>
        <w:spacing w:line="360" w:lineRule="auto"/>
        <w:jc w:val="center"/>
        <w:rPr>
          <w:b/>
          <w:sz w:val="28"/>
          <w:szCs w:val="28"/>
        </w:rPr>
      </w:pPr>
    </w:p>
    <w:p w:rsidR="00573D0A" w:rsidRDefault="00573D0A" w:rsidP="00573D0A">
      <w:pPr>
        <w:snapToGrid w:val="0"/>
        <w:spacing w:line="360" w:lineRule="auto"/>
        <w:jc w:val="center"/>
        <w:rPr>
          <w:b/>
          <w:sz w:val="28"/>
          <w:szCs w:val="28"/>
        </w:rPr>
      </w:pPr>
    </w:p>
    <w:p w:rsidR="00573D0A" w:rsidRDefault="00573D0A" w:rsidP="00573D0A">
      <w:pPr>
        <w:snapToGrid w:val="0"/>
        <w:spacing w:line="360" w:lineRule="auto"/>
        <w:jc w:val="center"/>
        <w:rPr>
          <w:b/>
          <w:sz w:val="28"/>
          <w:szCs w:val="28"/>
        </w:rPr>
      </w:pPr>
    </w:p>
    <w:p w:rsidR="00573D0A" w:rsidRPr="00181E45" w:rsidRDefault="00573D0A" w:rsidP="00573D0A">
      <w:pPr>
        <w:snapToGrid w:val="0"/>
        <w:spacing w:line="360" w:lineRule="auto"/>
        <w:jc w:val="center"/>
        <w:rPr>
          <w:b/>
          <w:sz w:val="28"/>
          <w:szCs w:val="28"/>
        </w:rPr>
      </w:pPr>
    </w:p>
    <w:p w:rsidR="00573D0A" w:rsidRDefault="00573D0A" w:rsidP="00573D0A">
      <w:pPr>
        <w:numPr>
          <w:ilvl w:val="0"/>
          <w:numId w:val="1"/>
        </w:numPr>
        <w:snapToGrid w:val="0"/>
        <w:spacing w:line="360" w:lineRule="auto"/>
        <w:jc w:val="center"/>
        <w:rPr>
          <w:b/>
          <w:sz w:val="28"/>
          <w:szCs w:val="28"/>
        </w:rPr>
      </w:pPr>
      <w:r w:rsidRPr="00421228">
        <w:rPr>
          <w:rFonts w:hint="eastAsia"/>
          <w:b/>
          <w:sz w:val="28"/>
          <w:szCs w:val="28"/>
        </w:rPr>
        <w:t>财务会计报告</w:t>
      </w:r>
    </w:p>
    <w:p w:rsidR="00EC2F06" w:rsidRPr="00EC2F06" w:rsidRDefault="00EC2F06" w:rsidP="00EC2F06">
      <w:pPr>
        <w:snapToGrid w:val="0"/>
        <w:spacing w:line="360" w:lineRule="auto"/>
        <w:jc w:val="center"/>
        <w:rPr>
          <w:rFonts w:ascii="宋体" w:hAnsi="宋体"/>
          <w:sz w:val="24"/>
        </w:rPr>
      </w:pPr>
      <w:r w:rsidRPr="00EC2F06">
        <w:rPr>
          <w:rFonts w:ascii="宋体" w:hAnsi="宋体" w:hint="eastAsia"/>
          <w:sz w:val="24"/>
        </w:rPr>
        <w:t>（一） 2018年</w:t>
      </w:r>
      <w:r>
        <w:rPr>
          <w:rFonts w:ascii="宋体" w:hAnsi="宋体" w:hint="eastAsia"/>
          <w:sz w:val="24"/>
        </w:rPr>
        <w:t>10</w:t>
      </w:r>
      <w:r w:rsidRPr="00EC2F06">
        <w:rPr>
          <w:rFonts w:ascii="宋体" w:hAnsi="宋体" w:hint="eastAsia"/>
          <w:sz w:val="24"/>
        </w:rPr>
        <w:t>月</w:t>
      </w:r>
      <w:r>
        <w:rPr>
          <w:rFonts w:ascii="宋体" w:hAnsi="宋体" w:hint="eastAsia"/>
          <w:sz w:val="24"/>
        </w:rPr>
        <w:t>8</w:t>
      </w:r>
      <w:r w:rsidRPr="00EC2F06">
        <w:rPr>
          <w:rFonts w:ascii="宋体" w:hAnsi="宋体" w:hint="eastAsia"/>
          <w:sz w:val="24"/>
        </w:rPr>
        <w:t>日（基金最后运作日）资产负债表（经审计）</w:t>
      </w:r>
    </w:p>
    <w:p w:rsidR="009D1519" w:rsidRPr="009D1519" w:rsidRDefault="009D1519" w:rsidP="009D1519">
      <w:pPr>
        <w:pStyle w:val="a6"/>
        <w:spacing w:line="360" w:lineRule="auto"/>
        <w:ind w:left="720" w:rightChars="2" w:right="4" w:firstLineChars="0" w:firstLine="0"/>
        <w:jc w:val="right"/>
        <w:rPr>
          <w:rFonts w:ascii="黑体" w:eastAsia="黑体" w:hAnsi="黑体"/>
          <w:b/>
          <w:sz w:val="22"/>
        </w:rPr>
      </w:pPr>
      <w:r w:rsidRPr="009D1519">
        <w:rPr>
          <w:rFonts w:ascii="黑体" w:eastAsia="黑体" w:hAnsi="黑体" w:hint="eastAsia"/>
          <w:sz w:val="22"/>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3595"/>
      </w:tblGrid>
      <w:tr w:rsidR="009D1519" w:rsidRPr="00400415" w:rsidTr="00ED077B">
        <w:tc>
          <w:tcPr>
            <w:tcW w:w="2891" w:type="pct"/>
            <w:tcBorders>
              <w:top w:val="single" w:sz="4" w:space="0" w:color="auto"/>
            </w:tcBorders>
            <w:vAlign w:val="center"/>
          </w:tcPr>
          <w:p w:rsidR="009D1519" w:rsidRPr="00400415" w:rsidRDefault="009D1519" w:rsidP="00ED077B">
            <w:pPr>
              <w:pStyle w:val="ab"/>
              <w:spacing w:before="0" w:beforeAutospacing="0" w:after="0" w:afterAutospacing="0" w:line="240" w:lineRule="atLeast"/>
              <w:rPr>
                <w:rFonts w:ascii="黑体" w:eastAsia="黑体" w:hAnsi="黑体"/>
                <w:b/>
                <w:sz w:val="22"/>
                <w:szCs w:val="22"/>
              </w:rPr>
            </w:pPr>
            <w:bookmarkStart w:id="0" w:name="资产"/>
          </w:p>
        </w:tc>
        <w:tc>
          <w:tcPr>
            <w:tcW w:w="2109" w:type="pct"/>
            <w:tcBorders>
              <w:top w:val="single" w:sz="4" w:space="0" w:color="auto"/>
            </w:tcBorders>
            <w:vAlign w:val="center"/>
          </w:tcPr>
          <w:p w:rsidR="009D1519" w:rsidRPr="00400415" w:rsidRDefault="009D1519" w:rsidP="00ED077B">
            <w:pPr>
              <w:pStyle w:val="ab"/>
              <w:spacing w:before="0" w:beforeAutospacing="0" w:after="0" w:afterAutospacing="0" w:line="240" w:lineRule="atLeast"/>
              <w:jc w:val="right"/>
              <w:rPr>
                <w:rFonts w:ascii="黑体" w:eastAsia="黑体" w:hAnsi="黑体"/>
                <w:b/>
                <w:sz w:val="22"/>
                <w:szCs w:val="22"/>
              </w:rPr>
            </w:pPr>
            <w:r w:rsidRPr="00400415">
              <w:rPr>
                <w:rFonts w:ascii="黑体" w:eastAsia="黑体" w:hAnsi="黑体" w:hint="eastAsia"/>
                <w:b/>
                <w:sz w:val="22"/>
                <w:szCs w:val="22"/>
              </w:rPr>
              <w:t>最后运作日</w:t>
            </w:r>
          </w:p>
          <w:p w:rsidR="009D1519" w:rsidRPr="00400415" w:rsidRDefault="009D1519" w:rsidP="00ED077B">
            <w:pPr>
              <w:pStyle w:val="ab"/>
              <w:spacing w:before="0" w:beforeAutospacing="0" w:after="0" w:afterAutospacing="0" w:line="240" w:lineRule="atLeast"/>
              <w:jc w:val="right"/>
              <w:rPr>
                <w:rFonts w:ascii="黑体" w:eastAsia="黑体" w:hAnsi="黑体"/>
                <w:b/>
                <w:sz w:val="22"/>
                <w:szCs w:val="22"/>
              </w:rPr>
            </w:pPr>
            <w:r w:rsidRPr="00400415">
              <w:rPr>
                <w:rFonts w:ascii="黑体" w:eastAsia="黑体" w:hAnsi="黑体" w:hint="eastAsia"/>
                <w:b/>
                <w:sz w:val="22"/>
                <w:szCs w:val="22"/>
              </w:rPr>
              <w:t>2018年10月8日</w:t>
            </w:r>
          </w:p>
        </w:tc>
      </w:tr>
      <w:tr w:rsidR="009D1519" w:rsidRPr="00400415" w:rsidTr="00ED077B">
        <w:tc>
          <w:tcPr>
            <w:tcW w:w="2891" w:type="pct"/>
            <w:vAlign w:val="center"/>
          </w:tcPr>
          <w:p w:rsidR="009D1519" w:rsidRPr="00400415" w:rsidRDefault="009D1519" w:rsidP="00ED077B">
            <w:pPr>
              <w:pStyle w:val="ab"/>
              <w:rPr>
                <w:rFonts w:ascii="黑体" w:eastAsia="黑体" w:hAnsi="黑体"/>
                <w:b/>
                <w:sz w:val="22"/>
                <w:szCs w:val="22"/>
              </w:rPr>
            </w:pPr>
            <w:r w:rsidRPr="00400415">
              <w:rPr>
                <w:rFonts w:ascii="黑体" w:eastAsia="黑体" w:hAnsi="黑体" w:hint="eastAsia"/>
                <w:b/>
                <w:sz w:val="22"/>
                <w:szCs w:val="22"/>
              </w:rPr>
              <w:t>资 产：</w:t>
            </w:r>
          </w:p>
        </w:tc>
        <w:tc>
          <w:tcPr>
            <w:tcW w:w="2109" w:type="pct"/>
            <w:vAlign w:val="bottom"/>
          </w:tcPr>
          <w:p w:rsidR="009D1519" w:rsidRPr="00400415" w:rsidRDefault="009D1519" w:rsidP="00ED077B">
            <w:pPr>
              <w:pStyle w:val="ab"/>
              <w:jc w:val="right"/>
              <w:rPr>
                <w:rFonts w:ascii="黑体" w:eastAsia="黑体" w:hAnsi="黑体"/>
                <w:sz w:val="22"/>
                <w:szCs w:val="22"/>
              </w:rPr>
            </w:pP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银行存款</w:t>
            </w:r>
          </w:p>
        </w:tc>
        <w:tc>
          <w:tcPr>
            <w:tcW w:w="2109" w:type="pct"/>
            <w:vAlign w:val="bottom"/>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2,627,374.68</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存出</w:t>
            </w:r>
            <w:r w:rsidRPr="00400415">
              <w:rPr>
                <w:rFonts w:ascii="黑体" w:eastAsia="黑体" w:hAnsi="黑体"/>
                <w:sz w:val="22"/>
                <w:szCs w:val="22"/>
              </w:rPr>
              <w:t>保证金</w:t>
            </w:r>
          </w:p>
        </w:tc>
        <w:tc>
          <w:tcPr>
            <w:tcW w:w="2109" w:type="pct"/>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 xml:space="preserve"> 71,886.90 </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交易性金融资产</w:t>
            </w:r>
          </w:p>
        </w:tc>
        <w:tc>
          <w:tcPr>
            <w:tcW w:w="2109" w:type="pct"/>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 xml:space="preserve"> 2,821,040.68 </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其中：股票</w:t>
            </w:r>
            <w:r w:rsidRPr="00400415">
              <w:rPr>
                <w:rFonts w:ascii="黑体" w:eastAsia="黑体" w:hAnsi="黑体"/>
                <w:sz w:val="22"/>
                <w:szCs w:val="22"/>
              </w:rPr>
              <w:t>投资</w:t>
            </w:r>
          </w:p>
        </w:tc>
        <w:tc>
          <w:tcPr>
            <w:tcW w:w="2109" w:type="pct"/>
            <w:vAlign w:val="bottom"/>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2,821,040.68</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应收利息</w:t>
            </w:r>
          </w:p>
        </w:tc>
        <w:tc>
          <w:tcPr>
            <w:tcW w:w="2109" w:type="pct"/>
            <w:vAlign w:val="bottom"/>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1,292.17</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资产总计</w:t>
            </w:r>
          </w:p>
        </w:tc>
        <w:tc>
          <w:tcPr>
            <w:tcW w:w="2109" w:type="pct"/>
            <w:vAlign w:val="bottom"/>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5,521,594.43</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b/>
                <w:sz w:val="22"/>
                <w:szCs w:val="22"/>
              </w:rPr>
              <w:t>负 债：</w:t>
            </w:r>
          </w:p>
        </w:tc>
        <w:tc>
          <w:tcPr>
            <w:tcW w:w="2109" w:type="pct"/>
            <w:vAlign w:val="bottom"/>
          </w:tcPr>
          <w:p w:rsidR="009D1519" w:rsidRPr="00400415" w:rsidRDefault="009D1519" w:rsidP="00ED077B">
            <w:pPr>
              <w:pStyle w:val="ab"/>
              <w:jc w:val="right"/>
              <w:rPr>
                <w:rFonts w:ascii="黑体" w:eastAsia="黑体" w:hAnsi="黑体"/>
                <w:sz w:val="22"/>
                <w:szCs w:val="22"/>
              </w:rPr>
            </w:pP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应付</w:t>
            </w:r>
            <w:proofErr w:type="gramStart"/>
            <w:r w:rsidRPr="00400415">
              <w:rPr>
                <w:rFonts w:ascii="黑体" w:eastAsia="黑体" w:hAnsi="黑体" w:hint="eastAsia"/>
                <w:sz w:val="22"/>
                <w:szCs w:val="22"/>
              </w:rPr>
              <w:t>赎回款</w:t>
            </w:r>
            <w:proofErr w:type="gramEnd"/>
          </w:p>
        </w:tc>
        <w:tc>
          <w:tcPr>
            <w:tcW w:w="2109" w:type="pct"/>
            <w:vAlign w:val="bottom"/>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113,649.55</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应付管理人报酬</w:t>
            </w:r>
          </w:p>
        </w:tc>
        <w:tc>
          <w:tcPr>
            <w:tcW w:w="2109" w:type="pct"/>
            <w:vAlign w:val="bottom"/>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917.32</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应付托管费</w:t>
            </w:r>
          </w:p>
        </w:tc>
        <w:tc>
          <w:tcPr>
            <w:tcW w:w="2109" w:type="pct"/>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 xml:space="preserve"> 183.46 </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应付销售服务费</w:t>
            </w:r>
          </w:p>
        </w:tc>
        <w:tc>
          <w:tcPr>
            <w:tcW w:w="2109" w:type="pct"/>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183.46</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应付交易费用</w:t>
            </w:r>
          </w:p>
        </w:tc>
        <w:tc>
          <w:tcPr>
            <w:tcW w:w="2109" w:type="pct"/>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 xml:space="preserve">  45,296.21</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其他负债</w:t>
            </w:r>
          </w:p>
        </w:tc>
        <w:tc>
          <w:tcPr>
            <w:tcW w:w="2109" w:type="pct"/>
            <w:vAlign w:val="bottom"/>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22,300.00</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负债合计</w:t>
            </w:r>
          </w:p>
        </w:tc>
        <w:tc>
          <w:tcPr>
            <w:tcW w:w="2109" w:type="pct"/>
            <w:vAlign w:val="bottom"/>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182,530.00</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b/>
                <w:sz w:val="22"/>
                <w:szCs w:val="22"/>
              </w:rPr>
              <w:t>所有者权益：</w:t>
            </w:r>
          </w:p>
        </w:tc>
        <w:tc>
          <w:tcPr>
            <w:tcW w:w="2109" w:type="pct"/>
            <w:vAlign w:val="bottom"/>
          </w:tcPr>
          <w:p w:rsidR="009D1519" w:rsidRPr="00400415" w:rsidRDefault="009D1519" w:rsidP="00ED077B">
            <w:pPr>
              <w:pStyle w:val="ab"/>
              <w:jc w:val="right"/>
              <w:rPr>
                <w:rFonts w:ascii="黑体" w:eastAsia="黑体" w:hAnsi="黑体"/>
                <w:sz w:val="22"/>
                <w:szCs w:val="22"/>
              </w:rPr>
            </w:pP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实收基金</w:t>
            </w:r>
          </w:p>
        </w:tc>
        <w:tc>
          <w:tcPr>
            <w:tcW w:w="2109" w:type="pct"/>
            <w:vAlign w:val="bottom"/>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5,631,846.51</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未分配利润</w:t>
            </w:r>
          </w:p>
        </w:tc>
        <w:tc>
          <w:tcPr>
            <w:tcW w:w="2109" w:type="pct"/>
            <w:vAlign w:val="bottom"/>
          </w:tcPr>
          <w:p w:rsidR="009D1519" w:rsidRPr="00400415" w:rsidRDefault="009D1519" w:rsidP="00ED077B">
            <w:pPr>
              <w:pStyle w:val="ab"/>
              <w:ind w:rightChars="-53" w:right="-111"/>
              <w:jc w:val="right"/>
              <w:rPr>
                <w:rFonts w:ascii="黑体" w:eastAsia="黑体" w:hAnsi="黑体"/>
                <w:sz w:val="22"/>
                <w:szCs w:val="22"/>
              </w:rPr>
            </w:pPr>
            <w:r w:rsidRPr="00400415">
              <w:rPr>
                <w:rFonts w:ascii="黑体" w:eastAsia="黑体" w:hAnsi="黑体"/>
                <w:sz w:val="22"/>
                <w:szCs w:val="22"/>
              </w:rPr>
              <w:t>(292,782.08)</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所有者权益合计</w:t>
            </w:r>
          </w:p>
        </w:tc>
        <w:tc>
          <w:tcPr>
            <w:tcW w:w="2109" w:type="pct"/>
            <w:vAlign w:val="bottom"/>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5,339,064.43</w:t>
            </w:r>
          </w:p>
        </w:tc>
      </w:tr>
      <w:tr w:rsidR="009D1519" w:rsidRPr="00400415" w:rsidTr="00ED077B">
        <w:tc>
          <w:tcPr>
            <w:tcW w:w="2891" w:type="pct"/>
            <w:vAlign w:val="center"/>
          </w:tcPr>
          <w:p w:rsidR="009D1519" w:rsidRPr="00400415" w:rsidRDefault="009D1519" w:rsidP="00ED077B">
            <w:pPr>
              <w:pStyle w:val="ab"/>
              <w:rPr>
                <w:rFonts w:ascii="黑体" w:eastAsia="黑体" w:hAnsi="黑体"/>
                <w:sz w:val="22"/>
                <w:szCs w:val="22"/>
              </w:rPr>
            </w:pPr>
            <w:r w:rsidRPr="00400415">
              <w:rPr>
                <w:rFonts w:ascii="黑体" w:eastAsia="黑体" w:hAnsi="黑体" w:hint="eastAsia"/>
                <w:sz w:val="22"/>
                <w:szCs w:val="22"/>
              </w:rPr>
              <w:t>负债和所有者权益总计</w:t>
            </w:r>
          </w:p>
        </w:tc>
        <w:tc>
          <w:tcPr>
            <w:tcW w:w="2109" w:type="pct"/>
            <w:vAlign w:val="bottom"/>
          </w:tcPr>
          <w:p w:rsidR="009D1519" w:rsidRPr="00400415" w:rsidRDefault="009D1519" w:rsidP="00ED077B">
            <w:pPr>
              <w:pStyle w:val="ab"/>
              <w:jc w:val="right"/>
              <w:rPr>
                <w:rFonts w:ascii="黑体" w:eastAsia="黑体" w:hAnsi="黑体"/>
                <w:sz w:val="22"/>
                <w:szCs w:val="22"/>
              </w:rPr>
            </w:pPr>
            <w:r w:rsidRPr="00400415">
              <w:rPr>
                <w:rFonts w:ascii="黑体" w:eastAsia="黑体" w:hAnsi="黑体"/>
                <w:sz w:val="22"/>
                <w:szCs w:val="22"/>
              </w:rPr>
              <w:t>5,521,594.43</w:t>
            </w:r>
          </w:p>
        </w:tc>
      </w:tr>
      <w:bookmarkEnd w:id="0"/>
    </w:tbl>
    <w:p w:rsidR="00573D0A" w:rsidRDefault="00573D0A" w:rsidP="00573D0A">
      <w:pPr>
        <w:snapToGrid w:val="0"/>
        <w:spacing w:line="360" w:lineRule="auto"/>
        <w:jc w:val="center"/>
        <w:rPr>
          <w:b/>
          <w:sz w:val="28"/>
          <w:szCs w:val="28"/>
        </w:rPr>
      </w:pPr>
    </w:p>
    <w:p w:rsidR="00573D0A" w:rsidRDefault="00573D0A" w:rsidP="00573D0A">
      <w:pPr>
        <w:snapToGrid w:val="0"/>
        <w:spacing w:line="360" w:lineRule="auto"/>
        <w:jc w:val="center"/>
        <w:rPr>
          <w:b/>
          <w:sz w:val="28"/>
          <w:szCs w:val="28"/>
        </w:rPr>
      </w:pPr>
    </w:p>
    <w:p w:rsidR="00573D0A" w:rsidRDefault="00573D0A" w:rsidP="00573D0A">
      <w:pPr>
        <w:snapToGrid w:val="0"/>
        <w:spacing w:line="360" w:lineRule="auto"/>
        <w:jc w:val="center"/>
        <w:rPr>
          <w:b/>
          <w:sz w:val="28"/>
          <w:szCs w:val="28"/>
        </w:rPr>
      </w:pPr>
    </w:p>
    <w:p w:rsidR="009D1519" w:rsidRDefault="009D1519" w:rsidP="00573D0A">
      <w:pPr>
        <w:snapToGrid w:val="0"/>
        <w:spacing w:line="360" w:lineRule="auto"/>
        <w:jc w:val="center"/>
        <w:rPr>
          <w:b/>
          <w:sz w:val="28"/>
          <w:szCs w:val="28"/>
        </w:rPr>
      </w:pPr>
    </w:p>
    <w:p w:rsidR="009D1519" w:rsidRDefault="009D1519" w:rsidP="00573D0A">
      <w:pPr>
        <w:snapToGrid w:val="0"/>
        <w:spacing w:line="360" w:lineRule="auto"/>
        <w:jc w:val="center"/>
        <w:rPr>
          <w:b/>
          <w:sz w:val="28"/>
          <w:szCs w:val="28"/>
        </w:rPr>
      </w:pPr>
    </w:p>
    <w:p w:rsidR="009D1519" w:rsidRDefault="009D1519" w:rsidP="00573D0A">
      <w:pPr>
        <w:snapToGrid w:val="0"/>
        <w:spacing w:line="360" w:lineRule="auto"/>
        <w:jc w:val="center"/>
        <w:rPr>
          <w:b/>
          <w:sz w:val="28"/>
          <w:szCs w:val="28"/>
        </w:rPr>
      </w:pPr>
    </w:p>
    <w:p w:rsidR="009D1519" w:rsidRDefault="009D1519" w:rsidP="00573D0A">
      <w:pPr>
        <w:snapToGrid w:val="0"/>
        <w:spacing w:line="360" w:lineRule="auto"/>
        <w:jc w:val="center"/>
        <w:rPr>
          <w:b/>
          <w:sz w:val="28"/>
          <w:szCs w:val="28"/>
        </w:rPr>
      </w:pPr>
    </w:p>
    <w:p w:rsidR="009D1519" w:rsidRDefault="009D1519" w:rsidP="00573D0A">
      <w:pPr>
        <w:snapToGrid w:val="0"/>
        <w:spacing w:line="360" w:lineRule="auto"/>
        <w:jc w:val="center"/>
        <w:rPr>
          <w:b/>
          <w:sz w:val="28"/>
          <w:szCs w:val="28"/>
        </w:rPr>
      </w:pPr>
    </w:p>
    <w:p w:rsidR="00573D0A" w:rsidRDefault="00573D0A" w:rsidP="00573D0A">
      <w:pPr>
        <w:snapToGrid w:val="0"/>
        <w:spacing w:line="360" w:lineRule="auto"/>
        <w:jc w:val="center"/>
        <w:rPr>
          <w:b/>
          <w:sz w:val="28"/>
          <w:szCs w:val="28"/>
        </w:rPr>
      </w:pPr>
    </w:p>
    <w:p w:rsidR="00573D0A" w:rsidRPr="007B2297" w:rsidRDefault="00573D0A" w:rsidP="00573D0A">
      <w:pPr>
        <w:numPr>
          <w:ilvl w:val="0"/>
          <w:numId w:val="1"/>
        </w:numPr>
        <w:snapToGrid w:val="0"/>
        <w:spacing w:line="360" w:lineRule="auto"/>
        <w:jc w:val="center"/>
        <w:rPr>
          <w:rFonts w:ascii="宋体" w:hAnsi="宋体"/>
          <w:b/>
          <w:sz w:val="28"/>
          <w:szCs w:val="28"/>
        </w:rPr>
      </w:pPr>
      <w:r w:rsidRPr="007B2297">
        <w:rPr>
          <w:rFonts w:ascii="宋体" w:hAnsi="宋体" w:hint="eastAsia"/>
          <w:b/>
          <w:sz w:val="28"/>
          <w:szCs w:val="28"/>
        </w:rPr>
        <w:lastRenderedPageBreak/>
        <w:t>清算情况</w:t>
      </w:r>
    </w:p>
    <w:p w:rsidR="009D1519" w:rsidRPr="00400415" w:rsidRDefault="009D1519" w:rsidP="009D1519">
      <w:pPr>
        <w:overflowPunct w:val="0"/>
        <w:autoSpaceDE w:val="0"/>
        <w:autoSpaceDN w:val="0"/>
        <w:snapToGrid w:val="0"/>
        <w:ind w:left="709"/>
        <w:rPr>
          <w:rFonts w:ascii="黑体" w:eastAsia="黑体" w:hAnsi="黑体" w:cs="Arial"/>
          <w:sz w:val="22"/>
        </w:rPr>
      </w:pPr>
      <w:r w:rsidRPr="00400415">
        <w:rPr>
          <w:rFonts w:ascii="黑体" w:eastAsia="黑体" w:hAnsi="黑体" w:cs="Arial" w:hint="eastAsia"/>
          <w:sz w:val="22"/>
        </w:rPr>
        <w:t>自</w:t>
      </w:r>
      <w:r w:rsidRPr="00400415">
        <w:rPr>
          <w:rFonts w:ascii="黑体" w:eastAsia="黑体" w:hAnsi="黑体" w:cs="Arial"/>
          <w:sz w:val="22"/>
        </w:rPr>
        <w:t>2018年10月9日</w:t>
      </w:r>
      <w:r w:rsidRPr="00400415">
        <w:rPr>
          <w:rFonts w:ascii="黑体" w:eastAsia="黑体" w:hAnsi="黑体" w:cs="Arial" w:hint="eastAsia"/>
          <w:sz w:val="22"/>
        </w:rPr>
        <w:t>至</w:t>
      </w:r>
      <w:r w:rsidRPr="00400415">
        <w:rPr>
          <w:rFonts w:ascii="黑体" w:eastAsia="黑体" w:hAnsi="黑体" w:cs="Arial"/>
          <w:sz w:val="22"/>
        </w:rPr>
        <w:t>2018年11月2日</w:t>
      </w:r>
      <w:proofErr w:type="gramStart"/>
      <w:r w:rsidRPr="00400415">
        <w:rPr>
          <w:rFonts w:ascii="黑体" w:eastAsia="黑体" w:hAnsi="黑体" w:cs="Arial" w:hint="eastAsia"/>
          <w:sz w:val="22"/>
        </w:rPr>
        <w:t>止</w:t>
      </w:r>
      <w:proofErr w:type="gramEnd"/>
      <w:r w:rsidRPr="00400415">
        <w:rPr>
          <w:rFonts w:ascii="黑体" w:eastAsia="黑体" w:hAnsi="黑体" w:cs="Arial" w:hint="eastAsia"/>
          <w:sz w:val="22"/>
        </w:rPr>
        <w:t>清算期间，基金财产清算小组对本基金的资产、负债进行第一次清算，全部清算工作按清算原则和清算手续进行。具体清算情况如下：</w:t>
      </w:r>
    </w:p>
    <w:p w:rsidR="009D1519" w:rsidRPr="00400415" w:rsidRDefault="009D1519" w:rsidP="009D1519">
      <w:pPr>
        <w:overflowPunct w:val="0"/>
        <w:autoSpaceDE w:val="0"/>
        <w:autoSpaceDN w:val="0"/>
        <w:snapToGrid w:val="0"/>
        <w:ind w:left="709"/>
        <w:rPr>
          <w:rFonts w:ascii="黑体" w:eastAsia="黑体" w:hAnsi="黑体" w:cs="Arial"/>
          <w:sz w:val="22"/>
        </w:rPr>
      </w:pPr>
    </w:p>
    <w:p w:rsidR="009D1519" w:rsidRPr="00400415" w:rsidRDefault="009D1519" w:rsidP="009D1519">
      <w:pPr>
        <w:overflowPunct w:val="0"/>
        <w:autoSpaceDE w:val="0"/>
        <w:autoSpaceDN w:val="0"/>
        <w:snapToGrid w:val="0"/>
        <w:ind w:firstLineChars="145" w:firstLine="320"/>
        <w:rPr>
          <w:rFonts w:ascii="黑体" w:eastAsia="黑体" w:hAnsi="黑体" w:cs="Arial"/>
          <w:b/>
          <w:sz w:val="22"/>
        </w:rPr>
      </w:pPr>
      <w:r w:rsidRPr="00400415">
        <w:rPr>
          <w:rFonts w:ascii="黑体" w:eastAsia="黑体" w:hAnsi="黑体" w:cs="Arial" w:hint="eastAsia"/>
          <w:b/>
          <w:sz w:val="22"/>
        </w:rPr>
        <w:t>1、</w:t>
      </w:r>
      <w:r w:rsidRPr="00400415">
        <w:rPr>
          <w:rFonts w:ascii="黑体" w:eastAsia="黑体" w:hAnsi="黑体" w:cs="Arial"/>
          <w:b/>
          <w:sz w:val="22"/>
        </w:rPr>
        <w:t>清算费用</w:t>
      </w:r>
    </w:p>
    <w:p w:rsidR="009D1519" w:rsidRPr="00400415" w:rsidRDefault="009D1519" w:rsidP="009D1519">
      <w:pPr>
        <w:overflowPunct w:val="0"/>
        <w:autoSpaceDE w:val="0"/>
        <w:autoSpaceDN w:val="0"/>
        <w:snapToGrid w:val="0"/>
        <w:ind w:left="709"/>
        <w:rPr>
          <w:rFonts w:ascii="黑体" w:eastAsia="黑体" w:hAnsi="黑体" w:cs="Arial"/>
          <w:sz w:val="22"/>
        </w:rPr>
      </w:pPr>
    </w:p>
    <w:p w:rsidR="009D1519" w:rsidRPr="00400415" w:rsidRDefault="009D1519" w:rsidP="009D1519">
      <w:pPr>
        <w:overflowPunct w:val="0"/>
        <w:autoSpaceDE w:val="0"/>
        <w:autoSpaceDN w:val="0"/>
        <w:snapToGrid w:val="0"/>
        <w:ind w:left="709"/>
        <w:rPr>
          <w:rFonts w:ascii="黑体" w:eastAsia="黑体" w:hAnsi="黑体" w:cs="Arial"/>
          <w:sz w:val="22"/>
        </w:rPr>
      </w:pPr>
      <w:r w:rsidRPr="00400415">
        <w:rPr>
          <w:rFonts w:ascii="黑体" w:eastAsia="黑体" w:hAnsi="黑体" w:cs="Arial" w:hint="eastAsia"/>
          <w:sz w:val="22"/>
        </w:rPr>
        <w:t>清算费用是指基金财产清算小组在进行基金清算过程中发生的所有合理费用，清算费用由基金财产清算小组优先从基金财产中支付</w:t>
      </w:r>
      <w:r w:rsidRPr="00400415">
        <w:rPr>
          <w:rFonts w:ascii="黑体" w:eastAsia="黑体" w:hAnsi="黑体" w:cs="Arial"/>
          <w:sz w:val="22"/>
        </w:rPr>
        <w:t>。</w:t>
      </w:r>
    </w:p>
    <w:p w:rsidR="009D1519" w:rsidRPr="00400415" w:rsidRDefault="009D1519" w:rsidP="009D1519">
      <w:pPr>
        <w:overflowPunct w:val="0"/>
        <w:autoSpaceDE w:val="0"/>
        <w:autoSpaceDN w:val="0"/>
        <w:snapToGrid w:val="0"/>
        <w:ind w:left="709"/>
        <w:rPr>
          <w:rFonts w:ascii="黑体" w:eastAsia="黑体" w:hAnsi="黑体" w:cs="Arial"/>
          <w:sz w:val="22"/>
        </w:rPr>
      </w:pPr>
    </w:p>
    <w:p w:rsidR="009D1519" w:rsidRPr="00400415" w:rsidRDefault="009D1519" w:rsidP="009D1519">
      <w:pPr>
        <w:overflowPunct w:val="0"/>
        <w:autoSpaceDE w:val="0"/>
        <w:autoSpaceDN w:val="0"/>
        <w:snapToGrid w:val="0"/>
        <w:ind w:left="709"/>
        <w:rPr>
          <w:rFonts w:ascii="黑体" w:eastAsia="黑体" w:hAnsi="黑体" w:cs="Arial"/>
          <w:sz w:val="22"/>
        </w:rPr>
      </w:pPr>
      <w:r w:rsidRPr="00400415">
        <w:rPr>
          <w:rFonts w:ascii="黑体" w:eastAsia="黑体" w:hAnsi="黑体" w:cs="Arial" w:hint="eastAsia"/>
          <w:sz w:val="22"/>
        </w:rPr>
        <w:t>为保护基金份额持有人利益，本基金清算期间的审计费用、律师费用由基金管理人承担，银行汇划费用等从基金财产中列支。</w:t>
      </w:r>
    </w:p>
    <w:p w:rsidR="009D1519" w:rsidRPr="00400415" w:rsidRDefault="009D1519" w:rsidP="009D1519">
      <w:pPr>
        <w:overflowPunct w:val="0"/>
        <w:autoSpaceDE w:val="0"/>
        <w:autoSpaceDN w:val="0"/>
        <w:snapToGrid w:val="0"/>
        <w:ind w:left="709"/>
        <w:rPr>
          <w:rFonts w:ascii="黑体" w:eastAsia="黑体" w:hAnsi="黑体" w:cs="Arial"/>
          <w:sz w:val="22"/>
        </w:rPr>
      </w:pPr>
    </w:p>
    <w:p w:rsidR="009D1519" w:rsidRPr="00400415" w:rsidRDefault="009D1519" w:rsidP="009D1519">
      <w:pPr>
        <w:overflowPunct w:val="0"/>
        <w:autoSpaceDE w:val="0"/>
        <w:autoSpaceDN w:val="0"/>
        <w:snapToGrid w:val="0"/>
        <w:ind w:firstLineChars="145" w:firstLine="320"/>
        <w:rPr>
          <w:rFonts w:ascii="黑体" w:eastAsia="黑体" w:hAnsi="黑体" w:cs="Arial"/>
          <w:b/>
          <w:sz w:val="22"/>
        </w:rPr>
      </w:pPr>
      <w:bookmarkStart w:id="1" w:name="OLE_LINK8"/>
      <w:bookmarkStart w:id="2" w:name="OLE_LINK9"/>
      <w:r w:rsidRPr="00400415">
        <w:rPr>
          <w:rFonts w:ascii="黑体" w:eastAsia="黑体" w:hAnsi="黑体" w:cs="Arial" w:hint="eastAsia"/>
          <w:b/>
          <w:sz w:val="22"/>
        </w:rPr>
        <w:t>2、资产处置情况</w:t>
      </w:r>
    </w:p>
    <w:bookmarkEnd w:id="1"/>
    <w:bookmarkEnd w:id="2"/>
    <w:p w:rsidR="009D1519" w:rsidRPr="00400415" w:rsidRDefault="009D1519" w:rsidP="009D1519">
      <w:pPr>
        <w:overflowPunct w:val="0"/>
        <w:autoSpaceDE w:val="0"/>
        <w:autoSpaceDN w:val="0"/>
        <w:snapToGrid w:val="0"/>
        <w:ind w:left="602" w:hanging="360"/>
        <w:rPr>
          <w:rFonts w:ascii="黑体" w:eastAsia="黑体" w:hAnsi="黑体" w:cs="Arial"/>
          <w:sz w:val="22"/>
        </w:rPr>
      </w:pPr>
    </w:p>
    <w:p w:rsidR="009D1519" w:rsidRPr="00400415" w:rsidRDefault="009D1519" w:rsidP="009D1519">
      <w:pPr>
        <w:numPr>
          <w:ilvl w:val="0"/>
          <w:numId w:val="3"/>
        </w:numPr>
        <w:overflowPunct w:val="0"/>
        <w:autoSpaceDE w:val="0"/>
        <w:autoSpaceDN w:val="0"/>
        <w:snapToGrid w:val="0"/>
        <w:rPr>
          <w:rFonts w:ascii="黑体" w:eastAsia="黑体" w:hAnsi="黑体" w:cs="Arial"/>
          <w:sz w:val="22"/>
        </w:rPr>
      </w:pPr>
      <w:bookmarkStart w:id="3" w:name="OLE_LINK6"/>
      <w:bookmarkStart w:id="4" w:name="OLE_LINK7"/>
      <w:r w:rsidRPr="00400415">
        <w:rPr>
          <w:rFonts w:ascii="黑体" w:eastAsia="黑体" w:hAnsi="黑体" w:cs="Arial" w:hint="eastAsia"/>
          <w:sz w:val="22"/>
        </w:rPr>
        <w:t>本基金最后</w:t>
      </w:r>
      <w:proofErr w:type="gramStart"/>
      <w:r w:rsidRPr="00400415">
        <w:rPr>
          <w:rFonts w:ascii="黑体" w:eastAsia="黑体" w:hAnsi="黑体" w:cs="Arial" w:hint="eastAsia"/>
          <w:sz w:val="22"/>
        </w:rPr>
        <w:t>运作日存出</w:t>
      </w:r>
      <w:proofErr w:type="gramEnd"/>
      <w:r w:rsidRPr="00400415">
        <w:rPr>
          <w:rFonts w:ascii="黑体" w:eastAsia="黑体" w:hAnsi="黑体" w:cs="Arial" w:hint="eastAsia"/>
          <w:sz w:val="22"/>
        </w:rPr>
        <w:t>保证金余额为人民币</w:t>
      </w:r>
      <w:r w:rsidRPr="00400415">
        <w:rPr>
          <w:rFonts w:ascii="黑体" w:eastAsia="黑体" w:hAnsi="黑体" w:cs="Arial"/>
          <w:sz w:val="22"/>
        </w:rPr>
        <w:t>71,886.90</w:t>
      </w:r>
      <w:r w:rsidRPr="00400415">
        <w:rPr>
          <w:rFonts w:ascii="黑体" w:eastAsia="黑体" w:hAnsi="黑体" w:cs="Arial" w:hint="eastAsia"/>
          <w:sz w:val="22"/>
        </w:rPr>
        <w:t>元，截至2018年11月2日存出保证金余额为人民币</w:t>
      </w:r>
      <w:r w:rsidRPr="00400415">
        <w:rPr>
          <w:rFonts w:ascii="黑体" w:eastAsia="黑体" w:hAnsi="黑体" w:cs="Arial"/>
          <w:sz w:val="22"/>
        </w:rPr>
        <w:t>23,760.85</w:t>
      </w:r>
      <w:r w:rsidRPr="00400415">
        <w:rPr>
          <w:rFonts w:ascii="黑体" w:eastAsia="黑体" w:hAnsi="黑体" w:cs="Arial" w:hint="eastAsia"/>
          <w:sz w:val="22"/>
        </w:rPr>
        <w:t>元，该款项将于第二次清算时再向基金份额持有人分配。</w:t>
      </w:r>
    </w:p>
    <w:p w:rsidR="009D1519" w:rsidRPr="00400415" w:rsidRDefault="009D1519" w:rsidP="009D1519">
      <w:pPr>
        <w:overflowPunct w:val="0"/>
        <w:autoSpaceDE w:val="0"/>
        <w:autoSpaceDN w:val="0"/>
        <w:snapToGrid w:val="0"/>
        <w:rPr>
          <w:rFonts w:ascii="黑体" w:eastAsia="黑体" w:hAnsi="黑体" w:cs="Arial"/>
          <w:sz w:val="22"/>
        </w:rPr>
      </w:pPr>
    </w:p>
    <w:bookmarkEnd w:id="3"/>
    <w:bookmarkEnd w:id="4"/>
    <w:p w:rsidR="009D1519" w:rsidRPr="00400415" w:rsidRDefault="009D1519" w:rsidP="009D1519">
      <w:pPr>
        <w:numPr>
          <w:ilvl w:val="0"/>
          <w:numId w:val="3"/>
        </w:numPr>
        <w:overflowPunct w:val="0"/>
        <w:autoSpaceDE w:val="0"/>
        <w:autoSpaceDN w:val="0"/>
        <w:snapToGrid w:val="0"/>
        <w:rPr>
          <w:rFonts w:ascii="黑体" w:eastAsia="黑体" w:hAnsi="黑体" w:cs="Arial"/>
          <w:sz w:val="22"/>
        </w:rPr>
      </w:pPr>
      <w:r w:rsidRPr="00400415">
        <w:rPr>
          <w:rFonts w:ascii="黑体" w:eastAsia="黑体" w:hAnsi="黑体" w:cs="Arial" w:hint="eastAsia"/>
          <w:sz w:val="22"/>
        </w:rPr>
        <w:t>本基金最后运作日应收银行存款利息人民币</w:t>
      </w:r>
      <w:r w:rsidRPr="00400415">
        <w:rPr>
          <w:rFonts w:ascii="黑体" w:eastAsia="黑体" w:hAnsi="黑体" w:cs="Arial"/>
          <w:sz w:val="22"/>
        </w:rPr>
        <w:t>1,237.26</w:t>
      </w:r>
      <w:r w:rsidRPr="00400415">
        <w:rPr>
          <w:rFonts w:ascii="黑体" w:eastAsia="黑体" w:hAnsi="黑体" w:cs="Arial" w:hint="eastAsia"/>
          <w:sz w:val="22"/>
        </w:rPr>
        <w:t>元及应收存出保证金利息人民币</w:t>
      </w:r>
      <w:r w:rsidRPr="00400415">
        <w:rPr>
          <w:rFonts w:ascii="黑体" w:eastAsia="黑体" w:hAnsi="黑体" w:cs="Arial"/>
          <w:sz w:val="22"/>
        </w:rPr>
        <w:t>54.91</w:t>
      </w:r>
      <w:r w:rsidRPr="00400415">
        <w:rPr>
          <w:rFonts w:ascii="黑体" w:eastAsia="黑体" w:hAnsi="黑体" w:cs="Arial" w:hint="eastAsia"/>
          <w:sz w:val="22"/>
        </w:rPr>
        <w:t>元，共计人民币</w:t>
      </w:r>
      <w:r w:rsidRPr="00400415">
        <w:rPr>
          <w:rFonts w:ascii="黑体" w:eastAsia="黑体" w:hAnsi="黑体" w:cs="Arial"/>
          <w:sz w:val="22"/>
        </w:rPr>
        <w:t>1,292.17</w:t>
      </w:r>
      <w:r w:rsidRPr="00400415">
        <w:rPr>
          <w:rFonts w:ascii="黑体" w:eastAsia="黑体" w:hAnsi="黑体" w:cs="Arial" w:hint="eastAsia"/>
          <w:sz w:val="22"/>
        </w:rPr>
        <w:t>元，该款项将于第二次清算时再向基金份额持有人分配。</w:t>
      </w:r>
    </w:p>
    <w:p w:rsidR="009D1519" w:rsidRPr="00400415" w:rsidRDefault="009D1519" w:rsidP="009D1519">
      <w:pPr>
        <w:overflowPunct w:val="0"/>
        <w:autoSpaceDE w:val="0"/>
        <w:autoSpaceDN w:val="0"/>
        <w:snapToGrid w:val="0"/>
        <w:rPr>
          <w:rFonts w:ascii="黑体" w:eastAsia="黑体" w:hAnsi="黑体" w:cs="Arial"/>
          <w:sz w:val="22"/>
        </w:rPr>
      </w:pPr>
    </w:p>
    <w:p w:rsidR="009D1519" w:rsidRPr="00400415" w:rsidRDefault="009D1519" w:rsidP="009D1519">
      <w:pPr>
        <w:numPr>
          <w:ilvl w:val="0"/>
          <w:numId w:val="3"/>
        </w:numPr>
        <w:overflowPunct w:val="0"/>
        <w:autoSpaceDE w:val="0"/>
        <w:autoSpaceDN w:val="0"/>
        <w:snapToGrid w:val="0"/>
        <w:rPr>
          <w:rFonts w:ascii="黑体" w:eastAsia="黑体" w:hAnsi="黑体" w:cs="Arial"/>
          <w:sz w:val="22"/>
        </w:rPr>
      </w:pPr>
      <w:r w:rsidRPr="00400415">
        <w:rPr>
          <w:rFonts w:ascii="黑体" w:eastAsia="黑体" w:hAnsi="黑体" w:cs="Arial" w:hint="eastAsia"/>
          <w:sz w:val="22"/>
        </w:rPr>
        <w:t>本基金最后运作日交易性金融资产为人民币</w:t>
      </w:r>
      <w:r w:rsidRPr="00400415">
        <w:rPr>
          <w:rFonts w:ascii="黑体" w:eastAsia="黑体" w:hAnsi="黑体" w:cs="Arial"/>
          <w:sz w:val="22"/>
        </w:rPr>
        <w:t>2,821,040.68</w:t>
      </w:r>
      <w:r w:rsidRPr="00400415">
        <w:rPr>
          <w:rFonts w:ascii="黑体" w:eastAsia="黑体" w:hAnsi="黑体" w:cs="Arial" w:hint="eastAsia"/>
          <w:sz w:val="22"/>
        </w:rPr>
        <w:t>元，</w:t>
      </w:r>
      <w:r w:rsidRPr="00BF5A39">
        <w:rPr>
          <w:rFonts w:ascii="黑体" w:eastAsia="黑体" w:hAnsi="黑体" w:cs="Arial" w:hint="eastAsia"/>
          <w:sz w:val="22"/>
        </w:rPr>
        <w:t>两只股票均系承诺12个月限售期（老股转让部分）的网下投资者配售（以下简称“老股配售”）所得</w:t>
      </w:r>
      <w:r w:rsidRPr="00400415">
        <w:rPr>
          <w:rFonts w:ascii="黑体" w:eastAsia="黑体" w:hAnsi="黑体" w:cs="Arial" w:hint="eastAsia"/>
          <w:sz w:val="22"/>
        </w:rPr>
        <w:t>，尚处于12个月锁定期中而未能变现，明细如下：</w:t>
      </w:r>
    </w:p>
    <w:p w:rsidR="009D1519" w:rsidRPr="00400415" w:rsidRDefault="009D1519" w:rsidP="009D1519">
      <w:pPr>
        <w:overflowPunct w:val="0"/>
        <w:autoSpaceDE w:val="0"/>
        <w:autoSpaceDN w:val="0"/>
        <w:snapToGrid w:val="0"/>
        <w:ind w:left="1069"/>
        <w:jc w:val="right"/>
        <w:rPr>
          <w:rFonts w:ascii="黑体" w:eastAsia="黑体" w:hAnsi="黑体" w:cs="Arial"/>
          <w:sz w:val="22"/>
        </w:rPr>
      </w:pPr>
      <w:r w:rsidRPr="00400415">
        <w:rPr>
          <w:rFonts w:ascii="黑体" w:eastAsia="黑体" w:hAnsi="黑体" w:cs="Arial" w:hint="eastAsia"/>
          <w:sz w:val="22"/>
        </w:rPr>
        <w:t>金额单位</w:t>
      </w:r>
      <w:r w:rsidRPr="00400415">
        <w:rPr>
          <w:rFonts w:ascii="黑体" w:eastAsia="黑体" w:hAnsi="黑体" w:cs="Arial"/>
          <w:sz w:val="22"/>
        </w:rPr>
        <w:t>：</w:t>
      </w:r>
      <w:r w:rsidRPr="00400415">
        <w:rPr>
          <w:rFonts w:ascii="黑体" w:eastAsia="黑体" w:hAnsi="黑体" w:cs="Arial" w:hint="eastAsia"/>
          <w:sz w:val="22"/>
        </w:rPr>
        <w:t>人民币元</w:t>
      </w:r>
    </w:p>
    <w:tbl>
      <w:tblPr>
        <w:tblpPr w:leftFromText="180" w:rightFromText="180" w:vertAnchor="text" w:horzAnchor="margin" w:tblpXSpec="center" w:tblpY="149"/>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10"/>
        <w:gridCol w:w="891"/>
        <w:gridCol w:w="862"/>
        <w:gridCol w:w="372"/>
        <w:gridCol w:w="710"/>
        <w:gridCol w:w="708"/>
        <w:gridCol w:w="993"/>
        <w:gridCol w:w="1281"/>
        <w:gridCol w:w="1227"/>
      </w:tblGrid>
      <w:tr w:rsidR="008F50DC" w:rsidRPr="00400415" w:rsidTr="00216F32">
        <w:trPr>
          <w:jc w:val="center"/>
        </w:trPr>
        <w:tc>
          <w:tcPr>
            <w:tcW w:w="477" w:type="pct"/>
            <w:vAlign w:val="center"/>
          </w:tcPr>
          <w:p w:rsidR="009D1519" w:rsidRPr="00400415" w:rsidRDefault="009D1519" w:rsidP="00ED077B">
            <w:pPr>
              <w:overflowPunct w:val="0"/>
              <w:autoSpaceDE w:val="0"/>
              <w:autoSpaceDN w:val="0"/>
              <w:snapToGrid w:val="0"/>
              <w:ind w:rightChars="-50" w:right="-105"/>
              <w:jc w:val="left"/>
              <w:rPr>
                <w:rFonts w:ascii="黑体" w:eastAsia="黑体" w:hAnsi="黑体" w:cs="Arial"/>
                <w:sz w:val="16"/>
              </w:rPr>
            </w:pPr>
            <w:r w:rsidRPr="00400415">
              <w:rPr>
                <w:rFonts w:ascii="黑体" w:eastAsia="黑体" w:hAnsi="黑体" w:cs="Arial" w:hint="eastAsia"/>
                <w:sz w:val="16"/>
              </w:rPr>
              <w:t>证券</w:t>
            </w:r>
          </w:p>
          <w:p w:rsidR="009D1519" w:rsidRPr="00400415" w:rsidRDefault="009D1519" w:rsidP="00ED077B">
            <w:pPr>
              <w:overflowPunct w:val="0"/>
              <w:autoSpaceDE w:val="0"/>
              <w:autoSpaceDN w:val="0"/>
              <w:snapToGrid w:val="0"/>
              <w:ind w:rightChars="-50" w:right="-105"/>
              <w:jc w:val="left"/>
              <w:rPr>
                <w:rFonts w:ascii="黑体" w:eastAsia="黑体" w:hAnsi="黑体" w:cs="Arial"/>
                <w:sz w:val="16"/>
              </w:rPr>
            </w:pPr>
            <w:r w:rsidRPr="00400415">
              <w:rPr>
                <w:rFonts w:ascii="黑体" w:eastAsia="黑体" w:hAnsi="黑体" w:cs="Arial" w:hint="eastAsia"/>
                <w:sz w:val="16"/>
              </w:rPr>
              <w:t>代码</w:t>
            </w:r>
          </w:p>
        </w:tc>
        <w:tc>
          <w:tcPr>
            <w:tcW w:w="414" w:type="pct"/>
            <w:vAlign w:val="center"/>
          </w:tcPr>
          <w:p w:rsidR="009D1519" w:rsidRPr="00400415" w:rsidRDefault="009D1519" w:rsidP="00ED077B">
            <w:pPr>
              <w:overflowPunct w:val="0"/>
              <w:autoSpaceDE w:val="0"/>
              <w:autoSpaceDN w:val="0"/>
              <w:snapToGrid w:val="0"/>
              <w:jc w:val="left"/>
              <w:rPr>
                <w:rFonts w:ascii="黑体" w:eastAsia="黑体" w:hAnsi="黑体" w:cs="Arial"/>
                <w:sz w:val="16"/>
              </w:rPr>
            </w:pPr>
            <w:r w:rsidRPr="00400415">
              <w:rPr>
                <w:rFonts w:ascii="黑体" w:eastAsia="黑体" w:hAnsi="黑体" w:cs="Arial" w:hint="eastAsia"/>
                <w:sz w:val="16"/>
              </w:rPr>
              <w:t>证券</w:t>
            </w:r>
            <w:r w:rsidRPr="00400415">
              <w:rPr>
                <w:rFonts w:ascii="黑体" w:eastAsia="黑体" w:hAnsi="黑体" w:cs="Arial"/>
                <w:sz w:val="16"/>
              </w:rPr>
              <w:t>名称</w:t>
            </w:r>
          </w:p>
        </w:tc>
        <w:tc>
          <w:tcPr>
            <w:tcW w:w="520" w:type="pct"/>
            <w:vAlign w:val="center"/>
          </w:tcPr>
          <w:p w:rsidR="009D1519" w:rsidRPr="00400415" w:rsidRDefault="009D1519" w:rsidP="00ED077B">
            <w:pPr>
              <w:overflowPunct w:val="0"/>
              <w:autoSpaceDE w:val="0"/>
              <w:autoSpaceDN w:val="0"/>
              <w:snapToGrid w:val="0"/>
              <w:jc w:val="left"/>
              <w:rPr>
                <w:rFonts w:ascii="黑体" w:eastAsia="黑体" w:hAnsi="黑体" w:cs="Arial"/>
                <w:sz w:val="16"/>
              </w:rPr>
            </w:pPr>
            <w:r w:rsidRPr="00400415">
              <w:rPr>
                <w:rFonts w:ascii="黑体" w:eastAsia="黑体" w:hAnsi="黑体" w:cs="Arial" w:hint="eastAsia"/>
                <w:sz w:val="16"/>
              </w:rPr>
              <w:t>成功</w:t>
            </w:r>
          </w:p>
          <w:p w:rsidR="009D1519" w:rsidRPr="00400415" w:rsidRDefault="009D1519" w:rsidP="00ED077B">
            <w:pPr>
              <w:overflowPunct w:val="0"/>
              <w:autoSpaceDE w:val="0"/>
              <w:autoSpaceDN w:val="0"/>
              <w:snapToGrid w:val="0"/>
              <w:jc w:val="left"/>
              <w:rPr>
                <w:rFonts w:ascii="黑体" w:eastAsia="黑体" w:hAnsi="黑体" w:cs="Arial"/>
                <w:sz w:val="16"/>
              </w:rPr>
            </w:pPr>
            <w:r w:rsidRPr="00400415">
              <w:rPr>
                <w:rFonts w:ascii="黑体" w:eastAsia="黑体" w:hAnsi="黑体" w:cs="Arial" w:hint="eastAsia"/>
                <w:sz w:val="16"/>
              </w:rPr>
              <w:t>认购日</w:t>
            </w:r>
          </w:p>
        </w:tc>
        <w:tc>
          <w:tcPr>
            <w:tcW w:w="503" w:type="pct"/>
            <w:vAlign w:val="center"/>
          </w:tcPr>
          <w:p w:rsidR="009D1519" w:rsidRPr="00400415" w:rsidRDefault="009D1519" w:rsidP="00ED077B">
            <w:pPr>
              <w:overflowPunct w:val="0"/>
              <w:autoSpaceDE w:val="0"/>
              <w:autoSpaceDN w:val="0"/>
              <w:snapToGrid w:val="0"/>
              <w:ind w:rightChars="-50" w:right="-105"/>
              <w:jc w:val="left"/>
              <w:rPr>
                <w:rFonts w:ascii="黑体" w:eastAsia="黑体" w:hAnsi="黑体" w:cs="Arial"/>
                <w:sz w:val="16"/>
              </w:rPr>
            </w:pPr>
            <w:r w:rsidRPr="00400415">
              <w:rPr>
                <w:rFonts w:ascii="黑体" w:eastAsia="黑体" w:hAnsi="黑体" w:cs="Arial" w:hint="eastAsia"/>
                <w:sz w:val="16"/>
              </w:rPr>
              <w:t>可流通日</w:t>
            </w:r>
          </w:p>
        </w:tc>
        <w:tc>
          <w:tcPr>
            <w:tcW w:w="217" w:type="pct"/>
            <w:vAlign w:val="center"/>
          </w:tcPr>
          <w:p w:rsidR="009D1519" w:rsidRPr="00400415" w:rsidRDefault="009D1519" w:rsidP="00ED077B">
            <w:pPr>
              <w:overflowPunct w:val="0"/>
              <w:autoSpaceDE w:val="0"/>
              <w:autoSpaceDN w:val="0"/>
              <w:snapToGrid w:val="0"/>
              <w:ind w:rightChars="-50" w:right="-105"/>
              <w:jc w:val="left"/>
              <w:rPr>
                <w:rFonts w:ascii="黑体" w:eastAsia="黑体" w:hAnsi="黑体" w:cs="Arial"/>
                <w:sz w:val="16"/>
              </w:rPr>
            </w:pPr>
            <w:r w:rsidRPr="00400415">
              <w:rPr>
                <w:rFonts w:ascii="黑体" w:eastAsia="黑体" w:hAnsi="黑体" w:cs="Arial" w:hint="eastAsia"/>
                <w:sz w:val="16"/>
              </w:rPr>
              <w:t>流通受限</w:t>
            </w:r>
          </w:p>
          <w:p w:rsidR="009D1519" w:rsidRPr="00400415" w:rsidRDefault="009D1519" w:rsidP="00ED077B">
            <w:pPr>
              <w:overflowPunct w:val="0"/>
              <w:autoSpaceDE w:val="0"/>
              <w:autoSpaceDN w:val="0"/>
              <w:snapToGrid w:val="0"/>
              <w:ind w:rightChars="-50" w:right="-105"/>
              <w:jc w:val="left"/>
              <w:rPr>
                <w:rFonts w:ascii="黑体" w:eastAsia="黑体" w:hAnsi="黑体" w:cs="Arial"/>
                <w:sz w:val="16"/>
              </w:rPr>
            </w:pPr>
            <w:r w:rsidRPr="00400415">
              <w:rPr>
                <w:rFonts w:ascii="黑体" w:eastAsia="黑体" w:hAnsi="黑体" w:cs="Arial" w:hint="eastAsia"/>
                <w:sz w:val="16"/>
              </w:rPr>
              <w:t>类型</w:t>
            </w:r>
          </w:p>
        </w:tc>
        <w:tc>
          <w:tcPr>
            <w:tcW w:w="414" w:type="pct"/>
            <w:vAlign w:val="center"/>
          </w:tcPr>
          <w:p w:rsidR="009D1519" w:rsidRPr="00400415" w:rsidRDefault="009D1519" w:rsidP="00ED077B">
            <w:pPr>
              <w:overflowPunct w:val="0"/>
              <w:autoSpaceDE w:val="0"/>
              <w:autoSpaceDN w:val="0"/>
              <w:snapToGrid w:val="0"/>
              <w:jc w:val="left"/>
              <w:rPr>
                <w:rFonts w:ascii="黑体" w:eastAsia="黑体" w:hAnsi="黑体" w:cs="Arial"/>
                <w:sz w:val="16"/>
              </w:rPr>
            </w:pPr>
            <w:r w:rsidRPr="00400415">
              <w:rPr>
                <w:rFonts w:ascii="黑体" w:eastAsia="黑体" w:hAnsi="黑体" w:cs="Arial" w:hint="eastAsia"/>
                <w:sz w:val="16"/>
              </w:rPr>
              <w:t>认购</w:t>
            </w:r>
          </w:p>
          <w:p w:rsidR="009D1519" w:rsidRPr="00400415" w:rsidRDefault="009D1519" w:rsidP="00ED077B">
            <w:pPr>
              <w:overflowPunct w:val="0"/>
              <w:autoSpaceDE w:val="0"/>
              <w:autoSpaceDN w:val="0"/>
              <w:snapToGrid w:val="0"/>
              <w:jc w:val="left"/>
              <w:rPr>
                <w:rFonts w:ascii="黑体" w:eastAsia="黑体" w:hAnsi="黑体" w:cs="Arial"/>
                <w:sz w:val="16"/>
              </w:rPr>
            </w:pPr>
            <w:r w:rsidRPr="00400415">
              <w:rPr>
                <w:rFonts w:ascii="黑体" w:eastAsia="黑体" w:hAnsi="黑体" w:cs="Arial" w:hint="eastAsia"/>
                <w:sz w:val="16"/>
              </w:rPr>
              <w:t>价格</w:t>
            </w:r>
          </w:p>
        </w:tc>
        <w:tc>
          <w:tcPr>
            <w:tcW w:w="413" w:type="pct"/>
            <w:vAlign w:val="center"/>
          </w:tcPr>
          <w:p w:rsidR="009D1519" w:rsidRPr="00400415" w:rsidRDefault="009D1519" w:rsidP="00ED077B">
            <w:pPr>
              <w:overflowPunct w:val="0"/>
              <w:autoSpaceDE w:val="0"/>
              <w:autoSpaceDN w:val="0"/>
              <w:snapToGrid w:val="0"/>
              <w:jc w:val="left"/>
              <w:rPr>
                <w:rFonts w:ascii="黑体" w:eastAsia="黑体" w:hAnsi="黑体" w:cs="Arial"/>
                <w:sz w:val="16"/>
              </w:rPr>
            </w:pPr>
            <w:r w:rsidRPr="00400415">
              <w:rPr>
                <w:rFonts w:ascii="黑体" w:eastAsia="黑体" w:hAnsi="黑体" w:cs="Arial" w:hint="eastAsia"/>
                <w:sz w:val="16"/>
              </w:rPr>
              <w:t>最后运作日</w:t>
            </w:r>
            <w:r w:rsidRPr="00400415">
              <w:rPr>
                <w:rFonts w:ascii="黑体" w:eastAsia="黑体" w:hAnsi="黑体" w:cs="Arial"/>
                <w:sz w:val="16"/>
              </w:rPr>
              <w:t>估值单价</w:t>
            </w:r>
          </w:p>
        </w:tc>
        <w:tc>
          <w:tcPr>
            <w:tcW w:w="579" w:type="pct"/>
            <w:vAlign w:val="center"/>
          </w:tcPr>
          <w:p w:rsidR="009D1519" w:rsidRPr="00400415" w:rsidRDefault="009D1519" w:rsidP="00ED077B">
            <w:pPr>
              <w:overflowPunct w:val="0"/>
              <w:autoSpaceDE w:val="0"/>
              <w:autoSpaceDN w:val="0"/>
              <w:snapToGrid w:val="0"/>
              <w:ind w:rightChars="-120" w:right="-252"/>
              <w:jc w:val="left"/>
              <w:rPr>
                <w:rFonts w:ascii="黑体" w:eastAsia="黑体" w:hAnsi="黑体" w:cs="Arial"/>
                <w:sz w:val="16"/>
              </w:rPr>
            </w:pPr>
            <w:r w:rsidRPr="00400415">
              <w:rPr>
                <w:rFonts w:ascii="黑体" w:eastAsia="黑体" w:hAnsi="黑体" w:cs="Arial" w:hint="eastAsia"/>
                <w:sz w:val="16"/>
              </w:rPr>
              <w:t>数量</w:t>
            </w:r>
            <w:r w:rsidR="008F50DC">
              <w:rPr>
                <w:rFonts w:ascii="黑体" w:eastAsia="黑体" w:hAnsi="黑体" w:cs="Arial"/>
                <w:sz w:val="16"/>
              </w:rPr>
              <w:br/>
            </w:r>
            <w:r w:rsidR="008F50DC">
              <w:rPr>
                <w:rFonts w:ascii="黑体" w:eastAsia="黑体" w:hAnsi="黑体" w:cs="Arial" w:hint="eastAsia"/>
                <w:sz w:val="16"/>
              </w:rPr>
              <w:t>(单位：股)</w:t>
            </w:r>
          </w:p>
          <w:p w:rsidR="009D1519" w:rsidRPr="00400415" w:rsidRDefault="009D1519" w:rsidP="008F50DC">
            <w:pPr>
              <w:overflowPunct w:val="0"/>
              <w:autoSpaceDE w:val="0"/>
              <w:autoSpaceDN w:val="0"/>
              <w:snapToGrid w:val="0"/>
              <w:ind w:rightChars="-120" w:right="-252"/>
              <w:jc w:val="left"/>
              <w:rPr>
                <w:rFonts w:ascii="黑体" w:eastAsia="黑体" w:hAnsi="黑体" w:cs="Arial"/>
                <w:sz w:val="16"/>
              </w:rPr>
            </w:pPr>
          </w:p>
        </w:tc>
        <w:tc>
          <w:tcPr>
            <w:tcW w:w="747" w:type="pct"/>
            <w:shd w:val="clear" w:color="auto" w:fill="auto"/>
            <w:vAlign w:val="center"/>
          </w:tcPr>
          <w:p w:rsidR="009D1519" w:rsidRPr="00400415" w:rsidRDefault="009D1519" w:rsidP="00ED077B">
            <w:pPr>
              <w:overflowPunct w:val="0"/>
              <w:autoSpaceDE w:val="0"/>
              <w:autoSpaceDN w:val="0"/>
              <w:snapToGrid w:val="0"/>
              <w:jc w:val="left"/>
              <w:rPr>
                <w:rFonts w:ascii="黑体" w:eastAsia="黑体" w:hAnsi="黑体" w:cs="Arial"/>
                <w:sz w:val="16"/>
              </w:rPr>
            </w:pPr>
            <w:r w:rsidRPr="00400415">
              <w:rPr>
                <w:rFonts w:ascii="黑体" w:eastAsia="黑体" w:hAnsi="黑体" w:cs="Arial" w:hint="eastAsia"/>
                <w:sz w:val="16"/>
              </w:rPr>
              <w:t>最后运作日</w:t>
            </w:r>
          </w:p>
          <w:p w:rsidR="009D1519" w:rsidRPr="00400415" w:rsidRDefault="009D1519" w:rsidP="00ED077B">
            <w:pPr>
              <w:overflowPunct w:val="0"/>
              <w:autoSpaceDE w:val="0"/>
              <w:autoSpaceDN w:val="0"/>
              <w:snapToGrid w:val="0"/>
              <w:jc w:val="left"/>
              <w:rPr>
                <w:rFonts w:ascii="黑体" w:eastAsia="黑体" w:hAnsi="黑体" w:cs="Arial"/>
                <w:sz w:val="16"/>
              </w:rPr>
            </w:pPr>
            <w:r w:rsidRPr="00400415">
              <w:rPr>
                <w:rFonts w:ascii="黑体" w:eastAsia="黑体" w:hAnsi="黑体" w:cs="Arial" w:hint="eastAsia"/>
                <w:sz w:val="16"/>
              </w:rPr>
              <w:t>成本总额</w:t>
            </w:r>
          </w:p>
        </w:tc>
        <w:tc>
          <w:tcPr>
            <w:tcW w:w="716" w:type="pct"/>
            <w:shd w:val="clear" w:color="auto" w:fill="auto"/>
            <w:vAlign w:val="center"/>
          </w:tcPr>
          <w:p w:rsidR="009D1519" w:rsidRPr="00400415" w:rsidRDefault="009D1519" w:rsidP="00ED077B">
            <w:pPr>
              <w:overflowPunct w:val="0"/>
              <w:autoSpaceDE w:val="0"/>
              <w:autoSpaceDN w:val="0"/>
              <w:snapToGrid w:val="0"/>
              <w:jc w:val="left"/>
              <w:rPr>
                <w:rFonts w:ascii="黑体" w:eastAsia="黑体" w:hAnsi="黑体" w:cs="Arial"/>
                <w:sz w:val="16"/>
              </w:rPr>
            </w:pPr>
            <w:r w:rsidRPr="00400415">
              <w:rPr>
                <w:rFonts w:ascii="黑体" w:eastAsia="黑体" w:hAnsi="黑体" w:cs="Arial" w:hint="eastAsia"/>
                <w:sz w:val="16"/>
              </w:rPr>
              <w:t>最后运作日</w:t>
            </w:r>
          </w:p>
          <w:p w:rsidR="009D1519" w:rsidRPr="00400415" w:rsidRDefault="009D1519" w:rsidP="00ED077B">
            <w:pPr>
              <w:overflowPunct w:val="0"/>
              <w:autoSpaceDE w:val="0"/>
              <w:autoSpaceDN w:val="0"/>
              <w:snapToGrid w:val="0"/>
              <w:jc w:val="left"/>
              <w:rPr>
                <w:rFonts w:ascii="黑体" w:eastAsia="黑体" w:hAnsi="黑体" w:cs="Arial"/>
                <w:sz w:val="16"/>
              </w:rPr>
            </w:pPr>
            <w:r w:rsidRPr="00400415">
              <w:rPr>
                <w:rFonts w:ascii="黑体" w:eastAsia="黑体" w:hAnsi="黑体" w:cs="Arial" w:hint="eastAsia"/>
                <w:sz w:val="16"/>
              </w:rPr>
              <w:t>估值</w:t>
            </w:r>
            <w:r w:rsidRPr="00400415">
              <w:rPr>
                <w:rFonts w:ascii="黑体" w:eastAsia="黑体" w:hAnsi="黑体" w:cs="Arial"/>
                <w:sz w:val="16"/>
              </w:rPr>
              <w:t>总额</w:t>
            </w:r>
          </w:p>
        </w:tc>
      </w:tr>
      <w:tr w:rsidR="008F50DC" w:rsidRPr="00400415" w:rsidTr="00216F32">
        <w:trPr>
          <w:jc w:val="center"/>
        </w:trPr>
        <w:tc>
          <w:tcPr>
            <w:tcW w:w="477" w:type="pct"/>
            <w:vAlign w:val="bottom"/>
          </w:tcPr>
          <w:p w:rsidR="009D1519" w:rsidRPr="00400415" w:rsidRDefault="009D1519" w:rsidP="00ED077B">
            <w:pPr>
              <w:overflowPunct w:val="0"/>
              <w:autoSpaceDE w:val="0"/>
              <w:autoSpaceDN w:val="0"/>
              <w:snapToGrid w:val="0"/>
              <w:rPr>
                <w:rFonts w:ascii="黑体" w:eastAsia="黑体" w:hAnsi="黑体"/>
                <w:sz w:val="16"/>
              </w:rPr>
            </w:pPr>
            <w:r w:rsidRPr="00400415">
              <w:rPr>
                <w:rFonts w:ascii="黑体" w:eastAsia="黑体" w:hAnsi="黑体" w:cs="Arial"/>
                <w:sz w:val="16"/>
              </w:rPr>
              <w:t>300713</w:t>
            </w:r>
          </w:p>
        </w:tc>
        <w:tc>
          <w:tcPr>
            <w:tcW w:w="414" w:type="pct"/>
            <w:vAlign w:val="bottom"/>
          </w:tcPr>
          <w:p w:rsidR="009D1519" w:rsidRPr="00400415" w:rsidRDefault="009D1519" w:rsidP="00ED077B">
            <w:pPr>
              <w:overflowPunct w:val="0"/>
              <w:autoSpaceDE w:val="0"/>
              <w:autoSpaceDN w:val="0"/>
              <w:snapToGrid w:val="0"/>
              <w:rPr>
                <w:rFonts w:ascii="黑体" w:eastAsia="黑体" w:hAnsi="黑体" w:cs="Arial"/>
                <w:sz w:val="16"/>
              </w:rPr>
            </w:pPr>
            <w:proofErr w:type="gramStart"/>
            <w:r w:rsidRPr="00400415">
              <w:rPr>
                <w:rFonts w:ascii="黑体" w:eastAsia="黑体" w:hAnsi="黑体" w:hint="eastAsia"/>
                <w:sz w:val="16"/>
              </w:rPr>
              <w:t>英可瑞</w:t>
            </w:r>
            <w:proofErr w:type="gramEnd"/>
          </w:p>
        </w:tc>
        <w:tc>
          <w:tcPr>
            <w:tcW w:w="520" w:type="pct"/>
            <w:vAlign w:val="bottom"/>
          </w:tcPr>
          <w:p w:rsidR="009D1519" w:rsidRPr="00400415" w:rsidRDefault="009D1519" w:rsidP="00ED077B">
            <w:pPr>
              <w:overflowPunct w:val="0"/>
              <w:autoSpaceDE w:val="0"/>
              <w:autoSpaceDN w:val="0"/>
              <w:snapToGrid w:val="0"/>
              <w:jc w:val="left"/>
              <w:rPr>
                <w:rFonts w:ascii="黑体" w:eastAsia="黑体" w:hAnsi="黑体" w:cs="Arial"/>
                <w:sz w:val="16"/>
              </w:rPr>
            </w:pPr>
            <w:r w:rsidRPr="00400415">
              <w:rPr>
                <w:rFonts w:ascii="黑体" w:eastAsia="黑体" w:hAnsi="黑体" w:cs="Arial" w:hint="eastAsia"/>
                <w:sz w:val="16"/>
              </w:rPr>
              <w:t>2017/10/23</w:t>
            </w:r>
          </w:p>
        </w:tc>
        <w:tc>
          <w:tcPr>
            <w:tcW w:w="503" w:type="pct"/>
            <w:vAlign w:val="bottom"/>
          </w:tcPr>
          <w:p w:rsidR="009D1519" w:rsidRPr="00400415" w:rsidRDefault="009D1519" w:rsidP="00ED077B">
            <w:pPr>
              <w:overflowPunct w:val="0"/>
              <w:autoSpaceDE w:val="0"/>
              <w:autoSpaceDN w:val="0"/>
              <w:snapToGrid w:val="0"/>
              <w:rPr>
                <w:rFonts w:ascii="黑体" w:eastAsia="黑体" w:hAnsi="黑体"/>
                <w:sz w:val="16"/>
              </w:rPr>
            </w:pPr>
            <w:r w:rsidRPr="00400415">
              <w:rPr>
                <w:rFonts w:ascii="黑体" w:eastAsia="黑体" w:hAnsi="黑体" w:hint="eastAsia"/>
                <w:sz w:val="16"/>
              </w:rPr>
              <w:t>2018/11/1</w:t>
            </w:r>
          </w:p>
        </w:tc>
        <w:tc>
          <w:tcPr>
            <w:tcW w:w="217" w:type="pct"/>
            <w:vAlign w:val="bottom"/>
          </w:tcPr>
          <w:p w:rsidR="009D1519" w:rsidRPr="00400415" w:rsidRDefault="009D1519" w:rsidP="00ED077B">
            <w:pPr>
              <w:overflowPunct w:val="0"/>
              <w:autoSpaceDE w:val="0"/>
              <w:autoSpaceDN w:val="0"/>
              <w:snapToGrid w:val="0"/>
              <w:rPr>
                <w:rFonts w:ascii="黑体" w:eastAsia="黑体" w:hAnsi="黑体"/>
                <w:sz w:val="16"/>
              </w:rPr>
            </w:pPr>
            <w:r>
              <w:rPr>
                <w:rFonts w:ascii="黑体" w:eastAsia="黑体" w:hAnsi="黑体" w:hint="eastAsia"/>
                <w:sz w:val="16"/>
              </w:rPr>
              <w:t>老股</w:t>
            </w:r>
            <w:r w:rsidRPr="00400415">
              <w:rPr>
                <w:rFonts w:ascii="黑体" w:eastAsia="黑体" w:hAnsi="黑体" w:hint="eastAsia"/>
                <w:sz w:val="16"/>
              </w:rPr>
              <w:t>配售</w:t>
            </w:r>
            <w:r w:rsidRPr="00400415">
              <w:rPr>
                <w:rFonts w:ascii="黑体" w:eastAsia="黑体" w:hAnsi="黑体"/>
                <w:sz w:val="16"/>
              </w:rPr>
              <w:t>受限</w:t>
            </w:r>
          </w:p>
        </w:tc>
        <w:tc>
          <w:tcPr>
            <w:tcW w:w="414" w:type="pct"/>
            <w:vAlign w:val="bottom"/>
          </w:tcPr>
          <w:p w:rsidR="009D1519" w:rsidRPr="00400415" w:rsidRDefault="009D1519" w:rsidP="00ED077B">
            <w:pPr>
              <w:overflowPunct w:val="0"/>
              <w:autoSpaceDE w:val="0"/>
              <w:autoSpaceDN w:val="0"/>
              <w:snapToGrid w:val="0"/>
              <w:jc w:val="right"/>
              <w:rPr>
                <w:rFonts w:ascii="黑体" w:eastAsia="黑体" w:hAnsi="黑体" w:cs="Arial"/>
                <w:sz w:val="16"/>
              </w:rPr>
            </w:pPr>
            <w:r w:rsidRPr="00400415">
              <w:rPr>
                <w:rFonts w:ascii="黑体" w:eastAsia="黑体" w:hAnsi="黑体" w:cs="Arial" w:hint="eastAsia"/>
                <w:sz w:val="16"/>
              </w:rPr>
              <w:t>40.29</w:t>
            </w:r>
          </w:p>
        </w:tc>
        <w:tc>
          <w:tcPr>
            <w:tcW w:w="413" w:type="pct"/>
            <w:vAlign w:val="bottom"/>
          </w:tcPr>
          <w:p w:rsidR="009D1519" w:rsidRPr="00400415" w:rsidRDefault="009D1519" w:rsidP="00ED077B">
            <w:pPr>
              <w:overflowPunct w:val="0"/>
              <w:autoSpaceDE w:val="0"/>
              <w:autoSpaceDN w:val="0"/>
              <w:snapToGrid w:val="0"/>
              <w:jc w:val="right"/>
              <w:rPr>
                <w:rFonts w:ascii="黑体" w:eastAsia="黑体" w:hAnsi="黑体" w:cs="Arial"/>
                <w:sz w:val="16"/>
              </w:rPr>
            </w:pPr>
            <w:r w:rsidRPr="00400415">
              <w:rPr>
                <w:rFonts w:ascii="黑体" w:eastAsia="黑体" w:hAnsi="黑体" w:cs="Arial"/>
                <w:sz w:val="16"/>
              </w:rPr>
              <w:t>24.76</w:t>
            </w:r>
          </w:p>
        </w:tc>
        <w:tc>
          <w:tcPr>
            <w:tcW w:w="579" w:type="pct"/>
            <w:vAlign w:val="bottom"/>
          </w:tcPr>
          <w:p w:rsidR="009D1519" w:rsidRPr="00400415" w:rsidRDefault="009D1519" w:rsidP="00ED077B">
            <w:pPr>
              <w:overflowPunct w:val="0"/>
              <w:autoSpaceDE w:val="0"/>
              <w:autoSpaceDN w:val="0"/>
              <w:snapToGrid w:val="0"/>
              <w:jc w:val="right"/>
              <w:rPr>
                <w:rFonts w:ascii="黑体" w:eastAsia="黑体" w:hAnsi="黑体" w:cs="Arial"/>
                <w:sz w:val="16"/>
              </w:rPr>
            </w:pPr>
            <w:r w:rsidRPr="00400415">
              <w:rPr>
                <w:rFonts w:ascii="黑体" w:eastAsia="黑体" w:hAnsi="黑体" w:cs="Arial"/>
                <w:sz w:val="16"/>
              </w:rPr>
              <w:t>12,614</w:t>
            </w:r>
          </w:p>
        </w:tc>
        <w:tc>
          <w:tcPr>
            <w:tcW w:w="747" w:type="pct"/>
            <w:shd w:val="clear" w:color="auto" w:fill="auto"/>
            <w:vAlign w:val="bottom"/>
          </w:tcPr>
          <w:p w:rsidR="009D1519" w:rsidRPr="00400415" w:rsidRDefault="009D1519" w:rsidP="00ED077B">
            <w:pPr>
              <w:overflowPunct w:val="0"/>
              <w:autoSpaceDE w:val="0"/>
              <w:autoSpaceDN w:val="0"/>
              <w:snapToGrid w:val="0"/>
              <w:jc w:val="right"/>
              <w:rPr>
                <w:rFonts w:ascii="黑体" w:eastAsia="黑体" w:hAnsi="黑体" w:cs="Arial"/>
                <w:sz w:val="16"/>
              </w:rPr>
            </w:pPr>
            <w:r w:rsidRPr="00400415">
              <w:rPr>
                <w:rFonts w:ascii="黑体" w:eastAsia="黑体" w:hAnsi="黑体" w:cs="Arial"/>
                <w:sz w:val="16"/>
              </w:rPr>
              <w:t>282,352.32</w:t>
            </w:r>
          </w:p>
        </w:tc>
        <w:tc>
          <w:tcPr>
            <w:tcW w:w="716" w:type="pct"/>
            <w:shd w:val="clear" w:color="auto" w:fill="auto"/>
            <w:vAlign w:val="bottom"/>
          </w:tcPr>
          <w:p w:rsidR="009D1519" w:rsidRPr="00400415" w:rsidRDefault="009D1519" w:rsidP="00ED077B">
            <w:pPr>
              <w:overflowPunct w:val="0"/>
              <w:autoSpaceDE w:val="0"/>
              <w:autoSpaceDN w:val="0"/>
              <w:snapToGrid w:val="0"/>
              <w:jc w:val="right"/>
              <w:rPr>
                <w:rFonts w:ascii="黑体" w:eastAsia="黑体" w:hAnsi="黑体" w:cs="Arial"/>
                <w:sz w:val="16"/>
              </w:rPr>
            </w:pPr>
            <w:r w:rsidRPr="00400415">
              <w:rPr>
                <w:rFonts w:ascii="黑体" w:eastAsia="黑体" w:hAnsi="黑体" w:cs="Arial"/>
                <w:sz w:val="16"/>
              </w:rPr>
              <w:t>312,322.64</w:t>
            </w:r>
          </w:p>
        </w:tc>
      </w:tr>
      <w:tr w:rsidR="008F50DC" w:rsidRPr="00400415" w:rsidTr="00216F32">
        <w:trPr>
          <w:jc w:val="center"/>
        </w:trPr>
        <w:tc>
          <w:tcPr>
            <w:tcW w:w="477" w:type="pct"/>
            <w:vAlign w:val="bottom"/>
          </w:tcPr>
          <w:p w:rsidR="009D1519" w:rsidRPr="00400415" w:rsidRDefault="009D1519" w:rsidP="00ED077B">
            <w:pPr>
              <w:overflowPunct w:val="0"/>
              <w:autoSpaceDE w:val="0"/>
              <w:autoSpaceDN w:val="0"/>
              <w:snapToGrid w:val="0"/>
              <w:jc w:val="left"/>
              <w:rPr>
                <w:rFonts w:ascii="黑体" w:eastAsia="黑体" w:hAnsi="黑体" w:cs="Arial"/>
                <w:sz w:val="16"/>
              </w:rPr>
            </w:pPr>
            <w:r w:rsidRPr="00400415">
              <w:rPr>
                <w:rFonts w:ascii="黑体" w:eastAsia="黑体" w:hAnsi="黑体" w:cs="Arial"/>
                <w:sz w:val="16"/>
              </w:rPr>
              <w:t>603156</w:t>
            </w:r>
          </w:p>
        </w:tc>
        <w:tc>
          <w:tcPr>
            <w:tcW w:w="414" w:type="pct"/>
            <w:vAlign w:val="bottom"/>
          </w:tcPr>
          <w:p w:rsidR="009D1519" w:rsidRPr="00400415" w:rsidRDefault="009D1519" w:rsidP="00ED077B">
            <w:pPr>
              <w:overflowPunct w:val="0"/>
              <w:autoSpaceDE w:val="0"/>
              <w:autoSpaceDN w:val="0"/>
              <w:snapToGrid w:val="0"/>
              <w:rPr>
                <w:rFonts w:ascii="黑体" w:eastAsia="黑体" w:hAnsi="黑体"/>
                <w:sz w:val="16"/>
              </w:rPr>
            </w:pPr>
            <w:r w:rsidRPr="00400415">
              <w:rPr>
                <w:rFonts w:ascii="黑体" w:eastAsia="黑体" w:hAnsi="黑体" w:hint="eastAsia"/>
                <w:sz w:val="16"/>
              </w:rPr>
              <w:t>养元饮品</w:t>
            </w:r>
          </w:p>
        </w:tc>
        <w:tc>
          <w:tcPr>
            <w:tcW w:w="520" w:type="pct"/>
            <w:vAlign w:val="bottom"/>
          </w:tcPr>
          <w:p w:rsidR="009D1519" w:rsidRPr="00400415" w:rsidRDefault="009D1519" w:rsidP="00ED077B">
            <w:pPr>
              <w:overflowPunct w:val="0"/>
              <w:autoSpaceDE w:val="0"/>
              <w:autoSpaceDN w:val="0"/>
              <w:snapToGrid w:val="0"/>
              <w:jc w:val="left"/>
              <w:rPr>
                <w:rFonts w:ascii="黑体" w:eastAsia="黑体" w:hAnsi="黑体"/>
                <w:sz w:val="16"/>
              </w:rPr>
            </w:pPr>
            <w:r w:rsidRPr="00400415">
              <w:rPr>
                <w:rFonts w:ascii="黑体" w:eastAsia="黑体" w:hAnsi="黑体" w:hint="eastAsia"/>
                <w:sz w:val="16"/>
              </w:rPr>
              <w:t>2018/2/2</w:t>
            </w:r>
          </w:p>
        </w:tc>
        <w:tc>
          <w:tcPr>
            <w:tcW w:w="503" w:type="pct"/>
            <w:vAlign w:val="bottom"/>
          </w:tcPr>
          <w:p w:rsidR="009D1519" w:rsidRPr="00400415" w:rsidRDefault="009D1519" w:rsidP="00ED077B">
            <w:pPr>
              <w:overflowPunct w:val="0"/>
              <w:autoSpaceDE w:val="0"/>
              <w:autoSpaceDN w:val="0"/>
              <w:snapToGrid w:val="0"/>
              <w:rPr>
                <w:rFonts w:ascii="黑体" w:eastAsia="黑体" w:hAnsi="黑体"/>
                <w:sz w:val="16"/>
              </w:rPr>
            </w:pPr>
            <w:r w:rsidRPr="00400415">
              <w:rPr>
                <w:rFonts w:ascii="黑体" w:eastAsia="黑体" w:hAnsi="黑体" w:hint="eastAsia"/>
                <w:sz w:val="16"/>
              </w:rPr>
              <w:t>2019/2/1</w:t>
            </w:r>
            <w:r w:rsidRPr="00400415">
              <w:rPr>
                <w:rFonts w:ascii="黑体" w:eastAsia="黑体" w:hAnsi="黑体"/>
                <w:sz w:val="16"/>
              </w:rPr>
              <w:t>2</w:t>
            </w:r>
          </w:p>
        </w:tc>
        <w:tc>
          <w:tcPr>
            <w:tcW w:w="217" w:type="pct"/>
            <w:vAlign w:val="bottom"/>
          </w:tcPr>
          <w:p w:rsidR="009D1519" w:rsidRPr="00400415" w:rsidRDefault="009D1519" w:rsidP="00ED077B">
            <w:pPr>
              <w:overflowPunct w:val="0"/>
              <w:autoSpaceDE w:val="0"/>
              <w:autoSpaceDN w:val="0"/>
              <w:snapToGrid w:val="0"/>
              <w:rPr>
                <w:rFonts w:ascii="黑体" w:eastAsia="黑体" w:hAnsi="黑体"/>
                <w:sz w:val="16"/>
              </w:rPr>
            </w:pPr>
            <w:r>
              <w:rPr>
                <w:rFonts w:ascii="黑体" w:eastAsia="黑体" w:hAnsi="黑体" w:hint="eastAsia"/>
                <w:sz w:val="16"/>
              </w:rPr>
              <w:t>老股</w:t>
            </w:r>
            <w:r w:rsidRPr="00400415">
              <w:rPr>
                <w:rFonts w:ascii="黑体" w:eastAsia="黑体" w:hAnsi="黑体" w:hint="eastAsia"/>
                <w:sz w:val="16"/>
              </w:rPr>
              <w:t>配售</w:t>
            </w:r>
            <w:r w:rsidRPr="00400415">
              <w:rPr>
                <w:rFonts w:ascii="黑体" w:eastAsia="黑体" w:hAnsi="黑体"/>
                <w:sz w:val="16"/>
              </w:rPr>
              <w:t>受限</w:t>
            </w:r>
          </w:p>
        </w:tc>
        <w:tc>
          <w:tcPr>
            <w:tcW w:w="414" w:type="pct"/>
            <w:vAlign w:val="bottom"/>
          </w:tcPr>
          <w:p w:rsidR="009D1519" w:rsidRPr="00400415" w:rsidRDefault="009D1519" w:rsidP="00ED077B">
            <w:pPr>
              <w:overflowPunct w:val="0"/>
              <w:autoSpaceDE w:val="0"/>
              <w:autoSpaceDN w:val="0"/>
              <w:snapToGrid w:val="0"/>
              <w:jc w:val="right"/>
              <w:rPr>
                <w:rFonts w:ascii="黑体" w:eastAsia="黑体" w:hAnsi="黑体" w:cs="Arial"/>
                <w:sz w:val="16"/>
              </w:rPr>
            </w:pPr>
            <w:r w:rsidRPr="00400415">
              <w:rPr>
                <w:rFonts w:ascii="黑体" w:eastAsia="黑体" w:hAnsi="黑体" w:cs="Arial" w:hint="eastAsia"/>
                <w:sz w:val="16"/>
              </w:rPr>
              <w:t>78.73</w:t>
            </w:r>
          </w:p>
        </w:tc>
        <w:tc>
          <w:tcPr>
            <w:tcW w:w="413" w:type="pct"/>
            <w:vAlign w:val="bottom"/>
          </w:tcPr>
          <w:p w:rsidR="009D1519" w:rsidRPr="00400415" w:rsidRDefault="009D1519" w:rsidP="00ED077B">
            <w:pPr>
              <w:overflowPunct w:val="0"/>
              <w:autoSpaceDE w:val="0"/>
              <w:autoSpaceDN w:val="0"/>
              <w:snapToGrid w:val="0"/>
              <w:jc w:val="right"/>
              <w:rPr>
                <w:rFonts w:ascii="黑体" w:eastAsia="黑体" w:hAnsi="黑体" w:cs="Arial"/>
                <w:sz w:val="16"/>
              </w:rPr>
            </w:pPr>
            <w:r w:rsidRPr="00400415">
              <w:rPr>
                <w:rFonts w:ascii="黑体" w:eastAsia="黑体" w:hAnsi="黑体" w:cs="Arial"/>
                <w:sz w:val="16"/>
              </w:rPr>
              <w:t>47.51</w:t>
            </w:r>
          </w:p>
        </w:tc>
        <w:tc>
          <w:tcPr>
            <w:tcW w:w="579" w:type="pct"/>
            <w:vAlign w:val="bottom"/>
          </w:tcPr>
          <w:p w:rsidR="009D1519" w:rsidRPr="00400415" w:rsidRDefault="009D1519" w:rsidP="00ED077B">
            <w:pPr>
              <w:overflowPunct w:val="0"/>
              <w:autoSpaceDE w:val="0"/>
              <w:autoSpaceDN w:val="0"/>
              <w:snapToGrid w:val="0"/>
              <w:jc w:val="right"/>
              <w:rPr>
                <w:rFonts w:ascii="黑体" w:eastAsia="黑体" w:hAnsi="黑体" w:cs="Arial"/>
                <w:sz w:val="16"/>
              </w:rPr>
            </w:pPr>
            <w:r w:rsidRPr="00400415">
              <w:rPr>
                <w:rFonts w:ascii="黑体" w:eastAsia="黑体" w:hAnsi="黑体" w:cs="Arial"/>
                <w:sz w:val="16"/>
              </w:rPr>
              <w:t>52,804</w:t>
            </w:r>
          </w:p>
        </w:tc>
        <w:tc>
          <w:tcPr>
            <w:tcW w:w="747" w:type="pct"/>
            <w:shd w:val="clear" w:color="auto" w:fill="auto"/>
            <w:vAlign w:val="bottom"/>
          </w:tcPr>
          <w:p w:rsidR="009D1519" w:rsidRPr="00400415" w:rsidRDefault="009D1519" w:rsidP="00ED077B">
            <w:pPr>
              <w:overflowPunct w:val="0"/>
              <w:autoSpaceDE w:val="0"/>
              <w:autoSpaceDN w:val="0"/>
              <w:snapToGrid w:val="0"/>
              <w:jc w:val="right"/>
              <w:rPr>
                <w:rFonts w:ascii="黑体" w:eastAsia="黑体" w:hAnsi="黑体" w:cs="Arial"/>
                <w:sz w:val="16"/>
              </w:rPr>
            </w:pPr>
            <w:r w:rsidRPr="00400415">
              <w:rPr>
                <w:rFonts w:ascii="黑体" w:eastAsia="黑体" w:hAnsi="黑体" w:cs="Arial"/>
                <w:sz w:val="16"/>
              </w:rPr>
              <w:t>2,969,459.41</w:t>
            </w:r>
          </w:p>
        </w:tc>
        <w:tc>
          <w:tcPr>
            <w:tcW w:w="716" w:type="pct"/>
            <w:shd w:val="clear" w:color="auto" w:fill="auto"/>
            <w:vAlign w:val="bottom"/>
          </w:tcPr>
          <w:p w:rsidR="009D1519" w:rsidRPr="00400415" w:rsidRDefault="009D1519" w:rsidP="00ED077B">
            <w:pPr>
              <w:overflowPunct w:val="0"/>
              <w:autoSpaceDE w:val="0"/>
              <w:autoSpaceDN w:val="0"/>
              <w:snapToGrid w:val="0"/>
              <w:jc w:val="right"/>
              <w:rPr>
                <w:rFonts w:ascii="黑体" w:eastAsia="黑体" w:hAnsi="黑体" w:cs="Arial"/>
                <w:sz w:val="16"/>
              </w:rPr>
            </w:pPr>
            <w:r w:rsidRPr="00400415">
              <w:rPr>
                <w:rFonts w:ascii="黑体" w:eastAsia="黑体" w:hAnsi="黑体" w:cs="Arial"/>
                <w:sz w:val="16"/>
              </w:rPr>
              <w:t>2,508,718.04</w:t>
            </w:r>
          </w:p>
        </w:tc>
      </w:tr>
    </w:tbl>
    <w:p w:rsidR="009D1519" w:rsidRPr="00400415" w:rsidRDefault="009D1519" w:rsidP="009D1519">
      <w:pPr>
        <w:overflowPunct w:val="0"/>
        <w:autoSpaceDE w:val="0"/>
        <w:autoSpaceDN w:val="0"/>
        <w:snapToGrid w:val="0"/>
        <w:ind w:left="1069"/>
        <w:rPr>
          <w:rFonts w:ascii="黑体" w:eastAsia="黑体" w:hAnsi="黑体" w:cs="Arial"/>
          <w:sz w:val="22"/>
        </w:rPr>
      </w:pPr>
    </w:p>
    <w:p w:rsidR="009D1519" w:rsidRPr="00400415" w:rsidRDefault="009D1519" w:rsidP="009D1519">
      <w:pPr>
        <w:overflowPunct w:val="0"/>
        <w:autoSpaceDE w:val="0"/>
        <w:autoSpaceDN w:val="0"/>
        <w:snapToGrid w:val="0"/>
        <w:ind w:left="1069"/>
        <w:rPr>
          <w:rFonts w:ascii="黑体" w:eastAsia="黑体" w:hAnsi="黑体" w:cs="Arial"/>
          <w:sz w:val="22"/>
        </w:rPr>
      </w:pPr>
      <w:r w:rsidRPr="00400415">
        <w:rPr>
          <w:rFonts w:ascii="黑体" w:eastAsia="黑体" w:hAnsi="黑体" w:cs="Arial"/>
          <w:sz w:val="22"/>
        </w:rPr>
        <w:t>本基金持有的英可瑞</w:t>
      </w:r>
      <w:r w:rsidRPr="00400415">
        <w:rPr>
          <w:rFonts w:ascii="黑体" w:eastAsia="黑体" w:hAnsi="黑体" w:cs="Arial" w:hint="eastAsia"/>
          <w:sz w:val="22"/>
        </w:rPr>
        <w:t>股票已于2018年11月1日可流通日当日处置变现，处置价款为人民币</w:t>
      </w:r>
      <w:r w:rsidRPr="00400415">
        <w:rPr>
          <w:rFonts w:ascii="黑体" w:eastAsia="黑体" w:hAnsi="黑体" w:cs="Arial"/>
          <w:sz w:val="22"/>
        </w:rPr>
        <w:t>317,966.80</w:t>
      </w:r>
      <w:r w:rsidRPr="00400415">
        <w:rPr>
          <w:rFonts w:ascii="黑体" w:eastAsia="黑体" w:hAnsi="黑体" w:cs="Arial" w:hint="eastAsia"/>
          <w:sz w:val="22"/>
        </w:rPr>
        <w:t>元，扣除交易费用人民币</w:t>
      </w:r>
      <w:r w:rsidRPr="00400415">
        <w:rPr>
          <w:rFonts w:ascii="黑体" w:eastAsia="黑体" w:hAnsi="黑体" w:cs="Arial"/>
          <w:sz w:val="22"/>
        </w:rPr>
        <w:t>346.10</w:t>
      </w:r>
      <w:r w:rsidRPr="00400415">
        <w:rPr>
          <w:rFonts w:ascii="黑体" w:eastAsia="黑体" w:hAnsi="黑体" w:cs="Arial" w:hint="eastAsia"/>
          <w:sz w:val="22"/>
        </w:rPr>
        <w:t>元，</w:t>
      </w:r>
      <w:r w:rsidRPr="00400415">
        <w:rPr>
          <w:rFonts w:ascii="黑体" w:eastAsia="黑体" w:hAnsi="黑体" w:cs="Arial"/>
          <w:sz w:val="22"/>
        </w:rPr>
        <w:t>实际</w:t>
      </w:r>
      <w:r w:rsidRPr="00400415">
        <w:rPr>
          <w:rFonts w:ascii="黑体" w:eastAsia="黑体" w:hAnsi="黑体" w:cs="Arial" w:hint="eastAsia"/>
          <w:sz w:val="22"/>
        </w:rPr>
        <w:t>收到</w:t>
      </w:r>
      <w:r w:rsidRPr="00400415">
        <w:rPr>
          <w:rFonts w:ascii="黑体" w:eastAsia="黑体" w:hAnsi="黑体" w:cs="Arial"/>
          <w:sz w:val="22"/>
        </w:rPr>
        <w:t>的</w:t>
      </w:r>
      <w:r w:rsidRPr="00400415">
        <w:rPr>
          <w:rFonts w:ascii="黑体" w:eastAsia="黑体" w:hAnsi="黑体" w:cs="Arial" w:hint="eastAsia"/>
          <w:sz w:val="22"/>
        </w:rPr>
        <w:t>清算价款</w:t>
      </w:r>
      <w:r w:rsidRPr="00400415">
        <w:rPr>
          <w:rFonts w:ascii="黑体" w:eastAsia="黑体" w:hAnsi="黑体" w:cs="Arial"/>
          <w:sz w:val="22"/>
        </w:rPr>
        <w:t>为</w:t>
      </w:r>
      <w:r w:rsidRPr="00400415">
        <w:rPr>
          <w:rFonts w:ascii="黑体" w:eastAsia="黑体" w:hAnsi="黑体" w:cs="Arial" w:hint="eastAsia"/>
          <w:sz w:val="22"/>
        </w:rPr>
        <w:t>人民币</w:t>
      </w:r>
      <w:r w:rsidRPr="00400415">
        <w:rPr>
          <w:rFonts w:ascii="黑体" w:eastAsia="黑体" w:hAnsi="黑体" w:cs="Arial"/>
          <w:sz w:val="22"/>
        </w:rPr>
        <w:t>317,620.70</w:t>
      </w:r>
      <w:r w:rsidRPr="00400415">
        <w:rPr>
          <w:rFonts w:ascii="黑体" w:eastAsia="黑体" w:hAnsi="黑体" w:cs="Arial" w:hint="eastAsia"/>
          <w:sz w:val="22"/>
        </w:rPr>
        <w:t>元；待持有的养元饮品股票可流通之后，基金管理人将及时变现，并于第二次清算时再向基金份额持有人分配。</w:t>
      </w:r>
    </w:p>
    <w:p w:rsidR="009D1519" w:rsidRPr="00400415" w:rsidRDefault="009D1519" w:rsidP="009D1519">
      <w:pPr>
        <w:tabs>
          <w:tab w:val="left" w:pos="709"/>
        </w:tabs>
        <w:overflowPunct w:val="0"/>
        <w:autoSpaceDE w:val="0"/>
        <w:autoSpaceDN w:val="0"/>
        <w:snapToGrid w:val="0"/>
        <w:ind w:left="709" w:hanging="709"/>
        <w:jc w:val="left"/>
        <w:rPr>
          <w:rFonts w:ascii="黑体" w:eastAsia="黑体" w:hAnsi="黑体" w:cs="Arial"/>
          <w:sz w:val="22"/>
        </w:rPr>
      </w:pPr>
      <w:r w:rsidRPr="00400415">
        <w:rPr>
          <w:rFonts w:ascii="黑体" w:eastAsia="黑体" w:hAnsi="黑体" w:cs="Arial"/>
          <w:sz w:val="22"/>
        </w:rPr>
        <w:br w:type="page"/>
      </w:r>
    </w:p>
    <w:p w:rsidR="009D1519" w:rsidRPr="00400415" w:rsidRDefault="009D1519" w:rsidP="009D1519">
      <w:pPr>
        <w:overflowPunct w:val="0"/>
        <w:autoSpaceDE w:val="0"/>
        <w:autoSpaceDN w:val="0"/>
        <w:snapToGrid w:val="0"/>
        <w:ind w:left="1069"/>
        <w:rPr>
          <w:rFonts w:ascii="黑体" w:eastAsia="黑体" w:hAnsi="黑体" w:cs="Arial"/>
          <w:sz w:val="22"/>
        </w:rPr>
      </w:pPr>
    </w:p>
    <w:p w:rsidR="009D1519" w:rsidRPr="00400415" w:rsidRDefault="009D1519" w:rsidP="001157D7">
      <w:pPr>
        <w:overflowPunct w:val="0"/>
        <w:autoSpaceDE w:val="0"/>
        <w:autoSpaceDN w:val="0"/>
        <w:snapToGrid w:val="0"/>
        <w:ind w:firstLineChars="150" w:firstLine="331"/>
        <w:rPr>
          <w:rFonts w:ascii="黑体" w:eastAsia="黑体" w:hAnsi="黑体" w:cs="Arial"/>
          <w:b/>
          <w:sz w:val="22"/>
        </w:rPr>
      </w:pPr>
      <w:r w:rsidRPr="00400415">
        <w:rPr>
          <w:rFonts w:ascii="黑体" w:eastAsia="黑体" w:hAnsi="黑体" w:cs="Arial" w:hint="eastAsia"/>
          <w:b/>
          <w:sz w:val="22"/>
        </w:rPr>
        <w:t>3、负债清偿情况</w:t>
      </w:r>
    </w:p>
    <w:p w:rsidR="009D1519" w:rsidRPr="00400415" w:rsidRDefault="009D1519" w:rsidP="009D1519">
      <w:pPr>
        <w:overflowPunct w:val="0"/>
        <w:autoSpaceDE w:val="0"/>
        <w:autoSpaceDN w:val="0"/>
        <w:snapToGrid w:val="0"/>
        <w:ind w:left="1069"/>
        <w:rPr>
          <w:rFonts w:ascii="黑体" w:eastAsia="黑体" w:hAnsi="黑体" w:cs="Arial"/>
          <w:sz w:val="22"/>
        </w:rPr>
      </w:pPr>
    </w:p>
    <w:p w:rsidR="009D1519" w:rsidRPr="00400415" w:rsidRDefault="009D1519" w:rsidP="009D1519">
      <w:pPr>
        <w:numPr>
          <w:ilvl w:val="0"/>
          <w:numId w:val="5"/>
        </w:numPr>
        <w:overflowPunct w:val="0"/>
        <w:autoSpaceDE w:val="0"/>
        <w:autoSpaceDN w:val="0"/>
        <w:snapToGrid w:val="0"/>
        <w:rPr>
          <w:rFonts w:ascii="黑体" w:eastAsia="黑体" w:hAnsi="黑体" w:cs="Arial"/>
          <w:sz w:val="22"/>
        </w:rPr>
      </w:pPr>
      <w:r w:rsidRPr="00400415">
        <w:rPr>
          <w:rFonts w:ascii="黑体" w:eastAsia="黑体" w:hAnsi="黑体" w:cs="Arial" w:hint="eastAsia"/>
          <w:sz w:val="22"/>
        </w:rPr>
        <w:t>本基金最后运作日应付管理人报酬为人民币</w:t>
      </w:r>
      <w:r w:rsidRPr="00400415">
        <w:rPr>
          <w:rFonts w:ascii="黑体" w:eastAsia="黑体" w:hAnsi="黑体" w:cs="Arial"/>
          <w:sz w:val="22"/>
        </w:rPr>
        <w:t>917.32</w:t>
      </w:r>
      <w:r w:rsidRPr="00400415">
        <w:rPr>
          <w:rFonts w:ascii="黑体" w:eastAsia="黑体" w:hAnsi="黑体" w:cs="Arial" w:hint="eastAsia"/>
          <w:sz w:val="22"/>
        </w:rPr>
        <w:t>元，该款项已于2018年1</w:t>
      </w:r>
      <w:r w:rsidRPr="00400415">
        <w:rPr>
          <w:rFonts w:ascii="黑体" w:eastAsia="黑体" w:hAnsi="黑体" w:cs="Arial"/>
          <w:sz w:val="22"/>
        </w:rPr>
        <w:t>1</w:t>
      </w:r>
      <w:r w:rsidRPr="00400415">
        <w:rPr>
          <w:rFonts w:ascii="黑体" w:eastAsia="黑体" w:hAnsi="黑体" w:cs="Arial" w:hint="eastAsia"/>
          <w:sz w:val="22"/>
        </w:rPr>
        <w:t>月</w:t>
      </w:r>
      <w:r w:rsidRPr="00400415">
        <w:rPr>
          <w:rFonts w:ascii="黑体" w:eastAsia="黑体" w:hAnsi="黑体" w:cs="Arial"/>
          <w:sz w:val="22"/>
        </w:rPr>
        <w:t>1</w:t>
      </w:r>
      <w:r w:rsidRPr="00400415">
        <w:rPr>
          <w:rFonts w:ascii="黑体" w:eastAsia="黑体" w:hAnsi="黑体" w:cs="Arial" w:hint="eastAsia"/>
          <w:sz w:val="22"/>
        </w:rPr>
        <w:t>日支付。</w:t>
      </w:r>
    </w:p>
    <w:p w:rsidR="009D1519" w:rsidRPr="00400415" w:rsidRDefault="009D1519" w:rsidP="009D1519">
      <w:pPr>
        <w:overflowPunct w:val="0"/>
        <w:autoSpaceDE w:val="0"/>
        <w:autoSpaceDN w:val="0"/>
        <w:snapToGrid w:val="0"/>
        <w:rPr>
          <w:rFonts w:ascii="黑体" w:eastAsia="黑体" w:hAnsi="黑体" w:cs="Arial"/>
          <w:sz w:val="22"/>
        </w:rPr>
      </w:pPr>
    </w:p>
    <w:p w:rsidR="009D1519" w:rsidRPr="00400415" w:rsidRDefault="009D1519" w:rsidP="009D1519">
      <w:pPr>
        <w:numPr>
          <w:ilvl w:val="0"/>
          <w:numId w:val="5"/>
        </w:numPr>
        <w:overflowPunct w:val="0"/>
        <w:autoSpaceDE w:val="0"/>
        <w:autoSpaceDN w:val="0"/>
        <w:snapToGrid w:val="0"/>
        <w:rPr>
          <w:rFonts w:ascii="黑体" w:eastAsia="黑体" w:hAnsi="黑体" w:cs="Arial"/>
          <w:sz w:val="22"/>
        </w:rPr>
      </w:pPr>
      <w:r w:rsidRPr="00400415">
        <w:rPr>
          <w:rFonts w:ascii="黑体" w:eastAsia="黑体" w:hAnsi="黑体" w:cs="Arial" w:hint="eastAsia"/>
          <w:sz w:val="22"/>
        </w:rPr>
        <w:t>本基金最后运作日应付托管费为人民币</w:t>
      </w:r>
      <w:r w:rsidRPr="00400415">
        <w:rPr>
          <w:rFonts w:ascii="黑体" w:eastAsia="黑体" w:hAnsi="黑体" w:cs="Arial"/>
          <w:sz w:val="22"/>
        </w:rPr>
        <w:t>183.46</w:t>
      </w:r>
      <w:r w:rsidRPr="00400415">
        <w:rPr>
          <w:rFonts w:ascii="黑体" w:eastAsia="黑体" w:hAnsi="黑体" w:cs="Arial" w:hint="eastAsia"/>
          <w:sz w:val="22"/>
        </w:rPr>
        <w:t>元，该款项已于2018年1</w:t>
      </w:r>
      <w:r w:rsidRPr="00400415">
        <w:rPr>
          <w:rFonts w:ascii="黑体" w:eastAsia="黑体" w:hAnsi="黑体" w:cs="Arial"/>
          <w:sz w:val="22"/>
        </w:rPr>
        <w:t>1</w:t>
      </w:r>
      <w:r w:rsidRPr="00400415">
        <w:rPr>
          <w:rFonts w:ascii="黑体" w:eastAsia="黑体" w:hAnsi="黑体" w:cs="Arial" w:hint="eastAsia"/>
          <w:sz w:val="22"/>
        </w:rPr>
        <w:t>月</w:t>
      </w:r>
      <w:r w:rsidRPr="00400415">
        <w:rPr>
          <w:rFonts w:ascii="黑体" w:eastAsia="黑体" w:hAnsi="黑体" w:cs="Arial"/>
          <w:sz w:val="22"/>
        </w:rPr>
        <w:t>1</w:t>
      </w:r>
      <w:r w:rsidRPr="00400415">
        <w:rPr>
          <w:rFonts w:ascii="黑体" w:eastAsia="黑体" w:hAnsi="黑体" w:cs="Arial" w:hint="eastAsia"/>
          <w:sz w:val="22"/>
        </w:rPr>
        <w:t>日支付。</w:t>
      </w:r>
    </w:p>
    <w:p w:rsidR="009D1519" w:rsidRPr="00400415" w:rsidRDefault="009D1519" w:rsidP="009D1519">
      <w:pPr>
        <w:pStyle w:val="a6"/>
        <w:ind w:firstLineChars="0" w:firstLine="0"/>
        <w:rPr>
          <w:rFonts w:ascii="黑体" w:eastAsia="黑体" w:hAnsi="黑体" w:cs="Arial"/>
          <w:sz w:val="22"/>
        </w:rPr>
      </w:pPr>
    </w:p>
    <w:p w:rsidR="009D1519" w:rsidRPr="00400415" w:rsidRDefault="009D1519" w:rsidP="009D1519">
      <w:pPr>
        <w:numPr>
          <w:ilvl w:val="0"/>
          <w:numId w:val="5"/>
        </w:numPr>
        <w:overflowPunct w:val="0"/>
        <w:autoSpaceDE w:val="0"/>
        <w:autoSpaceDN w:val="0"/>
        <w:snapToGrid w:val="0"/>
        <w:rPr>
          <w:rFonts w:ascii="黑体" w:eastAsia="黑体" w:hAnsi="黑体" w:cs="Arial"/>
          <w:sz w:val="22"/>
        </w:rPr>
      </w:pPr>
      <w:r w:rsidRPr="00400415">
        <w:rPr>
          <w:rFonts w:ascii="黑体" w:eastAsia="黑体" w:hAnsi="黑体" w:cs="Arial" w:hint="eastAsia"/>
          <w:sz w:val="22"/>
        </w:rPr>
        <w:t>本基金最后运作日应付销售服务费为人民币</w:t>
      </w:r>
      <w:r w:rsidRPr="00400415">
        <w:rPr>
          <w:rFonts w:ascii="黑体" w:eastAsia="黑体" w:hAnsi="黑体" w:cs="Arial"/>
          <w:sz w:val="22"/>
        </w:rPr>
        <w:t>183.46</w:t>
      </w:r>
      <w:r w:rsidRPr="00400415">
        <w:rPr>
          <w:rFonts w:ascii="黑体" w:eastAsia="黑体" w:hAnsi="黑体" w:cs="Arial" w:hint="eastAsia"/>
          <w:sz w:val="22"/>
        </w:rPr>
        <w:t>元，该款项已于2018年1</w:t>
      </w:r>
      <w:r w:rsidRPr="00400415">
        <w:rPr>
          <w:rFonts w:ascii="黑体" w:eastAsia="黑体" w:hAnsi="黑体" w:cs="Arial"/>
          <w:sz w:val="22"/>
        </w:rPr>
        <w:t>1</w:t>
      </w:r>
      <w:r w:rsidRPr="00400415">
        <w:rPr>
          <w:rFonts w:ascii="黑体" w:eastAsia="黑体" w:hAnsi="黑体" w:cs="Arial" w:hint="eastAsia"/>
          <w:sz w:val="22"/>
        </w:rPr>
        <w:t>月</w:t>
      </w:r>
      <w:r w:rsidRPr="00400415">
        <w:rPr>
          <w:rFonts w:ascii="黑体" w:eastAsia="黑体" w:hAnsi="黑体" w:cs="Arial"/>
          <w:sz w:val="22"/>
        </w:rPr>
        <w:t>1</w:t>
      </w:r>
      <w:r w:rsidRPr="00400415">
        <w:rPr>
          <w:rFonts w:ascii="黑体" w:eastAsia="黑体" w:hAnsi="黑体" w:cs="Arial" w:hint="eastAsia"/>
          <w:sz w:val="22"/>
        </w:rPr>
        <w:t>日支付。</w:t>
      </w:r>
    </w:p>
    <w:p w:rsidR="009D1519" w:rsidRPr="00400415" w:rsidRDefault="009D1519" w:rsidP="009D1519">
      <w:pPr>
        <w:tabs>
          <w:tab w:val="left" w:pos="55"/>
        </w:tabs>
        <w:overflowPunct w:val="0"/>
        <w:autoSpaceDE w:val="0"/>
        <w:autoSpaceDN w:val="0"/>
        <w:snapToGrid w:val="0"/>
        <w:jc w:val="left"/>
        <w:rPr>
          <w:rFonts w:ascii="黑体" w:eastAsia="黑体" w:hAnsi="黑体" w:cs="Arial"/>
          <w:b/>
          <w:sz w:val="22"/>
        </w:rPr>
      </w:pPr>
    </w:p>
    <w:p w:rsidR="009D1519" w:rsidRPr="00400415" w:rsidRDefault="009D1519" w:rsidP="009D1519">
      <w:pPr>
        <w:numPr>
          <w:ilvl w:val="0"/>
          <w:numId w:val="5"/>
        </w:numPr>
        <w:overflowPunct w:val="0"/>
        <w:autoSpaceDE w:val="0"/>
        <w:autoSpaceDN w:val="0"/>
        <w:snapToGrid w:val="0"/>
        <w:rPr>
          <w:rFonts w:ascii="黑体" w:eastAsia="黑体" w:hAnsi="黑体" w:cs="Arial"/>
          <w:sz w:val="22"/>
        </w:rPr>
      </w:pPr>
      <w:r w:rsidRPr="00400415">
        <w:rPr>
          <w:rFonts w:ascii="黑体" w:eastAsia="黑体" w:hAnsi="黑体" w:cs="Arial" w:hint="eastAsia"/>
          <w:sz w:val="22"/>
        </w:rPr>
        <w:t>本基金最后运作日应付</w:t>
      </w:r>
      <w:proofErr w:type="gramStart"/>
      <w:r w:rsidRPr="00400415">
        <w:rPr>
          <w:rFonts w:ascii="黑体" w:eastAsia="黑体" w:hAnsi="黑体" w:cs="Arial" w:hint="eastAsia"/>
          <w:sz w:val="22"/>
        </w:rPr>
        <w:t>赎回款</w:t>
      </w:r>
      <w:proofErr w:type="gramEnd"/>
      <w:r w:rsidRPr="00400415">
        <w:rPr>
          <w:rFonts w:ascii="黑体" w:eastAsia="黑体" w:hAnsi="黑体" w:cs="Arial" w:hint="eastAsia"/>
          <w:sz w:val="22"/>
        </w:rPr>
        <w:t>为人民币</w:t>
      </w:r>
      <w:r w:rsidRPr="00400415">
        <w:rPr>
          <w:rFonts w:ascii="黑体" w:eastAsia="黑体" w:hAnsi="黑体" w:cs="Arial"/>
          <w:sz w:val="22"/>
        </w:rPr>
        <w:t>113,649.55</w:t>
      </w:r>
      <w:r w:rsidRPr="00400415">
        <w:rPr>
          <w:rFonts w:ascii="黑体" w:eastAsia="黑体" w:hAnsi="黑体" w:cs="Arial" w:hint="eastAsia"/>
          <w:sz w:val="22"/>
        </w:rPr>
        <w:t>元，该款项已于2018年1</w:t>
      </w:r>
      <w:r w:rsidRPr="00400415">
        <w:rPr>
          <w:rFonts w:ascii="黑体" w:eastAsia="黑体" w:hAnsi="黑体" w:cs="Arial"/>
          <w:sz w:val="22"/>
        </w:rPr>
        <w:t>0</w:t>
      </w:r>
      <w:r w:rsidRPr="00400415">
        <w:rPr>
          <w:rFonts w:ascii="黑体" w:eastAsia="黑体" w:hAnsi="黑体" w:cs="Arial" w:hint="eastAsia"/>
          <w:sz w:val="22"/>
        </w:rPr>
        <w:t>月</w:t>
      </w:r>
      <w:r w:rsidRPr="00400415">
        <w:rPr>
          <w:rFonts w:ascii="黑体" w:eastAsia="黑体" w:hAnsi="黑体" w:cs="Arial"/>
          <w:sz w:val="22"/>
        </w:rPr>
        <w:t>9</w:t>
      </w:r>
      <w:r w:rsidRPr="00400415">
        <w:rPr>
          <w:rFonts w:ascii="黑体" w:eastAsia="黑体" w:hAnsi="黑体" w:cs="Arial" w:hint="eastAsia"/>
          <w:sz w:val="22"/>
        </w:rPr>
        <w:t>日支付。</w:t>
      </w:r>
    </w:p>
    <w:p w:rsidR="009D1519" w:rsidRPr="00400415" w:rsidRDefault="009D1519" w:rsidP="009D1519">
      <w:pPr>
        <w:tabs>
          <w:tab w:val="left" w:pos="1134"/>
        </w:tabs>
        <w:overflowPunct w:val="0"/>
        <w:autoSpaceDE w:val="0"/>
        <w:autoSpaceDN w:val="0"/>
        <w:snapToGrid w:val="0"/>
        <w:rPr>
          <w:rFonts w:ascii="黑体" w:eastAsia="黑体" w:hAnsi="黑体" w:cs="Arial"/>
          <w:sz w:val="22"/>
        </w:rPr>
      </w:pPr>
    </w:p>
    <w:p w:rsidR="009D1519" w:rsidRPr="00400415" w:rsidRDefault="009D1519" w:rsidP="009D1519">
      <w:pPr>
        <w:numPr>
          <w:ilvl w:val="0"/>
          <w:numId w:val="5"/>
        </w:numPr>
        <w:overflowPunct w:val="0"/>
        <w:autoSpaceDE w:val="0"/>
        <w:autoSpaceDN w:val="0"/>
        <w:snapToGrid w:val="0"/>
        <w:rPr>
          <w:rFonts w:ascii="黑体" w:eastAsia="黑体" w:hAnsi="黑体" w:cs="Arial"/>
          <w:sz w:val="22"/>
        </w:rPr>
      </w:pPr>
      <w:r w:rsidRPr="00400415">
        <w:rPr>
          <w:rFonts w:ascii="黑体" w:eastAsia="黑体" w:hAnsi="黑体" w:cs="Arial" w:hint="eastAsia"/>
          <w:sz w:val="22"/>
        </w:rPr>
        <w:t>本基金最后运作</w:t>
      </w:r>
      <w:proofErr w:type="gramStart"/>
      <w:r w:rsidRPr="00400415">
        <w:rPr>
          <w:rFonts w:ascii="黑体" w:eastAsia="黑体" w:hAnsi="黑体" w:cs="Arial" w:hint="eastAsia"/>
          <w:sz w:val="22"/>
        </w:rPr>
        <w:t>日其他</w:t>
      </w:r>
      <w:proofErr w:type="gramEnd"/>
      <w:r w:rsidRPr="00400415">
        <w:rPr>
          <w:rFonts w:ascii="黑体" w:eastAsia="黑体" w:hAnsi="黑体" w:cs="Arial" w:hint="eastAsia"/>
          <w:sz w:val="22"/>
        </w:rPr>
        <w:t>负债为人民币</w:t>
      </w:r>
      <w:r w:rsidRPr="00400415">
        <w:rPr>
          <w:rFonts w:ascii="黑体" w:eastAsia="黑体" w:hAnsi="黑体" w:cs="Arial"/>
          <w:sz w:val="22"/>
        </w:rPr>
        <w:t>22,300.00</w:t>
      </w:r>
      <w:r w:rsidRPr="00400415">
        <w:rPr>
          <w:rFonts w:ascii="黑体" w:eastAsia="黑体" w:hAnsi="黑体" w:cs="Arial" w:hint="eastAsia"/>
          <w:sz w:val="22"/>
        </w:rPr>
        <w:t>元，包括应付上清所账户维护费人民币6</w:t>
      </w:r>
      <w:r w:rsidRPr="00400415">
        <w:rPr>
          <w:rFonts w:ascii="黑体" w:eastAsia="黑体" w:hAnsi="黑体" w:cs="Arial"/>
          <w:sz w:val="22"/>
        </w:rPr>
        <w:t>,</w:t>
      </w:r>
      <w:r w:rsidRPr="00400415">
        <w:rPr>
          <w:rFonts w:ascii="黑体" w:eastAsia="黑体" w:hAnsi="黑体" w:cs="Arial" w:hint="eastAsia"/>
          <w:sz w:val="22"/>
        </w:rPr>
        <w:t>000</w:t>
      </w:r>
      <w:r w:rsidRPr="00400415">
        <w:rPr>
          <w:rFonts w:ascii="黑体" w:eastAsia="黑体" w:hAnsi="黑体" w:cs="Arial"/>
          <w:sz w:val="22"/>
        </w:rPr>
        <w:t>.00</w:t>
      </w:r>
      <w:r w:rsidRPr="00400415">
        <w:rPr>
          <w:rFonts w:ascii="黑体" w:eastAsia="黑体" w:hAnsi="黑体" w:cs="Arial" w:hint="eastAsia"/>
          <w:sz w:val="22"/>
        </w:rPr>
        <w:t>元，上清所查询服务费人民币300.00元</w:t>
      </w:r>
      <w:proofErr w:type="gramStart"/>
      <w:r w:rsidRPr="00400415">
        <w:rPr>
          <w:rFonts w:ascii="黑体" w:eastAsia="黑体" w:hAnsi="黑体" w:cs="Arial" w:hint="eastAsia"/>
          <w:sz w:val="22"/>
        </w:rPr>
        <w:t>和中债登账户</w:t>
      </w:r>
      <w:proofErr w:type="gramEnd"/>
      <w:r w:rsidRPr="00400415">
        <w:rPr>
          <w:rFonts w:ascii="黑体" w:eastAsia="黑体" w:hAnsi="黑体" w:cs="Arial" w:hint="eastAsia"/>
          <w:sz w:val="22"/>
        </w:rPr>
        <w:t>维护费人民币6,000.00元，以上款项</w:t>
      </w:r>
      <w:r w:rsidRPr="00400415">
        <w:rPr>
          <w:rFonts w:ascii="黑体" w:eastAsia="黑体" w:hAnsi="黑体" w:cs="Arial"/>
          <w:sz w:val="22"/>
        </w:rPr>
        <w:t>已于</w:t>
      </w:r>
      <w:r w:rsidRPr="00400415">
        <w:rPr>
          <w:rFonts w:ascii="黑体" w:eastAsia="黑体" w:hAnsi="黑体" w:cs="Arial" w:hint="eastAsia"/>
          <w:sz w:val="22"/>
        </w:rPr>
        <w:t>201</w:t>
      </w:r>
      <w:r w:rsidRPr="00400415">
        <w:rPr>
          <w:rFonts w:ascii="黑体" w:eastAsia="黑体" w:hAnsi="黑体" w:cs="Arial"/>
          <w:sz w:val="22"/>
        </w:rPr>
        <w:t>8</w:t>
      </w:r>
      <w:r w:rsidRPr="00400415">
        <w:rPr>
          <w:rFonts w:ascii="黑体" w:eastAsia="黑体" w:hAnsi="黑体" w:cs="Arial" w:hint="eastAsia"/>
          <w:sz w:val="22"/>
        </w:rPr>
        <w:t>年</w:t>
      </w:r>
      <w:r w:rsidRPr="00400415">
        <w:rPr>
          <w:rFonts w:ascii="黑体" w:eastAsia="黑体" w:hAnsi="黑体" w:cs="Arial"/>
          <w:sz w:val="22"/>
        </w:rPr>
        <w:t>10</w:t>
      </w:r>
      <w:r w:rsidRPr="00400415">
        <w:rPr>
          <w:rFonts w:ascii="黑体" w:eastAsia="黑体" w:hAnsi="黑体" w:cs="Arial" w:hint="eastAsia"/>
          <w:sz w:val="22"/>
        </w:rPr>
        <w:t>月</w:t>
      </w:r>
      <w:r w:rsidRPr="00400415">
        <w:rPr>
          <w:rFonts w:ascii="黑体" w:eastAsia="黑体" w:hAnsi="黑体" w:cs="Arial"/>
          <w:sz w:val="22"/>
        </w:rPr>
        <w:t>19</w:t>
      </w:r>
      <w:r w:rsidRPr="00400415">
        <w:rPr>
          <w:rFonts w:ascii="黑体" w:eastAsia="黑体" w:hAnsi="黑体" w:cs="Arial" w:hint="eastAsia"/>
          <w:sz w:val="22"/>
        </w:rPr>
        <w:t>日支付；应付中国证券报信息披露费人民币5,000.00元和应付深圳证券时报信息披露费人民币5,000.00元，以上款项</w:t>
      </w:r>
      <w:r w:rsidRPr="00400415">
        <w:rPr>
          <w:rFonts w:ascii="黑体" w:eastAsia="黑体" w:hAnsi="黑体" w:cs="Arial"/>
          <w:sz w:val="22"/>
        </w:rPr>
        <w:t>已于</w:t>
      </w:r>
      <w:r w:rsidRPr="00400415">
        <w:rPr>
          <w:rFonts w:ascii="黑体" w:eastAsia="黑体" w:hAnsi="黑体" w:cs="Arial" w:hint="eastAsia"/>
          <w:sz w:val="22"/>
        </w:rPr>
        <w:t>201</w:t>
      </w:r>
      <w:r w:rsidRPr="00400415">
        <w:rPr>
          <w:rFonts w:ascii="黑体" w:eastAsia="黑体" w:hAnsi="黑体" w:cs="Arial"/>
          <w:sz w:val="22"/>
        </w:rPr>
        <w:t>8</w:t>
      </w:r>
      <w:r w:rsidRPr="00400415">
        <w:rPr>
          <w:rFonts w:ascii="黑体" w:eastAsia="黑体" w:hAnsi="黑体" w:cs="Arial" w:hint="eastAsia"/>
          <w:sz w:val="22"/>
        </w:rPr>
        <w:t>年</w:t>
      </w:r>
      <w:r w:rsidRPr="00400415">
        <w:rPr>
          <w:rFonts w:ascii="黑体" w:eastAsia="黑体" w:hAnsi="黑体" w:cs="Arial"/>
          <w:sz w:val="22"/>
        </w:rPr>
        <w:t>10</w:t>
      </w:r>
      <w:r w:rsidRPr="00400415">
        <w:rPr>
          <w:rFonts w:ascii="黑体" w:eastAsia="黑体" w:hAnsi="黑体" w:cs="Arial" w:hint="eastAsia"/>
          <w:sz w:val="22"/>
        </w:rPr>
        <w:t>月</w:t>
      </w:r>
      <w:r w:rsidRPr="00400415">
        <w:rPr>
          <w:rFonts w:ascii="黑体" w:eastAsia="黑体" w:hAnsi="黑体" w:cs="Arial"/>
          <w:sz w:val="22"/>
        </w:rPr>
        <w:t>26</w:t>
      </w:r>
      <w:r w:rsidRPr="00400415">
        <w:rPr>
          <w:rFonts w:ascii="黑体" w:eastAsia="黑体" w:hAnsi="黑体" w:cs="Arial" w:hint="eastAsia"/>
          <w:sz w:val="22"/>
        </w:rPr>
        <w:t>日支付。</w:t>
      </w:r>
    </w:p>
    <w:p w:rsidR="009D1519" w:rsidRPr="00400415" w:rsidRDefault="009D1519" w:rsidP="009D1519">
      <w:pPr>
        <w:overflowPunct w:val="0"/>
        <w:autoSpaceDE w:val="0"/>
        <w:autoSpaceDN w:val="0"/>
        <w:snapToGrid w:val="0"/>
        <w:rPr>
          <w:rFonts w:ascii="黑体" w:eastAsia="黑体" w:hAnsi="黑体" w:cs="Arial"/>
          <w:sz w:val="22"/>
        </w:rPr>
      </w:pPr>
    </w:p>
    <w:p w:rsidR="009D1519" w:rsidRDefault="009D1519" w:rsidP="009D1519">
      <w:pPr>
        <w:numPr>
          <w:ilvl w:val="0"/>
          <w:numId w:val="5"/>
        </w:numPr>
        <w:overflowPunct w:val="0"/>
        <w:autoSpaceDE w:val="0"/>
        <w:autoSpaceDN w:val="0"/>
        <w:snapToGrid w:val="0"/>
        <w:rPr>
          <w:rFonts w:ascii="黑体" w:eastAsia="黑体" w:hAnsi="黑体" w:cs="Arial"/>
          <w:sz w:val="22"/>
        </w:rPr>
      </w:pPr>
      <w:r w:rsidRPr="00400415">
        <w:rPr>
          <w:rFonts w:ascii="黑体" w:eastAsia="黑体" w:hAnsi="黑体" w:cs="Arial" w:hint="eastAsia"/>
          <w:sz w:val="22"/>
        </w:rPr>
        <w:t>本基金最后运作日应付交易费用为人民币</w:t>
      </w:r>
      <w:r w:rsidRPr="00400415">
        <w:rPr>
          <w:rFonts w:ascii="黑体" w:eastAsia="黑体" w:hAnsi="黑体" w:cs="Arial"/>
          <w:sz w:val="22"/>
        </w:rPr>
        <w:t>45,296.21</w:t>
      </w:r>
      <w:r w:rsidRPr="00400415">
        <w:rPr>
          <w:rFonts w:ascii="黑体" w:eastAsia="黑体" w:hAnsi="黑体" w:cs="Arial" w:hint="eastAsia"/>
          <w:sz w:val="22"/>
        </w:rPr>
        <w:t>元，包括应付东方证券席位佣金人民币</w:t>
      </w:r>
      <w:r w:rsidRPr="00400415">
        <w:rPr>
          <w:rFonts w:ascii="黑体" w:eastAsia="黑体" w:hAnsi="黑体" w:cs="Arial"/>
          <w:sz w:val="22"/>
        </w:rPr>
        <w:t>45,133.71元</w:t>
      </w:r>
      <w:r w:rsidRPr="00400415">
        <w:rPr>
          <w:rFonts w:ascii="黑体" w:eastAsia="黑体" w:hAnsi="黑体" w:cs="Arial" w:hint="eastAsia"/>
          <w:sz w:val="22"/>
        </w:rPr>
        <w:t>，该款项</w:t>
      </w:r>
      <w:r w:rsidRPr="00400415">
        <w:rPr>
          <w:rFonts w:ascii="黑体" w:eastAsia="黑体" w:hAnsi="黑体" w:cs="Arial"/>
          <w:sz w:val="22"/>
        </w:rPr>
        <w:t>已于</w:t>
      </w:r>
      <w:r w:rsidRPr="00400415">
        <w:rPr>
          <w:rFonts w:ascii="黑体" w:eastAsia="黑体" w:hAnsi="黑体" w:cs="Arial" w:hint="eastAsia"/>
          <w:sz w:val="22"/>
        </w:rPr>
        <w:t>201</w:t>
      </w:r>
      <w:r w:rsidRPr="00400415">
        <w:rPr>
          <w:rFonts w:ascii="黑体" w:eastAsia="黑体" w:hAnsi="黑体" w:cs="Arial"/>
          <w:sz w:val="22"/>
        </w:rPr>
        <w:t>8</w:t>
      </w:r>
      <w:r w:rsidRPr="00400415">
        <w:rPr>
          <w:rFonts w:ascii="黑体" w:eastAsia="黑体" w:hAnsi="黑体" w:cs="Arial" w:hint="eastAsia"/>
          <w:sz w:val="22"/>
        </w:rPr>
        <w:t>年</w:t>
      </w:r>
      <w:r w:rsidRPr="00400415">
        <w:rPr>
          <w:rFonts w:ascii="黑体" w:eastAsia="黑体" w:hAnsi="黑体" w:cs="Arial"/>
          <w:sz w:val="22"/>
        </w:rPr>
        <w:t>10</w:t>
      </w:r>
      <w:r w:rsidRPr="00400415">
        <w:rPr>
          <w:rFonts w:ascii="黑体" w:eastAsia="黑体" w:hAnsi="黑体" w:cs="Arial" w:hint="eastAsia"/>
          <w:sz w:val="22"/>
        </w:rPr>
        <w:t>月</w:t>
      </w:r>
      <w:r w:rsidRPr="00400415">
        <w:rPr>
          <w:rFonts w:ascii="黑体" w:eastAsia="黑体" w:hAnsi="黑体" w:cs="Arial"/>
          <w:sz w:val="22"/>
        </w:rPr>
        <w:t>16</w:t>
      </w:r>
      <w:r w:rsidRPr="00400415">
        <w:rPr>
          <w:rFonts w:ascii="黑体" w:eastAsia="黑体" w:hAnsi="黑体" w:cs="Arial" w:hint="eastAsia"/>
          <w:sz w:val="22"/>
        </w:rPr>
        <w:t>日支付；应付外汇交易中心费人民币12.50元，该款项</w:t>
      </w:r>
      <w:r w:rsidRPr="00400415">
        <w:rPr>
          <w:rFonts w:ascii="黑体" w:eastAsia="黑体" w:hAnsi="黑体" w:cs="Arial"/>
          <w:sz w:val="22"/>
        </w:rPr>
        <w:t>已于</w:t>
      </w:r>
      <w:r w:rsidRPr="00400415">
        <w:rPr>
          <w:rFonts w:ascii="黑体" w:eastAsia="黑体" w:hAnsi="黑体" w:cs="Arial" w:hint="eastAsia"/>
          <w:sz w:val="22"/>
        </w:rPr>
        <w:t>201</w:t>
      </w:r>
      <w:r w:rsidRPr="00400415">
        <w:rPr>
          <w:rFonts w:ascii="黑体" w:eastAsia="黑体" w:hAnsi="黑体" w:cs="Arial"/>
          <w:sz w:val="22"/>
        </w:rPr>
        <w:t>8</w:t>
      </w:r>
      <w:r w:rsidRPr="00400415">
        <w:rPr>
          <w:rFonts w:ascii="黑体" w:eastAsia="黑体" w:hAnsi="黑体" w:cs="Arial" w:hint="eastAsia"/>
          <w:sz w:val="22"/>
        </w:rPr>
        <w:t>年</w:t>
      </w:r>
      <w:r w:rsidRPr="00400415">
        <w:rPr>
          <w:rFonts w:ascii="黑体" w:eastAsia="黑体" w:hAnsi="黑体" w:cs="Arial"/>
          <w:sz w:val="22"/>
        </w:rPr>
        <w:t>10</w:t>
      </w:r>
      <w:r w:rsidRPr="00400415">
        <w:rPr>
          <w:rFonts w:ascii="黑体" w:eastAsia="黑体" w:hAnsi="黑体" w:cs="Arial" w:hint="eastAsia"/>
          <w:sz w:val="22"/>
        </w:rPr>
        <w:t>月</w:t>
      </w:r>
      <w:r w:rsidRPr="00400415">
        <w:rPr>
          <w:rFonts w:ascii="黑体" w:eastAsia="黑体" w:hAnsi="黑体" w:cs="Arial"/>
          <w:sz w:val="22"/>
        </w:rPr>
        <w:t>17</w:t>
      </w:r>
      <w:r w:rsidRPr="00400415">
        <w:rPr>
          <w:rFonts w:ascii="黑体" w:eastAsia="黑体" w:hAnsi="黑体" w:cs="Arial" w:hint="eastAsia"/>
          <w:sz w:val="22"/>
        </w:rPr>
        <w:t>日支付；应付</w:t>
      </w:r>
      <w:proofErr w:type="gramStart"/>
      <w:r w:rsidRPr="00400415">
        <w:rPr>
          <w:rFonts w:ascii="黑体" w:eastAsia="黑体" w:hAnsi="黑体" w:cs="Arial" w:hint="eastAsia"/>
          <w:sz w:val="22"/>
        </w:rPr>
        <w:t>中债登现券</w:t>
      </w:r>
      <w:proofErr w:type="gramEnd"/>
      <w:r w:rsidRPr="00400415">
        <w:rPr>
          <w:rFonts w:ascii="黑体" w:eastAsia="黑体" w:hAnsi="黑体" w:cs="Arial" w:hint="eastAsia"/>
          <w:sz w:val="22"/>
        </w:rPr>
        <w:t>交易手续费人民币150.00元，该款项</w:t>
      </w:r>
      <w:r w:rsidRPr="00400415">
        <w:rPr>
          <w:rFonts w:ascii="黑体" w:eastAsia="黑体" w:hAnsi="黑体" w:cs="Arial"/>
          <w:sz w:val="22"/>
        </w:rPr>
        <w:t>已于</w:t>
      </w:r>
      <w:r w:rsidRPr="00400415">
        <w:rPr>
          <w:rFonts w:ascii="黑体" w:eastAsia="黑体" w:hAnsi="黑体" w:cs="Arial" w:hint="eastAsia"/>
          <w:sz w:val="22"/>
        </w:rPr>
        <w:t>201</w:t>
      </w:r>
      <w:r w:rsidRPr="00400415">
        <w:rPr>
          <w:rFonts w:ascii="黑体" w:eastAsia="黑体" w:hAnsi="黑体" w:cs="Arial"/>
          <w:sz w:val="22"/>
        </w:rPr>
        <w:t>8</w:t>
      </w:r>
      <w:r w:rsidRPr="00400415">
        <w:rPr>
          <w:rFonts w:ascii="黑体" w:eastAsia="黑体" w:hAnsi="黑体" w:cs="Arial" w:hint="eastAsia"/>
          <w:sz w:val="22"/>
        </w:rPr>
        <w:t>年</w:t>
      </w:r>
      <w:r w:rsidRPr="00400415">
        <w:rPr>
          <w:rFonts w:ascii="黑体" w:eastAsia="黑体" w:hAnsi="黑体" w:cs="Arial"/>
          <w:sz w:val="22"/>
        </w:rPr>
        <w:t>10</w:t>
      </w:r>
      <w:r w:rsidRPr="00400415">
        <w:rPr>
          <w:rFonts w:ascii="黑体" w:eastAsia="黑体" w:hAnsi="黑体" w:cs="Arial" w:hint="eastAsia"/>
          <w:sz w:val="22"/>
        </w:rPr>
        <w:t>月</w:t>
      </w:r>
      <w:r w:rsidRPr="00400415">
        <w:rPr>
          <w:rFonts w:ascii="黑体" w:eastAsia="黑体" w:hAnsi="黑体" w:cs="Arial"/>
          <w:sz w:val="22"/>
        </w:rPr>
        <w:t>19</w:t>
      </w:r>
      <w:r w:rsidRPr="00400415">
        <w:rPr>
          <w:rFonts w:ascii="黑体" w:eastAsia="黑体" w:hAnsi="黑体" w:cs="Arial" w:hint="eastAsia"/>
          <w:sz w:val="22"/>
        </w:rPr>
        <w:t>日支付。</w:t>
      </w:r>
    </w:p>
    <w:p w:rsidR="009D1519" w:rsidRDefault="009D1519" w:rsidP="009D1519">
      <w:pPr>
        <w:pStyle w:val="a6"/>
        <w:ind w:firstLine="440"/>
        <w:rPr>
          <w:rFonts w:ascii="黑体" w:eastAsia="黑体" w:hAnsi="黑体" w:cs="Arial"/>
          <w:sz w:val="22"/>
        </w:rPr>
      </w:pPr>
    </w:p>
    <w:p w:rsidR="009D1519" w:rsidRPr="00400415" w:rsidRDefault="009D1519" w:rsidP="009D1519">
      <w:pPr>
        <w:overflowPunct w:val="0"/>
        <w:autoSpaceDE w:val="0"/>
        <w:autoSpaceDN w:val="0"/>
        <w:snapToGrid w:val="0"/>
        <w:ind w:left="1069"/>
        <w:rPr>
          <w:rFonts w:ascii="黑体" w:eastAsia="黑体" w:hAnsi="黑体" w:cs="Arial"/>
          <w:sz w:val="22"/>
        </w:rPr>
      </w:pPr>
    </w:p>
    <w:p w:rsidR="00D05A47" w:rsidRPr="002718BE" w:rsidRDefault="00D05A47" w:rsidP="00D05A47">
      <w:pPr>
        <w:adjustRightInd w:val="0"/>
        <w:snapToGrid w:val="0"/>
        <w:spacing w:line="0" w:lineRule="atLeast"/>
        <w:ind w:left="709"/>
        <w:rPr>
          <w:rFonts w:ascii="黑体" w:eastAsia="黑体" w:hAnsi="黑体" w:cs="Arial"/>
          <w:sz w:val="22"/>
          <w:u w:val="single"/>
        </w:rPr>
      </w:pPr>
      <w:r w:rsidRPr="002718BE">
        <w:rPr>
          <w:rFonts w:ascii="黑体" w:eastAsia="黑体" w:hAnsi="黑体" w:cs="Arial"/>
          <w:sz w:val="22"/>
          <w:u w:val="single"/>
        </w:rPr>
        <w:t>2018年</w:t>
      </w:r>
      <w:r>
        <w:rPr>
          <w:rFonts w:ascii="黑体" w:eastAsia="黑体" w:hAnsi="黑体" w:cs="Arial"/>
          <w:sz w:val="22"/>
          <w:u w:val="single"/>
        </w:rPr>
        <w:t>11</w:t>
      </w:r>
      <w:r w:rsidRPr="002718BE">
        <w:rPr>
          <w:rFonts w:ascii="黑体" w:eastAsia="黑体" w:hAnsi="黑体" w:cs="Arial"/>
          <w:sz w:val="22"/>
          <w:u w:val="single"/>
        </w:rPr>
        <w:t>月</w:t>
      </w:r>
      <w:r>
        <w:rPr>
          <w:rFonts w:ascii="黑体" w:eastAsia="黑体" w:hAnsi="黑体" w:cs="Arial"/>
          <w:sz w:val="22"/>
          <w:u w:val="single"/>
        </w:rPr>
        <w:t>3</w:t>
      </w:r>
      <w:r w:rsidRPr="002718BE">
        <w:rPr>
          <w:rFonts w:ascii="黑体" w:eastAsia="黑体" w:hAnsi="黑体" w:cs="Arial"/>
          <w:sz w:val="22"/>
          <w:u w:val="single"/>
        </w:rPr>
        <w:t>日至</w:t>
      </w:r>
      <w:r>
        <w:rPr>
          <w:rFonts w:ascii="黑体" w:eastAsia="黑体" w:hAnsi="黑体" w:cs="Arial"/>
          <w:sz w:val="22"/>
          <w:u w:val="single"/>
        </w:rPr>
        <w:t>2019</w:t>
      </w:r>
      <w:r w:rsidRPr="002718BE">
        <w:rPr>
          <w:rFonts w:ascii="黑体" w:eastAsia="黑体" w:hAnsi="黑体" w:cs="Arial"/>
          <w:sz w:val="22"/>
          <w:u w:val="single"/>
        </w:rPr>
        <w:t>年</w:t>
      </w:r>
      <w:r>
        <w:rPr>
          <w:rFonts w:ascii="黑体" w:eastAsia="黑体" w:hAnsi="黑体" w:cs="Arial"/>
          <w:sz w:val="22"/>
          <w:u w:val="single"/>
        </w:rPr>
        <w:t>2</w:t>
      </w:r>
      <w:r w:rsidRPr="002718BE">
        <w:rPr>
          <w:rFonts w:ascii="黑体" w:eastAsia="黑体" w:hAnsi="黑体" w:cs="Arial"/>
          <w:sz w:val="22"/>
          <w:u w:val="single"/>
        </w:rPr>
        <w:t>月15日</w:t>
      </w:r>
      <w:proofErr w:type="gramStart"/>
      <w:r w:rsidRPr="002718BE">
        <w:rPr>
          <w:rFonts w:ascii="黑体" w:eastAsia="黑体" w:hAnsi="黑体" w:cs="Arial"/>
          <w:sz w:val="22"/>
          <w:u w:val="single"/>
        </w:rPr>
        <w:t>止</w:t>
      </w:r>
      <w:proofErr w:type="gramEnd"/>
      <w:r w:rsidRPr="002718BE">
        <w:rPr>
          <w:rFonts w:ascii="黑体" w:eastAsia="黑体" w:hAnsi="黑体" w:cs="Arial"/>
          <w:sz w:val="22"/>
          <w:u w:val="single"/>
        </w:rPr>
        <w:t>期间</w:t>
      </w:r>
    </w:p>
    <w:p w:rsidR="00D05A47" w:rsidRPr="002718BE" w:rsidRDefault="00D05A47" w:rsidP="00D05A47">
      <w:pPr>
        <w:adjustRightInd w:val="0"/>
        <w:snapToGrid w:val="0"/>
        <w:spacing w:line="0" w:lineRule="atLeast"/>
        <w:ind w:left="567"/>
        <w:rPr>
          <w:rFonts w:ascii="黑体" w:eastAsia="黑体" w:hAnsi="黑体" w:cs="Arial"/>
          <w:sz w:val="22"/>
          <w:u w:val="single"/>
        </w:rPr>
      </w:pPr>
    </w:p>
    <w:p w:rsidR="00D05A47" w:rsidRPr="002718BE" w:rsidRDefault="00D05A47" w:rsidP="00D05A47">
      <w:pPr>
        <w:adjustRightInd w:val="0"/>
        <w:snapToGrid w:val="0"/>
        <w:spacing w:line="0" w:lineRule="atLeast"/>
        <w:ind w:left="709"/>
        <w:rPr>
          <w:rFonts w:ascii="黑体" w:eastAsia="黑体" w:hAnsi="黑体" w:cs="Arial"/>
          <w:sz w:val="22"/>
        </w:rPr>
      </w:pPr>
      <w:r w:rsidRPr="002718BE">
        <w:rPr>
          <w:rFonts w:ascii="黑体" w:eastAsia="黑体" w:hAnsi="黑体" w:cs="Arial" w:hint="eastAsia"/>
          <w:sz w:val="22"/>
        </w:rPr>
        <w:t>在此期间，基金财产清算小组对本基金的资产、负债进行第二次清算，全部清算工作按清算原则和清算手续进行。具体清算情况如下：</w:t>
      </w:r>
    </w:p>
    <w:p w:rsidR="00D05A47" w:rsidRPr="002718BE" w:rsidRDefault="00D05A47" w:rsidP="00D05A47">
      <w:pPr>
        <w:adjustRightInd w:val="0"/>
        <w:snapToGrid w:val="0"/>
        <w:spacing w:line="0" w:lineRule="atLeast"/>
        <w:ind w:left="567"/>
        <w:rPr>
          <w:rFonts w:ascii="黑体" w:eastAsia="黑体" w:hAnsi="黑体" w:cs="Arial"/>
          <w:sz w:val="22"/>
        </w:rPr>
      </w:pPr>
    </w:p>
    <w:p w:rsidR="00D05A47" w:rsidRPr="002718BE" w:rsidRDefault="00D05A47" w:rsidP="00D05A47">
      <w:pPr>
        <w:numPr>
          <w:ilvl w:val="0"/>
          <w:numId w:val="7"/>
        </w:numPr>
        <w:overflowPunct w:val="0"/>
        <w:autoSpaceDE w:val="0"/>
        <w:autoSpaceDN w:val="0"/>
        <w:snapToGrid w:val="0"/>
        <w:ind w:left="709" w:hanging="426"/>
        <w:rPr>
          <w:rFonts w:ascii="黑体" w:eastAsia="黑体" w:hAnsi="黑体" w:cs="Arial"/>
          <w:b/>
          <w:sz w:val="22"/>
        </w:rPr>
      </w:pPr>
      <w:r w:rsidRPr="002718BE">
        <w:rPr>
          <w:rFonts w:ascii="黑体" w:eastAsia="黑体" w:hAnsi="黑体" w:cs="Arial" w:hint="eastAsia"/>
          <w:b/>
          <w:sz w:val="22"/>
        </w:rPr>
        <w:t>资产处置情况</w:t>
      </w:r>
    </w:p>
    <w:p w:rsidR="00D05A47" w:rsidRPr="002718BE" w:rsidRDefault="00D05A47" w:rsidP="00D05A47">
      <w:pPr>
        <w:adjustRightInd w:val="0"/>
        <w:snapToGrid w:val="0"/>
        <w:spacing w:line="0" w:lineRule="atLeast"/>
        <w:ind w:left="567"/>
        <w:rPr>
          <w:rFonts w:ascii="黑体" w:eastAsia="黑体" w:hAnsi="黑体" w:cs="Arial"/>
          <w:sz w:val="22"/>
        </w:rPr>
      </w:pPr>
    </w:p>
    <w:p w:rsidR="00D05A47" w:rsidRDefault="00D05A47" w:rsidP="00D05A47">
      <w:pPr>
        <w:numPr>
          <w:ilvl w:val="0"/>
          <w:numId w:val="6"/>
        </w:numPr>
        <w:adjustRightInd w:val="0"/>
        <w:snapToGrid w:val="0"/>
        <w:spacing w:line="0" w:lineRule="atLeast"/>
        <w:ind w:left="1418"/>
        <w:rPr>
          <w:rFonts w:ascii="黑体" w:eastAsia="黑体" w:hAnsi="黑体" w:cs="Arial"/>
          <w:sz w:val="22"/>
        </w:rPr>
      </w:pPr>
      <w:r w:rsidRPr="002718BE">
        <w:rPr>
          <w:rFonts w:ascii="黑体" w:eastAsia="黑体" w:hAnsi="黑体" w:cs="Arial" w:hint="eastAsia"/>
          <w:sz w:val="22"/>
        </w:rPr>
        <w:t>截止201</w:t>
      </w:r>
      <w:r w:rsidRPr="002718BE">
        <w:rPr>
          <w:rFonts w:ascii="黑体" w:eastAsia="黑体" w:hAnsi="黑体" w:cs="Arial"/>
          <w:sz w:val="22"/>
        </w:rPr>
        <w:t>8</w:t>
      </w:r>
      <w:r w:rsidRPr="002718BE">
        <w:rPr>
          <w:rFonts w:ascii="黑体" w:eastAsia="黑体" w:hAnsi="黑体" w:cs="Arial" w:hint="eastAsia"/>
          <w:sz w:val="22"/>
        </w:rPr>
        <w:t>年</w:t>
      </w:r>
      <w:r>
        <w:rPr>
          <w:rFonts w:ascii="黑体" w:eastAsia="黑体" w:hAnsi="黑体" w:cs="Arial"/>
          <w:sz w:val="22"/>
        </w:rPr>
        <w:t>11</w:t>
      </w:r>
      <w:r w:rsidRPr="002718BE">
        <w:rPr>
          <w:rFonts w:ascii="黑体" w:eastAsia="黑体" w:hAnsi="黑体" w:cs="Arial" w:hint="eastAsia"/>
          <w:sz w:val="22"/>
        </w:rPr>
        <w:t>月</w:t>
      </w:r>
      <w:r>
        <w:rPr>
          <w:rFonts w:ascii="黑体" w:eastAsia="黑体" w:hAnsi="黑体" w:cs="Arial"/>
          <w:sz w:val="22"/>
        </w:rPr>
        <w:t>2</w:t>
      </w:r>
      <w:r w:rsidRPr="002718BE">
        <w:rPr>
          <w:rFonts w:ascii="黑体" w:eastAsia="黑体" w:hAnsi="黑体" w:cs="Arial" w:hint="eastAsia"/>
          <w:sz w:val="22"/>
        </w:rPr>
        <w:t>日</w:t>
      </w:r>
      <w:r w:rsidRPr="002718BE">
        <w:rPr>
          <w:rFonts w:ascii="黑体" w:eastAsia="黑体" w:hAnsi="黑体" w:cs="Arial"/>
          <w:sz w:val="22"/>
        </w:rPr>
        <w:t>，</w:t>
      </w:r>
      <w:r w:rsidRPr="002718BE">
        <w:rPr>
          <w:rFonts w:ascii="黑体" w:eastAsia="黑体" w:hAnsi="黑体" w:cs="Arial" w:hint="eastAsia"/>
          <w:sz w:val="22"/>
        </w:rPr>
        <w:t>本基金</w:t>
      </w:r>
      <w:r w:rsidRPr="002718BE">
        <w:rPr>
          <w:rFonts w:ascii="黑体" w:eastAsia="黑体" w:hAnsi="黑体" w:cs="Arial"/>
          <w:sz w:val="22"/>
        </w:rPr>
        <w:t>银行存款余额为人民币</w:t>
      </w:r>
      <w:r w:rsidRPr="002A3DDB">
        <w:rPr>
          <w:rFonts w:ascii="黑体" w:eastAsia="黑体" w:hAnsi="黑体" w:cs="Arial"/>
          <w:sz w:val="22"/>
        </w:rPr>
        <w:t>2,810,258.91</w:t>
      </w:r>
      <w:r w:rsidRPr="002718BE">
        <w:rPr>
          <w:rFonts w:ascii="黑体" w:eastAsia="黑体" w:hAnsi="黑体" w:cs="Arial" w:hint="eastAsia"/>
          <w:sz w:val="22"/>
        </w:rPr>
        <w:t>元，存出保证金余额为人民币</w:t>
      </w:r>
      <w:r w:rsidRPr="002A3DDB">
        <w:rPr>
          <w:rFonts w:ascii="黑体" w:eastAsia="黑体" w:hAnsi="黑体" w:cs="Arial"/>
          <w:sz w:val="22"/>
        </w:rPr>
        <w:t>23,760.85</w:t>
      </w:r>
      <w:r w:rsidRPr="002718BE">
        <w:rPr>
          <w:rFonts w:ascii="黑体" w:eastAsia="黑体" w:hAnsi="黑体" w:cs="Arial"/>
          <w:sz w:val="22"/>
        </w:rPr>
        <w:t>元</w:t>
      </w:r>
      <w:r w:rsidRPr="002718BE">
        <w:rPr>
          <w:rFonts w:ascii="黑体" w:eastAsia="黑体" w:hAnsi="黑体" w:cs="Arial" w:hint="eastAsia"/>
          <w:sz w:val="22"/>
        </w:rPr>
        <w:t>，201</w:t>
      </w:r>
      <w:r w:rsidRPr="002718BE">
        <w:rPr>
          <w:rFonts w:ascii="黑体" w:eastAsia="黑体" w:hAnsi="黑体" w:cs="Arial"/>
          <w:sz w:val="22"/>
        </w:rPr>
        <w:t>8</w:t>
      </w:r>
      <w:r w:rsidRPr="002718BE">
        <w:rPr>
          <w:rFonts w:ascii="黑体" w:eastAsia="黑体" w:hAnsi="黑体" w:cs="Arial" w:hint="eastAsia"/>
          <w:sz w:val="22"/>
        </w:rPr>
        <w:t>年</w:t>
      </w:r>
      <w:r>
        <w:rPr>
          <w:rFonts w:ascii="黑体" w:eastAsia="黑体" w:hAnsi="黑体" w:cs="Arial" w:hint="eastAsia"/>
          <w:sz w:val="22"/>
        </w:rPr>
        <w:t>11</w:t>
      </w:r>
      <w:r w:rsidRPr="002718BE">
        <w:rPr>
          <w:rFonts w:ascii="黑体" w:eastAsia="黑体" w:hAnsi="黑体" w:cs="Arial" w:hint="eastAsia"/>
          <w:sz w:val="22"/>
        </w:rPr>
        <w:t>月</w:t>
      </w:r>
      <w:r>
        <w:rPr>
          <w:rFonts w:ascii="黑体" w:eastAsia="黑体" w:hAnsi="黑体" w:cs="Arial" w:hint="eastAsia"/>
          <w:sz w:val="22"/>
        </w:rPr>
        <w:t>3</w:t>
      </w:r>
      <w:r w:rsidRPr="002718BE">
        <w:rPr>
          <w:rFonts w:ascii="黑体" w:eastAsia="黑体" w:hAnsi="黑体" w:cs="Arial" w:hint="eastAsia"/>
          <w:sz w:val="22"/>
        </w:rPr>
        <w:t>日</w:t>
      </w:r>
      <w:r w:rsidRPr="002718BE">
        <w:rPr>
          <w:rFonts w:ascii="黑体" w:eastAsia="黑体" w:hAnsi="黑体" w:cs="Arial"/>
          <w:sz w:val="22"/>
        </w:rPr>
        <w:t>至</w:t>
      </w:r>
      <w:r>
        <w:rPr>
          <w:rFonts w:ascii="黑体" w:eastAsia="黑体" w:hAnsi="黑体" w:cs="Arial" w:hint="eastAsia"/>
          <w:sz w:val="22"/>
        </w:rPr>
        <w:t>2019</w:t>
      </w:r>
      <w:r w:rsidRPr="002718BE">
        <w:rPr>
          <w:rFonts w:ascii="黑体" w:eastAsia="黑体" w:hAnsi="黑体" w:cs="Arial" w:hint="eastAsia"/>
          <w:sz w:val="22"/>
        </w:rPr>
        <w:t>年</w:t>
      </w:r>
      <w:r>
        <w:rPr>
          <w:rFonts w:ascii="黑体" w:eastAsia="黑体" w:hAnsi="黑体" w:cs="Arial" w:hint="eastAsia"/>
          <w:sz w:val="22"/>
        </w:rPr>
        <w:t>2</w:t>
      </w:r>
      <w:r w:rsidRPr="002718BE">
        <w:rPr>
          <w:rFonts w:ascii="黑体" w:eastAsia="黑体" w:hAnsi="黑体" w:cs="Arial" w:hint="eastAsia"/>
          <w:sz w:val="22"/>
        </w:rPr>
        <w:t>月15日</w:t>
      </w:r>
      <w:r w:rsidRPr="002718BE">
        <w:rPr>
          <w:rFonts w:ascii="黑体" w:eastAsia="黑体" w:hAnsi="黑体" w:cs="Arial"/>
          <w:sz w:val="22"/>
        </w:rPr>
        <w:t>的</w:t>
      </w:r>
      <w:r w:rsidRPr="002718BE">
        <w:rPr>
          <w:rFonts w:ascii="黑体" w:eastAsia="黑体" w:hAnsi="黑体" w:cs="Arial" w:hint="eastAsia"/>
          <w:sz w:val="22"/>
        </w:rPr>
        <w:t>银行</w:t>
      </w:r>
      <w:r w:rsidRPr="002718BE">
        <w:rPr>
          <w:rFonts w:ascii="黑体" w:eastAsia="黑体" w:hAnsi="黑体" w:cs="Arial"/>
          <w:sz w:val="22"/>
        </w:rPr>
        <w:t>存款</w:t>
      </w:r>
      <w:r w:rsidRPr="002718BE">
        <w:rPr>
          <w:rFonts w:ascii="黑体" w:eastAsia="黑体" w:hAnsi="黑体" w:cs="Arial" w:hint="eastAsia"/>
          <w:sz w:val="22"/>
        </w:rPr>
        <w:t>余额</w:t>
      </w:r>
      <w:r w:rsidRPr="002718BE">
        <w:rPr>
          <w:rFonts w:ascii="黑体" w:eastAsia="黑体" w:hAnsi="黑体" w:cs="Arial"/>
          <w:sz w:val="22"/>
        </w:rPr>
        <w:t>变动情况如下：</w:t>
      </w:r>
    </w:p>
    <w:p w:rsidR="00D05A47" w:rsidRDefault="00D05A47" w:rsidP="00D05A47">
      <w:pPr>
        <w:adjustRightInd w:val="0"/>
        <w:snapToGrid w:val="0"/>
        <w:spacing w:line="0" w:lineRule="atLeast"/>
        <w:rPr>
          <w:rFonts w:ascii="黑体" w:eastAsia="黑体" w:hAnsi="黑体" w:cs="Arial"/>
          <w:sz w:val="22"/>
        </w:rPr>
      </w:pPr>
      <w:r>
        <w:rPr>
          <w:rFonts w:ascii="黑体" w:eastAsia="黑体" w:hAnsi="黑体" w:cs="Arial"/>
          <w:sz w:val="22"/>
        </w:rPr>
        <w:br w:type="page"/>
      </w:r>
    </w:p>
    <w:p w:rsidR="00D05A47" w:rsidRPr="00684C87" w:rsidRDefault="00D05A47" w:rsidP="00D05A47">
      <w:pPr>
        <w:adjustRightInd w:val="0"/>
        <w:snapToGrid w:val="0"/>
        <w:spacing w:line="0" w:lineRule="atLeast"/>
        <w:rPr>
          <w:rFonts w:ascii="黑体" w:eastAsia="黑体" w:hAnsi="黑体" w:cs="Arial"/>
          <w:sz w:val="22"/>
        </w:rPr>
      </w:pPr>
    </w:p>
    <w:p w:rsidR="00D05A47" w:rsidRPr="002718BE" w:rsidRDefault="00D05A47" w:rsidP="00D05A47">
      <w:pPr>
        <w:numPr>
          <w:ilvl w:val="0"/>
          <w:numId w:val="8"/>
        </w:numPr>
        <w:overflowPunct w:val="0"/>
        <w:autoSpaceDE w:val="0"/>
        <w:autoSpaceDN w:val="0"/>
        <w:snapToGrid w:val="0"/>
        <w:rPr>
          <w:rFonts w:ascii="黑体" w:eastAsia="黑体" w:hAnsi="黑体" w:cs="Arial"/>
          <w:b/>
          <w:sz w:val="22"/>
        </w:rPr>
      </w:pPr>
      <w:r w:rsidRPr="002718BE">
        <w:rPr>
          <w:rFonts w:ascii="黑体" w:eastAsia="黑体" w:hAnsi="黑体" w:cs="Arial" w:hint="eastAsia"/>
          <w:b/>
          <w:sz w:val="22"/>
        </w:rPr>
        <w:t>资产处置情况</w:t>
      </w:r>
      <w:r>
        <w:rPr>
          <w:rFonts w:ascii="黑体" w:eastAsia="黑体" w:hAnsi="黑体" w:cs="Arial" w:hint="eastAsia"/>
          <w:b/>
          <w:sz w:val="22"/>
        </w:rPr>
        <w:t>（续）</w:t>
      </w:r>
    </w:p>
    <w:p w:rsidR="00D05A47" w:rsidRPr="002718BE" w:rsidRDefault="00D05A47" w:rsidP="00D05A47">
      <w:pPr>
        <w:adjustRightInd w:val="0"/>
        <w:snapToGrid w:val="0"/>
        <w:spacing w:line="0" w:lineRule="atLeast"/>
        <w:ind w:left="1395"/>
        <w:rPr>
          <w:rFonts w:ascii="黑体" w:eastAsia="黑体" w:hAnsi="黑体" w:cs="Arial"/>
          <w:sz w:val="22"/>
        </w:rPr>
      </w:pPr>
    </w:p>
    <w:tbl>
      <w:tblPr>
        <w:tblW w:w="7654" w:type="dxa"/>
        <w:tblInd w:w="1526" w:type="dxa"/>
        <w:tblLayout w:type="fixed"/>
        <w:tblLook w:val="04A0" w:firstRow="1" w:lastRow="0" w:firstColumn="1" w:lastColumn="0" w:noHBand="0" w:noVBand="1"/>
      </w:tblPr>
      <w:tblGrid>
        <w:gridCol w:w="1559"/>
        <w:gridCol w:w="2835"/>
        <w:gridCol w:w="1701"/>
        <w:gridCol w:w="1559"/>
      </w:tblGrid>
      <w:tr w:rsidR="00D05A47" w:rsidRPr="002718BE" w:rsidTr="006156FA">
        <w:tc>
          <w:tcPr>
            <w:tcW w:w="1559" w:type="dxa"/>
            <w:shd w:val="clear" w:color="auto" w:fill="auto"/>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u w:val="single"/>
              </w:rPr>
            </w:pPr>
            <w:r w:rsidRPr="002718BE">
              <w:rPr>
                <w:rFonts w:ascii="黑体" w:eastAsia="黑体" w:hAnsi="黑体" w:cs="Arial" w:hint="eastAsia"/>
                <w:sz w:val="20"/>
                <w:szCs w:val="20"/>
                <w:u w:val="single"/>
              </w:rPr>
              <w:t>日期</w:t>
            </w:r>
          </w:p>
        </w:tc>
        <w:tc>
          <w:tcPr>
            <w:tcW w:w="2835" w:type="dxa"/>
            <w:shd w:val="clear" w:color="auto" w:fill="auto"/>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u w:val="single"/>
              </w:rPr>
            </w:pPr>
            <w:r w:rsidRPr="002718BE">
              <w:rPr>
                <w:rFonts w:ascii="黑体" w:eastAsia="黑体" w:hAnsi="黑体" w:cs="Arial"/>
                <w:sz w:val="20"/>
                <w:szCs w:val="20"/>
                <w:u w:val="single"/>
              </w:rPr>
              <w:t>流水</w:t>
            </w:r>
          </w:p>
        </w:tc>
        <w:tc>
          <w:tcPr>
            <w:tcW w:w="1701" w:type="dxa"/>
            <w:shd w:val="clear" w:color="auto" w:fill="auto"/>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u w:val="single"/>
              </w:rPr>
            </w:pPr>
            <w:r w:rsidRPr="002718BE">
              <w:rPr>
                <w:rFonts w:ascii="黑体" w:eastAsia="黑体" w:hAnsi="黑体" w:cs="Arial"/>
                <w:sz w:val="20"/>
                <w:szCs w:val="20"/>
                <w:u w:val="single"/>
              </w:rPr>
              <w:t>银行账户</w:t>
            </w:r>
          </w:p>
        </w:tc>
        <w:tc>
          <w:tcPr>
            <w:tcW w:w="1559" w:type="dxa"/>
            <w:shd w:val="clear" w:color="auto" w:fill="auto"/>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u w:val="single"/>
              </w:rPr>
            </w:pPr>
            <w:r w:rsidRPr="002718BE">
              <w:rPr>
                <w:rFonts w:ascii="黑体" w:eastAsia="黑体" w:hAnsi="黑体" w:cs="Arial" w:hint="eastAsia"/>
                <w:sz w:val="20"/>
                <w:szCs w:val="20"/>
                <w:u w:val="single"/>
              </w:rPr>
              <w:t>证券账户</w:t>
            </w:r>
          </w:p>
        </w:tc>
      </w:tr>
      <w:tr w:rsidR="00D05A47" w:rsidRPr="002718BE" w:rsidTr="006156FA">
        <w:tc>
          <w:tcPr>
            <w:tcW w:w="1559" w:type="dxa"/>
            <w:shd w:val="clear" w:color="auto" w:fill="auto"/>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p>
        </w:tc>
        <w:tc>
          <w:tcPr>
            <w:tcW w:w="2835" w:type="dxa"/>
            <w:shd w:val="clear" w:color="auto" w:fill="auto"/>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p>
        </w:tc>
        <w:tc>
          <w:tcPr>
            <w:tcW w:w="1701" w:type="dxa"/>
            <w:shd w:val="clear" w:color="auto" w:fill="auto"/>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p>
        </w:tc>
        <w:tc>
          <w:tcPr>
            <w:tcW w:w="1559" w:type="dxa"/>
            <w:shd w:val="clear" w:color="auto" w:fill="auto"/>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p>
        </w:tc>
      </w:tr>
      <w:tr w:rsidR="00D05A47" w:rsidRPr="002718BE" w:rsidTr="006156FA">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Pr>
                <w:rFonts w:ascii="黑体" w:eastAsia="黑体" w:hAnsi="黑体" w:cs="Arial"/>
                <w:sz w:val="20"/>
                <w:szCs w:val="20"/>
              </w:rPr>
              <w:t>2018/11</w:t>
            </w:r>
            <w:r w:rsidRPr="002718BE">
              <w:rPr>
                <w:rFonts w:ascii="黑体" w:eastAsia="黑体" w:hAnsi="黑体" w:cs="Arial"/>
                <w:sz w:val="20"/>
                <w:szCs w:val="20"/>
              </w:rPr>
              <w:t>/</w:t>
            </w:r>
            <w:r>
              <w:rPr>
                <w:rFonts w:ascii="黑体" w:eastAsia="黑体" w:hAnsi="黑体" w:cs="Arial"/>
                <w:sz w:val="20"/>
                <w:szCs w:val="20"/>
              </w:rPr>
              <w:t>2</w:t>
            </w:r>
          </w:p>
        </w:tc>
        <w:tc>
          <w:tcPr>
            <w:tcW w:w="2835"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sidRPr="002718BE">
              <w:rPr>
                <w:rFonts w:ascii="黑体" w:eastAsia="黑体" w:hAnsi="黑体" w:cs="Arial" w:hint="eastAsia"/>
                <w:sz w:val="20"/>
                <w:szCs w:val="20"/>
              </w:rPr>
              <w:t>银行存款及证券账户资金余额</w:t>
            </w:r>
          </w:p>
        </w:tc>
        <w:tc>
          <w:tcPr>
            <w:tcW w:w="1701" w:type="dxa"/>
            <w:shd w:val="clear" w:color="auto" w:fill="auto"/>
            <w:vAlign w:val="center"/>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sidRPr="00C807F2">
              <w:rPr>
                <w:rFonts w:ascii="黑体" w:eastAsia="黑体" w:hAnsi="黑体" w:cs="Arial"/>
                <w:sz w:val="20"/>
                <w:szCs w:val="20"/>
              </w:rPr>
              <w:t>2,810,258.91</w:t>
            </w:r>
          </w:p>
        </w:tc>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sidRPr="00C807F2">
              <w:rPr>
                <w:rFonts w:ascii="黑体" w:eastAsia="黑体" w:hAnsi="黑体" w:cs="Arial"/>
                <w:sz w:val="20"/>
                <w:szCs w:val="20"/>
              </w:rPr>
              <w:t>23,760.85</w:t>
            </w:r>
          </w:p>
        </w:tc>
      </w:tr>
      <w:tr w:rsidR="00D05A47" w:rsidRPr="002718BE" w:rsidTr="006156FA">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Pr>
                <w:rFonts w:ascii="黑体" w:eastAsia="黑体" w:hAnsi="黑体" w:cs="Arial"/>
                <w:sz w:val="20"/>
                <w:szCs w:val="20"/>
              </w:rPr>
              <w:t>2018/12</w:t>
            </w:r>
            <w:r w:rsidRPr="002718BE">
              <w:rPr>
                <w:rFonts w:ascii="黑体" w:eastAsia="黑体" w:hAnsi="黑体" w:cs="Arial"/>
                <w:sz w:val="20"/>
                <w:szCs w:val="20"/>
              </w:rPr>
              <w:t>/4</w:t>
            </w:r>
          </w:p>
        </w:tc>
        <w:tc>
          <w:tcPr>
            <w:tcW w:w="2835"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sidRPr="002718BE">
              <w:rPr>
                <w:rFonts w:ascii="黑体" w:eastAsia="黑体" w:hAnsi="黑体" w:cs="Arial" w:hint="eastAsia"/>
                <w:sz w:val="20"/>
                <w:szCs w:val="20"/>
              </w:rPr>
              <w:t>证券</w:t>
            </w:r>
            <w:r w:rsidRPr="002718BE">
              <w:rPr>
                <w:rFonts w:ascii="黑体" w:eastAsia="黑体" w:hAnsi="黑体" w:cs="Arial"/>
                <w:sz w:val="20"/>
                <w:szCs w:val="20"/>
              </w:rPr>
              <w:t>账户</w:t>
            </w:r>
            <w:proofErr w:type="gramStart"/>
            <w:r w:rsidRPr="002718BE">
              <w:rPr>
                <w:rFonts w:ascii="黑体" w:eastAsia="黑体" w:hAnsi="黑体" w:cs="Arial" w:hint="eastAsia"/>
                <w:sz w:val="20"/>
                <w:szCs w:val="20"/>
              </w:rPr>
              <w:t>转银行</w:t>
            </w:r>
            <w:proofErr w:type="gramEnd"/>
            <w:r w:rsidRPr="002718BE">
              <w:rPr>
                <w:rFonts w:ascii="黑体" w:eastAsia="黑体" w:hAnsi="黑体" w:cs="Arial"/>
                <w:sz w:val="20"/>
                <w:szCs w:val="20"/>
              </w:rPr>
              <w:t>账户</w:t>
            </w:r>
          </w:p>
        </w:tc>
        <w:tc>
          <w:tcPr>
            <w:tcW w:w="1701" w:type="dxa"/>
            <w:shd w:val="clear" w:color="auto" w:fill="auto"/>
            <w:vAlign w:val="center"/>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sidRPr="00C807F2">
              <w:rPr>
                <w:rFonts w:ascii="黑体" w:eastAsia="黑体" w:hAnsi="黑体" w:cs="Arial"/>
                <w:sz w:val="20"/>
                <w:szCs w:val="20"/>
              </w:rPr>
              <w:t>23,760.85</w:t>
            </w:r>
          </w:p>
        </w:tc>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sidRPr="002718BE">
              <w:rPr>
                <w:rFonts w:ascii="黑体" w:eastAsia="黑体" w:hAnsi="黑体" w:cs="Arial"/>
                <w:sz w:val="20"/>
                <w:szCs w:val="20"/>
              </w:rPr>
              <w:t>-</w:t>
            </w:r>
            <w:r w:rsidRPr="00C807F2">
              <w:rPr>
                <w:rFonts w:ascii="黑体" w:eastAsia="黑体" w:hAnsi="黑体" w:cs="Arial"/>
                <w:sz w:val="20"/>
                <w:szCs w:val="20"/>
              </w:rPr>
              <w:t>23,760.85</w:t>
            </w:r>
          </w:p>
        </w:tc>
      </w:tr>
      <w:tr w:rsidR="00D05A47" w:rsidRPr="002718BE" w:rsidTr="006156FA">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Pr>
                <w:rFonts w:ascii="黑体" w:eastAsia="黑体" w:hAnsi="黑体" w:cs="Arial"/>
                <w:sz w:val="20"/>
                <w:szCs w:val="20"/>
              </w:rPr>
              <w:t>2018/12</w:t>
            </w:r>
            <w:r w:rsidRPr="002718BE">
              <w:rPr>
                <w:rFonts w:ascii="黑体" w:eastAsia="黑体" w:hAnsi="黑体" w:cs="Arial"/>
                <w:sz w:val="20"/>
                <w:szCs w:val="20"/>
              </w:rPr>
              <w:t>/21</w:t>
            </w:r>
          </w:p>
        </w:tc>
        <w:tc>
          <w:tcPr>
            <w:tcW w:w="2835"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proofErr w:type="gramStart"/>
            <w:r>
              <w:rPr>
                <w:rFonts w:ascii="黑体" w:eastAsia="黑体" w:hAnsi="黑体" w:cs="Arial" w:hint="eastAsia"/>
                <w:sz w:val="20"/>
                <w:szCs w:val="20"/>
              </w:rPr>
              <w:t>托管户</w:t>
            </w:r>
            <w:proofErr w:type="gramEnd"/>
            <w:r w:rsidRPr="002718BE">
              <w:rPr>
                <w:rFonts w:ascii="黑体" w:eastAsia="黑体" w:hAnsi="黑体" w:cs="Arial" w:hint="eastAsia"/>
                <w:sz w:val="20"/>
                <w:szCs w:val="20"/>
              </w:rPr>
              <w:t>结息</w:t>
            </w:r>
          </w:p>
        </w:tc>
        <w:tc>
          <w:tcPr>
            <w:tcW w:w="1701" w:type="dxa"/>
            <w:shd w:val="clear" w:color="auto" w:fill="auto"/>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sidRPr="00C807F2">
              <w:rPr>
                <w:rFonts w:ascii="黑体" w:eastAsia="黑体" w:hAnsi="黑体" w:cs="Arial"/>
                <w:sz w:val="20"/>
                <w:szCs w:val="20"/>
              </w:rPr>
              <w:t>6,756.0</w:t>
            </w:r>
            <w:r>
              <w:rPr>
                <w:rFonts w:ascii="黑体" w:eastAsia="黑体" w:hAnsi="黑体" w:cs="Arial"/>
                <w:sz w:val="20"/>
                <w:szCs w:val="20"/>
              </w:rPr>
              <w:t>1</w:t>
            </w:r>
          </w:p>
        </w:tc>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sidRPr="002718BE">
              <w:rPr>
                <w:rFonts w:ascii="黑体" w:eastAsia="黑体" w:hAnsi="黑体" w:cs="Arial" w:hint="eastAsia"/>
                <w:sz w:val="20"/>
                <w:szCs w:val="20"/>
              </w:rPr>
              <w:t>-</w:t>
            </w:r>
          </w:p>
        </w:tc>
      </w:tr>
      <w:tr w:rsidR="00D05A47" w:rsidRPr="002718BE" w:rsidTr="006156FA">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Pr>
                <w:rFonts w:ascii="黑体" w:eastAsia="黑体" w:hAnsi="黑体" w:cs="Arial"/>
                <w:sz w:val="20"/>
                <w:szCs w:val="20"/>
              </w:rPr>
              <w:t>2018/12</w:t>
            </w:r>
            <w:r w:rsidRPr="002718BE">
              <w:rPr>
                <w:rFonts w:ascii="黑体" w:eastAsia="黑体" w:hAnsi="黑体" w:cs="Arial"/>
                <w:sz w:val="20"/>
                <w:szCs w:val="20"/>
              </w:rPr>
              <w:t>/21</w:t>
            </w:r>
          </w:p>
        </w:tc>
        <w:tc>
          <w:tcPr>
            <w:tcW w:w="2835"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sidRPr="002718BE">
              <w:rPr>
                <w:rFonts w:ascii="黑体" w:eastAsia="黑体" w:hAnsi="黑体" w:cs="Arial" w:hint="eastAsia"/>
                <w:sz w:val="20"/>
                <w:szCs w:val="20"/>
              </w:rPr>
              <w:t>上海保证金利息</w:t>
            </w:r>
          </w:p>
        </w:tc>
        <w:tc>
          <w:tcPr>
            <w:tcW w:w="1701" w:type="dxa"/>
            <w:shd w:val="clear" w:color="auto" w:fill="auto"/>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sidRPr="00C807F2">
              <w:rPr>
                <w:rFonts w:ascii="黑体" w:eastAsia="黑体" w:hAnsi="黑体" w:cs="Arial"/>
                <w:sz w:val="20"/>
                <w:szCs w:val="20"/>
              </w:rPr>
              <w:t>137.8</w:t>
            </w:r>
            <w:r>
              <w:rPr>
                <w:rFonts w:ascii="黑体" w:eastAsia="黑体" w:hAnsi="黑体" w:cs="Arial"/>
                <w:sz w:val="20"/>
                <w:szCs w:val="20"/>
              </w:rPr>
              <w:t>8</w:t>
            </w:r>
          </w:p>
        </w:tc>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sidRPr="002718BE">
              <w:rPr>
                <w:rFonts w:ascii="黑体" w:eastAsia="黑体" w:hAnsi="黑体" w:cs="Arial" w:hint="eastAsia"/>
                <w:sz w:val="20"/>
                <w:szCs w:val="20"/>
              </w:rPr>
              <w:t>-</w:t>
            </w:r>
          </w:p>
        </w:tc>
      </w:tr>
      <w:tr w:rsidR="00D05A47" w:rsidRPr="002718BE" w:rsidTr="006156FA">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Pr>
                <w:rFonts w:ascii="黑体" w:eastAsia="黑体" w:hAnsi="黑体" w:cs="Arial"/>
                <w:sz w:val="20"/>
                <w:szCs w:val="20"/>
              </w:rPr>
              <w:t>2018/12</w:t>
            </w:r>
            <w:r w:rsidRPr="002718BE">
              <w:rPr>
                <w:rFonts w:ascii="黑体" w:eastAsia="黑体" w:hAnsi="黑体" w:cs="Arial"/>
                <w:sz w:val="20"/>
                <w:szCs w:val="20"/>
              </w:rPr>
              <w:t>/21</w:t>
            </w:r>
          </w:p>
        </w:tc>
        <w:tc>
          <w:tcPr>
            <w:tcW w:w="2835"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sidRPr="002718BE">
              <w:rPr>
                <w:rFonts w:ascii="黑体" w:eastAsia="黑体" w:hAnsi="黑体" w:cs="Arial" w:hint="eastAsia"/>
                <w:sz w:val="20"/>
                <w:szCs w:val="20"/>
              </w:rPr>
              <w:t>深圳保证金利息</w:t>
            </w:r>
          </w:p>
        </w:tc>
        <w:tc>
          <w:tcPr>
            <w:tcW w:w="1701" w:type="dxa"/>
            <w:shd w:val="clear" w:color="auto" w:fill="auto"/>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Pr>
                <w:rFonts w:ascii="黑体" w:eastAsia="黑体" w:hAnsi="黑体" w:cs="Arial"/>
                <w:sz w:val="20"/>
                <w:szCs w:val="20"/>
              </w:rPr>
              <w:t>3.6</w:t>
            </w:r>
            <w:r w:rsidRPr="00C807F2">
              <w:rPr>
                <w:rFonts w:ascii="黑体" w:eastAsia="黑体" w:hAnsi="黑体" w:cs="Arial"/>
                <w:sz w:val="20"/>
                <w:szCs w:val="20"/>
              </w:rPr>
              <w:t>2</w:t>
            </w:r>
          </w:p>
        </w:tc>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sidRPr="002718BE">
              <w:rPr>
                <w:rFonts w:ascii="黑体" w:eastAsia="黑体" w:hAnsi="黑体" w:cs="Arial" w:hint="eastAsia"/>
                <w:sz w:val="20"/>
                <w:szCs w:val="20"/>
              </w:rPr>
              <w:t>-</w:t>
            </w:r>
          </w:p>
        </w:tc>
      </w:tr>
      <w:tr w:rsidR="00D05A47" w:rsidRPr="002718BE" w:rsidTr="006156FA">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Pr>
                <w:rFonts w:ascii="黑体" w:eastAsia="黑体" w:hAnsi="黑体" w:cs="Arial"/>
                <w:sz w:val="20"/>
                <w:szCs w:val="20"/>
              </w:rPr>
              <w:t>2019/1/25</w:t>
            </w:r>
          </w:p>
        </w:tc>
        <w:tc>
          <w:tcPr>
            <w:tcW w:w="2835"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sidRPr="00C91F74">
              <w:rPr>
                <w:rFonts w:ascii="黑体" w:eastAsia="黑体" w:hAnsi="黑体" w:cs="Arial" w:hint="eastAsia"/>
                <w:sz w:val="20"/>
                <w:szCs w:val="20"/>
              </w:rPr>
              <w:t>划付一次</w:t>
            </w:r>
            <w:proofErr w:type="gramStart"/>
            <w:r w:rsidRPr="00C91F74">
              <w:rPr>
                <w:rFonts w:ascii="黑体" w:eastAsia="黑体" w:hAnsi="黑体" w:cs="Arial" w:hint="eastAsia"/>
                <w:sz w:val="20"/>
                <w:szCs w:val="20"/>
              </w:rPr>
              <w:t>清盘款</w:t>
            </w:r>
            <w:proofErr w:type="gramEnd"/>
            <w:r w:rsidRPr="00C91F74">
              <w:rPr>
                <w:rFonts w:ascii="黑体" w:eastAsia="黑体" w:hAnsi="黑体" w:cs="Arial" w:hint="eastAsia"/>
                <w:sz w:val="20"/>
                <w:szCs w:val="20"/>
              </w:rPr>
              <w:t xml:space="preserve">     </w:t>
            </w:r>
          </w:p>
        </w:tc>
        <w:tc>
          <w:tcPr>
            <w:tcW w:w="1701" w:type="dxa"/>
            <w:shd w:val="clear" w:color="auto" w:fill="auto"/>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Pr>
                <w:rFonts w:ascii="黑体" w:eastAsia="黑体" w:hAnsi="黑体" w:cs="Arial" w:hint="eastAsia"/>
                <w:sz w:val="20"/>
                <w:szCs w:val="20"/>
              </w:rPr>
              <w:t>-</w:t>
            </w:r>
            <w:r w:rsidRPr="00C807F2">
              <w:rPr>
                <w:rFonts w:ascii="黑体" w:eastAsia="黑体" w:hAnsi="黑体" w:cs="Arial"/>
                <w:sz w:val="20"/>
                <w:szCs w:val="20"/>
              </w:rPr>
              <w:t>2,810,258.91</w:t>
            </w:r>
          </w:p>
        </w:tc>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Pr>
                <w:rFonts w:ascii="黑体" w:eastAsia="黑体" w:hAnsi="黑体" w:cs="Arial" w:hint="eastAsia"/>
                <w:sz w:val="20"/>
                <w:szCs w:val="20"/>
              </w:rPr>
              <w:t>-</w:t>
            </w:r>
          </w:p>
        </w:tc>
      </w:tr>
      <w:tr w:rsidR="00D05A47" w:rsidRPr="002718BE" w:rsidTr="006156FA">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Pr>
                <w:rFonts w:ascii="黑体" w:eastAsia="黑体" w:hAnsi="黑体" w:cs="Arial"/>
                <w:sz w:val="20"/>
                <w:szCs w:val="20"/>
              </w:rPr>
              <w:t>2019/2/12</w:t>
            </w:r>
          </w:p>
        </w:tc>
        <w:tc>
          <w:tcPr>
            <w:tcW w:w="2835" w:type="dxa"/>
            <w:shd w:val="clear" w:color="auto" w:fill="auto"/>
            <w:vAlign w:val="center"/>
          </w:tcPr>
          <w:p w:rsidR="00D05A47" w:rsidRPr="00C91F74" w:rsidRDefault="00D05A47" w:rsidP="006156FA">
            <w:pPr>
              <w:pStyle w:val="a6"/>
              <w:adjustRightInd w:val="0"/>
              <w:snapToGrid w:val="0"/>
              <w:spacing w:line="0" w:lineRule="atLeast"/>
              <w:ind w:firstLineChars="0" w:firstLine="0"/>
              <w:rPr>
                <w:rFonts w:ascii="黑体" w:eastAsia="黑体" w:hAnsi="黑体" w:cs="Arial"/>
                <w:sz w:val="20"/>
                <w:szCs w:val="20"/>
              </w:rPr>
            </w:pPr>
            <w:r>
              <w:rPr>
                <w:rFonts w:ascii="黑体" w:eastAsia="黑体" w:hAnsi="黑体" w:cs="Arial" w:hint="eastAsia"/>
                <w:sz w:val="20"/>
                <w:szCs w:val="20"/>
              </w:rPr>
              <w:t>处置养元饮品</w:t>
            </w:r>
          </w:p>
        </w:tc>
        <w:tc>
          <w:tcPr>
            <w:tcW w:w="1701" w:type="dxa"/>
            <w:shd w:val="clear" w:color="auto" w:fill="auto"/>
          </w:tcPr>
          <w:p w:rsidR="00D05A47"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Pr>
                <w:rFonts w:ascii="黑体" w:eastAsia="黑体" w:hAnsi="黑体" w:cs="Arial" w:hint="eastAsia"/>
                <w:sz w:val="20"/>
                <w:szCs w:val="20"/>
              </w:rPr>
              <w:t>-</w:t>
            </w:r>
          </w:p>
        </w:tc>
        <w:tc>
          <w:tcPr>
            <w:tcW w:w="1559" w:type="dxa"/>
            <w:shd w:val="clear" w:color="auto" w:fill="auto"/>
            <w:vAlign w:val="center"/>
          </w:tcPr>
          <w:p w:rsidR="00D05A47"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Pr>
                <w:rFonts w:ascii="黑体" w:eastAsia="黑体" w:hAnsi="黑体" w:cs="Arial"/>
                <w:sz w:val="20"/>
                <w:szCs w:val="20"/>
              </w:rPr>
              <w:t>2,065,399.80</w:t>
            </w:r>
          </w:p>
        </w:tc>
      </w:tr>
      <w:tr w:rsidR="00D05A47" w:rsidRPr="002718BE" w:rsidTr="006156FA">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Pr>
                <w:rFonts w:ascii="黑体" w:eastAsia="黑体" w:hAnsi="黑体" w:cs="Arial"/>
                <w:sz w:val="20"/>
                <w:szCs w:val="20"/>
              </w:rPr>
              <w:t>2019/2/13</w:t>
            </w:r>
          </w:p>
        </w:tc>
        <w:tc>
          <w:tcPr>
            <w:tcW w:w="2835"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sidRPr="002718BE">
              <w:rPr>
                <w:rFonts w:ascii="黑体" w:eastAsia="黑体" w:hAnsi="黑体" w:cs="Arial" w:hint="eastAsia"/>
                <w:sz w:val="20"/>
                <w:szCs w:val="20"/>
              </w:rPr>
              <w:t>证券</w:t>
            </w:r>
            <w:r w:rsidRPr="002718BE">
              <w:rPr>
                <w:rFonts w:ascii="黑体" w:eastAsia="黑体" w:hAnsi="黑体" w:cs="Arial"/>
                <w:sz w:val="20"/>
                <w:szCs w:val="20"/>
              </w:rPr>
              <w:t>账户</w:t>
            </w:r>
            <w:proofErr w:type="gramStart"/>
            <w:r w:rsidRPr="002718BE">
              <w:rPr>
                <w:rFonts w:ascii="黑体" w:eastAsia="黑体" w:hAnsi="黑体" w:cs="Arial" w:hint="eastAsia"/>
                <w:sz w:val="20"/>
                <w:szCs w:val="20"/>
              </w:rPr>
              <w:t>转银行</w:t>
            </w:r>
            <w:proofErr w:type="gramEnd"/>
            <w:r w:rsidRPr="002718BE">
              <w:rPr>
                <w:rFonts w:ascii="黑体" w:eastAsia="黑体" w:hAnsi="黑体" w:cs="Arial"/>
                <w:sz w:val="20"/>
                <w:szCs w:val="20"/>
              </w:rPr>
              <w:t>账户</w:t>
            </w:r>
          </w:p>
        </w:tc>
        <w:tc>
          <w:tcPr>
            <w:tcW w:w="1701" w:type="dxa"/>
            <w:shd w:val="clear" w:color="auto" w:fill="auto"/>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Pr>
                <w:rFonts w:ascii="黑体" w:eastAsia="黑体" w:hAnsi="黑体" w:cs="Arial"/>
                <w:sz w:val="20"/>
                <w:szCs w:val="20"/>
              </w:rPr>
              <w:t>2,065,399.80</w:t>
            </w:r>
          </w:p>
        </w:tc>
        <w:tc>
          <w:tcPr>
            <w:tcW w:w="1559" w:type="dxa"/>
            <w:shd w:val="clear" w:color="auto" w:fill="auto"/>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Pr>
                <w:rFonts w:ascii="黑体" w:eastAsia="黑体" w:hAnsi="黑体" w:cs="Arial"/>
                <w:sz w:val="20"/>
                <w:szCs w:val="20"/>
              </w:rPr>
              <w:t>-2,065,399.80</w:t>
            </w:r>
          </w:p>
        </w:tc>
      </w:tr>
      <w:tr w:rsidR="00D05A47" w:rsidRPr="002718BE" w:rsidTr="006156FA">
        <w:tc>
          <w:tcPr>
            <w:tcW w:w="1559"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Pr>
                <w:rFonts w:ascii="黑体" w:eastAsia="黑体" w:hAnsi="黑体" w:cs="Arial" w:hint="eastAsia"/>
                <w:sz w:val="20"/>
                <w:szCs w:val="20"/>
              </w:rPr>
              <w:t>2019</w:t>
            </w:r>
            <w:r>
              <w:rPr>
                <w:rFonts w:ascii="黑体" w:eastAsia="黑体" w:hAnsi="黑体" w:cs="Arial"/>
                <w:sz w:val="20"/>
                <w:szCs w:val="20"/>
              </w:rPr>
              <w:t>/2/15</w:t>
            </w:r>
          </w:p>
        </w:tc>
        <w:tc>
          <w:tcPr>
            <w:tcW w:w="2835"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sidRPr="00C91F74">
              <w:rPr>
                <w:rFonts w:ascii="黑体" w:eastAsia="黑体" w:hAnsi="黑体" w:cs="Arial" w:hint="eastAsia"/>
                <w:sz w:val="20"/>
                <w:szCs w:val="20"/>
              </w:rPr>
              <w:t xml:space="preserve">支付东方证券席位佣金    </w:t>
            </w:r>
          </w:p>
        </w:tc>
        <w:tc>
          <w:tcPr>
            <w:tcW w:w="1701" w:type="dxa"/>
            <w:shd w:val="clear" w:color="auto" w:fill="auto"/>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sidRPr="002718BE">
              <w:rPr>
                <w:rFonts w:ascii="黑体" w:eastAsia="黑体" w:hAnsi="黑体" w:cs="Arial" w:hint="eastAsia"/>
                <w:sz w:val="20"/>
                <w:szCs w:val="20"/>
              </w:rPr>
              <w:t>-</w:t>
            </w:r>
            <w:r>
              <w:rPr>
                <w:rFonts w:ascii="黑体" w:eastAsia="黑体" w:hAnsi="黑体" w:cs="Arial"/>
                <w:sz w:val="20"/>
                <w:szCs w:val="20"/>
              </w:rPr>
              <w:t>1,512.08</w:t>
            </w:r>
          </w:p>
        </w:tc>
        <w:tc>
          <w:tcPr>
            <w:tcW w:w="1559" w:type="dxa"/>
            <w:shd w:val="clear" w:color="auto" w:fill="auto"/>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rPr>
            </w:pPr>
            <w:r w:rsidRPr="002718BE">
              <w:rPr>
                <w:rFonts w:ascii="黑体" w:eastAsia="黑体" w:hAnsi="黑体" w:cs="Arial" w:hint="eastAsia"/>
                <w:sz w:val="20"/>
                <w:szCs w:val="20"/>
              </w:rPr>
              <w:t>-</w:t>
            </w:r>
          </w:p>
        </w:tc>
      </w:tr>
      <w:tr w:rsidR="00D05A47" w:rsidRPr="002718BE" w:rsidTr="006156FA">
        <w:tc>
          <w:tcPr>
            <w:tcW w:w="1559" w:type="dxa"/>
            <w:shd w:val="clear" w:color="auto" w:fill="auto"/>
            <w:vAlign w:val="center"/>
          </w:tcPr>
          <w:p w:rsidR="00D05A47" w:rsidRPr="002718BE" w:rsidDel="00C55ED7" w:rsidRDefault="00D05A47" w:rsidP="006156FA">
            <w:pPr>
              <w:pStyle w:val="a6"/>
              <w:adjustRightInd w:val="0"/>
              <w:snapToGrid w:val="0"/>
              <w:spacing w:line="0" w:lineRule="atLeast"/>
              <w:ind w:leftChars="-7" w:left="-15" w:rightChars="105" w:right="220" w:firstLineChars="0" w:firstLine="0"/>
              <w:rPr>
                <w:rFonts w:ascii="黑体" w:eastAsia="黑体" w:hAnsi="黑体" w:cs="Arial"/>
                <w:sz w:val="20"/>
                <w:szCs w:val="20"/>
              </w:rPr>
            </w:pPr>
            <w:r>
              <w:rPr>
                <w:rFonts w:ascii="黑体" w:eastAsia="黑体" w:hAnsi="黑体" w:cs="Arial"/>
                <w:sz w:val="20"/>
                <w:szCs w:val="20"/>
              </w:rPr>
              <w:t>2019</w:t>
            </w:r>
            <w:r w:rsidRPr="002718BE">
              <w:rPr>
                <w:rFonts w:ascii="黑体" w:eastAsia="黑体" w:hAnsi="黑体" w:cs="Arial"/>
                <w:sz w:val="20"/>
                <w:szCs w:val="20"/>
              </w:rPr>
              <w:t>/</w:t>
            </w:r>
            <w:r>
              <w:rPr>
                <w:rFonts w:ascii="黑体" w:eastAsia="黑体" w:hAnsi="黑体" w:cs="Arial"/>
                <w:sz w:val="20"/>
                <w:szCs w:val="20"/>
              </w:rPr>
              <w:t>2</w:t>
            </w:r>
            <w:r w:rsidRPr="002718BE">
              <w:rPr>
                <w:rFonts w:ascii="黑体" w:eastAsia="黑体" w:hAnsi="黑体" w:cs="Arial"/>
                <w:sz w:val="20"/>
                <w:szCs w:val="20"/>
              </w:rPr>
              <w:t>/15</w:t>
            </w:r>
          </w:p>
        </w:tc>
        <w:tc>
          <w:tcPr>
            <w:tcW w:w="2835" w:type="dxa"/>
            <w:shd w:val="clear" w:color="auto" w:fill="auto"/>
            <w:vAlign w:val="center"/>
          </w:tcPr>
          <w:p w:rsidR="00D05A47" w:rsidRPr="002718BE" w:rsidRDefault="00D05A47" w:rsidP="006156FA">
            <w:pPr>
              <w:pStyle w:val="a6"/>
              <w:adjustRightInd w:val="0"/>
              <w:snapToGrid w:val="0"/>
              <w:spacing w:line="0" w:lineRule="atLeast"/>
              <w:ind w:firstLineChars="0" w:firstLine="0"/>
              <w:rPr>
                <w:rFonts w:ascii="黑体" w:eastAsia="黑体" w:hAnsi="黑体" w:cs="Arial"/>
                <w:sz w:val="20"/>
                <w:szCs w:val="20"/>
              </w:rPr>
            </w:pPr>
            <w:r w:rsidRPr="002718BE">
              <w:rPr>
                <w:rFonts w:ascii="黑体" w:eastAsia="黑体" w:hAnsi="黑体" w:cs="Arial"/>
                <w:sz w:val="20"/>
                <w:szCs w:val="20"/>
              </w:rPr>
              <w:t>银行存款及证券账户资金余额</w:t>
            </w:r>
          </w:p>
        </w:tc>
        <w:tc>
          <w:tcPr>
            <w:tcW w:w="1701" w:type="dxa"/>
            <w:shd w:val="clear" w:color="auto" w:fill="auto"/>
            <w:vAlign w:val="center"/>
          </w:tcPr>
          <w:p w:rsidR="00D05A47" w:rsidRPr="002718BE" w:rsidRDefault="00D05A47" w:rsidP="006156FA">
            <w:pPr>
              <w:pStyle w:val="a6"/>
              <w:adjustRightInd w:val="0"/>
              <w:snapToGrid w:val="0"/>
              <w:spacing w:line="0" w:lineRule="atLeast"/>
              <w:ind w:firstLineChars="0" w:firstLine="0"/>
              <w:jc w:val="right"/>
              <w:rPr>
                <w:rFonts w:ascii="黑体" w:eastAsia="黑体" w:hAnsi="黑体" w:cs="Arial"/>
                <w:sz w:val="20"/>
                <w:szCs w:val="20"/>
                <w:u w:val="double"/>
              </w:rPr>
            </w:pPr>
            <w:r>
              <w:rPr>
                <w:rFonts w:ascii="黑体" w:eastAsia="黑体" w:hAnsi="黑体" w:cs="Arial"/>
                <w:sz w:val="20"/>
                <w:szCs w:val="20"/>
                <w:u w:val="double"/>
              </w:rPr>
              <w:t>2,094,546.08</w:t>
            </w:r>
          </w:p>
        </w:tc>
        <w:tc>
          <w:tcPr>
            <w:tcW w:w="1559" w:type="dxa"/>
            <w:shd w:val="clear" w:color="auto" w:fill="auto"/>
            <w:vAlign w:val="center"/>
          </w:tcPr>
          <w:p w:rsidR="00D05A47" w:rsidRPr="002718BE" w:rsidRDefault="00D05A47" w:rsidP="006156FA">
            <w:pPr>
              <w:pStyle w:val="a6"/>
              <w:wordWrap w:val="0"/>
              <w:adjustRightInd w:val="0"/>
              <w:snapToGrid w:val="0"/>
              <w:spacing w:line="0" w:lineRule="atLeast"/>
              <w:ind w:firstLineChars="0" w:firstLine="0"/>
              <w:jc w:val="right"/>
              <w:rPr>
                <w:rFonts w:ascii="黑体" w:eastAsia="黑体" w:hAnsi="黑体" w:cs="Arial"/>
                <w:sz w:val="20"/>
                <w:szCs w:val="20"/>
                <w:u w:val="double"/>
              </w:rPr>
            </w:pPr>
            <w:r w:rsidRPr="002718BE">
              <w:rPr>
                <w:rFonts w:ascii="黑体" w:eastAsia="黑体" w:hAnsi="黑体" w:cs="Arial"/>
                <w:sz w:val="20"/>
                <w:szCs w:val="20"/>
                <w:u w:val="double"/>
              </w:rPr>
              <w:t xml:space="preserve">           </w:t>
            </w:r>
            <w:r w:rsidRPr="002718BE">
              <w:rPr>
                <w:rFonts w:ascii="黑体" w:eastAsia="黑体" w:hAnsi="黑体" w:cs="Arial" w:hint="eastAsia"/>
                <w:sz w:val="20"/>
                <w:szCs w:val="20"/>
                <w:u w:val="double"/>
              </w:rPr>
              <w:t>-</w:t>
            </w:r>
          </w:p>
        </w:tc>
      </w:tr>
    </w:tbl>
    <w:p w:rsidR="00D05A47" w:rsidRPr="002718BE" w:rsidRDefault="00D05A47" w:rsidP="00D05A47">
      <w:pPr>
        <w:adjustRightInd w:val="0"/>
        <w:snapToGrid w:val="0"/>
        <w:spacing w:line="0" w:lineRule="atLeast"/>
        <w:rPr>
          <w:rFonts w:ascii="黑体" w:eastAsia="黑体" w:hAnsi="黑体" w:cs="Arial"/>
          <w:sz w:val="22"/>
        </w:rPr>
      </w:pPr>
    </w:p>
    <w:p w:rsidR="00D05A47" w:rsidRPr="002718BE" w:rsidRDefault="00D05A47" w:rsidP="00D05A47">
      <w:pPr>
        <w:adjustRightInd w:val="0"/>
        <w:snapToGrid w:val="0"/>
        <w:spacing w:line="0" w:lineRule="atLeast"/>
        <w:ind w:leftChars="692" w:left="1466" w:hangingChars="6" w:hanging="13"/>
        <w:rPr>
          <w:rFonts w:ascii="黑体" w:eastAsia="黑体" w:hAnsi="黑体" w:cs="Arial"/>
          <w:b/>
          <w:sz w:val="22"/>
        </w:rPr>
      </w:pPr>
      <w:r w:rsidRPr="002718BE">
        <w:rPr>
          <w:rFonts w:ascii="黑体" w:eastAsia="黑体" w:hAnsi="黑体" w:cs="Arial"/>
          <w:sz w:val="22"/>
        </w:rPr>
        <w:t>于第二次清算期间截止日</w:t>
      </w:r>
      <w:r>
        <w:rPr>
          <w:rFonts w:ascii="黑体" w:eastAsia="黑体" w:hAnsi="黑体" w:cs="Arial"/>
          <w:sz w:val="22"/>
        </w:rPr>
        <w:t>2019</w:t>
      </w:r>
      <w:r w:rsidRPr="002718BE">
        <w:rPr>
          <w:rFonts w:ascii="黑体" w:eastAsia="黑体" w:hAnsi="黑体" w:cs="Arial"/>
          <w:sz w:val="22"/>
        </w:rPr>
        <w:t>年</w:t>
      </w:r>
      <w:r>
        <w:rPr>
          <w:rFonts w:ascii="黑体" w:eastAsia="黑体" w:hAnsi="黑体" w:cs="Arial"/>
          <w:sz w:val="22"/>
        </w:rPr>
        <w:t>2</w:t>
      </w:r>
      <w:r w:rsidRPr="002718BE">
        <w:rPr>
          <w:rFonts w:ascii="黑体" w:eastAsia="黑体" w:hAnsi="黑体" w:cs="Arial" w:hint="eastAsia"/>
          <w:sz w:val="22"/>
        </w:rPr>
        <w:t>月15日，</w:t>
      </w:r>
      <w:r w:rsidRPr="002718BE">
        <w:rPr>
          <w:rFonts w:ascii="黑体" w:eastAsia="黑体" w:hAnsi="黑体" w:cs="Arial"/>
          <w:sz w:val="22"/>
        </w:rPr>
        <w:t>本基金的银行存款余额为人民币</w:t>
      </w:r>
      <w:r w:rsidRPr="002203BB">
        <w:rPr>
          <w:rFonts w:ascii="黑体" w:eastAsia="黑体" w:hAnsi="黑体" w:cs="Arial"/>
          <w:sz w:val="22"/>
        </w:rPr>
        <w:t>2,094,546.08</w:t>
      </w:r>
      <w:r w:rsidRPr="002718BE">
        <w:rPr>
          <w:rFonts w:ascii="黑体" w:eastAsia="黑体" w:hAnsi="黑体" w:cs="Arial" w:hint="eastAsia"/>
          <w:sz w:val="22"/>
        </w:rPr>
        <w:t>元。存出保证金</w:t>
      </w:r>
      <w:r>
        <w:rPr>
          <w:rFonts w:ascii="黑体" w:eastAsia="黑体" w:hAnsi="黑体" w:cs="Arial" w:hint="eastAsia"/>
          <w:sz w:val="22"/>
        </w:rPr>
        <w:t>余额</w:t>
      </w:r>
      <w:r w:rsidRPr="004177E6">
        <w:rPr>
          <w:rFonts w:ascii="黑体" w:eastAsia="黑体" w:hAnsi="黑体" w:cs="Arial"/>
          <w:sz w:val="22"/>
        </w:rPr>
        <w:t>23,760.85</w:t>
      </w:r>
      <w:r>
        <w:rPr>
          <w:rFonts w:ascii="黑体" w:eastAsia="黑体" w:hAnsi="黑体" w:cs="Arial" w:hint="eastAsia"/>
          <w:sz w:val="22"/>
        </w:rPr>
        <w:t>元</w:t>
      </w:r>
      <w:r w:rsidRPr="002718BE">
        <w:rPr>
          <w:rFonts w:ascii="黑体" w:eastAsia="黑体" w:hAnsi="黑体" w:cs="Arial" w:hint="eastAsia"/>
          <w:sz w:val="22"/>
        </w:rPr>
        <w:t>已</w:t>
      </w:r>
      <w:r>
        <w:rPr>
          <w:rFonts w:ascii="黑体" w:eastAsia="黑体" w:hAnsi="黑体" w:cs="Arial" w:hint="eastAsia"/>
          <w:sz w:val="22"/>
        </w:rPr>
        <w:t>于2</w:t>
      </w:r>
      <w:r>
        <w:rPr>
          <w:rFonts w:ascii="黑体" w:eastAsia="黑体" w:hAnsi="黑体" w:cs="Arial"/>
          <w:sz w:val="22"/>
        </w:rPr>
        <w:t>018</w:t>
      </w:r>
      <w:r>
        <w:rPr>
          <w:rFonts w:ascii="黑体" w:eastAsia="黑体" w:hAnsi="黑体" w:cs="Arial" w:hint="eastAsia"/>
          <w:sz w:val="22"/>
        </w:rPr>
        <w:t>年1</w:t>
      </w:r>
      <w:r>
        <w:rPr>
          <w:rFonts w:ascii="黑体" w:eastAsia="黑体" w:hAnsi="黑体" w:cs="Arial"/>
          <w:sz w:val="22"/>
        </w:rPr>
        <w:t>2</w:t>
      </w:r>
      <w:r>
        <w:rPr>
          <w:rFonts w:ascii="黑体" w:eastAsia="黑体" w:hAnsi="黑体" w:cs="Arial" w:hint="eastAsia"/>
          <w:sz w:val="22"/>
        </w:rPr>
        <w:t>月4日</w:t>
      </w:r>
      <w:r w:rsidRPr="002718BE">
        <w:rPr>
          <w:rFonts w:ascii="黑体" w:eastAsia="黑体" w:hAnsi="黑体" w:cs="Arial" w:hint="eastAsia"/>
          <w:sz w:val="22"/>
        </w:rPr>
        <w:t>全部转至银行存款账户。</w:t>
      </w:r>
    </w:p>
    <w:p w:rsidR="00D05A47" w:rsidRPr="002B5BDC" w:rsidRDefault="00D05A47" w:rsidP="00D05A47">
      <w:pPr>
        <w:adjustRightInd w:val="0"/>
        <w:snapToGrid w:val="0"/>
        <w:spacing w:line="0" w:lineRule="atLeast"/>
        <w:ind w:left="1395"/>
        <w:rPr>
          <w:rFonts w:ascii="黑体" w:eastAsia="黑体" w:hAnsi="黑体" w:cs="Arial"/>
          <w:sz w:val="22"/>
        </w:rPr>
      </w:pPr>
    </w:p>
    <w:p w:rsidR="00D05A47" w:rsidRPr="002718BE" w:rsidRDefault="00D05A47" w:rsidP="00D05A47">
      <w:pPr>
        <w:numPr>
          <w:ilvl w:val="0"/>
          <w:numId w:val="6"/>
        </w:numPr>
        <w:adjustRightInd w:val="0"/>
        <w:snapToGrid w:val="0"/>
        <w:spacing w:line="0" w:lineRule="atLeast"/>
        <w:rPr>
          <w:rFonts w:ascii="黑体" w:eastAsia="黑体" w:hAnsi="黑体" w:cs="Arial"/>
          <w:sz w:val="22"/>
        </w:rPr>
      </w:pPr>
      <w:r>
        <w:rPr>
          <w:rFonts w:ascii="黑体" w:eastAsia="黑体" w:hAnsi="黑体" w:cs="Arial" w:hint="eastAsia"/>
          <w:sz w:val="22"/>
        </w:rPr>
        <w:t>本基金持有的养元饮品</w:t>
      </w:r>
      <w:r w:rsidRPr="002718BE">
        <w:rPr>
          <w:rFonts w:ascii="黑体" w:eastAsia="黑体" w:hAnsi="黑体" w:cs="Arial" w:hint="eastAsia"/>
          <w:sz w:val="22"/>
        </w:rPr>
        <w:t>于</w:t>
      </w:r>
      <w:r>
        <w:rPr>
          <w:rFonts w:ascii="黑体" w:eastAsia="黑体" w:hAnsi="黑体" w:cs="Arial" w:hint="eastAsia"/>
          <w:sz w:val="22"/>
        </w:rPr>
        <w:t>2019</w:t>
      </w:r>
      <w:r w:rsidRPr="002718BE">
        <w:rPr>
          <w:rFonts w:ascii="黑体" w:eastAsia="黑体" w:hAnsi="黑体" w:cs="Arial" w:hint="eastAsia"/>
          <w:sz w:val="22"/>
        </w:rPr>
        <w:t>年</w:t>
      </w:r>
      <w:r>
        <w:rPr>
          <w:rFonts w:ascii="黑体" w:eastAsia="黑体" w:hAnsi="黑体" w:cs="Arial"/>
          <w:sz w:val="22"/>
        </w:rPr>
        <w:t>2</w:t>
      </w:r>
      <w:r w:rsidRPr="002718BE">
        <w:rPr>
          <w:rFonts w:ascii="黑体" w:eastAsia="黑体" w:hAnsi="黑体" w:cs="Arial" w:hint="eastAsia"/>
          <w:sz w:val="22"/>
        </w:rPr>
        <w:t>月1</w:t>
      </w:r>
      <w:r w:rsidRPr="002718BE">
        <w:rPr>
          <w:rFonts w:ascii="黑体" w:eastAsia="黑体" w:hAnsi="黑体" w:cs="Arial"/>
          <w:sz w:val="22"/>
        </w:rPr>
        <w:t>2</w:t>
      </w:r>
      <w:r w:rsidRPr="002718BE">
        <w:rPr>
          <w:rFonts w:ascii="黑体" w:eastAsia="黑体" w:hAnsi="黑体" w:cs="Arial" w:hint="eastAsia"/>
          <w:sz w:val="22"/>
        </w:rPr>
        <w:t>日处置</w:t>
      </w:r>
      <w:r w:rsidRPr="002718BE">
        <w:rPr>
          <w:rFonts w:ascii="黑体" w:eastAsia="黑体" w:hAnsi="黑体" w:cs="Arial"/>
          <w:sz w:val="22"/>
        </w:rPr>
        <w:t>变现</w:t>
      </w:r>
      <w:r w:rsidRPr="002718BE">
        <w:rPr>
          <w:rFonts w:ascii="黑体" w:eastAsia="黑体" w:hAnsi="黑体" w:cs="Arial" w:hint="eastAsia"/>
          <w:sz w:val="22"/>
        </w:rPr>
        <w:t>，</w:t>
      </w:r>
      <w:r w:rsidRPr="002718BE">
        <w:rPr>
          <w:rFonts w:ascii="黑体" w:eastAsia="黑体" w:hAnsi="黑体" w:cs="Arial"/>
          <w:sz w:val="22"/>
        </w:rPr>
        <w:t>处置价</w:t>
      </w:r>
      <w:r w:rsidRPr="002718BE">
        <w:rPr>
          <w:rFonts w:ascii="黑体" w:eastAsia="黑体" w:hAnsi="黑体" w:cs="Arial" w:hint="eastAsia"/>
          <w:sz w:val="22"/>
        </w:rPr>
        <w:t>款为</w:t>
      </w:r>
      <w:r w:rsidRPr="002718BE">
        <w:rPr>
          <w:rFonts w:ascii="黑体" w:eastAsia="黑体" w:hAnsi="黑体" w:cs="Arial"/>
          <w:sz w:val="22"/>
        </w:rPr>
        <w:t>人民币</w:t>
      </w:r>
      <w:r w:rsidRPr="00034FC2">
        <w:rPr>
          <w:rFonts w:ascii="黑体" w:eastAsia="黑体" w:hAnsi="黑体" w:cs="Arial"/>
          <w:sz w:val="22"/>
        </w:rPr>
        <w:t>2,067,650.95</w:t>
      </w:r>
      <w:r w:rsidRPr="002718BE">
        <w:rPr>
          <w:rFonts w:ascii="黑体" w:eastAsia="黑体" w:hAnsi="黑体" w:cs="Arial" w:hint="eastAsia"/>
          <w:sz w:val="22"/>
        </w:rPr>
        <w:t>元，扣除</w:t>
      </w:r>
      <w:r w:rsidRPr="002718BE">
        <w:rPr>
          <w:rFonts w:ascii="黑体" w:eastAsia="黑体" w:hAnsi="黑体" w:cs="Arial"/>
          <w:sz w:val="22"/>
        </w:rPr>
        <w:t>交易费用</w:t>
      </w:r>
      <w:r w:rsidRPr="002718BE">
        <w:rPr>
          <w:rFonts w:ascii="黑体" w:eastAsia="黑体" w:hAnsi="黑体" w:cs="Arial" w:hint="eastAsia"/>
          <w:sz w:val="22"/>
        </w:rPr>
        <w:t>人民币</w:t>
      </w:r>
      <w:r w:rsidRPr="006009D4">
        <w:rPr>
          <w:rFonts w:ascii="黑体" w:eastAsia="黑体" w:hAnsi="黑体" w:cs="Arial"/>
          <w:sz w:val="22"/>
        </w:rPr>
        <w:t>2,251.15</w:t>
      </w:r>
      <w:r w:rsidRPr="002718BE">
        <w:rPr>
          <w:rFonts w:ascii="黑体" w:eastAsia="黑体" w:hAnsi="黑体" w:cs="Arial" w:hint="eastAsia"/>
          <w:sz w:val="22"/>
        </w:rPr>
        <w:t>元，</w:t>
      </w:r>
      <w:r w:rsidRPr="002718BE">
        <w:rPr>
          <w:rFonts w:ascii="黑体" w:eastAsia="黑体" w:hAnsi="黑体" w:cs="Arial"/>
          <w:sz w:val="22"/>
        </w:rPr>
        <w:t>实际</w:t>
      </w:r>
      <w:r w:rsidRPr="002718BE">
        <w:rPr>
          <w:rFonts w:ascii="黑体" w:eastAsia="黑体" w:hAnsi="黑体" w:cs="Arial" w:hint="eastAsia"/>
          <w:sz w:val="22"/>
        </w:rPr>
        <w:t>收到</w:t>
      </w:r>
      <w:r w:rsidRPr="002718BE">
        <w:rPr>
          <w:rFonts w:ascii="黑体" w:eastAsia="黑体" w:hAnsi="黑体" w:cs="Arial"/>
          <w:sz w:val="22"/>
        </w:rPr>
        <w:t>的</w:t>
      </w:r>
      <w:r w:rsidRPr="002718BE">
        <w:rPr>
          <w:rFonts w:ascii="黑体" w:eastAsia="黑体" w:hAnsi="黑体" w:cs="Arial" w:hint="eastAsia"/>
          <w:sz w:val="22"/>
        </w:rPr>
        <w:t>清算价款</w:t>
      </w:r>
      <w:r w:rsidRPr="002718BE">
        <w:rPr>
          <w:rFonts w:ascii="黑体" w:eastAsia="黑体" w:hAnsi="黑体" w:cs="Arial"/>
          <w:sz w:val="22"/>
        </w:rPr>
        <w:t>为</w:t>
      </w:r>
      <w:r w:rsidRPr="002718BE">
        <w:rPr>
          <w:rFonts w:ascii="黑体" w:eastAsia="黑体" w:hAnsi="黑体" w:cs="Arial" w:hint="eastAsia"/>
          <w:sz w:val="22"/>
        </w:rPr>
        <w:t>人民币</w:t>
      </w:r>
      <w:r w:rsidRPr="00034FC2">
        <w:rPr>
          <w:rFonts w:ascii="黑体" w:eastAsia="黑体" w:hAnsi="黑体" w:cs="Arial"/>
          <w:sz w:val="22"/>
        </w:rPr>
        <w:t>2,065,399.80</w:t>
      </w:r>
      <w:r w:rsidRPr="002718BE">
        <w:rPr>
          <w:rFonts w:ascii="黑体" w:eastAsia="黑体" w:hAnsi="黑体" w:cs="Arial" w:hint="eastAsia"/>
          <w:sz w:val="22"/>
        </w:rPr>
        <w:t>元</w:t>
      </w:r>
      <w:r>
        <w:rPr>
          <w:rFonts w:ascii="黑体" w:eastAsia="黑体" w:hAnsi="黑体" w:cs="Arial" w:hint="eastAsia"/>
          <w:sz w:val="22"/>
        </w:rPr>
        <w:t>，已于2019年2月13日转至银行存款账户</w:t>
      </w:r>
      <w:r w:rsidRPr="002718BE">
        <w:rPr>
          <w:rFonts w:ascii="黑体" w:eastAsia="黑体" w:hAnsi="黑体" w:cs="Arial" w:hint="eastAsia"/>
          <w:sz w:val="22"/>
        </w:rPr>
        <w:t>。</w:t>
      </w:r>
    </w:p>
    <w:p w:rsidR="00D05A47" w:rsidRPr="00034FC2" w:rsidRDefault="00D05A47" w:rsidP="00D05A47">
      <w:pPr>
        <w:adjustRightInd w:val="0"/>
        <w:snapToGrid w:val="0"/>
        <w:spacing w:line="0" w:lineRule="atLeast"/>
        <w:rPr>
          <w:rFonts w:ascii="黑体" w:eastAsia="黑体" w:hAnsi="黑体" w:cs="Arial"/>
          <w:sz w:val="22"/>
        </w:rPr>
      </w:pPr>
    </w:p>
    <w:p w:rsidR="00D05A47" w:rsidRPr="002718BE" w:rsidRDefault="00D05A47" w:rsidP="00D05A47">
      <w:pPr>
        <w:numPr>
          <w:ilvl w:val="0"/>
          <w:numId w:val="6"/>
        </w:numPr>
        <w:adjustRightInd w:val="0"/>
        <w:snapToGrid w:val="0"/>
        <w:spacing w:line="0" w:lineRule="atLeast"/>
        <w:rPr>
          <w:rFonts w:ascii="黑体" w:eastAsia="黑体" w:hAnsi="黑体" w:cs="Arial"/>
          <w:sz w:val="22"/>
        </w:rPr>
      </w:pPr>
      <w:r w:rsidRPr="00395EC7">
        <w:rPr>
          <w:rFonts w:ascii="黑体" w:eastAsia="黑体" w:hAnsi="黑体" w:cs="Arial" w:hint="eastAsia"/>
          <w:sz w:val="22"/>
        </w:rPr>
        <w:t>本基金最后运作日应收银行存款利息人民币</w:t>
      </w:r>
      <w:r w:rsidRPr="00FC6B32">
        <w:rPr>
          <w:rFonts w:ascii="黑体" w:eastAsia="黑体" w:hAnsi="黑体" w:cs="Arial"/>
          <w:sz w:val="22"/>
        </w:rPr>
        <w:t>1,237.26</w:t>
      </w:r>
      <w:r w:rsidRPr="00395EC7">
        <w:rPr>
          <w:rFonts w:ascii="黑体" w:eastAsia="黑体" w:hAnsi="黑体" w:cs="Arial" w:hint="eastAsia"/>
          <w:sz w:val="22"/>
        </w:rPr>
        <w:t>元、应收存出保证金利息人民币</w:t>
      </w:r>
      <w:r w:rsidRPr="00FC6B32">
        <w:rPr>
          <w:rFonts w:ascii="黑体" w:eastAsia="黑体" w:hAnsi="黑体" w:cs="Arial"/>
          <w:sz w:val="22"/>
        </w:rPr>
        <w:t>54.91</w:t>
      </w:r>
      <w:r w:rsidRPr="00395EC7">
        <w:rPr>
          <w:rFonts w:ascii="黑体" w:eastAsia="黑体" w:hAnsi="黑体" w:cs="Arial" w:hint="eastAsia"/>
          <w:sz w:val="22"/>
        </w:rPr>
        <w:t>元，共计人民币</w:t>
      </w:r>
      <w:r w:rsidRPr="00FC6B32">
        <w:rPr>
          <w:rFonts w:ascii="黑体" w:eastAsia="黑体" w:hAnsi="黑体" w:cs="Arial"/>
          <w:sz w:val="22"/>
        </w:rPr>
        <w:t>1,292.17</w:t>
      </w:r>
      <w:r w:rsidRPr="00395EC7">
        <w:rPr>
          <w:rFonts w:ascii="黑体" w:eastAsia="黑体" w:hAnsi="黑体" w:cs="Arial" w:hint="eastAsia"/>
          <w:sz w:val="22"/>
        </w:rPr>
        <w:t xml:space="preserve"> 元。</w:t>
      </w:r>
      <w:r w:rsidRPr="002718BE">
        <w:rPr>
          <w:rFonts w:ascii="黑体" w:eastAsia="黑体" w:hAnsi="黑体" w:cs="Arial" w:hint="eastAsia"/>
          <w:sz w:val="22"/>
        </w:rPr>
        <w:t>201</w:t>
      </w:r>
      <w:r w:rsidRPr="002718BE">
        <w:rPr>
          <w:rFonts w:ascii="黑体" w:eastAsia="黑体" w:hAnsi="黑体" w:cs="Arial"/>
          <w:sz w:val="22"/>
        </w:rPr>
        <w:t>8</w:t>
      </w:r>
      <w:r w:rsidRPr="002718BE">
        <w:rPr>
          <w:rFonts w:ascii="黑体" w:eastAsia="黑体" w:hAnsi="黑体" w:cs="Arial" w:hint="eastAsia"/>
          <w:sz w:val="22"/>
        </w:rPr>
        <w:t>年</w:t>
      </w:r>
      <w:r>
        <w:rPr>
          <w:rFonts w:ascii="黑体" w:eastAsia="黑体" w:hAnsi="黑体" w:cs="Arial"/>
          <w:sz w:val="22"/>
        </w:rPr>
        <w:t>10</w:t>
      </w:r>
      <w:r w:rsidRPr="002718BE">
        <w:rPr>
          <w:rFonts w:ascii="黑体" w:eastAsia="黑体" w:hAnsi="黑体" w:cs="Arial" w:hint="eastAsia"/>
          <w:sz w:val="22"/>
        </w:rPr>
        <w:t>月</w:t>
      </w:r>
      <w:r>
        <w:rPr>
          <w:rFonts w:ascii="黑体" w:eastAsia="黑体" w:hAnsi="黑体" w:cs="Arial"/>
          <w:sz w:val="22"/>
        </w:rPr>
        <w:t>9</w:t>
      </w:r>
      <w:r w:rsidRPr="002718BE">
        <w:rPr>
          <w:rFonts w:ascii="黑体" w:eastAsia="黑体" w:hAnsi="黑体" w:cs="Arial" w:hint="eastAsia"/>
          <w:sz w:val="22"/>
        </w:rPr>
        <w:t>日至</w:t>
      </w:r>
      <w:r>
        <w:rPr>
          <w:rFonts w:ascii="黑体" w:eastAsia="黑体" w:hAnsi="黑体" w:cs="Arial" w:hint="eastAsia"/>
          <w:sz w:val="22"/>
        </w:rPr>
        <w:t>2019</w:t>
      </w:r>
      <w:r w:rsidRPr="002718BE">
        <w:rPr>
          <w:rFonts w:ascii="黑体" w:eastAsia="黑体" w:hAnsi="黑体" w:cs="Arial" w:hint="eastAsia"/>
          <w:sz w:val="22"/>
        </w:rPr>
        <w:t>年</w:t>
      </w:r>
      <w:r>
        <w:rPr>
          <w:rFonts w:ascii="黑体" w:eastAsia="黑体" w:hAnsi="黑体" w:cs="Arial"/>
          <w:sz w:val="22"/>
        </w:rPr>
        <w:t>2</w:t>
      </w:r>
      <w:r w:rsidRPr="002718BE">
        <w:rPr>
          <w:rFonts w:ascii="黑体" w:eastAsia="黑体" w:hAnsi="黑体" w:cs="Arial" w:hint="eastAsia"/>
          <w:sz w:val="22"/>
        </w:rPr>
        <w:t>月15日</w:t>
      </w:r>
      <w:r w:rsidRPr="002718BE">
        <w:rPr>
          <w:rFonts w:ascii="黑体" w:eastAsia="黑体" w:hAnsi="黑体" w:cs="Arial"/>
          <w:sz w:val="22"/>
        </w:rPr>
        <w:t>产生的</w:t>
      </w:r>
      <w:r w:rsidRPr="002718BE">
        <w:rPr>
          <w:rFonts w:ascii="黑体" w:eastAsia="黑体" w:hAnsi="黑体" w:cs="Arial" w:hint="eastAsia"/>
          <w:sz w:val="22"/>
        </w:rPr>
        <w:t>活期</w:t>
      </w:r>
      <w:r w:rsidRPr="002718BE">
        <w:rPr>
          <w:rFonts w:ascii="黑体" w:eastAsia="黑体" w:hAnsi="黑体" w:cs="Arial"/>
          <w:sz w:val="22"/>
        </w:rPr>
        <w:t>存款</w:t>
      </w:r>
      <w:r w:rsidRPr="002718BE">
        <w:rPr>
          <w:rFonts w:ascii="黑体" w:eastAsia="黑体" w:hAnsi="黑体" w:cs="Arial" w:hint="eastAsia"/>
          <w:sz w:val="22"/>
        </w:rPr>
        <w:t>利息收入</w:t>
      </w:r>
      <w:r w:rsidRPr="002718BE">
        <w:rPr>
          <w:rFonts w:ascii="黑体" w:eastAsia="黑体" w:hAnsi="黑体" w:cs="Arial"/>
          <w:sz w:val="22"/>
        </w:rPr>
        <w:t>及证券账户利息收入为</w:t>
      </w:r>
      <w:r w:rsidRPr="002718BE">
        <w:rPr>
          <w:rFonts w:ascii="黑体" w:eastAsia="黑体" w:hAnsi="黑体" w:cs="Arial" w:hint="eastAsia"/>
          <w:sz w:val="22"/>
        </w:rPr>
        <w:t>人民币</w:t>
      </w:r>
      <w:r w:rsidRPr="00C91F74">
        <w:rPr>
          <w:rFonts w:ascii="黑体" w:eastAsia="黑体" w:hAnsi="黑体" w:cs="Arial"/>
          <w:sz w:val="22"/>
        </w:rPr>
        <w:t>8,471.13</w:t>
      </w:r>
      <w:r w:rsidRPr="002718BE">
        <w:rPr>
          <w:rFonts w:ascii="黑体" w:eastAsia="黑体" w:hAnsi="黑体" w:cs="Arial" w:hint="eastAsia"/>
          <w:sz w:val="22"/>
        </w:rPr>
        <w:t>元。</w:t>
      </w:r>
      <w:r>
        <w:rPr>
          <w:rFonts w:ascii="黑体" w:eastAsia="黑体" w:hAnsi="黑体" w:cs="Arial" w:hint="eastAsia"/>
          <w:sz w:val="22"/>
        </w:rPr>
        <w:t>其中，</w:t>
      </w:r>
      <w:r w:rsidRPr="002718BE">
        <w:rPr>
          <w:rFonts w:ascii="黑体" w:eastAsia="黑体" w:hAnsi="黑体" w:cs="Arial" w:hint="eastAsia"/>
          <w:sz w:val="22"/>
        </w:rPr>
        <w:t>本基金</w:t>
      </w:r>
      <w:r w:rsidRPr="002718BE">
        <w:rPr>
          <w:rFonts w:ascii="黑体" w:eastAsia="黑体" w:hAnsi="黑体" w:cs="Arial"/>
          <w:sz w:val="22"/>
        </w:rPr>
        <w:t>于</w:t>
      </w:r>
      <w:r w:rsidRPr="002718BE">
        <w:rPr>
          <w:rFonts w:ascii="黑体" w:eastAsia="黑体" w:hAnsi="黑体" w:cs="Arial" w:hint="eastAsia"/>
          <w:sz w:val="22"/>
        </w:rPr>
        <w:t>2018年</w:t>
      </w:r>
      <w:r>
        <w:rPr>
          <w:rFonts w:ascii="黑体" w:eastAsia="黑体" w:hAnsi="黑体" w:cs="Arial" w:hint="eastAsia"/>
          <w:sz w:val="22"/>
        </w:rPr>
        <w:t>12</w:t>
      </w:r>
      <w:r w:rsidRPr="002718BE">
        <w:rPr>
          <w:rFonts w:ascii="黑体" w:eastAsia="黑体" w:hAnsi="黑体" w:cs="Arial" w:hint="eastAsia"/>
          <w:sz w:val="22"/>
        </w:rPr>
        <w:t>月21日结息</w:t>
      </w:r>
      <w:r w:rsidRPr="002718BE">
        <w:rPr>
          <w:rFonts w:ascii="黑体" w:eastAsia="黑体" w:hAnsi="黑体" w:cs="Arial"/>
          <w:sz w:val="22"/>
        </w:rPr>
        <w:t>收到的利息合计人民币</w:t>
      </w:r>
      <w:r w:rsidRPr="00C91F74">
        <w:rPr>
          <w:rFonts w:ascii="黑体" w:eastAsia="黑体" w:hAnsi="黑体" w:cs="Arial"/>
          <w:sz w:val="22"/>
        </w:rPr>
        <w:t>6,897.51</w:t>
      </w:r>
      <w:r w:rsidRPr="002718BE">
        <w:rPr>
          <w:rFonts w:ascii="黑体" w:eastAsia="黑体" w:hAnsi="黑体" w:cs="Arial" w:hint="eastAsia"/>
          <w:sz w:val="22"/>
        </w:rPr>
        <w:t>元，剩余应收</w:t>
      </w:r>
      <w:r w:rsidRPr="002718BE">
        <w:rPr>
          <w:rFonts w:ascii="黑体" w:eastAsia="黑体" w:hAnsi="黑体" w:cs="Arial"/>
          <w:sz w:val="22"/>
        </w:rPr>
        <w:t>利息</w:t>
      </w:r>
      <w:r w:rsidRPr="002718BE">
        <w:rPr>
          <w:rFonts w:ascii="黑体" w:eastAsia="黑体" w:hAnsi="黑体" w:cs="Arial" w:hint="eastAsia"/>
          <w:sz w:val="22"/>
        </w:rPr>
        <w:t>为</w:t>
      </w:r>
      <w:r w:rsidRPr="002718BE">
        <w:rPr>
          <w:rFonts w:ascii="黑体" w:eastAsia="黑体" w:hAnsi="黑体" w:cs="Arial"/>
          <w:sz w:val="22"/>
        </w:rPr>
        <w:t>人民币</w:t>
      </w:r>
      <w:r w:rsidRPr="00C91F74">
        <w:rPr>
          <w:rFonts w:ascii="黑体" w:eastAsia="黑体" w:hAnsi="黑体" w:cs="Arial"/>
          <w:sz w:val="22"/>
        </w:rPr>
        <w:t>2,865.79</w:t>
      </w:r>
      <w:r w:rsidRPr="002718BE">
        <w:rPr>
          <w:rFonts w:ascii="黑体" w:eastAsia="黑体" w:hAnsi="黑体" w:cs="Arial" w:hint="eastAsia"/>
          <w:sz w:val="22"/>
        </w:rPr>
        <w:t>元</w:t>
      </w:r>
      <w:r w:rsidRPr="002718BE">
        <w:rPr>
          <w:rFonts w:ascii="黑体" w:eastAsia="黑体" w:hAnsi="黑体" w:cs="Arial"/>
          <w:sz w:val="22"/>
        </w:rPr>
        <w:t>。</w:t>
      </w:r>
    </w:p>
    <w:p w:rsidR="00D05A47" w:rsidRPr="002718BE" w:rsidRDefault="00D05A47" w:rsidP="00D05A47">
      <w:pPr>
        <w:overflowPunct w:val="0"/>
        <w:autoSpaceDE w:val="0"/>
        <w:autoSpaceDN w:val="0"/>
        <w:snapToGrid w:val="0"/>
        <w:ind w:firstLineChars="164" w:firstLine="362"/>
        <w:rPr>
          <w:rFonts w:ascii="黑体" w:eastAsia="黑体" w:hAnsi="黑体" w:cs="Arial"/>
          <w:b/>
          <w:sz w:val="22"/>
        </w:rPr>
      </w:pPr>
    </w:p>
    <w:p w:rsidR="00D05A47" w:rsidRPr="002718BE" w:rsidRDefault="00D05A47" w:rsidP="00D05A47">
      <w:pPr>
        <w:numPr>
          <w:ilvl w:val="0"/>
          <w:numId w:val="8"/>
        </w:numPr>
        <w:overflowPunct w:val="0"/>
        <w:autoSpaceDE w:val="0"/>
        <w:autoSpaceDN w:val="0"/>
        <w:snapToGrid w:val="0"/>
        <w:rPr>
          <w:rFonts w:ascii="黑体" w:eastAsia="黑体" w:hAnsi="黑体" w:cs="Arial"/>
          <w:b/>
          <w:sz w:val="22"/>
        </w:rPr>
      </w:pPr>
      <w:r w:rsidRPr="002718BE">
        <w:rPr>
          <w:rFonts w:ascii="黑体" w:eastAsia="黑体" w:hAnsi="黑体" w:cs="Arial" w:hint="eastAsia"/>
          <w:b/>
          <w:sz w:val="22"/>
        </w:rPr>
        <w:t>清算期间的清算损益情况</w:t>
      </w:r>
    </w:p>
    <w:p w:rsidR="00D05A47" w:rsidRPr="00684C87" w:rsidRDefault="00D05A47" w:rsidP="00D05A47">
      <w:pPr>
        <w:overflowPunct w:val="0"/>
        <w:autoSpaceDE w:val="0"/>
        <w:autoSpaceDN w:val="0"/>
        <w:snapToGrid w:val="0"/>
        <w:ind w:left="360"/>
        <w:jc w:val="left"/>
        <w:rPr>
          <w:rFonts w:ascii="黑体" w:eastAsia="黑体" w:hAnsi="黑体" w:cs="Arial"/>
          <w:sz w:val="22"/>
        </w:rPr>
      </w:pPr>
    </w:p>
    <w:tbl>
      <w:tblPr>
        <w:tblW w:w="8735" w:type="dxa"/>
        <w:jc w:val="right"/>
        <w:tblBorders>
          <w:bottom w:val="single" w:sz="4" w:space="0" w:color="auto"/>
        </w:tblBorders>
        <w:tblLayout w:type="fixed"/>
        <w:tblLook w:val="0000" w:firstRow="0" w:lastRow="0" w:firstColumn="0" w:lastColumn="0" w:noHBand="0" w:noVBand="0"/>
      </w:tblPr>
      <w:tblGrid>
        <w:gridCol w:w="3402"/>
        <w:gridCol w:w="1842"/>
        <w:gridCol w:w="1843"/>
        <w:gridCol w:w="1648"/>
      </w:tblGrid>
      <w:tr w:rsidR="00D05A47" w:rsidRPr="002718BE" w:rsidTr="006156FA">
        <w:trPr>
          <w:trHeight w:val="80"/>
          <w:jc w:val="right"/>
        </w:trPr>
        <w:tc>
          <w:tcPr>
            <w:tcW w:w="3402" w:type="dxa"/>
            <w:noWrap/>
            <w:vAlign w:val="bottom"/>
          </w:tcPr>
          <w:p w:rsidR="00D05A47" w:rsidRPr="002718BE" w:rsidRDefault="00D05A47" w:rsidP="006156FA">
            <w:pPr>
              <w:overflowPunct w:val="0"/>
              <w:autoSpaceDE w:val="0"/>
              <w:autoSpaceDN w:val="0"/>
              <w:snapToGrid w:val="0"/>
              <w:ind w:left="34"/>
              <w:jc w:val="left"/>
              <w:rPr>
                <w:rFonts w:ascii="黑体" w:eastAsia="黑体" w:hAnsi="黑体" w:cs="Arial"/>
                <w:sz w:val="20"/>
                <w:szCs w:val="20"/>
              </w:rPr>
            </w:pPr>
            <w:r w:rsidRPr="002718BE">
              <w:rPr>
                <w:rFonts w:ascii="黑体" w:eastAsia="黑体" w:hAnsi="黑体" w:cs="Arial" w:hint="eastAsia"/>
                <w:sz w:val="20"/>
                <w:szCs w:val="20"/>
              </w:rPr>
              <w:t>项目</w:t>
            </w:r>
          </w:p>
        </w:tc>
        <w:tc>
          <w:tcPr>
            <w:tcW w:w="1842" w:type="dxa"/>
            <w:noWrap/>
            <w:vAlign w:val="center"/>
          </w:tcPr>
          <w:p w:rsidR="00D05A47" w:rsidRPr="002718BE" w:rsidRDefault="00D05A47" w:rsidP="006156FA">
            <w:pPr>
              <w:overflowPunct w:val="0"/>
              <w:autoSpaceDE w:val="0"/>
              <w:autoSpaceDN w:val="0"/>
              <w:snapToGrid w:val="0"/>
              <w:ind w:rightChars="4" w:right="8"/>
              <w:jc w:val="right"/>
              <w:rPr>
                <w:rFonts w:ascii="黑体" w:eastAsia="黑体" w:hAnsi="黑体" w:cs="Arial"/>
                <w:sz w:val="20"/>
                <w:szCs w:val="20"/>
              </w:rPr>
            </w:pPr>
            <w:r w:rsidRPr="002718BE">
              <w:rPr>
                <w:rFonts w:ascii="黑体" w:eastAsia="黑体" w:hAnsi="黑体" w:cs="Arial" w:hint="eastAsia"/>
                <w:sz w:val="20"/>
                <w:szCs w:val="20"/>
              </w:rPr>
              <w:t>自</w:t>
            </w:r>
            <w:r>
              <w:rPr>
                <w:rFonts w:ascii="黑体" w:eastAsia="黑体" w:hAnsi="黑体" w:cs="Arial" w:hint="eastAsia"/>
                <w:sz w:val="20"/>
                <w:szCs w:val="20"/>
              </w:rPr>
              <w:t>2018年10月9日</w:t>
            </w:r>
          </w:p>
          <w:p w:rsidR="00D05A47" w:rsidRPr="002718BE" w:rsidRDefault="00D05A47" w:rsidP="006156FA">
            <w:pPr>
              <w:tabs>
                <w:tab w:val="left" w:pos="2517"/>
              </w:tabs>
              <w:overflowPunct w:val="0"/>
              <w:autoSpaceDE w:val="0"/>
              <w:autoSpaceDN w:val="0"/>
              <w:snapToGrid w:val="0"/>
              <w:ind w:leftChars="-68" w:left="-143" w:rightChars="4" w:right="8"/>
              <w:jc w:val="right"/>
              <w:rPr>
                <w:rFonts w:ascii="黑体" w:eastAsia="黑体" w:hAnsi="黑体" w:cs="Arial"/>
                <w:sz w:val="20"/>
                <w:szCs w:val="20"/>
              </w:rPr>
            </w:pPr>
            <w:r w:rsidRPr="002718BE">
              <w:rPr>
                <w:rFonts w:ascii="黑体" w:eastAsia="黑体" w:hAnsi="黑体" w:cs="Arial" w:hint="eastAsia"/>
                <w:sz w:val="20"/>
                <w:szCs w:val="20"/>
              </w:rPr>
              <w:t>至</w:t>
            </w:r>
            <w:r>
              <w:rPr>
                <w:rFonts w:ascii="黑体" w:eastAsia="黑体" w:hAnsi="黑体" w:cs="Arial" w:hint="eastAsia"/>
                <w:sz w:val="20"/>
                <w:szCs w:val="20"/>
              </w:rPr>
              <w:t>2018年11月2日</w:t>
            </w:r>
          </w:p>
          <w:p w:rsidR="00D05A47" w:rsidRPr="002718BE" w:rsidRDefault="00D05A47" w:rsidP="006156FA">
            <w:pPr>
              <w:overflowPunct w:val="0"/>
              <w:autoSpaceDE w:val="0"/>
              <w:autoSpaceDN w:val="0"/>
              <w:snapToGrid w:val="0"/>
              <w:ind w:rightChars="4" w:right="8"/>
              <w:jc w:val="right"/>
              <w:rPr>
                <w:rFonts w:ascii="黑体" w:eastAsia="黑体" w:hAnsi="黑体" w:cs="Arial"/>
                <w:sz w:val="20"/>
                <w:szCs w:val="20"/>
              </w:rPr>
            </w:pPr>
            <w:proofErr w:type="gramStart"/>
            <w:r w:rsidRPr="002718BE">
              <w:rPr>
                <w:rFonts w:ascii="黑体" w:eastAsia="黑体" w:hAnsi="黑体" w:cs="Arial" w:hint="eastAsia"/>
                <w:sz w:val="20"/>
                <w:szCs w:val="20"/>
              </w:rPr>
              <w:t>止</w:t>
            </w:r>
            <w:proofErr w:type="gramEnd"/>
            <w:r w:rsidRPr="002718BE">
              <w:rPr>
                <w:rFonts w:ascii="黑体" w:eastAsia="黑体" w:hAnsi="黑体" w:cs="Arial" w:hint="eastAsia"/>
                <w:sz w:val="20"/>
                <w:szCs w:val="20"/>
              </w:rPr>
              <w:t>清算期间</w:t>
            </w:r>
          </w:p>
        </w:tc>
        <w:tc>
          <w:tcPr>
            <w:tcW w:w="1843" w:type="dxa"/>
            <w:vAlign w:val="center"/>
          </w:tcPr>
          <w:p w:rsidR="00D05A47" w:rsidRPr="002718BE" w:rsidRDefault="00D05A47" w:rsidP="006156FA">
            <w:pPr>
              <w:overflowPunct w:val="0"/>
              <w:autoSpaceDE w:val="0"/>
              <w:autoSpaceDN w:val="0"/>
              <w:snapToGrid w:val="0"/>
              <w:ind w:rightChars="4" w:right="8"/>
              <w:jc w:val="right"/>
              <w:rPr>
                <w:rFonts w:ascii="黑体" w:eastAsia="黑体" w:hAnsi="黑体" w:cs="Arial"/>
                <w:sz w:val="20"/>
                <w:szCs w:val="20"/>
              </w:rPr>
            </w:pPr>
            <w:r w:rsidRPr="002718BE">
              <w:rPr>
                <w:rFonts w:ascii="黑体" w:eastAsia="黑体" w:hAnsi="黑体" w:cs="Arial" w:hint="eastAsia"/>
                <w:sz w:val="20"/>
                <w:szCs w:val="20"/>
              </w:rPr>
              <w:t>自</w:t>
            </w:r>
            <w:r>
              <w:rPr>
                <w:rFonts w:ascii="黑体" w:eastAsia="黑体" w:hAnsi="黑体" w:cs="Arial" w:hint="eastAsia"/>
                <w:sz w:val="20"/>
                <w:szCs w:val="20"/>
              </w:rPr>
              <w:t>2018年11月3日</w:t>
            </w:r>
          </w:p>
          <w:p w:rsidR="00D05A47" w:rsidRPr="002718BE" w:rsidRDefault="00D05A47" w:rsidP="006156FA">
            <w:pPr>
              <w:tabs>
                <w:tab w:val="left" w:pos="2517"/>
              </w:tabs>
              <w:overflowPunct w:val="0"/>
              <w:autoSpaceDE w:val="0"/>
              <w:autoSpaceDN w:val="0"/>
              <w:snapToGrid w:val="0"/>
              <w:ind w:leftChars="-68" w:left="-143" w:rightChars="4" w:right="8"/>
              <w:jc w:val="right"/>
              <w:rPr>
                <w:rFonts w:ascii="黑体" w:eastAsia="黑体" w:hAnsi="黑体" w:cs="Arial"/>
                <w:sz w:val="20"/>
                <w:szCs w:val="20"/>
              </w:rPr>
            </w:pPr>
            <w:r w:rsidRPr="002718BE">
              <w:rPr>
                <w:rFonts w:ascii="黑体" w:eastAsia="黑体" w:hAnsi="黑体" w:cs="Arial" w:hint="eastAsia"/>
                <w:sz w:val="20"/>
                <w:szCs w:val="20"/>
              </w:rPr>
              <w:t>至</w:t>
            </w:r>
            <w:r>
              <w:rPr>
                <w:rFonts w:ascii="黑体" w:eastAsia="黑体" w:hAnsi="黑体" w:cs="Arial" w:hint="eastAsia"/>
                <w:sz w:val="20"/>
                <w:szCs w:val="20"/>
              </w:rPr>
              <w:t>2019年2月15日</w:t>
            </w:r>
          </w:p>
          <w:p w:rsidR="00D05A47" w:rsidRPr="002718BE" w:rsidRDefault="00D05A47" w:rsidP="006156FA">
            <w:pPr>
              <w:overflowPunct w:val="0"/>
              <w:autoSpaceDE w:val="0"/>
              <w:autoSpaceDN w:val="0"/>
              <w:snapToGrid w:val="0"/>
              <w:ind w:rightChars="-2" w:right="-4"/>
              <w:jc w:val="right"/>
              <w:rPr>
                <w:rFonts w:ascii="黑体" w:eastAsia="黑体" w:hAnsi="黑体" w:cs="Arial"/>
                <w:sz w:val="20"/>
                <w:szCs w:val="20"/>
              </w:rPr>
            </w:pPr>
            <w:proofErr w:type="gramStart"/>
            <w:r w:rsidRPr="002718BE">
              <w:rPr>
                <w:rFonts w:ascii="黑体" w:eastAsia="黑体" w:hAnsi="黑体" w:cs="Arial" w:hint="eastAsia"/>
                <w:sz w:val="20"/>
                <w:szCs w:val="20"/>
              </w:rPr>
              <w:t>止</w:t>
            </w:r>
            <w:proofErr w:type="gramEnd"/>
            <w:r w:rsidRPr="002718BE">
              <w:rPr>
                <w:rFonts w:ascii="黑体" w:eastAsia="黑体" w:hAnsi="黑体" w:cs="Arial" w:hint="eastAsia"/>
                <w:sz w:val="20"/>
                <w:szCs w:val="20"/>
              </w:rPr>
              <w:t>清算期间</w:t>
            </w:r>
          </w:p>
        </w:tc>
        <w:tc>
          <w:tcPr>
            <w:tcW w:w="1648" w:type="dxa"/>
            <w:vAlign w:val="center"/>
          </w:tcPr>
          <w:p w:rsidR="00D05A47" w:rsidRPr="002718BE" w:rsidRDefault="00D05A47" w:rsidP="006156FA">
            <w:pPr>
              <w:overflowPunct w:val="0"/>
              <w:autoSpaceDE w:val="0"/>
              <w:autoSpaceDN w:val="0"/>
              <w:snapToGrid w:val="0"/>
              <w:ind w:rightChars="8" w:right="17"/>
              <w:jc w:val="right"/>
              <w:rPr>
                <w:rFonts w:ascii="黑体" w:eastAsia="黑体" w:hAnsi="黑体" w:cs="Arial"/>
                <w:sz w:val="20"/>
                <w:szCs w:val="20"/>
              </w:rPr>
            </w:pPr>
            <w:r w:rsidRPr="002718BE">
              <w:rPr>
                <w:rFonts w:ascii="黑体" w:eastAsia="黑体" w:hAnsi="黑体" w:cs="Arial" w:hint="eastAsia"/>
                <w:sz w:val="20"/>
                <w:szCs w:val="20"/>
              </w:rPr>
              <w:t>合计</w:t>
            </w:r>
          </w:p>
        </w:tc>
      </w:tr>
      <w:tr w:rsidR="00D05A47" w:rsidRPr="002718BE" w:rsidTr="006156FA">
        <w:trPr>
          <w:trHeight w:val="271"/>
          <w:jc w:val="right"/>
        </w:trPr>
        <w:tc>
          <w:tcPr>
            <w:tcW w:w="3402" w:type="dxa"/>
            <w:noWrap/>
            <w:vAlign w:val="bottom"/>
          </w:tcPr>
          <w:p w:rsidR="00D05A47" w:rsidRPr="002718BE" w:rsidRDefault="00D05A47" w:rsidP="006156FA">
            <w:pPr>
              <w:overflowPunct w:val="0"/>
              <w:autoSpaceDE w:val="0"/>
              <w:autoSpaceDN w:val="0"/>
              <w:snapToGrid w:val="0"/>
              <w:ind w:left="34"/>
              <w:jc w:val="left"/>
              <w:rPr>
                <w:rFonts w:ascii="黑体" w:eastAsia="黑体" w:hAnsi="黑体" w:cs="Arial"/>
                <w:sz w:val="20"/>
                <w:szCs w:val="20"/>
              </w:rPr>
            </w:pPr>
            <w:r w:rsidRPr="002718BE">
              <w:rPr>
                <w:rFonts w:ascii="黑体" w:eastAsia="黑体" w:hAnsi="黑体" w:cs="Arial" w:hint="eastAsia"/>
                <w:sz w:val="20"/>
                <w:szCs w:val="20"/>
              </w:rPr>
              <w:t>一、收益</w:t>
            </w:r>
          </w:p>
        </w:tc>
        <w:tc>
          <w:tcPr>
            <w:tcW w:w="1842" w:type="dxa"/>
            <w:noWrap/>
            <w:vAlign w:val="center"/>
          </w:tcPr>
          <w:p w:rsidR="00D05A47" w:rsidRPr="002718BE" w:rsidRDefault="00D05A47" w:rsidP="006156FA">
            <w:pPr>
              <w:overflowPunct w:val="0"/>
              <w:autoSpaceDE w:val="0"/>
              <w:autoSpaceDN w:val="0"/>
              <w:snapToGrid w:val="0"/>
              <w:ind w:rightChars="4" w:right="8"/>
              <w:jc w:val="right"/>
              <w:rPr>
                <w:rFonts w:ascii="黑体" w:eastAsia="黑体" w:hAnsi="黑体" w:cs="Arial"/>
                <w:sz w:val="20"/>
                <w:szCs w:val="20"/>
              </w:rPr>
            </w:pPr>
          </w:p>
        </w:tc>
        <w:tc>
          <w:tcPr>
            <w:tcW w:w="1843" w:type="dxa"/>
            <w:vAlign w:val="center"/>
          </w:tcPr>
          <w:p w:rsidR="00D05A47" w:rsidRPr="002718BE" w:rsidRDefault="00D05A47" w:rsidP="006156FA">
            <w:pPr>
              <w:overflowPunct w:val="0"/>
              <w:autoSpaceDE w:val="0"/>
              <w:autoSpaceDN w:val="0"/>
              <w:snapToGrid w:val="0"/>
              <w:ind w:rightChars="-2" w:right="-4"/>
              <w:jc w:val="right"/>
              <w:rPr>
                <w:rFonts w:ascii="黑体" w:eastAsia="黑体" w:hAnsi="黑体" w:cs="Arial"/>
                <w:sz w:val="20"/>
                <w:szCs w:val="20"/>
              </w:rPr>
            </w:pPr>
          </w:p>
        </w:tc>
        <w:tc>
          <w:tcPr>
            <w:tcW w:w="1648" w:type="dxa"/>
            <w:vAlign w:val="center"/>
          </w:tcPr>
          <w:p w:rsidR="00D05A47" w:rsidRPr="002718BE" w:rsidRDefault="00D05A47" w:rsidP="006156FA">
            <w:pPr>
              <w:overflowPunct w:val="0"/>
              <w:autoSpaceDE w:val="0"/>
              <w:autoSpaceDN w:val="0"/>
              <w:snapToGrid w:val="0"/>
              <w:ind w:rightChars="8" w:right="17"/>
              <w:jc w:val="right"/>
              <w:rPr>
                <w:rFonts w:ascii="黑体" w:eastAsia="黑体" w:hAnsi="黑体" w:cs="Arial"/>
                <w:sz w:val="20"/>
                <w:szCs w:val="20"/>
              </w:rPr>
            </w:pPr>
          </w:p>
        </w:tc>
      </w:tr>
      <w:tr w:rsidR="00D05A47" w:rsidRPr="002718BE" w:rsidTr="006156FA">
        <w:trPr>
          <w:trHeight w:val="80"/>
          <w:jc w:val="right"/>
        </w:trPr>
        <w:tc>
          <w:tcPr>
            <w:tcW w:w="3402" w:type="dxa"/>
            <w:noWrap/>
            <w:vAlign w:val="bottom"/>
          </w:tcPr>
          <w:p w:rsidR="00D05A47" w:rsidRPr="002718BE" w:rsidRDefault="00D05A47" w:rsidP="00D05A47">
            <w:pPr>
              <w:numPr>
                <w:ilvl w:val="0"/>
                <w:numId w:val="4"/>
              </w:numPr>
              <w:overflowPunct w:val="0"/>
              <w:autoSpaceDE w:val="0"/>
              <w:autoSpaceDN w:val="0"/>
              <w:snapToGrid w:val="0"/>
              <w:jc w:val="left"/>
              <w:rPr>
                <w:rFonts w:ascii="黑体" w:eastAsia="黑体" w:hAnsi="黑体" w:cs="Arial"/>
                <w:sz w:val="20"/>
                <w:szCs w:val="20"/>
              </w:rPr>
            </w:pPr>
            <w:r w:rsidRPr="002718BE">
              <w:rPr>
                <w:rFonts w:ascii="黑体" w:eastAsia="黑体" w:hAnsi="黑体" w:cs="Arial" w:hint="eastAsia"/>
                <w:sz w:val="20"/>
                <w:szCs w:val="20"/>
              </w:rPr>
              <w:t>利息收入（注1）</w:t>
            </w:r>
          </w:p>
        </w:tc>
        <w:tc>
          <w:tcPr>
            <w:tcW w:w="1842" w:type="dxa"/>
            <w:noWrap/>
            <w:vAlign w:val="center"/>
          </w:tcPr>
          <w:p w:rsidR="00D05A47" w:rsidRPr="002718BE" w:rsidRDefault="00D05A47" w:rsidP="006156FA">
            <w:pPr>
              <w:tabs>
                <w:tab w:val="left" w:pos="2462"/>
              </w:tabs>
              <w:overflowPunct w:val="0"/>
              <w:autoSpaceDE w:val="0"/>
              <w:autoSpaceDN w:val="0"/>
              <w:snapToGrid w:val="0"/>
              <w:ind w:rightChars="4" w:right="8"/>
              <w:jc w:val="right"/>
              <w:rPr>
                <w:rFonts w:ascii="黑体" w:eastAsia="黑体" w:hAnsi="黑体" w:cs="Arial"/>
                <w:sz w:val="20"/>
                <w:szCs w:val="20"/>
                <w:highlight w:val="yellow"/>
              </w:rPr>
            </w:pPr>
            <w:r w:rsidRPr="00C91F74">
              <w:rPr>
                <w:rFonts w:ascii="黑体" w:eastAsia="黑体" w:hAnsi="黑体" w:cs="Arial"/>
                <w:sz w:val="20"/>
                <w:szCs w:val="20"/>
              </w:rPr>
              <w:t>1,773.08</w:t>
            </w:r>
          </w:p>
        </w:tc>
        <w:tc>
          <w:tcPr>
            <w:tcW w:w="1843" w:type="dxa"/>
            <w:vAlign w:val="center"/>
          </w:tcPr>
          <w:p w:rsidR="00D05A47" w:rsidRPr="002718BE" w:rsidRDefault="00D05A47" w:rsidP="006156FA">
            <w:pPr>
              <w:tabs>
                <w:tab w:val="left" w:pos="2462"/>
              </w:tabs>
              <w:overflowPunct w:val="0"/>
              <w:autoSpaceDE w:val="0"/>
              <w:autoSpaceDN w:val="0"/>
              <w:snapToGrid w:val="0"/>
              <w:ind w:rightChars="-2" w:right="-4"/>
              <w:jc w:val="right"/>
              <w:rPr>
                <w:rFonts w:ascii="黑体" w:eastAsia="黑体" w:hAnsi="黑体" w:cs="Arial"/>
                <w:sz w:val="20"/>
                <w:szCs w:val="20"/>
              </w:rPr>
            </w:pPr>
            <w:r w:rsidRPr="00C91F74">
              <w:rPr>
                <w:rFonts w:ascii="黑体" w:eastAsia="黑体" w:hAnsi="黑体" w:cs="Arial"/>
                <w:sz w:val="20"/>
                <w:szCs w:val="20"/>
              </w:rPr>
              <w:t>6,698.05</w:t>
            </w:r>
          </w:p>
        </w:tc>
        <w:tc>
          <w:tcPr>
            <w:tcW w:w="1648" w:type="dxa"/>
            <w:vAlign w:val="center"/>
          </w:tcPr>
          <w:p w:rsidR="00D05A47" w:rsidRPr="002718BE" w:rsidRDefault="00D05A47" w:rsidP="006156FA">
            <w:pPr>
              <w:tabs>
                <w:tab w:val="left" w:pos="2462"/>
              </w:tabs>
              <w:overflowPunct w:val="0"/>
              <w:autoSpaceDE w:val="0"/>
              <w:autoSpaceDN w:val="0"/>
              <w:snapToGrid w:val="0"/>
              <w:ind w:rightChars="8" w:right="17"/>
              <w:jc w:val="right"/>
              <w:rPr>
                <w:rFonts w:ascii="黑体" w:eastAsia="黑体" w:hAnsi="黑体" w:cs="Arial"/>
                <w:sz w:val="20"/>
                <w:szCs w:val="20"/>
              </w:rPr>
            </w:pPr>
            <w:r w:rsidRPr="00C91F74">
              <w:rPr>
                <w:rFonts w:ascii="黑体" w:eastAsia="黑体" w:hAnsi="黑体" w:cs="Arial"/>
                <w:sz w:val="20"/>
                <w:szCs w:val="20"/>
              </w:rPr>
              <w:t>8,471.13</w:t>
            </w:r>
          </w:p>
        </w:tc>
      </w:tr>
      <w:tr w:rsidR="00D05A47" w:rsidRPr="002718BE" w:rsidTr="006156FA">
        <w:trPr>
          <w:trHeight w:val="80"/>
          <w:jc w:val="right"/>
        </w:trPr>
        <w:tc>
          <w:tcPr>
            <w:tcW w:w="3402" w:type="dxa"/>
            <w:noWrap/>
            <w:vAlign w:val="bottom"/>
          </w:tcPr>
          <w:p w:rsidR="00D05A47" w:rsidRPr="00C91F74" w:rsidRDefault="00D05A47" w:rsidP="00D05A47">
            <w:pPr>
              <w:numPr>
                <w:ilvl w:val="0"/>
                <w:numId w:val="4"/>
              </w:numPr>
              <w:overflowPunct w:val="0"/>
              <w:autoSpaceDE w:val="0"/>
              <w:autoSpaceDN w:val="0"/>
              <w:snapToGrid w:val="0"/>
              <w:jc w:val="left"/>
              <w:rPr>
                <w:rFonts w:ascii="黑体" w:eastAsia="黑体" w:hAnsi="黑体" w:cs="Arial"/>
                <w:sz w:val="20"/>
                <w:szCs w:val="20"/>
              </w:rPr>
            </w:pPr>
            <w:r w:rsidRPr="00C91F74">
              <w:rPr>
                <w:rFonts w:ascii="黑体" w:eastAsia="黑体" w:hAnsi="黑体" w:cs="Arial" w:hint="eastAsia"/>
                <w:sz w:val="20"/>
                <w:szCs w:val="20"/>
              </w:rPr>
              <w:t>处置价差投资收益（注</w:t>
            </w:r>
            <w:r w:rsidRPr="00C91F74">
              <w:rPr>
                <w:rFonts w:ascii="黑体" w:eastAsia="黑体" w:hAnsi="黑体" w:cs="Arial"/>
                <w:sz w:val="20"/>
                <w:szCs w:val="20"/>
              </w:rPr>
              <w:t>2</w:t>
            </w:r>
            <w:r w:rsidRPr="00C91F74">
              <w:rPr>
                <w:rFonts w:ascii="黑体" w:eastAsia="黑体" w:hAnsi="黑体" w:cs="Arial" w:hint="eastAsia"/>
                <w:sz w:val="20"/>
                <w:szCs w:val="20"/>
              </w:rPr>
              <w:t>）</w:t>
            </w:r>
          </w:p>
        </w:tc>
        <w:tc>
          <w:tcPr>
            <w:tcW w:w="1842" w:type="dxa"/>
            <w:noWrap/>
            <w:vAlign w:val="bottom"/>
          </w:tcPr>
          <w:p w:rsidR="00D05A47" w:rsidRPr="00C91F74" w:rsidRDefault="00D05A47" w:rsidP="006156FA">
            <w:pPr>
              <w:tabs>
                <w:tab w:val="left" w:pos="2462"/>
              </w:tabs>
              <w:overflowPunct w:val="0"/>
              <w:autoSpaceDE w:val="0"/>
              <w:autoSpaceDN w:val="0"/>
              <w:snapToGrid w:val="0"/>
              <w:ind w:rightChars="4" w:right="8"/>
              <w:jc w:val="right"/>
              <w:rPr>
                <w:rFonts w:ascii="黑体" w:eastAsia="黑体" w:hAnsi="黑体" w:cs="Arial"/>
                <w:sz w:val="20"/>
                <w:szCs w:val="20"/>
              </w:rPr>
            </w:pPr>
            <w:r w:rsidRPr="00C91F74">
              <w:rPr>
                <w:rFonts w:ascii="黑体" w:eastAsia="黑体" w:hAnsi="黑体" w:cs="Arial"/>
                <w:sz w:val="20"/>
                <w:szCs w:val="20"/>
              </w:rPr>
              <w:t>35,614.48</w:t>
            </w:r>
          </w:p>
        </w:tc>
        <w:tc>
          <w:tcPr>
            <w:tcW w:w="1843" w:type="dxa"/>
            <w:vAlign w:val="center"/>
          </w:tcPr>
          <w:p w:rsidR="00D05A47" w:rsidRPr="002718BE" w:rsidRDefault="00D05A47" w:rsidP="006156FA">
            <w:pPr>
              <w:tabs>
                <w:tab w:val="left" w:pos="2508"/>
                <w:tab w:val="left" w:pos="2834"/>
              </w:tabs>
              <w:overflowPunct w:val="0"/>
              <w:autoSpaceDE w:val="0"/>
              <w:autoSpaceDN w:val="0"/>
              <w:snapToGrid w:val="0"/>
              <w:ind w:rightChars="-53" w:right="-111"/>
              <w:jc w:val="right"/>
              <w:rPr>
                <w:rFonts w:ascii="黑体" w:eastAsia="黑体" w:hAnsi="黑体" w:cs="Arial"/>
                <w:sz w:val="20"/>
                <w:szCs w:val="20"/>
              </w:rPr>
            </w:pPr>
            <w:r>
              <w:rPr>
                <w:rFonts w:ascii="黑体" w:eastAsia="黑体" w:hAnsi="黑体" w:cs="Arial"/>
                <w:sz w:val="20"/>
                <w:szCs w:val="20"/>
              </w:rPr>
              <w:t>(</w:t>
            </w:r>
            <w:r w:rsidRPr="00C91F74">
              <w:rPr>
                <w:rFonts w:ascii="黑体" w:eastAsia="黑体" w:hAnsi="黑体" w:cs="Arial"/>
                <w:sz w:val="20"/>
                <w:szCs w:val="20"/>
              </w:rPr>
              <w:t>901,808.46</w:t>
            </w:r>
            <w:r>
              <w:rPr>
                <w:rFonts w:ascii="黑体" w:eastAsia="黑体" w:hAnsi="黑体" w:cs="Arial"/>
                <w:sz w:val="20"/>
                <w:szCs w:val="20"/>
              </w:rPr>
              <w:t>)</w:t>
            </w:r>
          </w:p>
        </w:tc>
        <w:tc>
          <w:tcPr>
            <w:tcW w:w="1648" w:type="dxa"/>
            <w:vAlign w:val="center"/>
          </w:tcPr>
          <w:p w:rsidR="00D05A47" w:rsidRPr="002718BE" w:rsidRDefault="00D05A47" w:rsidP="006156FA">
            <w:pPr>
              <w:tabs>
                <w:tab w:val="left" w:pos="2508"/>
                <w:tab w:val="left" w:pos="2834"/>
              </w:tabs>
              <w:overflowPunct w:val="0"/>
              <w:autoSpaceDE w:val="0"/>
              <w:autoSpaceDN w:val="0"/>
              <w:snapToGrid w:val="0"/>
              <w:ind w:rightChars="-44" w:right="-92"/>
              <w:jc w:val="right"/>
              <w:rPr>
                <w:rFonts w:ascii="黑体" w:eastAsia="黑体" w:hAnsi="黑体" w:cs="Arial"/>
                <w:sz w:val="20"/>
                <w:szCs w:val="20"/>
              </w:rPr>
            </w:pPr>
            <w:r>
              <w:rPr>
                <w:rFonts w:ascii="黑体" w:eastAsia="黑体" w:hAnsi="黑体" w:cs="Arial"/>
                <w:sz w:val="20"/>
                <w:szCs w:val="20"/>
              </w:rPr>
              <w:t>(</w:t>
            </w:r>
            <w:r w:rsidRPr="00C91F74">
              <w:rPr>
                <w:rFonts w:ascii="黑体" w:eastAsia="黑体" w:hAnsi="黑体" w:cs="Arial"/>
                <w:sz w:val="20"/>
                <w:szCs w:val="20"/>
              </w:rPr>
              <w:t>866,193.98</w:t>
            </w:r>
            <w:r>
              <w:rPr>
                <w:rFonts w:ascii="黑体" w:eastAsia="黑体" w:hAnsi="黑体" w:cs="Arial"/>
                <w:sz w:val="20"/>
                <w:szCs w:val="20"/>
              </w:rPr>
              <w:t>)</w:t>
            </w:r>
          </w:p>
        </w:tc>
      </w:tr>
      <w:tr w:rsidR="00D05A47" w:rsidRPr="002718BE" w:rsidTr="006156FA">
        <w:trPr>
          <w:trHeight w:val="80"/>
          <w:jc w:val="right"/>
        </w:trPr>
        <w:tc>
          <w:tcPr>
            <w:tcW w:w="3402" w:type="dxa"/>
            <w:noWrap/>
            <w:vAlign w:val="bottom"/>
          </w:tcPr>
          <w:p w:rsidR="00D05A47" w:rsidRPr="00C91F74" w:rsidRDefault="00D05A47" w:rsidP="00D05A47">
            <w:pPr>
              <w:numPr>
                <w:ilvl w:val="0"/>
                <w:numId w:val="4"/>
              </w:numPr>
              <w:overflowPunct w:val="0"/>
              <w:autoSpaceDE w:val="0"/>
              <w:autoSpaceDN w:val="0"/>
              <w:snapToGrid w:val="0"/>
              <w:jc w:val="left"/>
              <w:rPr>
                <w:rFonts w:ascii="黑体" w:eastAsia="黑体" w:hAnsi="黑体" w:cs="Arial"/>
                <w:sz w:val="20"/>
                <w:szCs w:val="20"/>
              </w:rPr>
            </w:pPr>
            <w:r w:rsidRPr="00C91F74">
              <w:rPr>
                <w:rFonts w:ascii="黑体" w:eastAsia="黑体" w:hAnsi="黑体" w:cs="Arial" w:hint="eastAsia"/>
                <w:sz w:val="20"/>
                <w:szCs w:val="20"/>
              </w:rPr>
              <w:t>公允价值变动损益（注</w:t>
            </w:r>
            <w:r w:rsidRPr="00C91F74">
              <w:rPr>
                <w:rFonts w:ascii="黑体" w:eastAsia="黑体" w:hAnsi="黑体" w:cs="Arial"/>
                <w:sz w:val="20"/>
                <w:szCs w:val="20"/>
              </w:rPr>
              <w:t>3</w:t>
            </w:r>
            <w:r w:rsidRPr="00C91F74">
              <w:rPr>
                <w:rFonts w:ascii="黑体" w:eastAsia="黑体" w:hAnsi="黑体" w:cs="Arial" w:hint="eastAsia"/>
                <w:sz w:val="20"/>
                <w:szCs w:val="20"/>
              </w:rPr>
              <w:t>）</w:t>
            </w:r>
          </w:p>
        </w:tc>
        <w:tc>
          <w:tcPr>
            <w:tcW w:w="1842" w:type="dxa"/>
            <w:noWrap/>
            <w:vAlign w:val="bottom"/>
          </w:tcPr>
          <w:p w:rsidR="00D05A47" w:rsidRPr="00C91F74" w:rsidRDefault="00D05A47" w:rsidP="006156FA">
            <w:pPr>
              <w:tabs>
                <w:tab w:val="left" w:pos="2462"/>
              </w:tabs>
              <w:overflowPunct w:val="0"/>
              <w:autoSpaceDE w:val="0"/>
              <w:autoSpaceDN w:val="0"/>
              <w:snapToGrid w:val="0"/>
              <w:ind w:rightChars="-35" w:right="-73"/>
              <w:jc w:val="right"/>
              <w:rPr>
                <w:rFonts w:ascii="黑体" w:eastAsia="黑体" w:hAnsi="黑体" w:cs="Arial"/>
                <w:sz w:val="20"/>
                <w:szCs w:val="20"/>
              </w:rPr>
            </w:pPr>
            <w:r w:rsidRPr="00C91F74">
              <w:rPr>
                <w:rFonts w:ascii="黑体" w:eastAsia="黑体" w:hAnsi="黑体" w:cs="Arial"/>
                <w:sz w:val="20"/>
                <w:szCs w:val="20"/>
              </w:rPr>
              <w:t>(361,051.40)</w:t>
            </w:r>
          </w:p>
        </w:tc>
        <w:tc>
          <w:tcPr>
            <w:tcW w:w="1843" w:type="dxa"/>
            <w:vAlign w:val="center"/>
          </w:tcPr>
          <w:p w:rsidR="00D05A47" w:rsidRPr="002718BE" w:rsidRDefault="00D05A47" w:rsidP="006156FA">
            <w:pPr>
              <w:overflowPunct w:val="0"/>
              <w:autoSpaceDE w:val="0"/>
              <w:autoSpaceDN w:val="0"/>
              <w:snapToGrid w:val="0"/>
              <w:ind w:rightChars="-2" w:right="-4"/>
              <w:jc w:val="right"/>
              <w:rPr>
                <w:rFonts w:ascii="黑体" w:eastAsia="黑体" w:hAnsi="黑体" w:cs="Arial"/>
                <w:sz w:val="20"/>
                <w:szCs w:val="20"/>
              </w:rPr>
            </w:pPr>
            <w:r w:rsidRPr="00C91F74">
              <w:rPr>
                <w:rFonts w:ascii="黑体" w:eastAsia="黑体" w:hAnsi="黑体" w:cs="Arial"/>
                <w:sz w:val="20"/>
                <w:szCs w:val="20"/>
              </w:rPr>
              <w:t>791,822.45</w:t>
            </w:r>
          </w:p>
        </w:tc>
        <w:tc>
          <w:tcPr>
            <w:tcW w:w="1648" w:type="dxa"/>
            <w:vAlign w:val="center"/>
          </w:tcPr>
          <w:p w:rsidR="00D05A47" w:rsidRPr="002718BE" w:rsidRDefault="00D05A47" w:rsidP="006156FA">
            <w:pPr>
              <w:overflowPunct w:val="0"/>
              <w:autoSpaceDE w:val="0"/>
              <w:autoSpaceDN w:val="0"/>
              <w:snapToGrid w:val="0"/>
              <w:ind w:rightChars="8" w:right="17"/>
              <w:jc w:val="right"/>
              <w:rPr>
                <w:rFonts w:ascii="黑体" w:eastAsia="黑体" w:hAnsi="黑体" w:cs="Arial"/>
                <w:sz w:val="20"/>
                <w:szCs w:val="20"/>
              </w:rPr>
            </w:pPr>
            <w:r w:rsidRPr="00C91F74">
              <w:rPr>
                <w:rFonts w:ascii="黑体" w:eastAsia="黑体" w:hAnsi="黑体" w:cs="Arial"/>
                <w:sz w:val="20"/>
                <w:szCs w:val="20"/>
              </w:rPr>
              <w:t>430,771.05</w:t>
            </w:r>
          </w:p>
        </w:tc>
      </w:tr>
      <w:tr w:rsidR="00D05A47" w:rsidRPr="002718BE" w:rsidTr="006156FA">
        <w:trPr>
          <w:trHeight w:val="80"/>
          <w:jc w:val="right"/>
        </w:trPr>
        <w:tc>
          <w:tcPr>
            <w:tcW w:w="3402" w:type="dxa"/>
            <w:noWrap/>
            <w:vAlign w:val="bottom"/>
          </w:tcPr>
          <w:p w:rsidR="00D05A47" w:rsidRPr="002718BE" w:rsidRDefault="00D05A47" w:rsidP="006156FA">
            <w:pPr>
              <w:overflowPunct w:val="0"/>
              <w:autoSpaceDE w:val="0"/>
              <w:autoSpaceDN w:val="0"/>
              <w:snapToGrid w:val="0"/>
              <w:ind w:left="459"/>
              <w:jc w:val="left"/>
              <w:rPr>
                <w:rFonts w:ascii="黑体" w:eastAsia="黑体" w:hAnsi="黑体" w:cs="Arial"/>
                <w:sz w:val="20"/>
                <w:szCs w:val="20"/>
              </w:rPr>
            </w:pPr>
            <w:r w:rsidRPr="002718BE">
              <w:rPr>
                <w:rFonts w:ascii="黑体" w:eastAsia="黑体" w:hAnsi="黑体" w:cs="Arial" w:hint="eastAsia"/>
                <w:sz w:val="20"/>
                <w:szCs w:val="20"/>
              </w:rPr>
              <w:t>收益小计</w:t>
            </w:r>
          </w:p>
        </w:tc>
        <w:tc>
          <w:tcPr>
            <w:tcW w:w="1842" w:type="dxa"/>
            <w:tcBorders>
              <w:bottom w:val="single" w:sz="4" w:space="0" w:color="auto"/>
            </w:tcBorders>
            <w:noWrap/>
            <w:vAlign w:val="bottom"/>
          </w:tcPr>
          <w:p w:rsidR="00D05A47" w:rsidRPr="00C91F74" w:rsidRDefault="00D05A47" w:rsidP="006156FA">
            <w:pPr>
              <w:tabs>
                <w:tab w:val="left" w:pos="2462"/>
              </w:tabs>
              <w:overflowPunct w:val="0"/>
              <w:autoSpaceDE w:val="0"/>
              <w:autoSpaceDN w:val="0"/>
              <w:snapToGrid w:val="0"/>
              <w:ind w:rightChars="-35" w:right="-73"/>
              <w:jc w:val="right"/>
              <w:rPr>
                <w:rFonts w:ascii="黑体" w:eastAsia="黑体" w:hAnsi="黑体" w:cs="Arial"/>
                <w:sz w:val="20"/>
                <w:szCs w:val="20"/>
              </w:rPr>
            </w:pPr>
            <w:r w:rsidRPr="00C91F74">
              <w:rPr>
                <w:rFonts w:ascii="黑体" w:eastAsia="黑体" w:hAnsi="黑体" w:cs="Arial"/>
                <w:sz w:val="20"/>
                <w:szCs w:val="20"/>
              </w:rPr>
              <w:t>(323,663.84)</w:t>
            </w:r>
          </w:p>
        </w:tc>
        <w:tc>
          <w:tcPr>
            <w:tcW w:w="1843" w:type="dxa"/>
            <w:vAlign w:val="center"/>
          </w:tcPr>
          <w:p w:rsidR="00D05A47" w:rsidRPr="002718BE" w:rsidRDefault="00D05A47" w:rsidP="006156FA">
            <w:pPr>
              <w:pBdr>
                <w:bottom w:val="single" w:sz="4" w:space="1" w:color="auto"/>
              </w:pBdr>
              <w:overflowPunct w:val="0"/>
              <w:autoSpaceDE w:val="0"/>
              <w:autoSpaceDN w:val="0"/>
              <w:snapToGrid w:val="0"/>
              <w:ind w:left="192" w:rightChars="-47" w:right="-99"/>
              <w:jc w:val="right"/>
              <w:rPr>
                <w:rFonts w:ascii="黑体" w:eastAsia="黑体" w:hAnsi="黑体" w:cs="Arial"/>
                <w:sz w:val="20"/>
                <w:szCs w:val="20"/>
              </w:rPr>
            </w:pPr>
            <w:r>
              <w:rPr>
                <w:rFonts w:ascii="黑体" w:eastAsia="黑体" w:hAnsi="黑体" w:cs="Arial"/>
                <w:sz w:val="20"/>
                <w:szCs w:val="20"/>
              </w:rPr>
              <w:t>(</w:t>
            </w:r>
            <w:r w:rsidRPr="00C91F74">
              <w:rPr>
                <w:rFonts w:ascii="黑体" w:eastAsia="黑体" w:hAnsi="黑体" w:cs="Arial"/>
                <w:sz w:val="20"/>
                <w:szCs w:val="20"/>
              </w:rPr>
              <w:t>103,287.96</w:t>
            </w:r>
            <w:r>
              <w:rPr>
                <w:rFonts w:ascii="黑体" w:eastAsia="黑体" w:hAnsi="黑体" w:cs="Arial"/>
                <w:sz w:val="20"/>
                <w:szCs w:val="20"/>
              </w:rPr>
              <w:t>)</w:t>
            </w:r>
          </w:p>
        </w:tc>
        <w:tc>
          <w:tcPr>
            <w:tcW w:w="1648" w:type="dxa"/>
            <w:vAlign w:val="center"/>
          </w:tcPr>
          <w:p w:rsidR="00D05A47" w:rsidRPr="002718BE" w:rsidRDefault="00D05A47" w:rsidP="006156FA">
            <w:pPr>
              <w:pBdr>
                <w:bottom w:val="single" w:sz="4" w:space="1" w:color="auto"/>
              </w:pBdr>
              <w:overflowPunct w:val="0"/>
              <w:autoSpaceDE w:val="0"/>
              <w:autoSpaceDN w:val="0"/>
              <w:snapToGrid w:val="0"/>
              <w:ind w:left="186" w:rightChars="-37" w:right="-78"/>
              <w:jc w:val="right"/>
              <w:rPr>
                <w:rFonts w:ascii="黑体" w:eastAsia="黑体" w:hAnsi="黑体" w:cs="Arial"/>
                <w:sz w:val="20"/>
                <w:szCs w:val="20"/>
              </w:rPr>
            </w:pPr>
            <w:r>
              <w:rPr>
                <w:rFonts w:ascii="黑体" w:eastAsia="黑体" w:hAnsi="黑体" w:cs="Arial"/>
                <w:sz w:val="20"/>
                <w:szCs w:val="20"/>
              </w:rPr>
              <w:t>(</w:t>
            </w:r>
            <w:r w:rsidRPr="00C91F74">
              <w:rPr>
                <w:rFonts w:ascii="黑体" w:eastAsia="黑体" w:hAnsi="黑体" w:cs="Arial"/>
                <w:sz w:val="20"/>
                <w:szCs w:val="20"/>
              </w:rPr>
              <w:t>426,951.80</w:t>
            </w:r>
            <w:r>
              <w:rPr>
                <w:rFonts w:ascii="黑体" w:eastAsia="黑体" w:hAnsi="黑体" w:cs="Arial"/>
                <w:sz w:val="20"/>
                <w:szCs w:val="20"/>
              </w:rPr>
              <w:t>)</w:t>
            </w:r>
          </w:p>
        </w:tc>
      </w:tr>
      <w:tr w:rsidR="00D05A47" w:rsidRPr="002718BE" w:rsidTr="006156FA">
        <w:trPr>
          <w:trHeight w:val="80"/>
          <w:jc w:val="right"/>
        </w:trPr>
        <w:tc>
          <w:tcPr>
            <w:tcW w:w="3402" w:type="dxa"/>
            <w:noWrap/>
            <w:vAlign w:val="bottom"/>
          </w:tcPr>
          <w:p w:rsidR="00D05A47" w:rsidRPr="002718BE" w:rsidRDefault="00D05A47" w:rsidP="006156FA">
            <w:pPr>
              <w:overflowPunct w:val="0"/>
              <w:autoSpaceDE w:val="0"/>
              <w:autoSpaceDN w:val="0"/>
              <w:snapToGrid w:val="0"/>
              <w:jc w:val="left"/>
              <w:rPr>
                <w:rFonts w:ascii="黑体" w:eastAsia="黑体" w:hAnsi="黑体" w:cs="Arial"/>
                <w:sz w:val="20"/>
                <w:szCs w:val="20"/>
              </w:rPr>
            </w:pPr>
          </w:p>
        </w:tc>
        <w:tc>
          <w:tcPr>
            <w:tcW w:w="1842" w:type="dxa"/>
            <w:noWrap/>
            <w:vAlign w:val="center"/>
          </w:tcPr>
          <w:p w:rsidR="00D05A47" w:rsidRPr="002718BE" w:rsidRDefault="00D05A47" w:rsidP="006156FA">
            <w:pPr>
              <w:overflowPunct w:val="0"/>
              <w:autoSpaceDE w:val="0"/>
              <w:autoSpaceDN w:val="0"/>
              <w:snapToGrid w:val="0"/>
              <w:ind w:left="1026" w:rightChars="4" w:right="8"/>
              <w:jc w:val="right"/>
              <w:rPr>
                <w:rFonts w:ascii="黑体" w:eastAsia="黑体" w:hAnsi="黑体" w:cs="Arial"/>
                <w:sz w:val="20"/>
                <w:szCs w:val="20"/>
                <w:u w:val="single"/>
              </w:rPr>
            </w:pPr>
          </w:p>
        </w:tc>
        <w:tc>
          <w:tcPr>
            <w:tcW w:w="1843" w:type="dxa"/>
            <w:vAlign w:val="center"/>
          </w:tcPr>
          <w:p w:rsidR="00D05A47" w:rsidRPr="002718BE" w:rsidRDefault="00D05A47" w:rsidP="006156FA">
            <w:pPr>
              <w:overflowPunct w:val="0"/>
              <w:autoSpaceDE w:val="0"/>
              <w:autoSpaceDN w:val="0"/>
              <w:snapToGrid w:val="0"/>
              <w:ind w:left="1026" w:rightChars="-2" w:right="-4"/>
              <w:jc w:val="right"/>
              <w:rPr>
                <w:rFonts w:ascii="黑体" w:eastAsia="黑体" w:hAnsi="黑体" w:cs="Arial"/>
                <w:sz w:val="20"/>
                <w:szCs w:val="20"/>
                <w:u w:val="single"/>
              </w:rPr>
            </w:pPr>
          </w:p>
        </w:tc>
        <w:tc>
          <w:tcPr>
            <w:tcW w:w="1648" w:type="dxa"/>
            <w:vAlign w:val="center"/>
          </w:tcPr>
          <w:p w:rsidR="00D05A47" w:rsidRPr="002718BE" w:rsidRDefault="00D05A47" w:rsidP="006156FA">
            <w:pPr>
              <w:overflowPunct w:val="0"/>
              <w:autoSpaceDE w:val="0"/>
              <w:autoSpaceDN w:val="0"/>
              <w:snapToGrid w:val="0"/>
              <w:ind w:left="1026" w:rightChars="8" w:right="17"/>
              <w:jc w:val="right"/>
              <w:rPr>
                <w:rFonts w:ascii="黑体" w:eastAsia="黑体" w:hAnsi="黑体" w:cs="Arial"/>
                <w:sz w:val="20"/>
                <w:szCs w:val="20"/>
                <w:u w:val="single"/>
              </w:rPr>
            </w:pPr>
          </w:p>
        </w:tc>
      </w:tr>
      <w:tr w:rsidR="00D05A47" w:rsidRPr="002718BE" w:rsidTr="006156FA">
        <w:trPr>
          <w:trHeight w:val="80"/>
          <w:jc w:val="right"/>
        </w:trPr>
        <w:tc>
          <w:tcPr>
            <w:tcW w:w="3402" w:type="dxa"/>
            <w:noWrap/>
            <w:vAlign w:val="bottom"/>
          </w:tcPr>
          <w:p w:rsidR="00D05A47" w:rsidRPr="002718BE" w:rsidRDefault="00D05A47" w:rsidP="006156FA">
            <w:pPr>
              <w:overflowPunct w:val="0"/>
              <w:autoSpaceDE w:val="0"/>
              <w:autoSpaceDN w:val="0"/>
              <w:snapToGrid w:val="0"/>
              <w:ind w:left="34"/>
              <w:jc w:val="left"/>
              <w:rPr>
                <w:rFonts w:ascii="黑体" w:eastAsia="黑体" w:hAnsi="黑体" w:cs="Arial"/>
                <w:sz w:val="20"/>
                <w:szCs w:val="20"/>
              </w:rPr>
            </w:pPr>
            <w:r w:rsidRPr="002718BE">
              <w:rPr>
                <w:rFonts w:ascii="黑体" w:eastAsia="黑体" w:hAnsi="黑体" w:cs="Arial" w:hint="eastAsia"/>
                <w:sz w:val="20"/>
                <w:szCs w:val="20"/>
              </w:rPr>
              <w:t>二、费用</w:t>
            </w:r>
          </w:p>
        </w:tc>
        <w:tc>
          <w:tcPr>
            <w:tcW w:w="1842" w:type="dxa"/>
            <w:noWrap/>
            <w:vAlign w:val="center"/>
          </w:tcPr>
          <w:p w:rsidR="00D05A47" w:rsidRPr="002718BE" w:rsidRDefault="00D05A47" w:rsidP="006156FA">
            <w:pPr>
              <w:overflowPunct w:val="0"/>
              <w:autoSpaceDE w:val="0"/>
              <w:autoSpaceDN w:val="0"/>
              <w:snapToGrid w:val="0"/>
              <w:ind w:left="1026" w:rightChars="4" w:right="8"/>
              <w:jc w:val="right"/>
              <w:rPr>
                <w:rFonts w:ascii="黑体" w:eastAsia="黑体" w:hAnsi="黑体" w:cs="Arial"/>
                <w:sz w:val="20"/>
                <w:szCs w:val="20"/>
              </w:rPr>
            </w:pPr>
          </w:p>
        </w:tc>
        <w:tc>
          <w:tcPr>
            <w:tcW w:w="1843" w:type="dxa"/>
            <w:vAlign w:val="center"/>
          </w:tcPr>
          <w:p w:rsidR="00D05A47" w:rsidRPr="002718BE" w:rsidRDefault="00D05A47" w:rsidP="006156FA">
            <w:pPr>
              <w:overflowPunct w:val="0"/>
              <w:autoSpaceDE w:val="0"/>
              <w:autoSpaceDN w:val="0"/>
              <w:snapToGrid w:val="0"/>
              <w:ind w:left="1026" w:rightChars="-2" w:right="-4"/>
              <w:jc w:val="right"/>
              <w:rPr>
                <w:rFonts w:ascii="黑体" w:eastAsia="黑体" w:hAnsi="黑体" w:cs="Arial"/>
                <w:sz w:val="20"/>
                <w:szCs w:val="20"/>
              </w:rPr>
            </w:pPr>
          </w:p>
        </w:tc>
        <w:tc>
          <w:tcPr>
            <w:tcW w:w="1648" w:type="dxa"/>
            <w:vAlign w:val="center"/>
          </w:tcPr>
          <w:p w:rsidR="00D05A47" w:rsidRPr="002718BE" w:rsidRDefault="00D05A47" w:rsidP="006156FA">
            <w:pPr>
              <w:overflowPunct w:val="0"/>
              <w:autoSpaceDE w:val="0"/>
              <w:autoSpaceDN w:val="0"/>
              <w:snapToGrid w:val="0"/>
              <w:ind w:left="1026" w:rightChars="8" w:right="17"/>
              <w:jc w:val="right"/>
              <w:rPr>
                <w:rFonts w:ascii="黑体" w:eastAsia="黑体" w:hAnsi="黑体" w:cs="Arial"/>
                <w:sz w:val="20"/>
                <w:szCs w:val="20"/>
              </w:rPr>
            </w:pPr>
          </w:p>
        </w:tc>
      </w:tr>
      <w:tr w:rsidR="00D05A47" w:rsidRPr="002718BE" w:rsidTr="006156FA">
        <w:trPr>
          <w:trHeight w:val="80"/>
          <w:jc w:val="right"/>
        </w:trPr>
        <w:tc>
          <w:tcPr>
            <w:tcW w:w="3402" w:type="dxa"/>
            <w:noWrap/>
            <w:vAlign w:val="bottom"/>
          </w:tcPr>
          <w:p w:rsidR="00D05A47" w:rsidRPr="002718BE" w:rsidRDefault="00D05A47" w:rsidP="006156FA">
            <w:pPr>
              <w:overflowPunct w:val="0"/>
              <w:autoSpaceDE w:val="0"/>
              <w:autoSpaceDN w:val="0"/>
              <w:snapToGrid w:val="0"/>
              <w:ind w:left="459"/>
              <w:jc w:val="left"/>
              <w:rPr>
                <w:rFonts w:ascii="黑体" w:eastAsia="黑体" w:hAnsi="黑体" w:cs="Arial"/>
                <w:sz w:val="20"/>
                <w:szCs w:val="20"/>
              </w:rPr>
            </w:pPr>
            <w:r w:rsidRPr="002718BE">
              <w:rPr>
                <w:rFonts w:ascii="黑体" w:eastAsia="黑体" w:hAnsi="黑体" w:cs="Arial"/>
                <w:sz w:val="20"/>
                <w:szCs w:val="20"/>
              </w:rPr>
              <w:t>1</w:t>
            </w:r>
            <w:r w:rsidRPr="002718BE">
              <w:rPr>
                <w:rFonts w:ascii="黑体" w:eastAsia="黑体" w:hAnsi="黑体" w:cs="Arial" w:hint="eastAsia"/>
                <w:sz w:val="20"/>
                <w:szCs w:val="20"/>
              </w:rPr>
              <w:t>、清算费用（注</w:t>
            </w:r>
            <w:r>
              <w:rPr>
                <w:rFonts w:ascii="黑体" w:eastAsia="黑体" w:hAnsi="黑体" w:cs="Arial"/>
                <w:sz w:val="20"/>
                <w:szCs w:val="20"/>
              </w:rPr>
              <w:t>4</w:t>
            </w:r>
            <w:r w:rsidRPr="002718BE">
              <w:rPr>
                <w:rFonts w:ascii="黑体" w:eastAsia="黑体" w:hAnsi="黑体" w:cs="Arial" w:hint="eastAsia"/>
                <w:sz w:val="20"/>
                <w:szCs w:val="20"/>
              </w:rPr>
              <w:t>）</w:t>
            </w:r>
          </w:p>
        </w:tc>
        <w:tc>
          <w:tcPr>
            <w:tcW w:w="1842" w:type="dxa"/>
            <w:noWrap/>
            <w:vAlign w:val="center"/>
          </w:tcPr>
          <w:p w:rsidR="00D05A47" w:rsidRPr="002718BE" w:rsidRDefault="00D05A47" w:rsidP="006156FA">
            <w:pPr>
              <w:overflowPunct w:val="0"/>
              <w:autoSpaceDE w:val="0"/>
              <w:autoSpaceDN w:val="0"/>
              <w:snapToGrid w:val="0"/>
              <w:ind w:rightChars="4" w:right="8"/>
              <w:jc w:val="right"/>
              <w:rPr>
                <w:rFonts w:ascii="黑体" w:eastAsia="黑体" w:hAnsi="黑体" w:cs="Arial"/>
                <w:sz w:val="20"/>
                <w:szCs w:val="20"/>
              </w:rPr>
            </w:pPr>
            <w:r w:rsidRPr="00C91F74">
              <w:rPr>
                <w:rFonts w:ascii="黑体" w:eastAsia="黑体" w:hAnsi="黑体" w:cs="Arial"/>
                <w:sz w:val="20"/>
                <w:szCs w:val="20"/>
              </w:rPr>
              <w:t>678.62</w:t>
            </w:r>
          </w:p>
        </w:tc>
        <w:tc>
          <w:tcPr>
            <w:tcW w:w="1843" w:type="dxa"/>
            <w:vAlign w:val="center"/>
          </w:tcPr>
          <w:p w:rsidR="00D05A47" w:rsidRPr="002718BE" w:rsidRDefault="00D05A47" w:rsidP="006156FA">
            <w:pPr>
              <w:overflowPunct w:val="0"/>
              <w:autoSpaceDE w:val="0"/>
              <w:autoSpaceDN w:val="0"/>
              <w:snapToGrid w:val="0"/>
              <w:ind w:rightChars="-2" w:right="-4"/>
              <w:jc w:val="right"/>
              <w:rPr>
                <w:rFonts w:ascii="黑体" w:eastAsia="黑体" w:hAnsi="黑体" w:cs="Arial"/>
                <w:sz w:val="20"/>
                <w:szCs w:val="20"/>
              </w:rPr>
            </w:pPr>
            <w:r w:rsidRPr="00C91F74">
              <w:rPr>
                <w:rFonts w:ascii="黑体" w:eastAsia="黑体" w:hAnsi="黑体" w:cs="Arial"/>
                <w:sz w:val="20"/>
                <w:szCs w:val="20"/>
              </w:rPr>
              <w:t>3,763.23</w:t>
            </w:r>
          </w:p>
        </w:tc>
        <w:tc>
          <w:tcPr>
            <w:tcW w:w="1648" w:type="dxa"/>
            <w:vAlign w:val="center"/>
          </w:tcPr>
          <w:p w:rsidR="00D05A47" w:rsidRPr="002718BE" w:rsidRDefault="00D05A47" w:rsidP="006156FA">
            <w:pPr>
              <w:overflowPunct w:val="0"/>
              <w:autoSpaceDE w:val="0"/>
              <w:autoSpaceDN w:val="0"/>
              <w:snapToGrid w:val="0"/>
              <w:ind w:rightChars="8" w:right="17"/>
              <w:jc w:val="right"/>
              <w:rPr>
                <w:rFonts w:ascii="黑体" w:eastAsia="黑体" w:hAnsi="黑体" w:cs="Arial"/>
                <w:sz w:val="20"/>
                <w:szCs w:val="20"/>
              </w:rPr>
            </w:pPr>
            <w:r w:rsidRPr="00C91F74">
              <w:rPr>
                <w:rFonts w:ascii="黑体" w:eastAsia="黑体" w:hAnsi="黑体" w:cs="Arial"/>
                <w:sz w:val="20"/>
                <w:szCs w:val="20"/>
              </w:rPr>
              <w:t>4,441.85</w:t>
            </w:r>
          </w:p>
        </w:tc>
      </w:tr>
      <w:tr w:rsidR="00D05A47" w:rsidRPr="002718BE" w:rsidTr="006156FA">
        <w:trPr>
          <w:trHeight w:val="80"/>
          <w:jc w:val="right"/>
        </w:trPr>
        <w:tc>
          <w:tcPr>
            <w:tcW w:w="3402" w:type="dxa"/>
            <w:tcBorders>
              <w:bottom w:val="nil"/>
            </w:tcBorders>
            <w:noWrap/>
            <w:vAlign w:val="bottom"/>
          </w:tcPr>
          <w:p w:rsidR="00D05A47" w:rsidRPr="002718BE" w:rsidRDefault="00D05A47" w:rsidP="006156FA">
            <w:pPr>
              <w:overflowPunct w:val="0"/>
              <w:autoSpaceDE w:val="0"/>
              <w:autoSpaceDN w:val="0"/>
              <w:snapToGrid w:val="0"/>
              <w:ind w:left="459"/>
              <w:jc w:val="left"/>
              <w:rPr>
                <w:rFonts w:ascii="黑体" w:eastAsia="黑体" w:hAnsi="黑体" w:cs="Arial"/>
                <w:sz w:val="20"/>
                <w:szCs w:val="20"/>
              </w:rPr>
            </w:pPr>
            <w:r w:rsidRPr="002718BE">
              <w:rPr>
                <w:rFonts w:ascii="黑体" w:eastAsia="黑体" w:hAnsi="黑体" w:cs="Arial" w:hint="eastAsia"/>
                <w:sz w:val="20"/>
                <w:szCs w:val="20"/>
              </w:rPr>
              <w:t>费用小计</w:t>
            </w:r>
          </w:p>
        </w:tc>
        <w:tc>
          <w:tcPr>
            <w:tcW w:w="1842" w:type="dxa"/>
            <w:tcBorders>
              <w:bottom w:val="nil"/>
            </w:tcBorders>
            <w:noWrap/>
            <w:vAlign w:val="center"/>
          </w:tcPr>
          <w:p w:rsidR="00D05A47" w:rsidRPr="002718BE" w:rsidRDefault="00D05A47" w:rsidP="006156FA">
            <w:pPr>
              <w:pBdr>
                <w:bottom w:val="single" w:sz="4" w:space="1" w:color="auto"/>
              </w:pBdr>
              <w:overflowPunct w:val="0"/>
              <w:autoSpaceDE w:val="0"/>
              <w:autoSpaceDN w:val="0"/>
              <w:snapToGrid w:val="0"/>
              <w:ind w:leftChars="-48" w:left="1" w:rightChars="4" w:right="8" w:hangingChars="51" w:hanging="102"/>
              <w:jc w:val="right"/>
              <w:rPr>
                <w:rFonts w:ascii="黑体" w:eastAsia="黑体" w:hAnsi="黑体" w:cs="Arial"/>
                <w:sz w:val="20"/>
                <w:szCs w:val="20"/>
              </w:rPr>
            </w:pPr>
            <w:r w:rsidRPr="00C91F74">
              <w:rPr>
                <w:rFonts w:ascii="黑体" w:eastAsia="黑体" w:hAnsi="黑体" w:cs="Arial"/>
                <w:sz w:val="20"/>
                <w:szCs w:val="20"/>
              </w:rPr>
              <w:t>678.62</w:t>
            </w:r>
          </w:p>
        </w:tc>
        <w:tc>
          <w:tcPr>
            <w:tcW w:w="1843" w:type="dxa"/>
            <w:tcBorders>
              <w:bottom w:val="nil"/>
            </w:tcBorders>
            <w:vAlign w:val="center"/>
          </w:tcPr>
          <w:p w:rsidR="00D05A47" w:rsidRPr="002718BE" w:rsidRDefault="00D05A47" w:rsidP="006156FA">
            <w:pPr>
              <w:pBdr>
                <w:bottom w:val="single" w:sz="4" w:space="1" w:color="auto"/>
              </w:pBdr>
              <w:overflowPunct w:val="0"/>
              <w:autoSpaceDE w:val="0"/>
              <w:autoSpaceDN w:val="0"/>
              <w:snapToGrid w:val="0"/>
              <w:ind w:left="192" w:rightChars="-2" w:right="-4"/>
              <w:jc w:val="right"/>
              <w:rPr>
                <w:rFonts w:ascii="黑体" w:eastAsia="黑体" w:hAnsi="黑体" w:cs="Arial"/>
                <w:sz w:val="20"/>
                <w:szCs w:val="20"/>
              </w:rPr>
            </w:pPr>
            <w:r w:rsidRPr="00C91F74">
              <w:rPr>
                <w:rFonts w:ascii="黑体" w:eastAsia="黑体" w:hAnsi="黑体" w:cs="Arial"/>
                <w:sz w:val="20"/>
                <w:szCs w:val="20"/>
              </w:rPr>
              <w:t>3,763.23</w:t>
            </w:r>
          </w:p>
        </w:tc>
        <w:tc>
          <w:tcPr>
            <w:tcW w:w="1648" w:type="dxa"/>
            <w:tcBorders>
              <w:bottom w:val="nil"/>
            </w:tcBorders>
            <w:vAlign w:val="center"/>
          </w:tcPr>
          <w:p w:rsidR="00D05A47" w:rsidRPr="002718BE" w:rsidRDefault="00D05A47" w:rsidP="006156FA">
            <w:pPr>
              <w:pBdr>
                <w:bottom w:val="single" w:sz="4" w:space="1" w:color="auto"/>
              </w:pBdr>
              <w:overflowPunct w:val="0"/>
              <w:autoSpaceDE w:val="0"/>
              <w:autoSpaceDN w:val="0"/>
              <w:snapToGrid w:val="0"/>
              <w:ind w:left="192" w:rightChars="8" w:right="17"/>
              <w:jc w:val="right"/>
              <w:rPr>
                <w:rFonts w:ascii="黑体" w:eastAsia="黑体" w:hAnsi="黑体" w:cs="Arial"/>
                <w:sz w:val="20"/>
                <w:szCs w:val="20"/>
              </w:rPr>
            </w:pPr>
            <w:r w:rsidRPr="00C91F74">
              <w:rPr>
                <w:rFonts w:ascii="黑体" w:eastAsia="黑体" w:hAnsi="黑体" w:cs="Arial"/>
                <w:sz w:val="20"/>
                <w:szCs w:val="20"/>
              </w:rPr>
              <w:t>4,441.85</w:t>
            </w:r>
          </w:p>
        </w:tc>
      </w:tr>
      <w:tr w:rsidR="00D05A47" w:rsidRPr="002718BE" w:rsidTr="006156FA">
        <w:trPr>
          <w:trHeight w:val="80"/>
          <w:jc w:val="right"/>
        </w:trPr>
        <w:tc>
          <w:tcPr>
            <w:tcW w:w="3402" w:type="dxa"/>
            <w:tcBorders>
              <w:bottom w:val="nil"/>
            </w:tcBorders>
            <w:noWrap/>
            <w:vAlign w:val="bottom"/>
          </w:tcPr>
          <w:p w:rsidR="00D05A47" w:rsidRPr="002718BE" w:rsidRDefault="00D05A47" w:rsidP="006156FA">
            <w:pPr>
              <w:overflowPunct w:val="0"/>
              <w:autoSpaceDE w:val="0"/>
              <w:autoSpaceDN w:val="0"/>
              <w:snapToGrid w:val="0"/>
              <w:ind w:left="459"/>
              <w:jc w:val="left"/>
              <w:rPr>
                <w:rFonts w:ascii="黑体" w:eastAsia="黑体" w:hAnsi="黑体" w:cs="Arial"/>
                <w:sz w:val="20"/>
                <w:szCs w:val="20"/>
              </w:rPr>
            </w:pPr>
          </w:p>
        </w:tc>
        <w:tc>
          <w:tcPr>
            <w:tcW w:w="1842" w:type="dxa"/>
            <w:tcBorders>
              <w:bottom w:val="nil"/>
            </w:tcBorders>
            <w:noWrap/>
            <w:vAlign w:val="center"/>
          </w:tcPr>
          <w:p w:rsidR="00D05A47" w:rsidRPr="002718BE" w:rsidRDefault="00D05A47" w:rsidP="006156FA">
            <w:pPr>
              <w:overflowPunct w:val="0"/>
              <w:autoSpaceDE w:val="0"/>
              <w:autoSpaceDN w:val="0"/>
              <w:snapToGrid w:val="0"/>
              <w:ind w:left="1026" w:rightChars="4" w:right="8"/>
              <w:jc w:val="right"/>
              <w:rPr>
                <w:rFonts w:ascii="黑体" w:eastAsia="黑体" w:hAnsi="黑体" w:cs="Arial"/>
                <w:sz w:val="20"/>
                <w:szCs w:val="20"/>
              </w:rPr>
            </w:pPr>
          </w:p>
        </w:tc>
        <w:tc>
          <w:tcPr>
            <w:tcW w:w="1843" w:type="dxa"/>
            <w:tcBorders>
              <w:bottom w:val="nil"/>
            </w:tcBorders>
            <w:vAlign w:val="center"/>
          </w:tcPr>
          <w:p w:rsidR="00D05A47" w:rsidRPr="002718BE" w:rsidRDefault="00D05A47" w:rsidP="006156FA">
            <w:pPr>
              <w:overflowPunct w:val="0"/>
              <w:autoSpaceDE w:val="0"/>
              <w:autoSpaceDN w:val="0"/>
              <w:snapToGrid w:val="0"/>
              <w:ind w:left="1026" w:rightChars="-2" w:right="-4"/>
              <w:jc w:val="right"/>
              <w:rPr>
                <w:rFonts w:ascii="黑体" w:eastAsia="黑体" w:hAnsi="黑体" w:cs="Arial"/>
                <w:sz w:val="20"/>
                <w:szCs w:val="20"/>
              </w:rPr>
            </w:pPr>
          </w:p>
        </w:tc>
        <w:tc>
          <w:tcPr>
            <w:tcW w:w="1648" w:type="dxa"/>
            <w:tcBorders>
              <w:bottom w:val="nil"/>
            </w:tcBorders>
            <w:vAlign w:val="center"/>
          </w:tcPr>
          <w:p w:rsidR="00D05A47" w:rsidRPr="002718BE" w:rsidRDefault="00D05A47" w:rsidP="006156FA">
            <w:pPr>
              <w:overflowPunct w:val="0"/>
              <w:autoSpaceDE w:val="0"/>
              <w:autoSpaceDN w:val="0"/>
              <w:snapToGrid w:val="0"/>
              <w:ind w:left="1026" w:rightChars="8" w:right="17"/>
              <w:jc w:val="right"/>
              <w:rPr>
                <w:rFonts w:ascii="黑体" w:eastAsia="黑体" w:hAnsi="黑体" w:cs="Arial"/>
                <w:sz w:val="20"/>
                <w:szCs w:val="20"/>
              </w:rPr>
            </w:pPr>
          </w:p>
        </w:tc>
      </w:tr>
      <w:tr w:rsidR="00D05A47" w:rsidRPr="002718BE" w:rsidTr="006156FA">
        <w:trPr>
          <w:trHeight w:val="80"/>
          <w:jc w:val="right"/>
        </w:trPr>
        <w:tc>
          <w:tcPr>
            <w:tcW w:w="3402" w:type="dxa"/>
            <w:tcBorders>
              <w:bottom w:val="nil"/>
            </w:tcBorders>
            <w:noWrap/>
            <w:vAlign w:val="bottom"/>
          </w:tcPr>
          <w:p w:rsidR="00D05A47" w:rsidRPr="002718BE" w:rsidRDefault="00D05A47" w:rsidP="006156FA">
            <w:pPr>
              <w:overflowPunct w:val="0"/>
              <w:autoSpaceDE w:val="0"/>
              <w:autoSpaceDN w:val="0"/>
              <w:snapToGrid w:val="0"/>
              <w:ind w:left="459"/>
              <w:jc w:val="left"/>
              <w:rPr>
                <w:rFonts w:ascii="黑体" w:eastAsia="黑体" w:hAnsi="黑体" w:cs="Arial"/>
                <w:sz w:val="20"/>
                <w:szCs w:val="20"/>
              </w:rPr>
            </w:pPr>
            <w:r w:rsidRPr="002718BE">
              <w:rPr>
                <w:rFonts w:ascii="黑体" w:eastAsia="黑体" w:hAnsi="黑体" w:cs="Arial" w:hint="eastAsia"/>
                <w:sz w:val="20"/>
                <w:szCs w:val="20"/>
              </w:rPr>
              <w:t>三、清算期间净收益</w:t>
            </w:r>
          </w:p>
        </w:tc>
        <w:tc>
          <w:tcPr>
            <w:tcW w:w="1842" w:type="dxa"/>
            <w:tcBorders>
              <w:bottom w:val="nil"/>
            </w:tcBorders>
            <w:noWrap/>
            <w:vAlign w:val="center"/>
          </w:tcPr>
          <w:p w:rsidR="00D05A47" w:rsidRPr="002718BE" w:rsidRDefault="00D05A47" w:rsidP="006156FA">
            <w:pPr>
              <w:overflowPunct w:val="0"/>
              <w:autoSpaceDE w:val="0"/>
              <w:autoSpaceDN w:val="0"/>
              <w:snapToGrid w:val="0"/>
              <w:ind w:leftChars="-191" w:left="1" w:rightChars="-28" w:right="-59" w:hangingChars="201" w:hanging="402"/>
              <w:jc w:val="right"/>
              <w:rPr>
                <w:rFonts w:ascii="黑体" w:eastAsia="黑体" w:hAnsi="黑体" w:cs="Arial"/>
                <w:sz w:val="20"/>
                <w:szCs w:val="20"/>
                <w:u w:val="double"/>
              </w:rPr>
            </w:pPr>
            <w:r w:rsidRPr="002718BE">
              <w:rPr>
                <w:rFonts w:ascii="黑体" w:eastAsia="黑体" w:hAnsi="黑体" w:cs="Arial" w:hint="eastAsia"/>
                <w:sz w:val="20"/>
                <w:szCs w:val="20"/>
                <w:u w:val="double"/>
              </w:rPr>
              <w:tab/>
            </w:r>
            <w:r w:rsidRPr="00C91F74">
              <w:rPr>
                <w:rFonts w:ascii="黑体" w:eastAsia="黑体" w:hAnsi="黑体" w:cs="Arial"/>
                <w:sz w:val="20"/>
                <w:szCs w:val="20"/>
                <w:u w:val="double"/>
              </w:rPr>
              <w:t>(324,342.46)</w:t>
            </w:r>
          </w:p>
        </w:tc>
        <w:tc>
          <w:tcPr>
            <w:tcW w:w="1843" w:type="dxa"/>
            <w:tcBorders>
              <w:bottom w:val="nil"/>
            </w:tcBorders>
            <w:vAlign w:val="center"/>
          </w:tcPr>
          <w:p w:rsidR="00D05A47" w:rsidRPr="002718BE" w:rsidRDefault="00D05A47" w:rsidP="006156FA">
            <w:pPr>
              <w:wordWrap w:val="0"/>
              <w:overflowPunct w:val="0"/>
              <w:autoSpaceDE w:val="0"/>
              <w:autoSpaceDN w:val="0"/>
              <w:snapToGrid w:val="0"/>
              <w:ind w:leftChars="-191" w:left="1" w:rightChars="-40" w:right="-84" w:hangingChars="201" w:hanging="402"/>
              <w:jc w:val="right"/>
              <w:rPr>
                <w:rFonts w:ascii="黑体" w:eastAsia="黑体" w:hAnsi="黑体" w:cs="Arial"/>
                <w:sz w:val="20"/>
                <w:szCs w:val="20"/>
                <w:u w:val="double"/>
              </w:rPr>
            </w:pPr>
            <w:r w:rsidRPr="002718BE">
              <w:rPr>
                <w:rFonts w:ascii="黑体" w:eastAsia="黑体" w:hAnsi="黑体" w:cs="Arial"/>
                <w:sz w:val="20"/>
                <w:szCs w:val="20"/>
                <w:u w:val="double"/>
              </w:rPr>
              <w:t xml:space="preserve">     </w:t>
            </w:r>
            <w:r>
              <w:rPr>
                <w:rFonts w:ascii="黑体" w:eastAsia="黑体" w:hAnsi="黑体" w:cs="Arial"/>
                <w:sz w:val="20"/>
                <w:szCs w:val="20"/>
                <w:u w:val="double"/>
              </w:rPr>
              <w:t xml:space="preserve"> (</w:t>
            </w:r>
            <w:r w:rsidRPr="00C91F74">
              <w:rPr>
                <w:rFonts w:ascii="黑体" w:eastAsia="黑体" w:hAnsi="黑体" w:cs="Arial"/>
                <w:sz w:val="20"/>
                <w:szCs w:val="20"/>
                <w:u w:val="double"/>
              </w:rPr>
              <w:t>107,051.19</w:t>
            </w:r>
            <w:r>
              <w:rPr>
                <w:rFonts w:ascii="黑体" w:eastAsia="黑体" w:hAnsi="黑体" w:cs="Arial"/>
                <w:sz w:val="20"/>
                <w:szCs w:val="20"/>
                <w:u w:val="double"/>
              </w:rPr>
              <w:t>)</w:t>
            </w:r>
          </w:p>
        </w:tc>
        <w:tc>
          <w:tcPr>
            <w:tcW w:w="1648" w:type="dxa"/>
            <w:tcBorders>
              <w:bottom w:val="nil"/>
            </w:tcBorders>
            <w:vAlign w:val="center"/>
          </w:tcPr>
          <w:p w:rsidR="00D05A47" w:rsidRPr="002718BE" w:rsidRDefault="00D05A47" w:rsidP="006156FA">
            <w:pPr>
              <w:wordWrap w:val="0"/>
              <w:overflowPunct w:val="0"/>
              <w:autoSpaceDE w:val="0"/>
              <w:autoSpaceDN w:val="0"/>
              <w:snapToGrid w:val="0"/>
              <w:ind w:leftChars="-191" w:left="1" w:rightChars="-30" w:right="-63" w:hangingChars="201" w:hanging="402"/>
              <w:jc w:val="right"/>
              <w:rPr>
                <w:rFonts w:ascii="黑体" w:eastAsia="黑体" w:hAnsi="黑体" w:cs="Arial"/>
                <w:sz w:val="20"/>
                <w:szCs w:val="20"/>
                <w:u w:val="double"/>
              </w:rPr>
            </w:pPr>
            <w:r w:rsidRPr="002718BE">
              <w:rPr>
                <w:rFonts w:ascii="黑体" w:eastAsia="黑体" w:hAnsi="黑体" w:cs="Arial"/>
                <w:sz w:val="20"/>
                <w:szCs w:val="20"/>
                <w:u w:val="double"/>
              </w:rPr>
              <w:t xml:space="preserve">     </w:t>
            </w:r>
            <w:r>
              <w:rPr>
                <w:rFonts w:ascii="黑体" w:eastAsia="黑体" w:hAnsi="黑体" w:cs="Arial"/>
                <w:sz w:val="20"/>
                <w:szCs w:val="20"/>
                <w:u w:val="double"/>
              </w:rPr>
              <w:t xml:space="preserve"> (</w:t>
            </w:r>
            <w:r w:rsidRPr="00C91F74">
              <w:rPr>
                <w:rFonts w:ascii="黑体" w:eastAsia="黑体" w:hAnsi="黑体" w:cs="Arial"/>
                <w:sz w:val="20"/>
                <w:szCs w:val="20"/>
                <w:u w:val="double"/>
              </w:rPr>
              <w:t>431,393.65</w:t>
            </w:r>
            <w:r>
              <w:rPr>
                <w:rFonts w:ascii="黑体" w:eastAsia="黑体" w:hAnsi="黑体" w:cs="Arial"/>
                <w:sz w:val="20"/>
                <w:szCs w:val="20"/>
                <w:u w:val="double"/>
              </w:rPr>
              <w:t>)</w:t>
            </w:r>
          </w:p>
        </w:tc>
      </w:tr>
      <w:tr w:rsidR="00D05A47" w:rsidRPr="002718BE" w:rsidTr="006156FA">
        <w:trPr>
          <w:trHeight w:val="80"/>
          <w:jc w:val="right"/>
        </w:trPr>
        <w:tc>
          <w:tcPr>
            <w:tcW w:w="3402" w:type="dxa"/>
            <w:tcBorders>
              <w:bottom w:val="nil"/>
            </w:tcBorders>
            <w:noWrap/>
            <w:vAlign w:val="bottom"/>
          </w:tcPr>
          <w:p w:rsidR="00D05A47" w:rsidRPr="002718BE" w:rsidRDefault="00D05A47" w:rsidP="006156FA">
            <w:pPr>
              <w:overflowPunct w:val="0"/>
              <w:autoSpaceDE w:val="0"/>
              <w:autoSpaceDN w:val="0"/>
              <w:snapToGrid w:val="0"/>
              <w:jc w:val="left"/>
              <w:rPr>
                <w:rFonts w:ascii="黑体" w:eastAsia="黑体" w:hAnsi="黑体" w:cs="Arial"/>
                <w:sz w:val="20"/>
                <w:szCs w:val="20"/>
              </w:rPr>
            </w:pPr>
          </w:p>
        </w:tc>
        <w:tc>
          <w:tcPr>
            <w:tcW w:w="1842" w:type="dxa"/>
            <w:tcBorders>
              <w:bottom w:val="nil"/>
            </w:tcBorders>
            <w:noWrap/>
            <w:vAlign w:val="center"/>
          </w:tcPr>
          <w:p w:rsidR="00D05A47" w:rsidRPr="002718BE" w:rsidRDefault="00D05A47" w:rsidP="006156FA">
            <w:pPr>
              <w:overflowPunct w:val="0"/>
              <w:autoSpaceDE w:val="0"/>
              <w:autoSpaceDN w:val="0"/>
              <w:snapToGrid w:val="0"/>
              <w:ind w:left="1026" w:rightChars="4" w:right="8"/>
              <w:jc w:val="right"/>
              <w:rPr>
                <w:rFonts w:ascii="黑体" w:eastAsia="黑体" w:hAnsi="黑体" w:cs="Arial"/>
                <w:sz w:val="20"/>
                <w:szCs w:val="20"/>
                <w:highlight w:val="yellow"/>
              </w:rPr>
            </w:pPr>
          </w:p>
        </w:tc>
        <w:tc>
          <w:tcPr>
            <w:tcW w:w="1843" w:type="dxa"/>
            <w:tcBorders>
              <w:bottom w:val="nil"/>
            </w:tcBorders>
            <w:vAlign w:val="center"/>
          </w:tcPr>
          <w:p w:rsidR="00D05A47" w:rsidRPr="002718BE" w:rsidRDefault="00D05A47" w:rsidP="006156FA">
            <w:pPr>
              <w:overflowPunct w:val="0"/>
              <w:autoSpaceDE w:val="0"/>
              <w:autoSpaceDN w:val="0"/>
              <w:snapToGrid w:val="0"/>
              <w:ind w:left="1026" w:rightChars="-2" w:right="-4"/>
              <w:jc w:val="right"/>
              <w:rPr>
                <w:rFonts w:ascii="黑体" w:eastAsia="黑体" w:hAnsi="黑体" w:cs="Arial"/>
                <w:sz w:val="20"/>
                <w:szCs w:val="20"/>
                <w:highlight w:val="yellow"/>
              </w:rPr>
            </w:pPr>
          </w:p>
        </w:tc>
        <w:tc>
          <w:tcPr>
            <w:tcW w:w="1648" w:type="dxa"/>
            <w:tcBorders>
              <w:bottom w:val="nil"/>
            </w:tcBorders>
            <w:vAlign w:val="center"/>
          </w:tcPr>
          <w:p w:rsidR="00D05A47" w:rsidRPr="002718BE" w:rsidRDefault="00D05A47" w:rsidP="006156FA">
            <w:pPr>
              <w:overflowPunct w:val="0"/>
              <w:autoSpaceDE w:val="0"/>
              <w:autoSpaceDN w:val="0"/>
              <w:snapToGrid w:val="0"/>
              <w:ind w:left="1026" w:rightChars="8" w:right="17"/>
              <w:jc w:val="right"/>
              <w:rPr>
                <w:rFonts w:ascii="黑体" w:eastAsia="黑体" w:hAnsi="黑体" w:cs="Arial"/>
                <w:sz w:val="20"/>
                <w:szCs w:val="20"/>
                <w:highlight w:val="yellow"/>
              </w:rPr>
            </w:pPr>
          </w:p>
        </w:tc>
      </w:tr>
    </w:tbl>
    <w:p w:rsidR="00D05A47" w:rsidRDefault="00D05A47" w:rsidP="00D05A47">
      <w:pPr>
        <w:overflowPunct w:val="0"/>
        <w:autoSpaceDE w:val="0"/>
        <w:autoSpaceDN w:val="0"/>
        <w:snapToGrid w:val="0"/>
        <w:ind w:rightChars="-8" w:right="-17"/>
        <w:rPr>
          <w:rFonts w:ascii="黑体" w:eastAsia="黑体" w:hAnsi="黑体" w:cs="Arial"/>
          <w:sz w:val="22"/>
        </w:rPr>
      </w:pPr>
    </w:p>
    <w:p w:rsidR="00D05A47" w:rsidRDefault="00D05A47" w:rsidP="00D05A47">
      <w:pPr>
        <w:overflowPunct w:val="0"/>
        <w:autoSpaceDE w:val="0"/>
        <w:autoSpaceDN w:val="0"/>
        <w:snapToGrid w:val="0"/>
        <w:ind w:leftChars="337" w:left="1276" w:rightChars="-8" w:right="-17" w:hangingChars="258" w:hanging="568"/>
        <w:rPr>
          <w:rFonts w:ascii="黑体" w:eastAsia="黑体" w:hAnsi="黑体" w:cs="Arial"/>
          <w:sz w:val="22"/>
        </w:rPr>
      </w:pPr>
    </w:p>
    <w:p w:rsidR="00D05A47" w:rsidRPr="002718BE" w:rsidRDefault="00D05A47" w:rsidP="00D05A47">
      <w:pPr>
        <w:overflowPunct w:val="0"/>
        <w:autoSpaceDE w:val="0"/>
        <w:autoSpaceDN w:val="0"/>
        <w:snapToGrid w:val="0"/>
        <w:ind w:left="283"/>
        <w:rPr>
          <w:rFonts w:ascii="黑体" w:eastAsia="黑体" w:hAnsi="黑体" w:cs="Arial"/>
          <w:b/>
          <w:sz w:val="22"/>
        </w:rPr>
      </w:pPr>
      <w:r>
        <w:rPr>
          <w:rFonts w:ascii="黑体" w:eastAsia="黑体" w:hAnsi="黑体" w:cs="Arial" w:hint="eastAsia"/>
          <w:b/>
          <w:sz w:val="22"/>
        </w:rPr>
        <w:t>2、</w:t>
      </w:r>
      <w:r w:rsidRPr="002718BE">
        <w:rPr>
          <w:rFonts w:ascii="黑体" w:eastAsia="黑体" w:hAnsi="黑体" w:cs="Arial" w:hint="eastAsia"/>
          <w:b/>
          <w:sz w:val="22"/>
        </w:rPr>
        <w:t>清算期间的清算损益情况</w:t>
      </w:r>
      <w:r>
        <w:rPr>
          <w:rFonts w:ascii="黑体" w:eastAsia="黑体" w:hAnsi="黑体" w:cs="Arial" w:hint="eastAsia"/>
          <w:b/>
          <w:sz w:val="22"/>
        </w:rPr>
        <w:t>（续）</w:t>
      </w:r>
    </w:p>
    <w:p w:rsidR="00D05A47" w:rsidRPr="00026EC5" w:rsidRDefault="00D05A47" w:rsidP="00D05A47">
      <w:pPr>
        <w:overflowPunct w:val="0"/>
        <w:autoSpaceDE w:val="0"/>
        <w:autoSpaceDN w:val="0"/>
        <w:snapToGrid w:val="0"/>
        <w:ind w:leftChars="337" w:left="1276" w:rightChars="-8" w:right="-17" w:hangingChars="258" w:hanging="568"/>
        <w:rPr>
          <w:rFonts w:ascii="黑体" w:eastAsia="黑体" w:hAnsi="黑体" w:cs="Arial"/>
          <w:sz w:val="22"/>
        </w:rPr>
      </w:pPr>
    </w:p>
    <w:p w:rsidR="00D05A47" w:rsidRPr="002718BE" w:rsidRDefault="00D05A47" w:rsidP="00D05A47">
      <w:pPr>
        <w:overflowPunct w:val="0"/>
        <w:autoSpaceDE w:val="0"/>
        <w:autoSpaceDN w:val="0"/>
        <w:snapToGrid w:val="0"/>
        <w:ind w:leftChars="337" w:left="1276" w:rightChars="-8" w:right="-17" w:hangingChars="258" w:hanging="568"/>
        <w:rPr>
          <w:rFonts w:ascii="黑体" w:eastAsia="黑体" w:hAnsi="黑体" w:cs="Arial"/>
          <w:sz w:val="22"/>
        </w:rPr>
      </w:pPr>
      <w:r w:rsidRPr="002718BE">
        <w:rPr>
          <w:rFonts w:ascii="黑体" w:eastAsia="黑体" w:hAnsi="黑体" w:cs="Arial" w:hint="eastAsia"/>
          <w:sz w:val="22"/>
        </w:rPr>
        <w:t>注1：利息收入系计提的自</w:t>
      </w:r>
      <w:r>
        <w:rPr>
          <w:rFonts w:ascii="黑体" w:eastAsia="黑体" w:hAnsi="黑体" w:cs="Arial" w:hint="eastAsia"/>
          <w:sz w:val="22"/>
        </w:rPr>
        <w:t>2018年10月9日</w:t>
      </w:r>
      <w:r w:rsidRPr="002718BE">
        <w:rPr>
          <w:rFonts w:ascii="黑体" w:eastAsia="黑体" w:hAnsi="黑体" w:cs="Arial" w:hint="eastAsia"/>
          <w:sz w:val="22"/>
        </w:rPr>
        <w:t>至</w:t>
      </w:r>
      <w:r>
        <w:rPr>
          <w:rFonts w:ascii="黑体" w:eastAsia="黑体" w:hAnsi="黑体" w:cs="Arial" w:hint="eastAsia"/>
          <w:sz w:val="22"/>
        </w:rPr>
        <w:t>2019年2月15日</w:t>
      </w:r>
      <w:proofErr w:type="gramStart"/>
      <w:r w:rsidRPr="002718BE">
        <w:rPr>
          <w:rFonts w:ascii="黑体" w:eastAsia="黑体" w:hAnsi="黑体" w:cs="Arial" w:hint="eastAsia"/>
          <w:sz w:val="22"/>
        </w:rPr>
        <w:t>止</w:t>
      </w:r>
      <w:proofErr w:type="gramEnd"/>
      <w:r w:rsidRPr="002718BE">
        <w:rPr>
          <w:rFonts w:ascii="黑体" w:eastAsia="黑体" w:hAnsi="黑体" w:cs="Arial" w:hint="eastAsia"/>
          <w:sz w:val="22"/>
        </w:rPr>
        <w:t>清算期间的银行存款利息收入</w:t>
      </w:r>
      <w:r w:rsidRPr="00026EC5">
        <w:rPr>
          <w:rFonts w:ascii="黑体" w:eastAsia="黑体" w:hAnsi="黑体" w:cs="Arial"/>
          <w:sz w:val="22"/>
        </w:rPr>
        <w:t>8,384.54</w:t>
      </w:r>
      <w:r w:rsidRPr="002718BE">
        <w:rPr>
          <w:rFonts w:ascii="黑体" w:eastAsia="黑体" w:hAnsi="黑体" w:cs="Arial"/>
          <w:sz w:val="22"/>
        </w:rPr>
        <w:t>元</w:t>
      </w:r>
      <w:r>
        <w:rPr>
          <w:rFonts w:ascii="黑体" w:eastAsia="黑体" w:hAnsi="黑体" w:cs="Arial" w:hint="eastAsia"/>
          <w:sz w:val="22"/>
        </w:rPr>
        <w:t>和</w:t>
      </w:r>
      <w:r w:rsidRPr="002718BE">
        <w:rPr>
          <w:rFonts w:ascii="黑体" w:eastAsia="黑体" w:hAnsi="黑体" w:cs="Arial" w:hint="eastAsia"/>
          <w:sz w:val="22"/>
        </w:rPr>
        <w:t>存出保证金</w:t>
      </w:r>
      <w:r w:rsidRPr="002718BE">
        <w:rPr>
          <w:rFonts w:ascii="黑体" w:eastAsia="黑体" w:hAnsi="黑体" w:cs="Arial"/>
          <w:sz w:val="22"/>
        </w:rPr>
        <w:t>利息</w:t>
      </w:r>
      <w:r w:rsidRPr="002718BE">
        <w:rPr>
          <w:rFonts w:ascii="黑体" w:eastAsia="黑体" w:hAnsi="黑体" w:cs="Arial" w:hint="eastAsia"/>
          <w:sz w:val="22"/>
        </w:rPr>
        <w:t>收入</w:t>
      </w:r>
      <w:r w:rsidRPr="00026EC5">
        <w:rPr>
          <w:rFonts w:ascii="黑体" w:eastAsia="黑体" w:hAnsi="黑体" w:cs="Arial"/>
          <w:sz w:val="22"/>
        </w:rPr>
        <w:t>86.59</w:t>
      </w:r>
      <w:r w:rsidRPr="002718BE">
        <w:rPr>
          <w:rFonts w:ascii="黑体" w:eastAsia="黑体" w:hAnsi="黑体" w:cs="Arial"/>
          <w:sz w:val="22"/>
        </w:rPr>
        <w:t>元</w:t>
      </w:r>
      <w:r w:rsidRPr="002718BE">
        <w:rPr>
          <w:rFonts w:ascii="黑体" w:eastAsia="黑体" w:hAnsi="黑体" w:cs="Arial" w:hint="eastAsia"/>
          <w:sz w:val="22"/>
        </w:rPr>
        <w:t>。</w:t>
      </w:r>
      <w:r w:rsidRPr="002718BE">
        <w:rPr>
          <w:rFonts w:ascii="黑体" w:eastAsia="黑体" w:hAnsi="黑体" w:cs="Arial"/>
          <w:sz w:val="22"/>
        </w:rPr>
        <w:t>其中，银行存款利息</w:t>
      </w:r>
      <w:r w:rsidRPr="002718BE">
        <w:rPr>
          <w:rFonts w:ascii="黑体" w:eastAsia="黑体" w:hAnsi="黑体" w:cs="Arial" w:hint="eastAsia"/>
          <w:sz w:val="22"/>
        </w:rPr>
        <w:t>收入</w:t>
      </w:r>
      <w:r w:rsidRPr="002718BE">
        <w:rPr>
          <w:rFonts w:ascii="黑体" w:eastAsia="黑体" w:hAnsi="黑体" w:cs="Arial"/>
          <w:sz w:val="22"/>
        </w:rPr>
        <w:t>人民币</w:t>
      </w:r>
      <w:r w:rsidRPr="00026EC5">
        <w:rPr>
          <w:rFonts w:ascii="黑体" w:eastAsia="黑体" w:hAnsi="黑体" w:cs="Arial"/>
          <w:sz w:val="22"/>
        </w:rPr>
        <w:t>6,756.01</w:t>
      </w:r>
      <w:r w:rsidRPr="002718BE">
        <w:rPr>
          <w:rFonts w:ascii="黑体" w:eastAsia="黑体" w:hAnsi="黑体" w:cs="Arial"/>
          <w:sz w:val="22"/>
        </w:rPr>
        <w:t>元及存出保证金利息</w:t>
      </w:r>
      <w:r w:rsidRPr="002718BE">
        <w:rPr>
          <w:rFonts w:ascii="黑体" w:eastAsia="黑体" w:hAnsi="黑体" w:cs="Arial" w:hint="eastAsia"/>
          <w:sz w:val="22"/>
        </w:rPr>
        <w:t>收入</w:t>
      </w:r>
      <w:r w:rsidRPr="002718BE">
        <w:rPr>
          <w:rFonts w:ascii="黑体" w:eastAsia="黑体" w:hAnsi="黑体" w:cs="Arial"/>
          <w:sz w:val="22"/>
        </w:rPr>
        <w:t>人民币</w:t>
      </w:r>
      <w:r>
        <w:rPr>
          <w:rFonts w:ascii="黑体" w:eastAsia="黑体" w:hAnsi="黑体" w:cs="Arial"/>
          <w:sz w:val="22"/>
        </w:rPr>
        <w:t>141.50</w:t>
      </w:r>
      <w:r w:rsidRPr="002718BE">
        <w:rPr>
          <w:rFonts w:ascii="黑体" w:eastAsia="黑体" w:hAnsi="黑体" w:cs="Arial"/>
          <w:sz w:val="22"/>
        </w:rPr>
        <w:t>元已于</w:t>
      </w:r>
      <w:r w:rsidRPr="002718BE">
        <w:rPr>
          <w:rFonts w:ascii="黑体" w:eastAsia="黑体" w:hAnsi="黑体" w:cs="Arial" w:hint="eastAsia"/>
          <w:sz w:val="22"/>
        </w:rPr>
        <w:t>2018年</w:t>
      </w:r>
      <w:r>
        <w:rPr>
          <w:rFonts w:ascii="黑体" w:eastAsia="黑体" w:hAnsi="黑体" w:cs="Arial" w:hint="eastAsia"/>
          <w:sz w:val="22"/>
        </w:rPr>
        <w:t>12</w:t>
      </w:r>
      <w:r w:rsidRPr="002718BE">
        <w:rPr>
          <w:rFonts w:ascii="黑体" w:eastAsia="黑体" w:hAnsi="黑体" w:cs="Arial" w:hint="eastAsia"/>
          <w:sz w:val="22"/>
        </w:rPr>
        <w:t>月21日</w:t>
      </w:r>
      <w:r w:rsidRPr="002718BE">
        <w:rPr>
          <w:rFonts w:ascii="黑体" w:eastAsia="黑体" w:hAnsi="黑体" w:cs="Arial"/>
          <w:sz w:val="22"/>
        </w:rPr>
        <w:t>收</w:t>
      </w:r>
      <w:r>
        <w:rPr>
          <w:rFonts w:ascii="黑体" w:eastAsia="黑体" w:hAnsi="黑体" w:cs="Arial" w:hint="eastAsia"/>
          <w:sz w:val="22"/>
        </w:rPr>
        <w:t>到</w:t>
      </w:r>
      <w:r w:rsidRPr="002718BE">
        <w:rPr>
          <w:rFonts w:ascii="黑体" w:eastAsia="黑体" w:hAnsi="黑体" w:cs="Arial"/>
          <w:sz w:val="22"/>
        </w:rPr>
        <w:t>并划入本基金托管账户</w:t>
      </w:r>
      <w:r>
        <w:rPr>
          <w:rFonts w:ascii="黑体" w:eastAsia="黑体" w:hAnsi="黑体" w:cs="Arial" w:hint="eastAsia"/>
          <w:sz w:val="22"/>
        </w:rPr>
        <w:t>；截止2019年2月15日应收银行存款利息人民币</w:t>
      </w:r>
      <w:r w:rsidRPr="00026EC5">
        <w:rPr>
          <w:rFonts w:ascii="黑体" w:eastAsia="黑体" w:hAnsi="黑体" w:cs="Arial"/>
          <w:sz w:val="22"/>
        </w:rPr>
        <w:t>2,865.79</w:t>
      </w:r>
      <w:r>
        <w:rPr>
          <w:rFonts w:ascii="黑体" w:eastAsia="黑体" w:hAnsi="黑体" w:cs="Arial"/>
          <w:sz w:val="22"/>
        </w:rPr>
        <w:t>元</w:t>
      </w:r>
      <w:r>
        <w:rPr>
          <w:rFonts w:ascii="黑体" w:eastAsia="黑体" w:hAnsi="黑体" w:cs="Arial" w:hint="eastAsia"/>
          <w:sz w:val="22"/>
        </w:rPr>
        <w:t>。</w:t>
      </w:r>
    </w:p>
    <w:p w:rsidR="00D05A47" w:rsidRPr="002718BE" w:rsidRDefault="00D05A47" w:rsidP="00D05A47">
      <w:pPr>
        <w:overflowPunct w:val="0"/>
        <w:autoSpaceDE w:val="0"/>
        <w:autoSpaceDN w:val="0"/>
        <w:snapToGrid w:val="0"/>
        <w:ind w:left="1276" w:hanging="567"/>
        <w:rPr>
          <w:rFonts w:ascii="黑体" w:eastAsia="黑体" w:hAnsi="黑体" w:cs="Arial"/>
          <w:b/>
          <w:sz w:val="22"/>
        </w:rPr>
      </w:pPr>
    </w:p>
    <w:p w:rsidR="00D05A47" w:rsidRPr="002718BE" w:rsidRDefault="00D05A47" w:rsidP="00D05A47">
      <w:pPr>
        <w:overflowPunct w:val="0"/>
        <w:autoSpaceDE w:val="0"/>
        <w:autoSpaceDN w:val="0"/>
        <w:snapToGrid w:val="0"/>
        <w:ind w:leftChars="337" w:left="1276" w:rightChars="-8" w:right="-17" w:hangingChars="258" w:hanging="568"/>
        <w:rPr>
          <w:rFonts w:ascii="黑体" w:eastAsia="黑体" w:hAnsi="黑体" w:cs="Arial"/>
          <w:sz w:val="22"/>
        </w:rPr>
      </w:pPr>
      <w:r w:rsidRPr="002718BE">
        <w:rPr>
          <w:rFonts w:ascii="黑体" w:eastAsia="黑体" w:hAnsi="黑体" w:cs="Arial" w:hint="eastAsia"/>
          <w:sz w:val="22"/>
        </w:rPr>
        <w:t>注</w:t>
      </w:r>
      <w:r w:rsidRPr="002718BE">
        <w:rPr>
          <w:rFonts w:ascii="黑体" w:eastAsia="黑体" w:hAnsi="黑体" w:cs="Arial"/>
          <w:sz w:val="22"/>
        </w:rPr>
        <w:t>2</w:t>
      </w:r>
      <w:r w:rsidRPr="002718BE">
        <w:rPr>
          <w:rFonts w:ascii="黑体" w:eastAsia="黑体" w:hAnsi="黑体" w:cs="Arial" w:hint="eastAsia"/>
          <w:sz w:val="22"/>
        </w:rPr>
        <w:t>：</w:t>
      </w:r>
      <w:r w:rsidRPr="00026EC5">
        <w:rPr>
          <w:rFonts w:ascii="黑体" w:eastAsia="黑体" w:hAnsi="黑体" w:cs="Arial" w:hint="eastAsia"/>
          <w:sz w:val="22"/>
        </w:rPr>
        <w:t>处置价差投资收益系本基金持有的英可瑞股票于2018年11月1</w:t>
      </w:r>
      <w:r>
        <w:rPr>
          <w:rFonts w:ascii="黑体" w:eastAsia="黑体" w:hAnsi="黑体" w:cs="Arial" w:hint="eastAsia"/>
          <w:sz w:val="22"/>
        </w:rPr>
        <w:t>日处置变现后的投资收益金额和本基金持有的养元饮品</w:t>
      </w:r>
      <w:r w:rsidRPr="00026EC5">
        <w:rPr>
          <w:rFonts w:ascii="黑体" w:eastAsia="黑体" w:hAnsi="黑体" w:cs="Arial" w:hint="eastAsia"/>
          <w:sz w:val="22"/>
        </w:rPr>
        <w:t>股票于</w:t>
      </w:r>
      <w:r>
        <w:rPr>
          <w:rFonts w:ascii="黑体" w:eastAsia="黑体" w:hAnsi="黑体" w:cs="Arial" w:hint="eastAsia"/>
          <w:sz w:val="22"/>
        </w:rPr>
        <w:t>2019</w:t>
      </w:r>
      <w:r w:rsidRPr="00026EC5">
        <w:rPr>
          <w:rFonts w:ascii="黑体" w:eastAsia="黑体" w:hAnsi="黑体" w:cs="Arial" w:hint="eastAsia"/>
          <w:sz w:val="22"/>
        </w:rPr>
        <w:t>年</w:t>
      </w:r>
      <w:r>
        <w:rPr>
          <w:rFonts w:ascii="黑体" w:eastAsia="黑体" w:hAnsi="黑体" w:cs="Arial" w:hint="eastAsia"/>
          <w:sz w:val="22"/>
        </w:rPr>
        <w:t>2</w:t>
      </w:r>
      <w:r w:rsidRPr="00026EC5">
        <w:rPr>
          <w:rFonts w:ascii="黑体" w:eastAsia="黑体" w:hAnsi="黑体" w:cs="Arial" w:hint="eastAsia"/>
          <w:sz w:val="22"/>
        </w:rPr>
        <w:t>月1</w:t>
      </w:r>
      <w:r>
        <w:rPr>
          <w:rFonts w:ascii="黑体" w:eastAsia="黑体" w:hAnsi="黑体" w:cs="Arial"/>
          <w:sz w:val="22"/>
        </w:rPr>
        <w:t>2</w:t>
      </w:r>
      <w:r>
        <w:rPr>
          <w:rFonts w:ascii="黑体" w:eastAsia="黑体" w:hAnsi="黑体" w:cs="Arial" w:hint="eastAsia"/>
          <w:sz w:val="22"/>
        </w:rPr>
        <w:t>日处置变现后的投资收益金额。</w:t>
      </w:r>
    </w:p>
    <w:p w:rsidR="00D05A47" w:rsidRPr="002718BE" w:rsidRDefault="00D05A47" w:rsidP="00D05A47">
      <w:pPr>
        <w:overflowPunct w:val="0"/>
        <w:autoSpaceDE w:val="0"/>
        <w:autoSpaceDN w:val="0"/>
        <w:snapToGrid w:val="0"/>
        <w:ind w:left="1276" w:hanging="567"/>
        <w:rPr>
          <w:rFonts w:ascii="黑体" w:eastAsia="黑体" w:hAnsi="黑体" w:cs="Arial"/>
          <w:sz w:val="22"/>
        </w:rPr>
      </w:pPr>
    </w:p>
    <w:p w:rsidR="00D05A47" w:rsidRPr="00026EC5" w:rsidRDefault="00D05A47" w:rsidP="00D05A47">
      <w:pPr>
        <w:overflowPunct w:val="0"/>
        <w:autoSpaceDE w:val="0"/>
        <w:autoSpaceDN w:val="0"/>
        <w:snapToGrid w:val="0"/>
        <w:ind w:left="1276" w:hanging="567"/>
        <w:rPr>
          <w:rFonts w:ascii="黑体" w:eastAsia="黑体" w:hAnsi="黑体" w:cs="Arial"/>
          <w:sz w:val="22"/>
        </w:rPr>
      </w:pPr>
      <w:r w:rsidRPr="002718BE">
        <w:rPr>
          <w:rFonts w:ascii="黑体" w:eastAsia="黑体" w:hAnsi="黑体" w:cs="Arial" w:hint="eastAsia"/>
          <w:sz w:val="22"/>
        </w:rPr>
        <w:t>注</w:t>
      </w:r>
      <w:r w:rsidRPr="002718BE">
        <w:rPr>
          <w:rFonts w:ascii="黑体" w:eastAsia="黑体" w:hAnsi="黑体" w:cs="Arial"/>
          <w:sz w:val="22"/>
        </w:rPr>
        <w:t>3</w:t>
      </w:r>
      <w:r w:rsidRPr="002718BE">
        <w:rPr>
          <w:rFonts w:ascii="黑体" w:eastAsia="黑体" w:hAnsi="黑体" w:cs="Arial" w:hint="eastAsia"/>
          <w:sz w:val="22"/>
        </w:rPr>
        <w:t>：</w:t>
      </w:r>
      <w:r w:rsidRPr="00400415">
        <w:rPr>
          <w:rFonts w:ascii="黑体" w:eastAsia="黑体" w:hAnsi="黑体" w:cs="Arial" w:hint="eastAsia"/>
          <w:sz w:val="22"/>
        </w:rPr>
        <w:t>本基金通过</w:t>
      </w:r>
      <w:r>
        <w:rPr>
          <w:rFonts w:ascii="黑体" w:eastAsia="黑体" w:hAnsi="黑体" w:cs="Arial" w:hint="eastAsia"/>
          <w:sz w:val="22"/>
        </w:rPr>
        <w:t>老股</w:t>
      </w:r>
      <w:r w:rsidRPr="00400415">
        <w:rPr>
          <w:rFonts w:ascii="黑体" w:eastAsia="黑体" w:hAnsi="黑体" w:cs="Arial" w:hint="eastAsia"/>
          <w:sz w:val="22"/>
        </w:rPr>
        <w:t>配售获得的股票采用基金业协会发布的《证券投资基金投资流通受限股票估值指引》中的估值公式进行估值。公允价值变动</w:t>
      </w:r>
      <w:proofErr w:type="gramStart"/>
      <w:r w:rsidRPr="00400415">
        <w:rPr>
          <w:rFonts w:ascii="黑体" w:eastAsia="黑体" w:hAnsi="黑体" w:cs="Arial" w:hint="eastAsia"/>
          <w:sz w:val="22"/>
        </w:rPr>
        <w:t>损益系流通</w:t>
      </w:r>
      <w:proofErr w:type="gramEnd"/>
      <w:r w:rsidRPr="00400415">
        <w:rPr>
          <w:rFonts w:ascii="黑体" w:eastAsia="黑体" w:hAnsi="黑体" w:cs="Arial" w:hint="eastAsia"/>
          <w:sz w:val="22"/>
        </w:rPr>
        <w:t>受限股票在清算期间采用该指引的估值方法估值导致（金额与实际股价存在差异）</w:t>
      </w:r>
      <w:r w:rsidRPr="00F60A5A">
        <w:rPr>
          <w:rFonts w:ascii="黑体" w:eastAsia="黑体" w:hAnsi="黑体" w:cs="Arial" w:hint="eastAsia"/>
          <w:sz w:val="22"/>
        </w:rPr>
        <w:t>以及</w:t>
      </w:r>
      <w:r>
        <w:rPr>
          <w:rFonts w:ascii="黑体" w:eastAsia="黑体" w:hAnsi="黑体" w:cs="Arial" w:hint="eastAsia"/>
          <w:sz w:val="22"/>
        </w:rPr>
        <w:t>该股票可流通</w:t>
      </w:r>
      <w:r w:rsidRPr="00F60A5A">
        <w:rPr>
          <w:rFonts w:ascii="黑体" w:eastAsia="黑体" w:hAnsi="黑体" w:cs="Arial" w:hint="eastAsia"/>
          <w:sz w:val="22"/>
        </w:rPr>
        <w:t>之后以市值法估值所致</w:t>
      </w:r>
      <w:r w:rsidRPr="00400415">
        <w:rPr>
          <w:rFonts w:ascii="黑体" w:eastAsia="黑体" w:hAnsi="黑体" w:cs="Arial" w:hint="eastAsia"/>
          <w:sz w:val="22"/>
        </w:rPr>
        <w:t>。</w:t>
      </w:r>
    </w:p>
    <w:p w:rsidR="00D05A47" w:rsidRDefault="00D05A47" w:rsidP="00D05A47">
      <w:pPr>
        <w:overflowPunct w:val="0"/>
        <w:autoSpaceDE w:val="0"/>
        <w:autoSpaceDN w:val="0"/>
        <w:snapToGrid w:val="0"/>
        <w:ind w:left="1276" w:hanging="567"/>
        <w:rPr>
          <w:rFonts w:ascii="黑体" w:eastAsia="黑体" w:hAnsi="黑体" w:cs="Arial"/>
          <w:sz w:val="22"/>
        </w:rPr>
      </w:pPr>
    </w:p>
    <w:p w:rsidR="00D05A47" w:rsidRPr="008A1B3E" w:rsidRDefault="00D05A47" w:rsidP="00D05A47">
      <w:pPr>
        <w:overflowPunct w:val="0"/>
        <w:autoSpaceDE w:val="0"/>
        <w:autoSpaceDN w:val="0"/>
        <w:snapToGrid w:val="0"/>
        <w:ind w:left="1276" w:hanging="567"/>
        <w:rPr>
          <w:rFonts w:ascii="黑体" w:eastAsia="黑体" w:hAnsi="黑体" w:cs="Arial"/>
          <w:sz w:val="22"/>
        </w:rPr>
      </w:pPr>
      <w:r>
        <w:rPr>
          <w:rFonts w:ascii="黑体" w:eastAsia="黑体" w:hAnsi="黑体" w:cs="Arial"/>
          <w:sz w:val="22"/>
        </w:rPr>
        <w:t>注</w:t>
      </w:r>
      <w:r>
        <w:rPr>
          <w:rFonts w:ascii="黑体" w:eastAsia="黑体" w:hAnsi="黑体" w:cs="Arial" w:hint="eastAsia"/>
          <w:sz w:val="22"/>
        </w:rPr>
        <w:t>4：</w:t>
      </w:r>
      <w:r w:rsidRPr="00026EC5">
        <w:rPr>
          <w:rFonts w:ascii="黑体" w:eastAsia="黑体" w:hAnsi="黑体" w:cs="Arial" w:hint="eastAsia"/>
          <w:sz w:val="22"/>
        </w:rPr>
        <w:t>本基金清算期间的审计费、律师费由基金管理人承担。本基金</w:t>
      </w:r>
      <w:r>
        <w:rPr>
          <w:rFonts w:ascii="黑体" w:eastAsia="黑体" w:hAnsi="黑体" w:cs="Arial" w:hint="eastAsia"/>
          <w:sz w:val="22"/>
        </w:rPr>
        <w:t>一次</w:t>
      </w:r>
      <w:r w:rsidRPr="00026EC5">
        <w:rPr>
          <w:rFonts w:ascii="黑体" w:eastAsia="黑体" w:hAnsi="黑体" w:cs="Arial" w:hint="eastAsia"/>
          <w:sz w:val="22"/>
        </w:rPr>
        <w:t>清算期间清算费用为人民币678.62元，系上清所查询服务费和卖出证券交易费用，已分别于2018年10月19日，2018年11月1日和2018年11月2</w:t>
      </w:r>
      <w:r>
        <w:rPr>
          <w:rFonts w:ascii="黑体" w:eastAsia="黑体" w:hAnsi="黑体" w:cs="Arial" w:hint="eastAsia"/>
          <w:sz w:val="22"/>
        </w:rPr>
        <w:t>日支付；本基金二次清算期间清算费用为人民币</w:t>
      </w:r>
      <w:r w:rsidRPr="00026EC5">
        <w:rPr>
          <w:rFonts w:ascii="黑体" w:eastAsia="黑体" w:hAnsi="黑体" w:cs="Arial"/>
          <w:sz w:val="22"/>
        </w:rPr>
        <w:t>3,763.23</w:t>
      </w:r>
      <w:r>
        <w:rPr>
          <w:rFonts w:ascii="黑体" w:eastAsia="黑体" w:hAnsi="黑体" w:cs="Arial" w:hint="eastAsia"/>
          <w:sz w:val="22"/>
        </w:rPr>
        <w:t>元，系卖出证券的交易费用，已分别于2019年2月1</w:t>
      </w:r>
      <w:r>
        <w:rPr>
          <w:rFonts w:ascii="黑体" w:eastAsia="黑体" w:hAnsi="黑体" w:cs="Arial"/>
          <w:sz w:val="22"/>
        </w:rPr>
        <w:t>2</w:t>
      </w:r>
      <w:r>
        <w:rPr>
          <w:rFonts w:ascii="黑体" w:eastAsia="黑体" w:hAnsi="黑体" w:cs="Arial" w:hint="eastAsia"/>
          <w:sz w:val="22"/>
        </w:rPr>
        <w:t>日和2019年2月15日</w:t>
      </w:r>
      <w:r w:rsidRPr="002718BE">
        <w:rPr>
          <w:rFonts w:ascii="黑体" w:eastAsia="黑体" w:hAnsi="黑体" w:cs="Arial" w:hint="eastAsia"/>
          <w:sz w:val="22"/>
        </w:rPr>
        <w:t>支付。</w:t>
      </w:r>
    </w:p>
    <w:p w:rsidR="00D05A47" w:rsidRPr="002718BE" w:rsidRDefault="00D05A47" w:rsidP="00D05A47">
      <w:pPr>
        <w:overflowPunct w:val="0"/>
        <w:autoSpaceDE w:val="0"/>
        <w:autoSpaceDN w:val="0"/>
        <w:snapToGrid w:val="0"/>
        <w:rPr>
          <w:rFonts w:ascii="黑体" w:eastAsia="黑体" w:hAnsi="黑体" w:cs="Arial"/>
          <w:sz w:val="22"/>
        </w:rPr>
      </w:pPr>
    </w:p>
    <w:p w:rsidR="00D05A47" w:rsidRPr="00216F32" w:rsidRDefault="00D05A47" w:rsidP="00216F32">
      <w:pPr>
        <w:tabs>
          <w:tab w:val="left" w:pos="567"/>
        </w:tabs>
        <w:overflowPunct w:val="0"/>
        <w:autoSpaceDE w:val="0"/>
        <w:autoSpaceDN w:val="0"/>
        <w:snapToGrid w:val="0"/>
        <w:jc w:val="center"/>
        <w:rPr>
          <w:rFonts w:ascii="宋体" w:hAnsi="宋体"/>
          <w:b/>
          <w:sz w:val="28"/>
          <w:szCs w:val="28"/>
        </w:rPr>
      </w:pPr>
      <w:r w:rsidRPr="002718BE">
        <w:rPr>
          <w:rFonts w:ascii="黑体" w:eastAsia="黑体" w:hAnsi="黑体" w:cs="Arial" w:hint="eastAsia"/>
          <w:b/>
          <w:sz w:val="22"/>
        </w:rPr>
        <w:tab/>
      </w:r>
      <w:r w:rsidR="008F50DC" w:rsidRPr="00216F32">
        <w:rPr>
          <w:rFonts w:ascii="宋体" w:hAnsi="宋体" w:hint="eastAsia"/>
          <w:b/>
          <w:sz w:val="28"/>
          <w:szCs w:val="28"/>
        </w:rPr>
        <w:t>六、</w:t>
      </w:r>
      <w:r w:rsidRPr="00216F32">
        <w:rPr>
          <w:rFonts w:ascii="宋体" w:hAnsi="宋体" w:hint="eastAsia"/>
          <w:b/>
          <w:sz w:val="28"/>
          <w:szCs w:val="28"/>
        </w:rPr>
        <w:t>资产处置及负债清偿后的剩余资产分配情况</w:t>
      </w:r>
    </w:p>
    <w:p w:rsidR="00D05A47" w:rsidRPr="002718BE" w:rsidRDefault="00D05A47" w:rsidP="00D05A47">
      <w:pPr>
        <w:overflowPunct w:val="0"/>
        <w:autoSpaceDE w:val="0"/>
        <w:autoSpaceDN w:val="0"/>
        <w:snapToGrid w:val="0"/>
        <w:rPr>
          <w:rFonts w:ascii="黑体" w:eastAsia="黑体" w:hAnsi="黑体" w:cs="Arial"/>
          <w:b/>
          <w:sz w:val="22"/>
        </w:rPr>
      </w:pPr>
    </w:p>
    <w:p w:rsidR="00FC680C" w:rsidRDefault="00D05A47" w:rsidP="00216F32">
      <w:pPr>
        <w:overflowPunct w:val="0"/>
        <w:autoSpaceDE w:val="0"/>
        <w:autoSpaceDN w:val="0"/>
        <w:snapToGrid w:val="0"/>
        <w:ind w:left="6480"/>
        <w:rPr>
          <w:rFonts w:ascii="黑体" w:eastAsia="黑体" w:hAnsi="黑体" w:cs="Arial"/>
          <w:b/>
          <w:sz w:val="22"/>
        </w:rPr>
      </w:pPr>
      <w:r w:rsidRPr="002718BE">
        <w:rPr>
          <w:rFonts w:ascii="黑体" w:eastAsia="黑体" w:hAnsi="黑体" w:hint="eastAsia"/>
          <w:sz w:val="22"/>
        </w:rPr>
        <w:t>单位：人民币元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3087"/>
      </w:tblGrid>
      <w:tr w:rsidR="00D05A47" w:rsidRPr="002718BE" w:rsidTr="006156FA">
        <w:tc>
          <w:tcPr>
            <w:tcW w:w="5245" w:type="dxa"/>
            <w:shd w:val="clear" w:color="auto" w:fill="auto"/>
          </w:tcPr>
          <w:p w:rsidR="00D05A47" w:rsidRPr="002718BE" w:rsidRDefault="00D05A47" w:rsidP="006156FA">
            <w:pPr>
              <w:overflowPunct w:val="0"/>
              <w:autoSpaceDE w:val="0"/>
              <w:autoSpaceDN w:val="0"/>
              <w:snapToGrid w:val="0"/>
              <w:jc w:val="left"/>
              <w:rPr>
                <w:rFonts w:ascii="黑体" w:eastAsia="黑体" w:hAnsi="黑体" w:cs="Arial"/>
                <w:sz w:val="22"/>
              </w:rPr>
            </w:pPr>
            <w:r w:rsidRPr="002718BE">
              <w:rPr>
                <w:rFonts w:ascii="黑体" w:eastAsia="黑体" w:hAnsi="黑体" w:cs="Arial" w:hint="eastAsia"/>
                <w:sz w:val="22"/>
              </w:rPr>
              <w:t>项目</w:t>
            </w:r>
          </w:p>
        </w:tc>
        <w:tc>
          <w:tcPr>
            <w:tcW w:w="3259" w:type="dxa"/>
            <w:shd w:val="clear" w:color="auto" w:fill="auto"/>
          </w:tcPr>
          <w:p w:rsidR="00D05A47" w:rsidRPr="002718BE" w:rsidRDefault="00D05A47" w:rsidP="006156FA">
            <w:pPr>
              <w:overflowPunct w:val="0"/>
              <w:autoSpaceDE w:val="0"/>
              <w:autoSpaceDN w:val="0"/>
              <w:snapToGrid w:val="0"/>
              <w:jc w:val="right"/>
              <w:rPr>
                <w:rFonts w:ascii="黑体" w:eastAsia="黑体" w:hAnsi="黑体" w:cs="Arial"/>
                <w:sz w:val="22"/>
              </w:rPr>
            </w:pPr>
            <w:r w:rsidRPr="002718BE">
              <w:rPr>
                <w:rFonts w:ascii="黑体" w:eastAsia="黑体" w:hAnsi="黑体" w:cs="Arial" w:hint="eastAsia"/>
                <w:sz w:val="22"/>
              </w:rPr>
              <w:t>金额</w:t>
            </w:r>
          </w:p>
        </w:tc>
      </w:tr>
      <w:tr w:rsidR="00D05A47" w:rsidRPr="002718BE" w:rsidTr="006156FA">
        <w:tc>
          <w:tcPr>
            <w:tcW w:w="5245" w:type="dxa"/>
            <w:shd w:val="clear" w:color="auto" w:fill="auto"/>
          </w:tcPr>
          <w:p w:rsidR="00D05A47" w:rsidRPr="002718BE" w:rsidRDefault="00D05A47" w:rsidP="006156FA">
            <w:pPr>
              <w:overflowPunct w:val="0"/>
              <w:autoSpaceDE w:val="0"/>
              <w:autoSpaceDN w:val="0"/>
              <w:snapToGrid w:val="0"/>
              <w:jc w:val="left"/>
              <w:rPr>
                <w:rFonts w:ascii="黑体" w:eastAsia="黑体" w:hAnsi="黑体" w:cs="Arial"/>
                <w:sz w:val="22"/>
              </w:rPr>
            </w:pPr>
            <w:r w:rsidRPr="002718BE">
              <w:rPr>
                <w:rFonts w:ascii="黑体" w:eastAsia="黑体" w:hAnsi="黑体" w:cs="Arial" w:hint="eastAsia"/>
                <w:sz w:val="22"/>
              </w:rPr>
              <w:t>一、最后运作日2018年</w:t>
            </w:r>
            <w:r>
              <w:rPr>
                <w:rFonts w:ascii="黑体" w:eastAsia="黑体" w:hAnsi="黑体" w:cs="Arial" w:hint="eastAsia"/>
                <w:sz w:val="22"/>
              </w:rPr>
              <w:t>10</w:t>
            </w:r>
            <w:r w:rsidRPr="002718BE">
              <w:rPr>
                <w:rFonts w:ascii="黑体" w:eastAsia="黑体" w:hAnsi="黑体" w:cs="Arial" w:hint="eastAsia"/>
                <w:sz w:val="22"/>
              </w:rPr>
              <w:t>月</w:t>
            </w:r>
            <w:r>
              <w:rPr>
                <w:rFonts w:ascii="黑体" w:eastAsia="黑体" w:hAnsi="黑体" w:cs="Arial" w:hint="eastAsia"/>
                <w:sz w:val="22"/>
              </w:rPr>
              <w:t>8</w:t>
            </w:r>
            <w:r w:rsidRPr="002718BE">
              <w:rPr>
                <w:rFonts w:ascii="黑体" w:eastAsia="黑体" w:hAnsi="黑体" w:cs="Arial" w:hint="eastAsia"/>
                <w:sz w:val="22"/>
              </w:rPr>
              <w:t>日基金净资产</w:t>
            </w:r>
          </w:p>
        </w:tc>
        <w:tc>
          <w:tcPr>
            <w:tcW w:w="3259" w:type="dxa"/>
            <w:shd w:val="clear" w:color="auto" w:fill="auto"/>
            <w:vAlign w:val="center"/>
          </w:tcPr>
          <w:p w:rsidR="00D05A47" w:rsidRPr="002718BE" w:rsidRDefault="00D05A47" w:rsidP="006156FA">
            <w:pPr>
              <w:overflowPunct w:val="0"/>
              <w:autoSpaceDE w:val="0"/>
              <w:autoSpaceDN w:val="0"/>
              <w:snapToGrid w:val="0"/>
              <w:ind w:rightChars="48" w:right="101"/>
              <w:jc w:val="right"/>
              <w:rPr>
                <w:rFonts w:ascii="黑体" w:eastAsia="黑体" w:hAnsi="黑体" w:cs="Arial"/>
                <w:sz w:val="22"/>
                <w:highlight w:val="yellow"/>
              </w:rPr>
            </w:pPr>
            <w:r w:rsidRPr="008A1B3E">
              <w:rPr>
                <w:rFonts w:ascii="黑体" w:eastAsia="黑体" w:hAnsi="黑体"/>
                <w:sz w:val="22"/>
              </w:rPr>
              <w:t>5,339,064.43</w:t>
            </w:r>
          </w:p>
        </w:tc>
      </w:tr>
      <w:tr w:rsidR="00D05A47" w:rsidRPr="002718BE" w:rsidTr="006156FA">
        <w:tc>
          <w:tcPr>
            <w:tcW w:w="5245" w:type="dxa"/>
            <w:shd w:val="clear" w:color="auto" w:fill="auto"/>
          </w:tcPr>
          <w:p w:rsidR="00D05A47" w:rsidRPr="002718BE" w:rsidRDefault="00D05A47" w:rsidP="006156FA">
            <w:pPr>
              <w:overflowPunct w:val="0"/>
              <w:autoSpaceDE w:val="0"/>
              <w:autoSpaceDN w:val="0"/>
              <w:snapToGrid w:val="0"/>
              <w:ind w:left="459" w:hanging="459"/>
              <w:jc w:val="left"/>
              <w:rPr>
                <w:rFonts w:ascii="黑体" w:eastAsia="黑体" w:hAnsi="黑体" w:cs="Arial"/>
                <w:sz w:val="22"/>
              </w:rPr>
            </w:pPr>
            <w:r w:rsidRPr="002718BE">
              <w:rPr>
                <w:rFonts w:ascii="黑体" w:eastAsia="黑体" w:hAnsi="黑体" w:cs="Arial" w:hint="eastAsia"/>
                <w:sz w:val="22"/>
              </w:rPr>
              <w:t>加：自</w:t>
            </w:r>
            <w:r>
              <w:rPr>
                <w:rFonts w:ascii="黑体" w:eastAsia="黑体" w:hAnsi="黑体" w:cs="Arial" w:hint="eastAsia"/>
                <w:sz w:val="22"/>
              </w:rPr>
              <w:t>2018年10月9日</w:t>
            </w:r>
            <w:r w:rsidRPr="002718BE">
              <w:rPr>
                <w:rFonts w:ascii="黑体" w:eastAsia="黑体" w:hAnsi="黑体" w:cs="Arial" w:hint="eastAsia"/>
                <w:sz w:val="22"/>
              </w:rPr>
              <w:t>至</w:t>
            </w:r>
            <w:r>
              <w:rPr>
                <w:rFonts w:ascii="黑体" w:eastAsia="黑体" w:hAnsi="黑体" w:cs="Arial" w:hint="eastAsia"/>
                <w:sz w:val="22"/>
              </w:rPr>
              <w:t>2019年2月15日</w:t>
            </w:r>
            <w:proofErr w:type="gramStart"/>
            <w:r w:rsidRPr="002718BE">
              <w:rPr>
                <w:rFonts w:ascii="黑体" w:eastAsia="黑体" w:hAnsi="黑体" w:cs="Arial" w:hint="eastAsia"/>
                <w:sz w:val="22"/>
              </w:rPr>
              <w:t>止</w:t>
            </w:r>
            <w:proofErr w:type="gramEnd"/>
            <w:r w:rsidRPr="002718BE">
              <w:rPr>
                <w:rFonts w:ascii="黑体" w:eastAsia="黑体" w:hAnsi="黑体" w:cs="Arial" w:hint="eastAsia"/>
                <w:sz w:val="22"/>
              </w:rPr>
              <w:t>清算期间净收益</w:t>
            </w:r>
          </w:p>
        </w:tc>
        <w:tc>
          <w:tcPr>
            <w:tcW w:w="3259" w:type="dxa"/>
            <w:shd w:val="clear" w:color="auto" w:fill="auto"/>
            <w:vAlign w:val="center"/>
          </w:tcPr>
          <w:p w:rsidR="00D05A47" w:rsidRPr="002718BE" w:rsidRDefault="00D05A47" w:rsidP="006156FA">
            <w:pPr>
              <w:overflowPunct w:val="0"/>
              <w:autoSpaceDE w:val="0"/>
              <w:autoSpaceDN w:val="0"/>
              <w:snapToGrid w:val="0"/>
              <w:ind w:rightChars="9" w:right="19"/>
              <w:jc w:val="right"/>
              <w:rPr>
                <w:rFonts w:ascii="黑体" w:eastAsia="黑体" w:hAnsi="黑体" w:cs="Arial"/>
                <w:sz w:val="22"/>
                <w:highlight w:val="yellow"/>
              </w:rPr>
            </w:pPr>
            <w:r>
              <w:rPr>
                <w:rFonts w:ascii="黑体" w:eastAsia="黑体" w:hAnsi="黑体" w:cs="Arial"/>
                <w:sz w:val="22"/>
              </w:rPr>
              <w:t>(</w:t>
            </w:r>
            <w:r w:rsidRPr="008A1B3E">
              <w:rPr>
                <w:rFonts w:ascii="黑体" w:eastAsia="黑体" w:hAnsi="黑体" w:cs="Arial"/>
                <w:sz w:val="22"/>
              </w:rPr>
              <w:t>431,393.65</w:t>
            </w:r>
            <w:r>
              <w:rPr>
                <w:rFonts w:ascii="黑体" w:eastAsia="黑体" w:hAnsi="黑体" w:cs="Arial"/>
                <w:sz w:val="22"/>
              </w:rPr>
              <w:t>)</w:t>
            </w:r>
          </w:p>
        </w:tc>
      </w:tr>
      <w:tr w:rsidR="00D05A47" w:rsidRPr="002718BE" w:rsidTr="006156FA">
        <w:tc>
          <w:tcPr>
            <w:tcW w:w="5245" w:type="dxa"/>
            <w:shd w:val="clear" w:color="auto" w:fill="auto"/>
          </w:tcPr>
          <w:p w:rsidR="00D05A47" w:rsidRPr="002718BE" w:rsidRDefault="00D05A47" w:rsidP="006156FA">
            <w:pPr>
              <w:overflowPunct w:val="0"/>
              <w:autoSpaceDE w:val="0"/>
              <w:autoSpaceDN w:val="0"/>
              <w:snapToGrid w:val="0"/>
              <w:jc w:val="left"/>
              <w:rPr>
                <w:rFonts w:ascii="黑体" w:eastAsia="黑体" w:hAnsi="黑体" w:cs="Arial"/>
                <w:sz w:val="22"/>
              </w:rPr>
            </w:pPr>
            <w:r w:rsidRPr="002718BE">
              <w:rPr>
                <w:rFonts w:ascii="黑体" w:eastAsia="黑体" w:hAnsi="黑体" w:cs="Arial" w:hint="eastAsia"/>
                <w:sz w:val="22"/>
              </w:rPr>
              <w:t>减</w:t>
            </w:r>
            <w:r w:rsidRPr="002718BE">
              <w:rPr>
                <w:rFonts w:ascii="黑体" w:eastAsia="黑体" w:hAnsi="黑体" w:cs="Arial"/>
                <w:sz w:val="22"/>
              </w:rPr>
              <w:t>：</w:t>
            </w:r>
            <w:r>
              <w:rPr>
                <w:rFonts w:ascii="黑体" w:eastAsia="黑体" w:hAnsi="黑体" w:cs="Arial" w:hint="eastAsia"/>
                <w:sz w:val="22"/>
              </w:rPr>
              <w:t>2019年1月25日支付</w:t>
            </w:r>
            <w:r>
              <w:rPr>
                <w:rFonts w:ascii="黑体" w:eastAsia="黑体" w:hAnsi="黑体" w:cs="Arial"/>
                <w:sz w:val="22"/>
              </w:rPr>
              <w:t>的</w:t>
            </w:r>
            <w:r>
              <w:rPr>
                <w:rFonts w:ascii="黑体" w:eastAsia="黑体" w:hAnsi="黑体" w:cs="Arial" w:hint="eastAsia"/>
                <w:sz w:val="22"/>
              </w:rPr>
              <w:t>一次</w:t>
            </w:r>
            <w:proofErr w:type="gramStart"/>
            <w:r>
              <w:rPr>
                <w:rFonts w:ascii="黑体" w:eastAsia="黑体" w:hAnsi="黑体" w:cs="Arial" w:hint="eastAsia"/>
                <w:sz w:val="22"/>
              </w:rPr>
              <w:t>清盘款</w:t>
            </w:r>
            <w:proofErr w:type="gramEnd"/>
          </w:p>
        </w:tc>
        <w:tc>
          <w:tcPr>
            <w:tcW w:w="3259" w:type="dxa"/>
            <w:shd w:val="clear" w:color="auto" w:fill="auto"/>
            <w:vAlign w:val="center"/>
          </w:tcPr>
          <w:p w:rsidR="00D05A47" w:rsidRPr="002718BE" w:rsidRDefault="00D05A47" w:rsidP="006156FA">
            <w:pPr>
              <w:overflowPunct w:val="0"/>
              <w:autoSpaceDE w:val="0"/>
              <w:autoSpaceDN w:val="0"/>
              <w:snapToGrid w:val="0"/>
              <w:ind w:rightChars="48" w:right="101"/>
              <w:jc w:val="right"/>
              <w:rPr>
                <w:rFonts w:ascii="黑体" w:eastAsia="黑体" w:hAnsi="黑体" w:cs="Arial"/>
                <w:sz w:val="22"/>
                <w:highlight w:val="yellow"/>
              </w:rPr>
            </w:pPr>
            <w:r w:rsidRPr="008A1B3E">
              <w:rPr>
                <w:rFonts w:ascii="黑体" w:eastAsia="黑体" w:hAnsi="黑体" w:cs="Arial"/>
                <w:sz w:val="22"/>
              </w:rPr>
              <w:t>2,810,258.91</w:t>
            </w:r>
          </w:p>
        </w:tc>
      </w:tr>
      <w:tr w:rsidR="00D05A47" w:rsidRPr="002718BE" w:rsidTr="006156FA">
        <w:trPr>
          <w:trHeight w:val="101"/>
        </w:trPr>
        <w:tc>
          <w:tcPr>
            <w:tcW w:w="5245" w:type="dxa"/>
            <w:shd w:val="clear" w:color="auto" w:fill="auto"/>
          </w:tcPr>
          <w:p w:rsidR="00D05A47" w:rsidRPr="002718BE" w:rsidRDefault="00D05A47" w:rsidP="006156FA">
            <w:pPr>
              <w:overflowPunct w:val="0"/>
              <w:autoSpaceDE w:val="0"/>
              <w:autoSpaceDN w:val="0"/>
              <w:snapToGrid w:val="0"/>
              <w:jc w:val="left"/>
              <w:rPr>
                <w:rFonts w:ascii="黑体" w:eastAsia="黑体" w:hAnsi="黑体" w:cs="Arial"/>
                <w:sz w:val="22"/>
              </w:rPr>
            </w:pPr>
            <w:r w:rsidRPr="002718BE">
              <w:rPr>
                <w:rFonts w:ascii="黑体" w:eastAsia="黑体" w:hAnsi="黑体" w:cs="Arial" w:hint="eastAsia"/>
                <w:sz w:val="22"/>
              </w:rPr>
              <w:t>二、</w:t>
            </w:r>
            <w:r>
              <w:rPr>
                <w:rFonts w:ascii="黑体" w:eastAsia="黑体" w:hAnsi="黑体" w:cs="Arial" w:hint="eastAsia"/>
                <w:sz w:val="22"/>
              </w:rPr>
              <w:t>2019年2月15日</w:t>
            </w:r>
            <w:r w:rsidRPr="002718BE">
              <w:rPr>
                <w:rFonts w:ascii="黑体" w:eastAsia="黑体" w:hAnsi="黑体" w:cs="Arial" w:hint="eastAsia"/>
                <w:sz w:val="22"/>
              </w:rPr>
              <w:t>基金净资产</w:t>
            </w:r>
          </w:p>
        </w:tc>
        <w:tc>
          <w:tcPr>
            <w:tcW w:w="3259" w:type="dxa"/>
            <w:shd w:val="clear" w:color="auto" w:fill="auto"/>
            <w:vAlign w:val="center"/>
          </w:tcPr>
          <w:p w:rsidR="00D05A47" w:rsidRPr="002718BE" w:rsidRDefault="00D05A47" w:rsidP="006156FA">
            <w:pPr>
              <w:overflowPunct w:val="0"/>
              <w:autoSpaceDE w:val="0"/>
              <w:autoSpaceDN w:val="0"/>
              <w:snapToGrid w:val="0"/>
              <w:ind w:rightChars="48" w:right="101"/>
              <w:jc w:val="right"/>
              <w:rPr>
                <w:rFonts w:ascii="黑体" w:eastAsia="黑体" w:hAnsi="黑体" w:cs="Arial"/>
                <w:sz w:val="22"/>
                <w:highlight w:val="yellow"/>
              </w:rPr>
            </w:pPr>
            <w:r w:rsidRPr="008A1B3E">
              <w:rPr>
                <w:rFonts w:ascii="黑体" w:eastAsia="黑体" w:hAnsi="黑体" w:cs="Arial"/>
                <w:sz w:val="22"/>
              </w:rPr>
              <w:t>2,097,411.87</w:t>
            </w:r>
          </w:p>
        </w:tc>
      </w:tr>
    </w:tbl>
    <w:p w:rsidR="00D05A47" w:rsidRPr="002718BE" w:rsidRDefault="00D05A47" w:rsidP="00D05A47">
      <w:pPr>
        <w:overflowPunct w:val="0"/>
        <w:autoSpaceDE w:val="0"/>
        <w:autoSpaceDN w:val="0"/>
        <w:snapToGrid w:val="0"/>
        <w:rPr>
          <w:rFonts w:ascii="黑体" w:eastAsia="黑体" w:hAnsi="黑体" w:cs="Arial"/>
          <w:b/>
          <w:sz w:val="22"/>
        </w:rPr>
      </w:pPr>
    </w:p>
    <w:p w:rsidR="00D05A47" w:rsidRPr="002718BE" w:rsidRDefault="00D05A47" w:rsidP="00D05A47">
      <w:pPr>
        <w:overflowPunct w:val="0"/>
        <w:autoSpaceDE w:val="0"/>
        <w:autoSpaceDN w:val="0"/>
        <w:snapToGrid w:val="0"/>
        <w:ind w:leftChars="273" w:left="573"/>
        <w:rPr>
          <w:rFonts w:ascii="黑体" w:eastAsia="黑体" w:hAnsi="黑体" w:cs="Arial"/>
          <w:sz w:val="22"/>
        </w:rPr>
      </w:pPr>
      <w:r w:rsidRPr="002718BE">
        <w:rPr>
          <w:rFonts w:ascii="黑体" w:eastAsia="黑体" w:hAnsi="黑体" w:cs="Arial" w:hint="eastAsia"/>
          <w:sz w:val="22"/>
        </w:rPr>
        <w:t>资产处置及负债清偿后，于</w:t>
      </w:r>
      <w:r>
        <w:rPr>
          <w:rFonts w:ascii="黑体" w:eastAsia="黑体" w:hAnsi="黑体" w:cs="Arial" w:hint="eastAsia"/>
          <w:sz w:val="22"/>
        </w:rPr>
        <w:t>2019年2月15日</w:t>
      </w:r>
      <w:r w:rsidRPr="002718BE">
        <w:rPr>
          <w:rFonts w:ascii="黑体" w:eastAsia="黑体" w:hAnsi="黑体" w:cs="Arial" w:hint="eastAsia"/>
          <w:sz w:val="22"/>
        </w:rPr>
        <w:t>本基金剩余财产为人民币</w:t>
      </w:r>
      <w:r w:rsidRPr="008A1B3E">
        <w:rPr>
          <w:rFonts w:ascii="黑体" w:eastAsia="黑体" w:hAnsi="黑体" w:cs="Arial"/>
          <w:sz w:val="22"/>
        </w:rPr>
        <w:t>2,097,411.87</w:t>
      </w:r>
      <w:r w:rsidRPr="002718BE">
        <w:rPr>
          <w:rFonts w:ascii="黑体" w:eastAsia="黑体" w:hAnsi="黑体" w:cs="Arial"/>
          <w:sz w:val="22"/>
        </w:rPr>
        <w:t>元</w:t>
      </w:r>
      <w:r w:rsidRPr="002718BE">
        <w:rPr>
          <w:rFonts w:ascii="黑体" w:eastAsia="黑体" w:hAnsi="黑体" w:cs="Arial" w:hint="eastAsia"/>
          <w:sz w:val="22"/>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D05A47" w:rsidRPr="002718BE" w:rsidRDefault="00D05A47" w:rsidP="00D05A47">
      <w:pPr>
        <w:overflowPunct w:val="0"/>
        <w:autoSpaceDE w:val="0"/>
        <w:autoSpaceDN w:val="0"/>
        <w:snapToGrid w:val="0"/>
        <w:ind w:leftChars="273" w:left="573"/>
        <w:rPr>
          <w:rFonts w:ascii="黑体" w:eastAsia="黑体" w:hAnsi="黑体" w:cs="Arial"/>
          <w:sz w:val="22"/>
        </w:rPr>
      </w:pPr>
    </w:p>
    <w:p w:rsidR="00D05A47" w:rsidRPr="002718BE" w:rsidRDefault="00D05A47" w:rsidP="00D05A47">
      <w:pPr>
        <w:overflowPunct w:val="0"/>
        <w:autoSpaceDE w:val="0"/>
        <w:autoSpaceDN w:val="0"/>
        <w:snapToGrid w:val="0"/>
        <w:ind w:leftChars="273" w:left="573"/>
        <w:rPr>
          <w:rFonts w:ascii="黑体" w:eastAsia="黑体" w:hAnsi="黑体" w:cs="Arial"/>
          <w:sz w:val="22"/>
        </w:rPr>
      </w:pPr>
      <w:r w:rsidRPr="002718BE">
        <w:rPr>
          <w:rFonts w:ascii="黑体" w:eastAsia="黑体" w:hAnsi="黑体" w:cs="Arial" w:hint="eastAsia"/>
          <w:sz w:val="22"/>
        </w:rPr>
        <w:t>清算起始日</w:t>
      </w:r>
      <w:r>
        <w:rPr>
          <w:rFonts w:ascii="黑体" w:eastAsia="黑体" w:hAnsi="黑体" w:cs="Arial" w:hint="eastAsia"/>
          <w:sz w:val="22"/>
        </w:rPr>
        <w:t>2018年10月9日</w:t>
      </w:r>
      <w:r w:rsidRPr="002718BE">
        <w:rPr>
          <w:rFonts w:ascii="黑体" w:eastAsia="黑体" w:hAnsi="黑体" w:cs="Arial" w:hint="eastAsia"/>
          <w:sz w:val="22"/>
        </w:rPr>
        <w:t>至</w:t>
      </w:r>
      <w:proofErr w:type="gramStart"/>
      <w:r w:rsidRPr="002718BE">
        <w:rPr>
          <w:rFonts w:ascii="黑体" w:eastAsia="黑体" w:hAnsi="黑体" w:cs="Arial" w:hint="eastAsia"/>
          <w:sz w:val="22"/>
        </w:rPr>
        <w:t>清算款</w:t>
      </w:r>
      <w:proofErr w:type="gramEnd"/>
      <w:r w:rsidRPr="002718BE">
        <w:rPr>
          <w:rFonts w:ascii="黑体" w:eastAsia="黑体" w:hAnsi="黑体" w:cs="Arial" w:hint="eastAsia"/>
          <w:sz w:val="22"/>
        </w:rPr>
        <w:t>划出日前一日的银行存款、存出保证金以及清算备付金产生的利息亦属份额持有人所有。</w:t>
      </w:r>
      <w:r w:rsidRPr="00EF08E3">
        <w:rPr>
          <w:rFonts w:ascii="黑体" w:eastAsia="黑体" w:hAnsi="黑体" w:cs="Arial" w:hint="eastAsia"/>
          <w:sz w:val="22"/>
        </w:rPr>
        <w:t>截至</w:t>
      </w:r>
      <w:r>
        <w:rPr>
          <w:rFonts w:ascii="黑体" w:eastAsia="黑体" w:hAnsi="黑体" w:cs="Arial" w:hint="eastAsia"/>
          <w:sz w:val="22"/>
        </w:rPr>
        <w:t>2019年2月15日</w:t>
      </w:r>
      <w:r w:rsidRPr="00F3469C">
        <w:rPr>
          <w:rFonts w:ascii="黑体" w:eastAsia="黑体" w:hAnsi="黑体" w:cs="Arial" w:hint="eastAsia"/>
          <w:sz w:val="22"/>
        </w:rPr>
        <w:t>止的应计利息共计人民币</w:t>
      </w:r>
      <w:r w:rsidRPr="008A1B3E">
        <w:rPr>
          <w:rFonts w:ascii="黑体" w:eastAsia="黑体" w:hAnsi="黑体" w:cs="Arial"/>
          <w:sz w:val="22"/>
        </w:rPr>
        <w:t>9,763.30</w:t>
      </w:r>
      <w:r w:rsidRPr="00F3469C">
        <w:rPr>
          <w:rFonts w:ascii="黑体" w:eastAsia="黑体" w:hAnsi="黑体" w:cs="Arial" w:hint="eastAsia"/>
          <w:sz w:val="22"/>
        </w:rPr>
        <w:t>元，其中银行存款、存出保证金截止201</w:t>
      </w:r>
      <w:r w:rsidRPr="00F3469C">
        <w:rPr>
          <w:rFonts w:ascii="黑体" w:eastAsia="黑体" w:hAnsi="黑体" w:cs="Arial"/>
          <w:sz w:val="22"/>
        </w:rPr>
        <w:t>8</w:t>
      </w:r>
      <w:r w:rsidRPr="00F3469C">
        <w:rPr>
          <w:rFonts w:ascii="黑体" w:eastAsia="黑体" w:hAnsi="黑体" w:cs="Arial" w:hint="eastAsia"/>
          <w:sz w:val="22"/>
        </w:rPr>
        <w:t>年</w:t>
      </w:r>
      <w:r>
        <w:rPr>
          <w:rFonts w:ascii="黑体" w:eastAsia="黑体" w:hAnsi="黑体" w:cs="Arial"/>
          <w:sz w:val="22"/>
        </w:rPr>
        <w:t>12</w:t>
      </w:r>
      <w:r w:rsidRPr="00F3469C">
        <w:rPr>
          <w:rFonts w:ascii="黑体" w:eastAsia="黑体" w:hAnsi="黑体" w:cs="Arial" w:hint="eastAsia"/>
          <w:sz w:val="22"/>
        </w:rPr>
        <w:t>月</w:t>
      </w:r>
      <w:r>
        <w:rPr>
          <w:rFonts w:ascii="黑体" w:eastAsia="黑体" w:hAnsi="黑体" w:cs="Arial" w:hint="eastAsia"/>
          <w:sz w:val="22"/>
        </w:rPr>
        <w:t>21</w:t>
      </w:r>
      <w:r w:rsidRPr="00F3469C">
        <w:rPr>
          <w:rFonts w:ascii="黑体" w:eastAsia="黑体" w:hAnsi="黑体" w:cs="Arial" w:hint="eastAsia"/>
          <w:sz w:val="22"/>
        </w:rPr>
        <w:t>日产生的利息人民币</w:t>
      </w:r>
      <w:r w:rsidRPr="008A1B3E">
        <w:rPr>
          <w:rFonts w:ascii="黑体" w:eastAsia="黑体" w:hAnsi="黑体" w:cs="Arial"/>
          <w:sz w:val="22"/>
        </w:rPr>
        <w:t>6,897.51</w:t>
      </w:r>
      <w:r w:rsidRPr="00F3469C">
        <w:rPr>
          <w:rFonts w:ascii="黑体" w:eastAsia="黑体" w:hAnsi="黑体" w:cs="Arial" w:hint="eastAsia"/>
          <w:sz w:val="22"/>
        </w:rPr>
        <w:t>元于201</w:t>
      </w:r>
      <w:r w:rsidRPr="00F3469C">
        <w:rPr>
          <w:rFonts w:ascii="黑体" w:eastAsia="黑体" w:hAnsi="黑体" w:cs="Arial"/>
          <w:sz w:val="22"/>
        </w:rPr>
        <w:t>8</w:t>
      </w:r>
      <w:r w:rsidRPr="00F3469C">
        <w:rPr>
          <w:rFonts w:ascii="黑体" w:eastAsia="黑体" w:hAnsi="黑体" w:cs="Arial" w:hint="eastAsia"/>
          <w:sz w:val="22"/>
        </w:rPr>
        <w:t>年</w:t>
      </w:r>
      <w:r>
        <w:rPr>
          <w:rFonts w:ascii="黑体" w:eastAsia="黑体" w:hAnsi="黑体" w:cs="Arial"/>
          <w:sz w:val="22"/>
        </w:rPr>
        <w:t>12</w:t>
      </w:r>
      <w:r w:rsidRPr="00F3469C">
        <w:rPr>
          <w:rFonts w:ascii="黑体" w:eastAsia="黑体" w:hAnsi="黑体" w:cs="Arial" w:hint="eastAsia"/>
          <w:sz w:val="22"/>
        </w:rPr>
        <w:t>月</w:t>
      </w:r>
      <w:r w:rsidRPr="00F3469C">
        <w:rPr>
          <w:rFonts w:ascii="黑体" w:eastAsia="黑体" w:hAnsi="黑体" w:cs="Arial"/>
          <w:sz w:val="22"/>
        </w:rPr>
        <w:t>21</w:t>
      </w:r>
      <w:r w:rsidRPr="00F3469C">
        <w:rPr>
          <w:rFonts w:ascii="黑体" w:eastAsia="黑体" w:hAnsi="黑体" w:cs="Arial" w:hint="eastAsia"/>
          <w:sz w:val="22"/>
        </w:rPr>
        <w:t>日划入托管账户；</w:t>
      </w:r>
      <w:r w:rsidRPr="002718BE">
        <w:rPr>
          <w:rFonts w:ascii="黑体" w:eastAsia="黑体" w:hAnsi="黑体" w:cs="Arial" w:hint="eastAsia"/>
          <w:sz w:val="22"/>
        </w:rPr>
        <w:t>银行存款自201</w:t>
      </w:r>
      <w:r w:rsidRPr="002718BE">
        <w:rPr>
          <w:rFonts w:ascii="黑体" w:eastAsia="黑体" w:hAnsi="黑体" w:cs="Arial"/>
          <w:sz w:val="22"/>
        </w:rPr>
        <w:t>8</w:t>
      </w:r>
      <w:r w:rsidRPr="002718BE">
        <w:rPr>
          <w:rFonts w:ascii="黑体" w:eastAsia="黑体" w:hAnsi="黑体" w:cs="Arial" w:hint="eastAsia"/>
          <w:sz w:val="22"/>
        </w:rPr>
        <w:t>年</w:t>
      </w:r>
      <w:r>
        <w:rPr>
          <w:rFonts w:ascii="黑体" w:eastAsia="黑体" w:hAnsi="黑体" w:cs="Arial" w:hint="eastAsia"/>
          <w:sz w:val="22"/>
        </w:rPr>
        <w:t>12</w:t>
      </w:r>
      <w:r w:rsidRPr="002718BE">
        <w:rPr>
          <w:rFonts w:ascii="黑体" w:eastAsia="黑体" w:hAnsi="黑体" w:cs="Arial" w:hint="eastAsia"/>
          <w:sz w:val="22"/>
        </w:rPr>
        <w:t>月</w:t>
      </w:r>
      <w:r>
        <w:rPr>
          <w:rFonts w:ascii="黑体" w:eastAsia="黑体" w:hAnsi="黑体" w:cs="Arial" w:hint="eastAsia"/>
          <w:sz w:val="22"/>
        </w:rPr>
        <w:t>22</w:t>
      </w:r>
      <w:r w:rsidRPr="002718BE">
        <w:rPr>
          <w:rFonts w:ascii="黑体" w:eastAsia="黑体" w:hAnsi="黑体" w:cs="Arial" w:hint="eastAsia"/>
          <w:sz w:val="22"/>
        </w:rPr>
        <w:t>日至</w:t>
      </w:r>
      <w:r>
        <w:rPr>
          <w:rFonts w:ascii="黑体" w:eastAsia="黑体" w:hAnsi="黑体" w:cs="Arial" w:hint="eastAsia"/>
          <w:sz w:val="22"/>
        </w:rPr>
        <w:t>2019年2月15日</w:t>
      </w:r>
      <w:proofErr w:type="gramStart"/>
      <w:r w:rsidRPr="002718BE">
        <w:rPr>
          <w:rFonts w:ascii="黑体" w:eastAsia="黑体" w:hAnsi="黑体" w:cs="Arial" w:hint="eastAsia"/>
          <w:sz w:val="22"/>
        </w:rPr>
        <w:t>止</w:t>
      </w:r>
      <w:proofErr w:type="gramEnd"/>
      <w:r w:rsidRPr="002718BE">
        <w:rPr>
          <w:rFonts w:ascii="黑体" w:eastAsia="黑体" w:hAnsi="黑体" w:cs="Arial" w:hint="eastAsia"/>
          <w:sz w:val="22"/>
        </w:rPr>
        <w:t>期间产生的利息</w:t>
      </w:r>
      <w:r w:rsidRPr="002718BE">
        <w:rPr>
          <w:rFonts w:ascii="黑体" w:eastAsia="黑体" w:hAnsi="黑体" w:cs="Arial"/>
          <w:sz w:val="22"/>
        </w:rPr>
        <w:t>人民币</w:t>
      </w:r>
      <w:r w:rsidRPr="008A1B3E">
        <w:rPr>
          <w:rFonts w:ascii="黑体" w:eastAsia="黑体" w:hAnsi="黑体" w:cs="Arial"/>
          <w:sz w:val="22"/>
        </w:rPr>
        <w:t>2,865.79</w:t>
      </w:r>
      <w:r w:rsidRPr="002718BE">
        <w:rPr>
          <w:rFonts w:ascii="黑体" w:eastAsia="黑体" w:hAnsi="黑体" w:cs="Arial" w:hint="eastAsia"/>
          <w:sz w:val="22"/>
        </w:rPr>
        <w:t>元（以当前适用的利率预估）</w:t>
      </w:r>
      <w:r w:rsidRPr="002718BE">
        <w:rPr>
          <w:rFonts w:ascii="黑体" w:eastAsia="黑体" w:hAnsi="黑体" w:cs="Arial"/>
          <w:sz w:val="22"/>
        </w:rPr>
        <w:t>，</w:t>
      </w:r>
      <w:r w:rsidRPr="002718BE">
        <w:rPr>
          <w:rFonts w:ascii="黑体" w:eastAsia="黑体" w:hAnsi="黑体" w:cs="Arial" w:hint="eastAsia"/>
          <w:sz w:val="22"/>
        </w:rPr>
        <w:t>将由基金管理人以自有资金垫付，于</w:t>
      </w:r>
      <w:proofErr w:type="gramStart"/>
      <w:r w:rsidRPr="002718BE">
        <w:rPr>
          <w:rFonts w:ascii="黑体" w:eastAsia="黑体" w:hAnsi="黑体" w:cs="Arial" w:hint="eastAsia"/>
          <w:sz w:val="22"/>
        </w:rPr>
        <w:t>清算款</w:t>
      </w:r>
      <w:proofErr w:type="gramEnd"/>
      <w:r w:rsidRPr="002718BE">
        <w:rPr>
          <w:rFonts w:ascii="黑体" w:eastAsia="黑体" w:hAnsi="黑体" w:cs="Arial" w:hint="eastAsia"/>
          <w:sz w:val="22"/>
        </w:rPr>
        <w:t>划出日前划入托管账户。</w:t>
      </w:r>
      <w:r w:rsidRPr="00FD4063">
        <w:rPr>
          <w:rFonts w:ascii="黑体" w:eastAsia="黑体" w:hAnsi="黑体" w:cs="Arial" w:hint="eastAsia"/>
          <w:sz w:val="22"/>
        </w:rPr>
        <w:t>2</w:t>
      </w:r>
      <w:r w:rsidRPr="00FD4063">
        <w:rPr>
          <w:rFonts w:ascii="黑体" w:eastAsia="黑体" w:hAnsi="黑体" w:cs="Arial"/>
          <w:sz w:val="22"/>
        </w:rPr>
        <w:t>019年2月16日至</w:t>
      </w:r>
      <w:proofErr w:type="gramStart"/>
      <w:r w:rsidRPr="00FD4063">
        <w:rPr>
          <w:rFonts w:ascii="黑体" w:eastAsia="黑体" w:hAnsi="黑体" w:cs="Arial"/>
          <w:sz w:val="22"/>
        </w:rPr>
        <w:t>清算款</w:t>
      </w:r>
      <w:proofErr w:type="gramEnd"/>
      <w:r w:rsidRPr="00FD4063">
        <w:rPr>
          <w:rFonts w:ascii="黑体" w:eastAsia="黑体" w:hAnsi="黑体" w:cs="Arial"/>
          <w:sz w:val="22"/>
        </w:rPr>
        <w:t>划出日</w:t>
      </w:r>
      <w:r w:rsidRPr="00FD4063">
        <w:rPr>
          <w:rFonts w:ascii="黑体" w:eastAsia="黑体" w:hAnsi="黑体" w:cs="Arial" w:hint="eastAsia"/>
          <w:sz w:val="22"/>
        </w:rPr>
        <w:t>前</w:t>
      </w:r>
      <w:r w:rsidRPr="00FD4063">
        <w:rPr>
          <w:rFonts w:ascii="黑体" w:eastAsia="黑体" w:hAnsi="黑体" w:cs="Arial"/>
          <w:sz w:val="22"/>
        </w:rPr>
        <w:t>一日的银行存款产生的利息亦由</w:t>
      </w:r>
      <w:r w:rsidRPr="00FD4063">
        <w:rPr>
          <w:rFonts w:ascii="黑体" w:eastAsia="黑体" w:hAnsi="黑体" w:cs="Arial" w:hint="eastAsia"/>
          <w:sz w:val="22"/>
        </w:rPr>
        <w:t>基金</w:t>
      </w:r>
      <w:r w:rsidRPr="00FD4063">
        <w:rPr>
          <w:rFonts w:ascii="黑体" w:eastAsia="黑体" w:hAnsi="黑体" w:cs="Arial"/>
          <w:sz w:val="22"/>
        </w:rPr>
        <w:t>管理人以自有资金垫付。</w:t>
      </w:r>
      <w:r w:rsidRPr="002718BE">
        <w:rPr>
          <w:rFonts w:ascii="黑体" w:eastAsia="黑体" w:hAnsi="黑体" w:cs="Arial"/>
          <w:sz w:val="22"/>
        </w:rPr>
        <w:t>实际</w:t>
      </w:r>
      <w:r w:rsidRPr="002718BE">
        <w:rPr>
          <w:rFonts w:ascii="黑体" w:eastAsia="黑体" w:hAnsi="黑体" w:cs="Arial" w:hint="eastAsia"/>
          <w:sz w:val="22"/>
        </w:rPr>
        <w:t>结息</w:t>
      </w:r>
      <w:r w:rsidRPr="002718BE">
        <w:rPr>
          <w:rFonts w:ascii="黑体" w:eastAsia="黑体" w:hAnsi="黑体" w:cs="Arial"/>
          <w:sz w:val="22"/>
        </w:rPr>
        <w:t>金额与</w:t>
      </w:r>
      <w:r w:rsidRPr="002718BE">
        <w:rPr>
          <w:rFonts w:ascii="黑体" w:eastAsia="黑体" w:hAnsi="黑体" w:cs="Arial" w:hint="eastAsia"/>
          <w:sz w:val="22"/>
        </w:rPr>
        <w:t>垫付</w:t>
      </w:r>
      <w:r w:rsidRPr="002718BE">
        <w:rPr>
          <w:rFonts w:ascii="黑体" w:eastAsia="黑体" w:hAnsi="黑体" w:cs="Arial"/>
          <w:sz w:val="22"/>
        </w:rPr>
        <w:t>金额的尾差由</w:t>
      </w:r>
      <w:r w:rsidRPr="002718BE">
        <w:rPr>
          <w:rFonts w:ascii="黑体" w:eastAsia="黑体" w:hAnsi="黑体" w:cs="Arial" w:hint="eastAsia"/>
          <w:sz w:val="22"/>
        </w:rPr>
        <w:t>基金</w:t>
      </w:r>
      <w:r w:rsidRPr="002718BE">
        <w:rPr>
          <w:rFonts w:ascii="黑体" w:eastAsia="黑体" w:hAnsi="黑体" w:cs="Arial"/>
          <w:sz w:val="22"/>
        </w:rPr>
        <w:t>管理人承担。</w:t>
      </w:r>
    </w:p>
    <w:p w:rsidR="00573D0A" w:rsidRPr="00D05A47" w:rsidRDefault="00573D0A" w:rsidP="00E54D18">
      <w:pPr>
        <w:jc w:val="center"/>
        <w:rPr>
          <w:rFonts w:asciiTheme="majorEastAsia" w:eastAsiaTheme="majorEastAsia" w:hAnsiTheme="majorEastAsia"/>
          <w:sz w:val="32"/>
          <w:szCs w:val="32"/>
        </w:rPr>
      </w:pPr>
    </w:p>
    <w:p w:rsidR="00573D0A" w:rsidRDefault="00573D0A" w:rsidP="00E54D18">
      <w:pPr>
        <w:jc w:val="center"/>
        <w:rPr>
          <w:rFonts w:asciiTheme="majorEastAsia" w:eastAsiaTheme="majorEastAsia" w:hAnsiTheme="majorEastAsia"/>
          <w:sz w:val="32"/>
          <w:szCs w:val="32"/>
        </w:rPr>
      </w:pPr>
    </w:p>
    <w:p w:rsidR="009D1519" w:rsidRDefault="009D1519" w:rsidP="00E54D18">
      <w:pPr>
        <w:jc w:val="center"/>
        <w:rPr>
          <w:rFonts w:asciiTheme="majorEastAsia" w:eastAsiaTheme="majorEastAsia" w:hAnsiTheme="majorEastAsia"/>
          <w:sz w:val="32"/>
          <w:szCs w:val="32"/>
        </w:rPr>
      </w:pPr>
    </w:p>
    <w:p w:rsidR="00573D0A" w:rsidRDefault="008F50DC" w:rsidP="00216F32">
      <w:pPr>
        <w:snapToGrid w:val="0"/>
        <w:spacing w:line="360" w:lineRule="auto"/>
        <w:jc w:val="center"/>
        <w:rPr>
          <w:b/>
          <w:sz w:val="28"/>
          <w:szCs w:val="28"/>
        </w:rPr>
      </w:pPr>
      <w:r>
        <w:rPr>
          <w:rFonts w:hint="eastAsia"/>
          <w:b/>
          <w:sz w:val="28"/>
          <w:szCs w:val="28"/>
        </w:rPr>
        <w:t>七</w:t>
      </w:r>
      <w:r w:rsidRPr="008F50DC">
        <w:rPr>
          <w:rFonts w:ascii="宋体" w:hAnsi="宋体" w:hint="eastAsia"/>
          <w:b/>
          <w:sz w:val="28"/>
          <w:szCs w:val="28"/>
        </w:rPr>
        <w:t>、</w:t>
      </w:r>
      <w:r w:rsidR="00573D0A" w:rsidRPr="00283CE4">
        <w:rPr>
          <w:rFonts w:hint="eastAsia"/>
          <w:b/>
          <w:sz w:val="28"/>
          <w:szCs w:val="28"/>
        </w:rPr>
        <w:t>备查文件</w:t>
      </w:r>
    </w:p>
    <w:p w:rsidR="00573D0A" w:rsidRPr="00573D0A" w:rsidRDefault="00573D0A" w:rsidP="00573D0A">
      <w:pPr>
        <w:pStyle w:val="a6"/>
        <w:numPr>
          <w:ilvl w:val="0"/>
          <w:numId w:val="2"/>
        </w:numPr>
        <w:snapToGrid w:val="0"/>
        <w:spacing w:line="360" w:lineRule="auto"/>
        <w:ind w:firstLineChars="0"/>
        <w:rPr>
          <w:b/>
          <w:sz w:val="24"/>
        </w:rPr>
      </w:pPr>
      <w:r w:rsidRPr="00573D0A">
        <w:rPr>
          <w:rFonts w:hint="eastAsia"/>
          <w:b/>
          <w:sz w:val="24"/>
        </w:rPr>
        <w:t>备查文件目录</w:t>
      </w:r>
    </w:p>
    <w:p w:rsidR="00573D0A" w:rsidRDefault="00573D0A" w:rsidP="00573D0A">
      <w:pPr>
        <w:snapToGrid w:val="0"/>
        <w:spacing w:line="360" w:lineRule="auto"/>
        <w:ind w:left="720"/>
        <w:rPr>
          <w:sz w:val="24"/>
        </w:rPr>
      </w:pPr>
      <w:r w:rsidRPr="00573D0A">
        <w:rPr>
          <w:rFonts w:hint="eastAsia"/>
          <w:sz w:val="24"/>
        </w:rPr>
        <w:t>1</w:t>
      </w:r>
      <w:r w:rsidRPr="00573D0A">
        <w:rPr>
          <w:rFonts w:hint="eastAsia"/>
          <w:sz w:val="24"/>
        </w:rPr>
        <w:t>、《</w:t>
      </w:r>
      <w:r w:rsidRPr="00573D0A">
        <w:rPr>
          <w:rFonts w:ascii="Calibri" w:eastAsia="宋体" w:hAnsi="Calibri" w:cs="Times New Roman" w:hint="eastAsia"/>
          <w:sz w:val="24"/>
        </w:rPr>
        <w:t>中海中鑫灵活配置混合型证券投资基金</w:t>
      </w:r>
      <w:r w:rsidR="00B61EA6">
        <w:rPr>
          <w:rFonts w:hint="eastAsia"/>
          <w:sz w:val="24"/>
        </w:rPr>
        <w:t>清算</w:t>
      </w:r>
      <w:r w:rsidRPr="00573D0A">
        <w:rPr>
          <w:rFonts w:hint="eastAsia"/>
          <w:sz w:val="24"/>
        </w:rPr>
        <w:t>审计报告》</w:t>
      </w:r>
      <w:r w:rsidR="00C71F2F">
        <w:rPr>
          <w:rFonts w:hint="eastAsia"/>
          <w:sz w:val="24"/>
        </w:rPr>
        <w:t>；</w:t>
      </w:r>
    </w:p>
    <w:p w:rsidR="00573D0A" w:rsidRDefault="00573D0A" w:rsidP="00573D0A">
      <w:pPr>
        <w:snapToGrid w:val="0"/>
        <w:spacing w:line="360" w:lineRule="auto"/>
        <w:ind w:left="720"/>
        <w:rPr>
          <w:sz w:val="24"/>
        </w:rPr>
      </w:pPr>
      <w:r w:rsidRPr="00013E51">
        <w:rPr>
          <w:rFonts w:hint="eastAsia"/>
          <w:sz w:val="24"/>
        </w:rPr>
        <w:t>2</w:t>
      </w:r>
      <w:r w:rsidRPr="00013E51">
        <w:rPr>
          <w:rFonts w:hint="eastAsia"/>
          <w:sz w:val="24"/>
        </w:rPr>
        <w:t>、《</w:t>
      </w:r>
      <w:r w:rsidR="003E781A" w:rsidRPr="00573D0A">
        <w:rPr>
          <w:rFonts w:ascii="Calibri" w:eastAsia="宋体" w:hAnsi="Calibri" w:cs="Times New Roman" w:hint="eastAsia"/>
          <w:sz w:val="24"/>
        </w:rPr>
        <w:t>中海中鑫灵活配置混合型证券投资基金</w:t>
      </w:r>
      <w:r w:rsidR="00E33955">
        <w:rPr>
          <w:rFonts w:ascii="Calibri" w:eastAsia="宋体" w:hAnsi="Calibri" w:cs="Times New Roman" w:hint="eastAsia"/>
          <w:sz w:val="24"/>
        </w:rPr>
        <w:t>二次</w:t>
      </w:r>
      <w:r>
        <w:rPr>
          <w:rFonts w:hint="eastAsia"/>
          <w:sz w:val="24"/>
        </w:rPr>
        <w:t>清算报告</w:t>
      </w:r>
      <w:r w:rsidRPr="00283CE4">
        <w:rPr>
          <w:rFonts w:hint="eastAsia"/>
          <w:sz w:val="24"/>
        </w:rPr>
        <w:t>》</w:t>
      </w:r>
      <w:r w:rsidRPr="00013E51">
        <w:rPr>
          <w:rFonts w:hint="eastAsia"/>
          <w:sz w:val="24"/>
        </w:rPr>
        <w:t>的法律意见</w:t>
      </w:r>
      <w:r>
        <w:rPr>
          <w:rFonts w:hint="eastAsia"/>
          <w:sz w:val="24"/>
        </w:rPr>
        <w:t>。</w:t>
      </w:r>
    </w:p>
    <w:p w:rsidR="00573D0A" w:rsidRDefault="00573D0A" w:rsidP="00573D0A">
      <w:pPr>
        <w:snapToGrid w:val="0"/>
        <w:spacing w:line="360" w:lineRule="auto"/>
        <w:ind w:left="720"/>
        <w:rPr>
          <w:b/>
          <w:sz w:val="24"/>
        </w:rPr>
      </w:pPr>
      <w:r w:rsidRPr="00421228">
        <w:rPr>
          <w:rFonts w:hint="eastAsia"/>
          <w:b/>
          <w:sz w:val="24"/>
        </w:rPr>
        <w:t>（二）存放地点</w:t>
      </w:r>
    </w:p>
    <w:p w:rsidR="00573D0A" w:rsidRDefault="00573D0A" w:rsidP="00573D0A">
      <w:pPr>
        <w:snapToGrid w:val="0"/>
        <w:spacing w:line="360" w:lineRule="auto"/>
        <w:ind w:left="720"/>
        <w:rPr>
          <w:sz w:val="24"/>
        </w:rPr>
      </w:pPr>
      <w:r w:rsidRPr="00013E51">
        <w:rPr>
          <w:rFonts w:hint="eastAsia"/>
          <w:sz w:val="24"/>
        </w:rPr>
        <w:t>备查文件存放于基金管理人、基金托管人处。</w:t>
      </w:r>
    </w:p>
    <w:p w:rsidR="00FC680C" w:rsidRPr="00216F32" w:rsidRDefault="00F93583" w:rsidP="00216F32">
      <w:pPr>
        <w:snapToGrid w:val="0"/>
        <w:spacing w:line="360" w:lineRule="auto"/>
        <w:ind w:left="720"/>
        <w:rPr>
          <w:b/>
          <w:sz w:val="24"/>
        </w:rPr>
      </w:pPr>
      <w:r w:rsidRPr="00216F32">
        <w:rPr>
          <w:rFonts w:hint="eastAsia"/>
          <w:b/>
          <w:sz w:val="24"/>
        </w:rPr>
        <w:t>（三）查阅方式</w:t>
      </w:r>
    </w:p>
    <w:p w:rsidR="00573D0A" w:rsidRPr="00573D0A" w:rsidRDefault="00573D0A" w:rsidP="00573D0A">
      <w:pPr>
        <w:snapToGrid w:val="0"/>
        <w:spacing w:line="360" w:lineRule="auto"/>
        <w:ind w:left="720"/>
        <w:rPr>
          <w:b/>
          <w:sz w:val="28"/>
          <w:szCs w:val="28"/>
        </w:rPr>
      </w:pPr>
      <w:r w:rsidRPr="00573D0A">
        <w:rPr>
          <w:rFonts w:hint="eastAsia"/>
          <w:sz w:val="24"/>
        </w:rPr>
        <w:t>投资者可在营业时间免费查阅备查文件。</w:t>
      </w:r>
    </w:p>
    <w:p w:rsidR="00573D0A" w:rsidRDefault="00573D0A" w:rsidP="00573D0A">
      <w:pPr>
        <w:jc w:val="center"/>
        <w:rPr>
          <w:rFonts w:asciiTheme="majorEastAsia" w:eastAsiaTheme="majorEastAsia" w:hAnsiTheme="majorEastAsia"/>
          <w:sz w:val="32"/>
          <w:szCs w:val="32"/>
        </w:rPr>
      </w:pPr>
    </w:p>
    <w:p w:rsidR="003E781A" w:rsidRDefault="003E781A" w:rsidP="00573D0A">
      <w:pPr>
        <w:jc w:val="center"/>
        <w:rPr>
          <w:rFonts w:asciiTheme="majorEastAsia" w:eastAsiaTheme="majorEastAsia" w:hAnsiTheme="majorEastAsia"/>
          <w:sz w:val="32"/>
          <w:szCs w:val="32"/>
        </w:rPr>
      </w:pPr>
    </w:p>
    <w:p w:rsidR="009D1519" w:rsidRDefault="009D1519" w:rsidP="00573D0A">
      <w:pPr>
        <w:jc w:val="center"/>
        <w:rPr>
          <w:rFonts w:asciiTheme="majorEastAsia" w:eastAsiaTheme="majorEastAsia" w:hAnsiTheme="majorEastAsia"/>
          <w:sz w:val="32"/>
          <w:szCs w:val="32"/>
        </w:rPr>
      </w:pPr>
    </w:p>
    <w:p w:rsidR="003E781A" w:rsidRDefault="003E781A" w:rsidP="00573D0A">
      <w:pPr>
        <w:jc w:val="center"/>
        <w:rPr>
          <w:rFonts w:asciiTheme="majorEastAsia" w:eastAsiaTheme="majorEastAsia" w:hAnsiTheme="majorEastAsia"/>
          <w:sz w:val="32"/>
          <w:szCs w:val="32"/>
        </w:rPr>
      </w:pPr>
    </w:p>
    <w:p w:rsidR="003E781A" w:rsidRDefault="003E781A" w:rsidP="00573D0A">
      <w:pPr>
        <w:jc w:val="center"/>
        <w:rPr>
          <w:rFonts w:asciiTheme="majorEastAsia" w:eastAsiaTheme="majorEastAsia" w:hAnsiTheme="majorEastAsia"/>
          <w:sz w:val="32"/>
          <w:szCs w:val="32"/>
        </w:rPr>
      </w:pPr>
    </w:p>
    <w:p w:rsidR="003E781A" w:rsidRDefault="003E781A" w:rsidP="00573D0A">
      <w:pPr>
        <w:jc w:val="center"/>
        <w:rPr>
          <w:rFonts w:asciiTheme="majorEastAsia" w:eastAsiaTheme="majorEastAsia" w:hAnsiTheme="majorEastAsia"/>
          <w:sz w:val="32"/>
          <w:szCs w:val="32"/>
        </w:rPr>
      </w:pPr>
    </w:p>
    <w:p w:rsidR="003E781A" w:rsidRDefault="003E781A" w:rsidP="003E781A">
      <w:pPr>
        <w:jc w:val="right"/>
        <w:rPr>
          <w:sz w:val="24"/>
        </w:rPr>
      </w:pPr>
      <w:r w:rsidRPr="00573D0A">
        <w:rPr>
          <w:rFonts w:ascii="Calibri" w:eastAsia="宋体" w:hAnsi="Calibri" w:cs="Times New Roman" w:hint="eastAsia"/>
          <w:sz w:val="24"/>
        </w:rPr>
        <w:t>中海中</w:t>
      </w:r>
      <w:proofErr w:type="gramStart"/>
      <w:r w:rsidRPr="00573D0A">
        <w:rPr>
          <w:rFonts w:ascii="Calibri" w:eastAsia="宋体" w:hAnsi="Calibri" w:cs="Times New Roman" w:hint="eastAsia"/>
          <w:sz w:val="24"/>
        </w:rPr>
        <w:t>鑫</w:t>
      </w:r>
      <w:proofErr w:type="gramEnd"/>
      <w:r w:rsidRPr="00573D0A">
        <w:rPr>
          <w:rFonts w:ascii="Calibri" w:eastAsia="宋体" w:hAnsi="Calibri" w:cs="Times New Roman" w:hint="eastAsia"/>
          <w:sz w:val="24"/>
        </w:rPr>
        <w:t>灵活配置混合型证券投资</w:t>
      </w:r>
      <w:proofErr w:type="gramStart"/>
      <w:r w:rsidRPr="00573D0A">
        <w:rPr>
          <w:rFonts w:ascii="Calibri" w:eastAsia="宋体" w:hAnsi="Calibri" w:cs="Times New Roman" w:hint="eastAsia"/>
          <w:sz w:val="24"/>
        </w:rPr>
        <w:t>基金</w:t>
      </w:r>
      <w:r w:rsidRPr="00013E51">
        <w:rPr>
          <w:rFonts w:hint="eastAsia"/>
          <w:sz w:val="24"/>
        </w:rPr>
        <w:t>基金</w:t>
      </w:r>
      <w:proofErr w:type="gramEnd"/>
      <w:r w:rsidRPr="00013E51">
        <w:rPr>
          <w:rFonts w:hint="eastAsia"/>
          <w:sz w:val="24"/>
        </w:rPr>
        <w:t>财产清算</w:t>
      </w:r>
      <w:r>
        <w:rPr>
          <w:rFonts w:hint="eastAsia"/>
          <w:sz w:val="24"/>
        </w:rPr>
        <w:t>小</w:t>
      </w:r>
      <w:r w:rsidRPr="00013E51">
        <w:rPr>
          <w:rFonts w:hint="eastAsia"/>
          <w:sz w:val="24"/>
        </w:rPr>
        <w:t>组</w:t>
      </w:r>
    </w:p>
    <w:p w:rsidR="003E781A" w:rsidRPr="00013E51" w:rsidRDefault="003E781A" w:rsidP="003E781A">
      <w:pPr>
        <w:snapToGrid w:val="0"/>
        <w:spacing w:line="360" w:lineRule="auto"/>
        <w:ind w:firstLineChars="50" w:firstLine="120"/>
        <w:jc w:val="right"/>
        <w:rPr>
          <w:sz w:val="24"/>
        </w:rPr>
      </w:pPr>
      <w:r w:rsidRPr="00013E51">
        <w:rPr>
          <w:rFonts w:hint="eastAsia"/>
          <w:sz w:val="24"/>
        </w:rPr>
        <w:t>二〇一</w:t>
      </w:r>
      <w:r w:rsidR="00D05A47">
        <w:rPr>
          <w:rFonts w:hint="eastAsia"/>
          <w:sz w:val="24"/>
        </w:rPr>
        <w:t>九</w:t>
      </w:r>
      <w:r w:rsidRPr="00013E51">
        <w:rPr>
          <w:rFonts w:hint="eastAsia"/>
          <w:sz w:val="24"/>
        </w:rPr>
        <w:t>年</w:t>
      </w:r>
      <w:r w:rsidR="001619C7">
        <w:rPr>
          <w:rFonts w:hint="eastAsia"/>
          <w:sz w:val="24"/>
        </w:rPr>
        <w:t>三</w:t>
      </w:r>
      <w:r w:rsidRPr="00013E51">
        <w:rPr>
          <w:rFonts w:hint="eastAsia"/>
          <w:sz w:val="24"/>
        </w:rPr>
        <w:t>月</w:t>
      </w:r>
      <w:r w:rsidR="001619C7">
        <w:rPr>
          <w:rFonts w:hint="eastAsia"/>
          <w:sz w:val="24"/>
        </w:rPr>
        <w:t>二十九</w:t>
      </w:r>
      <w:bookmarkStart w:id="5" w:name="_GoBack"/>
      <w:bookmarkEnd w:id="5"/>
      <w:r w:rsidRPr="00013E51">
        <w:rPr>
          <w:rFonts w:hint="eastAsia"/>
          <w:sz w:val="24"/>
        </w:rPr>
        <w:t>日</w:t>
      </w:r>
    </w:p>
    <w:p w:rsidR="003E781A" w:rsidRPr="00573D0A" w:rsidRDefault="003E781A" w:rsidP="003E781A">
      <w:pPr>
        <w:jc w:val="right"/>
        <w:rPr>
          <w:rFonts w:asciiTheme="majorEastAsia" w:eastAsiaTheme="majorEastAsia" w:hAnsiTheme="majorEastAsia"/>
          <w:sz w:val="32"/>
          <w:szCs w:val="32"/>
        </w:rPr>
      </w:pPr>
    </w:p>
    <w:sectPr w:rsidR="003E781A" w:rsidRPr="00573D0A" w:rsidSect="00C121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D8" w:rsidRDefault="001835D8" w:rsidP="00E54D18">
      <w:r>
        <w:separator/>
      </w:r>
    </w:p>
  </w:endnote>
  <w:endnote w:type="continuationSeparator" w:id="0">
    <w:p w:rsidR="001835D8" w:rsidRDefault="001835D8" w:rsidP="00E5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UnicodeMS">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D8" w:rsidRDefault="001835D8" w:rsidP="00E54D18">
      <w:r>
        <w:separator/>
      </w:r>
    </w:p>
  </w:footnote>
  <w:footnote w:type="continuationSeparator" w:id="0">
    <w:p w:rsidR="001835D8" w:rsidRDefault="001835D8" w:rsidP="00E54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B4FB7"/>
    <w:multiLevelType w:val="hybridMultilevel"/>
    <w:tmpl w:val="988A5EE2"/>
    <w:lvl w:ilvl="0" w:tplc="56DA6B0E">
      <w:start w:val="3"/>
      <w:numFmt w:val="japaneseCounting"/>
      <w:lvlText w:val="%1、"/>
      <w:lvlJc w:val="left"/>
      <w:pPr>
        <w:ind w:left="460" w:hanging="4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6D4DE8"/>
    <w:multiLevelType w:val="hybridMultilevel"/>
    <w:tmpl w:val="07441516"/>
    <w:lvl w:ilvl="0" w:tplc="A64C33F0">
      <w:start w:val="1"/>
      <w:numFmt w:val="decimal"/>
      <w:lvlText w:val="%1、"/>
      <w:lvlJc w:val="left"/>
      <w:pPr>
        <w:ind w:left="658" w:hanging="37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2C225254"/>
    <w:multiLevelType w:val="hybridMultilevel"/>
    <w:tmpl w:val="5F20C144"/>
    <w:lvl w:ilvl="0" w:tplc="36F4854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D7E7072"/>
    <w:multiLevelType w:val="hybridMultilevel"/>
    <w:tmpl w:val="07441516"/>
    <w:lvl w:ilvl="0" w:tplc="A64C33F0">
      <w:start w:val="1"/>
      <w:numFmt w:val="decimal"/>
      <w:lvlText w:val="%1、"/>
      <w:lvlJc w:val="left"/>
      <w:pPr>
        <w:ind w:left="658" w:hanging="37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4FA81C55"/>
    <w:multiLevelType w:val="hybridMultilevel"/>
    <w:tmpl w:val="4E626E80"/>
    <w:lvl w:ilvl="0" w:tplc="B6B491A0">
      <w:start w:val="1"/>
      <w:numFmt w:val="decimal"/>
      <w:lvlText w:val="%1、"/>
      <w:lvlJc w:val="left"/>
      <w:pPr>
        <w:ind w:left="819" w:hanging="360"/>
      </w:pPr>
      <w:rPr>
        <w:rFonts w:hint="default"/>
      </w:rPr>
    </w:lvl>
    <w:lvl w:ilvl="1" w:tplc="04090019" w:tentative="1">
      <w:start w:val="1"/>
      <w:numFmt w:val="lowerLetter"/>
      <w:lvlText w:val="%2)"/>
      <w:lvlJc w:val="left"/>
      <w:pPr>
        <w:ind w:left="1299" w:hanging="420"/>
      </w:pPr>
    </w:lvl>
    <w:lvl w:ilvl="2" w:tplc="0409001B" w:tentative="1">
      <w:start w:val="1"/>
      <w:numFmt w:val="lowerRoman"/>
      <w:lvlText w:val="%3."/>
      <w:lvlJc w:val="right"/>
      <w:pPr>
        <w:ind w:left="1719" w:hanging="420"/>
      </w:pPr>
    </w:lvl>
    <w:lvl w:ilvl="3" w:tplc="0409000F" w:tentative="1">
      <w:start w:val="1"/>
      <w:numFmt w:val="decimal"/>
      <w:lvlText w:val="%4."/>
      <w:lvlJc w:val="left"/>
      <w:pPr>
        <w:ind w:left="2139" w:hanging="420"/>
      </w:pPr>
    </w:lvl>
    <w:lvl w:ilvl="4" w:tplc="04090019" w:tentative="1">
      <w:start w:val="1"/>
      <w:numFmt w:val="lowerLetter"/>
      <w:lvlText w:val="%5)"/>
      <w:lvlJc w:val="left"/>
      <w:pPr>
        <w:ind w:left="2559" w:hanging="420"/>
      </w:pPr>
    </w:lvl>
    <w:lvl w:ilvl="5" w:tplc="0409001B" w:tentative="1">
      <w:start w:val="1"/>
      <w:numFmt w:val="lowerRoman"/>
      <w:lvlText w:val="%6."/>
      <w:lvlJc w:val="right"/>
      <w:pPr>
        <w:ind w:left="2979" w:hanging="420"/>
      </w:pPr>
    </w:lvl>
    <w:lvl w:ilvl="6" w:tplc="0409000F" w:tentative="1">
      <w:start w:val="1"/>
      <w:numFmt w:val="decimal"/>
      <w:lvlText w:val="%7."/>
      <w:lvlJc w:val="left"/>
      <w:pPr>
        <w:ind w:left="3399" w:hanging="420"/>
      </w:pPr>
    </w:lvl>
    <w:lvl w:ilvl="7" w:tplc="04090019" w:tentative="1">
      <w:start w:val="1"/>
      <w:numFmt w:val="lowerLetter"/>
      <w:lvlText w:val="%8)"/>
      <w:lvlJc w:val="left"/>
      <w:pPr>
        <w:ind w:left="3819" w:hanging="420"/>
      </w:pPr>
    </w:lvl>
    <w:lvl w:ilvl="8" w:tplc="0409001B" w:tentative="1">
      <w:start w:val="1"/>
      <w:numFmt w:val="lowerRoman"/>
      <w:lvlText w:val="%9."/>
      <w:lvlJc w:val="right"/>
      <w:pPr>
        <w:ind w:left="4239" w:hanging="420"/>
      </w:pPr>
    </w:lvl>
  </w:abstractNum>
  <w:abstractNum w:abstractNumId="5" w15:restartNumberingAfterBreak="0">
    <w:nsid w:val="5A2512D3"/>
    <w:multiLevelType w:val="hybridMultilevel"/>
    <w:tmpl w:val="8E92E5BA"/>
    <w:lvl w:ilvl="0" w:tplc="C0DAE8B8">
      <w:start w:val="1"/>
      <w:numFmt w:val="japaneseCounting"/>
      <w:lvlText w:val="（%1）"/>
      <w:lvlJc w:val="left"/>
      <w:pPr>
        <w:ind w:left="1485" w:hanging="7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66BD30A5"/>
    <w:multiLevelType w:val="hybridMultilevel"/>
    <w:tmpl w:val="5E008F1A"/>
    <w:lvl w:ilvl="0" w:tplc="1646B906">
      <w:start w:val="1"/>
      <w:numFmt w:val="decimal"/>
      <w:lvlText w:val="(%1)"/>
      <w:lvlJc w:val="left"/>
      <w:pPr>
        <w:ind w:left="1069" w:hanging="360"/>
      </w:pPr>
      <w:rPr>
        <w:rFonts w:ascii="Arial" w:hint="default"/>
      </w:rPr>
    </w:lvl>
    <w:lvl w:ilvl="1" w:tplc="70F01EA8">
      <w:start w:val="3"/>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A603C44"/>
    <w:multiLevelType w:val="hybridMultilevel"/>
    <w:tmpl w:val="B558A31A"/>
    <w:lvl w:ilvl="0" w:tplc="6388F47A">
      <w:start w:val="1"/>
      <w:numFmt w:val="decimal"/>
      <w:lvlText w:val="（%1）"/>
      <w:lvlJc w:val="left"/>
      <w:pPr>
        <w:ind w:left="1473" w:hanging="720"/>
      </w:pPr>
      <w:rPr>
        <w:rFonts w:ascii="黑体" w:hAnsi="黑体" w:hint="default"/>
      </w:rPr>
    </w:lvl>
    <w:lvl w:ilvl="1" w:tplc="04090019" w:tentative="1">
      <w:start w:val="1"/>
      <w:numFmt w:val="lowerLetter"/>
      <w:lvlText w:val="%2)"/>
      <w:lvlJc w:val="left"/>
      <w:pPr>
        <w:ind w:left="1593" w:hanging="420"/>
      </w:pPr>
    </w:lvl>
    <w:lvl w:ilvl="2" w:tplc="0409001B" w:tentative="1">
      <w:start w:val="1"/>
      <w:numFmt w:val="lowerRoman"/>
      <w:lvlText w:val="%3."/>
      <w:lvlJc w:val="right"/>
      <w:pPr>
        <w:ind w:left="2013" w:hanging="420"/>
      </w:pPr>
    </w:lvl>
    <w:lvl w:ilvl="3" w:tplc="0409000F" w:tentative="1">
      <w:start w:val="1"/>
      <w:numFmt w:val="decimal"/>
      <w:lvlText w:val="%4."/>
      <w:lvlJc w:val="left"/>
      <w:pPr>
        <w:ind w:left="2433" w:hanging="420"/>
      </w:pPr>
    </w:lvl>
    <w:lvl w:ilvl="4" w:tplc="04090019" w:tentative="1">
      <w:start w:val="1"/>
      <w:numFmt w:val="lowerLetter"/>
      <w:lvlText w:val="%5)"/>
      <w:lvlJc w:val="left"/>
      <w:pPr>
        <w:ind w:left="2853" w:hanging="420"/>
      </w:pPr>
    </w:lvl>
    <w:lvl w:ilvl="5" w:tplc="0409001B" w:tentative="1">
      <w:start w:val="1"/>
      <w:numFmt w:val="lowerRoman"/>
      <w:lvlText w:val="%6."/>
      <w:lvlJc w:val="right"/>
      <w:pPr>
        <w:ind w:left="3273" w:hanging="420"/>
      </w:pPr>
    </w:lvl>
    <w:lvl w:ilvl="6" w:tplc="0409000F" w:tentative="1">
      <w:start w:val="1"/>
      <w:numFmt w:val="decimal"/>
      <w:lvlText w:val="%7."/>
      <w:lvlJc w:val="left"/>
      <w:pPr>
        <w:ind w:left="3693" w:hanging="420"/>
      </w:pPr>
    </w:lvl>
    <w:lvl w:ilvl="7" w:tplc="04090019" w:tentative="1">
      <w:start w:val="1"/>
      <w:numFmt w:val="lowerLetter"/>
      <w:lvlText w:val="%8)"/>
      <w:lvlJc w:val="left"/>
      <w:pPr>
        <w:ind w:left="4113" w:hanging="420"/>
      </w:pPr>
    </w:lvl>
    <w:lvl w:ilvl="8" w:tplc="0409001B" w:tentative="1">
      <w:start w:val="1"/>
      <w:numFmt w:val="lowerRoman"/>
      <w:lvlText w:val="%9."/>
      <w:lvlJc w:val="right"/>
      <w:pPr>
        <w:ind w:left="4533" w:hanging="420"/>
      </w:pPr>
    </w:lvl>
  </w:abstractNum>
  <w:abstractNum w:abstractNumId="8" w15:restartNumberingAfterBreak="0">
    <w:nsid w:val="74262CE6"/>
    <w:multiLevelType w:val="hybridMultilevel"/>
    <w:tmpl w:val="14988C3C"/>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4"/>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4D18"/>
    <w:rsid w:val="00012FD7"/>
    <w:rsid w:val="0002011F"/>
    <w:rsid w:val="00060C83"/>
    <w:rsid w:val="000E0976"/>
    <w:rsid w:val="00100B09"/>
    <w:rsid w:val="001157D7"/>
    <w:rsid w:val="001231C4"/>
    <w:rsid w:val="0012397E"/>
    <w:rsid w:val="001571F3"/>
    <w:rsid w:val="001619C7"/>
    <w:rsid w:val="00175510"/>
    <w:rsid w:val="001835D8"/>
    <w:rsid w:val="001E2583"/>
    <w:rsid w:val="00216F32"/>
    <w:rsid w:val="00312AF2"/>
    <w:rsid w:val="003A3117"/>
    <w:rsid w:val="003E781A"/>
    <w:rsid w:val="003F1109"/>
    <w:rsid w:val="00436D61"/>
    <w:rsid w:val="00476D02"/>
    <w:rsid w:val="00516122"/>
    <w:rsid w:val="005606D0"/>
    <w:rsid w:val="00560FC7"/>
    <w:rsid w:val="0056153D"/>
    <w:rsid w:val="00573D0A"/>
    <w:rsid w:val="005A5F53"/>
    <w:rsid w:val="005B1C18"/>
    <w:rsid w:val="00627086"/>
    <w:rsid w:val="00675E17"/>
    <w:rsid w:val="00683C1D"/>
    <w:rsid w:val="006A65E9"/>
    <w:rsid w:val="006C542A"/>
    <w:rsid w:val="00803DCA"/>
    <w:rsid w:val="00832DAB"/>
    <w:rsid w:val="008A05B4"/>
    <w:rsid w:val="008F50DC"/>
    <w:rsid w:val="008F60A1"/>
    <w:rsid w:val="00902768"/>
    <w:rsid w:val="00913126"/>
    <w:rsid w:val="00944FF4"/>
    <w:rsid w:val="009A4EAD"/>
    <w:rsid w:val="009B1CF0"/>
    <w:rsid w:val="009D1519"/>
    <w:rsid w:val="00A229E8"/>
    <w:rsid w:val="00A65853"/>
    <w:rsid w:val="00A74C7C"/>
    <w:rsid w:val="00A86D75"/>
    <w:rsid w:val="00A9503C"/>
    <w:rsid w:val="00AE5B53"/>
    <w:rsid w:val="00B61EA6"/>
    <w:rsid w:val="00B969C9"/>
    <w:rsid w:val="00C121EE"/>
    <w:rsid w:val="00C533B7"/>
    <w:rsid w:val="00C71F2F"/>
    <w:rsid w:val="00D05A47"/>
    <w:rsid w:val="00DB7E1C"/>
    <w:rsid w:val="00E16C71"/>
    <w:rsid w:val="00E33955"/>
    <w:rsid w:val="00E416E1"/>
    <w:rsid w:val="00E420F7"/>
    <w:rsid w:val="00E54D18"/>
    <w:rsid w:val="00E77812"/>
    <w:rsid w:val="00EC13B6"/>
    <w:rsid w:val="00EC2F06"/>
    <w:rsid w:val="00ED69E9"/>
    <w:rsid w:val="00EF7869"/>
    <w:rsid w:val="00F93583"/>
    <w:rsid w:val="00FC680C"/>
    <w:rsid w:val="00FD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F64CE8-F997-457E-ABC7-26FF500C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D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4D18"/>
    <w:rPr>
      <w:sz w:val="18"/>
      <w:szCs w:val="18"/>
    </w:rPr>
  </w:style>
  <w:style w:type="paragraph" w:styleId="a4">
    <w:name w:val="footer"/>
    <w:basedOn w:val="a"/>
    <w:link w:val="Char0"/>
    <w:uiPriority w:val="99"/>
    <w:unhideWhenUsed/>
    <w:rsid w:val="00E54D18"/>
    <w:pPr>
      <w:tabs>
        <w:tab w:val="center" w:pos="4153"/>
        <w:tab w:val="right" w:pos="8306"/>
      </w:tabs>
      <w:snapToGrid w:val="0"/>
      <w:jc w:val="left"/>
    </w:pPr>
    <w:rPr>
      <w:sz w:val="18"/>
      <w:szCs w:val="18"/>
    </w:rPr>
  </w:style>
  <w:style w:type="character" w:customStyle="1" w:styleId="Char0">
    <w:name w:val="页脚 Char"/>
    <w:basedOn w:val="a0"/>
    <w:link w:val="a4"/>
    <w:uiPriority w:val="99"/>
    <w:rsid w:val="00E54D18"/>
    <w:rPr>
      <w:sz w:val="18"/>
      <w:szCs w:val="18"/>
    </w:rPr>
  </w:style>
  <w:style w:type="paragraph" w:styleId="a5">
    <w:name w:val="Document Map"/>
    <w:basedOn w:val="a"/>
    <w:link w:val="Char1"/>
    <w:uiPriority w:val="99"/>
    <w:semiHidden/>
    <w:unhideWhenUsed/>
    <w:rsid w:val="00E54D18"/>
    <w:rPr>
      <w:rFonts w:ascii="宋体" w:eastAsia="宋体"/>
      <w:sz w:val="18"/>
      <w:szCs w:val="18"/>
    </w:rPr>
  </w:style>
  <w:style w:type="character" w:customStyle="1" w:styleId="Char1">
    <w:name w:val="文档结构图 Char"/>
    <w:basedOn w:val="a0"/>
    <w:link w:val="a5"/>
    <w:uiPriority w:val="99"/>
    <w:semiHidden/>
    <w:rsid w:val="00E54D18"/>
    <w:rPr>
      <w:rFonts w:ascii="宋体" w:eastAsia="宋体"/>
      <w:sz w:val="18"/>
      <w:szCs w:val="18"/>
    </w:rPr>
  </w:style>
  <w:style w:type="paragraph" w:styleId="a6">
    <w:name w:val="List Paragraph"/>
    <w:basedOn w:val="a"/>
    <w:uiPriority w:val="34"/>
    <w:qFormat/>
    <w:rsid w:val="00573D0A"/>
    <w:pPr>
      <w:ind w:firstLineChars="200" w:firstLine="420"/>
    </w:pPr>
  </w:style>
  <w:style w:type="character" w:styleId="a7">
    <w:name w:val="annotation reference"/>
    <w:basedOn w:val="a0"/>
    <w:uiPriority w:val="99"/>
    <w:semiHidden/>
    <w:unhideWhenUsed/>
    <w:rsid w:val="003F1109"/>
    <w:rPr>
      <w:sz w:val="21"/>
      <w:szCs w:val="21"/>
    </w:rPr>
  </w:style>
  <w:style w:type="paragraph" w:styleId="a8">
    <w:name w:val="annotation text"/>
    <w:basedOn w:val="a"/>
    <w:link w:val="Char2"/>
    <w:uiPriority w:val="99"/>
    <w:semiHidden/>
    <w:unhideWhenUsed/>
    <w:rsid w:val="003F1109"/>
    <w:pPr>
      <w:jc w:val="left"/>
    </w:pPr>
  </w:style>
  <w:style w:type="character" w:customStyle="1" w:styleId="Char2">
    <w:name w:val="批注文字 Char"/>
    <w:basedOn w:val="a0"/>
    <w:link w:val="a8"/>
    <w:uiPriority w:val="99"/>
    <w:semiHidden/>
    <w:rsid w:val="003F1109"/>
  </w:style>
  <w:style w:type="paragraph" w:styleId="a9">
    <w:name w:val="annotation subject"/>
    <w:basedOn w:val="a8"/>
    <w:next w:val="a8"/>
    <w:link w:val="Char3"/>
    <w:uiPriority w:val="99"/>
    <w:semiHidden/>
    <w:unhideWhenUsed/>
    <w:rsid w:val="003F1109"/>
    <w:rPr>
      <w:b/>
      <w:bCs/>
    </w:rPr>
  </w:style>
  <w:style w:type="character" w:customStyle="1" w:styleId="Char3">
    <w:name w:val="批注主题 Char"/>
    <w:basedOn w:val="Char2"/>
    <w:link w:val="a9"/>
    <w:uiPriority w:val="99"/>
    <w:semiHidden/>
    <w:rsid w:val="003F1109"/>
    <w:rPr>
      <w:b/>
      <w:bCs/>
    </w:rPr>
  </w:style>
  <w:style w:type="paragraph" w:styleId="aa">
    <w:name w:val="Balloon Text"/>
    <w:basedOn w:val="a"/>
    <w:link w:val="Char4"/>
    <w:uiPriority w:val="99"/>
    <w:semiHidden/>
    <w:unhideWhenUsed/>
    <w:rsid w:val="003F1109"/>
    <w:rPr>
      <w:sz w:val="18"/>
      <w:szCs w:val="18"/>
    </w:rPr>
  </w:style>
  <w:style w:type="character" w:customStyle="1" w:styleId="Char4">
    <w:name w:val="批注框文本 Char"/>
    <w:basedOn w:val="a0"/>
    <w:link w:val="aa"/>
    <w:uiPriority w:val="99"/>
    <w:semiHidden/>
    <w:rsid w:val="003F1109"/>
    <w:rPr>
      <w:sz w:val="18"/>
      <w:szCs w:val="18"/>
    </w:rPr>
  </w:style>
  <w:style w:type="paragraph" w:styleId="ab">
    <w:name w:val="Normal (Web)"/>
    <w:basedOn w:val="a"/>
    <w:rsid w:val="009D15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8343">
      <w:bodyDiv w:val="1"/>
      <w:marLeft w:val="0"/>
      <w:marRight w:val="0"/>
      <w:marTop w:val="0"/>
      <w:marBottom w:val="0"/>
      <w:divBdr>
        <w:top w:val="none" w:sz="0" w:space="0" w:color="auto"/>
        <w:left w:val="none" w:sz="0" w:space="0" w:color="auto"/>
        <w:bottom w:val="none" w:sz="0" w:space="0" w:color="auto"/>
        <w:right w:val="none" w:sz="0" w:space="0" w:color="auto"/>
      </w:divBdr>
      <w:divsChild>
        <w:div w:id="1092972242">
          <w:marLeft w:val="0"/>
          <w:marRight w:val="0"/>
          <w:marTop w:val="0"/>
          <w:marBottom w:val="0"/>
          <w:divBdr>
            <w:top w:val="none" w:sz="0" w:space="0" w:color="auto"/>
            <w:left w:val="none" w:sz="0" w:space="0" w:color="auto"/>
            <w:bottom w:val="none" w:sz="0" w:space="0" w:color="auto"/>
            <w:right w:val="none" w:sz="0" w:space="0" w:color="auto"/>
          </w:divBdr>
          <w:divsChild>
            <w:div w:id="595211126">
              <w:marLeft w:val="0"/>
              <w:marRight w:val="0"/>
              <w:marTop w:val="0"/>
              <w:marBottom w:val="0"/>
              <w:divBdr>
                <w:top w:val="none" w:sz="0" w:space="0" w:color="auto"/>
                <w:left w:val="none" w:sz="0" w:space="0" w:color="auto"/>
                <w:bottom w:val="none" w:sz="0" w:space="0" w:color="auto"/>
                <w:right w:val="none" w:sz="0" w:space="0" w:color="auto"/>
              </w:divBdr>
              <w:divsChild>
                <w:div w:id="1584143953">
                  <w:marLeft w:val="0"/>
                  <w:marRight w:val="0"/>
                  <w:marTop w:val="360"/>
                  <w:marBottom w:val="225"/>
                  <w:divBdr>
                    <w:top w:val="none" w:sz="0" w:space="0" w:color="auto"/>
                    <w:left w:val="none" w:sz="0" w:space="0" w:color="auto"/>
                    <w:bottom w:val="none" w:sz="0" w:space="0" w:color="auto"/>
                    <w:right w:val="none" w:sz="0" w:space="0" w:color="auto"/>
                  </w:divBdr>
                  <w:divsChild>
                    <w:div w:id="80813517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415636927">
      <w:bodyDiv w:val="1"/>
      <w:marLeft w:val="0"/>
      <w:marRight w:val="0"/>
      <w:marTop w:val="0"/>
      <w:marBottom w:val="0"/>
      <w:divBdr>
        <w:top w:val="none" w:sz="0" w:space="0" w:color="auto"/>
        <w:left w:val="none" w:sz="0" w:space="0" w:color="auto"/>
        <w:bottom w:val="none" w:sz="0" w:space="0" w:color="auto"/>
        <w:right w:val="none" w:sz="0" w:space="0" w:color="auto"/>
      </w:divBdr>
      <w:divsChild>
        <w:div w:id="789515586">
          <w:marLeft w:val="0"/>
          <w:marRight w:val="0"/>
          <w:marTop w:val="0"/>
          <w:marBottom w:val="0"/>
          <w:divBdr>
            <w:top w:val="none" w:sz="0" w:space="0" w:color="auto"/>
            <w:left w:val="none" w:sz="0" w:space="0" w:color="auto"/>
            <w:bottom w:val="none" w:sz="0" w:space="0" w:color="auto"/>
            <w:right w:val="none" w:sz="0" w:space="0" w:color="auto"/>
          </w:divBdr>
          <w:divsChild>
            <w:div w:id="822163865">
              <w:marLeft w:val="0"/>
              <w:marRight w:val="0"/>
              <w:marTop w:val="0"/>
              <w:marBottom w:val="0"/>
              <w:divBdr>
                <w:top w:val="none" w:sz="0" w:space="0" w:color="auto"/>
                <w:left w:val="none" w:sz="0" w:space="0" w:color="auto"/>
                <w:bottom w:val="none" w:sz="0" w:space="0" w:color="auto"/>
                <w:right w:val="none" w:sz="0" w:space="0" w:color="auto"/>
              </w:divBdr>
              <w:divsChild>
                <w:div w:id="25369166">
                  <w:marLeft w:val="0"/>
                  <w:marRight w:val="0"/>
                  <w:marTop w:val="360"/>
                  <w:marBottom w:val="225"/>
                  <w:divBdr>
                    <w:top w:val="none" w:sz="0" w:space="0" w:color="auto"/>
                    <w:left w:val="none" w:sz="0" w:space="0" w:color="auto"/>
                    <w:bottom w:val="none" w:sz="0" w:space="0" w:color="auto"/>
                    <w:right w:val="none" w:sz="0" w:space="0" w:color="auto"/>
                  </w:divBdr>
                  <w:divsChild>
                    <w:div w:id="72124808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66401940">
      <w:bodyDiv w:val="1"/>
      <w:marLeft w:val="0"/>
      <w:marRight w:val="0"/>
      <w:marTop w:val="0"/>
      <w:marBottom w:val="0"/>
      <w:divBdr>
        <w:top w:val="none" w:sz="0" w:space="0" w:color="auto"/>
        <w:left w:val="none" w:sz="0" w:space="0" w:color="auto"/>
        <w:bottom w:val="none" w:sz="0" w:space="0" w:color="auto"/>
        <w:right w:val="none" w:sz="0" w:space="0" w:color="auto"/>
      </w:divBdr>
      <w:divsChild>
        <w:div w:id="348992266">
          <w:marLeft w:val="0"/>
          <w:marRight w:val="0"/>
          <w:marTop w:val="0"/>
          <w:marBottom w:val="0"/>
          <w:divBdr>
            <w:top w:val="none" w:sz="0" w:space="0" w:color="auto"/>
            <w:left w:val="none" w:sz="0" w:space="0" w:color="auto"/>
            <w:bottom w:val="none" w:sz="0" w:space="0" w:color="auto"/>
            <w:right w:val="none" w:sz="0" w:space="0" w:color="auto"/>
          </w:divBdr>
          <w:divsChild>
            <w:div w:id="709572102">
              <w:marLeft w:val="0"/>
              <w:marRight w:val="0"/>
              <w:marTop w:val="0"/>
              <w:marBottom w:val="0"/>
              <w:divBdr>
                <w:top w:val="none" w:sz="0" w:space="0" w:color="auto"/>
                <w:left w:val="none" w:sz="0" w:space="0" w:color="auto"/>
                <w:bottom w:val="none" w:sz="0" w:space="0" w:color="auto"/>
                <w:right w:val="none" w:sz="0" w:space="0" w:color="auto"/>
              </w:divBdr>
              <w:divsChild>
                <w:div w:id="319771108">
                  <w:marLeft w:val="0"/>
                  <w:marRight w:val="0"/>
                  <w:marTop w:val="360"/>
                  <w:marBottom w:val="225"/>
                  <w:divBdr>
                    <w:top w:val="none" w:sz="0" w:space="0" w:color="auto"/>
                    <w:left w:val="none" w:sz="0" w:space="0" w:color="auto"/>
                    <w:bottom w:val="none" w:sz="0" w:space="0" w:color="auto"/>
                    <w:right w:val="none" w:sz="0" w:space="0" w:color="auto"/>
                  </w:divBdr>
                  <w:divsChild>
                    <w:div w:id="99465070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12150046">
      <w:bodyDiv w:val="1"/>
      <w:marLeft w:val="0"/>
      <w:marRight w:val="0"/>
      <w:marTop w:val="0"/>
      <w:marBottom w:val="0"/>
      <w:divBdr>
        <w:top w:val="none" w:sz="0" w:space="0" w:color="auto"/>
        <w:left w:val="none" w:sz="0" w:space="0" w:color="auto"/>
        <w:bottom w:val="none" w:sz="0" w:space="0" w:color="auto"/>
        <w:right w:val="none" w:sz="0" w:space="0" w:color="auto"/>
      </w:divBdr>
      <w:divsChild>
        <w:div w:id="78141175">
          <w:marLeft w:val="0"/>
          <w:marRight w:val="0"/>
          <w:marTop w:val="0"/>
          <w:marBottom w:val="0"/>
          <w:divBdr>
            <w:top w:val="none" w:sz="0" w:space="0" w:color="auto"/>
            <w:left w:val="none" w:sz="0" w:space="0" w:color="auto"/>
            <w:bottom w:val="none" w:sz="0" w:space="0" w:color="auto"/>
            <w:right w:val="none" w:sz="0" w:space="0" w:color="auto"/>
          </w:divBdr>
          <w:divsChild>
            <w:div w:id="2105497152">
              <w:marLeft w:val="0"/>
              <w:marRight w:val="0"/>
              <w:marTop w:val="0"/>
              <w:marBottom w:val="0"/>
              <w:divBdr>
                <w:top w:val="none" w:sz="0" w:space="0" w:color="auto"/>
                <w:left w:val="none" w:sz="0" w:space="0" w:color="auto"/>
                <w:bottom w:val="none" w:sz="0" w:space="0" w:color="auto"/>
                <w:right w:val="none" w:sz="0" w:space="0" w:color="auto"/>
              </w:divBdr>
              <w:divsChild>
                <w:div w:id="1543589279">
                  <w:marLeft w:val="0"/>
                  <w:marRight w:val="0"/>
                  <w:marTop w:val="360"/>
                  <w:marBottom w:val="225"/>
                  <w:divBdr>
                    <w:top w:val="none" w:sz="0" w:space="0" w:color="auto"/>
                    <w:left w:val="none" w:sz="0" w:space="0" w:color="auto"/>
                    <w:bottom w:val="none" w:sz="0" w:space="0" w:color="auto"/>
                    <w:right w:val="none" w:sz="0" w:space="0" w:color="auto"/>
                  </w:divBdr>
                  <w:divsChild>
                    <w:div w:id="193543182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922</Words>
  <Characters>5261</Characters>
  <Application>Microsoft Office Word</Application>
  <DocSecurity>0</DocSecurity>
  <Lines>43</Lines>
  <Paragraphs>12</Paragraphs>
  <ScaleCrop>false</ScaleCrop>
  <Company>Microsoft</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肖丽华</cp:lastModifiedBy>
  <cp:revision>21</cp:revision>
  <dcterms:created xsi:type="dcterms:W3CDTF">2018-11-30T02:14:00Z</dcterms:created>
  <dcterms:modified xsi:type="dcterms:W3CDTF">2019-03-28T06:05:00Z</dcterms:modified>
</cp:coreProperties>
</file>