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P="00026C9C" w:rsidR="001A59F9" w:rsidRDefault="001A59F9" w:rsidRPr="00B71057">
      <w:pPr>
        <w:autoSpaceDE w:val="0"/>
        <w:autoSpaceDN w:val="0"/>
        <w:adjustRightInd w:val="0"/>
        <w:spacing w:line="360" w:lineRule="auto"/>
        <w:jc w:val="left"/>
        <w:rPr>
          <w:rFonts w:eastAsiaTheme="minorEastAsia"/>
          <w:color w:themeColor="text1" w:val="000000"/>
          <w:kern w:val="0"/>
          <w:szCs w:val="21"/>
        </w:rPr>
      </w:pPr>
    </w:p>
    <w:p w:rsidP="00026C9C" w:rsidR="001A59F9" w:rsidRDefault="001A59F9" w:rsidRPr="00B71057">
      <w:pPr>
        <w:autoSpaceDE w:val="0"/>
        <w:autoSpaceDN w:val="0"/>
        <w:adjustRightInd w:val="0"/>
        <w:spacing w:line="360" w:lineRule="auto"/>
        <w:jc w:val="left"/>
        <w:rPr>
          <w:rFonts w:eastAsiaTheme="minorEastAsia"/>
          <w:color w:themeColor="text1" w:val="000000"/>
          <w:kern w:val="0"/>
          <w:szCs w:val="21"/>
        </w:rPr>
      </w:pPr>
    </w:p>
    <w:p w:rsidP="00026C9C" w:rsidR="001A59F9" w:rsidRDefault="001A59F9" w:rsidRPr="00B71057">
      <w:pPr>
        <w:autoSpaceDE w:val="0"/>
        <w:autoSpaceDN w:val="0"/>
        <w:adjustRightInd w:val="0"/>
        <w:spacing w:line="360" w:lineRule="auto"/>
        <w:jc w:val="left"/>
        <w:rPr>
          <w:rFonts w:eastAsiaTheme="minorEastAsia"/>
          <w:color w:themeColor="text1" w:val="000000"/>
          <w:kern w:val="0"/>
          <w:szCs w:val="21"/>
        </w:rPr>
      </w:pPr>
    </w:p>
    <w:p w:rsidP="00026C9C" w:rsidR="001A59F9" w:rsidRDefault="001A59F9" w:rsidRPr="00B71057">
      <w:pPr>
        <w:autoSpaceDE w:val="0"/>
        <w:autoSpaceDN w:val="0"/>
        <w:adjustRightInd w:val="0"/>
        <w:spacing w:line="360" w:lineRule="auto"/>
        <w:jc w:val="left"/>
        <w:rPr>
          <w:rFonts w:eastAsiaTheme="minorEastAsia"/>
          <w:color w:themeColor="text1" w:val="000000"/>
          <w:kern w:val="0"/>
          <w:szCs w:val="21"/>
        </w:rPr>
      </w:pPr>
    </w:p>
    <w:p w:rsidP="008B2C7A" w:rsidR="001A59F9" w:rsidRDefault="001A59F9" w:rsidRPr="00B71057">
      <w:pPr>
        <w:spacing w:line="360" w:lineRule="auto"/>
        <w:jc w:val="center"/>
        <w:rPr>
          <w:rFonts w:eastAsiaTheme="minorEastAsia"/>
          <w:b/>
          <w:color w:themeColor="text1" w:val="000000"/>
          <w:sz w:val="36"/>
          <w:szCs w:val="36"/>
        </w:rPr>
      </w:pPr>
      <w:bookmarkStart w:id="0" w:name="_Toc361324840"/>
      <w:r w:rsidRPr="00B71057">
        <w:rPr>
          <w:rFonts w:eastAsiaTheme="minorEastAsia"/>
          <w:b/>
          <w:color w:themeColor="text1" w:val="000000"/>
          <w:sz w:val="36"/>
          <w:szCs w:val="36"/>
        </w:rPr>
        <w:t>新华安享惠钰定期开放债券型证券投资基金</w:t>
      </w:r>
      <w:bookmarkEnd w:id="0"/>
    </w:p>
    <w:p w:rsidP="008B2C7A" w:rsidR="001A59F9" w:rsidRDefault="001A59F9" w:rsidRPr="00B71057">
      <w:pPr>
        <w:spacing w:line="360" w:lineRule="auto"/>
        <w:jc w:val="center"/>
        <w:rPr>
          <w:rFonts w:eastAsiaTheme="minorEastAsia"/>
          <w:b/>
          <w:color w:themeColor="text1" w:val="000000"/>
          <w:sz w:val="36"/>
          <w:szCs w:val="36"/>
        </w:rPr>
      </w:pPr>
      <w:bookmarkStart w:id="1" w:name="_Toc361324841"/>
      <w:r w:rsidRPr="00B71057">
        <w:rPr>
          <w:rFonts w:eastAsiaTheme="minorEastAsia"/>
          <w:b/>
          <w:color w:themeColor="text1" w:val="000000"/>
          <w:sz w:val="36"/>
          <w:szCs w:val="36"/>
        </w:rPr>
        <w:t>2018年年度报告</w:t>
      </w:r>
      <w:bookmarkEnd w:id="1"/>
      <w:r w:rsidR="00343DA3" w:rsidRPr="00B71057">
        <w:rPr>
          <w:rFonts w:eastAsiaTheme="minorEastAsia"/>
          <w:b/>
          <w:color w:themeColor="text1" w:val="000000"/>
          <w:sz w:val="36"/>
          <w:szCs w:val="36"/>
        </w:rPr>
        <w:t>摘要</w:t>
      </w:r>
    </w:p>
    <w:p w:rsidP="008B2C7A" w:rsidR="001A59F9" w:rsidRDefault="00F64FAD" w:rsidRPr="00B71057">
      <w:pPr>
        <w:spacing w:line="360" w:lineRule="auto"/>
        <w:jc w:val="center"/>
        <w:rPr>
          <w:rFonts w:eastAsiaTheme="minorEastAsia"/>
          <w:b/>
          <w:color w:themeColor="text1" w:val="000000"/>
          <w:sz w:val="36"/>
          <w:szCs w:val="36"/>
        </w:rPr>
      </w:pPr>
      <w:r w:rsidRPr="00B71057">
        <w:rPr>
          <w:rFonts w:eastAsiaTheme="minorEastAsia"/>
          <w:b/>
          <w:color w:themeColor="text1" w:val="000000"/>
          <w:sz w:val="36"/>
          <w:szCs w:val="36"/>
        </w:rPr>
        <w:t>2018年12月31日</w:t>
      </w: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jc w:val="center"/>
        <w:rPr>
          <w:rFonts w:eastAsiaTheme="minorEastAsia"/>
          <w:b/>
          <w:color w:themeColor="text1" w:val="000000"/>
          <w:szCs w:val="21"/>
        </w:rPr>
      </w:pPr>
    </w:p>
    <w:p w:rsidP="00026C9C" w:rsidR="001A59F9" w:rsidRDefault="001A59F9" w:rsidRPr="00B71057">
      <w:pPr>
        <w:spacing w:line="360" w:lineRule="auto"/>
        <w:rPr>
          <w:rFonts w:eastAsiaTheme="minorEastAsia"/>
          <w:b/>
          <w:color w:themeColor="text1" w:val="000000"/>
          <w:szCs w:val="21"/>
        </w:rPr>
      </w:pPr>
    </w:p>
    <w:p w:rsidP="008B2C7A" w:rsidR="001A59F9" w:rsidRDefault="001A59F9" w:rsidRPr="00B71057">
      <w:pPr>
        <w:spacing w:line="360" w:lineRule="auto"/>
        <w:ind w:firstLine="2168" w:firstLineChars="900"/>
        <w:rPr>
          <w:rFonts w:eastAsiaTheme="minorEastAsia"/>
          <w:b/>
          <w:color w:themeColor="text1" w:val="000000"/>
          <w:sz w:val="24"/>
        </w:rPr>
      </w:pPr>
      <w:r w:rsidRPr="00B71057">
        <w:rPr>
          <w:rFonts w:eastAsiaTheme="minorEastAsia"/>
          <w:b/>
          <w:color w:themeColor="text1" w:val="000000"/>
          <w:sz w:val="24"/>
        </w:rPr>
        <w:t>基金管理人：</w:t>
      </w:r>
      <w:r w:rsidRPr="00B71057">
        <w:rPr>
          <w:rFonts w:eastAsiaTheme="minorEastAsia"/>
          <w:b/>
          <w:color w:themeColor="text1" w:val="000000"/>
          <w:sz w:val="24"/>
        </w:rPr>
        <w:t>新华基金管理股份有限公司</w:t>
      </w:r>
    </w:p>
    <w:p w:rsidP="008B2C7A" w:rsidR="001A59F9" w:rsidRDefault="001A59F9" w:rsidRPr="00B71057">
      <w:pPr>
        <w:spacing w:line="360" w:lineRule="auto"/>
        <w:ind w:firstLine="2168" w:firstLineChars="900"/>
        <w:rPr>
          <w:rFonts w:eastAsiaTheme="minorEastAsia"/>
          <w:b/>
          <w:color w:themeColor="text1" w:val="000000"/>
          <w:sz w:val="24"/>
        </w:rPr>
      </w:pPr>
      <w:r w:rsidRPr="00B71057">
        <w:rPr>
          <w:rFonts w:eastAsiaTheme="minorEastAsia"/>
          <w:b/>
          <w:color w:themeColor="text1" w:val="000000"/>
          <w:sz w:val="24"/>
        </w:rPr>
        <w:t>基金托管人：</w:t>
      </w:r>
      <w:r w:rsidRPr="00B71057">
        <w:rPr>
          <w:rFonts w:eastAsiaTheme="minorEastAsia"/>
          <w:b/>
          <w:color w:themeColor="text1" w:val="000000"/>
          <w:sz w:val="24"/>
        </w:rPr>
        <w:t>中国建设银行股份有限公司</w:t>
      </w:r>
    </w:p>
    <w:p w:rsidP="008B2C7A" w:rsidR="001A59F9" w:rsidRDefault="001A59F9" w:rsidRPr="00B71057">
      <w:pPr>
        <w:spacing w:line="360" w:lineRule="auto"/>
        <w:ind w:firstLine="2168" w:firstLineChars="900"/>
        <w:rPr>
          <w:rFonts w:eastAsiaTheme="minorEastAsia"/>
          <w:b/>
          <w:color w:themeColor="text1" w:val="000000"/>
          <w:sz w:val="24"/>
        </w:rPr>
        <w:sectPr w:rsidR="001A59F9" w:rsidRPr="00B71057">
          <w:headerReference r:id="rId8" w:type="default"/>
          <w:pgSz w:h="15840" w:w="11926"/>
          <w:pgMar w:bottom="851" w:footer="992" w:gutter="0" w:header="851" w:left="1418" w:right="1418" w:top="1418"/>
          <w:cols w:space="720"/>
        </w:sectPr>
      </w:pPr>
      <w:r w:rsidRPr="00B71057">
        <w:rPr>
          <w:rFonts w:eastAsiaTheme="minorEastAsia"/>
          <w:b/>
          <w:color w:themeColor="text1" w:val="000000"/>
          <w:sz w:val="24"/>
        </w:rPr>
        <w:t>报告送出日期：</w:t>
      </w:r>
      <w:r w:rsidRPr="00B71057">
        <w:rPr>
          <w:rFonts w:eastAsiaTheme="minorEastAsia"/>
          <w:b/>
          <w:color w:themeColor="text1" w:val="000000"/>
          <w:sz w:val="24"/>
        </w:rPr>
        <w:t/>
      </w:r>
      <w:r w:rsidR="00DB2B47" w:rsidRPr="00B71057">
        <w:rPr>
          <w:rFonts w:eastAsiaTheme="minorEastAsia"/>
          <w:b/>
          <w:color w:themeColor="text1" w:val="000000"/>
          <w:sz w:val="24"/>
        </w:rPr>
        <w:t/>
      </w:r>
      <w:r w:rsidRPr="00B71057">
        <w:rPr>
          <w:rFonts w:eastAsiaTheme="minorEastAsia"/>
          <w:b/>
          <w:color w:themeColor="text1" w:val="000000"/>
          <w:sz w:val="24"/>
        </w:rPr>
        <w:t>二〇一九年三月二十八日</w:t>
      </w:r>
    </w:p>
    <w:p w:rsidP="001D2FAD" w:rsidR="001A59F9" w:rsidRDefault="001A59F9"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2" w:name="_Toc225498243"/>
      <w:bookmarkStart w:id="3" w:name="_Toc361324842"/>
      <w:r w:rsidRPr="00B71057">
        <w:rPr>
          <w:rFonts w:eastAsiaTheme="minorEastAsia"/>
          <w:b/>
          <w:bCs/>
          <w:color w:themeColor="text1" w:val="000000"/>
          <w:sz w:val="21"/>
          <w:szCs w:val="21"/>
          <w:lang w:val="en-US"/>
        </w:rPr>
        <w:lastRenderedPageBreak/>
        <w:t xml:space="preserve">§1  </w:t>
      </w:r>
      <w:r w:rsidRPr="00B71057">
        <w:rPr>
          <w:rFonts w:eastAsiaTheme="minorEastAsia"/>
          <w:b/>
          <w:bCs/>
          <w:color w:themeColor="text1" w:val="000000"/>
          <w:sz w:val="21"/>
          <w:szCs w:val="21"/>
          <w:lang w:val="en-US"/>
        </w:rPr>
        <w:t>重要提示</w:t>
      </w:r>
      <w:bookmarkEnd w:id="2"/>
      <w:bookmarkEnd w:id="3"/>
    </w:p>
    <w:p w:rsidP="00AC3179"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4" w:name="_Toc361324843"/>
      <w:r w:rsidRPr="00B71057">
        <w:rPr>
          <w:rFonts w:ascii="Times New Roman" w:eastAsiaTheme="minorEastAsia" w:hAnsi="Times New Roman"/>
          <w:color w:themeColor="text1" w:val="000000"/>
          <w:kern w:val="0"/>
          <w:sz w:val="21"/>
          <w:szCs w:val="21"/>
        </w:rPr>
        <w:t xml:space="preserve">1.1 </w:t>
      </w:r>
      <w:r w:rsidRPr="00B71057">
        <w:rPr>
          <w:rFonts w:ascii="Times New Roman" w:eastAsiaTheme="minorEastAsia" w:hAnsi="Times New Roman"/>
          <w:color w:themeColor="text1" w:val="000000"/>
          <w:kern w:val="0"/>
          <w:sz w:val="21"/>
          <w:szCs w:val="21"/>
        </w:rPr>
        <w:t>重要提示</w:t>
      </w:r>
      <w:bookmarkEnd w:id="4"/>
    </w:p>
    <w:p w:rsidP="00AC3179" w:rsidR="002C0CB7" w:rsidRDefault="002C0CB7"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P="00AC3179" w:rsidR="002C0CB7" w:rsidRDefault="002C0CB7"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基金托管人</w:t>
      </w:r>
      <w:r w:rsidRPr="00B71057">
        <w:rPr>
          <w:rFonts w:eastAsiaTheme="minorEastAsia"/>
          <w:color w:themeColor="text1" w:val="000000"/>
          <w:szCs w:val="21"/>
        </w:rPr>
        <w:t>中国建设银行股份有限公司</w:t>
      </w:r>
      <w:r w:rsidRPr="00B71057">
        <w:rPr>
          <w:rFonts w:eastAsiaTheme="minorEastAsia"/>
          <w:color w:themeColor="text1" w:val="000000"/>
          <w:kern w:val="0"/>
          <w:szCs w:val="21"/>
        </w:rPr>
        <w:t>根据本基金合同规定，于</w:t>
      </w:r>
      <w:r w:rsidRPr="00B71057">
        <w:rPr>
          <w:rFonts w:eastAsiaTheme="minorEastAsia"/>
          <w:color w:themeColor="text1" w:val="000000"/>
          <w:szCs w:val="21"/>
        </w:rPr>
        <w:t>2019年3月27日</w:t>
      </w:r>
      <w:r w:rsidRPr="00B71057">
        <w:rPr>
          <w:rFonts w:eastAsiaTheme="minorEastAsia"/>
          <w:color w:themeColor="text1" w:val="000000"/>
          <w:kern w:val="0"/>
          <w:szCs w:val="21"/>
        </w:rPr>
        <w:t>复核了本报告中的财务指标、净值表现、利润分配情况、财务会计报告、投资组合报告等内容，保证复核内容不存在虚假记载、误导性陈述或者重大遗漏。</w:t>
      </w:r>
    </w:p>
    <w:p w:rsidP="00AC3179" w:rsidR="002C0CB7" w:rsidRDefault="002C0CB7"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基金管理人承诺以诚实信用、勤勉尽责的原则管理和运用基金资产，但不保证基金一定盈利。</w:t>
      </w:r>
    </w:p>
    <w:p w:rsidP="00AC3179" w:rsidR="002C0CB7" w:rsidRDefault="002C0CB7"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基金的过往业绩并不代表其未来表现。投资有风险，投资者在</w:t>
      </w:r>
      <w:r w:rsidR="00200AF2" w:rsidRPr="00B71057">
        <w:rPr>
          <w:rFonts w:eastAsiaTheme="minorEastAsia"/>
          <w:color w:themeColor="text1" w:val="000000"/>
          <w:kern w:val="0"/>
          <w:szCs w:val="21"/>
        </w:rPr>
        <w:t>作</w:t>
      </w:r>
      <w:r w:rsidRPr="00B71057">
        <w:rPr>
          <w:rFonts w:eastAsiaTheme="minorEastAsia"/>
          <w:color w:themeColor="text1" w:val="000000"/>
          <w:kern w:val="0"/>
          <w:szCs w:val="21"/>
        </w:rPr>
        <w:t>出投资决策前应仔细阅读本基金的招募说明书及其更新。</w:t>
      </w:r>
    </w:p>
    <w:p w:rsidP="00AC3179" w:rsidR="002C0CB7" w:rsidRDefault="002C0CB7"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本年度报告摘要摘自年度报告正文，投资者欲了解详细内容，应阅读年度报告正文。</w:t>
      </w:r>
    </w:p>
    <w:p w:rsidP="00AC3179" w:rsidR="00752A63" w:rsidRDefault="00752A63"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本报告期自</w:t>
      </w:r>
      <w:r w:rsidRPr="00B71057">
        <w:rPr>
          <w:rFonts w:eastAsiaTheme="minorEastAsia"/>
          <w:color w:themeColor="text1" w:val="000000"/>
          <w:kern w:val="0"/>
          <w:szCs w:val="21"/>
        </w:rPr>
        <w:t>2018年2月2日</w:t>
      </w:r>
      <w:r w:rsidRPr="00B71057">
        <w:rPr>
          <w:rFonts w:eastAsiaTheme="minorEastAsia"/>
          <w:color w:themeColor="text1" w:val="000000"/>
          <w:kern w:val="0"/>
          <w:szCs w:val="21"/>
        </w:rPr>
        <w:t>起至</w:t>
      </w:r>
      <w:r w:rsidR="008B0CA2" w:rsidRPr="00B71057">
        <w:rPr>
          <w:rFonts w:eastAsiaTheme="minorEastAsia"/>
          <w:color w:themeColor="text1" w:val="000000"/>
          <w:kern w:val="0"/>
          <w:szCs w:val="21"/>
        </w:rPr>
        <w:t xml:space="preserve"/>
      </w:r>
      <w:r w:rsidRPr="00B71057">
        <w:rPr>
          <w:rFonts w:eastAsiaTheme="minorEastAsia"/>
          <w:color w:themeColor="text1" w:val="000000"/>
          <w:kern w:val="0"/>
          <w:szCs w:val="21"/>
        </w:rPr>
        <w:t>12月31日</w:t>
      </w:r>
      <w:r w:rsidRPr="00B71057">
        <w:rPr>
          <w:rFonts w:eastAsiaTheme="minorEastAsia"/>
          <w:color w:themeColor="text1" w:val="000000"/>
          <w:kern w:val="0"/>
          <w:szCs w:val="21"/>
        </w:rPr>
        <w:t>止。</w:t>
      </w:r>
    </w:p>
    <w:p w:rsidP="008B2C7A" w:rsidR="006F6E14" w:rsidRDefault="001A59F9"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br w:type="page"/>
      </w:r>
    </w:p>
    <w:p w:rsidP="001D2FAD" w:rsidR="001A59F9" w:rsidRDefault="001A59F9" w:rsidRPr="00B71057">
      <w:pPr>
        <w:pStyle w:val="1"/>
        <w:keepNext/>
        <w:keepLines/>
        <w:widowControl w:val="0"/>
        <w:spacing w:after="312" w:afterLines="100" w:before="312" w:beforeLines="100" w:line="360" w:lineRule="auto"/>
        <w:jc w:val="center"/>
        <w:rPr>
          <w:rFonts w:eastAsiaTheme="minorEastAsia"/>
          <w:color w:themeColor="text1" w:val="000000"/>
          <w:sz w:val="21"/>
          <w:szCs w:val="21"/>
          <w:lang w:val="en-US"/>
        </w:rPr>
      </w:pPr>
      <w:bookmarkStart w:id="5" w:name="_Toc225498244"/>
      <w:bookmarkStart w:id="6" w:name="_Toc361324844"/>
      <w:r w:rsidRPr="00B71057">
        <w:rPr>
          <w:rFonts w:eastAsiaTheme="minorEastAsia"/>
          <w:b/>
          <w:bCs/>
          <w:color w:themeColor="text1" w:val="000000"/>
          <w:sz w:val="21"/>
          <w:szCs w:val="21"/>
          <w:lang w:val="en-US"/>
        </w:rPr>
        <w:lastRenderedPageBreak/>
        <w:t xml:space="preserve">§2  </w:t>
      </w:r>
      <w:r w:rsidRPr="00B71057">
        <w:rPr>
          <w:rFonts w:eastAsiaTheme="minorEastAsia"/>
          <w:b/>
          <w:bCs/>
          <w:color w:themeColor="text1" w:val="000000"/>
          <w:sz w:val="21"/>
          <w:szCs w:val="21"/>
          <w:lang w:val="en-US"/>
        </w:rPr>
        <w:t>基金简介</w:t>
      </w:r>
      <w:bookmarkEnd w:id="5"/>
      <w:bookmarkEnd w:id="6"/>
    </w:p>
    <w:p w:rsidP="00AC3179"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7" w:name="_Toc361324845"/>
      <w:r w:rsidRPr="00B71057">
        <w:rPr>
          <w:rFonts w:ascii="Times New Roman" w:eastAsiaTheme="minorEastAsia" w:hAnsi="Times New Roman"/>
          <w:color w:themeColor="text1" w:val="000000"/>
          <w:kern w:val="0"/>
          <w:sz w:val="21"/>
          <w:szCs w:val="21"/>
        </w:rPr>
        <w:t>2.1</w:t>
      </w:r>
      <w:r w:rsidR="00057665" w:rsidRPr="00B71057">
        <w:rPr>
          <w:rFonts w:ascii="Times New Roman" w:eastAsiaTheme="minorEastAsia" w:hAnsi="Times New Roman"/>
          <w:color w:themeColor="text1" w:val="000000"/>
          <w:kern w:val="0"/>
          <w:sz w:val="21"/>
          <w:szCs w:val="21"/>
        </w:rPr>
        <w:t xml:space="preserve"> </w:t>
      </w:r>
      <w:r w:rsidRPr="00B71057">
        <w:rPr>
          <w:rFonts w:ascii="Times New Roman" w:eastAsiaTheme="minorEastAsia" w:hAnsi="Times New Roman"/>
          <w:color w:themeColor="text1" w:val="000000"/>
          <w:kern w:val="0"/>
          <w:sz w:val="21"/>
          <w:szCs w:val="21"/>
        </w:rPr>
        <w:t>基金基本情况</w:t>
      </w:r>
      <w:bookmarkEnd w:id="7"/>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3258"/>
        <w:gridCol w:w="2608"/>
        <w:gridCol w:w="56"/>
        <w:gridCol w:w="2553"/>
      </w:tblGrid>
      <w:tr w:rsidR="00B71057" w:rsidRPr="00B71057" w:rsidTr="00C92A7B">
        <w:tc>
          <w:tcPr>
            <w:tcW w:type="dxa" w:w="3258"/>
            <w:vAlign w:val="center"/>
          </w:tcPr>
          <w:p w:rsidP="00CF6911" w:rsidR="001A59F9" w:rsidRDefault="001A59F9"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基金简称</w:t>
            </w:r>
          </w:p>
        </w:tc>
        <w:tc>
          <w:tcPr>
            <w:tcW w:type="dxa" w:w="5217"/>
            <w:gridSpan w:val="3"/>
            <w:vAlign w:val="center"/>
          </w:tcPr>
          <w:p w:rsidP="008867EA"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w:t>
            </w:r>
          </w:p>
        </w:tc>
      </w:tr>
      <w:tr w:rsidR="00B71057" w:rsidRPr="00B71057" w:rsidTr="00C92A7B">
        <w:tc>
          <w:tcPr>
            <w:tcW w:type="dxa" w:w="3258"/>
            <w:vAlign w:val="center"/>
          </w:tcPr>
          <w:p w:rsidP="00CF6911" w:rsidR="001A59F9" w:rsidRDefault="001A59F9"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基金主代码</w:t>
            </w:r>
          </w:p>
        </w:tc>
        <w:tc>
          <w:tcPr>
            <w:tcW w:type="dxa" w:w="5217"/>
            <w:gridSpan w:val="3"/>
            <w:vAlign w:val="center"/>
          </w:tcPr>
          <w:p w:rsidP="008867EA"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004439</w:t>
            </w:r>
          </w:p>
        </w:tc>
      </w:tr>
      <w:tr w:rsidR="00B71057" w:rsidRPr="00B71057" w:rsidTr="00C92A7B">
        <w:tc>
          <w:tcPr>
            <w:tcW w:type="dxa" w:w="3258"/>
            <w:vAlign w:val="center"/>
          </w:tcPr>
          <w:p w:rsidP="00C92A7B" w:rsidR="003D26BD" w:rsidRDefault="003D26BD" w:rsidRPr="00B71057">
            <w:pPr>
              <w:spacing w:line="360" w:lineRule="auto"/>
              <w:rPr>
                <w:rFonts w:eastAsiaTheme="minorEastAsia"/>
                <w:color w:themeColor="text1" w:val="000000"/>
                <w:szCs w:val="21"/>
              </w:rPr>
            </w:pPr>
            <w:r w:rsidRPr="00B71057">
              <w:rPr>
                <w:rFonts w:eastAsiaTheme="minorEastAsia"/>
                <w:color w:themeColor="text1" w:val="000000"/>
                <w:kern w:val="0"/>
                <w:szCs w:val="21"/>
              </w:rPr>
              <w:t>交易代码</w:t>
            </w:r>
          </w:p>
        </w:tc>
        <w:tc>
          <w:tcPr>
            <w:tcW w:type="dxa" w:w="5217"/>
            <w:gridSpan w:val="3"/>
            <w:vAlign w:val="center"/>
          </w:tcPr>
          <w:p w:rsidP="00C92A7B"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004439</w:t>
            </w:r>
          </w:p>
        </w:tc>
      </w:tr>
      <w:tr w:rsidR="00B71057" w:rsidRPr="00B71057" w:rsidTr="00C92A7B">
        <w:tc>
          <w:tcPr>
            <w:tcW w:type="dxa" w:w="3258"/>
            <w:vAlign w:val="center"/>
          </w:tcPr>
          <w:p w:rsidP="00CF6911" w:rsidR="003D26BD" w:rsidRDefault="003D26BD"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基金运作方式</w:t>
            </w:r>
          </w:p>
        </w:tc>
        <w:tc>
          <w:tcPr>
            <w:tcW w:type="dxa" w:w="5217"/>
            <w:gridSpan w:val="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契约型开放式</w:t>
            </w:r>
          </w:p>
        </w:tc>
      </w:tr>
      <w:tr w:rsidR="00B71057" w:rsidRPr="00B71057" w:rsidTr="00C92A7B">
        <w:tc>
          <w:tcPr>
            <w:tcW w:type="dxa" w:w="3258"/>
            <w:vAlign w:val="center"/>
          </w:tcPr>
          <w:p w:rsidP="00CF6911" w:rsidR="003D26BD" w:rsidRDefault="003D26BD"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基金合同生效日</w:t>
            </w:r>
          </w:p>
        </w:tc>
        <w:tc>
          <w:tcPr>
            <w:tcW w:type="dxa" w:w="5217"/>
            <w:gridSpan w:val="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2018年2月2日</w:t>
            </w:r>
          </w:p>
        </w:tc>
      </w:tr>
      <w:tr w:rsidR="00B71057" w:rsidRPr="00B71057" w:rsidTr="00C92A7B">
        <w:tc>
          <w:tcPr>
            <w:tcW w:type="dxa" w:w="3258"/>
            <w:vAlign w:val="center"/>
          </w:tcPr>
          <w:p w:rsidP="00CF6911" w:rsidR="003D26BD" w:rsidRDefault="003D26BD"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基金管理人</w:t>
            </w:r>
          </w:p>
        </w:tc>
        <w:tc>
          <w:tcPr>
            <w:tcW w:type="dxa" w:w="5217"/>
            <w:gridSpan w:val="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新华基金管理股份有限公司</w:t>
            </w:r>
          </w:p>
        </w:tc>
      </w:tr>
      <w:tr w:rsidR="00B71057" w:rsidRPr="00B71057" w:rsidTr="00C92A7B">
        <w:tc>
          <w:tcPr>
            <w:tcW w:type="dxa" w:w="3258"/>
            <w:vAlign w:val="center"/>
          </w:tcPr>
          <w:p w:rsidP="00CF6911" w:rsidR="003D26BD" w:rsidRDefault="003D26BD"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基金托管人</w:t>
            </w:r>
          </w:p>
        </w:tc>
        <w:tc>
          <w:tcPr>
            <w:tcW w:type="dxa" w:w="5217"/>
            <w:gridSpan w:val="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中国建设银行股份有限公司</w:t>
            </w:r>
          </w:p>
        </w:tc>
      </w:tr>
      <w:tr w:rsidR="00B71057" w:rsidRPr="00B71057" w:rsidTr="00C92A7B">
        <w:tc>
          <w:tcPr>
            <w:tcW w:type="dxa" w:w="3258"/>
            <w:vAlign w:val="center"/>
          </w:tcPr>
          <w:p w:rsidP="00CF6911" w:rsidR="003D26BD" w:rsidRDefault="003D26BD"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报告期末基金份额总额</w:t>
            </w:r>
          </w:p>
        </w:tc>
        <w:tc>
          <w:tcPr>
            <w:tcW w:type="dxa" w:w="5217"/>
            <w:gridSpan w:val="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223,809,792.87</w:t>
            </w:r>
            <w:r w:rsidRPr="00B71057">
              <w:rPr>
                <w:rFonts w:eastAsiaTheme="minorEastAsia"/>
                <w:color w:themeColor="text1" w:val="000000"/>
                <w:szCs w:val="21"/>
              </w:rPr>
              <w:t>份</w:t>
            </w:r>
          </w:p>
        </w:tc>
      </w:tr>
      <w:tr w:rsidR="00B71057" w:rsidRPr="00B71057" w:rsidTr="00C92A7B">
        <w:tc>
          <w:tcPr>
            <w:tcW w:type="dxa" w:w="3258"/>
            <w:vAlign w:val="center"/>
          </w:tcPr>
          <w:p w:rsidP="00CF6911" w:rsidR="003D26BD" w:rsidRDefault="003D26BD"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基金合同存续期</w:t>
            </w:r>
          </w:p>
        </w:tc>
        <w:tc>
          <w:tcPr>
            <w:tcW w:type="dxa" w:w="5217"/>
            <w:gridSpan w:val="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不定期</w:t>
            </w:r>
          </w:p>
        </w:tc>
      </w:tr>
      <w:tr w:rsidR="00B71057" w:rsidRPr="00B71057" w:rsidTr="00C92A7B">
        <w:trPr>
          <w:trHeight w:val="369"/>
        </w:trPr>
        <w:tc>
          <w:tcPr>
            <w:tcW w:type="dxa" w:w="3258"/>
            <w:vAlign w:val="center"/>
          </w:tcPr>
          <w:p w:rsidP="00CF6911" w:rsidR="003D26BD" w:rsidRDefault="003D26BD" w:rsidRPr="00B71057">
            <w:pPr>
              <w:spacing w:line="360" w:lineRule="auto"/>
              <w:rPr>
                <w:rFonts w:eastAsiaTheme="minorEastAsia"/>
                <w:color w:themeColor="text1" w:val="000000"/>
                <w:szCs w:val="21"/>
              </w:rPr>
            </w:pPr>
            <w:r w:rsidRPr="00B71057">
              <w:rPr>
                <w:rFonts w:eastAsiaTheme="minorEastAsia"/>
                <w:color w:themeColor="text1" w:val="000000"/>
                <w:szCs w:val="21"/>
              </w:rPr>
              <w:t>下属分级基金的基金简称</w:t>
            </w:r>
          </w:p>
        </w:tc>
        <w:tc>
          <w:tcPr>
            <w:tcW w:type="dxa" w:w="2664"/>
            <w:gridSpan w:val="2"/>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dxa" w:w="255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r>
      <w:tr w:rsidR="00B71057" w:rsidRPr="00B71057" w:rsidTr="00C92A7B">
        <w:trPr>
          <w:trHeight w:val="369"/>
        </w:trPr>
        <w:tc>
          <w:tcPr>
            <w:tcW w:type="dxa" w:w="3258"/>
            <w:vAlign w:val="center"/>
          </w:tcPr>
          <w:p w:rsidP="00CF6911" w:rsidR="003D26BD" w:rsidRDefault="003D26BD" w:rsidRPr="00B71057">
            <w:pPr>
              <w:spacing w:line="360" w:lineRule="auto"/>
              <w:rPr>
                <w:rFonts w:eastAsiaTheme="minorEastAsia"/>
                <w:color w:themeColor="text1" w:val="000000"/>
                <w:szCs w:val="21"/>
              </w:rPr>
            </w:pPr>
            <w:r w:rsidRPr="00B71057">
              <w:rPr>
                <w:rFonts w:eastAsiaTheme="minorEastAsia"/>
                <w:color w:themeColor="text1" w:val="000000"/>
                <w:szCs w:val="21"/>
              </w:rPr>
              <w:t>下属分级基金的交易代码</w:t>
            </w:r>
          </w:p>
        </w:tc>
        <w:tc>
          <w:tcPr>
            <w:tcW w:type="dxa" w:w="2664"/>
            <w:gridSpan w:val="2"/>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004439</w:t>
            </w:r>
          </w:p>
        </w:tc>
        <w:tc>
          <w:tcPr>
            <w:tcW w:type="dxa" w:w="255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004440</w:t>
            </w:r>
          </w:p>
        </w:tc>
      </w:tr>
      <w:tr w:rsidR="00B71057" w:rsidRPr="00B71057" w:rsidTr="00C92A7B">
        <w:trPr>
          <w:trHeight w:val="369"/>
        </w:trPr>
        <w:tc>
          <w:tcPr>
            <w:tcW w:type="dxa" w:w="3258"/>
            <w:vAlign w:val="center"/>
          </w:tcPr>
          <w:p w:rsidP="00CF6911" w:rsidR="003D26BD" w:rsidRDefault="003D26BD" w:rsidRPr="00B71057">
            <w:pPr>
              <w:spacing w:line="360" w:lineRule="auto"/>
              <w:rPr>
                <w:rFonts w:eastAsiaTheme="minorEastAsia"/>
                <w:color w:themeColor="text1" w:val="000000"/>
                <w:szCs w:val="21"/>
              </w:rPr>
            </w:pPr>
            <w:r w:rsidRPr="00B71057">
              <w:rPr>
                <w:rFonts w:eastAsiaTheme="minorEastAsia"/>
                <w:color w:themeColor="text1" w:val="000000"/>
                <w:szCs w:val="21"/>
              </w:rPr>
              <w:t>报告期末下属分级基金的份额总额</w:t>
            </w:r>
          </w:p>
        </w:tc>
        <w:tc>
          <w:tcPr>
            <w:tcW w:type="dxa" w:w="2664"/>
            <w:gridSpan w:val="2"/>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195,170,367.44</w:t>
            </w:r>
            <w:r w:rsidRPr="00B71057">
              <w:rPr>
                <w:rFonts w:eastAsiaTheme="minorEastAsia"/>
                <w:color w:themeColor="text1" w:val="000000"/>
                <w:szCs w:val="21"/>
              </w:rPr>
              <w:t>份</w:t>
            </w:r>
          </w:p>
        </w:tc>
        <w:tc>
          <w:tcPr>
            <w:tcW w:type="dxa" w:w="2553"/>
            <w:vAlign w:val="center"/>
          </w:tcPr>
          <w:p w:rsidP="008867EA" w:rsidR="003D26BD" w:rsidRDefault="003D26BD"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28,639,425.43</w:t>
            </w:r>
            <w:r w:rsidRPr="00B71057">
              <w:rPr>
                <w:rFonts w:eastAsiaTheme="minorEastAsia"/>
                <w:color w:themeColor="text1" w:val="000000"/>
                <w:szCs w:val="21"/>
              </w:rPr>
              <w:t>份</w:t>
            </w:r>
          </w:p>
        </w:tc>
      </w:tr>
    </w:tbl>
    <w:p w:rsidP="00C92A7B" w:rsidR="001A59F9" w:rsidRDefault="001A59F9" w:rsidRPr="00B71057">
      <w:pPr>
        <w:pStyle w:val="20"/>
        <w:spacing w:after="0" w:before="312" w:beforeLines="100"/>
        <w:rPr>
          <w:rFonts w:ascii="Times New Roman" w:eastAsiaTheme="minorEastAsia" w:hAnsi="Times New Roman"/>
          <w:color w:themeColor="text1" w:val="000000"/>
          <w:sz w:val="21"/>
          <w:szCs w:val="21"/>
        </w:rPr>
      </w:pPr>
      <w:bookmarkStart w:id="8" w:name="_Toc361324846"/>
      <w:r w:rsidRPr="00B71057">
        <w:rPr>
          <w:rFonts w:ascii="Times New Roman" w:eastAsiaTheme="minorEastAsia" w:hAnsi="Times New Roman"/>
          <w:color w:themeColor="text1" w:val="000000"/>
          <w:kern w:val="0"/>
          <w:sz w:val="21"/>
          <w:szCs w:val="21"/>
        </w:rPr>
        <w:lastRenderedPageBreak/>
        <w:t xml:space="preserve">2.2 </w:t>
      </w:r>
      <w:r w:rsidRPr="00B71057">
        <w:rPr>
          <w:rFonts w:ascii="Times New Roman" w:eastAsiaTheme="minorEastAsia" w:hAnsi="Times New Roman"/>
          <w:color w:themeColor="text1" w:val="000000"/>
          <w:sz w:val="21"/>
          <w:szCs w:val="21"/>
        </w:rPr>
        <w:t>基金产品说明</w:t>
      </w:r>
      <w:bookmarkEnd w:id="8"/>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2127"/>
        <w:gridCol w:w="3168"/>
        <w:gridCol w:w="3705"/>
      </w:tblGrid>
      <w:tr w:rsidR="00B71057" w:rsidRPr="00B71057" w:rsidTr="00313000">
        <w:tc>
          <w:tcPr>
            <w:tcW w:type="dxa" w:w="2127"/>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投资目标</w:t>
            </w:r>
          </w:p>
        </w:tc>
        <w:tc>
          <w:tcPr>
            <w:tcW w:type="dxa" w:w="6873"/>
            <w:gridSpan w:val="2"/>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本基金在有效控制风险，追求本金安全的基础上，通过配置债券等固定收益类金融工具，追求基金资产的长期稳定增值,通过适量投资权益类资产力争获取增强型回报。</w:t>
            </w:r>
          </w:p>
        </w:tc>
      </w:tr>
      <w:tr w:rsidR="00B71057" w:rsidRPr="00B71057" w:rsidTr="00313000">
        <w:tc>
          <w:tcPr>
            <w:tcW w:type="dxa" w:w="2127"/>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投资策略</w:t>
            </w:r>
          </w:p>
        </w:tc>
        <w:tc>
          <w:tcPr>
            <w:tcW w:type="dxa" w:w="6873"/>
            <w:gridSpan w:val="2"/>
            <w:vAlign w:val="center"/>
          </w:tcPr>
          <w:p>
            <w:pPr>
              <w:spacing w:line="360" w:lineRule="auto"/>
              <w:rPr>
                <w:rFonts w:eastAsiaTheme="minorEastAsia"/>
                <w:color w:themeColor="text1" w:val="000000"/>
                <w:szCs w:val="21"/>
              </w:rPr>
            </w:pPr>
            <w:r>
              <w:rPr>
                <w:rFonts w:eastAsiaTheme="minorEastAsia"/>
                <w:color w:themeColor="text1" w:val="000000"/>
                <w:szCs w:val="21"/>
              </w:rPr>
              <w:t>本基金的投资策略主要包括：大类资产配置策略、固定收益类资产投资策略以及权益类资产投资策略。</w:t>
            </w:r>
          </w:p>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首先，本基金管理人将采用战略性与战术性相结合的大类资产配置策略，在基金合同规定的投资比例范围内确定各大类资产的配置比例，在严格控制基金风险的基础上，获取长期稳定的绝对收益。另外，本基金通过自下而上的个股精选策略，精选具有持续成长且估值相对合理的股票构建权益类资产投资组合，增加基金的获利能力，以提高整体的收益水平。</w:t>
            </w:r>
          </w:p>
        </w:tc>
      </w:tr>
      <w:tr w:rsidR="00B71057" w:rsidRPr="00B71057" w:rsidTr="00313000">
        <w:tc>
          <w:tcPr>
            <w:tcW w:type="dxa" w:w="2127"/>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业绩比较基准</w:t>
            </w:r>
          </w:p>
        </w:tc>
        <w:tc>
          <w:tcPr>
            <w:tcW w:type="dxa" w:w="6873"/>
            <w:gridSpan w:val="2"/>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中债综合全价指数收益率×90%+沪深 300 指数收益率×10%。</w:t>
            </w:r>
          </w:p>
        </w:tc>
      </w:tr>
      <w:tr w:rsidR="00B71057" w:rsidRPr="00B71057" w:rsidTr="00313000">
        <w:tc>
          <w:tcPr>
            <w:tcW w:type="dxa" w:w="2127"/>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风险收益特征</w:t>
            </w:r>
          </w:p>
        </w:tc>
        <w:tc>
          <w:tcPr>
            <w:tcW w:type="dxa" w:w="6873"/>
            <w:gridSpan w:val="2"/>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本基金为债券型基金，预期收益和预期风险水平低于混合型基金、股票型基金，高于货币市场基金。</w:t>
            </w:r>
          </w:p>
        </w:tc>
      </w:tr>
    </w:tbl>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9" w:name="_Toc225498247"/>
      <w:bookmarkStart w:id="10" w:name="_Toc361324847"/>
      <w:r w:rsidRPr="00B71057">
        <w:rPr>
          <w:rFonts w:ascii="Times New Roman" w:eastAsiaTheme="minorEastAsia" w:hAnsi="Times New Roman"/>
          <w:color w:themeColor="text1" w:val="000000"/>
          <w:kern w:val="0"/>
          <w:sz w:val="21"/>
          <w:szCs w:val="21"/>
        </w:rPr>
        <w:t xml:space="preserve">2.3 </w:t>
      </w:r>
      <w:r w:rsidRPr="00B71057">
        <w:rPr>
          <w:rFonts w:ascii="Times New Roman" w:eastAsiaTheme="minorEastAsia" w:hAnsi="Times New Roman"/>
          <w:color w:themeColor="text1" w:val="000000"/>
          <w:kern w:val="0"/>
          <w:sz w:val="21"/>
          <w:szCs w:val="21"/>
        </w:rPr>
        <w:t>基金管理人和基金托管人</w:t>
      </w:r>
      <w:bookmarkEnd w:id="9"/>
      <w:bookmarkEnd w:id="10"/>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260"/>
        <w:gridCol w:w="1371"/>
        <w:gridCol w:w="3060"/>
        <w:gridCol w:w="3060"/>
      </w:tblGrid>
      <w:tr w:rsidR="00B71057" w:rsidRPr="00B71057" w:rsidTr="00370FB7">
        <w:tc>
          <w:tcPr>
            <w:tcW w:type="dxa" w:w="2631"/>
            <w:gridSpan w:val="2"/>
            <w:vAlign w:val="center"/>
          </w:tcPr>
          <w:p w:rsidP="00026C9C"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项目</w:t>
            </w:r>
          </w:p>
        </w:tc>
        <w:tc>
          <w:tcPr>
            <w:tcW w:type="dxa" w:w="3060"/>
            <w:vAlign w:val="center"/>
          </w:tcPr>
          <w:p w:rsidP="00370FB7"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基金管理人</w:t>
            </w:r>
          </w:p>
        </w:tc>
        <w:tc>
          <w:tcPr>
            <w:tcW w:type="dxa" w:w="3060"/>
            <w:vAlign w:val="center"/>
          </w:tcPr>
          <w:p w:rsidP="00370FB7"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基金托管人</w:t>
            </w:r>
          </w:p>
        </w:tc>
      </w:tr>
      <w:tr w:rsidR="00B71057" w:rsidRPr="00B71057" w:rsidTr="00370FB7">
        <w:tc>
          <w:tcPr>
            <w:tcW w:type="dxa" w:w="2631"/>
            <w:gridSpan w:val="2"/>
            <w:vAlign w:val="center"/>
          </w:tcPr>
          <w:p w:rsidP="00026C9C" w:rsidR="001A59F9" w:rsidRDefault="001A59F9" w:rsidRPr="00B71057">
            <w:pPr>
              <w:autoSpaceDE w:val="0"/>
              <w:autoSpaceDN w:val="0"/>
              <w:adjustRightInd w:val="0"/>
              <w:spacing w:before="29" w:line="360" w:lineRule="auto"/>
              <w:ind w:left="15"/>
              <w:rPr>
                <w:rFonts w:eastAsiaTheme="minorEastAsia"/>
                <w:color w:themeColor="text1" w:val="000000"/>
                <w:kern w:val="0"/>
                <w:szCs w:val="21"/>
              </w:rPr>
            </w:pPr>
            <w:r w:rsidRPr="00B71057">
              <w:rPr>
                <w:rFonts w:eastAsiaTheme="minorEastAsia"/>
                <w:color w:themeColor="text1" w:val="000000"/>
                <w:kern w:val="0"/>
                <w:szCs w:val="21"/>
              </w:rPr>
              <w:t>名称</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新华基金管理股份有限公司</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中国建设银行股份有限公司</w:t>
            </w:r>
          </w:p>
        </w:tc>
      </w:tr>
      <w:tr w:rsidR="00B71057" w:rsidRPr="00B71057" w:rsidTr="00370FB7">
        <w:tc>
          <w:tcPr>
            <w:tcW w:type="dxa" w:w="1260"/>
            <w:vMerge w:val="restart"/>
            <w:vAlign w:val="center"/>
          </w:tcPr>
          <w:p w:rsidP="00026C9C" w:rsidR="001A59F9" w:rsidRDefault="001A59F9" w:rsidRPr="00B71057">
            <w:pPr>
              <w:autoSpaceDE w:val="0"/>
              <w:autoSpaceDN w:val="0"/>
              <w:adjustRightInd w:val="0"/>
              <w:spacing w:before="29" w:line="360" w:lineRule="auto"/>
              <w:ind w:left="15"/>
              <w:rPr>
                <w:rFonts w:eastAsiaTheme="minorEastAsia"/>
                <w:color w:themeColor="text1" w:val="000000"/>
                <w:kern w:val="0"/>
                <w:szCs w:val="21"/>
              </w:rPr>
            </w:pPr>
            <w:r w:rsidRPr="00B71057">
              <w:rPr>
                <w:rFonts w:eastAsiaTheme="minorEastAsia"/>
                <w:color w:themeColor="text1" w:val="000000"/>
                <w:szCs w:val="21"/>
              </w:rPr>
              <w:t>信息披露负责人</w:t>
            </w:r>
          </w:p>
        </w:tc>
        <w:tc>
          <w:tcPr>
            <w:tcW w:type="dxa" w:w="1371"/>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姓名</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齐岩</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田青</w:t>
            </w:r>
          </w:p>
        </w:tc>
      </w:tr>
      <w:tr w:rsidR="00B71057" w:rsidRPr="00B71057" w:rsidTr="000D141D">
        <w:tc>
          <w:tcPr>
            <w:tcW w:type="dxa" w:w="1260"/>
            <w:vMerge/>
            <w:vAlign w:val="center"/>
          </w:tcPr>
          <w:p w:rsidP="00026C9C" w:rsidR="001A59F9" w:rsidRDefault="001A59F9" w:rsidRPr="00B71057">
            <w:pPr>
              <w:widowControl/>
              <w:spacing w:line="360" w:lineRule="auto"/>
              <w:jc w:val="left"/>
              <w:rPr>
                <w:rFonts w:eastAsiaTheme="minorEastAsia"/>
                <w:color w:themeColor="text1" w:val="000000"/>
                <w:kern w:val="0"/>
                <w:szCs w:val="21"/>
              </w:rPr>
            </w:pPr>
          </w:p>
        </w:tc>
        <w:tc>
          <w:tcPr>
            <w:tcW w:type="dxa" w:w="1371"/>
            <w:vAlign w:val="center"/>
          </w:tcPr>
          <w:p w:rsidP="00026C9C"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szCs w:val="21"/>
              </w:rPr>
              <w:t>联系电话</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010-68779688</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010-67595096</w:t>
            </w:r>
          </w:p>
        </w:tc>
      </w:tr>
      <w:tr w:rsidR="00B71057" w:rsidRPr="00B71057" w:rsidTr="000D141D">
        <w:tc>
          <w:tcPr>
            <w:tcW w:type="dxa" w:w="1260"/>
            <w:vMerge/>
            <w:vAlign w:val="center"/>
          </w:tcPr>
          <w:p w:rsidP="00026C9C" w:rsidR="001A59F9" w:rsidRDefault="001A59F9" w:rsidRPr="00B71057">
            <w:pPr>
              <w:widowControl/>
              <w:spacing w:line="360" w:lineRule="auto"/>
              <w:jc w:val="left"/>
              <w:rPr>
                <w:rFonts w:eastAsiaTheme="minorEastAsia"/>
                <w:color w:themeColor="text1" w:val="000000"/>
                <w:kern w:val="0"/>
                <w:szCs w:val="21"/>
              </w:rPr>
            </w:pPr>
          </w:p>
        </w:tc>
        <w:tc>
          <w:tcPr>
            <w:tcW w:type="dxa" w:w="1371"/>
            <w:vAlign w:val="center"/>
          </w:tcPr>
          <w:p w:rsidP="00026C9C"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szCs w:val="21"/>
              </w:rPr>
              <w:t>电子邮箱</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qiyan@ncfund.com.cn</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tianqing1.zh@ccb.com</w:t>
            </w:r>
          </w:p>
        </w:tc>
      </w:tr>
      <w:tr w:rsidR="00B71057" w:rsidRPr="00B71057" w:rsidTr="00370FB7">
        <w:tc>
          <w:tcPr>
            <w:tcW w:type="dxa" w:w="2631"/>
            <w:gridSpan w:val="2"/>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客户服务电话</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4008198866</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010-67595096</w:t>
            </w:r>
          </w:p>
        </w:tc>
      </w:tr>
      <w:tr w:rsidR="00B71057" w:rsidRPr="00B71057" w:rsidTr="00370FB7">
        <w:tc>
          <w:tcPr>
            <w:tcW w:type="dxa" w:w="2631"/>
            <w:gridSpan w:val="2"/>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传真</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010-68779528</w:t>
            </w:r>
          </w:p>
        </w:tc>
        <w:tc>
          <w:tcPr>
            <w:tcW w:type="dxa" w:w="3060"/>
            <w:vAlign w:val="center"/>
          </w:tcPr>
          <w:p w:rsidP="00370FB7"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r w:rsidRPr="00B71057">
              <w:rPr>
                <w:rFonts w:eastAsiaTheme="minorEastAsia"/>
                <w:color w:themeColor="text1" w:val="000000"/>
                <w:kern w:val="0"/>
                <w:szCs w:val="21"/>
              </w:rPr>
              <w:t>010-66275865</w:t>
            </w:r>
          </w:p>
        </w:tc>
      </w:tr>
    </w:tbl>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11" w:name="_Toc225498248"/>
      <w:bookmarkStart w:id="12" w:name="_Toc361324848"/>
      <w:r w:rsidRPr="00B71057">
        <w:rPr>
          <w:rFonts w:ascii="Times New Roman" w:eastAsiaTheme="minorEastAsia" w:hAnsi="Times New Roman"/>
          <w:color w:themeColor="text1" w:val="000000"/>
          <w:kern w:val="0"/>
          <w:sz w:val="21"/>
          <w:szCs w:val="21"/>
        </w:rPr>
        <w:t xml:space="preserve">2.4 </w:t>
      </w:r>
      <w:r w:rsidRPr="00B71057">
        <w:rPr>
          <w:rFonts w:ascii="Times New Roman" w:eastAsiaTheme="minorEastAsia" w:hAnsi="Times New Roman"/>
          <w:color w:themeColor="text1" w:val="000000"/>
          <w:kern w:val="0"/>
          <w:sz w:val="21"/>
          <w:szCs w:val="21"/>
        </w:rPr>
        <w:t>信息披露方式</w:t>
      </w:r>
      <w:bookmarkEnd w:id="11"/>
      <w:bookmarkEnd w:id="12"/>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3686"/>
        <w:gridCol w:w="5314"/>
      </w:tblGrid>
      <w:tr w:rsidR="00B71057" w:rsidRPr="00B71057" w:rsidTr="00EE6D39">
        <w:tc>
          <w:tcPr>
            <w:tcW w:type="dxa" w:w="3686"/>
            <w:vAlign w:val="center"/>
          </w:tcPr>
          <w:p w:rsidP="00EE6D39" w:rsidR="001A59F9" w:rsidRDefault="000D141D" w:rsidRPr="00B71057">
            <w:pPr>
              <w:tabs>
                <w:tab w:pos="1740" w:val="left"/>
              </w:tabs>
              <w:spacing w:line="360" w:lineRule="auto"/>
              <w:rPr>
                <w:rFonts w:eastAsiaTheme="minorEastAsia"/>
                <w:color w:themeColor="text1" w:val="000000"/>
                <w:szCs w:val="21"/>
              </w:rPr>
            </w:pPr>
            <w:r w:rsidRPr="00B71057">
              <w:rPr>
                <w:rFonts w:eastAsiaTheme="minorEastAsia"/>
                <w:color w:themeColor="text1" w:val="000000"/>
                <w:szCs w:val="21"/>
              </w:rPr>
              <w:t>登载基金年度报告摘要</w:t>
            </w:r>
            <w:r w:rsidR="001A59F9" w:rsidRPr="00B71057">
              <w:rPr>
                <w:rFonts w:eastAsiaTheme="minorEastAsia"/>
                <w:color w:themeColor="text1" w:val="000000"/>
                <w:szCs w:val="21"/>
              </w:rPr>
              <w:t>的管理人互联网网址</w:t>
            </w:r>
          </w:p>
        </w:tc>
        <w:tc>
          <w:tcPr>
            <w:tcW w:type="dxa" w:w="5314"/>
            <w:vAlign w:val="bottom"/>
          </w:tcPr>
          <w:p w:rsidP="00026C9C" w:rsidR="001A59F9" w:rsidRDefault="001A59F9" w:rsidRPr="00B71057">
            <w:pPr>
              <w:tabs>
                <w:tab w:pos="1740" w:val="left"/>
              </w:tabs>
              <w:spacing w:line="360" w:lineRule="auto"/>
              <w:rPr>
                <w:rFonts w:eastAsiaTheme="minorEastAsia"/>
                <w:color w:themeColor="text1" w:val="000000"/>
                <w:szCs w:val="21"/>
              </w:rPr>
            </w:pPr>
            <w:r w:rsidRPr="00B71057">
              <w:rPr>
                <w:rFonts w:eastAsiaTheme="minorEastAsia"/>
                <w:color w:themeColor="text1" w:val="000000"/>
                <w:szCs w:val="21"/>
              </w:rPr>
              <w:t>www.ncfund.com.cn</w:t>
            </w:r>
          </w:p>
        </w:tc>
      </w:tr>
      <w:tr w:rsidR="00B71057" w:rsidRPr="00B71057" w:rsidTr="00EE6D39">
        <w:tc>
          <w:tcPr>
            <w:tcW w:type="dxa" w:w="3686"/>
            <w:vAlign w:val="center"/>
          </w:tcPr>
          <w:p w:rsidP="00EE6D39" w:rsidR="001A59F9" w:rsidRDefault="001A59F9" w:rsidRPr="00B71057">
            <w:pPr>
              <w:tabs>
                <w:tab w:pos="1740" w:val="left"/>
              </w:tabs>
              <w:spacing w:line="360" w:lineRule="auto"/>
              <w:rPr>
                <w:rFonts w:eastAsiaTheme="minorEastAsia"/>
                <w:color w:themeColor="text1" w:val="000000"/>
                <w:szCs w:val="21"/>
              </w:rPr>
            </w:pPr>
            <w:r w:rsidRPr="00B71057">
              <w:rPr>
                <w:rFonts w:eastAsiaTheme="minorEastAsia"/>
                <w:color w:themeColor="text1" w:val="000000"/>
                <w:szCs w:val="21"/>
              </w:rPr>
              <w:t>基金年度报告备置地点</w:t>
            </w:r>
          </w:p>
        </w:tc>
        <w:tc>
          <w:tcPr>
            <w:tcW w:type="dxa" w:w="5314"/>
            <w:vAlign w:val="bottom"/>
          </w:tcPr>
          <w:p w:rsidP="00026C9C" w:rsidR="001A59F9" w:rsidRDefault="001A59F9" w:rsidRPr="00B71057">
            <w:pPr>
              <w:tabs>
                <w:tab w:pos="1740" w:val="left"/>
              </w:tabs>
              <w:spacing w:line="360" w:lineRule="auto"/>
              <w:rPr>
                <w:rFonts w:eastAsiaTheme="minorEastAsia"/>
                <w:color w:themeColor="text1" w:val="000000"/>
                <w:szCs w:val="21"/>
              </w:rPr>
            </w:pPr>
            <w:r w:rsidRPr="00B71057">
              <w:rPr>
                <w:rFonts w:eastAsiaTheme="minorEastAsia"/>
                <w:color w:themeColor="text1" w:val="000000"/>
                <w:szCs w:val="21"/>
              </w:rPr>
              <w:t>基金管理人、基金托管人的办公地</w:t>
            </w:r>
          </w:p>
        </w:tc>
      </w:tr>
    </w:tbl>
    <w:p w:rsidP="00C92A7B" w:rsidR="001A59F9" w:rsidRDefault="001A59F9"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13" w:name="_Toc225498250"/>
      <w:bookmarkStart w:id="14" w:name="_Toc361324850"/>
      <w:bookmarkStart w:id="15" w:name="_Toc194312019"/>
      <w:bookmarkStart w:id="16" w:name="_Toc193947512"/>
      <w:r w:rsidRPr="00B71057">
        <w:rPr>
          <w:rFonts w:eastAsiaTheme="minorEastAsia"/>
          <w:b/>
          <w:bCs/>
          <w:color w:themeColor="text1" w:val="000000"/>
          <w:sz w:val="21"/>
          <w:szCs w:val="21"/>
          <w:lang w:val="en-US"/>
        </w:rPr>
        <w:lastRenderedPageBreak/>
        <w:t xml:space="preserve">§3 </w:t>
      </w:r>
      <w:r w:rsidR="009153A3" w:rsidRPr="00B71057">
        <w:rPr>
          <w:rFonts w:eastAsiaTheme="minorEastAsia"/>
          <w:b/>
          <w:bCs/>
          <w:color w:themeColor="text1" w:val="000000"/>
          <w:sz w:val="21"/>
          <w:szCs w:val="21"/>
          <w:lang w:val="en-US"/>
        </w:rPr>
        <w:t xml:space="preserve"> </w:t>
      </w:r>
      <w:r w:rsidRPr="00B71057">
        <w:rPr>
          <w:rFonts w:eastAsiaTheme="minorEastAsia"/>
          <w:b/>
          <w:bCs/>
          <w:color w:themeColor="text1" w:val="000000"/>
          <w:sz w:val="21"/>
          <w:szCs w:val="21"/>
          <w:lang w:val="en-US"/>
        </w:rPr>
        <w:t>主要财务指标、基金净值表现</w:t>
      </w:r>
      <w:bookmarkEnd w:id="13"/>
      <w:r w:rsidRPr="00B71057">
        <w:rPr>
          <w:rFonts w:eastAsiaTheme="minorEastAsia"/>
          <w:b/>
          <w:bCs/>
          <w:color w:themeColor="text1" w:val="000000"/>
          <w:sz w:val="21"/>
          <w:szCs w:val="21"/>
          <w:lang w:val="en-US"/>
        </w:rPr>
        <w:t>及利润分配情况</w:t>
      </w:r>
      <w:bookmarkEnd w:id="14"/>
    </w:p>
    <w:p w:rsidP="00AC3179"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17" w:name="_Toc286996129"/>
      <w:bookmarkStart w:id="18" w:name="_Toc361324851"/>
      <w:r w:rsidRPr="00B71057">
        <w:rPr>
          <w:rFonts w:ascii="Times New Roman" w:eastAsiaTheme="minorEastAsia" w:hAnsi="Times New Roman"/>
          <w:color w:themeColor="text1" w:val="000000"/>
          <w:kern w:val="0"/>
          <w:sz w:val="21"/>
          <w:szCs w:val="21"/>
        </w:rPr>
        <w:t xml:space="preserve">3.1 </w:t>
      </w:r>
      <w:r w:rsidRPr="00B71057">
        <w:rPr>
          <w:rFonts w:ascii="Times New Roman" w:eastAsiaTheme="minorEastAsia" w:hAnsi="Times New Roman"/>
          <w:color w:themeColor="text1" w:val="000000"/>
          <w:kern w:val="0"/>
          <w:sz w:val="21"/>
          <w:szCs w:val="21"/>
        </w:rPr>
        <w:t>主要会计数据和财务指标</w:t>
      </w:r>
      <w:bookmarkEnd w:id="17"/>
      <w:bookmarkEnd w:id="18"/>
    </w:p>
    <w:p w:rsidP="00EC7375"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金额单位：人民币元</w:t>
      </w:r>
    </w:p>
    <w:tbl>
      <w:tblPr>
        <w:tblW w:type="pct" w:w="5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959"/>
        <w:gridCol w:w="1276"/>
        <w:gridCol w:w="1283"/>
        <w:gridCol w:w="1441"/>
        <w:gridCol w:w="1385"/>
        <w:gridCol w:w="1558"/>
        <w:gridCol w:w="1384"/>
      </w:tblGrid>
      <w:tr w:rsidR="00B71057" w:rsidRPr="00B71057" w:rsidTr="00C92A7B">
        <w:trPr>
          <w:trHeight w:val="487"/>
        </w:trPr>
        <w:tc>
          <w:tcPr>
            <w:tcW w:type="pct" w:w="516"/>
            <w:vMerge w:val="restart"/>
            <w:vAlign w:val="center"/>
          </w:tcPr>
          <w:bookmarkEnd w:id="15"/>
          <w:bookmarkEnd w:id="16"/>
          <w:p w:rsidP="00C92A7B" w:rsidR="00B44DBC" w:rsidRDefault="00B44DBC" w:rsidRPr="00B71057">
            <w:pPr>
              <w:spacing w:line="360" w:lineRule="auto"/>
              <w:ind w:left="-107" w:leftChars="-51" w:right="-107" w:rightChars="-51"/>
              <w:jc w:val="center"/>
              <w:rPr>
                <w:rFonts w:eastAsiaTheme="minorEastAsia"/>
                <w:b/>
                <w:color w:themeColor="text1" w:val="000000"/>
                <w:szCs w:val="21"/>
              </w:rPr>
            </w:pPr>
            <w:r w:rsidRPr="00B71057">
              <w:rPr>
                <w:rFonts w:eastAsiaTheme="minorEastAsia"/>
                <w:b/>
                <w:color w:themeColor="text1" w:val="000000"/>
                <w:szCs w:val="21"/>
              </w:rPr>
              <w:t>3.1.1</w:t>
            </w:r>
            <w:r w:rsidRPr="00B71057">
              <w:rPr>
                <w:rFonts w:eastAsiaTheme="minorEastAsia"/>
                <w:b/>
                <w:color w:themeColor="text1" w:val="000000"/>
                <w:szCs w:val="21"/>
              </w:rPr>
              <w:t>期间数据和指标</w:t>
            </w:r>
            <w:r w:rsidRPr="00B71057">
              <w:rPr>
                <w:rFonts w:eastAsiaTheme="minorEastAsia"/>
                <w:b/>
                <w:color w:themeColor="text1" w:val="000000"/>
                <w:szCs w:val="21"/>
              </w:rPr>
              <w:t/>
            </w:r>
          </w:p>
        </w:tc>
        <w:tc>
          <w:tcPr>
            <w:tcW w:type="pct" w:w="1378"/>
            <w:gridSpan w:val="2"/>
            <w:hMerge w:val="restart"/>
            <w:vAlign w:val="center"/>
          </w:tcPr>
          <w:p w:rsidP="00C92A7B" w:rsidR="00B44DBC" w:rsidRDefault="00B44DBC"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2018年2月2日（基金合同生效日）至2018年12月31日</w:t>
            </w:r>
          </w:p>
        </w:tc>
        <w:tc>
          <w:tcPr>
            <w:tcW w:type="pct" w:w="1522"/>
            <w:gridSpan w:val="2"/>
            <w:hMerge/>
            <w:vAlign w:val="center"/>
          </w:tcPr>
          <w:p w:rsidP="00C92A7B" w:rsidR="00B44DBC" w:rsidRDefault="00B44DBC"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w:t>
            </w:r>
          </w:p>
        </w:tc>
        <w:tc>
          <w:tcPr>
            <w:tcW w:type="pct" w:w="1584"/>
            <w:gridSpan w:val="2"/>
            <w:hMerge/>
            <w:vAlign w:val="center"/>
          </w:tcPr>
          <w:p w:rsidP="00C92A7B" w:rsidR="00B44DBC" w:rsidRDefault="00B44DBC"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w:t>
            </w:r>
          </w:p>
        </w:tc>
      </w:tr>
      <w:tr w:rsidR="00B71057" w:rsidRPr="00B71057" w:rsidTr="00C92A7B">
        <w:trPr>
          <w:trHeight w:val="487"/>
        </w:trPr>
        <w:tc>
          <w:tcPr>
            <w:tcW w:type="pct" w:w="516"/>
            <w:vMerge/>
            <w:vAlign w:val="center"/>
          </w:tcPr>
          <w:p w:rsidP="00C92A7B" w:rsidR="00B44DBC" w:rsidRDefault="00B44DBC" w:rsidRPr="00B71057">
            <w:pPr>
              <w:widowControl/>
              <w:spacing w:line="360" w:lineRule="auto"/>
              <w:jc w:val="left"/>
              <w:rPr>
                <w:rFonts w:eastAsiaTheme="minorEastAsia"/>
                <w:b/>
                <w:color w:themeColor="text1" w:val="000000"/>
                <w:szCs w:val="21"/>
              </w:rPr>
            </w:pPr>
          </w:p>
        </w:tc>
        <w:tc>
          <w:tcPr>
            <w:tcW w:type="pct" w:w="687"/>
            <w:vAlign w:val="center"/>
          </w:tcPr>
          <w:p w:rsidP="00C92A7B" w:rsidR="00B44DBC" w:rsidRDefault="00B44DBC"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pct" w:w="691"/>
            <w:hMerge w:val="restart"/>
            <w:vAlign w:val="center"/>
          </w:tcPr>
          <w:p w:rsidP="00C92A7B" w:rsidR="00B44DBC" w:rsidRDefault="00B44DBC"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c>
          <w:tcPr>
            <w:tcW w:type="pct" w:w="776"/>
            <w:hMerge/>
            <w:vAlign w:val="center"/>
          </w:tcPr>
          <w:p w:rsidP="00C92A7B" w:rsidR="00B44DBC" w:rsidRDefault="00B44DBC"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pct" w:w="746"/>
            <w:hMerge/>
            <w:vAlign w:val="center"/>
          </w:tcPr>
          <w:p w:rsidP="00C92A7B" w:rsidR="00B44DBC" w:rsidRDefault="00B44DBC" w:rsidRPr="00B71057">
            <w:pPr>
              <w:spacing w:line="360" w:lineRule="auto"/>
              <w:jc w:val="center"/>
              <w:rPr>
                <w:rFonts w:eastAsiaTheme="minorEastAsia"/>
                <w:b/>
                <w:color w:themeColor="text1" w:val="000000"/>
                <w:szCs w:val="21"/>
              </w:rPr>
            </w:pPr>
            <w:r w:rsidRPr="00B71057">
              <w:rPr>
                <w:rFonts w:eastAsiaTheme="minorEastAsia"/>
                <w:color w:themeColor="text1" w:val="000000"/>
                <w:szCs w:val="21"/>
              </w:rPr>
              <w:t>新华安享惠钰定期开放债券C</w:t>
            </w:r>
          </w:p>
        </w:tc>
        <w:tc>
          <w:tcPr>
            <w:tcW w:type="pct" w:w="839"/>
            <w:hMerge/>
            <w:vAlign w:val="center"/>
          </w:tcPr>
          <w:p w:rsidP="00C92A7B" w:rsidR="00B44DBC" w:rsidRDefault="00B44DBC"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pct" w:w="745"/>
            <w:hMerge/>
            <w:vAlign w:val="center"/>
          </w:tcPr>
          <w:p w:rsidP="00C92A7B" w:rsidR="00B44DBC" w:rsidRDefault="00B44DBC"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r>
      <w:tr w:rsidR="00B71057" w:rsidRPr="00B71057" w:rsidTr="00C92A7B">
        <w:tc>
          <w:tcPr>
            <w:tcW w:type="pct" w:w="516"/>
            <w:vAlign w:val="center"/>
          </w:tcPr>
          <w:p w:rsidP="00C92A7B" w:rsidR="00B44DBC" w:rsidRDefault="00B44DBC" w:rsidRPr="00B71057">
            <w:pPr>
              <w:spacing w:line="360" w:lineRule="auto"/>
              <w:rPr>
                <w:rFonts w:eastAsiaTheme="minorEastAsia"/>
                <w:color w:themeColor="text1" w:val="000000"/>
                <w:szCs w:val="21"/>
              </w:rPr>
            </w:pPr>
            <w:r w:rsidRPr="00B71057">
              <w:rPr>
                <w:rFonts w:eastAsiaTheme="minorEastAsia"/>
                <w:color w:themeColor="text1" w:val="000000"/>
                <w:szCs w:val="21"/>
              </w:rPr>
              <w:t>本期已实现收益</w:t>
            </w:r>
          </w:p>
        </w:tc>
        <w:tc>
          <w:tcPr>
            <w:tcW w:type="pct" w:w="687"/>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5,651,005.36</w:t>
            </w:r>
          </w:p>
        </w:tc>
        <w:tc>
          <w:tcPr>
            <w:tcW w:type="pct" w:w="691"/>
            <w:hMerge w:val="restart"/>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699,689.71</w:t>
            </w:r>
          </w:p>
        </w:tc>
        <w:tc>
          <w:tcPr>
            <w:tcW w:type="pct" w:w="77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39"/>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5"/>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rPr>
          <w:trHeight w:val="754"/>
        </w:trPr>
        <w:tc>
          <w:tcPr>
            <w:tcW w:type="pct" w:w="516"/>
            <w:vAlign w:val="center"/>
          </w:tcPr>
          <w:p w:rsidP="00C92A7B" w:rsidR="00B44DBC" w:rsidRDefault="00B44DBC" w:rsidRPr="00B71057">
            <w:pPr>
              <w:spacing w:line="360" w:lineRule="auto"/>
              <w:rPr>
                <w:rFonts w:eastAsiaTheme="minorEastAsia"/>
                <w:color w:themeColor="text1" w:val="000000"/>
                <w:szCs w:val="21"/>
              </w:rPr>
            </w:pPr>
            <w:r w:rsidRPr="00B71057">
              <w:rPr>
                <w:rFonts w:eastAsiaTheme="minorEastAsia"/>
                <w:color w:themeColor="text1" w:val="000000"/>
                <w:szCs w:val="21"/>
              </w:rPr>
              <w:t>本期利润</w:t>
            </w:r>
          </w:p>
        </w:tc>
        <w:tc>
          <w:tcPr>
            <w:tcW w:type="pct" w:w="687"/>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-3,362,237.89</w:t>
            </w:r>
          </w:p>
        </w:tc>
        <w:tc>
          <w:tcPr>
            <w:tcW w:type="pct" w:w="691"/>
            <w:hMerge w:val="restart"/>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-621,100.61</w:t>
            </w:r>
          </w:p>
        </w:tc>
        <w:tc>
          <w:tcPr>
            <w:tcW w:type="pct" w:w="77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39"/>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5"/>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rPr>
          <w:trHeight w:val="754"/>
        </w:trPr>
        <w:tc>
          <w:tcPr>
            <w:tcW w:type="pct" w:w="516"/>
            <w:vAlign w:val="center"/>
          </w:tcPr>
          <w:p w:rsidP="00C92A7B" w:rsidR="00CD5DE9" w:rsidRDefault="00CD5DE9" w:rsidRPr="00B71057">
            <w:pPr>
              <w:spacing w:line="360" w:lineRule="auto"/>
              <w:rPr>
                <w:rFonts w:eastAsiaTheme="minorEastAsia"/>
                <w:color w:themeColor="text1" w:val="000000"/>
                <w:szCs w:val="21"/>
              </w:rPr>
            </w:pPr>
            <w:r w:rsidRPr="00B71057">
              <w:rPr>
                <w:rFonts w:eastAsiaTheme="minorEastAsia"/>
                <w:color w:themeColor="text1" w:val="000000"/>
              </w:rPr>
              <w:t>加权平均基金份额本期利润</w:t>
            </w:r>
          </w:p>
        </w:tc>
        <w:tc>
          <w:tcPr>
            <w:tcW w:type="pct" w:w="687"/>
            <w:vAlign w:val="center"/>
          </w:tcPr>
          <w:p w:rsidP="00C92A7B" w:rsidR="00CD5DE9" w:rsidRDefault="00CD5DE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-0.0172</w:t>
            </w:r>
          </w:p>
        </w:tc>
        <w:tc>
          <w:tcPr>
            <w:tcW w:type="pct" w:w="691"/>
            <w:hMerge w:val="restart"/>
            <w:vAlign w:val="center"/>
          </w:tcPr>
          <w:p w:rsidP="00C92A7B" w:rsidR="00CD5DE9" w:rsidRDefault="00CD5DE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-0.0217</w:t>
            </w:r>
          </w:p>
        </w:tc>
        <w:tc>
          <w:tcPr>
            <w:tcW w:type="pct" w:w="776"/>
            <w:hMerge/>
            <w:vAlign w:val="center"/>
          </w:tcPr>
          <w:p w:rsidP="00C92A7B" w:rsidR="00CD5DE9" w:rsidRDefault="00CD5DE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6"/>
            <w:hMerge/>
            <w:vAlign w:val="center"/>
          </w:tcPr>
          <w:p w:rsidP="00C92A7B" w:rsidR="00CD5DE9" w:rsidRDefault="00CD5DE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39"/>
            <w:hMerge/>
            <w:vAlign w:val="center"/>
          </w:tcPr>
          <w:p w:rsidP="00C92A7B" w:rsidR="00CD5DE9" w:rsidRDefault="00CD5DE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5"/>
            <w:hMerge/>
            <w:vAlign w:val="center"/>
          </w:tcPr>
          <w:p w:rsidP="00C92A7B" w:rsidR="00CD5DE9" w:rsidRDefault="00CD5DE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pct" w:w="516"/>
            <w:vAlign w:val="center"/>
          </w:tcPr>
          <w:p w:rsidP="00C92A7B" w:rsidR="00B44DBC" w:rsidRDefault="00B44DBC" w:rsidRPr="00B71057">
            <w:pPr>
              <w:spacing w:line="360" w:lineRule="auto"/>
              <w:rPr>
                <w:rFonts w:eastAsiaTheme="minorEastAsia"/>
                <w:color w:themeColor="text1" w:val="000000"/>
                <w:szCs w:val="21"/>
              </w:rPr>
            </w:pPr>
            <w:r w:rsidRPr="00B71057">
              <w:rPr>
                <w:rFonts w:eastAsiaTheme="minorEastAsia"/>
                <w:color w:themeColor="text1" w:val="000000"/>
                <w:szCs w:val="21"/>
              </w:rPr>
              <w:lastRenderedPageBreak/>
              <w:t>本期加权平均净值利润率</w:t>
            </w:r>
          </w:p>
        </w:tc>
        <w:tc>
          <w:tcPr>
            <w:tcW w:type="pct" w:w="687"/>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-1.76%</w:t>
            </w:r>
          </w:p>
        </w:tc>
        <w:tc>
          <w:tcPr>
            <w:tcW w:type="pct" w:w="691"/>
            <w:hMerge w:val="restart"/>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-2.21%</w:t>
            </w:r>
          </w:p>
        </w:tc>
        <w:tc>
          <w:tcPr>
            <w:tcW w:type="pct" w:w="77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39"/>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5"/>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pct" w:w="516"/>
            <w:vAlign w:val="center"/>
          </w:tcPr>
          <w:p w:rsidP="00C92A7B" w:rsidR="00B44DBC" w:rsidRDefault="00B44DBC" w:rsidRPr="00B71057">
            <w:pPr>
              <w:spacing w:line="360" w:lineRule="auto"/>
              <w:rPr>
                <w:rFonts w:eastAsiaTheme="minorEastAsia"/>
                <w:color w:themeColor="text1" w:val="000000"/>
                <w:szCs w:val="21"/>
              </w:rPr>
            </w:pPr>
            <w:r w:rsidRPr="00B71057">
              <w:rPr>
                <w:rFonts w:eastAsiaTheme="minorEastAsia"/>
                <w:color w:themeColor="text1" w:val="000000"/>
                <w:szCs w:val="21"/>
              </w:rPr>
              <w:t>本期基金份额净值增长率</w:t>
            </w:r>
          </w:p>
        </w:tc>
        <w:tc>
          <w:tcPr>
            <w:tcW w:type="pct" w:w="687"/>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-1.72%</w:t>
            </w:r>
          </w:p>
        </w:tc>
        <w:tc>
          <w:tcPr>
            <w:tcW w:type="pct" w:w="691"/>
            <w:hMerge w:val="restart"/>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-2.17%</w:t>
            </w:r>
          </w:p>
        </w:tc>
        <w:tc>
          <w:tcPr>
            <w:tcW w:type="pct" w:w="77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6"/>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39"/>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5"/>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bl>
    <w:tbl>
      <w:tblPr>
        <w:tblW w:type="pct" w:w="5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958"/>
        <w:gridCol w:w="1278"/>
        <w:gridCol w:w="1278"/>
        <w:gridCol w:w="1419"/>
        <w:gridCol w:w="1411"/>
        <w:gridCol w:w="1566"/>
        <w:gridCol w:w="1376"/>
      </w:tblGrid>
      <w:tr w:rsidR="00B71057" w:rsidRPr="00B71057" w:rsidTr="00C92A7B">
        <w:tc>
          <w:tcPr>
            <w:tcW w:type="pct" w:w="516"/>
            <w:vMerge w:val="restart"/>
            <w:vAlign w:val="center"/>
          </w:tcPr>
          <w:p w:rsidP="00C92A7B" w:rsidR="00B44DBC" w:rsidRDefault="00B44DBC" w:rsidRPr="00B71057">
            <w:pPr>
              <w:spacing w:line="360" w:lineRule="auto"/>
              <w:ind w:left="-107" w:leftChars="-51" w:right="-107" w:rightChars="-51"/>
              <w:rPr>
                <w:rFonts w:eastAsiaTheme="minorEastAsia"/>
                <w:b/>
                <w:color w:themeColor="text1" w:val="000000"/>
                <w:szCs w:val="21"/>
              </w:rPr>
            </w:pPr>
            <w:r w:rsidRPr="00B71057">
              <w:rPr>
                <w:rFonts w:eastAsiaTheme="minorEastAsia"/>
                <w:b/>
                <w:color w:themeColor="text1" w:val="000000"/>
                <w:szCs w:val="21"/>
              </w:rPr>
              <w:t>3.1.2</w:t>
            </w:r>
            <w:r w:rsidRPr="00B71057">
              <w:rPr>
                <w:rFonts w:eastAsiaTheme="minorEastAsia"/>
                <w:b/>
                <w:color w:themeColor="text1" w:val="000000"/>
                <w:szCs w:val="21"/>
              </w:rPr>
              <w:t>期末数据和指标</w:t>
            </w:r>
            <w:r w:rsidRPr="00B71057">
              <w:rPr>
                <w:rFonts w:eastAsiaTheme="minorEastAsia"/>
                <w:b/>
                <w:color w:themeColor="text1" w:val="000000"/>
                <w:szCs w:val="21"/>
              </w:rPr>
              <w:t/>
            </w:r>
          </w:p>
        </w:tc>
        <w:tc>
          <w:tcPr>
            <w:tcW w:type="pct" w:w="1376"/>
            <w:gridSpan w:val="2"/>
            <w:hMerge w:val="restart"/>
            <w:vAlign w:val="center"/>
          </w:tcPr>
          <w:p w:rsidP="00C92A7B" w:rsidR="00B44DBC" w:rsidRDefault="00B44DBC"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2018</w:t>
            </w:r>
            <w:r w:rsidRPr="00B71057">
              <w:rPr>
                <w:rFonts w:eastAsiaTheme="minorEastAsia"/>
                <w:b/>
                <w:color w:themeColor="text1" w:val="000000"/>
                <w:szCs w:val="21"/>
              </w:rPr>
              <w:t>年末</w:t>
            </w:r>
          </w:p>
        </w:tc>
        <w:tc>
          <w:tcPr>
            <w:tcW w:type="pct" w:w="1524"/>
            <w:gridSpan w:val="2"/>
            <w:hMerge/>
            <w:vAlign w:val="center"/>
          </w:tcPr>
          <w:p w:rsidP="00C92A7B" w:rsidR="00B44DBC" w:rsidRDefault="00B44DBC"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2017</w:t>
            </w:r>
            <w:r w:rsidRPr="00B71057">
              <w:rPr>
                <w:rFonts w:eastAsiaTheme="minorEastAsia"/>
                <w:b/>
                <w:color w:themeColor="text1" w:val="000000"/>
                <w:szCs w:val="21"/>
              </w:rPr>
              <w:t>年末</w:t>
            </w:r>
          </w:p>
        </w:tc>
        <w:tc>
          <w:tcPr>
            <w:tcW w:type="pct" w:w="1584"/>
            <w:gridSpan w:val="2"/>
            <w:hMerge/>
            <w:vAlign w:val="center"/>
          </w:tcPr>
          <w:p w:rsidP="00C92A7B" w:rsidR="00B44DBC" w:rsidRDefault="00B44DBC"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2016</w:t>
            </w:r>
            <w:r w:rsidRPr="00B71057">
              <w:rPr>
                <w:rFonts w:eastAsiaTheme="minorEastAsia"/>
                <w:b/>
                <w:color w:themeColor="text1" w:val="000000"/>
                <w:szCs w:val="21"/>
              </w:rPr>
              <w:t>年末</w:t>
            </w:r>
          </w:p>
        </w:tc>
      </w:tr>
      <w:tr w:rsidR="00B71057" w:rsidRPr="00B71057" w:rsidTr="00C92A7B">
        <w:trPr>
          <w:trHeight w:val="373"/>
        </w:trPr>
        <w:tc>
          <w:tcPr>
            <w:tcW w:type="pct" w:w="516"/>
            <w:vMerge/>
            <w:vAlign w:val="center"/>
          </w:tcPr>
          <w:p w:rsidP="00C92A7B" w:rsidR="00B44DBC" w:rsidRDefault="00B44DBC" w:rsidRPr="00B71057">
            <w:pPr>
              <w:widowControl/>
              <w:spacing w:line="360" w:lineRule="auto"/>
              <w:jc w:val="left"/>
              <w:rPr>
                <w:rFonts w:eastAsiaTheme="minorEastAsia"/>
                <w:b/>
                <w:color w:themeColor="text1" w:val="000000"/>
                <w:szCs w:val="21"/>
              </w:rPr>
            </w:pPr>
          </w:p>
        </w:tc>
        <w:tc>
          <w:tcPr>
            <w:tcW w:type="pct" w:w="688"/>
            <w:vAlign w:val="center"/>
          </w:tcPr>
          <w:p w:rsidP="00C92A7B" w:rsidR="00B44DBC" w:rsidRDefault="00B44DBC" w:rsidRPr="00B71057">
            <w:pPr>
              <w:spacing w:line="360" w:lineRule="auto"/>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pct" w:w="688"/>
            <w:hMerge w:val="restart"/>
            <w:vAlign w:val="center"/>
          </w:tcPr>
          <w:p w:rsidP="00C92A7B" w:rsidR="00B44DBC" w:rsidRDefault="00B44DBC" w:rsidRPr="00B71057">
            <w:pPr>
              <w:spacing w:line="360" w:lineRule="auto"/>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c>
          <w:tcPr>
            <w:tcW w:type="pct" w:w="764"/>
            <w:hMerge/>
            <w:vAlign w:val="center"/>
          </w:tcPr>
          <w:p w:rsidP="00C92A7B" w:rsidR="00B44DBC" w:rsidRDefault="00B44DBC" w:rsidRPr="00B71057">
            <w:pPr>
              <w:spacing w:line="360" w:lineRule="auto"/>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pct" w:w="760"/>
            <w:hMerge/>
            <w:vAlign w:val="center"/>
          </w:tcPr>
          <w:p w:rsidP="00C92A7B" w:rsidR="00B44DBC" w:rsidRDefault="00B44DBC" w:rsidRPr="00B71057">
            <w:pPr>
              <w:spacing w:line="360" w:lineRule="auto"/>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c>
          <w:tcPr>
            <w:tcW w:type="pct" w:w="843"/>
            <w:hMerge/>
            <w:vAlign w:val="center"/>
          </w:tcPr>
          <w:p w:rsidP="00C92A7B" w:rsidR="00B44DBC" w:rsidRDefault="00B44DBC" w:rsidRPr="00B71057">
            <w:pPr>
              <w:spacing w:line="360" w:lineRule="auto"/>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pct" w:w="741"/>
            <w:hMerge/>
            <w:vAlign w:val="center"/>
          </w:tcPr>
          <w:p w:rsidP="00C92A7B" w:rsidR="00B44DBC" w:rsidRDefault="00B44DBC" w:rsidRPr="00B71057">
            <w:pPr>
              <w:spacing w:line="360" w:lineRule="auto"/>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r>
      <w:tr w:rsidR="00B71057" w:rsidRPr="00B71057" w:rsidTr="00C92A7B">
        <w:tc>
          <w:tcPr>
            <w:tcW w:type="pct" w:w="516"/>
            <w:vAlign w:val="center"/>
          </w:tcPr>
          <w:p w:rsidP="00C92A7B" w:rsidR="00B44DBC" w:rsidRDefault="00B44DBC" w:rsidRPr="00B71057">
            <w:pPr>
              <w:spacing w:line="360" w:lineRule="auto"/>
              <w:rPr>
                <w:rFonts w:eastAsiaTheme="minorEastAsia"/>
                <w:color w:themeColor="text1" w:val="000000"/>
                <w:szCs w:val="21"/>
              </w:rPr>
            </w:pPr>
            <w:r w:rsidRPr="00B71057">
              <w:rPr>
                <w:rFonts w:eastAsiaTheme="minorEastAsia"/>
                <w:color w:themeColor="text1" w:val="000000"/>
                <w:szCs w:val="21"/>
              </w:rPr>
              <w:t>期末可供分配基金份额利润</w:t>
            </w:r>
          </w:p>
        </w:tc>
        <w:tc>
          <w:tcPr>
            <w:tcW w:type="pct" w:w="688"/>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-0.0172</w:t>
            </w:r>
          </w:p>
        </w:tc>
        <w:tc>
          <w:tcPr>
            <w:tcW w:type="pct" w:w="688"/>
            <w:hMerge w:val="restart"/>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-0.0217</w:t>
            </w:r>
          </w:p>
        </w:tc>
        <w:tc>
          <w:tcPr>
            <w:tcW w:type="pct" w:w="764"/>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60"/>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43"/>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1"/>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pct" w:w="516"/>
            <w:vAlign w:val="center"/>
          </w:tcPr>
          <w:p w:rsidP="00C92A7B" w:rsidR="00B44DBC" w:rsidRDefault="00B44DBC" w:rsidRPr="00B71057">
            <w:pPr>
              <w:spacing w:line="360" w:lineRule="auto"/>
              <w:rPr>
                <w:rFonts w:eastAsiaTheme="minorEastAsia"/>
                <w:color w:themeColor="text1" w:val="000000"/>
                <w:szCs w:val="21"/>
              </w:rPr>
            </w:pPr>
            <w:r w:rsidRPr="00B71057">
              <w:rPr>
                <w:rFonts w:eastAsiaTheme="minorEastAsia"/>
                <w:color w:themeColor="text1" w:val="000000"/>
                <w:szCs w:val="21"/>
              </w:rPr>
              <w:t>期末基金资产净值</w:t>
            </w:r>
          </w:p>
        </w:tc>
        <w:tc>
          <w:tcPr>
            <w:tcW w:type="pct" w:w="688"/>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191,808,129.55</w:t>
            </w:r>
          </w:p>
        </w:tc>
        <w:tc>
          <w:tcPr>
            <w:tcW w:type="pct" w:w="688"/>
            <w:hMerge w:val="restart"/>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28,018,324.82</w:t>
            </w:r>
          </w:p>
        </w:tc>
        <w:tc>
          <w:tcPr>
            <w:tcW w:type="pct" w:w="764"/>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60"/>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43"/>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1"/>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pct" w:w="516"/>
            <w:vAlign w:val="center"/>
          </w:tcPr>
          <w:p w:rsidP="00C92A7B" w:rsidR="00B44DBC" w:rsidRDefault="00B44DBC" w:rsidRPr="00B71057">
            <w:pPr>
              <w:spacing w:line="360" w:lineRule="auto"/>
              <w:rPr>
                <w:rFonts w:eastAsiaTheme="minorEastAsia"/>
                <w:color w:themeColor="text1" w:val="000000"/>
                <w:szCs w:val="21"/>
              </w:rPr>
            </w:pPr>
            <w:r w:rsidRPr="00B71057">
              <w:rPr>
                <w:rFonts w:eastAsiaTheme="minorEastAsia"/>
                <w:color w:themeColor="text1" w:val="000000"/>
                <w:szCs w:val="21"/>
              </w:rPr>
              <w:t>期末基金份额净值</w:t>
            </w:r>
          </w:p>
        </w:tc>
        <w:tc>
          <w:tcPr>
            <w:tcW w:type="pct" w:w="688"/>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0.9828</w:t>
            </w:r>
          </w:p>
        </w:tc>
        <w:tc>
          <w:tcPr>
            <w:tcW w:type="pct" w:w="688"/>
            <w:hMerge w:val="restart"/>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0.9783</w:t>
            </w:r>
          </w:p>
        </w:tc>
        <w:tc>
          <w:tcPr>
            <w:tcW w:type="pct" w:w="764"/>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60"/>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843"/>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741"/>
            <w:hMerge/>
            <w:vAlign w:val="center"/>
          </w:tcPr>
          <w:p w:rsidP="00C92A7B" w:rsidR="00B44DBC" w:rsidRDefault="00B44DB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bl>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注：1、本期已实现收益指基金本期利息收入、投资收益、其他收入（不含公允价值变动收益）扣除相关费用后的余额，本期利润为本期已实现收益加上本期公允价值变动收益；</w:t>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2、以上所述基金业绩指标不包括持有人认购或交易基金的各项费用（例如基金申购费赎回费等），计入费用后实际收益水平要低于所列数字。</w:t>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3、对期末可供分配利润，采用期末资产负债表中未分配利润与未分配利润中已实现部分的孰低数（为期末余额，不是当期发生数）。</w:t>
      </w:r>
    </w:p>
    <w:p w:rsidP="00C92A7B" w:rsidR="001A59F9"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lastRenderedPageBreak/>
        <w:t>4、本基金于2018年2月2日基金合同生效，截至报告期末基金合同生效未满一年。</w:t>
      </w:r>
    </w:p>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19" w:name="_Toc225498252"/>
      <w:bookmarkStart w:id="20" w:name="_Toc361324852"/>
      <w:r w:rsidRPr="00B71057">
        <w:rPr>
          <w:rFonts w:ascii="Times New Roman" w:eastAsiaTheme="minorEastAsia" w:hAnsi="Times New Roman"/>
          <w:color w:themeColor="text1" w:val="000000"/>
          <w:kern w:val="0"/>
          <w:sz w:val="21"/>
          <w:szCs w:val="21"/>
        </w:rPr>
        <w:t xml:space="preserve">3.2 </w:t>
      </w:r>
      <w:r w:rsidRPr="00B71057">
        <w:rPr>
          <w:rFonts w:ascii="Times New Roman" w:eastAsiaTheme="minorEastAsia" w:hAnsi="Times New Roman"/>
          <w:color w:themeColor="text1" w:val="000000"/>
          <w:kern w:val="0"/>
          <w:sz w:val="21"/>
          <w:szCs w:val="21"/>
        </w:rPr>
        <w:t>基金净值表现</w:t>
      </w:r>
      <w:bookmarkEnd w:id="19"/>
      <w:bookmarkEnd w:id="20"/>
    </w:p>
    <w:p w:rsidP="00AC3179"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color w:themeColor="text1" w:val="000000"/>
          <w:kern w:val="0"/>
          <w:szCs w:val="21"/>
        </w:rPr>
        <w:t xml:space="preserve">3.2.1 </w:t>
      </w:r>
      <w:r w:rsidRPr="00B71057">
        <w:rPr>
          <w:rFonts w:eastAsiaTheme="minorEastAsia"/>
          <w:b/>
          <w:color w:themeColor="text1" w:val="000000"/>
          <w:kern w:val="0"/>
          <w:szCs w:val="21"/>
        </w:rPr>
        <w:t>基金份额净值增长率及其与同期业绩比较基准收益率的比较</w:t>
      </w:r>
    </w:p>
    <w:p w:rsidP="00AC3179" w:rsidR="001A59F9" w:rsidRDefault="003D26BD" w:rsidRPr="00B71057">
      <w:pPr>
        <w:pStyle w:val="21"/>
        <w:spacing w:line="360" w:lineRule="auto"/>
        <w:ind w:firstLine="0" w:firstLineChars="0"/>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
      </w:r>
      <w:r w:rsidR="001A59F9" w:rsidRPr="00B71057">
        <w:rPr>
          <w:rFonts w:ascii="Times New Roman" w:eastAsiaTheme="minorEastAsia" w:hAnsi="Times New Roman"/>
          <w:b/>
          <w:color w:themeColor="text1" w:val="000000"/>
          <w:sz w:val="21"/>
          <w:szCs w:val="21"/>
        </w:rPr>
        <w:t>1</w:t>
      </w:r>
      <w:r w:rsidR="001A59F9" w:rsidRPr="00B71057">
        <w:rPr>
          <w:rFonts w:ascii="Times New Roman" w:eastAsiaTheme="minorEastAsia" w:hAnsi="Times New Roman"/>
          <w:b/>
          <w:color w:themeColor="text1" w:val="000000"/>
          <w:sz w:val="21"/>
          <w:szCs w:val="21"/>
        </w:rPr>
        <w:t>．</w:t>
      </w:r>
      <w:r w:rsidR="001A59F9" w:rsidRPr="00B71057">
        <w:rPr>
          <w:rFonts w:ascii="Times New Roman" w:eastAsiaTheme="minorEastAsia" w:hAnsi="Times New Roman"/>
          <w:b/>
          <w:color w:themeColor="text1" w:val="000000"/>
          <w:sz w:val="21"/>
          <w:szCs w:val="21"/>
        </w:rPr>
        <w:t>新华安享惠钰定期开放债券A</w:t>
      </w:r>
      <w:r w:rsidR="001A59F9" w:rsidRPr="00B71057">
        <w:rPr>
          <w:rFonts w:ascii="Times New Roman" w:eastAsiaTheme="minorEastAsia" w:hAnsi="Times New Roman"/>
          <w:b/>
          <w:color w:themeColor="text1" w:val="000000"/>
          <w:sz w:val="21"/>
          <w:szCs w:val="21"/>
        </w:rPr>
        <w:t>：</w:t>
      </w:r>
    </w:p>
    <w:tbl>
      <w:tblPr>
        <w:tblW w:type="dxa" w:w="972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620"/>
        <w:gridCol w:w="1350"/>
        <w:gridCol w:w="1350"/>
        <w:gridCol w:w="1350"/>
        <w:gridCol w:w="1350"/>
        <w:gridCol w:w="1350"/>
        <w:gridCol w:w="1350"/>
      </w:tblGrid>
      <w:tr w:rsidR="00B71057" w:rsidRPr="00B71057" w:rsidTr="00C92A7B">
        <w:tc>
          <w:tcPr>
            <w:tcW w:type="dxa" w:w="162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阶段</w:t>
            </w:r>
            <w:r w:rsidR="00592B3C" w:rsidRPr="00B71057">
              <w:rPr>
                <w:rFonts w:eastAsiaTheme="minorEastAsia"/>
                <w:color w:themeColor="text1" w:val="000000"/>
                <w:szCs w:val="21"/>
              </w:rPr>
              <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份额净值增长率</w:t>
            </w:r>
            <w:r w:rsidRPr="00B71057">
              <w:rPr>
                <w:rFonts w:ascii="宋体" w:cs="宋体" w:hAnsi="宋体" w:hint="eastAsia"/>
                <w:color w:themeColor="text1" w:val="000000"/>
                <w:szCs w:val="21"/>
              </w:rPr>
              <w:t>①</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份额净值增长率标准差</w:t>
            </w:r>
            <w:r w:rsidRPr="00B71057">
              <w:rPr>
                <w:rFonts w:ascii="宋体" w:cs="宋体" w:hAnsi="宋体" w:hint="eastAsia"/>
                <w:color w:themeColor="text1" w:val="000000"/>
                <w:szCs w:val="21"/>
              </w:rPr>
              <w:t>②</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业绩比较基准收益率</w:t>
            </w:r>
            <w:r w:rsidRPr="00B71057">
              <w:rPr>
                <w:rFonts w:ascii="宋体" w:cs="宋体" w:hAnsi="宋体" w:hint="eastAsia"/>
                <w:color w:themeColor="text1" w:val="000000"/>
                <w:szCs w:val="21"/>
              </w:rPr>
              <w:t>③</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业绩比较基准收益率标准差</w:t>
            </w:r>
            <w:r w:rsidRPr="00B71057">
              <w:rPr>
                <w:rFonts w:ascii="宋体" w:cs="宋体" w:hAnsi="宋体" w:hint="eastAsia"/>
                <w:color w:themeColor="text1" w:val="000000"/>
                <w:szCs w:val="21"/>
              </w:rPr>
              <w:t>④</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ascii="宋体" w:cs="宋体" w:hAnsi="宋体" w:hint="eastAsia"/>
                <w:color w:themeColor="text1" w:val="000000"/>
                <w:szCs w:val="21"/>
              </w:rPr>
              <w:t>①</w:t>
            </w:r>
            <w:r w:rsidRPr="00B71057">
              <w:rPr>
                <w:rFonts w:eastAsiaTheme="minorEastAsia"/>
                <w:color w:themeColor="text1" w:val="000000"/>
                <w:szCs w:val="21"/>
              </w:rPr>
              <w:t>－</w:t>
            </w:r>
            <w:r w:rsidRPr="00B71057">
              <w:rPr>
                <w:rFonts w:ascii="宋体" w:cs="宋体" w:hAnsi="宋体" w:hint="eastAsia"/>
                <w:color w:themeColor="text1" w:val="000000"/>
                <w:szCs w:val="21"/>
              </w:rPr>
              <w:t>③</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ascii="宋体" w:cs="宋体" w:hAnsi="宋体" w:hint="eastAsia"/>
                <w:color w:themeColor="text1" w:val="000000"/>
                <w:szCs w:val="21"/>
              </w:rPr>
              <w:t>②</w:t>
            </w:r>
            <w:r w:rsidRPr="00B71057">
              <w:rPr>
                <w:rFonts w:eastAsiaTheme="minorEastAsia"/>
                <w:color w:themeColor="text1" w:val="000000"/>
                <w:szCs w:val="21"/>
              </w:rPr>
              <w:t>－</w:t>
            </w:r>
            <w:r w:rsidRPr="00B71057">
              <w:rPr>
                <w:rFonts w:ascii="宋体" w:cs="宋体" w:hAnsi="宋体" w:hint="eastAsia"/>
                <w:color w:themeColor="text1" w:val="000000"/>
                <w:szCs w:val="21"/>
              </w:rPr>
              <w:t>④</w:t>
            </w:r>
          </w:p>
        </w:tc>
      </w:tr>
      <w:tr>
        <w:tc>
          <w:tcPr>
            <w:vAlign w:val="center"/>
          </w:tcPr>
          <w:p>
            <w:pPr>
              <w:jc w:val="left"/>
            </w:pPr>
            <w:r>
              <w:rPr>
                <w:rFonts w:eastAsiaTheme="minorEastAsia"/>
                <w:color w:themeColor="text1" w:val="000000"/>
                <w:szCs w:val="21"/>
              </w:rPr>
              <w:t>过去三个月</w:t>
            </w:r>
          </w:p>
        </w:tc>
        <w:tc>
          <w:tcPr>
            <w:vAlign w:val="center"/>
          </w:tcPr>
          <w:p>
            <w:pPr>
              <w:jc w:val="center"/>
            </w:pPr>
            <w:r>
              <w:rPr>
                <w:rFonts w:eastAsiaTheme="minorEastAsia"/>
                <w:color w:themeColor="text1" w:val="000000"/>
                <w:szCs w:val="21"/>
              </w:rPr>
              <w:t>-0.56%</w:t>
            </w:r>
          </w:p>
        </w:tc>
        <w:tc>
          <w:tcPr>
            <w:vAlign w:val="center"/>
          </w:tcPr>
          <w:p>
            <w:pPr>
              <w:jc w:val="center"/>
            </w:pPr>
            <w:r>
              <w:rPr>
                <w:rFonts w:eastAsiaTheme="minorEastAsia"/>
                <w:color w:themeColor="text1" w:val="000000"/>
                <w:szCs w:val="21"/>
              </w:rPr>
              <w:t>0.29%</w:t>
            </w:r>
          </w:p>
        </w:tc>
        <w:tc>
          <w:tcPr>
            <w:vAlign w:val="center"/>
          </w:tcPr>
          <w:p>
            <w:pPr>
              <w:jc w:val="center"/>
            </w:pPr>
            <w:r>
              <w:rPr>
                <w:rFonts w:eastAsiaTheme="minorEastAsia"/>
                <w:color w:themeColor="text1" w:val="000000"/>
                <w:szCs w:val="21"/>
              </w:rPr>
              <w:t>0.52%</w:t>
            </w:r>
          </w:p>
        </w:tc>
        <w:tc>
          <w:tcPr>
            <w:vAlign w:val="center"/>
          </w:tcPr>
          <w:p>
            <w:pPr>
              <w:jc w:val="center"/>
            </w:pPr>
            <w:r>
              <w:rPr>
                <w:rFonts w:eastAsiaTheme="minorEastAsia"/>
                <w:color w:themeColor="text1" w:val="000000"/>
                <w:szCs w:val="21"/>
              </w:rPr>
              <w:t>0.16%</w:t>
            </w:r>
          </w:p>
        </w:tc>
        <w:tc>
          <w:tcPr>
            <w:vAlign w:val="center"/>
          </w:tcPr>
          <w:p>
            <w:pPr>
              <w:jc w:val="center"/>
            </w:pPr>
            <w:r>
              <w:rPr>
                <w:rFonts w:eastAsiaTheme="minorEastAsia"/>
                <w:color w:themeColor="text1" w:val="000000"/>
                <w:szCs w:val="21"/>
              </w:rPr>
              <w:t>-1.08%</w:t>
            </w:r>
          </w:p>
        </w:tc>
        <w:tc>
          <w:tcPr>
            <w:vAlign w:val="center"/>
          </w:tcPr>
          <w:p>
            <w:pPr>
              <w:jc w:val="center"/>
            </w:pPr>
            <w:r>
              <w:rPr>
                <w:rFonts w:eastAsiaTheme="minorEastAsia"/>
                <w:color w:themeColor="text1" w:val="000000"/>
                <w:szCs w:val="21"/>
              </w:rPr>
              <w:t>0.13%</w:t>
            </w:r>
          </w:p>
        </w:tc>
      </w:tr>
      <w:tr>
        <w:tc>
          <w:tcPr>
            <w:vAlign w:val="center"/>
          </w:tcPr>
          <w:p>
            <w:pPr>
              <w:jc w:val="left"/>
            </w:pPr>
            <w:r>
              <w:rPr>
                <w:rFonts w:eastAsiaTheme="minorEastAsia"/>
                <w:color w:themeColor="text1" w:val="000000"/>
                <w:szCs w:val="21"/>
              </w:rPr>
              <w:t>过去六个月</w:t>
            </w:r>
          </w:p>
        </w:tc>
        <w:tc>
          <w:tcPr>
            <w:vAlign w:val="center"/>
          </w:tcPr>
          <w:p>
            <w:pPr>
              <w:jc w:val="center"/>
            </w:pPr>
            <w:r>
              <w:rPr>
                <w:rFonts w:eastAsiaTheme="minorEastAsia"/>
                <w:color w:themeColor="text1" w:val="000000"/>
                <w:szCs w:val="21"/>
              </w:rPr>
              <w:t>1.70%</w:t>
            </w:r>
          </w:p>
        </w:tc>
        <w:tc>
          <w:tcPr>
            <w:vAlign w:val="center"/>
          </w:tcPr>
          <w:p>
            <w:pPr>
              <w:jc w:val="center"/>
            </w:pPr>
            <w:r>
              <w:rPr>
                <w:rFonts w:eastAsiaTheme="minorEastAsia"/>
                <w:color w:themeColor="text1" w:val="000000"/>
                <w:szCs w:val="21"/>
              </w:rPr>
              <w:t>0.25%</w:t>
            </w:r>
          </w:p>
        </w:tc>
        <w:tc>
          <w:tcPr>
            <w:vAlign w:val="center"/>
          </w:tcPr>
          <w:p>
            <w:pPr>
              <w:jc w:val="center"/>
            </w:pPr>
            <w:r>
              <w:rPr>
                <w:rFonts w:eastAsiaTheme="minorEastAsia"/>
                <w:color w:themeColor="text1" w:val="000000"/>
                <w:szCs w:val="21"/>
              </w:rPr>
              <w:t>0.88%</w:t>
            </w:r>
          </w:p>
        </w:tc>
        <w:tc>
          <w:tcPr>
            <w:vAlign w:val="center"/>
          </w:tcPr>
          <w:p>
            <w:pPr>
              <w:jc w:val="center"/>
            </w:pPr>
            <w:r>
              <w:rPr>
                <w:rFonts w:eastAsiaTheme="minorEastAsia"/>
                <w:color w:themeColor="text1" w:val="000000"/>
                <w:szCs w:val="21"/>
              </w:rPr>
              <w:t>0.15%</w:t>
            </w:r>
          </w:p>
        </w:tc>
        <w:tc>
          <w:tcPr>
            <w:vAlign w:val="center"/>
          </w:tcPr>
          <w:p>
            <w:pPr>
              <w:jc w:val="center"/>
            </w:pPr>
            <w:r>
              <w:rPr>
                <w:rFonts w:eastAsiaTheme="minorEastAsia"/>
                <w:color w:themeColor="text1" w:val="000000"/>
                <w:szCs w:val="21"/>
              </w:rPr>
              <w:t>0.82%</w:t>
            </w:r>
          </w:p>
        </w:tc>
        <w:tc>
          <w:tcPr>
            <w:vAlign w:val="center"/>
          </w:tcPr>
          <w:p>
            <w:pPr>
              <w:jc w:val="center"/>
            </w:pPr>
            <w:r>
              <w:rPr>
                <w:rFonts w:eastAsiaTheme="minorEastAsia"/>
                <w:color w:themeColor="text1" w:val="000000"/>
                <w:szCs w:val="21"/>
              </w:rPr>
              <w:t>0.10%</w:t>
            </w:r>
          </w:p>
        </w:tc>
      </w:tr>
      <w:tr>
        <w:tc>
          <w:tcPr>
            <w:vAlign w:val="center"/>
          </w:tcPr>
          <w:p>
            <w:pPr>
              <w:jc w:val="left"/>
            </w:pPr>
            <w:r>
              <w:rPr>
                <w:rFonts w:eastAsiaTheme="minorEastAsia"/>
                <w:color w:themeColor="text1" w:val="000000"/>
                <w:szCs w:val="21"/>
              </w:rPr>
              <w:t>基金成立至今</w:t>
            </w:r>
          </w:p>
        </w:tc>
        <w:tc>
          <w:tcPr>
            <w:vAlign w:val="center"/>
          </w:tcPr>
          <w:p>
            <w:pPr>
              <w:jc w:val="center"/>
            </w:pPr>
            <w:r>
              <w:rPr>
                <w:rFonts w:eastAsiaTheme="minorEastAsia"/>
                <w:color w:themeColor="text1" w:val="000000"/>
                <w:szCs w:val="21"/>
              </w:rPr>
              <w:t>-1.72%</w:t>
            </w:r>
          </w:p>
        </w:tc>
        <w:tc>
          <w:tcPr>
            <w:vAlign w:val="center"/>
          </w:tcPr>
          <w:p>
            <w:pPr>
              <w:jc w:val="center"/>
            </w:pPr>
            <w:r>
              <w:rPr>
                <w:rFonts w:eastAsiaTheme="minorEastAsia"/>
                <w:color w:themeColor="text1" w:val="000000"/>
                <w:szCs w:val="21"/>
              </w:rPr>
              <w:t>0.24%</w:t>
            </w:r>
          </w:p>
        </w:tc>
        <w:tc>
          <w:tcPr>
            <w:vAlign w:val="center"/>
          </w:tcPr>
          <w:p>
            <w:pPr>
              <w:jc w:val="center"/>
            </w:pPr>
            <w:r>
              <w:rPr>
                <w:rFonts w:eastAsiaTheme="minorEastAsia"/>
                <w:color w:themeColor="text1" w:val="000000"/>
                <w:szCs w:val="21"/>
              </w:rPr>
              <w:t>0.86%</w:t>
            </w:r>
          </w:p>
        </w:tc>
        <w:tc>
          <w:tcPr>
            <w:vAlign w:val="center"/>
          </w:tcPr>
          <w:p>
            <w:pPr>
              <w:jc w:val="center"/>
            </w:pPr>
            <w:r>
              <w:rPr>
                <w:rFonts w:eastAsiaTheme="minorEastAsia"/>
                <w:color w:themeColor="text1" w:val="000000"/>
                <w:szCs w:val="21"/>
              </w:rPr>
              <w:t>0.14%</w:t>
            </w:r>
          </w:p>
        </w:tc>
        <w:tc>
          <w:tcPr>
            <w:vAlign w:val="center"/>
          </w:tcPr>
          <w:p>
            <w:pPr>
              <w:jc w:val="center"/>
            </w:pPr>
            <w:r>
              <w:rPr>
                <w:rFonts w:eastAsiaTheme="minorEastAsia"/>
                <w:color w:themeColor="text1" w:val="000000"/>
                <w:szCs w:val="21"/>
              </w:rPr>
              <w:t>-2.58%</w:t>
            </w:r>
          </w:p>
        </w:tc>
        <w:tc>
          <w:tcPr>
            <w:vAlign w:val="center"/>
          </w:tcPr>
          <w:p>
            <w:pPr>
              <w:jc w:val="center"/>
            </w:pPr>
            <w:r>
              <w:rPr>
                <w:rFonts w:eastAsiaTheme="minorEastAsia"/>
                <w:color w:themeColor="text1" w:val="000000"/>
                <w:szCs w:val="21"/>
              </w:rPr>
              <w:t>0.10%</w:t>
            </w:r>
          </w:p>
        </w:tc>
      </w:tr>
    </w:tbl>
    <w:p w:rsidP="00D877B1" w:rsidR="001A59F9" w:rsidRDefault="003D26BD" w:rsidRPr="00B71057">
      <w:pPr>
        <w:pStyle w:val="21"/>
        <w:spacing w:line="360" w:lineRule="auto"/>
        <w:ind w:firstLine="0" w:firstLineChars="0"/>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
      </w:r>
      <w:r w:rsidR="001A59F9" w:rsidRPr="00B71057">
        <w:rPr>
          <w:rFonts w:ascii="Times New Roman" w:eastAsiaTheme="minorEastAsia" w:hAnsi="Times New Roman"/>
          <w:b/>
          <w:color w:themeColor="text1" w:val="000000"/>
          <w:sz w:val="21"/>
          <w:szCs w:val="21"/>
        </w:rPr>
        <w:t>2</w:t>
      </w:r>
      <w:r w:rsidR="001A59F9" w:rsidRPr="00B71057">
        <w:rPr>
          <w:rFonts w:ascii="Times New Roman" w:eastAsiaTheme="minorEastAsia" w:hAnsi="Times New Roman"/>
          <w:b/>
          <w:color w:themeColor="text1" w:val="000000"/>
          <w:sz w:val="21"/>
          <w:szCs w:val="21"/>
        </w:rPr>
        <w:t>．</w:t>
      </w:r>
      <w:r w:rsidR="001A59F9" w:rsidRPr="00B71057">
        <w:rPr>
          <w:rFonts w:ascii="Times New Roman" w:eastAsiaTheme="minorEastAsia" w:hAnsi="Times New Roman"/>
          <w:b/>
          <w:color w:themeColor="text1" w:val="000000"/>
          <w:sz w:val="21"/>
          <w:szCs w:val="21"/>
        </w:rPr>
        <w:t/>
      </w:r>
      <w:r w:rsidR="00465368" w:rsidRPr="00B71057">
        <w:rPr>
          <w:rFonts w:ascii="Times New Roman" w:eastAsiaTheme="minorEastAsia" w:hAnsi="Times New Roman"/>
          <w:b/>
          <w:color w:themeColor="text1" w:val="000000"/>
          <w:sz w:val="21"/>
          <w:szCs w:val="21"/>
        </w:rPr>
        <w:t/>
      </w:r>
      <w:r w:rsidR="001A59F9" w:rsidRPr="00B71057">
        <w:rPr>
          <w:rFonts w:ascii="Times New Roman" w:eastAsiaTheme="minorEastAsia" w:hAnsi="Times New Roman"/>
          <w:b/>
          <w:color w:themeColor="text1" w:val="000000"/>
          <w:sz w:val="21"/>
          <w:szCs w:val="21"/>
        </w:rPr>
        <w:t>新华安享惠钰定期开放债券C</w:t>
      </w:r>
      <w:r w:rsidR="001A59F9" w:rsidRPr="00B71057">
        <w:rPr>
          <w:rFonts w:ascii="Times New Roman" w:eastAsiaTheme="minorEastAsia" w:hAnsi="Times New Roman"/>
          <w:b/>
          <w:color w:themeColor="text1" w:val="000000"/>
          <w:sz w:val="21"/>
          <w:szCs w:val="21"/>
        </w:rPr>
        <w:t>：</w:t>
      </w:r>
    </w:p>
    <w:tbl>
      <w:tblPr>
        <w:tblW w:type="dxa" w:w="972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620"/>
        <w:gridCol w:w="1350"/>
        <w:gridCol w:w="1350"/>
        <w:gridCol w:w="1350"/>
        <w:gridCol w:w="1350"/>
        <w:gridCol w:w="1350"/>
        <w:gridCol w:w="1350"/>
      </w:tblGrid>
      <w:tr w:rsidR="00B71057" w:rsidRPr="00B71057" w:rsidTr="00C92A7B">
        <w:tc>
          <w:tcPr>
            <w:tcW w:type="dxa" w:w="162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阶段</w:t>
            </w:r>
            <w:r w:rsidR="00592B3C" w:rsidRPr="00B71057">
              <w:rPr>
                <w:rFonts w:eastAsiaTheme="minorEastAsia"/>
                <w:color w:themeColor="text1" w:val="000000"/>
                <w:szCs w:val="21"/>
              </w:rPr>
              <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份额净值增长率</w:t>
            </w:r>
            <w:r w:rsidRPr="00B71057">
              <w:rPr>
                <w:rFonts w:ascii="宋体" w:cs="宋体" w:hAnsi="宋体" w:hint="eastAsia"/>
                <w:color w:themeColor="text1" w:val="000000"/>
                <w:szCs w:val="21"/>
              </w:rPr>
              <w:t>①</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份额净值增长率标准差</w:t>
            </w:r>
            <w:r w:rsidRPr="00B71057">
              <w:rPr>
                <w:rFonts w:ascii="宋体" w:cs="宋体" w:hAnsi="宋体" w:hint="eastAsia"/>
                <w:color w:themeColor="text1" w:val="000000"/>
                <w:szCs w:val="21"/>
              </w:rPr>
              <w:t>②</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业绩比较基准收益率</w:t>
            </w:r>
            <w:r w:rsidRPr="00B71057">
              <w:rPr>
                <w:rFonts w:ascii="宋体" w:cs="宋体" w:hAnsi="宋体" w:hint="eastAsia"/>
                <w:color w:themeColor="text1" w:val="000000"/>
                <w:szCs w:val="21"/>
              </w:rPr>
              <w:t>③</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业绩比较基准收益率标准差</w:t>
            </w:r>
            <w:r w:rsidRPr="00B71057">
              <w:rPr>
                <w:rFonts w:ascii="宋体" w:cs="宋体" w:hAnsi="宋体" w:hint="eastAsia"/>
                <w:color w:themeColor="text1" w:val="000000"/>
                <w:szCs w:val="21"/>
              </w:rPr>
              <w:t>④</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ascii="宋体" w:cs="宋体" w:hAnsi="宋体" w:hint="eastAsia"/>
                <w:color w:themeColor="text1" w:val="000000"/>
                <w:szCs w:val="21"/>
              </w:rPr>
              <w:t>①</w:t>
            </w:r>
            <w:r w:rsidRPr="00B71057">
              <w:rPr>
                <w:rFonts w:eastAsiaTheme="minorEastAsia"/>
                <w:color w:themeColor="text1" w:val="000000"/>
                <w:szCs w:val="21"/>
              </w:rPr>
              <w:t>－</w:t>
            </w:r>
            <w:r w:rsidRPr="00B71057">
              <w:rPr>
                <w:rFonts w:ascii="宋体" w:cs="宋体" w:hAnsi="宋体" w:hint="eastAsia"/>
                <w:color w:themeColor="text1" w:val="000000"/>
                <w:szCs w:val="21"/>
              </w:rPr>
              <w:t>③</w:t>
            </w:r>
          </w:p>
        </w:tc>
        <w:tc>
          <w:tcPr>
            <w:tcW w:type="dxa" w:w="13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ascii="宋体" w:cs="宋体" w:hAnsi="宋体" w:hint="eastAsia"/>
                <w:color w:themeColor="text1" w:val="000000"/>
                <w:szCs w:val="21"/>
              </w:rPr>
              <w:t>②</w:t>
            </w:r>
            <w:r w:rsidRPr="00B71057">
              <w:rPr>
                <w:rFonts w:eastAsiaTheme="minorEastAsia"/>
                <w:color w:themeColor="text1" w:val="000000"/>
                <w:szCs w:val="21"/>
              </w:rPr>
              <w:t>－</w:t>
            </w:r>
            <w:r w:rsidRPr="00B71057">
              <w:rPr>
                <w:rFonts w:ascii="宋体" w:cs="宋体" w:hAnsi="宋体" w:hint="eastAsia"/>
                <w:color w:themeColor="text1" w:val="000000"/>
                <w:szCs w:val="21"/>
              </w:rPr>
              <w:t>④</w:t>
            </w:r>
          </w:p>
        </w:tc>
      </w:tr>
      <w:tr>
        <w:tc>
          <w:tcPr>
            <w:vAlign w:val="center"/>
          </w:tcPr>
          <w:p>
            <w:pPr>
              <w:jc w:val="left"/>
            </w:pPr>
            <w:r>
              <w:rPr>
                <w:rFonts w:eastAsiaTheme="minorEastAsia"/>
                <w:color w:themeColor="text1" w:val="000000"/>
                <w:szCs w:val="21"/>
              </w:rPr>
              <w:t>过去三个月</w:t>
            </w:r>
          </w:p>
        </w:tc>
        <w:tc>
          <w:tcPr>
            <w:vAlign w:val="center"/>
          </w:tcPr>
          <w:p>
            <w:pPr>
              <w:jc w:val="center"/>
            </w:pPr>
            <w:r>
              <w:rPr>
                <w:rFonts w:eastAsiaTheme="minorEastAsia"/>
                <w:color w:themeColor="text1" w:val="000000"/>
                <w:szCs w:val="21"/>
              </w:rPr>
              <w:t>-0.68%</w:t>
            </w:r>
          </w:p>
        </w:tc>
        <w:tc>
          <w:tcPr>
            <w:vAlign w:val="center"/>
          </w:tcPr>
          <w:p>
            <w:pPr>
              <w:jc w:val="center"/>
            </w:pPr>
            <w:r>
              <w:rPr>
                <w:rFonts w:eastAsiaTheme="minorEastAsia"/>
                <w:color w:themeColor="text1" w:val="000000"/>
                <w:szCs w:val="21"/>
              </w:rPr>
              <w:t>0.29%</w:t>
            </w:r>
          </w:p>
        </w:tc>
        <w:tc>
          <w:tcPr>
            <w:vAlign w:val="center"/>
          </w:tcPr>
          <w:p>
            <w:pPr>
              <w:jc w:val="center"/>
            </w:pPr>
            <w:r>
              <w:rPr>
                <w:rFonts w:eastAsiaTheme="minorEastAsia"/>
                <w:color w:themeColor="text1" w:val="000000"/>
                <w:szCs w:val="21"/>
              </w:rPr>
              <w:t>0.52%</w:t>
            </w:r>
          </w:p>
        </w:tc>
        <w:tc>
          <w:tcPr>
            <w:vAlign w:val="center"/>
          </w:tcPr>
          <w:p>
            <w:pPr>
              <w:jc w:val="center"/>
            </w:pPr>
            <w:r>
              <w:rPr>
                <w:rFonts w:eastAsiaTheme="minorEastAsia"/>
                <w:color w:themeColor="text1" w:val="000000"/>
                <w:szCs w:val="21"/>
              </w:rPr>
              <w:t>0.16%</w:t>
            </w:r>
          </w:p>
        </w:tc>
        <w:tc>
          <w:tcPr>
            <w:vAlign w:val="center"/>
          </w:tcPr>
          <w:p>
            <w:pPr>
              <w:jc w:val="center"/>
            </w:pPr>
            <w:r>
              <w:rPr>
                <w:rFonts w:eastAsiaTheme="minorEastAsia"/>
                <w:color w:themeColor="text1" w:val="000000"/>
                <w:szCs w:val="21"/>
              </w:rPr>
              <w:t>-1.20%</w:t>
            </w:r>
          </w:p>
        </w:tc>
        <w:tc>
          <w:tcPr>
            <w:vAlign w:val="center"/>
          </w:tcPr>
          <w:p>
            <w:pPr>
              <w:jc w:val="center"/>
            </w:pPr>
            <w:r>
              <w:rPr>
                <w:rFonts w:eastAsiaTheme="minorEastAsia"/>
                <w:color w:themeColor="text1" w:val="000000"/>
                <w:szCs w:val="21"/>
              </w:rPr>
              <w:t>0.13%</w:t>
            </w:r>
          </w:p>
        </w:tc>
      </w:tr>
      <w:tr>
        <w:tc>
          <w:tcPr>
            <w:vAlign w:val="center"/>
          </w:tcPr>
          <w:p>
            <w:pPr>
              <w:jc w:val="left"/>
            </w:pPr>
            <w:r>
              <w:rPr>
                <w:rFonts w:eastAsiaTheme="minorEastAsia"/>
                <w:color w:themeColor="text1" w:val="000000"/>
                <w:szCs w:val="21"/>
              </w:rPr>
              <w:t>过去六个月</w:t>
            </w:r>
          </w:p>
        </w:tc>
        <w:tc>
          <w:tcPr>
            <w:vAlign w:val="center"/>
          </w:tcPr>
          <w:p>
            <w:pPr>
              <w:jc w:val="center"/>
            </w:pPr>
            <w:r>
              <w:rPr>
                <w:rFonts w:eastAsiaTheme="minorEastAsia"/>
                <w:color w:themeColor="text1" w:val="000000"/>
                <w:szCs w:val="21"/>
              </w:rPr>
              <w:t>1.44%</w:t>
            </w:r>
          </w:p>
        </w:tc>
        <w:tc>
          <w:tcPr>
            <w:vAlign w:val="center"/>
          </w:tcPr>
          <w:p>
            <w:pPr>
              <w:jc w:val="center"/>
            </w:pPr>
            <w:r>
              <w:rPr>
                <w:rFonts w:eastAsiaTheme="minorEastAsia"/>
                <w:color w:themeColor="text1" w:val="000000"/>
                <w:szCs w:val="21"/>
              </w:rPr>
              <w:t>0.25%</w:t>
            </w:r>
          </w:p>
        </w:tc>
        <w:tc>
          <w:tcPr>
            <w:vAlign w:val="center"/>
          </w:tcPr>
          <w:p>
            <w:pPr>
              <w:jc w:val="center"/>
            </w:pPr>
            <w:r>
              <w:rPr>
                <w:rFonts w:eastAsiaTheme="minorEastAsia"/>
                <w:color w:themeColor="text1" w:val="000000"/>
                <w:szCs w:val="21"/>
              </w:rPr>
              <w:t>0.88%</w:t>
            </w:r>
          </w:p>
        </w:tc>
        <w:tc>
          <w:tcPr>
            <w:vAlign w:val="center"/>
          </w:tcPr>
          <w:p>
            <w:pPr>
              <w:jc w:val="center"/>
            </w:pPr>
            <w:r>
              <w:rPr>
                <w:rFonts w:eastAsiaTheme="minorEastAsia"/>
                <w:color w:themeColor="text1" w:val="000000"/>
                <w:szCs w:val="21"/>
              </w:rPr>
              <w:t>0.15%</w:t>
            </w:r>
          </w:p>
        </w:tc>
        <w:tc>
          <w:tcPr>
            <w:vAlign w:val="center"/>
          </w:tcPr>
          <w:p>
            <w:pPr>
              <w:jc w:val="center"/>
            </w:pPr>
            <w:r>
              <w:rPr>
                <w:rFonts w:eastAsiaTheme="minorEastAsia"/>
                <w:color w:themeColor="text1" w:val="000000"/>
                <w:szCs w:val="21"/>
              </w:rPr>
              <w:t>0.56%</w:t>
            </w:r>
          </w:p>
        </w:tc>
        <w:tc>
          <w:tcPr>
            <w:vAlign w:val="center"/>
          </w:tcPr>
          <w:p>
            <w:pPr>
              <w:jc w:val="center"/>
            </w:pPr>
            <w:r>
              <w:rPr>
                <w:rFonts w:eastAsiaTheme="minorEastAsia"/>
                <w:color w:themeColor="text1" w:val="000000"/>
                <w:szCs w:val="21"/>
              </w:rPr>
              <w:t>0.10%</w:t>
            </w:r>
          </w:p>
        </w:tc>
      </w:tr>
      <w:tr>
        <w:tc>
          <w:tcPr>
            <w:vAlign w:val="center"/>
          </w:tcPr>
          <w:p>
            <w:pPr>
              <w:jc w:val="left"/>
            </w:pPr>
            <w:r>
              <w:rPr>
                <w:rFonts w:eastAsiaTheme="minorEastAsia"/>
                <w:color w:themeColor="text1" w:val="000000"/>
                <w:szCs w:val="21"/>
              </w:rPr>
              <w:t>基金成立至今</w:t>
            </w:r>
          </w:p>
        </w:tc>
        <w:tc>
          <w:tcPr>
            <w:vAlign w:val="center"/>
          </w:tcPr>
          <w:p>
            <w:pPr>
              <w:jc w:val="center"/>
            </w:pPr>
            <w:r>
              <w:rPr>
                <w:rFonts w:eastAsiaTheme="minorEastAsia"/>
                <w:color w:themeColor="text1" w:val="000000"/>
                <w:szCs w:val="21"/>
              </w:rPr>
              <w:t>-2.17%</w:t>
            </w:r>
          </w:p>
        </w:tc>
        <w:tc>
          <w:tcPr>
            <w:vAlign w:val="center"/>
          </w:tcPr>
          <w:p>
            <w:pPr>
              <w:jc w:val="center"/>
            </w:pPr>
            <w:r>
              <w:rPr>
                <w:rFonts w:eastAsiaTheme="minorEastAsia"/>
                <w:color w:themeColor="text1" w:val="000000"/>
                <w:szCs w:val="21"/>
              </w:rPr>
              <w:t>0.24%</w:t>
            </w:r>
          </w:p>
        </w:tc>
        <w:tc>
          <w:tcPr>
            <w:vAlign w:val="center"/>
          </w:tcPr>
          <w:p>
            <w:pPr>
              <w:jc w:val="center"/>
            </w:pPr>
            <w:r>
              <w:rPr>
                <w:rFonts w:eastAsiaTheme="minorEastAsia"/>
                <w:color w:themeColor="text1" w:val="000000"/>
                <w:szCs w:val="21"/>
              </w:rPr>
              <w:t>0.86%</w:t>
            </w:r>
          </w:p>
        </w:tc>
        <w:tc>
          <w:tcPr>
            <w:vAlign w:val="center"/>
          </w:tcPr>
          <w:p>
            <w:pPr>
              <w:jc w:val="center"/>
            </w:pPr>
            <w:r>
              <w:rPr>
                <w:rFonts w:eastAsiaTheme="minorEastAsia"/>
                <w:color w:themeColor="text1" w:val="000000"/>
                <w:szCs w:val="21"/>
              </w:rPr>
              <w:t>0.14%</w:t>
            </w:r>
          </w:p>
        </w:tc>
        <w:tc>
          <w:tcPr>
            <w:vAlign w:val="center"/>
          </w:tcPr>
          <w:p>
            <w:pPr>
              <w:jc w:val="center"/>
            </w:pPr>
            <w:r>
              <w:rPr>
                <w:rFonts w:eastAsiaTheme="minorEastAsia"/>
                <w:color w:themeColor="text1" w:val="000000"/>
                <w:szCs w:val="21"/>
              </w:rPr>
              <w:t>-3.03%</w:t>
            </w:r>
          </w:p>
        </w:tc>
        <w:tc>
          <w:tcPr>
            <w:vAlign w:val="center"/>
          </w:tcPr>
          <w:p>
            <w:pPr>
              <w:jc w:val="center"/>
            </w:pPr>
            <w:r>
              <w:rPr>
                <w:rFonts w:eastAsiaTheme="minorEastAsia"/>
                <w:color w:themeColor="text1" w:val="000000"/>
                <w:szCs w:val="21"/>
              </w:rPr>
              <w:t>0.10%</w:t>
            </w:r>
          </w:p>
        </w:tc>
      </w:tr>
    </w:tbl>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1、本基金的业绩比较基准为：中债综合全价指数收益率×90%+沪深 300 指数收益率×10%.</w:t>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2、本基金对业绩比较基准采用每日再平衡的计算方法。</w:t>
      </w:r>
    </w:p>
    <w:p w:rsidP="00C92A7B" w:rsidR="001A59F9"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
      </w:r>
      <w:r w:rsidR="009E0A6A" w:rsidRPr="00B71057">
        <w:rPr>
          <w:rFonts w:eastAsiaTheme="minorEastAsia"/>
          <w:color w:themeColor="text1" w:val="000000"/>
          <w:kern w:val="0"/>
          <w:szCs w:val="21"/>
        </w:rPr>
        <w:t/>
      </w:r>
      <w:r w:rsidRPr="00B71057">
        <w:rPr>
          <w:rFonts w:eastAsiaTheme="minorEastAsia"/>
          <w:color w:themeColor="text1" w:val="000000"/>
          <w:kern w:val="0"/>
          <w:szCs w:val="21"/>
        </w:rPr>
        <w:t>3、本基金于2018年2月2日基金合同生效，截至本报告期末未满一年。</w:t>
      </w:r>
    </w:p>
    <w:p w:rsidP="00C92A7B" w:rsidR="00852116" w:rsidRDefault="00852116" w:rsidRPr="00B71057">
      <w:pPr>
        <w:spacing w:before="312" w:beforeLines="100" w:line="360" w:lineRule="auto"/>
        <w:rPr>
          <w:rFonts w:eastAsiaTheme="minorEastAsia"/>
          <w:b/>
          <w:color w:themeColor="text1" w:val="000000"/>
          <w:kern w:val="0"/>
          <w:szCs w:val="21"/>
        </w:rPr>
      </w:pPr>
      <w:r w:rsidRPr="00B71057">
        <w:rPr>
          <w:rFonts w:eastAsiaTheme="minorEastAsia"/>
          <w:b/>
          <w:color w:themeColor="text1" w:val="000000"/>
          <w:kern w:val="0"/>
          <w:szCs w:val="21"/>
        </w:rPr>
        <w:t>3.2.2</w:t>
      </w:r>
      <w:r w:rsidR="0010002D" w:rsidRPr="00B71057">
        <w:rPr>
          <w:rStyle w:val="af9"/>
          <w:rFonts w:eastAsiaTheme="minorEastAsia"/>
          <w:color w:themeColor="text1" w:val="000000"/>
          <w:szCs w:val="21"/>
          <w:shd w:color="auto" w:fill="FFFFFF" w:val="clear"/>
        </w:rPr>
        <w:t>自基金合同生效以来</w:t>
      </w:r>
      <w:r w:rsidRPr="00B71057">
        <w:rPr>
          <w:rFonts w:eastAsiaTheme="minorEastAsia"/>
          <w:b/>
          <w:color w:themeColor="text1" w:val="000000"/>
          <w:kern w:val="0"/>
          <w:szCs w:val="21"/>
        </w:rPr>
        <w:t>基金份额累计净值增长率变动及其与同期业绩比较基准收益率变动的比较</w:t>
      </w:r>
      <w:r w:rsidRPr="00B71057">
        <w:rPr>
          <w:rFonts w:eastAsiaTheme="minorEastAsia"/>
          <w:b/>
          <w:color w:themeColor="text1" w:val="000000"/>
          <w:kern w:val="0"/>
          <w:szCs w:val="21"/>
        </w:rPr>
        <w:t xml:space="preserve"> </w:t>
      </w:r>
    </w:p>
    <w:p w:rsidP="00AC3179" w:rsidR="00097CBA" w:rsidRDefault="00097CBA"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新华安享惠钰定期开放债券型证券投资基金</w:t>
      </w:r>
    </w:p>
    <w:p w:rsidP="00AC3179" w:rsidR="00852116" w:rsidRDefault="00BD4300" w:rsidRPr="00B71057">
      <w:pPr>
        <w:spacing w:line="360" w:lineRule="auto"/>
        <w:ind w:firstLine="420"/>
        <w:jc w:val="center"/>
        <w:rPr>
          <w:rFonts w:eastAsiaTheme="minorEastAsia"/>
          <w:color w:themeColor="text1" w:val="000000"/>
          <w:kern w:val="0"/>
          <w:szCs w:val="21"/>
        </w:rPr>
      </w:pPr>
      <w:r w:rsidRPr="00B71057">
        <w:rPr>
          <w:rFonts w:eastAsiaTheme="minorEastAsia"/>
          <w:color w:themeColor="text1" w:val="000000"/>
          <w:kern w:val="0"/>
          <w:szCs w:val="21"/>
        </w:rPr>
        <w:lastRenderedPageBreak/>
        <w:t>自基金合同生效以来</w:t>
      </w:r>
      <w:r w:rsidR="00852116" w:rsidRPr="00B71057">
        <w:rPr>
          <w:rFonts w:eastAsiaTheme="minorEastAsia"/>
          <w:color w:themeColor="text1" w:val="000000"/>
          <w:kern w:val="0"/>
          <w:szCs w:val="21"/>
        </w:rPr>
        <w:t>份额累计净值增长率与业绩比较基准收益率的历史走势对比图</w:t>
      </w:r>
    </w:p>
    <w:p w:rsidP="00AC3179" w:rsidR="00852116" w:rsidRDefault="00852116" w:rsidRPr="00B71057">
      <w:pPr>
        <w:pStyle w:val="a6"/>
        <w:snapToGrid w:val="0"/>
        <w:spacing w:line="360" w:lineRule="auto"/>
        <w:ind w:firstLine="480"/>
        <w:jc w:val="center"/>
        <w:rPr>
          <w:rFonts w:ascii="Times New Roman" w:eastAsiaTheme="minorEastAsia" w:hAnsi="Times New Roman"/>
          <w:color w:themeColor="text1" w:val="000000"/>
        </w:rPr>
      </w:pPr>
      <w:r w:rsidRPr="00B71057">
        <w:rPr>
          <w:rFonts w:ascii="Times New Roman" w:eastAsiaTheme="minorEastAsia" w:hAnsi="Times New Roman"/>
          <w:color w:themeColor="text1" w:val="000000"/>
        </w:rPr>
        <w:t>(2018年2月2日</w:t>
      </w:r>
      <w:r w:rsidRPr="00B71057">
        <w:rPr>
          <w:rFonts w:ascii="Times New Roman" w:eastAsiaTheme="minorEastAsia" w:hAnsi="Times New Roman"/>
          <w:color w:themeColor="text1" w:val="000000"/>
        </w:rPr>
        <w:t>至</w:t>
      </w:r>
      <w:r w:rsidRPr="00B71057">
        <w:rPr>
          <w:rFonts w:ascii="Times New Roman" w:eastAsiaTheme="minorEastAsia" w:hAnsi="Times New Roman"/>
          <w:color w:themeColor="text1" w:val="000000"/>
        </w:rPr>
        <w:t>2018年12月31日)</w:t>
      </w:r>
    </w:p>
    <w:p w:rsidP="00AC3179" w:rsidR="00097CBA" w:rsidRDefault="00097CBA" w:rsidRPr="00B71057">
      <w:pPr>
        <w:snapToGrid w:val="0"/>
        <w:spacing w:line="360" w:lineRule="auto"/>
        <w:rPr>
          <w:rFonts w:eastAsiaTheme="minorEastAsia"/>
          <w:b/>
          <w:color w:themeColor="text1" w:val="000000"/>
          <w:szCs w:val="21"/>
        </w:rPr>
      </w:pPr>
      <w:r w:rsidRPr="00B71057">
        <w:rPr>
          <w:rFonts w:eastAsiaTheme="minorEastAsia"/>
          <w:b/>
          <w:color w:themeColor="text1" w:val="000000"/>
          <w:szCs w:val="21"/>
        </w:rPr>
        <w:t>1</w:t>
      </w:r>
      <w:r w:rsidRPr="00B71057">
        <w:rPr>
          <w:rFonts w:eastAsiaTheme="minorEastAsia"/>
          <w:b/>
          <w:color w:themeColor="text1" w:val="000000"/>
          <w:szCs w:val="21"/>
        </w:rPr>
        <w:t>、</w:t>
      </w:r>
      <w:r w:rsidRPr="00B71057">
        <w:rPr>
          <w:rFonts w:eastAsiaTheme="minorEastAsia"/>
          <w:b/>
          <w:color w:themeColor="text1" w:val="000000"/>
          <w:szCs w:val="21"/>
        </w:rPr>
        <w:t>新华安享惠钰定期开放债券A</w:t>
      </w:r>
    </w:p>
    <w:p w:rsidP="00026C9C" w:rsidR="001A59F9" w:rsidRDefault="00B27795" w:rsidRPr="00B71057">
      <w:pPr>
        <w:pStyle w:val="21"/>
        <w:adjustRightInd w:val="0"/>
        <w:snapToGrid w:val="0"/>
        <w:spacing w:line="360" w:lineRule="auto"/>
        <w:ind w:firstLine="0" w:firstLineChars="0"/>
        <w:jc w:val="center"/>
        <w:rPr>
          <w:rFonts w:ascii="Times New Roman" w:eastAsiaTheme="minorEastAsia" w:hAnsi="Times New Roman"/>
          <w:color w:themeColor="text1" w:val="000000"/>
          <w:sz w:val="21"/>
          <w:szCs w:val="21"/>
        </w:rPr>
      </w:pPr>
      <w:r w:rsidRPr="00B71057">
        <w:rPr>
          <w:rFonts w:ascii="Times New Roman" w:eastAsiaTheme="minorEastAsia" w:hAnsi="Times New Roman"/>
          <w:noProof/>
          <w:color w:themeColor="text1" w:val="000000"/>
          <w:sz w:val="21"/>
          <w:szCs w:val="21"/>
        </w:rPr>
        <w:drawing>
          <wp:inline distB="0" distL="0" distR="0" distT="0" wp14:anchorId="41D3C7AD" wp14:editId="74A00F23">
            <wp:extent cx="5759450" cy="3372734"/>
            <wp:effectExtent b="0" l="0" r="0" t="0"/>
            <wp:docPr descr="C:\Users\bonnieliu\Desktop\走势图柱状图\走势图1.jpg"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走势图1.jpg" id="0" name="Picture 1"/>
                    <pic:cNvPicPr>
                      <a:picLocks noChangeArrowheads="1"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P="00AC3179" w:rsidR="001A59F9" w:rsidRDefault="001A59F9" w:rsidRPr="00B71057">
      <w:pPr>
        <w:snapToGrid w:val="0"/>
        <w:spacing w:line="360" w:lineRule="auto"/>
        <w:rPr>
          <w:rFonts w:eastAsiaTheme="minorEastAsia"/>
          <w:b/>
          <w:color w:themeColor="text1" w:val="000000"/>
          <w:szCs w:val="21"/>
        </w:rPr>
      </w:pPr>
      <w:r w:rsidRPr="00B71057">
        <w:rPr>
          <w:rFonts w:eastAsiaTheme="minorEastAsia"/>
          <w:b/>
          <w:color w:themeColor="text1" w:val="000000"/>
          <w:szCs w:val="21"/>
        </w:rPr>
        <w:t>2</w:t>
      </w:r>
      <w:r w:rsidRPr="00B71057">
        <w:rPr>
          <w:rFonts w:eastAsiaTheme="minorEastAsia"/>
          <w:b/>
          <w:color w:themeColor="text1" w:val="000000"/>
          <w:szCs w:val="21"/>
        </w:rPr>
        <w:t>、</w:t>
      </w:r>
      <w:r w:rsidRPr="00B71057">
        <w:rPr>
          <w:rFonts w:eastAsiaTheme="minorEastAsia"/>
          <w:b/>
          <w:color w:themeColor="text1" w:val="000000"/>
          <w:szCs w:val="21"/>
        </w:rPr>
        <w:t/>
      </w:r>
      <w:r w:rsidR="00465368" w:rsidRPr="00B71057">
        <w:rPr>
          <w:rFonts w:eastAsiaTheme="minorEastAsia"/>
          <w:b/>
          <w:color w:themeColor="text1" w:val="000000"/>
          <w:szCs w:val="21"/>
        </w:rPr>
        <w:t/>
      </w:r>
      <w:r w:rsidRPr="00B71057">
        <w:rPr>
          <w:rFonts w:eastAsiaTheme="minorEastAsia"/>
          <w:b/>
          <w:color w:themeColor="text1" w:val="000000"/>
          <w:szCs w:val="21"/>
        </w:rPr>
        <w:t>新华安享惠钰定期开放债券C</w:t>
      </w:r>
    </w:p>
    <w:p w:rsidP="00026C9C" w:rsidR="001A59F9" w:rsidRDefault="00B27795" w:rsidRPr="00B71057">
      <w:pPr>
        <w:pStyle w:val="21"/>
        <w:adjustRightInd w:val="0"/>
        <w:snapToGrid w:val="0"/>
        <w:spacing w:line="360" w:lineRule="auto"/>
        <w:ind w:firstLine="0" w:firstLineChars="0"/>
        <w:jc w:val="center"/>
        <w:rPr>
          <w:rFonts w:ascii="Times New Roman" w:eastAsiaTheme="minorEastAsia" w:hAnsi="Times New Roman"/>
          <w:color w:themeColor="text1" w:val="000000"/>
          <w:sz w:val="21"/>
          <w:szCs w:val="21"/>
        </w:rPr>
      </w:pPr>
      <w:r w:rsidRPr="00B71057">
        <w:rPr>
          <w:rFonts w:ascii="Times New Roman" w:eastAsiaTheme="minorEastAsia" w:hAnsi="Times New Roman"/>
          <w:noProof/>
          <w:color w:themeColor="text1" w:val="000000"/>
          <w:sz w:val="21"/>
          <w:szCs w:val="21"/>
        </w:rPr>
        <w:drawing>
          <wp:inline distB="0" distL="0" distR="0" distT="0" wp14:anchorId="3B71A302" wp14:editId="11874FC8">
            <wp:extent cx="5759450" cy="3372734"/>
            <wp:effectExtent b="0" l="0" r="0" t="0"/>
            <wp:docPr descr="C:\Users\bonnieliu\Desktop\走势图柱状图\走势图2.jpg"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走势图2.jpg" id="0" name="Picture 2"/>
                    <pic:cNvPicPr>
                      <a:picLocks noChangeArrowheads="1"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注：1、本基金于2018年2月2日基金合同生效，截至本报告期末未满一年。</w:t>
      </w:r>
    </w:p>
    <w:p w:rsidP="00C92A7B" w:rsidR="001A59F9" w:rsidRDefault="00C6464F"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
      </w:r>
      <w:r w:rsidR="00592B3C" w:rsidRPr="00B71057">
        <w:rPr>
          <w:rFonts w:eastAsiaTheme="minorEastAsia"/>
          <w:color w:themeColor="text1" w:val="000000"/>
          <w:kern w:val="0"/>
          <w:szCs w:val="21"/>
        </w:rPr>
        <w:t/>
      </w:r>
      <w:r w:rsidRPr="00B71057">
        <w:rPr>
          <w:rFonts w:eastAsiaTheme="minorEastAsia"/>
          <w:color w:themeColor="text1" w:val="000000"/>
          <w:kern w:val="0"/>
          <w:szCs w:val="21"/>
        </w:rPr>
        <w:t/>
      </w:r>
      <w:r w:rsidR="001A59F9" w:rsidRPr="00B71057">
        <w:rPr>
          <w:rFonts w:eastAsiaTheme="minorEastAsia"/>
          <w:color w:themeColor="text1" w:val="000000"/>
          <w:kern w:val="0"/>
          <w:szCs w:val="21"/>
        </w:rPr>
        <w:t>2、报告期末本基金的各项投资比例符合基金合同的有关规定。</w:t>
      </w:r>
    </w:p>
    <w:p w:rsidP="00C92A7B" w:rsidR="001A59F9" w:rsidRDefault="001A59F9" w:rsidRPr="00B71057">
      <w:pPr>
        <w:spacing w:before="312" w:beforeLines="100" w:line="360" w:lineRule="auto"/>
        <w:rPr>
          <w:rFonts w:eastAsiaTheme="minorEastAsia"/>
          <w:b/>
          <w:color w:themeColor="text1" w:val="000000"/>
          <w:szCs w:val="21"/>
        </w:rPr>
      </w:pPr>
      <w:r w:rsidRPr="00B71057">
        <w:rPr>
          <w:rFonts w:eastAsiaTheme="minorEastAsia"/>
          <w:b/>
          <w:color w:themeColor="text1" w:val="000000"/>
          <w:szCs w:val="21"/>
        </w:rPr>
        <w:lastRenderedPageBreak/>
        <w:t xml:space="preserve">3.2.3 </w:t>
      </w:r>
      <w:r w:rsidR="00A225D8" w:rsidRPr="00B71057">
        <w:rPr>
          <w:rFonts w:eastAsiaTheme="minorEastAsia"/>
          <w:b/>
          <w:color w:themeColor="text1" w:val="000000"/>
          <w:szCs w:val="21"/>
        </w:rPr>
        <w:t>自基金合同生效以来</w:t>
      </w:r>
      <w:r w:rsidRPr="00B71057">
        <w:rPr>
          <w:rFonts w:eastAsiaTheme="minorEastAsia"/>
          <w:b/>
          <w:color w:themeColor="text1" w:val="000000"/>
          <w:szCs w:val="21"/>
        </w:rPr>
        <w:t>基金每年净值增长率及其与同期业绩比较基准收益率的比较</w:t>
      </w:r>
    </w:p>
    <w:p w:rsidP="00AC3179" w:rsidR="00097CBA" w:rsidRDefault="00097CBA"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新华安享惠钰定期开放债券型证券投资基金</w:t>
      </w:r>
    </w:p>
    <w:p w:rsidP="00AC3179" w:rsidR="001A59F9" w:rsidRDefault="00A225D8" w:rsidRPr="00B71057">
      <w:pPr>
        <w:adjustRightInd w:val="0"/>
        <w:snapToGrid w:val="0"/>
        <w:spacing w:line="360" w:lineRule="auto"/>
        <w:ind w:firstLine="210" w:firstLineChars="100"/>
        <w:jc w:val="center"/>
        <w:rPr>
          <w:rFonts w:eastAsiaTheme="minorEastAsia"/>
          <w:color w:themeColor="text1" w:val="000000"/>
          <w:szCs w:val="21"/>
        </w:rPr>
      </w:pPr>
      <w:r w:rsidRPr="00B71057">
        <w:rPr>
          <w:rFonts w:eastAsiaTheme="minorEastAsia"/>
          <w:color w:themeColor="text1" w:val="000000"/>
          <w:szCs w:val="21"/>
        </w:rPr>
        <w:t>自基金合同生效以来</w:t>
      </w:r>
      <w:r w:rsidR="00A82B1D" w:rsidRPr="00B71057">
        <w:rPr>
          <w:rFonts w:eastAsiaTheme="minorEastAsia"/>
          <w:color w:themeColor="text1" w:val="000000"/>
          <w:szCs w:val="21"/>
        </w:rPr>
        <w:t>净值增长率与业绩比较基准收益率的柱形对比图</w:t>
      </w:r>
    </w:p>
    <w:p w:rsidP="00AC3179" w:rsidR="00097CBA" w:rsidRDefault="00444936" w:rsidRPr="00B71057">
      <w:pPr>
        <w:snapToGrid w:val="0"/>
        <w:spacing w:line="360" w:lineRule="auto"/>
        <w:rPr>
          <w:rFonts w:eastAsiaTheme="minorEastAsia"/>
          <w:b/>
          <w:color w:themeColor="text1" w:val="000000"/>
          <w:szCs w:val="21"/>
        </w:rPr>
      </w:pPr>
      <w:r w:rsidRPr="00B71057">
        <w:rPr>
          <w:rFonts w:eastAsiaTheme="minorEastAsia"/>
          <w:b/>
          <w:color w:themeColor="text1" w:val="000000"/>
          <w:szCs w:val="21"/>
        </w:rPr>
        <w:t>1</w:t>
      </w:r>
      <w:r w:rsidRPr="00B71057">
        <w:rPr>
          <w:rFonts w:eastAsiaTheme="minorEastAsia"/>
          <w:b/>
          <w:color w:themeColor="text1" w:val="000000"/>
          <w:szCs w:val="21"/>
        </w:rPr>
        <w:t>、</w:t>
      </w:r>
      <w:r w:rsidR="00097CBA" w:rsidRPr="00B71057">
        <w:rPr>
          <w:rFonts w:eastAsiaTheme="minorEastAsia"/>
          <w:b/>
          <w:color w:themeColor="text1" w:val="000000"/>
          <w:szCs w:val="21"/>
        </w:rPr>
        <w:t>新华安享惠钰定期开放债券A</w:t>
      </w:r>
    </w:p>
    <w:p w:rsidP="00B27795" w:rsidR="00143C09" w:rsidRDefault="00B27795" w:rsidRPr="00B71057">
      <w:pPr>
        <w:adjustRightInd w:val="0"/>
        <w:snapToGrid w:val="0"/>
        <w:spacing w:line="360" w:lineRule="auto"/>
        <w:ind w:firstLine="210" w:firstLineChars="100"/>
        <w:jc w:val="center"/>
        <w:rPr>
          <w:rFonts w:eastAsiaTheme="minorEastAsia"/>
          <w:color w:themeColor="text1" w:val="000000"/>
          <w:szCs w:val="21"/>
        </w:rPr>
      </w:pPr>
      <w:r w:rsidRPr="00B71057">
        <w:rPr>
          <w:rFonts w:eastAsiaTheme="minorEastAsia"/>
          <w:noProof/>
          <w:color w:themeColor="text1" w:val="000000"/>
          <w:szCs w:val="21"/>
        </w:rPr>
        <w:drawing>
          <wp:inline distB="0" distL="0" distR="0" distT="0" wp14:anchorId="0F0C6D26" wp14:editId="6AC3F4D6">
            <wp:extent cx="5759450" cy="3372734"/>
            <wp:effectExtent b="0" l="0" r="0" t="0"/>
            <wp:docPr descr="C:\Users\bonnieliu\Desktop\走势图柱状图\柱状图1.jpg"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柱状图1.jpg" id="0" name="Picture 3"/>
                    <pic:cNvPicPr>
                      <a:picLocks noChangeArrowheads="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P="00D877B1" w:rsidR="001A59F9" w:rsidRDefault="001A59F9" w:rsidRPr="00B71057">
      <w:pPr>
        <w:snapToGrid w:val="0"/>
        <w:spacing w:line="360" w:lineRule="auto"/>
        <w:rPr>
          <w:rFonts w:eastAsiaTheme="minorEastAsia"/>
          <w:b/>
          <w:color w:themeColor="text1" w:val="000000"/>
          <w:szCs w:val="21"/>
        </w:rPr>
      </w:pPr>
      <w:r w:rsidRPr="00B71057">
        <w:rPr>
          <w:rFonts w:eastAsiaTheme="minorEastAsia"/>
          <w:b/>
          <w:color w:themeColor="text1" w:val="000000"/>
          <w:szCs w:val="21"/>
        </w:rPr>
        <w:t>2</w:t>
      </w:r>
      <w:r w:rsidRPr="00B71057">
        <w:rPr>
          <w:rFonts w:eastAsiaTheme="minorEastAsia"/>
          <w:b/>
          <w:color w:themeColor="text1" w:val="000000"/>
          <w:szCs w:val="21"/>
        </w:rPr>
        <w:t>、</w:t>
      </w:r>
      <w:r w:rsidRPr="00B71057">
        <w:rPr>
          <w:rFonts w:eastAsiaTheme="minorEastAsia"/>
          <w:b/>
          <w:color w:themeColor="text1" w:val="000000"/>
          <w:szCs w:val="21"/>
        </w:rPr>
        <w:t/>
      </w:r>
      <w:r w:rsidR="00465368" w:rsidRPr="00B71057">
        <w:rPr>
          <w:rFonts w:eastAsiaTheme="minorEastAsia"/>
          <w:b/>
          <w:color w:themeColor="text1" w:val="000000"/>
          <w:szCs w:val="21"/>
        </w:rPr>
        <w:t/>
      </w:r>
      <w:r w:rsidRPr="00B71057">
        <w:rPr>
          <w:rFonts w:eastAsiaTheme="minorEastAsia"/>
          <w:b/>
          <w:color w:themeColor="text1" w:val="000000"/>
          <w:szCs w:val="21"/>
        </w:rPr>
        <w:t>新华安享惠钰定期开放债券C</w:t>
      </w:r>
    </w:p>
    <w:p w:rsidP="00B27795" w:rsidR="001A59F9" w:rsidRDefault="00B27795" w:rsidRPr="00B71057">
      <w:pPr>
        <w:adjustRightInd w:val="0"/>
        <w:snapToGrid w:val="0"/>
        <w:spacing w:line="360" w:lineRule="auto"/>
        <w:ind w:firstLine="210" w:firstLineChars="100"/>
        <w:jc w:val="center"/>
        <w:rPr>
          <w:rFonts w:eastAsiaTheme="minorEastAsia"/>
          <w:color w:themeColor="text1" w:val="000000"/>
          <w:szCs w:val="21"/>
        </w:rPr>
      </w:pPr>
      <w:r w:rsidRPr="00B71057">
        <w:rPr>
          <w:rFonts w:eastAsiaTheme="minorEastAsia"/>
          <w:noProof/>
          <w:color w:themeColor="text1" w:val="000000"/>
          <w:szCs w:val="21"/>
        </w:rPr>
        <w:drawing>
          <wp:inline distB="0" distL="0" distR="0" distT="0" wp14:anchorId="7A94B21F" wp14:editId="35823D2F">
            <wp:extent cx="5759450" cy="3372734"/>
            <wp:effectExtent b="0" l="0" r="0" t="0"/>
            <wp:docPr descr="C:\Users\bonnieliu\Desktop\走势图柱状图\柱状图2.jpg"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Users\bonnieliu\Desktop\走势图柱状图\柱状图2.jpg" id="0" name="Picture 4"/>
                    <pic:cNvPicPr>
                      <a:picLocks noChangeArrowheads="1"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P="00C92A7B" w:rsidR="002E63B8"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lastRenderedPageBreak/>
        <w:t/>
      </w:r>
      <w:r w:rsidR="00592B3C" w:rsidRPr="00B71057">
        <w:rPr>
          <w:rFonts w:eastAsiaTheme="minorEastAsia"/>
          <w:color w:themeColor="text1" w:val="000000"/>
          <w:kern w:val="0"/>
          <w:szCs w:val="21"/>
        </w:rPr>
        <w:t/>
      </w:r>
      <w:r w:rsidRPr="00B71057">
        <w:rPr>
          <w:rFonts w:eastAsiaTheme="minorEastAsia"/>
          <w:color w:themeColor="text1" w:val="000000"/>
          <w:kern w:val="0"/>
          <w:szCs w:val="21"/>
        </w:rPr>
        <w:t>注：本基金于2018年2月2日基金合同生效，合同生效当年按实际存续期计算，不按整个自然年度进行折算。</w:t>
      </w:r>
    </w:p>
    <w:p w:rsidP="009A2B2E" w:rsidR="009A2B2E" w:rsidRDefault="009A2B2E" w:rsidRPr="00B71057">
      <w:pPr>
        <w:tabs>
          <w:tab w:pos="1800" w:val="left"/>
        </w:tabs>
        <w:spacing w:line="360" w:lineRule="auto"/>
        <w:rPr>
          <w:rFonts w:eastAsiaTheme="minorEastAsia"/>
          <w:color w:themeColor="text1" w:val="000000"/>
          <w:szCs w:val="21"/>
        </w:rPr>
      </w:pPr>
    </w:p>
    <w:p w:rsidP="00C92A7B" w:rsidR="000B2C76" w:rsidRDefault="000B2C76" w:rsidRPr="00B71057">
      <w:pPr>
        <w:pStyle w:val="20"/>
        <w:spacing w:after="0" w:before="312" w:beforeLines="100"/>
        <w:rPr>
          <w:rFonts w:ascii="Times New Roman" w:eastAsiaTheme="minorEastAsia" w:hAnsi="Times New Roman"/>
          <w:color w:themeColor="text1" w:val="000000"/>
          <w:sz w:val="21"/>
          <w:szCs w:val="21"/>
        </w:rPr>
      </w:pPr>
      <w:bookmarkStart w:id="21" w:name="_Toc249760033"/>
      <w:bookmarkStart w:id="22" w:name="_Toc361324853"/>
      <w:r w:rsidRPr="00B71057">
        <w:rPr>
          <w:rFonts w:ascii="Times New Roman" w:eastAsiaTheme="minorEastAsia" w:hAnsi="Times New Roman"/>
          <w:bCs w:val="0"/>
          <w:color w:themeColor="text1" w:val="000000"/>
          <w:kern w:val="0"/>
          <w:sz w:val="21"/>
          <w:szCs w:val="21"/>
        </w:rPr>
        <w:t/>
      </w:r>
      <w:r w:rsidRPr="00B71057">
        <w:rPr>
          <w:rFonts w:ascii="Times New Roman" w:eastAsiaTheme="minorEastAsia" w:hAnsi="Times New Roman"/>
          <w:color w:themeColor="text1" w:val="000000"/>
          <w:sz w:val="21"/>
          <w:szCs w:val="21"/>
        </w:rPr>
        <w:t xml:space="preserve">3.3 </w:t>
      </w:r>
      <w:r w:rsidRPr="00B71057">
        <w:rPr>
          <w:rFonts w:ascii="Times New Roman" w:eastAsiaTheme="minorEastAsia" w:hAnsi="Times New Roman"/>
          <w:color w:themeColor="text1" w:val="000000"/>
          <w:sz w:val="21"/>
          <w:szCs w:val="21"/>
        </w:rPr>
        <w:t>过去三年基金的利润分配情况</w:t>
      </w:r>
      <w:bookmarkEnd w:id="21"/>
      <w:bookmarkEnd w:id="22"/>
    </w:p>
    <w:p w:rsidP="00C92A7B" w:rsidR="000B2C76" w:rsidRDefault="000B2C76"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本基金于2018年2月2日基金合同生效，报告截止2018年12月31日未满一年。本报告期内，本基金未进行利润分配。</w:t>
      </w:r>
    </w:p>
    <w:p w:rsidP="001D2FAD" w:rsidR="001A59F9" w:rsidRDefault="001A59F9"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23" w:name="_Toc225498254"/>
      <w:bookmarkStart w:id="24" w:name="_Toc361324854"/>
      <w:r w:rsidRPr="00B71057">
        <w:rPr>
          <w:rFonts w:eastAsiaTheme="minorEastAsia"/>
          <w:b/>
          <w:bCs/>
          <w:color w:themeColor="text1" w:val="000000"/>
          <w:sz w:val="21"/>
          <w:szCs w:val="21"/>
          <w:lang w:val="en-US"/>
        </w:rPr>
        <w:lastRenderedPageBreak/>
        <w:t xml:space="preserve">§4  </w:t>
      </w:r>
      <w:r w:rsidRPr="00B71057">
        <w:rPr>
          <w:rFonts w:eastAsiaTheme="minorEastAsia"/>
          <w:b/>
          <w:bCs/>
          <w:color w:themeColor="text1" w:val="000000"/>
          <w:sz w:val="21"/>
          <w:szCs w:val="21"/>
          <w:lang w:val="en-US"/>
        </w:rPr>
        <w:t>管理人报告</w:t>
      </w:r>
      <w:bookmarkEnd w:id="23"/>
      <w:bookmarkEnd w:id="24"/>
    </w:p>
    <w:p w:rsidP="00AC3179"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25" w:name="_Toc361324855"/>
      <w:r w:rsidRPr="00B71057">
        <w:rPr>
          <w:rFonts w:ascii="Times New Roman" w:eastAsiaTheme="minorEastAsia" w:hAnsi="Times New Roman"/>
          <w:color w:themeColor="text1" w:val="000000"/>
          <w:kern w:val="0"/>
          <w:sz w:val="21"/>
          <w:szCs w:val="21"/>
        </w:rPr>
        <w:t xml:space="preserve">4.1 </w:t>
      </w:r>
      <w:r w:rsidRPr="00B71057">
        <w:rPr>
          <w:rFonts w:ascii="Times New Roman" w:eastAsiaTheme="minorEastAsia" w:hAnsi="Times New Roman"/>
          <w:color w:themeColor="text1" w:val="000000"/>
          <w:kern w:val="0"/>
          <w:sz w:val="21"/>
          <w:szCs w:val="21"/>
        </w:rPr>
        <w:t>基金管理人及基金经理情况</w:t>
      </w:r>
      <w:bookmarkEnd w:id="25"/>
    </w:p>
    <w:p w:rsidP="00AC3179"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color w:themeColor="text1" w:val="000000"/>
          <w:kern w:val="0"/>
          <w:szCs w:val="21"/>
        </w:rPr>
        <w:t>4.1.1</w:t>
      </w:r>
      <w:r w:rsidR="0067271C"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基金管理人及其管理基金的经验</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新华基金管理股份有限公司经中国证券监督管理委员会批复，于2004年12月9日注册成立。注册地为重庆市，是我国西部首家基金管理公司。</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截至2018年12月31日，新华基金管理股份有限公司旗下管理着四十五只开放式基金，即新华优选分红混合型证券投资基金、新华优选成长混合型证券投资基金、新华泛资源优势灵活配置混合型证券投资基金、新华钻石品质企业混合型证券投资基金、新华行业周期轮换混合型证券投资基金、新华中小市值优选混合型证券投资基金、新华灵活主题混合型证券投资基金、新华优选消费混合型证券投资基金、新华纯债添利债券型发起式证券投资基金、新华行业轮换灵活配置混合型证券投资基金、新华趋势领航混合型证券投资基金、新华安享惠金定期开放债券型证券投资基金、新华壹诺宝货币市场基金、新华增怡债券型证券投资基金、新华惠鑫债券型证券投资基金（LOF）、新华鑫益灵活配置混合型证券投资基金、新华鑫利灵活配置混合型证券投资基金、新华精选低波动股票型证券投资基金、新华中证环保产业指数分级证券投资基金、新华活期添利货币市场基金、新华增盈回报债券型证券投资基金、新华策略精选股票型证券投资基金、新华万银多元策略灵活配置混合型证券投资基金、新华稳健回报灵活配置混合型发起式证券投资基金、新华战略新兴产业灵活配置混合型证券投资基金、新华鑫回报混合型证券投资基金、新华积极价值灵活配置混合型证券投资基金、新华科技创新主题灵活配置混合型证券投资基金、新华增强债券型证券投资基金、新华鑫动力灵活配置混合型证券投资基金、新华丰盈回报债券型证券投资基金、新华双利债券型证券投资基金、新华恒稳添利债券型证券投资基金、新华丰利债券型证券投资基金、新华鑫弘灵活配置混合型证券投资基金、新华华瑞灵活配置混合型证券投资基金、新华外延增长主题灵活配置混合型证券投资基、新华红利回报混合型证券投资基金、新华高端制造灵活配置混合型证券投资基金、新华鑫泰灵活配置混合型证券投资基金、新华恒益量化灵活配置混合型证券投资基金、新华安享惠钰定期开放债券型证券投资基金、新华安享多裕定期开放灵活配置混合型证券投资基金、新华MSCI中国A股国际交易型开放式指数证券投资基金、新华鑫日享中短债债券型证券投资基金。</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color w:themeColor="text1" w:val="000000"/>
          <w:kern w:val="0"/>
          <w:szCs w:val="21"/>
        </w:rPr>
        <w:t>4.1.2</w:t>
      </w:r>
      <w:r w:rsidR="0067271C"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基金经理（或基金经理小组）及基金经理助理的简介</w:t>
      </w:r>
    </w:p>
    <w:tbl>
      <w:tblPr>
        <w:tblW w:type="dxa" w:w="954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1090"/>
        <w:gridCol w:w="1500"/>
        <w:gridCol w:w="1190"/>
        <w:gridCol w:w="1260"/>
        <w:gridCol w:w="1260"/>
        <w:gridCol w:w="3240"/>
      </w:tblGrid>
      <w:tr w:rsidR="00B71057" w:rsidRPr="00B71057" w:rsidTr="00C92A7B">
        <w:tc>
          <w:tcPr>
            <w:tcW w:type="dxa" w:w="1090"/>
            <w:vMerge w:val="restart"/>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姓名</w:t>
            </w:r>
          </w:p>
        </w:tc>
        <w:tc>
          <w:tcPr>
            <w:tcW w:type="dxa" w:w="1500"/>
            <w:vMerge w:val="restart"/>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职务</w:t>
            </w:r>
          </w:p>
        </w:tc>
        <w:tc>
          <w:tcPr>
            <w:tcW w:type="dxa" w:w="2450"/>
            <w:gridSpan w:val="2"/>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任本基金的基金经理</w:t>
            </w:r>
            <w:r w:rsidR="00F07263" w:rsidRPr="00B71057">
              <w:rPr>
                <w:rFonts w:eastAsiaTheme="minorEastAsia"/>
                <w:color w:themeColor="text1" w:val="000000"/>
                <w:szCs w:val="21"/>
              </w:rPr>
              <w:t>（助理）</w:t>
            </w:r>
            <w:r w:rsidRPr="00B71057">
              <w:rPr>
                <w:rFonts w:eastAsiaTheme="minorEastAsia"/>
                <w:color w:themeColor="text1" w:val="000000"/>
                <w:szCs w:val="21"/>
              </w:rPr>
              <w:t>期限</w:t>
            </w:r>
          </w:p>
        </w:tc>
        <w:tc>
          <w:tcPr>
            <w:tcW w:type="dxa" w:w="1260"/>
            <w:vMerge w:val="restart"/>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证券从业年限</w:t>
            </w:r>
          </w:p>
        </w:tc>
        <w:tc>
          <w:tcPr>
            <w:tcW w:type="dxa" w:w="3240"/>
            <w:vMerge w:val="restart"/>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说明</w:t>
            </w:r>
          </w:p>
        </w:tc>
      </w:tr>
      <w:tr w:rsidR="00B71057" w:rsidRPr="00B71057" w:rsidTr="00C92A7B">
        <w:tc>
          <w:tcPr>
            <w:tcW w:type="dxa" w:w="1090"/>
            <w:vMerge/>
            <w:vAlign w:val="center"/>
          </w:tcPr>
          <w:p w:rsidP="00026C9C" w:rsidR="001A59F9" w:rsidRDefault="001A59F9" w:rsidRPr="00B71057">
            <w:pPr>
              <w:widowControl/>
              <w:spacing w:line="360" w:lineRule="auto"/>
              <w:jc w:val="left"/>
              <w:rPr>
                <w:rFonts w:eastAsiaTheme="minorEastAsia"/>
                <w:color w:themeColor="text1" w:val="000000"/>
                <w:szCs w:val="21"/>
              </w:rPr>
            </w:pPr>
          </w:p>
        </w:tc>
        <w:tc>
          <w:tcPr>
            <w:tcW w:type="dxa" w:w="1500"/>
            <w:vMerge/>
            <w:vAlign w:val="center"/>
          </w:tcPr>
          <w:p w:rsidP="00026C9C" w:rsidR="001A59F9" w:rsidRDefault="001A59F9" w:rsidRPr="00B71057">
            <w:pPr>
              <w:widowControl/>
              <w:spacing w:line="360" w:lineRule="auto"/>
              <w:jc w:val="left"/>
              <w:rPr>
                <w:rFonts w:eastAsiaTheme="minorEastAsia"/>
                <w:color w:themeColor="text1" w:val="000000"/>
                <w:szCs w:val="21"/>
              </w:rPr>
            </w:pPr>
          </w:p>
        </w:tc>
        <w:tc>
          <w:tcPr>
            <w:tcW w:type="dxa" w:w="119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任职日期</w:t>
            </w:r>
          </w:p>
        </w:tc>
        <w:tc>
          <w:tcPr>
            <w:tcW w:type="dxa" w:w="126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离任日期</w:t>
            </w:r>
          </w:p>
        </w:tc>
        <w:tc>
          <w:tcPr>
            <w:tcW w:type="dxa" w:w="1260"/>
            <w:vMerge/>
            <w:vAlign w:val="center"/>
          </w:tcPr>
          <w:p w:rsidP="00026C9C" w:rsidR="001A59F9" w:rsidRDefault="001A59F9" w:rsidRPr="00B71057">
            <w:pPr>
              <w:widowControl/>
              <w:spacing w:line="360" w:lineRule="auto"/>
              <w:jc w:val="left"/>
              <w:rPr>
                <w:rFonts w:eastAsiaTheme="minorEastAsia"/>
                <w:color w:themeColor="text1" w:val="000000"/>
                <w:szCs w:val="21"/>
              </w:rPr>
            </w:pPr>
          </w:p>
        </w:tc>
        <w:tc>
          <w:tcPr>
            <w:tcW w:type="dxa" w:w="3240"/>
            <w:vMerge/>
            <w:vAlign w:val="center"/>
          </w:tcPr>
          <w:p w:rsidP="00026C9C" w:rsidR="001A59F9" w:rsidRDefault="001A59F9" w:rsidRPr="00B71057">
            <w:pPr>
              <w:widowControl/>
              <w:spacing w:line="360" w:lineRule="auto"/>
              <w:jc w:val="left"/>
              <w:rPr>
                <w:rFonts w:eastAsiaTheme="minorEastAsia"/>
                <w:color w:themeColor="text1" w:val="000000"/>
                <w:szCs w:val="21"/>
              </w:rPr>
            </w:pPr>
          </w:p>
        </w:tc>
      </w:tr>
      <w:tr>
        <w:tc>
          <w:tcPr>
            <w:vAlign w:val="center"/>
          </w:tcPr>
          <w:p>
            <w:pPr>
              <w:jc w:val="center"/>
            </w:pPr>
            <w:r>
              <w:rPr>
                <w:rFonts w:eastAsiaTheme="minorEastAsia"/>
                <w:color w:themeColor="text1" w:val="000000"/>
                <w:szCs w:val="21"/>
              </w:rPr>
              <w:t>于泽雨</w:t>
            </w:r>
          </w:p>
        </w:tc>
        <w:tc>
          <w:tcPr>
            <w:vAlign w:val="center"/>
          </w:tcPr>
          <w:p>
            <w:pPr>
              <w:jc w:val="center"/>
            </w:pPr>
            <w:r>
              <w:rPr>
                <w:rFonts w:eastAsiaTheme="minorEastAsia"/>
                <w:color w:themeColor="text1" w:val="000000"/>
                <w:szCs w:val="21"/>
              </w:rPr>
              <w:t>本基金基金经理，新华基金管理股份有限公司投资总监助理、新华纯债添利债券型发起式证券投资基金基金经理、新华安享惠金定期开放债券型证券投资基金基金经理、新华增怡债券型证券投资基金基金经理、新华惠鑫债券型证券投资基金(LOF)基金经理、新华恒稳添利债券型证券投资基金基金经理、新华增强债券型证券投资基金基金经理、新华双利债券型证券投资基金基金经理。</w:t>
            </w:r>
          </w:p>
        </w:tc>
        <w:tc>
          <w:tcPr>
            <w:vAlign w:val="center"/>
          </w:tcPr>
          <w:p>
            <w:pPr>
              <w:jc w:val="center"/>
            </w:pPr>
            <w:r>
              <w:rPr>
                <w:rFonts w:eastAsiaTheme="minorEastAsia"/>
                <w:color w:themeColor="text1" w:val="000000"/>
                <w:szCs w:val="21"/>
              </w:rPr>
              <w:t>2018-02-02</w:t>
            </w:r>
          </w:p>
        </w:tc>
        <w:tc>
          <w:tcPr>
            <w:vAlign w:val="center"/>
          </w:tcPr>
          <w:p>
            <w:pPr>
              <w:jc w:val="center"/>
            </w:pPr>
            <w:r>
              <w:rPr>
                <w:rFonts w:eastAsiaTheme="minorEastAsia"/>
                <w:color w:themeColor="text1" w:val="000000"/>
                <w:szCs w:val="21"/>
              </w:rPr>
              <w:t>-</w:t>
            </w:r>
          </w:p>
        </w:tc>
        <w:tc>
          <w:tcPr>
            <w:vAlign w:val="center"/>
          </w:tcPr>
          <w:p>
            <w:pPr>
              <w:jc w:val="center"/>
            </w:pPr>
            <w:r>
              <w:rPr>
                <w:rFonts w:eastAsiaTheme="minorEastAsia"/>
                <w:color w:themeColor="text1" w:val="000000"/>
                <w:szCs w:val="21"/>
              </w:rPr>
              <w:t>10</w:t>
            </w:r>
          </w:p>
        </w:tc>
        <w:tc>
          <w:tcPr>
            <w:vAlign w:val="center"/>
          </w:tcPr>
          <w:p>
            <w:pPr>
              <w:jc w:val="both"/>
            </w:pPr>
            <w:r>
              <w:rPr>
                <w:rFonts w:eastAsiaTheme="minorEastAsia"/>
                <w:color w:themeColor="text1" w:val="000000"/>
                <w:szCs w:val="21"/>
              </w:rPr>
              <w:t>经济学博士，历任华安财产保险公司债券研究员、合众人寿保险公司债券投资经理。</w:t>
            </w:r>
          </w:p>
        </w:tc>
      </w:tr>
      <w:tr>
        <w:tc>
          <w:tcPr>
            <w:vAlign w:val="center"/>
          </w:tcPr>
          <w:p>
            <w:pPr>
              <w:jc w:val="center"/>
            </w:pPr>
            <w:r>
              <w:rPr>
                <w:rFonts w:eastAsiaTheme="minorEastAsia"/>
                <w:color w:themeColor="text1" w:val="000000"/>
                <w:szCs w:val="21"/>
              </w:rPr>
              <w:t>马英</w:t>
            </w:r>
          </w:p>
        </w:tc>
        <w:tc>
          <w:tcPr>
            <w:vAlign w:val="center"/>
          </w:tcPr>
          <w:p>
            <w:pPr>
              <w:jc w:val="center"/>
            </w:pPr>
            <w:r>
              <w:rPr>
                <w:rFonts w:eastAsiaTheme="minorEastAsia"/>
                <w:color w:themeColor="text1" w:val="000000"/>
                <w:szCs w:val="21"/>
              </w:rPr>
              <w:t>本基金基金经理，新华安享惠金定期开放债券型证券投资基金基金经理、新华丰盈回报债券型证券投资基金基金经理、新华双利债券型证券投资基金基金经理。</w:t>
            </w:r>
          </w:p>
        </w:tc>
        <w:tc>
          <w:tcPr>
            <w:vAlign w:val="center"/>
          </w:tcPr>
          <w:p>
            <w:pPr>
              <w:jc w:val="center"/>
            </w:pPr>
            <w:r>
              <w:rPr>
                <w:rFonts w:eastAsiaTheme="minorEastAsia"/>
                <w:color w:themeColor="text1" w:val="000000"/>
                <w:szCs w:val="21"/>
              </w:rPr>
              <w:t>2018-02-06</w:t>
            </w:r>
          </w:p>
        </w:tc>
        <w:tc>
          <w:tcPr>
            <w:vAlign w:val="center"/>
          </w:tcPr>
          <w:p>
            <w:pPr>
              <w:jc w:val="center"/>
            </w:pPr>
            <w:r>
              <w:rPr>
                <w:rFonts w:eastAsiaTheme="minorEastAsia"/>
                <w:color w:themeColor="text1" w:val="000000"/>
                <w:szCs w:val="21"/>
              </w:rPr>
              <w:t>-</w:t>
            </w:r>
          </w:p>
        </w:tc>
        <w:tc>
          <w:tcPr>
            <w:vAlign w:val="center"/>
          </w:tcPr>
          <w:p>
            <w:pPr>
              <w:jc w:val="center"/>
            </w:pPr>
            <w:r>
              <w:rPr>
                <w:rFonts w:eastAsiaTheme="minorEastAsia"/>
                <w:color w:themeColor="text1" w:val="000000"/>
                <w:szCs w:val="21"/>
              </w:rPr>
              <w:t>10</w:t>
            </w:r>
          </w:p>
        </w:tc>
        <w:tc>
          <w:tcPr>
            <w:vAlign w:val="center"/>
          </w:tcPr>
          <w:p>
            <w:pPr>
              <w:jc w:val="both"/>
            </w:pPr>
            <w:r>
              <w:rPr>
                <w:rFonts w:eastAsiaTheme="minorEastAsia"/>
                <w:color w:themeColor="text1" w:val="000000"/>
                <w:szCs w:val="21"/>
              </w:rPr>
              <w:t>金融学硕士，历任第一创业证券有限责任公司固定收益部业务董事、第一创业摩根大通证券有限责任公司投资银行部副总经理、新华基金管理股份有限公司债券研究员、基金经理助理。</w:t>
            </w:r>
          </w:p>
        </w:tc>
      </w:tr>
    </w:tbl>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注：1、首任基金经理，任职日期指基金合同生效日，离任日期指公司作出决定之日。</w:t>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2、非首任基金经理，任职日期和离任日期均指公司作出决定之日。</w:t>
      </w:r>
    </w:p>
    <w:p w:rsidP="00C92A7B" w:rsidR="001A59F9"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3、证券从业的含义遵从行业协会《证券从业人员资格管理办法》的相关规定。</w:t>
      </w:r>
    </w:p>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26" w:name="_Toc225498256"/>
      <w:bookmarkStart w:id="27" w:name="_Toc361324856"/>
      <w:r w:rsidRPr="00B71057">
        <w:rPr>
          <w:rFonts w:ascii="Times New Roman" w:eastAsiaTheme="minorEastAsia" w:hAnsi="Times New Roman"/>
          <w:color w:themeColor="text1" w:val="000000"/>
          <w:kern w:val="0"/>
          <w:sz w:val="21"/>
          <w:szCs w:val="21"/>
        </w:rPr>
        <w:t xml:space="preserve">4.2 </w:t>
      </w:r>
      <w:r w:rsidRPr="00B71057">
        <w:rPr>
          <w:rFonts w:ascii="Times New Roman" w:eastAsiaTheme="minorEastAsia" w:hAnsi="Times New Roman"/>
          <w:color w:themeColor="text1" w:val="000000"/>
          <w:kern w:val="0"/>
          <w:sz w:val="21"/>
          <w:szCs w:val="21"/>
        </w:rPr>
        <w:t>管理人对报告期内本基金运作遵规守信情况的说明</w:t>
      </w:r>
      <w:bookmarkEnd w:id="26"/>
      <w:bookmarkEnd w:id="27"/>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报告期，新华基金管理股份有限公司作为新华安享惠钰定期开放债券型证券投资基金的管理人按照《中华人民共和国证券投资基金法》、《新华安享惠钰定期开放债券型证券投资基金基金合同》以及其它有关法律法规的规定，本着诚实信用、勤勉尽责的原则管理和运用基金资产，在严格控制风险的基础上为持有人谋求最大利益。运作整体合法合规，无损害基金持有人利益的行为。</w:t>
      </w:r>
    </w:p>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28" w:name="_Toc225498257"/>
      <w:bookmarkStart w:id="29" w:name="_Toc361324857"/>
      <w:r w:rsidRPr="00B71057">
        <w:rPr>
          <w:rFonts w:ascii="Times New Roman" w:eastAsiaTheme="minorEastAsia" w:hAnsi="Times New Roman"/>
          <w:color w:themeColor="text1" w:val="000000"/>
          <w:kern w:val="0"/>
          <w:sz w:val="21"/>
          <w:szCs w:val="21"/>
        </w:rPr>
        <w:t xml:space="preserve">4.3 </w:t>
      </w:r>
      <w:r w:rsidRPr="00B71057">
        <w:rPr>
          <w:rFonts w:ascii="Times New Roman" w:eastAsiaTheme="minorEastAsia" w:hAnsi="Times New Roman"/>
          <w:color w:themeColor="text1" w:val="000000"/>
          <w:kern w:val="0"/>
          <w:sz w:val="21"/>
          <w:szCs w:val="21"/>
        </w:rPr>
        <w:t>管理人对报告期内公平交易情况的专项说明</w:t>
      </w:r>
      <w:bookmarkEnd w:id="28"/>
      <w:bookmarkEnd w:id="29"/>
    </w:p>
    <w:p w:rsidP="007F2664"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color w:themeColor="text1" w:val="000000"/>
          <w:kern w:val="0"/>
          <w:szCs w:val="21"/>
        </w:rPr>
        <w:t>4.3.1</w:t>
      </w:r>
      <w:r w:rsidR="0067271C"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公平交易制度和控制方法</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根据中国证监会颁布的《证券投资基金管理公司公平交易制度指导意见》（2011年修订），公司制定了《新华基金管理股份有限公司公平交易管理制度》。制度的范围包括境内上市股票、债券的一级市场申购、二级市场交易等所有投资管理活动，同时包括授权、研究分析、投资决策、交易执行等投资管理活动相关的各个环节。</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场内交易，投资指令统一由交易部下达，并且启动交易系统公平交易模块。根据公司制度，严格禁止不同投资组合之间互为对手方的交易，严格控制不同投资组合之间的同日反向交易。</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场外交易中，对于部分债券一级市场申购、非公开发行股票申购等交易，交易部根据各投资组合经理申报的满足价格条件的数量进行比例分配。如有异议，由交易部报投资总监、督察长、金融工程部和监察稽核部，再次进行审核并确定最终分配结果。如果督察长认为有必要，可以召开风险管理委员会会议，对公平交易的结果进行评估和审议。对于银行间市场交易、固定收益平台、交易所大宗交易，投资组合经理以该投资组合的名义向交易部下达投资指令，交易部向银行间市场或交易对手询价、成交确认，并根据“时间优先、价格优先”的原则保证各投资组合获得公平的交易机会。</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color w:themeColor="text1" w:val="000000"/>
          <w:kern w:val="0"/>
          <w:szCs w:val="21"/>
        </w:rPr>
        <w:t>4.3.2</w:t>
      </w:r>
      <w:r w:rsidR="0067271C"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公平交易制度的执行情况</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报告期内，基金管理人严格执行了《新华基金管理股份有限公司公平交易制度》的规定。</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基金管理人对旗下所有投资组合间连续4个季度的日内、3日内以及5日内股票和债券交易同向交易价差分析及相应情景分析表明：债券同向交易频率偏低；股票同向交易溢价率较高的因素主要是受到市场因素影响造成个股当日价格振幅较大或者是组合经理个人对交易时机的判断，即成交价格的日内变化较大以及投资组合的成交时间不一致而导致个别组合间的交易价差较大，结合通过对平均溢价率、买入/卖出溢价率以及利益输送金额等不同组合不同时间段的同向交易价差分析表明投资组合间不存在利益输送的可能性。</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color w:themeColor="text1" w:val="000000"/>
          <w:kern w:val="0"/>
          <w:szCs w:val="21"/>
        </w:rPr>
        <w:t>4.3.3</w:t>
      </w:r>
      <w:r w:rsidR="0067271C"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异常交易行为的专项说明</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基金管理人原则上不允许同日反向交易行为的发生，本报告期内，未发生有投资组合参与的交易所公开竞价同日反向交易成交较少的单边成交量超过该证券当日成交量的5%的情况。</w:t>
      </w:r>
    </w:p>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30" w:name="_Toc225498258"/>
      <w:bookmarkStart w:id="31" w:name="_Toc361324858"/>
      <w:r w:rsidRPr="00B71057">
        <w:rPr>
          <w:rFonts w:ascii="Times New Roman" w:eastAsiaTheme="minorEastAsia" w:hAnsi="Times New Roman"/>
          <w:color w:themeColor="text1" w:val="000000"/>
          <w:kern w:val="0"/>
          <w:sz w:val="21"/>
          <w:szCs w:val="21"/>
        </w:rPr>
        <w:t xml:space="preserve">4.4 </w:t>
      </w:r>
      <w:r w:rsidRPr="00B71057">
        <w:rPr>
          <w:rFonts w:ascii="Times New Roman" w:eastAsiaTheme="minorEastAsia" w:hAnsi="Times New Roman"/>
          <w:color w:themeColor="text1" w:val="000000"/>
          <w:kern w:val="0"/>
          <w:sz w:val="21"/>
          <w:szCs w:val="21"/>
        </w:rPr>
        <w:t>管理人对报告期内基金的投资策略和业绩表现的说明</w:t>
      </w:r>
      <w:bookmarkEnd w:id="30"/>
      <w:bookmarkEnd w:id="31"/>
    </w:p>
    <w:p w:rsidP="007F2664" w:rsidR="001A59F9" w:rsidRDefault="001A59F9" w:rsidRPr="00B71057">
      <w:pPr>
        <w:spacing w:line="360" w:lineRule="auto"/>
        <w:rPr>
          <w:rFonts w:eastAsiaTheme="minorEastAsia"/>
          <w:b/>
          <w:color w:themeColor="text1" w:val="000000"/>
          <w:szCs w:val="21"/>
        </w:rPr>
      </w:pPr>
      <w:r w:rsidRPr="00B71057">
        <w:rPr>
          <w:rFonts w:eastAsiaTheme="minorEastAsia"/>
          <w:b/>
          <w:color w:themeColor="text1" w:val="000000"/>
          <w:szCs w:val="21"/>
        </w:rPr>
        <w:t>4.4.1</w:t>
      </w:r>
      <w:r w:rsidRPr="00B71057">
        <w:rPr>
          <w:rFonts w:eastAsiaTheme="minorEastAsia"/>
          <w:b/>
          <w:color w:themeColor="text1" w:val="000000"/>
          <w:szCs w:val="21"/>
        </w:rPr>
        <w:t>报告期内基金投资策略和运作分析</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2018年国内经济下行压力加大，尤其基建投资受地方政府债务管控影响下滑比较明显，社零消费增速也降至近十年新低，但全年房地产投资增速平稳，制造业投资表现也比较亮眼，在贸易战影响下，抢跑提振了短期的出口需求。在内部经济增速放缓、外部贸易战持续、融资增速回落、信用风险事件频繁发生的影响下，国内货币政策转向合理充裕，金融严监管节奏放缓。全年来看，资金利率中枢下行，R007虽年末波幅较大，但整体下半年波动幅度较上半年趋缓。债券市场收益率大幅下行，其中10年期国开债收益率下行超过100BP，信用债收益率整体下行，中短久期、高评级信用债信用利差收窄更为明显，但是全年信用违约金额创历史新高。股票市场方面，受国内经济下行和外围市场不确定性等因素的影响，市场风险偏好持续降低，全年各行业均录得负收益。</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lastRenderedPageBreak/>
        <w:t>本基金配置：债券投资方面，配置于中短久期的信用债，以获取票息收入为主，未参与长端利率债。股票投资方面，继续持有基本面有改善预期的低估值标的，受权益市场影响，基金净值波动较大。</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szCs w:val="21"/>
        </w:rPr>
      </w:pPr>
      <w:r w:rsidRPr="00B71057">
        <w:rPr>
          <w:rFonts w:eastAsiaTheme="minorEastAsia"/>
          <w:b/>
          <w:color w:themeColor="text1" w:val="000000"/>
          <w:szCs w:val="21"/>
        </w:rPr>
        <w:t>4.4.2</w:t>
      </w:r>
      <w:r w:rsidRPr="00B71057">
        <w:rPr>
          <w:rFonts w:eastAsiaTheme="minorEastAsia"/>
          <w:b/>
          <w:color w:themeColor="text1" w:val="000000"/>
          <w:szCs w:val="21"/>
        </w:rPr>
        <w:t>报告期内基金的业绩表现</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截至2018年12月31日，本基金A类份额净值为0.9828元，本报告期份额净值增长率为-1.72%，同期比较基准的增长率为0.86%；本基金C类份额净值为0.9783元，本报告期份额净值增长率为-2.17%，同期比较基准的增长率为0.86%。</w:t>
      </w:r>
    </w:p>
    <w:p w:rsidP="00C92A7B" w:rsidR="00D54B59" w:rsidRDefault="00D54B59" w:rsidRPr="00B71057">
      <w:pPr>
        <w:pStyle w:val="20"/>
        <w:spacing w:after="0" w:before="312" w:beforeLines="100"/>
        <w:rPr>
          <w:rFonts w:ascii="Times New Roman" w:eastAsiaTheme="minorEastAsia" w:hAnsi="Times New Roman"/>
          <w:color w:themeColor="text1" w:val="000000"/>
          <w:kern w:val="0"/>
          <w:sz w:val="21"/>
          <w:szCs w:val="21"/>
        </w:rPr>
      </w:pPr>
      <w:bookmarkStart w:id="32" w:name="_Toc225498259"/>
      <w:bookmarkStart w:id="33" w:name="_Toc361324859"/>
      <w:r w:rsidRPr="00B71057">
        <w:rPr>
          <w:rFonts w:ascii="Times New Roman" w:eastAsiaTheme="minorEastAsia" w:hAnsi="Times New Roman"/>
          <w:color w:themeColor="text1" w:val="000000"/>
          <w:kern w:val="0"/>
          <w:sz w:val="21"/>
          <w:szCs w:val="21"/>
        </w:rPr>
        <w:t xml:space="preserve">4.5 </w:t>
      </w:r>
      <w:r w:rsidRPr="00B71057">
        <w:rPr>
          <w:rFonts w:ascii="Times New Roman" w:eastAsiaTheme="minorEastAsia" w:hAnsi="Times New Roman"/>
          <w:color w:themeColor="text1" w:val="000000"/>
          <w:kern w:val="0"/>
          <w:sz w:val="21"/>
          <w:szCs w:val="21"/>
        </w:rPr>
        <w:t>管理人对宏观经济、证券市场及行业走势的简要展望</w:t>
      </w:r>
      <w:bookmarkEnd w:id="32"/>
      <w:bookmarkEnd w:id="33"/>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展望下一阶段，全球经济增速面临放缓困境，出口承压，制造业和房地产投资不容乐观，基建增速预计将继续反弹，CPI中枢略有抬升，PPI下行，国内通胀压力有限。货币政策的重心仍将围绕宽信用和实体融资的修复展开，流动性将继续保持充裕合理；财政政策及产业政策也将继续发力。总体来看，宏观经济有一定下行压力，逆周期政策将继续出台，信贷和社融增速将企稳，观察宽信用政策效果及实体融资恢复等对国内经济的影响。总之，国内政策转向、风险偏好提升、收益率绝对水平处于低位，限制了利率进一步下行的空间，但基本面又不支持其大幅上行，长端利率或呈现区间震荡行情。转债经历反弹后，后续将精选标的，关注基本面和性价比。</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股票市场经历了年初的快速反弹，但目前部分行业的估值仍处于底部区域；分别以沪深300PE倒数与国债收益率、高分红个股股息率与AAA信用债收益率作比较，权益类资产仍有相对优势。政策底已经出现，随着政策的不断落地，全年看，市场机会大于风险。经营稳健、业绩稳定、绝对估值低并与盈利相匹配的绩优股仍有优势。</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债券投资方面，本基金短期继续配置短久期、中高评级信用品种，关注前期利差调整过大而错杀的个券，等待长端利率债交易机会；择机从二级配置流动性较好的低估值大盘转债，为组合提供弹性收入。</w:t>
      </w:r>
    </w:p>
    <w:p w:rsidP="00C92A7B" w:rsidR="00D54B59" w:rsidRDefault="00D54B5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股票投资方面，结合持有品种的低估值属性及基本面改善预期，持有策略面临的潜在风险有限，将继续持有这些标的。</w:t>
      </w:r>
    </w:p>
    <w:p w:rsidP="00C92A7B" w:rsidR="00D54B59" w:rsidRDefault="00D54B59" w:rsidRPr="00B71057">
      <w:pPr>
        <w:pStyle w:val="20"/>
        <w:spacing w:after="0" w:before="312" w:beforeLines="100"/>
        <w:rPr>
          <w:rFonts w:ascii="Times New Roman" w:eastAsiaTheme="minorEastAsia" w:hAnsi="Times New Roman"/>
          <w:color w:themeColor="text1" w:val="000000"/>
          <w:kern w:val="0"/>
          <w:sz w:val="21"/>
          <w:szCs w:val="21"/>
        </w:rPr>
      </w:pPr>
      <w:bookmarkStart w:id="34" w:name="_Toc247959457"/>
      <w:bookmarkStart w:id="35" w:name="_Toc225570083"/>
      <w:bookmarkStart w:id="36" w:name="_Toc361324861"/>
      <w:r w:rsidRPr="00B71057">
        <w:rPr>
          <w:rFonts w:ascii="Times New Roman" w:eastAsiaTheme="minorEastAsia" w:hAnsi="Times New Roman"/>
          <w:color w:themeColor="text1" w:val="000000"/>
          <w:kern w:val="0"/>
          <w:sz w:val="21"/>
          <w:szCs w:val="21"/>
        </w:rPr>
        <w:t xml:space="preserve">4.6 </w:t>
      </w:r>
      <w:r w:rsidRPr="00B71057">
        <w:rPr>
          <w:rFonts w:ascii="Times New Roman" w:eastAsiaTheme="minorEastAsia" w:hAnsi="Times New Roman"/>
          <w:color w:themeColor="text1" w:val="000000"/>
          <w:kern w:val="0"/>
          <w:sz w:val="21"/>
          <w:szCs w:val="21"/>
        </w:rPr>
        <w:t>管理人对报告期内基金估值程序等事项的说明</w:t>
      </w:r>
      <w:bookmarkEnd w:id="34"/>
      <w:bookmarkEnd w:id="35"/>
      <w:bookmarkEnd w:id="36"/>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4.7.1有关参与估值流程各方及人员（或小组）的职责分工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4.7.1.1 估值工作小组的职责分工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公司建立估值工作小组对证券估值负责。估值工作小组由运作保障部负责人、基金会计、投资管理部、交易部、监察稽核部人员组成。每个成员都可以指定一个临时或者长期的授权人员。</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估值工作小组职责：</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① 制定估值制度并在必要时修改；</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② 确保估值方法符合现行法规；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③ 批准证券估值的步骤和方法；</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④ 对异常情况做出决策。</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运作保障部负责人是估值工作小组的组长，运作保障部负责人在基金会计或者其他两个估值小组成员的建议下，可以提议召集估值工作小组会议。</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估值决策由估值工作小组2/3或以上多数票通过。</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4.7.1.2 基金会计的职责分工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基金会计负责日常证券资产估值。基金会计和公司投资管理部相互独立。在按照本估值制度和相关法规估值后，基金会计定期将证券估值表向估值工作小组报告，至少每月一次。</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基金会计职责：</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① 获得独立、完整的证券价格信息；</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② 每日证券估值；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③ 检查价格波动并进行一般准确性评估；</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④ 向交易员或基金经理核实价格异常波动，并在必要时向估值工作小组报告；</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⑤ 对每日证券价格信息和估值结果进行记录；</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⑥ 对估值调整和人工估值进行记录；</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⑦ 向估值工作小组报送月度估值报告。</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基金会计认为必要，可以提议召开估值工作小组会议。</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4.7.1.3 投资管理部的职责分工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① 接受监察稽核部对所投资证券价格异常波动的问讯；</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② 对停牌证券、价格异常波动证券、退市证券提出估值建议；</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③ 评价并确认基金会计提供的估值报告；</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④ 向估值工作小组报告任何他/她认为可能的估值偏差。</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4.7.1.4 交易部的职责分工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① 对基金会计的证券价格信息需求做出即时回应；</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② 通知基金会计关于证券停牌、价格突发性异常波动、退市等特定信息；</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③ 评价并确认基金会计提供的估值报告。</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4.7.1.5监察稽核部的职责分工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① 监督证券的整个估值过程；</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② 确保估值工作小组制定的估值政策得到遵守；</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③ 确保公司的估值制度和方法符合现行法律、法规的要求；</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④ 评价现行估值方法是否恰当反应证券公允价格的风险；</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⑤ 对于估值表中价格异常波动的证券向投资部问讯；</w:t>
      </w:r>
    </w:p>
    <w:p w:rsidP="00C92A7B" w:rsidR="00D54B59" w:rsidRDefault="00D54B5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⑥ 对于认为不合适或者不再合适的估值方法提交估值工作小组讨论。</w:t>
      </w:r>
    </w:p>
    <w:p w:rsidP="00C92A7B" w:rsidR="00D54B59" w:rsidRDefault="00D54B59" w:rsidRPr="00B71057">
      <w:pPr>
        <w:pStyle w:val="20"/>
        <w:spacing w:after="0" w:before="312" w:beforeLines="100"/>
        <w:rPr>
          <w:rFonts w:ascii="Times New Roman" w:eastAsiaTheme="minorEastAsia" w:hAnsi="Times New Roman"/>
          <w:color w:themeColor="text1" w:val="000000"/>
          <w:kern w:val="0"/>
          <w:sz w:val="21"/>
          <w:szCs w:val="21"/>
        </w:rPr>
      </w:pPr>
      <w:bookmarkStart w:id="37" w:name="_Toc247959458"/>
      <w:bookmarkStart w:id="38" w:name="_Toc225570084"/>
      <w:bookmarkStart w:id="39" w:name="_Toc361324862"/>
      <w:r w:rsidRPr="00B71057">
        <w:rPr>
          <w:rFonts w:ascii="Times New Roman" w:eastAsiaTheme="minorEastAsia" w:hAnsi="Times New Roman"/>
          <w:color w:themeColor="text1" w:val="000000"/>
          <w:kern w:val="0"/>
          <w:sz w:val="21"/>
          <w:szCs w:val="21"/>
        </w:rPr>
        <w:t xml:space="preserve">4.7 </w:t>
      </w:r>
      <w:r w:rsidRPr="00B71057">
        <w:rPr>
          <w:rFonts w:ascii="Times New Roman" w:eastAsiaTheme="minorEastAsia" w:hAnsi="Times New Roman"/>
          <w:color w:themeColor="text1" w:val="000000"/>
          <w:kern w:val="0"/>
          <w:sz w:val="21"/>
          <w:szCs w:val="21"/>
        </w:rPr>
        <w:t>管理人对报告期内基金利润分配情况的说明</w:t>
      </w:r>
      <w:bookmarkEnd w:id="37"/>
      <w:bookmarkEnd w:id="38"/>
      <w:bookmarkEnd w:id="39"/>
    </w:p>
    <w:p w:rsidP="00C92A7B" w:rsidR="00D54B59" w:rsidRDefault="00D54B5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本基金于2018年2月2日基金合同生效，报告截止2018年12月31日未满一年。本报告期内，本基金未进行利润分配。</w:t>
      </w:r>
    </w:p>
    <w:p w:rsidP="00537B12" w:rsidR="004C27F7" w:rsidRDefault="004C27F7" w:rsidRPr="00B71057">
      <w:pPr>
        <w:pStyle w:val="20"/>
        <w:spacing w:after="0" w:before="312" w:beforeLines="100"/>
        <w:rPr>
          <w:rFonts w:eastAsiaTheme="minorEastAsia"/>
          <w:color w:themeColor="text1" w:val="000000"/>
          <w:szCs w:val="21"/>
        </w:rPr>
      </w:pPr>
      <w:r w:rsidRPr="00537B12">
        <w:rPr>
          <w:rFonts w:ascii="Times New Roman" w:eastAsiaTheme="minorEastAsia" w:hAnsi="Times New Roman"/>
          <w:color w:themeColor="text1" w:val="000000"/>
          <w:kern w:val="0"/>
          <w:sz w:val="21"/>
          <w:szCs w:val="21"/>
        </w:rPr>
        <w:t>4.8</w:t>
      </w:r>
      <w:r w:rsidR="008C596C" w:rsidRPr="00537B12">
        <w:rPr>
          <w:rFonts w:ascii="Times New Roman" w:eastAsiaTheme="minorEastAsia" w:hAnsi="Times New Roman" w:hint="eastAsia"/>
          <w:color w:themeColor="text1" w:val="000000"/>
          <w:kern w:val="0"/>
          <w:sz w:val="21"/>
          <w:szCs w:val="21"/>
        </w:rPr>
        <w:t xml:space="preserve"> </w:t>
      </w:r>
      <w:r w:rsidR="008C596C" w:rsidRPr="00537B12">
        <w:rPr>
          <w:rFonts w:ascii="Times New Roman" w:eastAsiaTheme="minorEastAsia" w:hAnsi="Times New Roman" w:hint="eastAsia"/>
          <w:color w:themeColor="text1" w:val="000000"/>
          <w:kern w:val="0"/>
          <w:sz w:val="21"/>
          <w:szCs w:val="21"/>
        </w:rPr>
        <w:t>报告期内管理人对本基金持有人数或基金资产净值预警情形的说明</w:t>
      </w:r>
    </w:p>
    <w:p w:rsidP="004C27F7" w:rsidR="004C27F7" w:rsidRDefault="004C27F7"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报告期内本基金未出现连续二十个工作日基金份额持有人数量不满二百人或者基金资产净值低于五千万元的情况。</w:t>
      </w:r>
    </w:p>
    <w:p w:rsidP="001D2FAD" w:rsidR="001A59F9" w:rsidRDefault="001A59F9"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43" w:name="_Toc225498263"/>
      <w:bookmarkStart w:id="44" w:name="_Toc361324864"/>
      <w:r w:rsidRPr="00B71057">
        <w:rPr>
          <w:rFonts w:eastAsiaTheme="minorEastAsia"/>
          <w:b/>
          <w:bCs/>
          <w:color w:themeColor="text1" w:val="000000"/>
          <w:sz w:val="21"/>
          <w:szCs w:val="21"/>
          <w:lang w:val="en-US"/>
        </w:rPr>
        <w:t xml:space="preserve">§5  </w:t>
      </w:r>
      <w:r w:rsidRPr="00B71057">
        <w:rPr>
          <w:rFonts w:eastAsiaTheme="minorEastAsia"/>
          <w:b/>
          <w:bCs/>
          <w:color w:themeColor="text1" w:val="000000"/>
          <w:sz w:val="21"/>
          <w:szCs w:val="21"/>
          <w:lang w:val="en-US"/>
        </w:rPr>
        <w:t>托管人报告</w:t>
      </w:r>
      <w:bookmarkEnd w:id="43"/>
      <w:bookmarkEnd w:id="44"/>
    </w:p>
    <w:p w:rsidP="00251A86"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45" w:name="_Toc225498264"/>
      <w:bookmarkStart w:id="46" w:name="_Toc361324865"/>
      <w:r w:rsidRPr="00B71057">
        <w:rPr>
          <w:rFonts w:ascii="Times New Roman" w:eastAsiaTheme="minorEastAsia" w:hAnsi="Times New Roman"/>
          <w:color w:themeColor="text1" w:val="000000"/>
          <w:kern w:val="0"/>
          <w:sz w:val="21"/>
          <w:szCs w:val="21"/>
        </w:rPr>
        <w:t xml:space="preserve">5.1 </w:t>
      </w:r>
      <w:r w:rsidRPr="00B71057">
        <w:rPr>
          <w:rFonts w:ascii="Times New Roman" w:eastAsiaTheme="minorEastAsia" w:hAnsi="Times New Roman"/>
          <w:color w:themeColor="text1" w:val="000000"/>
          <w:kern w:val="0"/>
          <w:sz w:val="21"/>
          <w:szCs w:val="21"/>
        </w:rPr>
        <w:t>报告期内本基金托管人遵规守信情况声明</w:t>
      </w:r>
      <w:bookmarkEnd w:id="45"/>
      <w:bookmarkEnd w:id="46"/>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47" w:name="_Toc225498265"/>
      <w:bookmarkStart w:id="48" w:name="_Toc361324866"/>
      <w:r w:rsidRPr="00B71057">
        <w:rPr>
          <w:rFonts w:ascii="Times New Roman" w:eastAsiaTheme="minorEastAsia" w:hAnsi="Times New Roman"/>
          <w:color w:themeColor="text1" w:val="000000"/>
          <w:kern w:val="0"/>
          <w:sz w:val="21"/>
          <w:szCs w:val="21"/>
        </w:rPr>
        <w:t xml:space="preserve">5.2 </w:t>
      </w:r>
      <w:r w:rsidRPr="00B71057">
        <w:rPr>
          <w:rFonts w:ascii="Times New Roman" w:eastAsiaTheme="minorEastAsia" w:hAnsi="Times New Roman"/>
          <w:color w:themeColor="text1" w:val="000000"/>
          <w:kern w:val="0"/>
          <w:sz w:val="21"/>
          <w:szCs w:val="21"/>
        </w:rPr>
        <w:t>托管人对报告期内本基金投资运作遵规守信、净值计算、利润分配等情况的</w:t>
      </w:r>
      <w:bookmarkEnd w:id="47"/>
      <w:r w:rsidRPr="00B71057">
        <w:rPr>
          <w:rFonts w:ascii="Times New Roman" w:eastAsiaTheme="minorEastAsia" w:hAnsi="Times New Roman"/>
          <w:color w:themeColor="text1" w:val="000000"/>
          <w:kern w:val="0"/>
          <w:sz w:val="21"/>
          <w:szCs w:val="21"/>
        </w:rPr>
        <w:t>说明</w:t>
      </w:r>
      <w:bookmarkEnd w:id="48"/>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报告期内，本基金未实施利润分配。</w:t>
      </w:r>
    </w:p>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49" w:name="_Toc225498266"/>
      <w:bookmarkStart w:id="50" w:name="_Toc361324867"/>
      <w:r w:rsidRPr="00B71057">
        <w:rPr>
          <w:rFonts w:ascii="Times New Roman" w:eastAsiaTheme="minorEastAsia" w:hAnsi="Times New Roman"/>
          <w:color w:themeColor="text1" w:val="000000"/>
          <w:kern w:val="0"/>
          <w:sz w:val="21"/>
          <w:szCs w:val="21"/>
        </w:rPr>
        <w:t xml:space="preserve">5.3 </w:t>
      </w:r>
      <w:r w:rsidRPr="00B71057">
        <w:rPr>
          <w:rFonts w:ascii="Times New Roman" w:eastAsiaTheme="minorEastAsia" w:hAnsi="Times New Roman"/>
          <w:color w:themeColor="text1" w:val="000000"/>
          <w:kern w:val="0"/>
          <w:sz w:val="21"/>
          <w:szCs w:val="21"/>
        </w:rPr>
        <w:t>托管人对本年度报告中财务信息等内容的真实、准确和完整发表意见</w:t>
      </w:r>
      <w:bookmarkEnd w:id="49"/>
      <w:bookmarkEnd w:id="50"/>
    </w:p>
    <w:p w:rsidP="00251A86"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本托管人复核审查了本报告中的财务指标、净值表现、利润分配情况、财务会计报告、投资组合报告等内容，保证复核内容不存在虚假记载、误导性陈述或者重大遗漏。</w:t>
      </w:r>
    </w:p>
    <w:p w:rsidP="001D2FAD" w:rsidR="001A59F9" w:rsidRDefault="001A59F9" w:rsidRPr="00B71057">
      <w:pPr>
        <w:pStyle w:val="1"/>
        <w:keepNext/>
        <w:keepLines/>
        <w:widowControl w:val="0"/>
        <w:adjustRightInd w:val="0"/>
        <w:snapToGrid w:val="0"/>
        <w:spacing w:after="312" w:afterLines="100" w:before="312" w:beforeLines="100" w:line="360" w:lineRule="auto"/>
        <w:jc w:val="center"/>
        <w:rPr>
          <w:rFonts w:eastAsiaTheme="minorEastAsia"/>
          <w:b/>
          <w:bCs/>
          <w:color w:themeColor="text1" w:val="000000"/>
          <w:sz w:val="21"/>
          <w:szCs w:val="21"/>
          <w:lang w:val="en-US"/>
        </w:rPr>
      </w:pPr>
      <w:bookmarkStart w:id="51" w:name="_Toc245801814"/>
      <w:bookmarkStart w:id="52" w:name="_Toc247959464"/>
      <w:bookmarkStart w:id="53" w:name="_Toc361324868"/>
      <w:r w:rsidRPr="00B71057">
        <w:rPr>
          <w:rFonts w:eastAsiaTheme="minorEastAsia"/>
          <w:b/>
          <w:bCs/>
          <w:color w:themeColor="text1" w:val="000000"/>
          <w:sz w:val="21"/>
          <w:szCs w:val="21"/>
          <w:lang w:val="en-US"/>
        </w:rPr>
        <w:lastRenderedPageBreak/>
        <w:t xml:space="preserve">§6  </w:t>
      </w:r>
      <w:r w:rsidRPr="00B71057">
        <w:rPr>
          <w:rFonts w:eastAsiaTheme="minorEastAsia"/>
          <w:b/>
          <w:bCs/>
          <w:color w:themeColor="text1" w:val="000000"/>
          <w:sz w:val="21"/>
          <w:szCs w:val="21"/>
          <w:lang w:val="en-US"/>
        </w:rPr>
        <w:t>审计报告</w:t>
      </w:r>
      <w:bookmarkEnd w:id="51"/>
      <w:bookmarkEnd w:id="52"/>
      <w:bookmarkEnd w:id="53"/>
    </w:p>
    <w:p w:rsidP="00251A86" w:rsidR="001A59F9" w:rsidRDefault="00EE1316" w:rsidRPr="00B71057">
      <w:pPr>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本报告期的基金财务会计报告经</w:t>
      </w:r>
      <w:r w:rsidRPr="00B71057">
        <w:rPr>
          <w:rFonts w:eastAsiaTheme="minorEastAsia"/>
          <w:color w:themeColor="text1" w:val="000000"/>
          <w:kern w:val="0"/>
          <w:szCs w:val="21"/>
        </w:rPr>
        <w:t>瑞华会计师事务所（特殊普通合伙）</w:t>
      </w:r>
      <w:r w:rsidRPr="00B71057">
        <w:rPr>
          <w:rFonts w:eastAsiaTheme="minorEastAsia"/>
          <w:color w:themeColor="text1" w:val="000000"/>
          <w:kern w:val="0"/>
          <w:szCs w:val="21"/>
        </w:rPr>
        <w:t>审计，注册会计师</w:t>
      </w:r>
      <w:r w:rsidRPr="00B71057">
        <w:rPr>
          <w:rFonts w:eastAsiaTheme="minorEastAsia"/>
          <w:color w:themeColor="text1" w:val="000000"/>
          <w:kern w:val="0"/>
          <w:szCs w:val="21"/>
        </w:rPr>
        <w:t xml:space="preserve">  张伟  胡慰</w:t>
      </w:r>
      <w:r w:rsidRPr="00B71057">
        <w:rPr>
          <w:rFonts w:eastAsiaTheme="minorEastAsia"/>
          <w:color w:themeColor="text1" w:val="000000"/>
          <w:kern w:val="0"/>
          <w:szCs w:val="21"/>
        </w:rPr>
        <w:t>签字出具了</w:t>
      </w:r>
      <w:r w:rsidRPr="00B71057">
        <w:rPr>
          <w:rFonts w:eastAsiaTheme="minorEastAsia"/>
          <w:color w:themeColor="text1" w:val="000000"/>
          <w:kern w:val="0"/>
          <w:szCs w:val="21"/>
        </w:rPr>
        <w:t>瑞华审字【2019】01360039号</w:t>
      </w:r>
      <w:r w:rsidRPr="00B71057">
        <w:rPr>
          <w:rFonts w:eastAsiaTheme="minorEastAsia"/>
          <w:color w:themeColor="text1" w:val="000000"/>
          <w:kern w:val="0"/>
          <w:szCs w:val="21"/>
        </w:rPr>
        <w:t>标准无保留意见的审计报告。投资者可通过年度报告正文查看审计报告全文。</w:t>
      </w:r>
    </w:p>
    <w:p w:rsidP="001D2FAD" w:rsidR="001A59F9" w:rsidRDefault="001A59F9"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54" w:name="_Toc361324872"/>
      <w:r w:rsidRPr="00B71057">
        <w:rPr>
          <w:rFonts w:eastAsiaTheme="minorEastAsia"/>
          <w:b/>
          <w:bCs/>
          <w:color w:themeColor="text1" w:val="000000"/>
          <w:sz w:val="21"/>
          <w:szCs w:val="21"/>
          <w:lang w:val="en-US"/>
        </w:rPr>
        <w:t>§7</w:t>
      </w:r>
      <w:r w:rsidR="009153A3" w:rsidRPr="00B71057">
        <w:rPr>
          <w:rFonts w:eastAsiaTheme="minorEastAsia"/>
          <w:b/>
          <w:bCs/>
          <w:color w:themeColor="text1" w:val="000000"/>
          <w:sz w:val="21"/>
          <w:szCs w:val="21"/>
          <w:lang w:val="en-US"/>
        </w:rPr>
        <w:t xml:space="preserve">  </w:t>
      </w:r>
      <w:r w:rsidRPr="00B71057">
        <w:rPr>
          <w:rFonts w:eastAsiaTheme="minorEastAsia"/>
          <w:b/>
          <w:bCs/>
          <w:color w:themeColor="text1" w:val="000000"/>
          <w:sz w:val="21"/>
          <w:szCs w:val="21"/>
          <w:lang w:val="en-US"/>
        </w:rPr>
        <w:t>年度财务报表</w:t>
      </w:r>
      <w:bookmarkEnd w:id="54"/>
    </w:p>
    <w:p w:rsidP="00251A86"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55" w:name="_Toc225498268"/>
      <w:bookmarkStart w:id="56" w:name="_Toc361324873"/>
      <w:r w:rsidRPr="00B71057">
        <w:rPr>
          <w:rFonts w:ascii="Times New Roman" w:eastAsiaTheme="minorEastAsia" w:hAnsi="Times New Roman"/>
          <w:color w:themeColor="text1" w:val="000000"/>
          <w:kern w:val="0"/>
          <w:sz w:val="21"/>
          <w:szCs w:val="21"/>
        </w:rPr>
        <w:t xml:space="preserve">7.1 </w:t>
      </w:r>
      <w:r w:rsidRPr="00B71057">
        <w:rPr>
          <w:rFonts w:ascii="Times New Roman" w:eastAsiaTheme="minorEastAsia" w:hAnsi="Times New Roman"/>
          <w:color w:themeColor="text1" w:val="000000"/>
          <w:kern w:val="0"/>
          <w:sz w:val="21"/>
          <w:szCs w:val="21"/>
        </w:rPr>
        <w:t>资产负债表</w:t>
      </w:r>
      <w:bookmarkEnd w:id="55"/>
      <w:bookmarkEnd w:id="56"/>
    </w:p>
    <w:p w:rsidP="00251A86"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会计主体：</w:t>
      </w:r>
      <w:r w:rsidRPr="00B71057">
        <w:rPr>
          <w:rFonts w:eastAsiaTheme="minorEastAsia"/>
          <w:color w:themeColor="text1" w:val="000000"/>
          <w:szCs w:val="21"/>
        </w:rPr>
        <w:t>新华安享惠钰定期开放债券型证券投资基金</w:t>
      </w:r>
    </w:p>
    <w:p w:rsidP="00251A86"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报告截止日：</w:t>
      </w:r>
      <w:r w:rsidR="00F64FAD" w:rsidRPr="00B71057">
        <w:rPr>
          <w:rFonts w:eastAsiaTheme="minorEastAsia"/>
          <w:color w:themeColor="text1" w:val="000000"/>
          <w:szCs w:val="21"/>
        </w:rPr>
        <w:t>2018年12月31日</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单位：人民币元</w:t>
      </w:r>
    </w:p>
    <w:tbl>
      <w:tblPr>
        <w:tblW w:type="dxa" w:w="9035"/>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3811"/>
        <w:gridCol w:w="2693"/>
        <w:gridCol w:w="2531"/>
      </w:tblGrid>
      <w:tr w:rsidR="00B71057" w:rsidRPr="00B71057" w:rsidTr="00C92A7B">
        <w:tc>
          <w:tcPr>
            <w:tcW w:type="dxa" w:w="3811"/>
            <w:vAlign w:val="center"/>
          </w:tcPr>
          <w:p w:rsidP="00026C9C" w:rsidR="001A46F4" w:rsidRDefault="001A46F4" w:rsidRPr="00B71057">
            <w:pPr>
              <w:pStyle w:val="af6"/>
              <w:spacing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资产</w:t>
            </w:r>
          </w:p>
        </w:tc>
        <w:tc>
          <w:tcPr>
            <w:tcW w:type="dxa" w:w="5224"/>
            <w:hMerge w:val="restart"/>
            <w:vAlign w:val="center"/>
          </w:tcPr>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本期末</w:t>
            </w:r>
          </w:p>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kern w:val="2"/>
                <w:sz w:val="21"/>
                <w:szCs w:val="21"/>
              </w:rPr>
              <w:t>2018年12月31日</w:t>
            </w:r>
          </w:p>
        </w:tc>
        <w:tc>
          <w:tcPr>
            <w:tcW w:type="dxa" w:w="2531"/>
            <w:hMerge/>
            <w:vAlign w:val="center"/>
          </w:tcPr>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上年度末</w:t>
            </w:r>
          </w:p>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w:t>
            </w:r>
          </w:p>
        </w:tc>
      </w:tr>
      <w:tr w:rsidR="00B71057" w:rsidRPr="00B71057" w:rsidTr="00C92A7B">
        <w:tc>
          <w:tcPr>
            <w:tcW w:type="dxa" w:w="3811"/>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资</w:t>
            </w:r>
            <w:r w:rsidRPr="00B71057">
              <w:rPr>
                <w:rFonts w:eastAsiaTheme="minorEastAsia"/>
                <w:color w:themeColor="text1" w:val="000000"/>
                <w:szCs w:val="21"/>
              </w:rPr>
              <w:t xml:space="preserve"> </w:t>
            </w:r>
            <w:r w:rsidRPr="00B71057">
              <w:rPr>
                <w:rFonts w:eastAsiaTheme="minorEastAsia"/>
                <w:color w:themeColor="text1" w:val="000000"/>
                <w:szCs w:val="21"/>
              </w:rPr>
              <w:t>产：</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银行存款</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1,508,478.17</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结算备付金</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存出保证金</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2,072.17</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交易性金融资产</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243,003,275.65</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其中：股票投资</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40,228,351.65</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8B2C7A" w:rsidR="001A46F4" w:rsidRDefault="001A46F4" w:rsidRPr="00B71057">
            <w:pPr>
              <w:pStyle w:val="af6"/>
              <w:spacing w:line="360" w:lineRule="auto"/>
              <w:ind w:firstLine="630" w:firstLineChars="300"/>
              <w:jc w:val="both"/>
              <w:rPr>
                <w:rFonts w:ascii="Times New Roman" w:eastAsiaTheme="minorEastAsia" w:hAnsi="Times New Roman"/>
                <w:color w:themeColor="text1" w:val="000000"/>
                <w:sz w:val="21"/>
                <w:szCs w:val="21"/>
              </w:rPr>
            </w:pPr>
            <w:r w:rsidRPr="00B71057">
              <w:rPr>
                <w:rFonts w:ascii="Times New Roman" w:eastAsiaTheme="minorEastAsia" w:hAnsi="Times New Roman"/>
                <w:color w:themeColor="text1" w:val="000000"/>
                <w:sz w:val="21"/>
                <w:szCs w:val="21"/>
              </w:rPr>
              <w:t>基金投资</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8B2C7A"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债券投资</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202,774,924.00</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
            </w:r>
            <w:r w:rsidRPr="00B71057">
              <w:rPr>
                <w:rFonts w:eastAsiaTheme="minorEastAsia"/>
                <w:color w:themeColor="text1" w:val="000000"/>
                <w:szCs w:val="21"/>
              </w:rPr>
              <w:lastRenderedPageBreak/>
              <w:t>-</w:t>
            </w:r>
          </w:p>
        </w:tc>
      </w:tr>
      <w:tr w:rsidR="00B71057" w:rsidRPr="00B71057" w:rsidTr="00C92A7B">
        <w:tc>
          <w:tcPr>
            <w:tcW w:type="dxa" w:w="3811"/>
            <w:vAlign w:val="center"/>
          </w:tcPr>
          <w:p w:rsidP="008B2C7A"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lastRenderedPageBreak/>
              <w:t>资产支持证券投资</w:t>
            </w:r>
          </w:p>
        </w:tc>
        <w:tc>
          <w:tcPr>
            <w:tcW w:type="dxa" w:w="5224"/>
            <w:hMerge w:val="restart"/>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8B2C7A" w:rsidR="0018418C" w:rsidRDefault="0018418C"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rPr>
              <w:t>贵金属投资</w:t>
            </w:r>
          </w:p>
        </w:tc>
        <w:tc>
          <w:tcPr>
            <w:tcW w:type="dxa" w:w="5224"/>
            <w:hMerge w:val="restart"/>
            <w:vAlign w:val="center"/>
          </w:tcPr>
          <w:p w:rsidP="00C92A7B"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C92A7B"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衍生金融资产</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买入返售金融资产</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300,000.00</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应收证券清算款</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应收利息</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7,130,725.74</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应收股利</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应收申购款</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递延所得税资产</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color w:themeColor="text1" w:val="000000"/>
                <w:szCs w:val="21"/>
              </w:rPr>
            </w:pPr>
            <w:r w:rsidRPr="00B71057">
              <w:rPr>
                <w:rFonts w:eastAsiaTheme="minorEastAsia"/>
                <w:color w:themeColor="text1" w:val="000000"/>
                <w:szCs w:val="21"/>
              </w:rPr>
              <w:t>其他资产</w:t>
            </w:r>
          </w:p>
        </w:tc>
        <w:tc>
          <w:tcPr>
            <w:tcW w:type="dxa" w:w="5224"/>
            <w:hMerge w:val="restart"/>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1"/>
            <w:hMerge/>
            <w:vAlign w:val="center"/>
          </w:tcPr>
          <w:p w:rsidP="000847EE" w:rsidR="0018418C" w:rsidRDefault="0018418C"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11"/>
            <w:vAlign w:val="center"/>
          </w:tcPr>
          <w:p w:rsidP="00B673C9" w:rsidR="0018418C" w:rsidRDefault="0018418C" w:rsidRPr="00B71057">
            <w:pPr>
              <w:spacing w:line="360" w:lineRule="auto"/>
              <w:rPr>
                <w:rFonts w:eastAsiaTheme="minorEastAsia"/>
                <w:b/>
                <w:color w:themeColor="text1" w:val="000000"/>
                <w:szCs w:val="21"/>
              </w:rPr>
            </w:pPr>
            <w:r w:rsidRPr="00B71057">
              <w:rPr>
                <w:rFonts w:eastAsiaTheme="minorEastAsia"/>
                <w:b/>
                <w:color w:themeColor="text1" w:val="000000"/>
                <w:szCs w:val="21"/>
              </w:rPr>
              <w:t>资产总计</w:t>
            </w:r>
          </w:p>
        </w:tc>
        <w:tc>
          <w:tcPr>
            <w:tcW w:type="dxa" w:w="5224"/>
            <w:hMerge w:val="restart"/>
            <w:vAlign w:val="center"/>
          </w:tcPr>
          <w:p w:rsidP="000847EE" w:rsidR="0018418C" w:rsidRDefault="0018418C"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251,944,551.73</w:t>
            </w:r>
          </w:p>
        </w:tc>
        <w:tc>
          <w:tcPr>
            <w:tcW w:type="dxa" w:w="2531"/>
            <w:hMerge/>
            <w:vAlign w:val="center"/>
          </w:tcPr>
          <w:p w:rsidP="000847EE" w:rsidR="0018418C" w:rsidRDefault="0018418C"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bl>
    <w:tbl>
      <w:tblPr>
        <w:tblW w:type="dxa" w:w="9032"/>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3809"/>
        <w:gridCol w:w="2693"/>
        <w:gridCol w:w="2530"/>
      </w:tblGrid>
      <w:tr w:rsidR="00B71057" w:rsidRPr="00B71057" w:rsidTr="00C92A7B">
        <w:tc>
          <w:tcPr>
            <w:tcW w:type="dxa" w:w="3809"/>
            <w:vAlign w:val="center"/>
          </w:tcPr>
          <w:p w:rsidP="00026C9C" w:rsidR="001A46F4" w:rsidRDefault="001A46F4" w:rsidRPr="00B71057">
            <w:pPr>
              <w:pStyle w:val="af6"/>
              <w:spacing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负债和所有者权益</w:t>
            </w:r>
          </w:p>
        </w:tc>
        <w:tc>
          <w:tcPr>
            <w:tcW w:type="dxa" w:w="5223"/>
            <w:hMerge w:val="restart"/>
            <w:vAlign w:val="center"/>
          </w:tcPr>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本期末</w:t>
            </w:r>
          </w:p>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kern w:val="2"/>
                <w:sz w:val="21"/>
                <w:szCs w:val="21"/>
              </w:rPr>
              <w:t>2018年12月31日</w:t>
            </w:r>
          </w:p>
        </w:tc>
        <w:tc>
          <w:tcPr>
            <w:tcW w:type="dxa" w:w="2530"/>
            <w:hMerge/>
            <w:vAlign w:val="center"/>
          </w:tcPr>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上年度末</w:t>
            </w:r>
            <w:r w:rsidRPr="00B71057">
              <w:rPr>
                <w:rFonts w:ascii="Times New Roman" w:eastAsiaTheme="minorEastAsia" w:hAnsi="Times New Roman"/>
                <w:b/>
                <w:color w:themeColor="text1" w:val="000000"/>
                <w:sz w:val="21"/>
                <w:szCs w:val="21"/>
              </w:rPr>
              <w:t/>
            </w:r>
          </w:p>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负</w:t>
            </w:r>
            <w:r w:rsidRPr="00B71057">
              <w:rPr>
                <w:rFonts w:eastAsiaTheme="minorEastAsia"/>
                <w:color w:themeColor="text1" w:val="000000"/>
                <w:szCs w:val="21"/>
              </w:rPr>
              <w:t xml:space="preserve"> </w:t>
            </w:r>
            <w:r w:rsidRPr="00B71057">
              <w:rPr>
                <w:rFonts w:eastAsiaTheme="minorEastAsia"/>
                <w:color w:themeColor="text1" w:val="000000"/>
                <w:szCs w:val="21"/>
              </w:rPr>
              <w:t>债：</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
            </w:r>
            <w:r w:rsidRPr="00B71057">
              <w:rPr>
                <w:rFonts w:eastAsiaTheme="minorEastAsia"/>
                <w:color w:themeColor="text1" w:val="000000"/>
                <w:szCs w:val="21"/>
              </w:rPr>
              <w:lastRenderedPageBreak/>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lastRenderedPageBreak/>
              <w:t>短期借款</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交易性金融负债</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衍生金融负债</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卖出回购金融资产款</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31,061,753.41</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应付证券清算款</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300,000.00</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应付赎回款</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应付管理人报酬</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131,248.84</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应付托管费</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37,499.68</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应付销售服务费</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11,951.25</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应付交易费用</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49,009.13</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应交税费</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44,458.06</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应付利息</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55,492.05</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应付利润</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lastRenderedPageBreak/>
              <w:t>递延所得税负债</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其他负债</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426,684.94</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pStyle w:val="af6"/>
              <w:spacing w:line="360" w:lineRule="auto"/>
              <w:jc w:val="both"/>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负债合计</w:t>
            </w:r>
          </w:p>
        </w:tc>
        <w:tc>
          <w:tcPr>
            <w:tcW w:type="dxa" w:w="5223"/>
            <w:hMerge w:val="restart"/>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32,118,097.36</w:t>
            </w:r>
          </w:p>
        </w:tc>
        <w:tc>
          <w:tcPr>
            <w:tcW w:type="dxa" w:w="2530"/>
            <w:hMerge/>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b/>
                <w:color w:themeColor="text1" w:val="000000"/>
                <w:szCs w:val="21"/>
              </w:rPr>
            </w:pPr>
            <w:r w:rsidRPr="00B71057">
              <w:rPr>
                <w:rFonts w:eastAsiaTheme="minorEastAsia"/>
                <w:b/>
                <w:color w:themeColor="text1" w:val="000000"/>
                <w:szCs w:val="21"/>
              </w:rPr>
              <w:t>所有者权益：</w:t>
            </w:r>
          </w:p>
        </w:tc>
        <w:tc>
          <w:tcPr>
            <w:tcW w:type="dxa" w:w="5223"/>
            <w:hMerge w:val="restart"/>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c>
          <w:tcPr>
            <w:tcW w:type="dxa" w:w="2530"/>
            <w:hMerge/>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实收基金</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223,809,792.87</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未分配利润</w:t>
            </w:r>
          </w:p>
        </w:tc>
        <w:tc>
          <w:tcPr>
            <w:tcW w:type="dxa" w:w="5223"/>
            <w:hMerge w:val="restart"/>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-3,983,338.50</w:t>
            </w:r>
          </w:p>
        </w:tc>
        <w:tc>
          <w:tcPr>
            <w:tcW w:type="dxa" w:w="2530"/>
            <w:hMerge/>
            <w:vAlign w:val="center"/>
          </w:tcPr>
          <w:p w:rsidP="009E1A86"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b/>
                <w:color w:themeColor="text1" w:val="000000"/>
                <w:szCs w:val="21"/>
              </w:rPr>
            </w:pPr>
            <w:r w:rsidRPr="00B71057">
              <w:rPr>
                <w:rFonts w:eastAsiaTheme="minorEastAsia"/>
                <w:b/>
                <w:color w:themeColor="text1" w:val="000000"/>
                <w:szCs w:val="21"/>
              </w:rPr>
              <w:t>所有者权益合计</w:t>
            </w:r>
          </w:p>
        </w:tc>
        <w:tc>
          <w:tcPr>
            <w:tcW w:type="dxa" w:w="5223"/>
            <w:hMerge w:val="restart"/>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219,826,454.37</w:t>
            </w:r>
          </w:p>
        </w:tc>
        <w:tc>
          <w:tcPr>
            <w:tcW w:type="dxa" w:w="2530"/>
            <w:hMerge/>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r w:rsidR="00B71057" w:rsidRPr="00B71057" w:rsidTr="00C92A7B">
        <w:tc>
          <w:tcPr>
            <w:tcW w:type="dxa" w:w="3809"/>
            <w:vAlign w:val="center"/>
          </w:tcPr>
          <w:p w:rsidP="00B673C9" w:rsidR="001A46F4" w:rsidRDefault="001A46F4" w:rsidRPr="00B71057">
            <w:pPr>
              <w:spacing w:line="360" w:lineRule="auto"/>
              <w:rPr>
                <w:rFonts w:eastAsiaTheme="minorEastAsia"/>
                <w:b/>
                <w:color w:themeColor="text1" w:val="000000"/>
                <w:szCs w:val="21"/>
              </w:rPr>
            </w:pPr>
            <w:r w:rsidRPr="00B71057">
              <w:rPr>
                <w:rFonts w:eastAsiaTheme="minorEastAsia"/>
                <w:b/>
                <w:color w:themeColor="text1" w:val="000000"/>
                <w:szCs w:val="21"/>
              </w:rPr>
              <w:t>负债和所有者权益总计</w:t>
            </w:r>
          </w:p>
        </w:tc>
        <w:tc>
          <w:tcPr>
            <w:tcW w:type="dxa" w:w="5223"/>
            <w:hMerge w:val="restart"/>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251,944,551.73</w:t>
            </w:r>
          </w:p>
        </w:tc>
        <w:tc>
          <w:tcPr>
            <w:tcW w:type="dxa" w:w="2530"/>
            <w:hMerge/>
            <w:vAlign w:val="center"/>
          </w:tcPr>
          <w:p w:rsidP="009E1A86"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bl>
    <w:p w:rsidP="00C92A7B" w:rsidR="001A59F9"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注：报告截止日2018年12月31日，本基金A类份额净值0.9828元，基金份额195,170,367.44份；本基金C类份额净值为0.9783元，基金份额28,639,425.43份。</w:t>
      </w:r>
    </w:p>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57" w:name="_Toc225498269"/>
      <w:bookmarkStart w:id="58" w:name="_Toc361324874"/>
      <w:r w:rsidRPr="00B71057">
        <w:rPr>
          <w:rFonts w:ascii="Times New Roman" w:eastAsiaTheme="minorEastAsia" w:hAnsi="Times New Roman"/>
          <w:color w:themeColor="text1" w:val="000000"/>
          <w:kern w:val="0"/>
          <w:sz w:val="21"/>
          <w:szCs w:val="21"/>
        </w:rPr>
        <w:t xml:space="preserve">7.2 </w:t>
      </w:r>
      <w:r w:rsidRPr="00B71057">
        <w:rPr>
          <w:rFonts w:ascii="Times New Roman" w:eastAsiaTheme="minorEastAsia" w:hAnsi="Times New Roman"/>
          <w:color w:themeColor="text1" w:val="000000"/>
          <w:kern w:val="0"/>
          <w:sz w:val="21"/>
          <w:szCs w:val="21"/>
        </w:rPr>
        <w:t>利润表</w:t>
      </w:r>
      <w:bookmarkEnd w:id="57"/>
      <w:bookmarkEnd w:id="58"/>
    </w:p>
    <w:p w:rsidP="00251A86" w:rsidR="001A59F9" w:rsidRDefault="001A59F9"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会计主体：</w:t>
      </w:r>
      <w:r w:rsidRPr="00B71057">
        <w:rPr>
          <w:rFonts w:eastAsiaTheme="minorEastAsia"/>
          <w:color w:themeColor="text1" w:val="000000"/>
          <w:kern w:val="0"/>
          <w:szCs w:val="21"/>
        </w:rPr>
        <w:t>新华安享惠钰定期开放债券型证券投资基金</w:t>
      </w:r>
    </w:p>
    <w:p w:rsidP="00251A86" w:rsidR="001A59F9" w:rsidRDefault="001A59F9"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本报告期：</w:t>
      </w:r>
      <w:r w:rsidR="00F64FAD" w:rsidRPr="00B71057">
        <w:rPr>
          <w:rFonts w:eastAsiaTheme="minorEastAsia"/>
          <w:color w:themeColor="text1" w:val="000000"/>
          <w:kern w:val="0"/>
          <w:szCs w:val="21"/>
        </w:rPr>
        <w:t>2018年2月2日（基金合同生效日）</w:t>
      </w:r>
      <w:r w:rsidRPr="00B71057">
        <w:rPr>
          <w:rFonts w:eastAsiaTheme="minorEastAsia"/>
          <w:color w:themeColor="text1" w:val="000000"/>
          <w:kern w:val="0"/>
          <w:szCs w:val="21"/>
        </w:rPr>
        <w:t>至</w:t>
      </w:r>
      <w:r w:rsidR="00F64FAD" w:rsidRPr="00B71057">
        <w:rPr>
          <w:rFonts w:eastAsiaTheme="minorEastAsia"/>
          <w:color w:themeColor="text1" w:val="000000"/>
          <w:kern w:val="0"/>
          <w:szCs w:val="21"/>
        </w:rPr>
        <w:t>2018年12月31日</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单位：人民币元</w:t>
      </w:r>
    </w:p>
    <w:tbl>
      <w:tblPr>
        <w:tblW w:type="dxa" w:w="9011"/>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3657"/>
        <w:gridCol w:w="2835"/>
        <w:gridCol w:w="2519"/>
      </w:tblGrid>
      <w:tr w:rsidR="00B71057" w:rsidRPr="00B71057" w:rsidTr="00C92A7B">
        <w:tc>
          <w:tcPr>
            <w:tcW w:type="dxa" w:w="3657"/>
            <w:vAlign w:val="center"/>
          </w:tcPr>
          <w:p w:rsidP="00026C9C" w:rsidR="001A46F4" w:rsidRDefault="001A46F4" w:rsidRPr="00B71057">
            <w:pPr>
              <w:pStyle w:val="af6"/>
              <w:spacing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项目</w:t>
            </w:r>
          </w:p>
        </w:tc>
        <w:tc>
          <w:tcPr>
            <w:tcW w:type="dxa" w:w="5354"/>
            <w:hMerge w:val="restart"/>
            <w:vAlign w:val="center"/>
          </w:tcPr>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本期</w:t>
            </w:r>
          </w:p>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color w:themeColor="text1" w:val="000000"/>
                <w:sz w:val="21"/>
                <w:szCs w:val="21"/>
              </w:rPr>
              <w:t>2018年2月2日（基金合同生效日）</w:t>
            </w:r>
            <w:r w:rsidRPr="00B71057">
              <w:rPr>
                <w:rFonts w:ascii="Times New Roman" w:eastAsiaTheme="minorEastAsia" w:hAnsi="Times New Roman"/>
                <w:color w:themeColor="text1" w:val="000000"/>
                <w:sz w:val="21"/>
                <w:szCs w:val="21"/>
              </w:rPr>
              <w:t>至</w:t>
            </w:r>
            <w:r w:rsidRPr="00B71057">
              <w:rPr>
                <w:rFonts w:ascii="Times New Roman" w:eastAsiaTheme="minorEastAsia" w:hAnsi="Times New Roman"/>
                <w:color w:themeColor="text1" w:val="000000"/>
                <w:sz w:val="21"/>
                <w:szCs w:val="21"/>
              </w:rPr>
              <w:t>2018年12月31日</w:t>
            </w:r>
          </w:p>
        </w:tc>
        <w:tc>
          <w:tcPr>
            <w:tcW w:type="dxa" w:w="2519"/>
            <w:hMerge/>
            <w:vAlign w:val="center"/>
          </w:tcPr>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上年度可比期间</w:t>
            </w:r>
          </w:p>
          <w:p w:rsidP="00026C9C" w:rsidR="001A46F4" w:rsidRDefault="001A46F4" w:rsidRPr="00B71057">
            <w:pPr>
              <w:pStyle w:val="af6"/>
              <w:spacing w:after="0" w:afterAutospacing="0" w:before="0" w:beforeAutospacing="0" w:line="360" w:lineRule="auto"/>
              <w:jc w:val="center"/>
              <w:rPr>
                <w:rFonts w:ascii="Times New Roman" w:eastAsiaTheme="minorEastAsia" w:hAnsi="Times New Roman"/>
                <w:color w:themeColor="text1" w:val="000000"/>
                <w:sz w:val="21"/>
                <w:szCs w:val="21"/>
              </w:rPr>
            </w:pPr>
            <w:r w:rsidRPr="00B71057">
              <w:rPr>
                <w:rFonts w:ascii="Times New Roman" w:eastAsiaTheme="minorEastAsia" w:hAnsi="Times New Roman"/>
                <w:color w:themeColor="text1" w:val="000000"/>
                <w:sz w:val="21"/>
                <w:szCs w:val="21"/>
              </w:rPr>
              <w:t>-</w:t>
            </w:r>
          </w:p>
        </w:tc>
      </w:tr>
      <w:tr w:rsidR="00B71057" w:rsidRPr="00B71057" w:rsidTr="00C92A7B">
        <w:tc>
          <w:tcPr>
            <w:tcW w:type="dxa" w:w="3657"/>
            <w:vAlign w:val="center"/>
          </w:tcPr>
          <w:p w:rsidP="00011850" w:rsidR="001A46F4" w:rsidRDefault="001A46F4" w:rsidRPr="00B71057">
            <w:pPr>
              <w:spacing w:line="360" w:lineRule="auto"/>
              <w:rPr>
                <w:rFonts w:eastAsiaTheme="minorEastAsia"/>
                <w:b/>
                <w:color w:themeColor="text1" w:val="000000"/>
                <w:szCs w:val="21"/>
              </w:rPr>
            </w:pPr>
            <w:r w:rsidRPr="00B71057">
              <w:rPr>
                <w:rFonts w:eastAsiaTheme="minorEastAsia"/>
                <w:b/>
                <w:color w:themeColor="text1" w:val="000000"/>
                <w:szCs w:val="21"/>
              </w:rPr>
              <w:t>一、收入</w:t>
            </w:r>
          </w:p>
        </w:tc>
        <w:tc>
          <w:tcPr>
            <w:tcW w:type="dxa" w:w="5354"/>
            <w:hMerge w:val="restart"/>
            <w:vAlign w:val="center"/>
          </w:tcPr>
          <w:p w:rsidP="00B673C9"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-418,493.63</w:t>
            </w:r>
          </w:p>
        </w:tc>
        <w:tc>
          <w:tcPr>
            <w:tcW w:type="dxa" w:w="2519"/>
            <w:hMerge/>
            <w:vAlign w:val="center"/>
          </w:tcPr>
          <w:p w:rsidP="00B673C9" w:rsidR="001A46F4" w:rsidRDefault="001A46F4"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r w:rsidR="00B71057" w:rsidRPr="00B71057" w:rsidTr="00C92A7B">
        <w:tc>
          <w:tcPr>
            <w:tcW w:type="dxa" w:w="3657"/>
            <w:vAlign w:val="center"/>
          </w:tcPr>
          <w:p w:rsidP="00011850"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1.</w:t>
            </w:r>
            <w:r w:rsidRPr="00B71057">
              <w:rPr>
                <w:rFonts w:eastAsiaTheme="minorEastAsia"/>
                <w:color w:themeColor="text1" w:val="000000"/>
                <w:szCs w:val="21"/>
              </w:rPr>
              <w:t>利息收入</w:t>
            </w:r>
          </w:p>
        </w:tc>
        <w:tc>
          <w:tcPr>
            <w:tcW w:type="dxa" w:w="5354"/>
            <w:hMerge w:val="restart"/>
            <w:vAlign w:val="center"/>
          </w:tcPr>
          <w:p w:rsidP="00B673C9"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12,549,969.12</w:t>
            </w:r>
          </w:p>
        </w:tc>
        <w:tc>
          <w:tcPr>
            <w:tcW w:type="dxa" w:w="2519"/>
            <w:hMerge/>
            <w:vAlign w:val="center"/>
          </w:tcPr>
          <w:p w:rsidP="00B673C9"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其中：存款利息收入</w:t>
            </w:r>
          </w:p>
        </w:tc>
        <w:tc>
          <w:tcPr>
            <w:tcW w:type="dxa" w:w="5354"/>
            <w:hMerge w:val="restart"/>
            <w:vAlign w:val="center"/>
          </w:tcPr>
          <w:p w:rsidP="00B673C9"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
            </w:r>
            <w:r w:rsidRPr="00B71057">
              <w:rPr>
                <w:rFonts w:eastAsiaTheme="minorEastAsia"/>
                <w:color w:themeColor="text1" w:val="000000"/>
                <w:szCs w:val="21"/>
              </w:rPr>
              <w:lastRenderedPageBreak/>
              <w:t>42,316.37</w:t>
            </w:r>
          </w:p>
        </w:tc>
        <w:tc>
          <w:tcPr>
            <w:tcW w:type="dxa" w:w="2519"/>
            <w:hMerge/>
            <w:vAlign w:val="center"/>
          </w:tcPr>
          <w:p w:rsidP="00B673C9"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lastRenderedPageBreak/>
              <w:t/>
            </w:r>
            <w:r w:rsidRPr="00B71057">
              <w:rPr>
                <w:rFonts w:eastAsiaTheme="minorEastAsia"/>
                <w:color w:themeColor="text1" w:val="000000"/>
                <w:szCs w:val="21"/>
              </w:rPr>
              <w:lastRenderedPageBreak/>
              <w:t>-</w:t>
            </w:r>
          </w:p>
        </w:tc>
      </w:tr>
      <w:tr w:rsidR="00B71057" w:rsidRPr="00B71057" w:rsidTr="00C92A7B">
        <w:tc>
          <w:tcPr>
            <w:tcW w:type="dxa" w:w="3657"/>
            <w:vAlign w:val="center"/>
          </w:tcPr>
          <w:p w:rsidP="00C92A7B"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lastRenderedPageBreak/>
              <w:t>债券利息收入</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11,912,775.92</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C92A7B"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资产支持证券利息收入</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C92A7B"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买入返售金融资产收入</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594,876.83</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C92A7B"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其他利息收入</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2.</w:t>
            </w:r>
            <w:r w:rsidRPr="00B71057">
              <w:rPr>
                <w:rFonts w:eastAsiaTheme="minorEastAsia"/>
                <w:color w:themeColor="text1" w:val="000000"/>
                <w:szCs w:val="21"/>
              </w:rPr>
              <w:t>投资收益（损失以</w:t>
            </w:r>
            <w:r w:rsidRPr="00B71057">
              <w:rPr>
                <w:rFonts w:eastAsiaTheme="minorEastAsia"/>
                <w:color w:themeColor="text1" w:val="000000"/>
                <w:szCs w:val="21"/>
              </w:rPr>
              <w:t>“-”</w:t>
            </w:r>
            <w:r w:rsidRPr="00B71057">
              <w:rPr>
                <w:rFonts w:eastAsiaTheme="minorEastAsia"/>
                <w:color w:themeColor="text1" w:val="000000"/>
                <w:szCs w:val="21"/>
              </w:rPr>
              <w:t>填列）</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-2,634,429.18</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1A46F4" w:rsidRDefault="001A46F4" w:rsidRPr="00B71057">
            <w:pPr>
              <w:spacing w:line="360" w:lineRule="auto"/>
              <w:rPr>
                <w:rFonts w:eastAsiaTheme="minorEastAsia"/>
                <w:color w:themeColor="text1" w:val="000000"/>
                <w:szCs w:val="21"/>
              </w:rPr>
            </w:pPr>
            <w:r w:rsidRPr="00B71057">
              <w:rPr>
                <w:rFonts w:eastAsiaTheme="minorEastAsia"/>
                <w:color w:themeColor="text1" w:val="000000"/>
                <w:szCs w:val="21"/>
              </w:rPr>
              <w:t>其中：股票投资收益</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8B2C7A"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基金投资收益</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tcPr>
          <w:p w:rsidP="008B2C7A"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债券投资收益</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-3,666,738.47</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tcPr>
          <w:p w:rsidP="008B2C7A" w:rsidR="001A46F4" w:rsidRDefault="001A46F4"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资产支持证券投资收益</w:t>
            </w:r>
          </w:p>
        </w:tc>
        <w:tc>
          <w:tcPr>
            <w:tcW w:type="dxa" w:w="5354"/>
            <w:hMerge w:val="restart"/>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1A46F4" w:rsidRDefault="001A46F4"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tcPr>
          <w:p w:rsidP="008B2C7A" w:rsidR="00E53225" w:rsidRDefault="00E53225"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rPr>
              <w:t>贵金属投资收益</w:t>
            </w:r>
          </w:p>
        </w:tc>
        <w:tc>
          <w:tcPr>
            <w:tcW w:type="dxa" w:w="5354"/>
            <w:hMerge w:val="restart"/>
            <w:vAlign w:val="center"/>
          </w:tcPr>
          <w:p w:rsidP="00C92A7B"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C92A7B"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8B2C7A" w:rsidR="00E53225" w:rsidRDefault="00E53225"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衍生工具收益</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8B2C7A" w:rsidR="00E53225" w:rsidRDefault="00E53225"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股利收益</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1,032,309.29</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3.</w:t>
            </w:r>
            <w:r w:rsidRPr="00B71057">
              <w:rPr>
                <w:rFonts w:eastAsiaTheme="minorEastAsia"/>
                <w:color w:themeColor="text1" w:val="000000"/>
                <w:szCs w:val="21"/>
              </w:rPr>
              <w:t>公允价值变动收益（损失以</w:t>
            </w:r>
            <w:r w:rsidRPr="00B71057">
              <w:rPr>
                <w:rFonts w:eastAsiaTheme="minorEastAsia"/>
                <w:color w:themeColor="text1" w:val="000000"/>
                <w:szCs w:val="21"/>
              </w:rPr>
              <w:t>“-”</w:t>
            </w:r>
            <w:r w:rsidRPr="00B71057">
              <w:rPr>
                <w:rFonts w:eastAsiaTheme="minorEastAsia"/>
                <w:color w:themeColor="text1" w:val="000000"/>
                <w:szCs w:val="21"/>
              </w:rPr>
              <w:t>号填列）</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-10,334,033.57</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pStyle w:val="af6"/>
              <w:spacing w:line="360" w:lineRule="auto"/>
              <w:jc w:val="both"/>
              <w:rPr>
                <w:rFonts w:ascii="Times New Roman" w:eastAsiaTheme="minorEastAsia" w:hAnsi="Times New Roman"/>
                <w:color w:themeColor="text1" w:val="000000"/>
                <w:sz w:val="21"/>
                <w:szCs w:val="21"/>
              </w:rPr>
            </w:pPr>
            <w:r w:rsidRPr="00B71057">
              <w:rPr>
                <w:rFonts w:ascii="Times New Roman" w:eastAsiaTheme="minorEastAsia" w:hAnsi="Times New Roman"/>
                <w:color w:themeColor="text1" w:val="000000"/>
                <w:sz w:val="21"/>
                <w:szCs w:val="21"/>
              </w:rPr>
              <w:lastRenderedPageBreak/>
              <w:t>4.</w:t>
            </w:r>
            <w:r w:rsidRPr="00B71057">
              <w:rPr>
                <w:rFonts w:ascii="Times New Roman" w:eastAsiaTheme="minorEastAsia" w:hAnsi="Times New Roman"/>
                <w:color w:themeColor="text1" w:val="000000"/>
                <w:sz w:val="21"/>
                <w:szCs w:val="21"/>
              </w:rPr>
              <w:t>汇兑收益（损失以</w:t>
            </w:r>
            <w:r w:rsidRPr="00B71057">
              <w:rPr>
                <w:rFonts w:ascii="Times New Roman" w:eastAsiaTheme="minorEastAsia" w:hAnsi="Times New Roman"/>
                <w:color w:themeColor="text1" w:val="000000"/>
                <w:sz w:val="21"/>
                <w:szCs w:val="21"/>
              </w:rPr>
              <w:t>“</w:t>
            </w:r>
            <w:r w:rsidRPr="00B71057">
              <w:rPr>
                <w:rFonts w:ascii="Times New Roman" w:eastAsiaTheme="minorEastAsia" w:hAnsi="Times New Roman"/>
                <w:color w:themeColor="text1" w:val="000000"/>
                <w:sz w:val="21"/>
                <w:szCs w:val="21"/>
              </w:rPr>
              <w:t>－</w:t>
            </w:r>
            <w:r w:rsidRPr="00B71057">
              <w:rPr>
                <w:rFonts w:ascii="Times New Roman" w:eastAsiaTheme="minorEastAsia" w:hAnsi="Times New Roman"/>
                <w:color w:themeColor="text1" w:val="000000"/>
                <w:sz w:val="21"/>
                <w:szCs w:val="21"/>
              </w:rPr>
              <w:t>”</w:t>
            </w:r>
            <w:r w:rsidRPr="00B71057">
              <w:rPr>
                <w:rFonts w:ascii="Times New Roman" w:eastAsiaTheme="minorEastAsia" w:hAnsi="Times New Roman"/>
                <w:color w:themeColor="text1" w:val="000000"/>
                <w:sz w:val="21"/>
                <w:szCs w:val="21"/>
              </w:rPr>
              <w:t>号填列）</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5.</w:t>
            </w:r>
            <w:r w:rsidRPr="00B71057">
              <w:rPr>
                <w:rFonts w:eastAsiaTheme="minorEastAsia"/>
                <w:color w:themeColor="text1" w:val="000000"/>
                <w:szCs w:val="21"/>
              </w:rPr>
              <w:t>其他收入（损失以</w:t>
            </w:r>
            <w:r w:rsidRPr="00B71057">
              <w:rPr>
                <w:rFonts w:eastAsiaTheme="minorEastAsia"/>
                <w:color w:themeColor="text1" w:val="000000"/>
                <w:szCs w:val="21"/>
              </w:rPr>
              <w:t>“-”</w:t>
            </w:r>
            <w:r w:rsidRPr="00B71057">
              <w:rPr>
                <w:rFonts w:eastAsiaTheme="minorEastAsia"/>
                <w:color w:themeColor="text1" w:val="000000"/>
                <w:szCs w:val="21"/>
              </w:rPr>
              <w:t>号填列）</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b/>
                <w:color w:themeColor="text1" w:val="000000"/>
                <w:szCs w:val="21"/>
              </w:rPr>
            </w:pPr>
            <w:r w:rsidRPr="00B71057">
              <w:rPr>
                <w:rFonts w:eastAsiaTheme="minorEastAsia"/>
                <w:b/>
                <w:color w:themeColor="text1" w:val="000000"/>
                <w:szCs w:val="21"/>
              </w:rPr>
              <w:t>减：二、费用</w:t>
            </w:r>
          </w:p>
        </w:tc>
        <w:tc>
          <w:tcPr>
            <w:tcW w:type="dxa" w:w="5354"/>
            <w:hMerge w:val="restart"/>
            <w:vAlign w:val="center"/>
          </w:tcPr>
          <w:p w:rsidP="00011850" w:rsidR="00E53225" w:rsidRDefault="00E53225"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3,564,844.87</w:t>
            </w:r>
          </w:p>
        </w:tc>
        <w:tc>
          <w:tcPr>
            <w:tcW w:type="dxa" w:w="2519"/>
            <w:hMerge/>
            <w:vAlign w:val="center"/>
          </w:tcPr>
          <w:p w:rsidP="00011850" w:rsidR="00E53225" w:rsidRDefault="00E53225"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1</w:t>
            </w:r>
            <w:r w:rsidRPr="00B71057">
              <w:rPr>
                <w:rFonts w:eastAsiaTheme="minorEastAsia"/>
                <w:color w:themeColor="text1" w:val="000000"/>
                <w:szCs w:val="21"/>
              </w:rPr>
              <w:t>．管理人报酬</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1,398,625.28</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2</w:t>
            </w:r>
            <w:r w:rsidRPr="00B71057">
              <w:rPr>
                <w:rFonts w:eastAsiaTheme="minorEastAsia"/>
                <w:color w:themeColor="text1" w:val="000000"/>
                <w:szCs w:val="21"/>
              </w:rPr>
              <w:t>．托管费</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399,607.26</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3</w:t>
            </w:r>
            <w:r w:rsidRPr="00B71057">
              <w:rPr>
                <w:rFonts w:eastAsiaTheme="minorEastAsia"/>
                <w:color w:themeColor="text1" w:val="000000"/>
                <w:szCs w:val="21"/>
              </w:rPr>
              <w:t>．销售服务费</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127,585.22</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4</w:t>
            </w:r>
            <w:r w:rsidRPr="00B71057">
              <w:rPr>
                <w:rFonts w:eastAsiaTheme="minorEastAsia"/>
                <w:color w:themeColor="text1" w:val="000000"/>
                <w:szCs w:val="21"/>
              </w:rPr>
              <w:t>．交易费用</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62,564.52</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5</w:t>
            </w:r>
            <w:r w:rsidRPr="00B71057">
              <w:rPr>
                <w:rFonts w:eastAsiaTheme="minorEastAsia"/>
                <w:color w:themeColor="text1" w:val="000000"/>
                <w:szCs w:val="21"/>
              </w:rPr>
              <w:t>．利息支出</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1,074,452.16</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92A7B">
        <w:tc>
          <w:tcPr>
            <w:tcW w:type="dxa" w:w="3657"/>
            <w:vAlign w:val="center"/>
          </w:tcPr>
          <w:p w:rsidP="00011850" w:rsidR="00E53225" w:rsidRDefault="00E53225" w:rsidRPr="00B71057">
            <w:pPr>
              <w:spacing w:line="360" w:lineRule="auto"/>
              <w:rPr>
                <w:rFonts w:eastAsiaTheme="minorEastAsia"/>
                <w:color w:themeColor="text1" w:val="000000"/>
                <w:szCs w:val="21"/>
              </w:rPr>
            </w:pPr>
            <w:r w:rsidRPr="00B71057">
              <w:rPr>
                <w:rFonts w:eastAsiaTheme="minorEastAsia"/>
                <w:color w:themeColor="text1" w:val="000000"/>
                <w:szCs w:val="21"/>
              </w:rPr>
              <w:t>其中：卖出回购金融资产支出</w:t>
            </w:r>
          </w:p>
        </w:tc>
        <w:tc>
          <w:tcPr>
            <w:tcW w:type="dxa" w:w="5354"/>
            <w:hMerge w:val="restart"/>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1,074,452.16</w:t>
            </w:r>
          </w:p>
        </w:tc>
        <w:tc>
          <w:tcPr>
            <w:tcW w:type="dxa" w:w="2519"/>
            <w:hMerge/>
            <w:vAlign w:val="center"/>
          </w:tcPr>
          <w:p w:rsidP="00011850" w:rsidR="00E53225" w:rsidRDefault="00E5322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522213" w:rsidRPr="00B71057" w:rsidTr="002F7084">
        <w:tc>
          <w:tcPr>
            <w:tcW w:type="dxa" w:w="3657"/>
            <w:vAlign w:val="center"/>
          </w:tcPr>
          <w:p w:rsidP="005D402D" w:rsidR="00522213" w:rsidRDefault="00522213" w:rsidRPr="007B32C0">
            <w:pPr>
              <w:rPr>
                <w:rFonts w:eastAsiaTheme="minorEastAsia"/>
                <w:color w:val="000000"/>
                <w:szCs w:val="21"/>
              </w:rPr>
            </w:pPr>
            <w:r w:rsidRPr="007B32C0">
              <w:rPr>
                <w:rFonts w:eastAsiaTheme="minorEastAsia" w:hint="eastAsia"/>
                <w:color w:val="000000"/>
                <w:szCs w:val="21"/>
              </w:rPr>
              <w:t>6</w:t>
            </w:r>
            <w:r w:rsidRPr="007B32C0">
              <w:rPr>
                <w:rFonts w:eastAsiaTheme="minorEastAsia"/>
                <w:color w:val="000000"/>
                <w:szCs w:val="21"/>
              </w:rPr>
              <w:t>．</w:t>
            </w:r>
            <w:r w:rsidRPr="007B32C0">
              <w:rPr>
                <w:rFonts w:eastAsiaTheme="minorEastAsia" w:hint="eastAsia"/>
                <w:color w:val="000000"/>
                <w:szCs w:val="21"/>
              </w:rPr>
              <w:t>税金及附加</w:t>
            </w:r>
          </w:p>
        </w:tc>
        <w:tc>
          <w:tcPr>
            <w:tcW w:type="dxa" w:w="5354"/>
            <w:hMerge w:val="restart"/>
            <w:vAlign w:val="bottom"/>
          </w:tcPr>
          <w:p w:rsidP="005D402D" w:rsidR="00522213" w:rsidRDefault="00522213" w:rsidRPr="007B32C0">
            <w:pPr>
              <w:jc w:val="right"/>
              <w:rPr>
                <w:rFonts w:eastAsiaTheme="minorEastAsia"/>
                <w:color w:val="000000"/>
                <w:szCs w:val="21"/>
              </w:rPr>
            </w:pPr>
            <w:r w:rsidRPr="007B32C0">
              <w:rPr>
                <w:rFonts w:eastAsiaTheme="minorEastAsia"/>
                <w:color w:val="000000"/>
                <w:szCs w:val="21"/>
              </w:rPr>
              <w:t>42,678.96</w:t>
            </w:r>
          </w:p>
        </w:tc>
        <w:tc>
          <w:tcPr>
            <w:tcW w:type="dxa" w:w="2519"/>
            <w:hMerge/>
            <w:vAlign w:val="bottom"/>
          </w:tcPr>
          <w:p w:rsidP="005D402D" w:rsidR="00522213" w:rsidRDefault="00522213" w:rsidRPr="007B32C0">
            <w:pPr>
              <w:jc w:val="right"/>
              <w:rPr>
                <w:rFonts w:eastAsiaTheme="minorEastAsia"/>
                <w:color w:val="000000"/>
                <w:szCs w:val="21"/>
              </w:rPr>
            </w:pPr>
            <w:r w:rsidRPr="007B32C0">
              <w:rPr>
                <w:rFonts w:eastAsiaTheme="minorEastAsia"/>
                <w:color w:val="000000"/>
                <w:szCs w:val="21"/>
              </w:rPr>
              <w:t>-</w:t>
            </w:r>
          </w:p>
        </w:tc>
      </w:tr>
      <w:tr w:rsidR="00522213" w:rsidRPr="00B71057" w:rsidTr="00C92A7B">
        <w:tc>
          <w:tcPr>
            <w:tcW w:type="dxa" w:w="3657"/>
            <w:vAlign w:val="center"/>
          </w:tcPr>
          <w:p w:rsidP="00011850" w:rsidR="00522213" w:rsidRDefault="00522213" w:rsidRPr="00B71057">
            <w:pPr>
              <w:spacing w:line="360" w:lineRule="auto"/>
              <w:rPr>
                <w:rFonts w:eastAsiaTheme="minorEastAsia"/>
                <w:color w:themeColor="text1" w:val="000000"/>
                <w:szCs w:val="21"/>
              </w:rPr>
            </w:pPr>
            <w:r>
              <w:rPr>
                <w:rFonts w:eastAsiaTheme="minorEastAsia" w:hint="eastAsia"/>
                <w:color w:themeColor="text1" w:val="000000"/>
                <w:szCs w:val="21"/>
              </w:rPr>
              <w:t>7</w:t>
            </w:r>
            <w:bookmarkStart w:id="59" w:name="_GoBack"/>
            <w:bookmarkEnd w:id="59"/>
            <w:r w:rsidRPr="00B71057">
              <w:rPr>
                <w:rFonts w:eastAsiaTheme="minorEastAsia"/>
                <w:color w:themeColor="text1" w:val="000000"/>
                <w:szCs w:val="21"/>
              </w:rPr>
              <w:t>．其他费用</w:t>
            </w:r>
          </w:p>
        </w:tc>
        <w:tc>
          <w:tcPr>
            <w:tcW w:type="dxa" w:w="5354"/>
            <w:hMerge w:val="restart"/>
            <w:vAlign w:val="center"/>
          </w:tcPr>
          <w:p w:rsidP="00011850" w:rsidR="00522213" w:rsidRDefault="00522213"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459,331.47</w:t>
            </w:r>
          </w:p>
        </w:tc>
        <w:tc>
          <w:tcPr>
            <w:tcW w:type="dxa" w:w="2519"/>
            <w:hMerge/>
            <w:vAlign w:val="center"/>
          </w:tcPr>
          <w:p w:rsidP="00011850" w:rsidR="00522213" w:rsidRDefault="00522213"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522213" w:rsidRPr="00B71057" w:rsidTr="00C92A7B">
        <w:tc>
          <w:tcPr>
            <w:tcW w:type="dxa" w:w="3657"/>
            <w:vAlign w:val="center"/>
          </w:tcPr>
          <w:p w:rsidP="00011850" w:rsidR="00522213" w:rsidRDefault="00522213" w:rsidRPr="00B71057">
            <w:pPr>
              <w:spacing w:line="360" w:lineRule="auto"/>
              <w:rPr>
                <w:rFonts w:eastAsiaTheme="minorEastAsia"/>
                <w:b/>
                <w:color w:themeColor="text1" w:val="000000"/>
                <w:szCs w:val="21"/>
              </w:rPr>
            </w:pPr>
            <w:r w:rsidRPr="00B71057">
              <w:rPr>
                <w:rFonts w:eastAsiaTheme="minorEastAsia"/>
                <w:b/>
                <w:color w:themeColor="text1" w:val="000000"/>
                <w:szCs w:val="21"/>
              </w:rPr>
              <w:t>三、利润总额（亏损总额以</w:t>
            </w:r>
            <w:r w:rsidRPr="00B71057">
              <w:rPr>
                <w:rFonts w:eastAsiaTheme="minorEastAsia"/>
                <w:b/>
                <w:color w:themeColor="text1" w:val="000000"/>
                <w:szCs w:val="21"/>
              </w:rPr>
              <w:t>“-”</w:t>
            </w:r>
            <w:r w:rsidRPr="00B71057">
              <w:rPr>
                <w:rFonts w:eastAsiaTheme="minorEastAsia"/>
                <w:b/>
                <w:color w:themeColor="text1" w:val="000000"/>
                <w:szCs w:val="21"/>
              </w:rPr>
              <w:t>号填列）</w:t>
            </w:r>
          </w:p>
        </w:tc>
        <w:tc>
          <w:tcPr>
            <w:tcW w:type="dxa" w:w="5354"/>
            <w:hMerge w:val="restart"/>
            <w:vAlign w:val="center"/>
          </w:tcPr>
          <w:p w:rsidP="00011850" w:rsidR="00522213" w:rsidRDefault="00522213"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-3,983,338.50</w:t>
            </w:r>
          </w:p>
        </w:tc>
        <w:tc>
          <w:tcPr>
            <w:tcW w:type="dxa" w:w="2519"/>
            <w:hMerge/>
            <w:vAlign w:val="center"/>
          </w:tcPr>
          <w:p w:rsidP="00011850" w:rsidR="00522213" w:rsidRDefault="00522213"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r w:rsidR="00522213" w:rsidRPr="00B71057" w:rsidTr="00C92A7B">
        <w:tc>
          <w:tcPr>
            <w:tcW w:type="dxa" w:w="3657"/>
            <w:vAlign w:val="center"/>
          </w:tcPr>
          <w:p w:rsidP="00011850" w:rsidR="00522213" w:rsidRDefault="00522213" w:rsidRPr="00B71057">
            <w:pPr>
              <w:spacing w:line="360" w:lineRule="auto"/>
              <w:rPr>
                <w:rFonts w:eastAsiaTheme="minorEastAsia"/>
                <w:b/>
                <w:color w:themeColor="text1" w:val="000000"/>
                <w:szCs w:val="21"/>
              </w:rPr>
            </w:pPr>
            <w:r w:rsidRPr="00B71057">
              <w:rPr>
                <w:rFonts w:eastAsiaTheme="minorEastAsia"/>
                <w:color w:themeColor="text1" w:val="000000"/>
                <w:szCs w:val="21"/>
              </w:rPr>
              <w:t>减：所得税费用</w:t>
            </w:r>
          </w:p>
        </w:tc>
        <w:tc>
          <w:tcPr>
            <w:tcW w:type="dxa" w:w="5354"/>
            <w:hMerge w:val="restart"/>
            <w:vAlign w:val="center"/>
          </w:tcPr>
          <w:p w:rsidP="00011850" w:rsidR="00522213" w:rsidRDefault="00522213"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519"/>
            <w:hMerge/>
            <w:vAlign w:val="center"/>
          </w:tcPr>
          <w:p w:rsidP="00011850" w:rsidR="00522213" w:rsidRDefault="00522213"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522213" w:rsidRPr="00B71057" w:rsidTr="00C92A7B">
        <w:tc>
          <w:tcPr>
            <w:tcW w:type="dxa" w:w="3657"/>
            <w:vAlign w:val="center"/>
          </w:tcPr>
          <w:p w:rsidP="00011850" w:rsidR="00522213" w:rsidRDefault="00522213" w:rsidRPr="00B71057">
            <w:pPr>
              <w:spacing w:line="360" w:lineRule="auto"/>
              <w:rPr>
                <w:rFonts w:eastAsiaTheme="minorEastAsia"/>
                <w:b/>
                <w:color w:themeColor="text1" w:val="000000"/>
                <w:szCs w:val="21"/>
              </w:rPr>
            </w:pPr>
            <w:r w:rsidRPr="00B71057">
              <w:rPr>
                <w:rFonts w:eastAsiaTheme="minorEastAsia"/>
                <w:b/>
                <w:color w:themeColor="text1" w:val="000000"/>
                <w:szCs w:val="21"/>
              </w:rPr>
              <w:t>四、净利润（净亏损以</w:t>
            </w:r>
            <w:r w:rsidRPr="00B71057">
              <w:rPr>
                <w:rFonts w:eastAsiaTheme="minorEastAsia"/>
                <w:b/>
                <w:color w:themeColor="text1" w:val="000000"/>
                <w:szCs w:val="21"/>
              </w:rPr>
              <w:t>“-”</w:t>
            </w:r>
            <w:r w:rsidRPr="00B71057">
              <w:rPr>
                <w:rFonts w:eastAsiaTheme="minorEastAsia"/>
                <w:b/>
                <w:color w:themeColor="text1" w:val="000000"/>
                <w:szCs w:val="21"/>
              </w:rPr>
              <w:t>号填列）</w:t>
            </w:r>
          </w:p>
        </w:tc>
        <w:tc>
          <w:tcPr>
            <w:tcW w:type="dxa" w:w="5354"/>
            <w:hMerge w:val="restart"/>
            <w:vAlign w:val="center"/>
          </w:tcPr>
          <w:p w:rsidP="00011850" w:rsidR="00522213" w:rsidRDefault="00522213"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-3,983,338.50</w:t>
            </w:r>
          </w:p>
        </w:tc>
        <w:tc>
          <w:tcPr>
            <w:tcW w:type="dxa" w:w="2519"/>
            <w:hMerge/>
            <w:vAlign w:val="center"/>
          </w:tcPr>
          <w:p w:rsidP="00011850" w:rsidR="00522213" w:rsidRDefault="00522213" w:rsidRPr="00B71057">
            <w:pPr>
              <w:spacing w:line="360" w:lineRule="auto"/>
              <w:jc w:val="right"/>
              <w:rPr>
                <w:rFonts w:eastAsiaTheme="minorEastAsia"/>
                <w:b/>
                <w:color w:themeColor="text1" w:val="000000"/>
                <w:szCs w:val="21"/>
              </w:rPr>
            </w:pPr>
            <w:r w:rsidRPr="00B71057">
              <w:rPr>
                <w:rFonts w:eastAsiaTheme="minorEastAsia"/>
                <w:b/>
                <w:color w:themeColor="text1" w:val="000000"/>
                <w:szCs w:val="21"/>
              </w:rPr>
              <w:t>-</w:t>
            </w:r>
          </w:p>
        </w:tc>
      </w:tr>
    </w:tbl>
    <w:p w:rsidP="00C92A7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60" w:name="_Toc225498270"/>
      <w:bookmarkStart w:id="61" w:name="_Toc361324875"/>
      <w:r w:rsidRPr="00B71057">
        <w:rPr>
          <w:rFonts w:ascii="Times New Roman" w:eastAsiaTheme="minorEastAsia" w:hAnsi="Times New Roman"/>
          <w:color w:themeColor="text1" w:val="000000"/>
          <w:kern w:val="0"/>
          <w:sz w:val="21"/>
          <w:szCs w:val="21"/>
        </w:rPr>
        <w:lastRenderedPageBreak/>
        <w:t xml:space="preserve">7.3 </w:t>
      </w:r>
      <w:r w:rsidRPr="00B71057">
        <w:rPr>
          <w:rFonts w:ascii="Times New Roman" w:eastAsiaTheme="minorEastAsia" w:hAnsi="Times New Roman"/>
          <w:color w:themeColor="text1" w:val="000000"/>
          <w:kern w:val="0"/>
          <w:sz w:val="21"/>
          <w:szCs w:val="21"/>
        </w:rPr>
        <w:t>所有者权益（基金净值）变动表</w:t>
      </w:r>
      <w:bookmarkEnd w:id="60"/>
      <w:bookmarkEnd w:id="61"/>
    </w:p>
    <w:p w:rsidP="00251A86" w:rsidR="001A59F9" w:rsidRDefault="001A59F9"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会计主体：</w:t>
      </w:r>
      <w:r w:rsidRPr="00B71057">
        <w:rPr>
          <w:rFonts w:eastAsiaTheme="minorEastAsia"/>
          <w:color w:themeColor="text1" w:val="000000"/>
          <w:kern w:val="0"/>
          <w:szCs w:val="21"/>
        </w:rPr>
        <w:t>新华安享惠钰定期开放债券型证券投资基金</w:t>
      </w:r>
    </w:p>
    <w:p w:rsidP="00251A86" w:rsidR="001A59F9" w:rsidRDefault="001A59F9"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本报告期：</w:t>
      </w:r>
      <w:r w:rsidR="00F64FAD" w:rsidRPr="00B71057">
        <w:rPr>
          <w:rFonts w:eastAsiaTheme="minorEastAsia"/>
          <w:color w:themeColor="text1" w:val="000000"/>
          <w:kern w:val="0"/>
          <w:szCs w:val="21"/>
        </w:rPr>
        <w:t>2018年2月2日（基金合同生效日）</w:t>
      </w:r>
      <w:r w:rsidRPr="00B71057">
        <w:rPr>
          <w:rFonts w:eastAsiaTheme="minorEastAsia"/>
          <w:color w:themeColor="text1" w:val="000000"/>
          <w:kern w:val="0"/>
          <w:szCs w:val="21"/>
        </w:rPr>
        <w:t>至</w:t>
      </w:r>
      <w:r w:rsidR="00F64FAD" w:rsidRPr="00B71057">
        <w:rPr>
          <w:rFonts w:eastAsiaTheme="minorEastAsia"/>
          <w:color w:themeColor="text1" w:val="000000"/>
          <w:kern w:val="0"/>
          <w:szCs w:val="21"/>
        </w:rPr>
        <w:t>2018年12月31日</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单位：人民币元</w:t>
      </w:r>
    </w:p>
    <w:tbl>
      <w:tblPr>
        <w:tblW w:type="dxa" w:w="900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2410"/>
        <w:gridCol w:w="2196"/>
        <w:gridCol w:w="2197"/>
        <w:gridCol w:w="2197"/>
      </w:tblGrid>
      <w:tr w:rsidR="00B71057" w:rsidRPr="00B71057" w:rsidTr="0009357E">
        <w:tc>
          <w:tcPr>
            <w:tcW w:type="dxa" w:w="2410"/>
            <w:vMerge w:val="restart"/>
            <w:vAlign w:val="center"/>
          </w:tcPr>
          <w:p w:rsidP="00026C9C" w:rsidR="001A59F9" w:rsidRDefault="001A59F9"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项目</w:t>
            </w:r>
          </w:p>
        </w:tc>
        <w:tc>
          <w:tcPr>
            <w:tcW w:type="dxa" w:w="6590"/>
            <w:gridSpan w:val="3"/>
            <w:vAlign w:val="center"/>
          </w:tcPr>
          <w:p w:rsidP="00026C9C" w:rsidR="001A59F9" w:rsidRDefault="001A59F9"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本期</w:t>
            </w:r>
          </w:p>
          <w:p w:rsidP="00026C9C" w:rsidR="001A59F9" w:rsidRDefault="00F64FAD" w:rsidRPr="00B71057">
            <w:pPr>
              <w:pStyle w:val="af6"/>
              <w:spacing w:after="0" w:afterAutospacing="0" w:before="0" w:beforeAutospacing="0" w:line="360" w:lineRule="auto"/>
              <w:jc w:val="center"/>
              <w:rPr>
                <w:rFonts w:ascii="Times New Roman" w:eastAsiaTheme="minorEastAsia" w:hAnsi="Times New Roman"/>
                <w:b/>
                <w:color w:themeColor="text1" w:val="000000"/>
                <w:sz w:val="21"/>
                <w:szCs w:val="21"/>
              </w:rPr>
            </w:pPr>
            <w:r w:rsidRPr="00B71057">
              <w:rPr>
                <w:rFonts w:ascii="Times New Roman" w:eastAsiaTheme="minorEastAsia" w:hAnsi="Times New Roman"/>
                <w:b/>
                <w:color w:themeColor="text1" w:val="000000"/>
                <w:sz w:val="21"/>
                <w:szCs w:val="21"/>
              </w:rPr>
              <w:t>2018年2月2日（基金合同生效日）</w:t>
            </w:r>
            <w:r w:rsidR="001A59F9" w:rsidRPr="00B71057">
              <w:rPr>
                <w:rFonts w:ascii="Times New Roman" w:eastAsiaTheme="minorEastAsia" w:hAnsi="Times New Roman"/>
                <w:b/>
                <w:color w:themeColor="text1" w:val="000000"/>
                <w:sz w:val="21"/>
                <w:szCs w:val="21"/>
              </w:rPr>
              <w:t>至</w:t>
            </w:r>
            <w:r w:rsidRPr="00B71057">
              <w:rPr>
                <w:rFonts w:ascii="Times New Roman" w:eastAsiaTheme="minorEastAsia" w:hAnsi="Times New Roman"/>
                <w:b/>
                <w:color w:themeColor="text1" w:val="000000"/>
                <w:sz w:val="21"/>
                <w:szCs w:val="21"/>
              </w:rPr>
              <w:t>2018年12月31日</w:t>
            </w:r>
          </w:p>
        </w:tc>
      </w:tr>
      <w:tr w:rsidR="00B71057" w:rsidRPr="00B71057" w:rsidTr="0009357E">
        <w:tc>
          <w:tcPr>
            <w:tcW w:type="dxa" w:w="2410"/>
            <w:vMerge/>
            <w:vAlign w:val="center"/>
          </w:tcPr>
          <w:p w:rsidP="00026C9C" w:rsidR="001A59F9" w:rsidRDefault="001A59F9" w:rsidRPr="00B71057">
            <w:pPr>
              <w:widowControl/>
              <w:spacing w:line="360" w:lineRule="auto"/>
              <w:jc w:val="left"/>
              <w:rPr>
                <w:rFonts w:eastAsiaTheme="minorEastAsia"/>
                <w:b/>
                <w:color w:themeColor="text1" w:val="000000"/>
                <w:szCs w:val="21"/>
              </w:rPr>
            </w:pPr>
          </w:p>
        </w:tc>
        <w:tc>
          <w:tcPr>
            <w:tcW w:type="dxa" w:w="2196"/>
            <w:vAlign w:val="center"/>
          </w:tcPr>
          <w:p w:rsidP="00026C9C" w:rsidR="001A59F9" w:rsidRDefault="001A59F9"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实收基金</w:t>
            </w:r>
          </w:p>
        </w:tc>
        <w:tc>
          <w:tcPr>
            <w:tcW w:type="dxa" w:w="2197"/>
            <w:vAlign w:val="center"/>
          </w:tcPr>
          <w:p w:rsidP="00026C9C" w:rsidR="001A59F9" w:rsidRDefault="001A59F9" w:rsidRPr="00B71057">
            <w:pPr>
              <w:spacing w:line="360" w:lineRule="auto"/>
              <w:jc w:val="center"/>
              <w:rPr>
                <w:rFonts w:eastAsiaTheme="minorEastAsia"/>
                <w:b/>
                <w:color w:themeColor="text1" w:val="000000"/>
                <w:szCs w:val="21"/>
              </w:rPr>
            </w:pPr>
            <w:r w:rsidRPr="00B71057">
              <w:rPr>
                <w:rFonts w:eastAsiaTheme="minorEastAsia"/>
                <w:b/>
                <w:color w:themeColor="text1" w:val="000000"/>
                <w:szCs w:val="21"/>
              </w:rPr>
              <w:t>未分配利润</w:t>
            </w:r>
          </w:p>
        </w:tc>
        <w:tc>
          <w:tcPr>
            <w:tcW w:type="dxa" w:w="2197"/>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b/>
                <w:color w:themeColor="text1" w:val="000000"/>
                <w:szCs w:val="21"/>
              </w:rPr>
              <w:t>所有者权益合计</w:t>
            </w:r>
          </w:p>
        </w:tc>
      </w:tr>
      <w:tr w:rsidR="00B71057" w:rsidRPr="00B71057" w:rsidTr="0009357E">
        <w:tc>
          <w:tcPr>
            <w:tcW w:type="dxa" w:w="2410"/>
            <w:vAlign w:val="center"/>
          </w:tcPr>
          <w:p w:rsidP="00B06615"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一、期初所有者权益（基金净值）</w:t>
            </w:r>
          </w:p>
        </w:tc>
        <w:tc>
          <w:tcPr>
            <w:tcW w:type="dxa" w:w="2196"/>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223,809,792.87</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223,809,792.87</w:t>
            </w:r>
          </w:p>
        </w:tc>
      </w:tr>
      <w:tr w:rsidR="00B71057" w:rsidRPr="00B71057" w:rsidTr="0009357E">
        <w:tc>
          <w:tcPr>
            <w:tcW w:type="dxa" w:w="2410"/>
            <w:vAlign w:val="center"/>
          </w:tcPr>
          <w:p w:rsidP="00B06615"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二、本期经营活动产生的基金净值变动数（本期利润）</w:t>
            </w:r>
          </w:p>
        </w:tc>
        <w:tc>
          <w:tcPr>
            <w:tcW w:type="dxa" w:w="2196"/>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-3,983,338.50</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-3,983,338.50</w:t>
            </w:r>
          </w:p>
        </w:tc>
      </w:tr>
      <w:tr w:rsidR="00B71057" w:rsidRPr="00B71057" w:rsidTr="0009357E">
        <w:tc>
          <w:tcPr>
            <w:tcW w:type="dxa" w:w="2410"/>
            <w:vAlign w:val="center"/>
          </w:tcPr>
          <w:p w:rsidP="00B06615"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三、本期基金份额交易产生的基金净值变动数（净值减少以</w:t>
            </w:r>
            <w:r w:rsidRPr="00B71057">
              <w:rPr>
                <w:rFonts w:eastAsiaTheme="minorEastAsia"/>
                <w:color w:themeColor="text1" w:val="000000"/>
                <w:szCs w:val="21"/>
              </w:rPr>
              <w:t>“-”</w:t>
            </w:r>
            <w:r w:rsidRPr="00B71057">
              <w:rPr>
                <w:rFonts w:eastAsiaTheme="minorEastAsia"/>
                <w:color w:themeColor="text1" w:val="000000"/>
                <w:szCs w:val="21"/>
              </w:rPr>
              <w:t>号填列）</w:t>
            </w:r>
          </w:p>
        </w:tc>
        <w:tc>
          <w:tcPr>
            <w:tcW w:type="dxa" w:w="2196"/>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09357E">
        <w:tc>
          <w:tcPr>
            <w:tcW w:type="dxa" w:w="2410"/>
            <w:vAlign w:val="center"/>
          </w:tcPr>
          <w:p w:rsidP="00B06615"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其中：</w:t>
            </w:r>
            <w:r w:rsidRPr="00B71057">
              <w:rPr>
                <w:rFonts w:eastAsiaTheme="minorEastAsia"/>
                <w:color w:themeColor="text1" w:val="000000"/>
                <w:szCs w:val="21"/>
              </w:rPr>
              <w:t>1.</w:t>
            </w:r>
            <w:r w:rsidRPr="00B71057">
              <w:rPr>
                <w:rFonts w:eastAsiaTheme="minorEastAsia"/>
                <w:color w:themeColor="text1" w:val="000000"/>
                <w:szCs w:val="21"/>
              </w:rPr>
              <w:t>基金申购款</w:t>
            </w:r>
          </w:p>
        </w:tc>
        <w:tc>
          <w:tcPr>
            <w:tcW w:type="dxa" w:w="2196"/>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09357E">
        <w:tc>
          <w:tcPr>
            <w:tcW w:type="dxa" w:w="2410"/>
            <w:vAlign w:val="center"/>
          </w:tcPr>
          <w:p w:rsidP="008B2C7A" w:rsidR="001A59F9" w:rsidRDefault="001A59F9" w:rsidRPr="00B71057">
            <w:pPr>
              <w:spacing w:line="360" w:lineRule="auto"/>
              <w:ind w:firstLine="630" w:firstLineChars="300"/>
              <w:rPr>
                <w:rFonts w:eastAsiaTheme="minorEastAsia"/>
                <w:color w:themeColor="text1" w:val="000000"/>
                <w:szCs w:val="21"/>
              </w:rPr>
            </w:pPr>
            <w:r w:rsidRPr="00B71057">
              <w:rPr>
                <w:rFonts w:eastAsiaTheme="minorEastAsia"/>
                <w:color w:themeColor="text1" w:val="000000"/>
                <w:szCs w:val="21"/>
              </w:rPr>
              <w:t>2.</w:t>
            </w:r>
            <w:r w:rsidRPr="00B71057">
              <w:rPr>
                <w:rFonts w:eastAsiaTheme="minorEastAsia"/>
                <w:color w:themeColor="text1" w:val="000000"/>
                <w:szCs w:val="21"/>
              </w:rPr>
              <w:t>基金赎回款</w:t>
            </w:r>
          </w:p>
        </w:tc>
        <w:tc>
          <w:tcPr>
            <w:tcW w:type="dxa" w:w="2196"/>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09357E">
        <w:tc>
          <w:tcPr>
            <w:tcW w:type="dxa" w:w="2410"/>
            <w:vAlign w:val="center"/>
          </w:tcPr>
          <w:p w:rsidP="00B06615"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四、本期向基金份额持有人分配利润产生的基金净值变动（净值减少以</w:t>
            </w:r>
            <w:r w:rsidRPr="00B71057">
              <w:rPr>
                <w:rFonts w:eastAsiaTheme="minorEastAsia"/>
                <w:color w:themeColor="text1" w:val="000000"/>
                <w:szCs w:val="21"/>
              </w:rPr>
              <w:t>“-”</w:t>
            </w:r>
            <w:r w:rsidRPr="00B71057">
              <w:rPr>
                <w:rFonts w:eastAsiaTheme="minorEastAsia"/>
                <w:color w:themeColor="text1" w:val="000000"/>
                <w:szCs w:val="21"/>
              </w:rPr>
              <w:t>号填列）</w:t>
            </w:r>
          </w:p>
        </w:tc>
        <w:tc>
          <w:tcPr>
            <w:tcW w:type="dxa" w:w="2196"/>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09357E">
        <w:tc>
          <w:tcPr>
            <w:tcW w:type="dxa" w:w="2410"/>
            <w:vAlign w:val="center"/>
          </w:tcPr>
          <w:p w:rsidP="00B06615"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lastRenderedPageBreak/>
              <w:t>五、期末所有者权益（基金净值）</w:t>
            </w:r>
          </w:p>
        </w:tc>
        <w:tc>
          <w:tcPr>
            <w:tcW w:type="dxa" w:w="2196"/>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223,809,792.87</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-3,983,338.50</w:t>
            </w:r>
          </w:p>
        </w:tc>
        <w:tc>
          <w:tcPr>
            <w:tcW w:type="dxa" w:w="2197"/>
            <w:vAlign w:val="center"/>
          </w:tcPr>
          <w:p w:rsidP="00B0661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219,826,454.37</w:t>
            </w:r>
          </w:p>
        </w:tc>
      </w:tr>
    </w:tbl>
    <w:p w:rsidP="00C92A7B" w:rsidR="001A59F9"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
      </w:r>
      <w:r w:rsidR="002C3EAB" w:rsidRPr="00B71057">
        <w:rPr>
          <w:rFonts w:eastAsiaTheme="minorEastAsia"/>
          <w:color w:themeColor="text1" w:val="000000"/>
          <w:kern w:val="0"/>
          <w:szCs w:val="21"/>
        </w:rPr>
        <w:t/>
      </w:r>
      <w:r w:rsidRPr="00B71057">
        <w:rPr>
          <w:rFonts w:eastAsiaTheme="minorEastAsia"/>
          <w:color w:themeColor="text1" w:val="000000"/>
          <w:kern w:val="0"/>
          <w:szCs w:val="21"/>
        </w:rPr>
        <w:t>注：本基金于2018年2月2日基金合同生效，报告截止2018年12月31日未满一年。</w:t>
      </w:r>
    </w:p>
    <w:p w:rsidP="00C92A7B" w:rsidR="001F790F" w:rsidRDefault="001F790F" w:rsidRPr="00B71057">
      <w:pPr>
        <w:spacing w:before="312" w:beforeLines="100" w:line="360" w:lineRule="auto"/>
        <w:rPr>
          <w:rFonts w:eastAsiaTheme="minorEastAsia"/>
          <w:color w:themeColor="text1" w:val="000000"/>
          <w:szCs w:val="21"/>
        </w:rPr>
      </w:pPr>
      <w:r w:rsidRPr="00B71057">
        <w:rPr>
          <w:rFonts w:eastAsiaTheme="minorEastAsia"/>
          <w:color w:themeColor="text1" w:val="000000"/>
          <w:szCs w:val="21"/>
        </w:rPr>
        <w:t>报表附注为财务报表的组成部分。</w:t>
      </w:r>
    </w:p>
    <w:p w:rsidP="00836E93" w:rsidR="001F790F" w:rsidRDefault="001F790F" w:rsidRPr="00B71057">
      <w:pPr>
        <w:spacing w:line="360" w:lineRule="auto"/>
        <w:rPr>
          <w:rFonts w:eastAsiaTheme="minorEastAsia"/>
          <w:color w:themeColor="text1" w:val="000000"/>
          <w:szCs w:val="21"/>
        </w:rPr>
      </w:pPr>
      <w:r w:rsidRPr="00B71057">
        <w:rPr>
          <w:rFonts w:eastAsiaTheme="minorEastAsia"/>
          <w:color w:themeColor="text1" w:val="000000"/>
          <w:szCs w:val="21"/>
        </w:rPr>
        <w:t>本报告</w:t>
      </w:r>
      <w:r w:rsidR="000379E9" w:rsidRPr="00B71057">
        <w:rPr>
          <w:rFonts w:eastAsiaTheme="minorEastAsia"/>
          <w:color w:themeColor="text1" w:val="000000"/>
          <w:szCs w:val="21"/>
        </w:rPr>
        <w:t>页码（序号）从</w:t>
      </w:r>
      <w:r w:rsidRPr="00B71057">
        <w:rPr>
          <w:rFonts w:eastAsiaTheme="minorEastAsia"/>
          <w:color w:themeColor="text1" w:val="000000"/>
          <w:szCs w:val="21"/>
        </w:rPr>
        <w:t>7.1</w:t>
      </w:r>
      <w:r w:rsidRPr="00B71057">
        <w:rPr>
          <w:rFonts w:eastAsiaTheme="minorEastAsia"/>
          <w:color w:themeColor="text1" w:val="000000"/>
          <w:szCs w:val="21"/>
        </w:rPr>
        <w:t>至</w:t>
      </w:r>
      <w:r w:rsidRPr="00B71057">
        <w:rPr>
          <w:rFonts w:eastAsiaTheme="minorEastAsia"/>
          <w:color w:themeColor="text1" w:val="000000"/>
          <w:szCs w:val="21"/>
        </w:rPr>
        <w:t>7.4</w:t>
      </w:r>
      <w:r w:rsidRPr="00B71057">
        <w:rPr>
          <w:rFonts w:eastAsiaTheme="minorEastAsia"/>
          <w:color w:themeColor="text1" w:val="000000"/>
          <w:szCs w:val="21"/>
        </w:rPr>
        <w:t>，财务报表由下列负责人签署：</w:t>
      </w:r>
    </w:p>
    <w:p w:rsidP="00C92A7B" w:rsidR="001A59F9" w:rsidRDefault="003B5D20" w:rsidRPr="00B71057">
      <w:pPr>
        <w:spacing w:line="360" w:lineRule="auto"/>
        <w:rPr>
          <w:rFonts w:eastAsiaTheme="minorEastAsia"/>
          <w:color w:themeColor="text1" w:val="000000"/>
          <w:szCs w:val="21"/>
        </w:rPr>
      </w:pPr>
      <w:r w:rsidRPr="00B71057">
        <w:rPr>
          <w:rFonts w:eastAsiaTheme="minorEastAsia"/>
          <w:color w:themeColor="text1" w:val="000000"/>
          <w:szCs w:val="21"/>
        </w:rPr>
        <w:t>基金管理人</w:t>
      </w:r>
      <w:r w:rsidR="001F790F" w:rsidRPr="00B71057">
        <w:rPr>
          <w:rFonts w:eastAsiaTheme="minorEastAsia"/>
          <w:color w:themeColor="text1" w:val="000000"/>
          <w:szCs w:val="21"/>
        </w:rPr>
        <w:t>负责人：</w:t>
      </w:r>
      <w:r w:rsidR="001F790F" w:rsidRPr="00B71057">
        <w:rPr>
          <w:rFonts w:eastAsiaTheme="minorEastAsia"/>
          <w:color w:themeColor="text1" w:val="000000"/>
          <w:szCs w:val="21"/>
        </w:rPr>
        <w:t>陈重</w:t>
      </w:r>
      <w:r w:rsidR="001F790F" w:rsidRPr="00B71057">
        <w:rPr>
          <w:rFonts w:eastAsiaTheme="minorEastAsia"/>
          <w:color w:themeColor="text1" w:val="000000"/>
          <w:szCs w:val="21"/>
        </w:rPr>
        <w:t>，主管会计工作负责人：</w:t>
      </w:r>
      <w:r w:rsidR="001F790F" w:rsidRPr="00B71057">
        <w:rPr>
          <w:rFonts w:eastAsiaTheme="minorEastAsia"/>
          <w:color w:themeColor="text1" w:val="000000"/>
          <w:szCs w:val="21"/>
        </w:rPr>
        <w:t>张宗友</w:t>
      </w:r>
      <w:r w:rsidR="001F790F" w:rsidRPr="00B71057">
        <w:rPr>
          <w:rFonts w:eastAsiaTheme="minorEastAsia"/>
          <w:color w:themeColor="text1" w:val="000000"/>
          <w:szCs w:val="21"/>
        </w:rPr>
        <w:t>，会计机构负责人：</w:t>
      </w:r>
      <w:r w:rsidR="001F790F" w:rsidRPr="00B71057">
        <w:rPr>
          <w:rFonts w:eastAsiaTheme="minorEastAsia"/>
          <w:color w:themeColor="text1" w:val="000000"/>
          <w:szCs w:val="21"/>
        </w:rPr>
        <w:t>徐端骞</w:t>
      </w:r>
    </w:p>
    <w:p w:rsidP="00C92A7B" w:rsidR="001A59F9" w:rsidRDefault="00D54B59" w:rsidRPr="00B71057">
      <w:pPr>
        <w:pStyle w:val="20"/>
        <w:spacing w:after="0" w:before="312" w:beforeLines="100"/>
        <w:rPr>
          <w:rFonts w:ascii="Times New Roman" w:eastAsiaTheme="minorEastAsia" w:hAnsi="Times New Roman"/>
          <w:color w:themeColor="text1" w:val="000000"/>
          <w:kern w:val="0"/>
          <w:sz w:val="21"/>
          <w:szCs w:val="21"/>
        </w:rPr>
      </w:pPr>
      <w:bookmarkStart w:id="62" w:name="_Toc225498271"/>
      <w:bookmarkStart w:id="63" w:name="_Toc361324876"/>
      <w:r w:rsidRPr="00B71057">
        <w:rPr>
          <w:rFonts w:ascii="Times New Roman" w:eastAsiaTheme="minorEastAsia" w:hAnsi="Times New Roman"/>
          <w:color w:themeColor="text1" w:val="000000"/>
          <w:kern w:val="0"/>
          <w:sz w:val="21"/>
          <w:szCs w:val="21"/>
        </w:rPr>
        <w:t/>
      </w:r>
      <w:r w:rsidR="001A59F9" w:rsidRPr="00B71057">
        <w:rPr>
          <w:rFonts w:ascii="Times New Roman" w:eastAsiaTheme="minorEastAsia" w:hAnsi="Times New Roman"/>
          <w:color w:themeColor="text1" w:val="000000"/>
          <w:kern w:val="0"/>
          <w:sz w:val="21"/>
          <w:szCs w:val="21"/>
        </w:rPr>
        <w:t xml:space="preserve">7.4 </w:t>
      </w:r>
      <w:r w:rsidR="001A59F9" w:rsidRPr="00B71057">
        <w:rPr>
          <w:rFonts w:ascii="Times New Roman" w:eastAsiaTheme="minorEastAsia" w:hAnsi="Times New Roman"/>
          <w:color w:themeColor="text1" w:val="000000"/>
          <w:kern w:val="0"/>
          <w:sz w:val="21"/>
          <w:szCs w:val="21"/>
        </w:rPr>
        <w:t>报表附注</w:t>
      </w:r>
      <w:bookmarkEnd w:id="62"/>
      <w:bookmarkEnd w:id="63"/>
    </w:p>
    <w:p w:rsidP="00251A86"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7.4.1</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基金基本情况</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新华安享惠钰定期开放债券型证券投资基金(以下简称“本基金”)系经中国证券监督管理委员会（以下简称“中国证监会”）证监许可[2016]2910号文件“关于核准新华安享惠钰定期开放债券型证券投资基金募集的批复”批准，由新华基金管理股份有限公司依照《中华人民共和国证券投资基金法》和《新华安享惠钰定期开放债券型证券投资基金基金合同》负责公开募集。本基金为契约型开放式，存续期限不定，于2017年11月27日至2018年1月29日向社会公开募集，首次募集资金总额223,809,792.87元, 其中募集资金产生利息78,770.87元，并经瑞华会计师事务所瑞华验字[2018]01360004号验资报告予以验证。2018年2月2日办理基金备案手续，基金合同正式生效。本基金为契约型开放式证券投资基金，存续期不限定，本基金管理人为新华基金管理股份有限公司，基金托管人为中国建设银行股份有限公司。</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根据《中华人民共和国证券投资基金法》和《新华安享惠钰定期开放债券型证券投资基金基金合同》的有关规定，本基金的投资对象为具有良好流动性的金融工具，包括国内依法发行上市的股票（包括中小板、创业板及其他经中国证监会核准上市的股票）、权证、债券（包括国债、央行票据、金融债、企业债、公司债、次级债、地方政府债券、中期票据、可转换债券（含分离交易可转债）、可交换债券、中小企业私募债、短期融资券、资产支持证券、债券回购等）、货币市场工具（包括银行存款、大额存单等）以及法律法规或中国证监会允许基金投资的其他金融工具（但须符合中国证监会相关规定）。如法律法规或监管机构以后允许基金投资其他品种，基金管理人在履行适当程序后，可以将其纳入投资范围。本基金的投资组合比例为：本基金对债券资产的投资比例不低于基金资产的80%，持有现金或到期日在一年以内的政府债券不低于基金资产净值的5%；对股票、权证等权益类资产的投资比例不超过基金资产的20%，其中，权证投资占基金资产净值的比例为0-3%。本基金的业绩比较基准为：中债综合全价指数收益率×90%+沪深 300 指数收益率×10%。</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本财务报表由本基金的基金管理人新华基金管理股份有限公司于2019年3月27日批准报出。</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7.4.2</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会计报表的编制基础</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财务报表以持续经营假设为基础编制，根据实际发生的交易和事项，按照财政部发布的《企业会计准则——基本准则》（财政部令第33号发布、财政部令第76号修订）、于2006年2月15日及其后颁布和修订的42项具体会计准则、企业会计准则应用指南、企业会计准则解释及其他相关规定（以下合称“企业会计准则”）、中国证券投资基金业协会于2012年11月16日颁布的《证券投资基金会计核算业务指引》、《新华安享惠钰定期开放证券投资基金基金合同》和在财务报表附注四所列示的中国证监会发布的有关规定及允许的基金行业实务操作编制。</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7.4.3</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遵循企业会计准则及其他有关规定的声明</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本基金编制的财务报表符合企业会计准则的要求，真实、完整地反映了本基金的财务状况、经营成果和基金净值变动情况等有关信息。</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w:t>
      </w:r>
      <w:r w:rsidR="004C2C35" w:rsidRPr="00B71057">
        <w:rPr>
          <w:rFonts w:eastAsiaTheme="minorEastAsia"/>
          <w:b/>
          <w:bCs/>
          <w:color w:themeColor="text1" w:val="000000"/>
          <w:kern w:val="0"/>
          <w:szCs w:val="21"/>
        </w:rPr>
        <w:t xml:space="preserve"> </w:t>
      </w:r>
      <w:r w:rsidR="00F947D6" w:rsidRPr="00B71057">
        <w:rPr>
          <w:rFonts w:eastAsiaTheme="minorEastAsia"/>
          <w:b/>
          <w:color w:themeColor="text1" w:val="000000"/>
          <w:kern w:val="0"/>
          <w:szCs w:val="21"/>
        </w:rPr>
        <w:t>重要会计政策和会计估计</w:t>
      </w:r>
    </w:p>
    <w:p w:rsidP="00251A86"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7.4.4.1会计年度</w:t>
      </w:r>
      <w:r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本基金会计年度为公历1月1日起至12月31日止。</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7.4.4.2 记账本位币</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本基金以人民币为记账本位币。</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lastRenderedPageBreak/>
        <w:t>7.4.4.3 金融资产和金融负债的分类</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（1）金融资产的分类</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金融资产于初始确认时分类为：以公允价值计量且其变动计入当期损益的金融资产、贷款和应收款项、可供出售金融资产及持有至到期投资。金融资产的分类取决于本基金对金融资产的持有意图和持有能力。</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基金目前以交易目的持有的股票投资、债券投资和衍生工具(主要为权证投资)分类为以公允价值计量且其变动计入当期损益的金融资产。除衍生工具所产生的金融资产在资产负债表中以衍生金融资产列示外，其他以公允价值计量且其公允价值变动计入损益的金融资产在资产负债表中以交易性金融资产列示。</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本基金持有的其他金融资产分类为应收款项，包括银行存款、买入返售金融资产和其他各类应收款项等。</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本基金目前暂无金融资产分类为可供出售金融资产及持有至到期投资。</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（2）金融负债的分类</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金融负债于初始确认时分类为：以公允价值计量且其变动计入当期损益的金融负债和其他金融负债。</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本基金目前暂无金融负债分类为以公允价值计量且其变动计入当期损益的金融负债。</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本基金持有的其他金融负债包括卖出回购金融资产款和其他各类应付款项等。</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除衍生工具所产生的金融负债外，以公允价值计量且其公允价值变动计入损益的金融负债在资产负债表中以交易性金融负债列示。衍生工具所产生的金融负债在资产负债表中以衍生金融负债列示。</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7.4.4.4 金融资产和金融负债的初始确认、后续计量和终止确认</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金融资产或金融负债于本基金成为金融工具合同的一方时，于交易日按取得时的公允价值作为初始确认金额。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以公允价值计量且其变动计入当期损益的金融资产的股票、债券以及不作为有效套期工具的衍生工具等，取得时发生的相关交易费用计入当期损益；支付的价款中包含已宣告但尚未发放的现金股利或债券起息日或上次除息日至购买日止的利息，单独确认为应收项目。应收款项和其他金融负债的相关交易费用计入初始确认金额。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以公允价值计量且其变动计入当期损益的金融资产按照公允价值进行后续计量，期间取得的利息或现金股利，应当确认为当期收益。应收款项和其他金融负债采用实际利率法，以成本进行后续计量，在摊销时产生的利得或损失，应当确认为当期收益。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当收取某项金融资产现金流量的合同权利已终止或该金融资产所有权上几乎所有的风险和报酬已转移时，终止确认该金融资产；金融负债的现时义务全部或部分已经解除的，终止确认该金融负债或其一部分。处置该金融资产或金融负债时，其公允价值与初始入账金额之间的差额应确认为投资收益，同时调整公允价值变动收益。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本基金主要金融工具的成本计价方法具体如下：</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（1）股票投资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股票投资成本按交易日股票的公允价值入账，相关交易费用直接计入当期损益。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因股权分置改革而获得的非流通股股东支付的现金对价，于股权分置实施复牌日冲减股票投资成本；股票持有期间获得的股票股利(包括送红股和公积金转增股本)以及因股权分置改革而获得的股票，于除息日按股权登记日持有的股数及送股或转增比例，计算确定增加的股票数量。</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卖出股票于交易日确认股票投资收益。卖出股票按移动加权平均法结转成本。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（2）债券投资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买入债券于交易日确认为债券投资。债券投资成本按债券的公允价值入账，相关交易费用直接计入当期损益，上述公允价值不包含债券起息日或上次除息日至购买日止的利息（作为应收利息单独核算）。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配售及认购新发行的分离交易可转债，于实际取得日按照估值方法对分离交易可转债的认购成本进行分摊，确认应归属于债券部分的成本。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买入零息债券视同到期一次还本付息的附息债券，根据其发行价、到期价和发行期限推算内含报酬率后，逐日确认债券利息收入。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卖出债券于交易日确认债券投资收益。卖出债券按移动加权平均法结转成本。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（3）权证投资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权证投资于交易日按公允价值入账，相关交易费用直接计入当期损益。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获赠的权证(包括配股权证)，在除权日按照持有的股数及获赠比例，计算确定增加的权证数量，成本为零。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配售及认购新发行的分离交易可转债而取得的权证，于实际取得日按照估值方法对分离交易可转债的认购成本进行分摊，确认应归属于权证部分的成本。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卖出权证于交易日确认权证投资收益。卖出权证的成本按移动加权平均法结转。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（4）分离交易可转债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申购新发行的分离交易可转债于获得日，按可分离权证公允价值占分离交易可转债全部公允价值的比例将购买分离交易可转债实际支付全部价款的一部分确认为权证投资成本，按实际支付的全部价款扣减可分离权证确定的成本确认债券成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上市后，上市流通的债券和权证分别按上述（2）、（3）中相关原则进行计算。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（5）买入返售金融资产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买入返售金融资产为本基金按照返售协议约定先买入再按固定价格返售证券等金融资产所融出的资金。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买入返售金融资产按交易日应支付或实际支付的全部价款入账，相关交易费用计入初始成本。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买入返售金融资产于返售到期日按账面余额结转。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（6）卖出回购金融资产款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卖出回购金融资产款为本基金按照回购协议先卖出再按固定价格买入票据、证券等金融资产所融入的资金。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卖出回购金融资产款于交易日按照应收或实际收到的金额入账，相关交易费用计入初始成本。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卖出回购金融资产款于回购到期日按账面余额结转。</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7.4.4.5 金融资产和金融负债的估值原则</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（1）估值原则</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公允价值，是指市场参与者在计量日发生的有序交易中，出售一项资产所能收到或者转移一项负债所需支付的价格。本基金以公允价值计量相关资产或负债，假定出售资产或者转移负债的有序交易在相关资产或负债的主要市场进行；不存在主要市场的，本基金假定该交易在相关资产或负债的最有利市场进行。</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存在活跃市场的金融资产或金融负债以活跃市场中的报价确定公允价值。不存在活跃市场的金融资产或金融负债采用估值技术确定公允价值。采用估值技术得出的结果反映估值日在公平交易中可能采用的交易价格。估值技术包括参考熟悉情况并自愿交易的各方最近进行的市场交易中使用的价格、参照实质上相同的其他金融工具的当前公允价值、现金流量折现法和期权定价模型等。</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对存在活跃市场的投资品种，如估值日有市价的，采用市价确定公允价值；估值日无市价，但最近交易日后经济环境未发生重大变化且证券发行机构未发生影响证券价格的重大事件的，采用最近交易市价确定公允价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对存在活跃市场的投资品种，如估值日无市价，且最近交易日后经济环境发生了重大变化或证券发行机构发生了影响证券价格的重大事件，使潜在估值调整对前一估值日的基金资产净值的影响在0.25％以上的，参考类似投资品种的现行市价及重大变化等因素，调整最近交易市价，确定公允价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当投资品种不再存在活跃市场，且其潜在估值调整对前一估值日的基金资产净值的影响在0.25％以上的,采用市场参与者普遍认同，且被以往市场实际交易价格验证具有可靠性的估值技术，确定投资品种的公允价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（2）主要资产的估值方法</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①股票投资</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上市交易的股票按其估值日在证券交易所挂牌的市场交易收盘价估值；估值日无交易且最近交易日后经济环境未发生重大变化的，按最近交易日的市场交易收盘价估值；估值日无交易且最近交易日后经济环境发生了重大变化的，参考类似投资品种的现行市价及重大变化因素，调整最近交易市价以确定公允价值并估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首次公开发行但未上市的股票按采用估值技术确定的公允价值估值，在估值技术难以可靠计量公允价值的情况下按成本估值。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②债券投资</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对在交易所市场上市交易或挂牌转让的实行净价交易的固定收益品种（含上交所可交换债），选取中证指数有限公司提供的相应品种当日的估值净价作为公允价值。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对在交易所市场上市交易的可转换债券（含深交所可交换债券），采用交易所每日收盘价（估值全价）扣减上一起息日至估值日每百元债券的税后应计利息（算头算尾）后的价格作为公允价值。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对在交易所市场挂牌转让的资产支持证券、私募债券和未上市债券，采用成本估值。</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对于银行间市场上的固定收益品种，选取中国债券登记结算有限公司提供的相应品种当日的估值净价加上上一起息日至估值日每百元债券的税前应计利息（算头算尾）减去上一起息日至估值日每百元债券的税后应计利息（算头算尾）后的价格作为公允价值。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③如有确凿证据表明按上述方法进行估值不能客观反映其公允价值，本基金的管理人应根据具体情况与基金托管人商定后按最能反映公允价值的价格估值。</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7.4.4.6 金融资产和金融负债的抵销</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当本基金具有抵销已确认金融资产和金融负债的法定权利，且该种法定权利现在是可执行的，同时本基金计划以净额结算或同时变现该金融资产和清偿该金融负债时，金融资产和金融负债以相互抵销后的金额在资产负债表内列示。除此以外，金融资产和金融负债在资产负债表内分别列示，不予相互抵销。</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7.4.4.7 实收基金</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实收基金为对外发行基金份额所募集的总金额在扣除损益平准金分摊部分后的余额。申购、赎回、转换及分红再投资等引起的实收基金的变动分别于交易确认日认列。</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7.4.4.8 损益平准金</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利得/(损失)占基金净值比例计算的金额。损益平准金于基金申购确认日或基金赎回确认日认列，并于期末全额转入未分配利润/(累计亏损)。</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7.4.4.9 收入/(损失)的确认和计量</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r w:rsidRPr="00B71057">
        <w:rPr>
          <w:rFonts w:eastAsiaTheme="minorEastAsia"/>
          <w:b/>
          <w:color w:themeColor="text1" w:val="000000"/>
          <w:kern w:val="0"/>
          <w:szCs w:val="21"/>
        </w:rPr>
        <w:t/>
      </w:r>
      <w:r w:rsidRPr="00B71057">
        <w:rPr>
          <w:rFonts w:eastAsiaTheme="minorEastAsia"/>
          <w:b/>
          <w:color w:themeColor="text1" w:val="000000"/>
          <w:kern w:val="0"/>
          <w:szCs w:val="21"/>
        </w:rPr>
        <w:t/>
      </w:r>
      <w:r w:rsidRPr="00B71057">
        <w:rPr>
          <w:rFonts w:eastAsiaTheme="minorEastAsia"/>
          <w:b/>
          <w:color w:themeColor="text1" w:val="000000"/>
          <w:kern w:val="0"/>
          <w:szCs w:val="21"/>
        </w:rPr>
        <w:t/>
      </w:r>
      <w:r w:rsidRPr="00B71057">
        <w:rPr>
          <w:rFonts w:eastAsiaTheme="minorEastAsia"/>
          <w:b/>
          <w:color w:themeColor="text1" w:val="000000"/>
          <w:kern w:val="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（1）利息收入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存款利息收入按存款的本金与适用利率逐日计提。</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债券利息收入在持有债券期内，按债券的票面价值和票面利率计算的利息扣除适用情况下由债券发行企业代扣代缴的个人所得税后的净额，逐日确认债券利息收入。贴息债视同到期一次性还本付息的附息债，根据其发行价、到期价和发行期限推算内含票面利率后，逐日确认债券利息收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买入返售金融资产收入按买入返售金融资产的摊余成本在返售期内以实际利率法逐日计提，若合同利率与实际利率差异较小，则采用合同利率计算确定利息收入。</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（2）投资收益</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股票投资收益为卖出股票交易日的成交总额扣除应结转的股票投资成本的差额确认。</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债券投资收益于交易日按卖出债券交易日的成交总额扣除应结转的债券投资成本与应收利息（若有）后的差额确认。</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衍生工具投资收益为交易日的成交总额扣除应结转的衍生工具投资成本后的差额确认。</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股利收入于除息日按上市公司宣告的分红派息比例计算的金额扣除由上市公司代扣代缴的个人所得税后的净额确认。</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（3）公允价值变动损益</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公允价值变动损益系本基金持有的采用公允价值模式计量的交易性金融资产、交易性金融负债等公允价值变动形成的应计入当期损益的利得或损失，并于相关金融资产或金融负债卖出或到期时转出计入投资收益。</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（4）其他收入</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其他收入在主要风险和报酬已经转移给对方，经济利益很可能流入且金额可以可靠计量时确认。</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7.4.4.10 费用的确认和计量</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（1）基金管理费按前一日基金资产净值的0.7%年费率计提；</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（2）基金托管费按前一日基金资产净值的0.2%年费率计提；</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（3）本基金销售服务费按前一日C类基金资产净值的0.5%年费率逐日计提；</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（4）卖出回购金融资产支出，按卖出回购金融资产的摊余成本及实际利率（当实际利率与合同利率差异较小时，也可以用合同利率）在回购期内逐日计提；</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（5）其他费用系根据有关法规及相应协议规定，按实际支出金额，列入当期基金费用。如果影响基金份额净值小数点后第三位的，则采用待摊或预提的方法。</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7.4.4.11 基金的收益分配政策</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（1）本基金各基金份额类别在费用收取上不同，其对应的可供分配利润可能有所不同。本基金同一类别的每一基金份额享有同等收益分配权；</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（2）本基金收益分配方式分两种：现金分红与红利再投资，投资者可选择现金红利或将现金红利自动转为基金份额进行再投资；若投资者不选择，本基金默认的收益分配方式是现金分红； </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 xml:space="preserve">（3）基金收益分配后任一类基金份额净值不能低于面值，即基金收益分配基准日的基金份额净值减去每单位基金份额收益分配金额后不能低于面值；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（4）法律法规或监管机关另有规定的，从其规定。</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7.4.4.12 其他重要的会计政策和会计估计</w:t>
      </w:r>
      <w:r w:rsidRPr="00B71057">
        <w:rPr>
          <w:rFonts w:eastAsiaTheme="minorEastAsia"/>
          <w:b/>
          <w:color w:themeColor="text1" w:val="000000"/>
          <w:kern w:val="0"/>
          <w:szCs w:val="21"/>
        </w:rPr>
        <w:t xml:space="preserve"/>
      </w:r>
      <w:r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本基金本报告期内未有其他重要的会计政策和会计估计。</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7.4.5</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会计政策和会计估计变更以及差错更正的说明</w:t>
      </w:r>
    </w:p>
    <w:p w:rsidP="00251A86"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lastRenderedPageBreak/>
        <w:t>7.4.5.1</w:t>
      </w:r>
      <w:r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会计政策变更的说明</w:t>
      </w:r>
      <w:r w:rsidR="0022347C"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本基金报告期内未发生会计政策变更。</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7.4.5.2</w:t>
      </w:r>
      <w:r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会计估计变更的说明</w:t>
      </w:r>
      <w:r w:rsidR="0022347C"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本基金报告期内未发生会计估计变更。</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7.4.5.3</w:t>
      </w:r>
      <w:r w:rsidRPr="00B71057">
        <w:rPr>
          <w:rFonts w:eastAsiaTheme="minorEastAsia"/>
          <w:b/>
          <w:color w:themeColor="text1" w:val="000000"/>
          <w:kern w:val="0"/>
          <w:szCs w:val="21"/>
        </w:rPr>
        <w:t xml:space="preserve"> </w:t>
      </w:r>
      <w:r w:rsidRPr="00B71057">
        <w:rPr>
          <w:rFonts w:eastAsiaTheme="minorEastAsia"/>
          <w:b/>
          <w:color w:themeColor="text1" w:val="000000"/>
          <w:kern w:val="0"/>
          <w:szCs w:val="21"/>
        </w:rPr>
        <w:t>差错更正的说明</w:t>
      </w:r>
      <w:r w:rsidR="0022347C" w:rsidRPr="00B71057">
        <w:rPr>
          <w:rFonts w:eastAsiaTheme="minorEastAsia"/>
          <w:b/>
          <w:color w:themeColor="text1" w:val="000000"/>
          <w:kern w:val="0"/>
          <w:szCs w:val="21"/>
        </w:rPr>
        <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本基金报告期内未发生会计差错更正。</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7.4.6</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税项</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1、印花税</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经国务院批准，财政部、国家税务总局决定从2008年9月19日起，调整证券（股票）交易印花税征收方式，将对买卖、继承、赠与所书立的A股、B股股权转让书据按0.1%的税率对双方当事人征收证券（股票）交易印花税，调整为单边征税，即对买卖、继承、赠与所书立的Ａ股、Ｂ股股权转让书据的出让按0.1%的税率征收证券（股票）交易印花税，对受让方不再征税。</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2、增值税、企业所得税</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根据财政部、国家税务总局财税[2016]36 号《关于全面推开营业税改征增值税试点的通知》、财税[2016]46 号《关于进一步明确全面推开营改增试点金融业有关政策的通知》、财税[2016]70 号《关于金融机构同业往来等增值税政策的补充通知》、财税[2016]140 号《关于明确金融房地产开发教育辅助服务等增值税政策的通知》、财税[2017]2 号《关于资管产品增值税政策有关问题的补充通知》、财税[2017]56 号《关于资管产品增值税有关问题的通知》、财税[2017]90 号《关于租入固定资产进项税额抵扣等增值税政策的通知》：资管产品运营过程中发生的增值税应税行为，以资管产品管理人为增值税纳税人。资管产品管理人运营资管产品过程中发生的增值税应税行为，暂适用简易计税方法，按照 3%的征收率缴纳增值税。对资管产品在 2018 年 1 月 1 日前运营过程中发生的增值税应税行为，未缴纳增值税的，不再缴纳；已缴纳增值税的，已纳税额从资管产品管理人以后月份的增值税应纳税额中抵减。</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对证券投资基金管理人运用基金买卖股票、债券的转让收入免征增值税，对国债、地方政府债以及金融同业往来利息收入亦免征增值税。资管产品管理人运营资管产品提供的贷款服务，以 2018 年 1 月1 日起产生的利息及利息性质的收入为销售额。</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本基金分别按实际缴纳的增值税额的 7%、3%和 2%缴纳城市维护建设税、教育费附加和地方教育费附加。</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根据财政部、国家税务总局财税[2008]1号文《关于企业所得税若干优惠政策的通知》的规定，对证券投资基金从证券市场中取得的收入，包括买卖股票、债券的差价收入，股权的股息、红利收入，债券的利息收入及其他收入，暂不征收企业所得税。</w:t>
      </w:r>
    </w:p>
    <w:p>
      <w:pPr>
        <w:spacing w:line="360" w:lineRule="auto"/>
        <w:ind w:firstLine="420" w:firstLineChars="200"/>
        <w:rPr>
          <w:rFonts w:eastAsiaTheme="minorEastAsia"/>
          <w:color w:themeColor="text1" w:val="000000"/>
          <w:szCs w:val="21"/>
        </w:rPr>
      </w:pPr>
      <w:r>
        <w:rPr>
          <w:rFonts w:eastAsiaTheme="minorEastAsia"/>
          <w:color w:themeColor="text1" w:val="000000"/>
          <w:szCs w:val="21"/>
        </w:rPr>
        <w:t>3、个人所得税</w:t>
      </w:r>
    </w:p>
    <w:p w:rsidP="00C92A7B"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根据财政部、国家税务总局财税[1998]55号《关于证券投资基金有关税收问题的通知》、财税[2012]85号《关于实施上市公司股息红利差别化个人所得税政策有关问题的通知》、财税 [2015] 101号《关于上市公司股息红利差别化个人所得税政策有关问题的通知》的规定：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上市公司派发股息红利时，对个人持股1年以内（含1年）的，上市公司暂不扣缴个人所得税。上述所得统一适用20%的税率计征个人所得税。</w:t>
      </w:r>
    </w:p>
    <w:p w:rsidP="00C92A7B"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7.4.7</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关联方关系</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5220"/>
        <w:gridCol w:w="3780"/>
      </w:tblGrid>
      <w:tr w:rsidR="00B71057" w:rsidRPr="00B71057" w:rsidTr="006D141C">
        <w:tc>
          <w:tcPr>
            <w:tcW w:type="dxa" w:w="5220"/>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关联方名称</w:t>
            </w:r>
          </w:p>
        </w:tc>
        <w:tc>
          <w:tcPr>
            <w:tcW w:type="dxa" w:w="3780"/>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与本基金的关系</w:t>
            </w:r>
          </w:p>
        </w:tc>
      </w:tr>
      <w:tr>
        <w:tc>
          <w:tcPr>
            <w:vAlign w:val="center"/>
          </w:tcPr>
          <w:p>
            <w:pPr>
              <w:jc w:val="left"/>
            </w:pPr>
            <w:r>
              <w:rPr>
                <w:rFonts w:eastAsiaTheme="minorEastAsia"/>
                <w:color w:themeColor="text1" w:val="000000"/>
                <w:szCs w:val="21"/>
              </w:rPr>
              <w:t>恒泰长财证券有限责任公司</w:t>
            </w:r>
          </w:p>
        </w:tc>
        <w:tc>
          <w:tcPr>
            <w:vAlign w:val="center"/>
          </w:tcPr>
          <w:p>
            <w:pPr>
              <w:jc w:val="center"/>
            </w:pPr>
            <w:r>
              <w:rPr>
                <w:rFonts w:eastAsiaTheme="minorEastAsia"/>
                <w:color w:themeColor="text1" w:val="000000"/>
                <w:szCs w:val="21"/>
              </w:rPr>
              <w:t>基金管理人股东的全资子公司</w:t>
            </w:r>
          </w:p>
        </w:tc>
      </w:tr>
      <w:tr>
        <w:tc>
          <w:tcPr>
            <w:vAlign w:val="center"/>
          </w:tcPr>
          <w:p>
            <w:pPr>
              <w:jc w:val="left"/>
            </w:pPr>
            <w:r>
              <w:rPr>
                <w:rFonts w:eastAsiaTheme="minorEastAsia"/>
                <w:color w:themeColor="text1" w:val="000000"/>
                <w:szCs w:val="21"/>
              </w:rPr>
              <w:t>中国建设银行股份有限公司</w:t>
            </w:r>
          </w:p>
        </w:tc>
        <w:tc>
          <w:tcPr>
            <w:vAlign w:val="center"/>
          </w:tcPr>
          <w:p>
            <w:pPr>
              <w:jc w:val="center"/>
            </w:pPr>
            <w:r>
              <w:rPr>
                <w:rFonts w:eastAsiaTheme="minorEastAsia"/>
                <w:color w:themeColor="text1" w:val="000000"/>
                <w:szCs w:val="21"/>
              </w:rPr>
              <w:t>基金托管人</w:t>
            </w:r>
          </w:p>
        </w:tc>
      </w:tr>
      <w:tr>
        <w:tc>
          <w:tcPr>
            <w:vAlign w:val="center"/>
          </w:tcPr>
          <w:p>
            <w:pPr>
              <w:jc w:val="left"/>
            </w:pPr>
            <w:r>
              <w:rPr>
                <w:rFonts w:eastAsiaTheme="minorEastAsia"/>
                <w:color w:themeColor="text1" w:val="000000"/>
                <w:szCs w:val="21"/>
              </w:rPr>
              <w:t>新华基金管理股份有限公司</w:t>
            </w:r>
          </w:p>
        </w:tc>
        <w:tc>
          <w:tcPr>
            <w:vAlign w:val="center"/>
          </w:tcPr>
          <w:p>
            <w:pPr>
              <w:jc w:val="center"/>
            </w:pPr>
            <w:r>
              <w:rPr>
                <w:rFonts w:eastAsiaTheme="minorEastAsia"/>
                <w:color w:themeColor="text1" w:val="000000"/>
                <w:szCs w:val="21"/>
              </w:rPr>
              <w:t>基金管理人、基金发起人</w:t>
            </w:r>
          </w:p>
        </w:tc>
      </w:tr>
      <w:tr>
        <w:tc>
          <w:tcPr>
            <w:vAlign w:val="center"/>
          </w:tcPr>
          <w:p>
            <w:pPr>
              <w:jc w:val="left"/>
            </w:pPr>
            <w:r>
              <w:rPr>
                <w:rFonts w:eastAsiaTheme="minorEastAsia"/>
                <w:color w:themeColor="text1" w:val="000000"/>
                <w:szCs w:val="21"/>
              </w:rPr>
              <w:t>新华信托股份有限公司</w:t>
            </w:r>
          </w:p>
        </w:tc>
        <w:tc>
          <w:tcPr>
            <w:vAlign w:val="center"/>
          </w:tcPr>
          <w:p>
            <w:pPr>
              <w:jc w:val="center"/>
            </w:pPr>
            <w:r>
              <w:rPr>
                <w:rFonts w:eastAsiaTheme="minorEastAsia"/>
                <w:color w:themeColor="text1" w:val="000000"/>
                <w:szCs w:val="21"/>
              </w:rPr>
              <w:t>基金管理人股东</w:t>
            </w:r>
          </w:p>
        </w:tc>
      </w:tr>
      <w:tr>
        <w:tc>
          <w:tcPr>
            <w:vAlign w:val="center"/>
          </w:tcPr>
          <w:p>
            <w:pPr>
              <w:jc w:val="left"/>
            </w:pPr>
            <w:r>
              <w:rPr>
                <w:rFonts w:eastAsiaTheme="minorEastAsia"/>
                <w:color w:themeColor="text1" w:val="000000"/>
                <w:szCs w:val="21"/>
              </w:rPr>
              <w:t>恒泰证券股份有限公司</w:t>
            </w:r>
          </w:p>
        </w:tc>
        <w:tc>
          <w:tcPr>
            <w:vAlign w:val="center"/>
          </w:tcPr>
          <w:p>
            <w:pPr>
              <w:jc w:val="center"/>
            </w:pPr>
            <w:r>
              <w:rPr>
                <w:rFonts w:eastAsiaTheme="minorEastAsia"/>
                <w:color w:themeColor="text1" w:val="000000"/>
                <w:szCs w:val="21"/>
              </w:rPr>
              <w:t>基金管理人股东</w:t>
            </w:r>
          </w:p>
        </w:tc>
      </w:tr>
      <w:tr>
        <w:tc>
          <w:tcPr>
            <w:vAlign w:val="center"/>
          </w:tcPr>
          <w:p>
            <w:pPr>
              <w:jc w:val="left"/>
            </w:pPr>
            <w:r>
              <w:rPr>
                <w:rFonts w:eastAsiaTheme="minorEastAsia"/>
                <w:color w:themeColor="text1" w:val="000000"/>
                <w:szCs w:val="21"/>
              </w:rPr>
              <w:t>杭州永原网络科技有限公司</w:t>
            </w:r>
          </w:p>
        </w:tc>
        <w:tc>
          <w:tcPr>
            <w:vAlign w:val="center"/>
          </w:tcPr>
          <w:p>
            <w:pPr>
              <w:jc w:val="center"/>
            </w:pPr>
            <w:r>
              <w:rPr>
                <w:rFonts w:eastAsiaTheme="minorEastAsia"/>
                <w:color w:themeColor="text1" w:val="000000"/>
                <w:szCs w:val="21"/>
              </w:rPr>
              <w:t>基金管理人股东</w:t>
            </w:r>
          </w:p>
        </w:tc>
      </w:tr>
      <w:tr>
        <w:tc>
          <w:tcPr>
            <w:vAlign w:val="center"/>
          </w:tcPr>
          <w:p>
            <w:pPr>
              <w:jc w:val="left"/>
            </w:pPr>
            <w:r>
              <w:rPr>
                <w:rFonts w:eastAsiaTheme="minorEastAsia"/>
                <w:color w:themeColor="text1" w:val="000000"/>
                <w:szCs w:val="21"/>
              </w:rPr>
              <w:t>中央汇金投资有限责任公司</w:t>
            </w:r>
          </w:p>
        </w:tc>
        <w:tc>
          <w:tcPr>
            <w:vAlign w:val="center"/>
          </w:tcPr>
          <w:p>
            <w:pPr>
              <w:jc w:val="center"/>
            </w:pPr>
            <w:r>
              <w:rPr>
                <w:rFonts w:eastAsiaTheme="minorEastAsia"/>
                <w:color w:themeColor="text1" w:val="000000"/>
                <w:szCs w:val="21"/>
              </w:rPr>
              <w:t>基金托管人股东</w:t>
            </w:r>
          </w:p>
        </w:tc>
      </w:tr>
      <w:tr>
        <w:tc>
          <w:tcPr>
            <w:vAlign w:val="center"/>
          </w:tcPr>
          <w:p>
            <w:pPr>
              <w:jc w:val="left"/>
            </w:pPr>
            <w:r>
              <w:rPr>
                <w:rFonts w:eastAsiaTheme="minorEastAsia"/>
                <w:color w:themeColor="text1" w:val="000000"/>
                <w:szCs w:val="21"/>
              </w:rPr>
              <w:t>北京新华富时资产管理有限公司</w:t>
            </w:r>
          </w:p>
        </w:tc>
        <w:tc>
          <w:tcPr>
            <w:vAlign w:val="center"/>
          </w:tcPr>
          <w:p>
            <w:pPr>
              <w:jc w:val="center"/>
            </w:pPr>
            <w:r>
              <w:rPr>
                <w:rFonts w:eastAsiaTheme="minorEastAsia"/>
                <w:color w:themeColor="text1" w:val="000000"/>
                <w:szCs w:val="21"/>
              </w:rPr>
              <w:t>基金管理人的控股子公司</w:t>
            </w:r>
          </w:p>
        </w:tc>
      </w:tr>
    </w:tbl>
    <w:p w:rsidP="00934604"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7.4.8</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本报告期及上年度可比期间的关联方交易</w:t>
      </w:r>
    </w:p>
    <w:p w:rsidP="00144F4F"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7.4.8.1</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通过关联方交易单元进行的交易</w:t>
      </w:r>
    </w:p>
    <w:p w:rsidP="00144F4F" w:rsidR="001A59F9" w:rsidRDefault="001A59F9" w:rsidRPr="00B71057">
      <w:pPr>
        <w:spacing w:line="360" w:lineRule="auto"/>
        <w:rPr>
          <w:rFonts w:eastAsiaTheme="minorEastAsia"/>
          <w:color w:themeColor="text1" w:val="000000"/>
          <w:szCs w:val="21"/>
        </w:rPr>
      </w:pPr>
      <w:r w:rsidRPr="00B71057">
        <w:rPr>
          <w:rFonts w:eastAsiaTheme="minorEastAsia"/>
          <w:b/>
          <w:bCs/>
          <w:color w:themeColor="text1" w:val="000000"/>
          <w:kern w:val="0"/>
          <w:szCs w:val="21"/>
        </w:rPr>
        <w:t>7.4.8.1.1</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szCs w:val="21"/>
        </w:rPr>
        <w:t>股票交易</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980"/>
        <w:gridCol w:w="3407"/>
        <w:gridCol w:w="3613"/>
      </w:tblGrid>
      <w:tr w:rsidR="00B71057" w:rsidRPr="00B71057" w:rsidTr="00C915A6">
        <w:tc>
          <w:tcPr>
            <w:tcW w:type="dxa" w:w="1980"/>
            <w:vMerge w:val="restart"/>
            <w:vAlign w:val="center"/>
          </w:tcPr>
          <w:p w:rsidP="00C915A6" w:rsidR="00DA6D55" w:rsidRDefault="00DA6D55" w:rsidRPr="00B71057">
            <w:pPr>
              <w:autoSpaceDE w:val="0"/>
              <w:autoSpaceDN w:val="0"/>
              <w:spacing w:line="360" w:lineRule="auto"/>
              <w:jc w:val="center"/>
              <w:textAlignment w:val="bottom"/>
              <w:rPr>
                <w:rFonts w:eastAsiaTheme="minorEastAsia"/>
                <w:bCs/>
                <w:color w:themeColor="text1" w:val="000000"/>
                <w:szCs w:val="21"/>
              </w:rPr>
            </w:pPr>
            <w:r w:rsidRPr="00B71057">
              <w:rPr>
                <w:rFonts w:eastAsiaTheme="minorEastAsia"/>
                <w:bCs/>
                <w:color w:themeColor="text1" w:val="000000"/>
                <w:szCs w:val="21"/>
              </w:rPr>
              <w:t>关联方名称</w:t>
            </w:r>
            <w:r w:rsidR="0081797B" w:rsidRPr="00B71057">
              <w:rPr>
                <w:rFonts w:eastAsiaTheme="minorEastAsia"/>
                <w:bCs/>
                <w:color w:themeColor="text1" w:val="000000"/>
                <w:szCs w:val="21"/>
              </w:rPr>
              <w:t/>
            </w:r>
            <w:r w:rsidRPr="00B71057">
              <w:rPr>
                <w:rFonts w:eastAsiaTheme="minorEastAsia"/>
                <w:bCs/>
                <w:color w:themeColor="text1" w:val="000000"/>
                <w:szCs w:val="21"/>
              </w:rPr>
              <w:t/>
            </w:r>
          </w:p>
        </w:tc>
        <w:tc>
          <w:tcPr>
            <w:tcW w:type="dxa" w:w="7020"/>
            <w:gridSpan w:val="2"/>
          </w:tcPr>
          <w:p w:rsidP="00C915A6" w:rsidR="00DA6D55" w:rsidRDefault="00DA6D5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本期</w:t>
            </w:r>
          </w:p>
          <w:p w:rsidP="00C915A6" w:rsidR="00DA6D55" w:rsidRDefault="00DA6D55" w:rsidRPr="00B71057">
            <w:pPr>
              <w:widowControl/>
              <w:autoSpaceDE w:val="0"/>
              <w:autoSpaceDN w:val="0"/>
              <w:spacing w:line="360" w:lineRule="auto"/>
              <w:ind w:right="-15"/>
              <w:jc w:val="center"/>
              <w:textAlignment w:val="bottom"/>
              <w:rPr>
                <w:rFonts w:eastAsiaTheme="minorEastAsia"/>
                <w:color w:themeColor="text1" w:val="000000"/>
                <w:szCs w:val="21"/>
              </w:rPr>
            </w:pPr>
            <w:r w:rsidRPr="00B71057">
              <w:rPr>
                <w:rFonts w:eastAsiaTheme="minorEastAsia"/>
                <w:color w:themeColor="text1" w:val="000000"/>
                <w:szCs w:val="21"/>
              </w:rPr>
              <w:t>2018年2月2日（基金合同生效日）</w:t>
            </w:r>
            <w:r w:rsidRPr="00B71057">
              <w:rPr>
                <w:rFonts w:eastAsiaTheme="minorEastAsia"/>
                <w:color w:themeColor="text1" w:val="000000"/>
                <w:szCs w:val="21"/>
              </w:rPr>
              <w:t>至</w:t>
            </w:r>
            <w:r w:rsidRPr="00B71057">
              <w:rPr>
                <w:rFonts w:eastAsiaTheme="minorEastAsia"/>
                <w:color w:themeColor="text1" w:val="000000"/>
                <w:szCs w:val="21"/>
              </w:rPr>
              <w:t>2018年12月31日</w:t>
            </w:r>
          </w:p>
        </w:tc>
      </w:tr>
      <w:tr w:rsidR="00B71057" w:rsidRPr="00B71057" w:rsidTr="00C915A6">
        <w:tc>
          <w:tcPr>
            <w:tcW w:type="dxa" w:w="1980"/>
            <w:vMerge/>
            <w:vAlign w:val="center"/>
          </w:tcPr>
          <w:p w:rsidP="00C915A6" w:rsidR="00DA6D55" w:rsidRDefault="00DA6D55" w:rsidRPr="00B71057">
            <w:pPr>
              <w:widowControl/>
              <w:spacing w:line="360" w:lineRule="auto"/>
              <w:jc w:val="left"/>
              <w:rPr>
                <w:rFonts w:eastAsiaTheme="minorEastAsia"/>
                <w:bCs/>
                <w:color w:themeColor="text1" w:val="000000"/>
                <w:szCs w:val="21"/>
              </w:rPr>
            </w:pPr>
          </w:p>
        </w:tc>
        <w:tc>
          <w:tcPr>
            <w:tcW w:type="dxa" w:w="3407"/>
            <w:vAlign w:val="center"/>
          </w:tcPr>
          <w:p w:rsidP="00C915A6" w:rsidR="00DA6D55" w:rsidRDefault="00DA6D55" w:rsidRPr="00B71057">
            <w:pPr>
              <w:spacing w:line="360" w:lineRule="auto"/>
              <w:jc w:val="center"/>
              <w:rPr>
                <w:rFonts w:eastAsiaTheme="minorEastAsia"/>
                <w:color w:themeColor="text1" w:val="000000"/>
                <w:szCs w:val="21"/>
              </w:rPr>
            </w:pPr>
            <w:r w:rsidRPr="00B71057">
              <w:rPr>
                <w:rFonts w:eastAsiaTheme="minorEastAsia"/>
                <w:bCs/>
                <w:color w:themeColor="text1" w:val="000000"/>
                <w:szCs w:val="21"/>
              </w:rPr>
              <w:t>成交金额</w:t>
            </w:r>
          </w:p>
        </w:tc>
        <w:tc>
          <w:tcPr>
            <w:tcW w:type="dxa" w:w="3613"/>
            <w:vAlign w:val="center"/>
          </w:tcPr>
          <w:p w:rsidP="00C915A6" w:rsidR="00DA6D55" w:rsidRDefault="00DA6D55" w:rsidRPr="00B71057">
            <w:pPr>
              <w:autoSpaceDE w:val="0"/>
              <w:autoSpaceDN w:val="0"/>
              <w:spacing w:line="360" w:lineRule="auto"/>
              <w:jc w:val="center"/>
              <w:textAlignment w:val="bottom"/>
              <w:rPr>
                <w:rFonts w:eastAsiaTheme="minorEastAsia"/>
                <w:bCs/>
                <w:color w:themeColor="text1" w:val="000000"/>
                <w:szCs w:val="21"/>
              </w:rPr>
            </w:pPr>
            <w:r w:rsidRPr="00B71057">
              <w:rPr>
                <w:rFonts w:eastAsiaTheme="minorEastAsia"/>
                <w:color w:themeColor="text1" w:val="000000"/>
                <w:szCs w:val="21"/>
              </w:rPr>
              <w:t>占当期股票成交总额的比例</w:t>
            </w:r>
          </w:p>
        </w:tc>
      </w:tr>
      <w:tr>
        <w:tc>
          <w:tcPr>
            <w:vAlign w:val="center"/>
          </w:tcPr>
          <w:p>
            <w:pPr>
              <w:jc w:val="left"/>
            </w:pPr>
            <w:r>
              <w:rPr>
                <w:rFonts w:eastAsiaTheme="minorEastAsia"/>
                <w:bCs/>
                <w:color w:themeColor="text1" w:val="000000"/>
                <w:szCs w:val="21"/>
              </w:rPr>
              <w:t>恒泰证券股份有限公司</w:t>
            </w:r>
          </w:p>
        </w:tc>
        <w:tc>
          <w:tcPr>
            <w:vAlign w:val="center"/>
          </w:tcPr>
          <w:p>
            <w:pPr>
              <w:jc w:val="right"/>
            </w:pPr>
            <w:r>
              <w:rPr>
                <w:rFonts w:eastAsiaTheme="minorEastAsia"/>
                <w:bCs/>
                <w:color w:themeColor="text1" w:val="000000"/>
                <w:szCs w:val="21"/>
              </w:rPr>
              <w:t>173,846.00</w:t>
            </w:r>
          </w:p>
        </w:tc>
        <w:tc>
          <w:tcPr>
            <w:vAlign w:val="center"/>
          </w:tcPr>
          <w:p>
            <w:pPr>
              <w:jc w:val="right"/>
            </w:pPr>
            <w:r>
              <w:rPr>
                <w:rFonts w:eastAsiaTheme="minorEastAsia"/>
                <w:bCs/>
                <w:color w:themeColor="text1" w:val="000000"/>
                <w:szCs w:val="21"/>
              </w:rPr>
              <w:t>0.34%</w:t>
            </w:r>
          </w:p>
        </w:tc>
      </w:tr>
    </w:tbl>
    <w:p w:rsidP="00934604" w:rsidR="001A59F9" w:rsidRDefault="00DA6D55"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注：本基金于2018年2月2日基金合同生效，报告截止2018年12月31日未满一年，无上年度可比期间数据。</w:t>
      </w:r>
    </w:p>
    <w:p w:rsidP="00934604" w:rsidR="001A59F9" w:rsidRDefault="001A59F9" w:rsidRPr="00B71057">
      <w:pPr>
        <w:spacing w:before="312" w:beforeLines="100" w:line="360" w:lineRule="auto"/>
        <w:rPr>
          <w:rFonts w:eastAsiaTheme="minorEastAsia"/>
          <w:b/>
          <w:color w:themeColor="text1" w:val="000000"/>
          <w:szCs w:val="21"/>
        </w:rPr>
      </w:pPr>
      <w:r w:rsidRPr="00B71057">
        <w:rPr>
          <w:rFonts w:eastAsiaTheme="minorEastAsia"/>
          <w:b/>
          <w:bCs/>
          <w:color w:themeColor="text1" w:val="000000"/>
          <w:kern w:val="0"/>
          <w:szCs w:val="21"/>
        </w:rPr>
        <w:t>7.4.8.1.2</w:t>
      </w:r>
      <w:r w:rsidR="004C2C35" w:rsidRPr="00B71057">
        <w:rPr>
          <w:rFonts w:eastAsiaTheme="minorEastAsia"/>
          <w:b/>
          <w:bCs/>
          <w:color w:themeColor="text1" w:val="000000"/>
          <w:kern w:val="0"/>
          <w:szCs w:val="21"/>
        </w:rPr>
        <w:t xml:space="preserve"> </w:t>
      </w:r>
      <w:r w:rsidRPr="00B71057">
        <w:rPr>
          <w:rFonts w:eastAsiaTheme="minorEastAsia"/>
          <w:b/>
          <w:color w:themeColor="text1" w:val="000000"/>
          <w:szCs w:val="21"/>
        </w:rPr>
        <w:t>权证交易</w:t>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1、本基金于2018年2月2日基金合同生效，报告截止2018年12月31日未满一年，无上年度可比期间数据。</w:t>
      </w:r>
    </w:p>
    <w:p w:rsidP="00934604" w:rsidR="001A59F9" w:rsidRDefault="00EB18B8"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2、本基金本报告期无权证交易。</w:t>
      </w:r>
    </w:p>
    <w:p w:rsidP="00934604" w:rsidR="001A59F9" w:rsidRDefault="001A59F9" w:rsidRPr="00B71057">
      <w:pPr>
        <w:spacing w:before="312" w:beforeLines="100" w:line="360" w:lineRule="auto"/>
        <w:rPr>
          <w:rFonts w:eastAsiaTheme="minorEastAsia"/>
          <w:b/>
          <w:color w:themeColor="text1" w:val="000000"/>
          <w:szCs w:val="21"/>
        </w:rPr>
      </w:pPr>
      <w:r w:rsidRPr="00B71057">
        <w:rPr>
          <w:rFonts w:eastAsiaTheme="minorEastAsia"/>
          <w:b/>
          <w:bCs/>
          <w:color w:themeColor="text1" w:val="000000"/>
          <w:kern w:val="0"/>
          <w:szCs w:val="21"/>
        </w:rPr>
        <w:t>7.4.8.1.3</w:t>
      </w:r>
      <w:r w:rsidR="002637E8" w:rsidRPr="00B71057">
        <w:rPr>
          <w:rFonts w:eastAsiaTheme="minorEastAsia"/>
          <w:b/>
          <w:bCs/>
          <w:color w:themeColor="text1" w:val="000000"/>
          <w:kern w:val="0"/>
          <w:szCs w:val="21"/>
        </w:rPr>
        <w:t xml:space="preserve"> </w:t>
      </w:r>
      <w:r w:rsidRPr="00B71057">
        <w:rPr>
          <w:rFonts w:eastAsiaTheme="minorEastAsia"/>
          <w:b/>
          <w:color w:themeColor="text1" w:val="000000"/>
          <w:szCs w:val="21"/>
        </w:rPr>
        <w:t>债券交易</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w:t>
      </w:r>
      <w:r w:rsidRPr="00B71057">
        <w:rPr>
          <w:rFonts w:eastAsiaTheme="minorEastAsia"/>
          <w:bCs/>
          <w:color w:themeColor="text1" w:val="000000"/>
          <w:szCs w:val="21"/>
        </w:rPr>
        <w:t>：人民币元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2106"/>
        <w:gridCol w:w="3423"/>
        <w:gridCol w:w="3471"/>
      </w:tblGrid>
      <w:tr w:rsidR="00B71057" w:rsidRPr="00B71057" w:rsidTr="00C915A6">
        <w:tc>
          <w:tcPr>
            <w:tcW w:type="dxa" w:w="2106"/>
            <w:vMerge w:val="restart"/>
            <w:vAlign w:val="center"/>
          </w:tcPr>
          <w:p w:rsidP="00C915A6" w:rsidR="00A12107" w:rsidRDefault="00A12107" w:rsidRPr="00B71057">
            <w:pPr>
              <w:autoSpaceDE w:val="0"/>
              <w:autoSpaceDN w:val="0"/>
              <w:spacing w:line="360" w:lineRule="auto"/>
              <w:jc w:val="center"/>
              <w:textAlignment w:val="bottom"/>
              <w:rPr>
                <w:rFonts w:eastAsiaTheme="minorEastAsia"/>
                <w:bCs/>
                <w:color w:themeColor="text1" w:val="000000"/>
                <w:szCs w:val="21"/>
              </w:rPr>
            </w:pPr>
            <w:r w:rsidRPr="00B71057">
              <w:rPr>
                <w:rFonts w:eastAsiaTheme="minorEastAsia"/>
                <w:bCs/>
                <w:color w:themeColor="text1" w:val="000000"/>
                <w:szCs w:val="21"/>
              </w:rPr>
              <w:t>关联方名称</w:t>
            </w:r>
            <w:r w:rsidR="0081797B" w:rsidRPr="00B71057">
              <w:rPr>
                <w:rFonts w:eastAsiaTheme="minorEastAsia"/>
                <w:bCs/>
                <w:color w:themeColor="text1" w:val="000000"/>
                <w:szCs w:val="21"/>
              </w:rPr>
              <w:t/>
            </w:r>
            <w:r w:rsidRPr="00B71057">
              <w:rPr>
                <w:rFonts w:eastAsiaTheme="minorEastAsia"/>
                <w:bCs/>
                <w:color w:themeColor="text1" w:val="000000"/>
                <w:szCs w:val="21"/>
              </w:rPr>
              <w:t/>
            </w:r>
          </w:p>
        </w:tc>
        <w:tc>
          <w:tcPr>
            <w:tcW w:type="dxa" w:w="6894"/>
            <w:gridSpan w:val="2"/>
          </w:tcPr>
          <w:p w:rsidP="00C915A6" w:rsidR="00A12107" w:rsidRDefault="00A12107"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本期</w:t>
            </w:r>
          </w:p>
          <w:p w:rsidP="00C915A6" w:rsidR="00A12107" w:rsidRDefault="00A12107" w:rsidRPr="00B71057">
            <w:pPr>
              <w:widowControl/>
              <w:autoSpaceDE w:val="0"/>
              <w:autoSpaceDN w:val="0"/>
              <w:spacing w:line="360" w:lineRule="auto"/>
              <w:ind w:right="-15"/>
              <w:jc w:val="center"/>
              <w:textAlignment w:val="bottom"/>
              <w:rPr>
                <w:rFonts w:eastAsiaTheme="minorEastAsia"/>
                <w:color w:themeColor="text1" w:val="000000"/>
                <w:kern w:val="0"/>
                <w:szCs w:val="21"/>
              </w:rPr>
            </w:pPr>
            <w:r w:rsidRPr="00B71057">
              <w:rPr>
                <w:rFonts w:eastAsiaTheme="minorEastAsia"/>
                <w:color w:themeColor="text1" w:val="000000"/>
                <w:szCs w:val="21"/>
              </w:rPr>
              <w:t>2018年2月2日（基金合同生效日）</w:t>
            </w:r>
            <w:r w:rsidRPr="00B71057">
              <w:rPr>
                <w:rFonts w:eastAsiaTheme="minorEastAsia"/>
                <w:color w:themeColor="text1" w:val="000000"/>
                <w:szCs w:val="21"/>
              </w:rPr>
              <w:t>至</w:t>
            </w:r>
            <w:r w:rsidRPr="00B71057">
              <w:rPr>
                <w:rFonts w:eastAsiaTheme="minorEastAsia"/>
                <w:color w:themeColor="text1" w:val="000000"/>
                <w:szCs w:val="21"/>
              </w:rPr>
              <w:t>2018年12月31日</w:t>
            </w:r>
          </w:p>
        </w:tc>
      </w:tr>
      <w:tr w:rsidR="00B71057" w:rsidRPr="00B71057" w:rsidTr="00C915A6">
        <w:tc>
          <w:tcPr>
            <w:tcW w:type="dxa" w:w="2106"/>
            <w:vMerge/>
            <w:vAlign w:val="center"/>
          </w:tcPr>
          <w:p w:rsidP="00C915A6" w:rsidR="00A12107" w:rsidRDefault="00A12107" w:rsidRPr="00B71057">
            <w:pPr>
              <w:widowControl/>
              <w:spacing w:line="360" w:lineRule="auto"/>
              <w:jc w:val="left"/>
              <w:rPr>
                <w:rFonts w:eastAsiaTheme="minorEastAsia"/>
                <w:bCs/>
                <w:color w:themeColor="text1" w:val="000000"/>
                <w:szCs w:val="21"/>
              </w:rPr>
            </w:pPr>
          </w:p>
        </w:tc>
        <w:tc>
          <w:tcPr>
            <w:tcW w:type="dxa" w:w="3423"/>
            <w:vAlign w:val="center"/>
          </w:tcPr>
          <w:p w:rsidP="00C915A6" w:rsidR="00A12107" w:rsidRDefault="00A12107" w:rsidRPr="00B71057">
            <w:pPr>
              <w:spacing w:line="360" w:lineRule="auto"/>
              <w:jc w:val="center"/>
              <w:rPr>
                <w:rFonts w:eastAsiaTheme="minorEastAsia"/>
                <w:color w:themeColor="text1" w:val="000000"/>
                <w:szCs w:val="21"/>
              </w:rPr>
            </w:pPr>
            <w:r w:rsidRPr="00B71057">
              <w:rPr>
                <w:rFonts w:eastAsiaTheme="minorEastAsia"/>
                <w:bCs/>
                <w:color w:themeColor="text1" w:val="000000"/>
                <w:szCs w:val="21"/>
              </w:rPr>
              <w:t>成交金额</w:t>
            </w:r>
          </w:p>
        </w:tc>
        <w:tc>
          <w:tcPr>
            <w:tcW w:type="dxa" w:w="3471"/>
            <w:vAlign w:val="center"/>
          </w:tcPr>
          <w:p w:rsidP="00C915A6" w:rsidR="00A12107" w:rsidRDefault="00A12107" w:rsidRPr="00B71057">
            <w:pPr>
              <w:autoSpaceDE w:val="0"/>
              <w:autoSpaceDN w:val="0"/>
              <w:spacing w:line="360" w:lineRule="auto"/>
              <w:jc w:val="center"/>
              <w:textAlignment w:val="bottom"/>
              <w:rPr>
                <w:rFonts w:eastAsiaTheme="minorEastAsia"/>
                <w:bCs/>
                <w:color w:themeColor="text1" w:val="000000"/>
                <w:szCs w:val="21"/>
              </w:rPr>
            </w:pPr>
            <w:r w:rsidRPr="00B71057">
              <w:rPr>
                <w:rFonts w:eastAsiaTheme="minorEastAsia"/>
                <w:color w:themeColor="text1" w:val="000000"/>
                <w:szCs w:val="21"/>
              </w:rPr>
              <w:t>占当期债券成交总额的比例</w:t>
            </w:r>
          </w:p>
        </w:tc>
      </w:tr>
      <w:tr>
        <w:tc>
          <w:tcPr>
            <w:vAlign w:val="center"/>
          </w:tcPr>
          <w:p>
            <w:pPr>
              <w:jc w:val="left"/>
            </w:pPr>
            <w:r>
              <w:rPr>
                <w:rFonts w:eastAsiaTheme="minorEastAsia"/>
                <w:color w:themeColor="text1" w:val="000000"/>
                <w:szCs w:val="21"/>
              </w:rPr>
              <w:t>恒泰证券股份有限公司</w:t>
            </w:r>
          </w:p>
        </w:tc>
        <w:tc>
          <w:tcPr>
            <w:vAlign w:val="center"/>
          </w:tcPr>
          <w:p>
            <w:pPr>
              <w:jc w:val="right"/>
            </w:pPr>
            <w:r>
              <w:rPr>
                <w:rFonts w:eastAsiaTheme="minorEastAsia"/>
                <w:color w:themeColor="text1" w:val="000000"/>
                <w:szCs w:val="21"/>
              </w:rPr>
              <w:t>12,253,566.40</w:t>
            </w:r>
          </w:p>
        </w:tc>
        <w:tc>
          <w:tcPr>
            <w:vAlign w:val="center"/>
          </w:tcPr>
          <w:p>
            <w:pPr>
              <w:jc w:val="right"/>
            </w:pPr>
            <w:r>
              <w:rPr>
                <w:rFonts w:eastAsiaTheme="minorEastAsia"/>
                <w:color w:themeColor="text1" w:val="000000"/>
                <w:szCs w:val="21"/>
              </w:rPr>
              <w:t>62.43%</w:t>
            </w:r>
          </w:p>
        </w:tc>
      </w:tr>
    </w:tbl>
    <w:p w:rsidP="00934604" w:rsidR="001A59F9" w:rsidRDefault="00A12107"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注：本基金于2018年2月2日基金合同生效，报告截止2018年12月31日未满一年，无上年度可比期间数据。</w:t>
      </w:r>
    </w:p>
    <w:p w:rsidP="00934604" w:rsidR="001A59F9" w:rsidRDefault="001A59F9" w:rsidRPr="00B71057">
      <w:pPr>
        <w:spacing w:before="312" w:beforeLines="100" w:line="360" w:lineRule="auto"/>
        <w:rPr>
          <w:rFonts w:eastAsiaTheme="minorEastAsia"/>
          <w:b/>
          <w:color w:themeColor="text1" w:val="000000"/>
          <w:szCs w:val="21"/>
        </w:rPr>
      </w:pPr>
      <w:r w:rsidRPr="00B71057">
        <w:rPr>
          <w:rFonts w:eastAsiaTheme="minorEastAsia"/>
          <w:b/>
          <w:bCs/>
          <w:color w:themeColor="text1" w:val="000000"/>
          <w:kern w:val="0"/>
          <w:szCs w:val="21"/>
        </w:rPr>
        <w:t>7.4.8.1.4</w:t>
      </w:r>
      <w:r w:rsidR="002637E8" w:rsidRPr="00B71057">
        <w:rPr>
          <w:rFonts w:eastAsiaTheme="minorEastAsia"/>
          <w:b/>
          <w:bCs/>
          <w:color w:themeColor="text1" w:val="000000"/>
          <w:kern w:val="0"/>
          <w:szCs w:val="21"/>
        </w:rPr>
        <w:t xml:space="preserve"> </w:t>
      </w:r>
      <w:r w:rsidRPr="00B71057">
        <w:rPr>
          <w:rFonts w:eastAsiaTheme="minorEastAsia"/>
          <w:b/>
          <w:color w:themeColor="text1" w:val="000000"/>
          <w:szCs w:val="21"/>
        </w:rPr>
        <w:t>债券回购交易</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w:t>
      </w:r>
      <w:r w:rsidRPr="00B71057">
        <w:rPr>
          <w:rFonts w:eastAsiaTheme="minorEastAsia"/>
          <w:bCs/>
          <w:color w:themeColor="text1" w:val="000000"/>
          <w:szCs w:val="21"/>
        </w:rPr>
        <w:t>：人民币元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2106"/>
        <w:gridCol w:w="3423"/>
        <w:gridCol w:w="3471"/>
      </w:tblGrid>
      <w:tr w:rsidR="00B71057" w:rsidRPr="00B71057" w:rsidTr="00C915A6">
        <w:tc>
          <w:tcPr>
            <w:tcW w:type="dxa" w:w="2106"/>
            <w:vMerge w:val="restart"/>
            <w:vAlign w:val="center"/>
          </w:tcPr>
          <w:p w:rsidP="00C915A6" w:rsidR="00745B3E" w:rsidRDefault="00745B3E" w:rsidRPr="00B71057">
            <w:pPr>
              <w:autoSpaceDE w:val="0"/>
              <w:autoSpaceDN w:val="0"/>
              <w:spacing w:line="360" w:lineRule="auto"/>
              <w:jc w:val="center"/>
              <w:textAlignment w:val="bottom"/>
              <w:rPr>
                <w:rFonts w:eastAsiaTheme="minorEastAsia"/>
                <w:bCs/>
                <w:color w:themeColor="text1" w:val="000000"/>
                <w:szCs w:val="21"/>
              </w:rPr>
            </w:pPr>
            <w:r w:rsidRPr="00B71057">
              <w:rPr>
                <w:rFonts w:eastAsiaTheme="minorEastAsia"/>
                <w:bCs/>
                <w:color w:themeColor="text1" w:val="000000"/>
                <w:szCs w:val="21"/>
              </w:rPr>
              <w:t>关联方名称</w:t>
            </w:r>
            <w:r w:rsidR="0081797B" w:rsidRPr="00B71057">
              <w:rPr>
                <w:rFonts w:eastAsiaTheme="minorEastAsia"/>
                <w:bCs/>
                <w:color w:themeColor="text1" w:val="000000"/>
                <w:szCs w:val="21"/>
              </w:rPr>
              <w:t/>
            </w:r>
            <w:r w:rsidRPr="00B71057">
              <w:rPr>
                <w:rFonts w:eastAsiaTheme="minorEastAsia"/>
                <w:bCs/>
                <w:color w:themeColor="text1" w:val="000000"/>
                <w:szCs w:val="21"/>
              </w:rPr>
              <w:t/>
            </w:r>
          </w:p>
        </w:tc>
        <w:tc>
          <w:tcPr>
            <w:tcW w:type="dxa" w:w="6894"/>
            <w:gridSpan w:val="2"/>
          </w:tcPr>
          <w:p w:rsidP="00C915A6" w:rsidR="00745B3E" w:rsidRDefault="00745B3E"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本期</w:t>
            </w:r>
          </w:p>
          <w:p w:rsidP="00C915A6" w:rsidR="00745B3E" w:rsidRDefault="00745B3E" w:rsidRPr="00B71057">
            <w:pPr>
              <w:widowControl/>
              <w:autoSpaceDE w:val="0"/>
              <w:autoSpaceDN w:val="0"/>
              <w:spacing w:line="360" w:lineRule="auto"/>
              <w:ind w:right="-15"/>
              <w:jc w:val="center"/>
              <w:textAlignment w:val="bottom"/>
              <w:rPr>
                <w:rFonts w:eastAsiaTheme="minorEastAsia"/>
                <w:color w:themeColor="text1" w:val="000000"/>
                <w:kern w:val="0"/>
                <w:szCs w:val="21"/>
              </w:rPr>
            </w:pPr>
            <w:r w:rsidRPr="00B71057">
              <w:rPr>
                <w:rFonts w:eastAsiaTheme="minorEastAsia"/>
                <w:color w:themeColor="text1" w:val="000000"/>
                <w:szCs w:val="21"/>
              </w:rPr>
              <w:t>2018年2月2日（基金合同生效日）</w:t>
            </w:r>
            <w:r w:rsidRPr="00B71057">
              <w:rPr>
                <w:rFonts w:eastAsiaTheme="minorEastAsia"/>
                <w:color w:themeColor="text1" w:val="000000"/>
                <w:szCs w:val="21"/>
              </w:rPr>
              <w:t>至</w:t>
            </w:r>
            <w:r w:rsidRPr="00B71057">
              <w:rPr>
                <w:rFonts w:eastAsiaTheme="minorEastAsia"/>
                <w:color w:themeColor="text1" w:val="000000"/>
                <w:szCs w:val="21"/>
              </w:rPr>
              <w:t>2018年12月31日</w:t>
            </w:r>
          </w:p>
        </w:tc>
      </w:tr>
      <w:tr w:rsidR="00B71057" w:rsidRPr="00B71057" w:rsidTr="00C915A6">
        <w:tc>
          <w:tcPr>
            <w:tcW w:type="dxa" w:w="2106"/>
            <w:vMerge/>
            <w:vAlign w:val="center"/>
          </w:tcPr>
          <w:p w:rsidP="00C915A6" w:rsidR="00745B3E" w:rsidRDefault="00745B3E" w:rsidRPr="00B71057">
            <w:pPr>
              <w:widowControl/>
              <w:spacing w:line="360" w:lineRule="auto"/>
              <w:jc w:val="left"/>
              <w:rPr>
                <w:rFonts w:eastAsiaTheme="minorEastAsia"/>
                <w:bCs/>
                <w:color w:themeColor="text1" w:val="000000"/>
                <w:szCs w:val="21"/>
              </w:rPr>
            </w:pPr>
          </w:p>
        </w:tc>
        <w:tc>
          <w:tcPr>
            <w:tcW w:type="dxa" w:w="3423"/>
            <w:vAlign w:val="center"/>
          </w:tcPr>
          <w:p w:rsidP="00C915A6" w:rsidR="00745B3E" w:rsidRDefault="00745B3E" w:rsidRPr="00B71057">
            <w:pPr>
              <w:spacing w:line="360" w:lineRule="auto"/>
              <w:jc w:val="center"/>
              <w:rPr>
                <w:rFonts w:eastAsiaTheme="minorEastAsia"/>
                <w:color w:themeColor="text1" w:val="000000"/>
                <w:szCs w:val="21"/>
              </w:rPr>
            </w:pPr>
            <w:r w:rsidRPr="00B71057">
              <w:rPr>
                <w:rFonts w:eastAsiaTheme="minorEastAsia"/>
                <w:bCs/>
                <w:color w:themeColor="text1" w:val="000000"/>
                <w:szCs w:val="21"/>
              </w:rPr>
              <w:t>成交金额</w:t>
            </w:r>
          </w:p>
        </w:tc>
        <w:tc>
          <w:tcPr>
            <w:tcW w:type="dxa" w:w="3471"/>
            <w:vAlign w:val="center"/>
          </w:tcPr>
          <w:p w:rsidP="00C915A6" w:rsidR="00745B3E" w:rsidRDefault="00745B3E" w:rsidRPr="00B71057">
            <w:pPr>
              <w:autoSpaceDE w:val="0"/>
              <w:autoSpaceDN w:val="0"/>
              <w:spacing w:line="360" w:lineRule="auto"/>
              <w:jc w:val="center"/>
              <w:textAlignment w:val="bottom"/>
              <w:rPr>
                <w:rFonts w:eastAsiaTheme="minorEastAsia"/>
                <w:bCs/>
                <w:color w:themeColor="text1" w:val="000000"/>
                <w:szCs w:val="21"/>
              </w:rPr>
            </w:pPr>
            <w:r w:rsidRPr="00B71057">
              <w:rPr>
                <w:rFonts w:eastAsiaTheme="minorEastAsia"/>
                <w:color w:themeColor="text1" w:val="000000"/>
                <w:szCs w:val="21"/>
              </w:rPr>
              <w:t>占当期债券回购成交总额的比例</w:t>
            </w:r>
          </w:p>
        </w:tc>
      </w:tr>
      <w:tr>
        <w:tc>
          <w:tcPr>
            <w:vAlign w:val="center"/>
          </w:tcPr>
          <w:p>
            <w:pPr>
              <w:jc w:val="left"/>
            </w:pPr>
            <w:r>
              <w:rPr>
                <w:rFonts w:eastAsiaTheme="minorEastAsia"/>
                <w:color w:themeColor="text1" w:val="000000"/>
                <w:szCs w:val="21"/>
              </w:rPr>
              <w:t>恒泰证券股份有限公司</w:t>
            </w:r>
          </w:p>
        </w:tc>
        <w:tc>
          <w:tcPr>
            <w:vAlign w:val="center"/>
          </w:tcPr>
          <w:p>
            <w:pPr>
              <w:jc w:val="right"/>
            </w:pPr>
            <w:r>
              <w:rPr>
                <w:rFonts w:eastAsiaTheme="minorEastAsia"/>
                <w:color w:themeColor="text1" w:val="000000"/>
                <w:szCs w:val="21"/>
              </w:rPr>
              <w:t>23,300,000.00</w:t>
            </w:r>
          </w:p>
        </w:tc>
        <w:tc>
          <w:tcPr>
            <w:vAlign w:val="center"/>
          </w:tcPr>
          <w:p>
            <w:pPr>
              <w:jc w:val="right"/>
            </w:pPr>
            <w:r>
              <w:rPr>
                <w:rFonts w:eastAsiaTheme="minorEastAsia"/>
                <w:color w:themeColor="text1" w:val="000000"/>
                <w:szCs w:val="21"/>
              </w:rPr>
              <w:t>12.28%</w:t>
            </w:r>
          </w:p>
        </w:tc>
      </w:tr>
    </w:tbl>
    <w:p w:rsidP="00934604" w:rsidR="001A59F9" w:rsidRDefault="00745B3E">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注：本基金于2018年2月2日基金合同生效，报告截止2018年12月31日未满一年，无上年度可比期间数据。</w:t>
      </w:r>
    </w:p>
    <w:p w:rsidP="004B1CEE" w:rsidR="004B1CEE" w:rsidRDefault="004B1CEE" w:rsidRPr="00C56D9D">
      <w:pPr>
        <w:spacing w:before="312" w:beforeLines="100" w:line="360" w:lineRule="auto"/>
        <w:rPr>
          <w:rFonts w:eastAsiaTheme="minorEastAsia"/>
          <w:b/>
          <w:color w:themeColor="text1" w:val="000000"/>
          <w:szCs w:val="21"/>
        </w:rPr>
      </w:pPr>
      <w:r w:rsidRPr="00C56D9D">
        <w:rPr>
          <w:rFonts w:eastAsiaTheme="minorEastAsia"/>
          <w:b/>
          <w:bCs/>
          <w:color w:themeColor="text1" w:val="000000"/>
          <w:kern w:val="0"/>
          <w:szCs w:val="21"/>
        </w:rPr>
        <w:t xml:space="preserve">7.4.8.1.5 </w:t>
      </w:r>
      <w:r w:rsidRPr="00C56D9D">
        <w:rPr>
          <w:rFonts w:eastAsiaTheme="minorEastAsia"/>
          <w:b/>
          <w:color w:themeColor="text1" w:val="000000"/>
          <w:szCs w:val="21"/>
        </w:rPr>
        <w:t>应支付关联方的佣金</w:t>
      </w:r>
    </w:p>
    <w:p w:rsidP="004B1CEE" w:rsidR="004B1CEE" w:rsidRDefault="004B1CEE" w:rsidRPr="00C56D9D">
      <w:pPr>
        <w:spacing w:line="360" w:lineRule="auto"/>
        <w:ind w:right="105"/>
        <w:jc w:val="right"/>
        <w:rPr>
          <w:rFonts w:eastAsiaTheme="minorEastAsia"/>
          <w:color w:themeColor="text1" w:val="000000"/>
          <w:kern w:val="0"/>
          <w:szCs w:val="21"/>
        </w:rPr>
      </w:pPr>
      <w:r w:rsidRPr="00C56D9D">
        <w:rPr>
          <w:rFonts w:eastAsiaTheme="minorEastAsia"/>
          <w:color w:themeColor="text1" w:val="000000"/>
          <w:szCs w:val="21"/>
        </w:rPr>
        <w:t/>
      </w:r>
      <w:r w:rsidRPr="00C56D9D">
        <w:rPr>
          <w:rFonts w:eastAsiaTheme="minorEastAsia"/>
          <w:color w:themeColor="text1" w:val="000000"/>
          <w:szCs w:val="21"/>
        </w:rPr>
        <w:t>金额单位</w:t>
      </w:r>
      <w:r w:rsidRPr="00C56D9D">
        <w:rPr>
          <w:rFonts w:eastAsiaTheme="minorEastAsia"/>
          <w:bCs/>
          <w:color w:themeColor="text1" w:val="000000"/>
          <w:szCs w:val="21"/>
        </w:rPr>
        <w:t>：人民币元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2106"/>
        <w:gridCol w:w="1854"/>
        <w:gridCol w:w="1300"/>
        <w:gridCol w:w="2120"/>
        <w:gridCol w:w="1620"/>
      </w:tblGrid>
      <w:tr w:rsidR="004B1CEE" w:rsidRPr="00C56D9D" w:rsidTr="00905E2F">
        <w:tc>
          <w:tcPr>
            <w:tcW w:type="dxa" w:w="2106"/>
            <w:vMerge w:val="restart"/>
            <w:vAlign w:val="center"/>
          </w:tcPr>
          <w:p w:rsidP="00905E2F" w:rsidR="004B1CEE" w:rsidRDefault="004B1CEE" w:rsidRPr="00C56D9D">
            <w:pPr>
              <w:autoSpaceDE w:val="0"/>
              <w:autoSpaceDN w:val="0"/>
              <w:spacing w:line="360" w:lineRule="auto"/>
              <w:jc w:val="center"/>
              <w:textAlignment w:val="bottom"/>
              <w:rPr>
                <w:rFonts w:eastAsiaTheme="minorEastAsia"/>
                <w:bCs/>
                <w:color w:themeColor="text1" w:val="000000"/>
                <w:szCs w:val="21"/>
              </w:rPr>
            </w:pPr>
            <w:r w:rsidRPr="00C56D9D">
              <w:rPr>
                <w:rFonts w:eastAsiaTheme="minorEastAsia"/>
                <w:bCs/>
                <w:color w:themeColor="text1" w:val="000000"/>
                <w:szCs w:val="21"/>
              </w:rPr>
              <w:t>关联方名称</w:t>
            </w:r>
            <w:r w:rsidRPr="00C56D9D">
              <w:rPr>
                <w:rFonts w:eastAsiaTheme="minorEastAsia"/>
                <w:bCs/>
                <w:color w:themeColor="text1" w:val="000000"/>
                <w:szCs w:val="21"/>
              </w:rPr>
              <w:t/>
            </w:r>
          </w:p>
        </w:tc>
        <w:tc>
          <w:tcPr>
            <w:tcW w:type="dxa" w:w="6894"/>
            <w:gridSpan w:val="4"/>
          </w:tcPr>
          <w:p w:rsidP="00905E2F" w:rsidR="004B1CEE" w:rsidRDefault="004B1CEE" w:rsidRPr="00C56D9D">
            <w:pPr>
              <w:spacing w:line="360" w:lineRule="auto"/>
              <w:jc w:val="center"/>
              <w:rPr>
                <w:rFonts w:eastAsiaTheme="minorEastAsia"/>
                <w:color w:themeColor="text1" w:val="000000"/>
                <w:szCs w:val="21"/>
              </w:rPr>
            </w:pPr>
            <w:r w:rsidRPr="00C56D9D">
              <w:rPr>
                <w:rFonts w:eastAsiaTheme="minorEastAsia"/>
                <w:color w:themeColor="text1" w:val="000000"/>
                <w:szCs w:val="21"/>
              </w:rPr>
              <w:t>本期</w:t>
            </w:r>
            <w:r w:rsidRPr="00723729">
              <w:rPr>
                <w:rFonts w:eastAsiaTheme="minorEastAsia"/>
                <w:color w:val="000000"/>
                <w:kern w:val="0"/>
                <w:szCs w:val="21"/>
              </w:rPr>
              <w:t/>
            </w:r>
          </w:p>
          <w:p w:rsidP="00905E2F" w:rsidR="004B1CEE" w:rsidRDefault="004B1CEE" w:rsidRPr="00C56D9D">
            <w:pPr>
              <w:widowControl/>
              <w:autoSpaceDE w:val="0"/>
              <w:autoSpaceDN w:val="0"/>
              <w:spacing w:line="360" w:lineRule="auto"/>
              <w:ind w:right="-15"/>
              <w:jc w:val="center"/>
              <w:textAlignment w:val="bottom"/>
              <w:rPr>
                <w:rFonts w:eastAsiaTheme="minorEastAsia"/>
                <w:color w:themeColor="text1" w:val="000000"/>
                <w:szCs w:val="21"/>
              </w:rPr>
            </w:pPr>
            <w:r w:rsidRPr="00C56D9D">
              <w:rPr>
                <w:rFonts w:eastAsiaTheme="minorEastAsia"/>
                <w:color w:themeColor="text1" w:val="000000"/>
                <w:szCs w:val="21"/>
              </w:rPr>
              <w:t>2018年2月2日（基金合同生效日）</w:t>
            </w:r>
            <w:r w:rsidRPr="00C56D9D">
              <w:rPr>
                <w:rFonts w:eastAsiaTheme="minorEastAsia"/>
                <w:color w:themeColor="text1" w:val="000000"/>
                <w:szCs w:val="21"/>
              </w:rPr>
              <w:t>至</w:t>
            </w:r>
            <w:r w:rsidRPr="00C56D9D">
              <w:rPr>
                <w:rFonts w:eastAsiaTheme="minorEastAsia"/>
                <w:color w:themeColor="text1" w:val="000000"/>
                <w:szCs w:val="21"/>
              </w:rPr>
              <w:t>2018年12月31日</w:t>
            </w:r>
          </w:p>
        </w:tc>
      </w:tr>
      <w:tr w:rsidR="004B1CEE" w:rsidRPr="00C56D9D" w:rsidTr="00905E2F">
        <w:tc>
          <w:tcPr>
            <w:tcW w:type="dxa" w:w="9000"/>
            <w:vMerge/>
            <w:vAlign w:val="center"/>
          </w:tcPr>
          <w:p w:rsidP="00905E2F" w:rsidR="004B1CEE" w:rsidRDefault="004B1CEE" w:rsidRPr="00C56D9D">
            <w:pPr>
              <w:widowControl/>
              <w:spacing w:line="360" w:lineRule="auto"/>
              <w:jc w:val="left"/>
              <w:rPr>
                <w:rFonts w:eastAsiaTheme="minorEastAsia"/>
                <w:bCs/>
                <w:color w:themeColor="text1" w:val="000000"/>
                <w:szCs w:val="21"/>
              </w:rPr>
            </w:pPr>
          </w:p>
        </w:tc>
        <w:tc>
          <w:tcPr>
            <w:tcW w:type="dxa" w:w="1854"/>
            <w:vAlign w:val="center"/>
          </w:tcPr>
          <w:p w:rsidP="00905E2F" w:rsidR="004B1CEE" w:rsidRDefault="004B1CEE" w:rsidRPr="00C56D9D">
            <w:pPr>
              <w:autoSpaceDE w:val="0"/>
              <w:autoSpaceDN w:val="0"/>
              <w:spacing w:line="360" w:lineRule="auto"/>
              <w:jc w:val="center"/>
              <w:textAlignment w:val="bottom"/>
              <w:rPr>
                <w:rFonts w:eastAsiaTheme="minorEastAsia"/>
                <w:color w:themeColor="text1" w:val="000000"/>
                <w:szCs w:val="21"/>
              </w:rPr>
            </w:pPr>
            <w:r w:rsidRPr="00C56D9D">
              <w:rPr>
                <w:rFonts w:eastAsiaTheme="minorEastAsia"/>
                <w:color w:themeColor="text1" w:val="000000"/>
                <w:szCs w:val="21"/>
              </w:rPr>
              <w:t>当期</w:t>
            </w:r>
          </w:p>
          <w:p w:rsidP="00905E2F" w:rsidR="004B1CEE" w:rsidRDefault="004B1CEE" w:rsidRPr="00C56D9D">
            <w:pPr>
              <w:autoSpaceDE w:val="0"/>
              <w:autoSpaceDN w:val="0"/>
              <w:spacing w:line="360" w:lineRule="auto"/>
              <w:jc w:val="center"/>
              <w:textAlignment w:val="bottom"/>
              <w:rPr>
                <w:rFonts w:eastAsiaTheme="minorEastAsia"/>
                <w:color w:themeColor="text1" w:val="000000"/>
                <w:szCs w:val="21"/>
              </w:rPr>
            </w:pPr>
            <w:r w:rsidRPr="00C56D9D">
              <w:rPr>
                <w:rFonts w:eastAsiaTheme="minorEastAsia"/>
                <w:color w:themeColor="text1" w:val="000000"/>
                <w:szCs w:val="21"/>
              </w:rPr>
              <w:t>佣金</w:t>
            </w:r>
          </w:p>
        </w:tc>
        <w:tc>
          <w:tcPr>
            <w:tcW w:type="dxa" w:w="1300"/>
            <w:vAlign w:val="center"/>
          </w:tcPr>
          <w:p w:rsidP="00905E2F" w:rsidR="004B1CEE" w:rsidRDefault="004B1CEE" w:rsidRPr="00C56D9D">
            <w:pPr>
              <w:autoSpaceDE w:val="0"/>
              <w:autoSpaceDN w:val="0"/>
              <w:spacing w:line="360" w:lineRule="auto"/>
              <w:jc w:val="center"/>
              <w:textAlignment w:val="bottom"/>
              <w:rPr>
                <w:rFonts w:eastAsiaTheme="minorEastAsia"/>
                <w:color w:themeColor="text1" w:val="000000"/>
                <w:szCs w:val="21"/>
              </w:rPr>
            </w:pPr>
            <w:r w:rsidRPr="00C56D9D">
              <w:rPr>
                <w:rFonts w:eastAsiaTheme="minorEastAsia"/>
                <w:color w:themeColor="text1" w:val="000000"/>
                <w:szCs w:val="21"/>
              </w:rPr>
              <w:t>占当期佣金总量的比例</w:t>
            </w:r>
          </w:p>
        </w:tc>
        <w:tc>
          <w:tcPr>
            <w:tcW w:type="dxa" w:w="2120"/>
            <w:vAlign w:val="center"/>
          </w:tcPr>
          <w:p w:rsidP="00905E2F" w:rsidR="004B1CEE" w:rsidRDefault="004B1CEE" w:rsidRPr="00C56D9D">
            <w:pPr>
              <w:autoSpaceDE w:val="0"/>
              <w:autoSpaceDN w:val="0"/>
              <w:spacing w:line="360" w:lineRule="auto"/>
              <w:jc w:val="center"/>
              <w:textAlignment w:val="bottom"/>
              <w:rPr>
                <w:rFonts w:eastAsiaTheme="minorEastAsia"/>
                <w:color w:themeColor="text1" w:val="000000"/>
                <w:szCs w:val="21"/>
              </w:rPr>
            </w:pPr>
            <w:r w:rsidRPr="00C56D9D">
              <w:rPr>
                <w:rFonts w:eastAsiaTheme="minorEastAsia"/>
                <w:color w:themeColor="text1" w:val="000000"/>
                <w:szCs w:val="21"/>
              </w:rPr>
              <w:t>期末应付佣金余额</w:t>
            </w:r>
          </w:p>
        </w:tc>
        <w:tc>
          <w:tcPr>
            <w:tcW w:type="dxa" w:w="1620"/>
            <w:vAlign w:val="center"/>
          </w:tcPr>
          <w:p w:rsidP="00905E2F" w:rsidR="004B1CEE" w:rsidRDefault="004B1CEE" w:rsidRPr="00C56D9D">
            <w:pPr>
              <w:autoSpaceDE w:val="0"/>
              <w:autoSpaceDN w:val="0"/>
              <w:spacing w:line="360" w:lineRule="auto"/>
              <w:jc w:val="center"/>
              <w:textAlignment w:val="bottom"/>
              <w:rPr>
                <w:rFonts w:eastAsiaTheme="minorEastAsia"/>
                <w:color w:themeColor="text1" w:val="000000"/>
                <w:szCs w:val="21"/>
              </w:rPr>
            </w:pPr>
            <w:r w:rsidRPr="00C56D9D">
              <w:rPr>
                <w:rFonts w:eastAsiaTheme="minorEastAsia"/>
                <w:color w:themeColor="text1" w:val="000000"/>
                <w:szCs w:val="21"/>
              </w:rPr>
              <w:t>占期末应付佣金总额的比例</w:t>
            </w:r>
          </w:p>
        </w:tc>
      </w:tr>
      <w:tr>
        <w:tc>
          <w:tcPr>
            <w:vAlign w:val="center"/>
          </w:tcPr>
          <w:p>
            <w:pPr>
              <w:jc w:val="left"/>
            </w:pPr>
            <w:r>
              <w:rPr>
                <w:rFonts w:eastAsiaTheme="minorEastAsia"/>
                <w:color w:themeColor="text1" w:val="000000"/>
                <w:szCs w:val="21"/>
              </w:rPr>
              <w:t>恒泰证券股份有限公司</w:t>
            </w:r>
          </w:p>
        </w:tc>
        <w:tc>
          <w:tcPr>
            <w:vAlign w:val="center"/>
          </w:tcPr>
          <w:p>
            <w:pPr>
              <w:jc w:val="right"/>
            </w:pPr>
            <w:r>
              <w:rPr>
                <w:rFonts w:eastAsiaTheme="minorEastAsia"/>
                <w:color w:themeColor="text1" w:val="000000"/>
                <w:szCs w:val="21"/>
              </w:rPr>
              <w:t>127.12</w:t>
            </w:r>
          </w:p>
        </w:tc>
        <w:tc>
          <w:tcPr>
            <w:vAlign w:val="center"/>
          </w:tcPr>
          <w:p>
            <w:pPr>
              <w:jc w:val="right"/>
            </w:pPr>
            <w:r>
              <w:rPr>
                <w:rFonts w:eastAsiaTheme="minorEastAsia"/>
                <w:color w:themeColor="text1" w:val="000000"/>
                <w:szCs w:val="21"/>
              </w:rPr>
              <w:t>0.27%</w:t>
            </w:r>
          </w:p>
        </w:tc>
        <w:tc>
          <w:tcPr>
            <w:vAlign w:val="center"/>
          </w:tcPr>
          <w:p>
            <w:pPr>
              <w:jc w:val="right"/>
            </w:pPr>
            <w:r>
              <w:rPr>
                <w:rFonts w:eastAsiaTheme="minorEastAsia"/>
                <w:color w:themeColor="text1" w:val="000000"/>
                <w:szCs w:val="21"/>
              </w:rPr>
              <w:t>0.00</w:t>
            </w:r>
          </w:p>
        </w:tc>
        <w:tc>
          <w:tcPr>
            <w:vAlign w:val="center"/>
          </w:tcPr>
          <w:p>
            <w:pPr>
              <w:jc w:val="right"/>
            </w:pPr>
            <w:r>
              <w:rPr>
                <w:rFonts w:eastAsiaTheme="minorEastAsia"/>
                <w:color w:themeColor="text1" w:val="000000"/>
                <w:szCs w:val="21"/>
              </w:rPr>
              <w:t>0.00%</w:t>
            </w:r>
          </w:p>
        </w:tc>
      </w:tr>
    </w:tbl>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注：1、上述佣金按合同约定的佣金率计算，以扣除由中国证券登记结算有限责任公司收取的证管费和经手费后的净额列示；</w:t>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2、上述关联方交易均在正常业务范围内按一般商业条款订立。</w:t>
      </w:r>
    </w:p>
    <w:p w:rsidP="00934604" w:rsidR="001A59F9" w:rsidRDefault="004B1CEE" w:rsidRPr="00B71057">
      <w:pPr>
        <w:tabs>
          <w:tab w:pos="426" w:val="left"/>
        </w:tabs>
        <w:spacing w:line="360" w:lineRule="auto"/>
        <w:ind w:firstLine="420" w:firstLineChars="200"/>
        <w:jc w:val="left"/>
        <w:rPr>
          <w:rFonts w:eastAsiaTheme="minorEastAsia"/>
          <w:color w:themeColor="text1" w:val="000000"/>
          <w:kern w:val="0"/>
          <w:szCs w:val="21"/>
        </w:rPr>
      </w:pPr>
      <w:r w:rsidRPr="00C56D9D">
        <w:rPr>
          <w:rFonts w:eastAsiaTheme="minorEastAsia"/>
          <w:color w:themeColor="text1" w:val="000000"/>
          <w:kern w:val="0"/>
          <w:szCs w:val="21"/>
        </w:rPr>
        <w:t/>
      </w:r>
      <w:r>
        <w:rPr>
          <w:rFonts w:eastAsiaTheme="minorEastAsia" w:hint="eastAsia"/>
          <w:color w:themeColor="text1" w:val="000000"/>
          <w:kern w:val="0"/>
          <w:szCs w:val="21"/>
        </w:rPr>
        <w:t/>
      </w:r>
      <w:r w:rsidRPr="00C56D9D">
        <w:rPr>
          <w:rFonts w:eastAsiaTheme="minorEastAsia"/>
          <w:color w:themeColor="text1" w:val="000000"/>
          <w:kern w:val="0"/>
          <w:szCs w:val="21"/>
        </w:rPr>
        <w:t>3、本基金于2018年2月2日基金合同生效，报告截止2018年12月31日未满一年，无上年度可比期间数据。</w:t>
      </w:r>
    </w:p>
    <w:p w:rsidP="00934604"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7.4.8.2</w:t>
      </w:r>
      <w:r w:rsidR="002637E8"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关联方报酬</w:t>
      </w:r>
    </w:p>
    <w:p w:rsidP="00144F4F" w:rsidR="001A59F9" w:rsidRDefault="001A59F9" w:rsidRPr="00B71057">
      <w:pPr>
        <w:autoSpaceDE w:val="0"/>
        <w:autoSpaceDN w:val="0"/>
        <w:adjustRightInd w:val="0"/>
        <w:spacing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7.4.8.2.1</w:t>
      </w:r>
      <w:r w:rsidR="002637E8"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基金管理费</w:t>
      </w:r>
    </w:p>
    <w:p w:rsidP="00026C9C" w:rsidR="001A59F9" w:rsidRDefault="001A59F9" w:rsidRPr="00B71057">
      <w:pPr>
        <w:autoSpaceDE w:val="0"/>
        <w:autoSpaceDN w:val="0"/>
        <w:adjustRightInd w:val="0"/>
        <w:spacing w:before="29" w:line="360" w:lineRule="auto"/>
        <w:ind w:left="15" w:right="210"/>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3686"/>
        <w:gridCol w:w="2657"/>
        <w:gridCol w:w="2657"/>
      </w:tblGrid>
      <w:tr w:rsidR="00B71057" w:rsidRPr="00B71057" w:rsidTr="000F5396">
        <w:tc>
          <w:tcPr>
            <w:tcW w:type="dxa" w:w="3686"/>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项目</w:t>
            </w:r>
            <w:r w:rsidRPr="00B71057">
              <w:rPr>
                <w:rFonts w:eastAsiaTheme="minorEastAsia"/>
                <w:b/>
                <w:color w:themeColor="text1" w:val="000000"/>
                <w:szCs w:val="21"/>
              </w:rPr>
              <w:t/>
            </w:r>
          </w:p>
        </w:tc>
        <w:tc>
          <w:tcPr>
            <w:tcW w:type="dxa" w:w="5314"/>
            <w:hMerge w:val="restart"/>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本期</w:t>
            </w:r>
          </w:p>
          <w:p w:rsidP="00026C9C" w:rsidR="001A59F9" w:rsidRDefault="00F64FAD" w:rsidRPr="00B71057">
            <w:pPr>
              <w:widowControl/>
              <w:autoSpaceDE w:val="0"/>
              <w:autoSpaceDN w:val="0"/>
              <w:spacing w:line="360" w:lineRule="auto"/>
              <w:ind w:right="-15"/>
              <w:jc w:val="center"/>
              <w:textAlignment w:val="bottom"/>
              <w:rPr>
                <w:rFonts w:eastAsiaTheme="minorEastAsia"/>
                <w:color w:themeColor="text1" w:val="000000"/>
                <w:szCs w:val="21"/>
              </w:rPr>
            </w:pPr>
            <w:r w:rsidRPr="00B71057">
              <w:rPr>
                <w:rFonts w:eastAsiaTheme="minorEastAsia"/>
                <w:color w:themeColor="text1" w:val="000000"/>
                <w:szCs w:val="21"/>
              </w:rPr>
              <w:t>2018年2月2日（基金合同生效日）</w:t>
            </w:r>
            <w:r w:rsidR="001A59F9" w:rsidRPr="00B71057">
              <w:rPr>
                <w:rFonts w:eastAsiaTheme="minorEastAsia"/>
                <w:color w:themeColor="text1" w:val="000000"/>
                <w:szCs w:val="21"/>
              </w:rPr>
              <w:t>至</w:t>
            </w:r>
            <w:r w:rsidRPr="00B71057">
              <w:rPr>
                <w:rFonts w:eastAsiaTheme="minorEastAsia"/>
                <w:color w:themeColor="text1" w:val="000000"/>
                <w:szCs w:val="21"/>
              </w:rPr>
              <w:t>2018年12月31日</w:t>
            </w:r>
          </w:p>
        </w:tc>
        <w:tc>
          <w:tcPr>
            <w:tcW w:type="dxa" w:w="2657"/>
            <w:hMerge/>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上年度可比期间</w:t>
            </w:r>
          </w:p>
          <w:p w:rsidP="00026C9C" w:rsidR="001A59F9" w:rsidRDefault="007F35DC" w:rsidRPr="00B71057">
            <w:pPr>
              <w:widowControl/>
              <w:autoSpaceDE w:val="0"/>
              <w:autoSpaceDN w:val="0"/>
              <w:spacing w:line="360" w:lineRule="auto"/>
              <w:ind w:right="-15"/>
              <w:jc w:val="center"/>
              <w:textAlignment w:val="bottom"/>
              <w:rPr>
                <w:rFonts w:eastAsiaTheme="minorEastAsia"/>
                <w:color w:themeColor="text1" w:val="000000"/>
                <w:kern w:val="0"/>
                <w:szCs w:val="21"/>
              </w:rPr>
            </w:pPr>
            <w:r w:rsidRPr="00B71057">
              <w:rPr>
                <w:rFonts w:eastAsiaTheme="minorEastAsia"/>
                <w:color w:themeColor="text1" w:val="000000"/>
                <w:szCs w:val="21"/>
              </w:rPr>
              <w:t>-</w:t>
            </w:r>
            <w:r w:rsidR="001A59F9" w:rsidRPr="00B71057">
              <w:rPr>
                <w:rFonts w:eastAsiaTheme="minorEastAsia"/>
                <w:color w:themeColor="text1" w:val="000000"/>
                <w:szCs w:val="21"/>
              </w:rPr>
              <w:t/>
            </w:r>
          </w:p>
        </w:tc>
      </w:tr>
      <w:tr w:rsidR="00B71057" w:rsidRPr="00B71057" w:rsidTr="00C657A6">
        <w:tc>
          <w:tcPr>
            <w:tcW w:type="dxa" w:w="3686"/>
            <w:vAlign w:val="center"/>
          </w:tcPr>
          <w:p w:rsidP="00C657A6"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当期发生的基金应支付的管理费</w:t>
            </w:r>
          </w:p>
        </w:tc>
        <w:tc>
          <w:tcPr>
            <w:tcW w:type="dxa" w:w="5314"/>
            <w:hMerge w:val="restart"/>
            <w:vAlign w:val="center"/>
          </w:tcPr>
          <w:p w:rsidP="00C657A6"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1,398,625.28</w:t>
            </w:r>
          </w:p>
        </w:tc>
        <w:tc>
          <w:tcPr>
            <w:tcW w:type="dxa" w:w="2657"/>
            <w:hMerge/>
            <w:vAlign w:val="center"/>
          </w:tcPr>
          <w:p w:rsidP="00C657A6"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657A6">
        <w:tc>
          <w:tcPr>
            <w:tcW w:type="dxa" w:w="3686"/>
            <w:vAlign w:val="center"/>
          </w:tcPr>
          <w:p w:rsidP="00C657A6"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其中：支付销售机构的客户维护费</w:t>
            </w:r>
          </w:p>
        </w:tc>
        <w:tc>
          <w:tcPr>
            <w:tcW w:type="dxa" w:w="5314"/>
            <w:hMerge w:val="restart"/>
            <w:vAlign w:val="center"/>
          </w:tcPr>
          <w:p w:rsidP="00C657A6"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550,347.64</w:t>
            </w:r>
          </w:p>
        </w:tc>
        <w:tc>
          <w:tcPr>
            <w:tcW w:type="dxa" w:w="2657"/>
            <w:hMerge/>
            <w:vAlign w:val="center"/>
          </w:tcPr>
          <w:p w:rsidP="00C657A6"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bl>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注：1、本基金的管理费按前一日基金资产净值的0.7%的年费率每日计提确认，累计至每月月底，按月支付。</w:t>
      </w:r>
    </w:p>
    <w:p w:rsidP="00934604" w:rsidR="001A59F9"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2、其计算公式为：日管理人报酬=前一日资产净值×0.7%/当年天数。</w:t>
      </w:r>
    </w:p>
    <w:p w:rsidP="00934604"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7.4.8.2.2</w:t>
      </w:r>
      <w:r w:rsidR="002637E8"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基金托管费</w:t>
      </w:r>
    </w:p>
    <w:p w:rsidP="00026C9C" w:rsidR="001A59F9" w:rsidRDefault="001A59F9" w:rsidRPr="00B71057">
      <w:pPr>
        <w:autoSpaceDE w:val="0"/>
        <w:autoSpaceDN w:val="0"/>
        <w:adjustRightInd w:val="0"/>
        <w:spacing w:before="29" w:line="360" w:lineRule="auto"/>
        <w:ind w:left="15" w:right="210"/>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3686"/>
        <w:gridCol w:w="2657"/>
        <w:gridCol w:w="2657"/>
      </w:tblGrid>
      <w:tr w:rsidR="00B71057" w:rsidRPr="00B71057" w:rsidTr="005B1208">
        <w:tc>
          <w:tcPr>
            <w:tcW w:type="dxa" w:w="3686"/>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项目</w:t>
            </w:r>
            <w:r w:rsidRPr="00B71057">
              <w:rPr>
                <w:rFonts w:eastAsiaTheme="minorEastAsia"/>
                <w:b/>
                <w:color w:themeColor="text1" w:val="000000"/>
                <w:szCs w:val="21"/>
              </w:rPr>
              <w:t/>
            </w:r>
          </w:p>
        </w:tc>
        <w:tc>
          <w:tcPr>
            <w:tcW w:type="dxa" w:w="5314"/>
            <w:hMerge w:val="restart"/>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本期</w:t>
            </w:r>
          </w:p>
          <w:p w:rsidP="00026C9C" w:rsidR="001A59F9" w:rsidRDefault="00F64FAD" w:rsidRPr="00B71057">
            <w:pPr>
              <w:widowControl/>
              <w:autoSpaceDE w:val="0"/>
              <w:autoSpaceDN w:val="0"/>
              <w:spacing w:line="360" w:lineRule="auto"/>
              <w:ind w:right="-15"/>
              <w:jc w:val="center"/>
              <w:textAlignment w:val="bottom"/>
              <w:rPr>
                <w:rFonts w:eastAsiaTheme="minorEastAsia"/>
                <w:color w:themeColor="text1" w:val="000000"/>
                <w:szCs w:val="21"/>
              </w:rPr>
            </w:pPr>
            <w:r w:rsidRPr="00B71057">
              <w:rPr>
                <w:rFonts w:eastAsiaTheme="minorEastAsia"/>
                <w:color w:themeColor="text1" w:val="000000"/>
                <w:szCs w:val="21"/>
              </w:rPr>
              <w:t>2018年2月2日（基金合同生效日）</w:t>
            </w:r>
            <w:r w:rsidR="001A59F9" w:rsidRPr="00B71057">
              <w:rPr>
                <w:rFonts w:eastAsiaTheme="minorEastAsia"/>
                <w:color w:themeColor="text1" w:val="000000"/>
                <w:szCs w:val="21"/>
              </w:rPr>
              <w:t>至</w:t>
            </w:r>
            <w:r w:rsidRPr="00B71057">
              <w:rPr>
                <w:rFonts w:eastAsiaTheme="minorEastAsia"/>
                <w:color w:themeColor="text1" w:val="000000"/>
                <w:szCs w:val="21"/>
              </w:rPr>
              <w:t>2018年12月31日</w:t>
            </w:r>
          </w:p>
        </w:tc>
        <w:tc>
          <w:tcPr>
            <w:tcW w:type="dxa" w:w="2657"/>
            <w:hMerge/>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上年度可比期间</w:t>
            </w:r>
          </w:p>
          <w:p w:rsidP="00026C9C" w:rsidR="001A59F9" w:rsidRDefault="007F35DC" w:rsidRPr="00B71057">
            <w:pPr>
              <w:widowControl/>
              <w:autoSpaceDE w:val="0"/>
              <w:autoSpaceDN w:val="0"/>
              <w:spacing w:line="360" w:lineRule="auto"/>
              <w:ind w:right="-15"/>
              <w:jc w:val="center"/>
              <w:textAlignment w:val="bottom"/>
              <w:rPr>
                <w:rFonts w:eastAsiaTheme="minorEastAsia"/>
                <w:color w:themeColor="text1" w:val="000000"/>
                <w:kern w:val="0"/>
                <w:szCs w:val="21"/>
              </w:rPr>
            </w:pPr>
            <w:r w:rsidRPr="00B71057">
              <w:rPr>
                <w:rFonts w:eastAsiaTheme="minorEastAsia"/>
                <w:color w:themeColor="text1" w:val="000000"/>
                <w:szCs w:val="21"/>
              </w:rPr>
              <w:t>-</w:t>
            </w:r>
            <w:r w:rsidR="001A59F9" w:rsidRPr="00B71057">
              <w:rPr>
                <w:rFonts w:eastAsiaTheme="minorEastAsia"/>
                <w:color w:themeColor="text1" w:val="000000"/>
                <w:szCs w:val="21"/>
              </w:rPr>
              <w:t/>
            </w:r>
          </w:p>
        </w:tc>
      </w:tr>
      <w:tr w:rsidR="00B71057" w:rsidRPr="00B71057" w:rsidTr="005B1208">
        <w:tc>
          <w:tcPr>
            <w:tcW w:type="dxa" w:w="3686"/>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当期发生的基金应支付的托管费</w:t>
            </w:r>
          </w:p>
        </w:tc>
        <w:tc>
          <w:tcPr>
            <w:tcW w:type="dxa" w:w="5314"/>
            <w:hMerge w:val="restart"/>
            <w:vAlign w:val="center"/>
          </w:tcPr>
          <w:p w:rsidP="00026C9C" w:rsidR="001A59F9" w:rsidRDefault="001A59F9" w:rsidRPr="00B71057">
            <w:pPr>
              <w:spacing w:line="360" w:lineRule="auto"/>
              <w:jc w:val="right"/>
              <w:rPr>
                <w:rFonts w:eastAsiaTheme="minorEastAsia"/>
                <w:color w:themeColor="text1" w:val="000000"/>
                <w:kern w:val="0"/>
                <w:szCs w:val="21"/>
              </w:rPr>
            </w:pPr>
            <w:r w:rsidRPr="00B71057">
              <w:rPr>
                <w:rFonts w:eastAsiaTheme="minorEastAsia"/>
                <w:color w:themeColor="text1" w:val="000000"/>
                <w:szCs w:val="21"/>
              </w:rPr>
              <w:t>399,607.26</w:t>
            </w:r>
          </w:p>
        </w:tc>
        <w:tc>
          <w:tcPr>
            <w:tcW w:type="dxa" w:w="2657"/>
            <w:hMerge/>
            <w:vAlign w:val="center"/>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bl>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注：1、本基金的托管费按前一日基金资产净值的0.2%的年费率每日计提确认，累计至每月月底，按月支付。</w:t>
      </w:r>
    </w:p>
    <w:p w:rsidP="00934604" w:rsidR="001A59F9" w:rsidRDefault="001A59F9"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lastRenderedPageBreak/>
        <w:t>2、其计算公式为：日托管人报酬=前一日资产净值×0.2%/当年天数。</w:t>
      </w:r>
    </w:p>
    <w:p w:rsidP="00934604" w:rsidR="001A59F9" w:rsidRDefault="001A59F9" w:rsidRPr="00B71057">
      <w:pPr>
        <w:autoSpaceDE w:val="0"/>
        <w:autoSpaceDN w:val="0"/>
        <w:adjustRightInd w:val="0"/>
        <w:spacing w:before="312" w:beforeLines="100" w:line="360" w:lineRule="auto"/>
        <w:jc w:val="left"/>
        <w:rPr>
          <w:rFonts w:eastAsiaTheme="minorEastAsia"/>
          <w:b/>
          <w:color w:themeColor="text1" w:val="000000"/>
          <w:kern w:val="0"/>
          <w:szCs w:val="21"/>
        </w:rPr>
      </w:pPr>
      <w:r w:rsidRPr="00B71057">
        <w:rPr>
          <w:rFonts w:eastAsiaTheme="minorEastAsia"/>
          <w:b/>
          <w:bCs/>
          <w:color w:themeColor="text1" w:val="000000"/>
          <w:kern w:val="0"/>
          <w:szCs w:val="21"/>
        </w:rPr>
        <w:t>7.4.8.2.3</w:t>
      </w:r>
      <w:r w:rsidR="002637E8" w:rsidRPr="00B71057">
        <w:rPr>
          <w:rFonts w:eastAsiaTheme="minorEastAsia"/>
          <w:b/>
          <w:bCs/>
          <w:color w:themeColor="text1" w:val="000000"/>
          <w:kern w:val="0"/>
          <w:szCs w:val="21"/>
        </w:rPr>
        <w:t xml:space="preserve"> </w:t>
      </w:r>
      <w:r w:rsidRPr="00B71057">
        <w:rPr>
          <w:rFonts w:eastAsiaTheme="minorEastAsia"/>
          <w:b/>
          <w:color w:themeColor="text1" w:val="000000"/>
          <w:kern w:val="0"/>
          <w:szCs w:val="21"/>
        </w:rPr>
        <w:t>销售服务费</w:t>
      </w:r>
    </w:p>
    <w:p w:rsidP="00442C53" w:rsidR="00442C53" w:rsidRDefault="00442C53" w:rsidRPr="00B71057">
      <w:pPr>
        <w:wordWrap w:val="0"/>
        <w:autoSpaceDE w:val="0"/>
        <w:autoSpaceDN w:val="0"/>
        <w:adjustRightInd w:val="0"/>
        <w:spacing w:before="29" w:line="360" w:lineRule="auto"/>
        <w:jc w:val="right"/>
        <w:rPr>
          <w:rFonts w:eastAsiaTheme="minorEastAsia"/>
          <w:color w:themeColor="text1" w:val="000000"/>
          <w:szCs w:val="21"/>
        </w:rPr>
      </w:pPr>
      <w:r w:rsidRPr="00B71057">
        <w:rPr>
          <w:rFonts w:eastAsiaTheme="minorEastAsia"/>
          <w:color w:themeColor="text1" w:val="000000"/>
          <w:szCs w:val="21"/>
        </w:rPr>
        <w:t/>
      </w:r>
      <w:r w:rsidRPr="00B71057">
        <w:rPr>
          <w:rFonts w:eastAsiaTheme="minorEastAsia"/>
          <w:color w:themeColor="text1" w:val="000000"/>
          <w:szCs w:val="21"/>
        </w:rPr>
        <w:t>单位：人民币元</w:t>
      </w:r>
    </w:p>
    <w:tbl>
      <w:tblPr>
        <w:tblStyle w:val="af7"/>
        <w:tblW w:type="auto" w:w="0"/>
        <w:tblLayout w:type="fixed"/>
        <w:tblLook w:firstColumn="1" w:firstRow="1" w:lastColumn="0" w:lastRow="0" w:noHBand="0" w:noVBand="1" w:val="04A0"/>
      </w:tblPr>
      <w:tblGrid>
        <w:gridCol w:w="2110"/>
        <w:gridCol w:w="2534"/>
        <w:gridCol w:w="2694"/>
        <w:gridCol w:w="1948"/>
      </w:tblGrid>
      <w:tr w:rsidR="00B71057" w:rsidRPr="00B71057" w:rsidTr="00905E2F">
        <w:trPr>
          <w:trHeight w:val="284"/>
        </w:trPr>
        <w:tc>
          <w:tcPr>
            <w:tcW w:type="dxa" w:w="2110"/>
            <w:vMerge w:val="restart"/>
            <w:vAlign w:val="center"/>
          </w:tcPr>
          <w:p w:rsidP="00442C53" w:rsidR="00442C53" w:rsidRDefault="00442C53" w:rsidRPr="00B71057">
            <w:pPr>
              <w:autoSpaceDE w:val="0"/>
              <w:autoSpaceDN w:val="0"/>
              <w:adjustRightInd w:val="0"/>
              <w:spacing w:before="312" w:beforeLines="100" w:line="360" w:lineRule="auto"/>
              <w:jc w:val="center"/>
              <w:rPr>
                <w:rFonts w:eastAsiaTheme="minorEastAsia"/>
                <w:b/>
                <w:color w:themeColor="text1" w:val="000000"/>
                <w:kern w:val="0"/>
                <w:szCs w:val="21"/>
              </w:rPr>
            </w:pPr>
            <w:r w:rsidRPr="00B71057">
              <w:rPr>
                <w:rFonts w:eastAsiaTheme="minorEastAsia"/>
                <w:color w:themeColor="text1" w:val="000000"/>
                <w:szCs w:val="21"/>
              </w:rPr>
              <w:t>获得销售服务费的各关联方名称</w:t>
            </w:r>
            <w:r w:rsidRPr="00B71057">
              <w:rPr>
                <w:rFonts w:eastAsiaTheme="minorEastAsia"/>
                <w:bCs/>
                <w:color w:themeColor="text1" w:val="000000"/>
                <w:szCs w:val="21"/>
              </w:rPr>
              <w:t/>
            </w:r>
          </w:p>
        </w:tc>
        <w:tc>
          <w:tcPr>
            <w:tcW w:type="dxa" w:w="7176"/>
            <w:gridSpan w:val="3"/>
            <w:vAlign w:val="center"/>
          </w:tcPr>
          <w:p w:rsidP="00905E2F" w:rsidR="00442C53" w:rsidRDefault="00442C53" w:rsidRPr="00B71057">
            <w:pPr>
              <w:widowControl/>
              <w:autoSpaceDE w:val="0"/>
              <w:autoSpaceDN w:val="0"/>
              <w:ind w:left="-107" w:leftChars="-51" w:right="-107" w:rightChars="-51"/>
              <w:jc w:val="center"/>
              <w:textAlignment w:val="bottom"/>
              <w:rPr>
                <w:rFonts w:eastAsiaTheme="minorEastAsia"/>
                <w:color w:themeColor="text1" w:val="000000"/>
                <w:szCs w:val="21"/>
              </w:rPr>
            </w:pPr>
            <w:r w:rsidRPr="00B71057">
              <w:rPr>
                <w:rFonts w:eastAsiaTheme="minorEastAsia"/>
                <w:color w:themeColor="text1" w:val="000000"/>
                <w:szCs w:val="21"/>
              </w:rPr>
              <w:t>本期</w:t>
            </w:r>
            <w:r w:rsidRPr="00B71057">
              <w:rPr>
                <w:rFonts w:eastAsiaTheme="minorEastAsia"/>
                <w:color w:themeColor="text1" w:val="000000"/>
                <w:kern w:val="0"/>
                <w:szCs w:val="21"/>
              </w:rPr>
              <w:t/>
            </w:r>
          </w:p>
          <w:p w:rsidP="00905E2F" w:rsidR="00442C53" w:rsidRDefault="00442C53" w:rsidRPr="00B71057">
            <w:pPr>
              <w:widowControl/>
              <w:autoSpaceDE w:val="0"/>
              <w:autoSpaceDN w:val="0"/>
              <w:ind w:left="-107" w:leftChars="-51" w:right="-107" w:rightChars="-51"/>
              <w:jc w:val="center"/>
              <w:textAlignment w:val="bottom"/>
              <w:rPr>
                <w:rFonts w:eastAsiaTheme="minorEastAsia"/>
                <w:color w:themeColor="text1" w:val="000000"/>
                <w:szCs w:val="21"/>
              </w:rPr>
            </w:pPr>
            <w:r w:rsidRPr="00B71057">
              <w:rPr>
                <w:rFonts w:eastAsiaTheme="minorEastAsia"/>
                <w:color w:themeColor="text1" w:val="000000"/>
                <w:szCs w:val="21"/>
              </w:rPr>
              <w:t>2018年2月2日（基金合同生效日）</w:t>
            </w:r>
            <w:r w:rsidRPr="00B71057">
              <w:rPr>
                <w:rFonts w:eastAsiaTheme="minorEastAsia"/>
                <w:color w:themeColor="text1" w:val="000000"/>
                <w:szCs w:val="21"/>
              </w:rPr>
              <w:t>至</w:t>
            </w:r>
            <w:r w:rsidRPr="00B71057">
              <w:rPr>
                <w:rFonts w:eastAsiaTheme="minorEastAsia"/>
                <w:color w:themeColor="text1" w:val="000000"/>
                <w:szCs w:val="21"/>
              </w:rPr>
              <w:t>2018年12月31日</w:t>
            </w:r>
          </w:p>
        </w:tc>
      </w:tr>
      <w:tr w:rsidR="00B71057" w:rsidRPr="00B71057" w:rsidTr="00905E2F">
        <w:trPr>
          <w:trHeight w:val="284"/>
        </w:trPr>
        <w:tc>
          <w:tcPr>
            <w:tcW w:type="dxa" w:w="2110"/>
            <w:vMerge/>
          </w:tcPr>
          <w:p w:rsidP="00442C53" w:rsidR="00442C53" w:rsidRDefault="00442C53" w:rsidRPr="00B71057">
            <w:pPr>
              <w:autoSpaceDE w:val="0"/>
              <w:autoSpaceDN w:val="0"/>
              <w:adjustRightInd w:val="0"/>
              <w:spacing w:before="312" w:beforeLines="100" w:line="360" w:lineRule="auto"/>
              <w:jc w:val="left"/>
              <w:rPr>
                <w:rFonts w:eastAsiaTheme="minorEastAsia"/>
                <w:b/>
                <w:color w:themeColor="text1" w:val="000000"/>
                <w:kern w:val="0"/>
                <w:szCs w:val="21"/>
              </w:rPr>
            </w:pPr>
          </w:p>
        </w:tc>
        <w:tc>
          <w:tcPr>
            <w:tcW w:type="dxa" w:w="7176"/>
            <w:gridSpan w:val="3"/>
            <w:vAlign w:val="center"/>
          </w:tcPr>
          <w:p w:rsidP="00905E2F" w:rsidR="00442C53" w:rsidRDefault="00442C53" w:rsidRPr="00B71057">
            <w:pPr>
              <w:widowControl/>
              <w:autoSpaceDE w:val="0"/>
              <w:autoSpaceDN w:val="0"/>
              <w:ind w:left="-107" w:leftChars="-51" w:right="-107" w:rightChars="-51"/>
              <w:jc w:val="center"/>
              <w:textAlignment w:val="bottom"/>
              <w:rPr>
                <w:rFonts w:eastAsiaTheme="minorEastAsia"/>
                <w:color w:themeColor="text1" w:val="000000"/>
                <w:szCs w:val="21"/>
              </w:rPr>
            </w:pPr>
            <w:r w:rsidRPr="00B71057">
              <w:rPr>
                <w:rFonts w:eastAsiaTheme="minorEastAsia"/>
                <w:color w:themeColor="text1" w:val="000000"/>
                <w:szCs w:val="21"/>
              </w:rPr>
              <w:t>当期发生的基金应支付的销售服务费</w:t>
            </w:r>
          </w:p>
        </w:tc>
      </w:tr>
      <w:tr w:rsidR="00B71057" w:rsidRPr="00B71057" w:rsidTr="00905E2F">
        <w:trPr>
          <w:trHeight w:val="284"/>
        </w:trPr>
        <w:tc>
          <w:tcPr>
            <w:tcW w:type="dxa" w:w="2110"/>
            <w:vMerge/>
          </w:tcPr>
          <w:p w:rsidP="00442C53" w:rsidR="00442C53" w:rsidRDefault="00442C53" w:rsidRPr="00B71057">
            <w:pPr>
              <w:autoSpaceDE w:val="0"/>
              <w:autoSpaceDN w:val="0"/>
              <w:adjustRightInd w:val="0"/>
              <w:spacing w:before="312" w:beforeLines="100" w:line="360" w:lineRule="auto"/>
              <w:jc w:val="left"/>
              <w:rPr>
                <w:rFonts w:eastAsiaTheme="minorEastAsia"/>
                <w:b/>
                <w:color w:themeColor="text1" w:val="000000"/>
                <w:kern w:val="0"/>
                <w:szCs w:val="21"/>
              </w:rPr>
            </w:pPr>
          </w:p>
        </w:tc>
        <w:tc>
          <w:tcPr>
            <w:tcW w:type="dxa" w:w="2534"/>
            <w:vAlign w:val="center"/>
          </w:tcPr>
          <w:p w:rsidP="00905E2F" w:rsidR="00442C53" w:rsidRDefault="00442C53" w:rsidRPr="00B71057">
            <w:pPr>
              <w:widowControl/>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dxa" w:w="2694"/>
            <w:vAlign w:val="center"/>
          </w:tcPr>
          <w:p w:rsidP="00905E2F" w:rsidR="00442C53" w:rsidRDefault="00442C53" w:rsidRPr="00B71057">
            <w:pPr>
              <w:widowControl/>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c>
          <w:tcPr>
            <w:tcW w:type="dxa" w:w="1948"/>
            <w:vAlign w:val="center"/>
          </w:tcPr>
          <w:p w:rsidP="00905E2F" w:rsidR="00442C53" w:rsidRDefault="00442C53" w:rsidRPr="00B71057">
            <w:pPr>
              <w:widowControl/>
              <w:ind w:left="-107" w:leftChars="-51" w:right="-107" w:rightChars="-51"/>
              <w:jc w:val="center"/>
              <w:rPr>
                <w:rFonts w:eastAsiaTheme="minorEastAsia"/>
                <w:color w:themeColor="text1" w:val="000000"/>
                <w:szCs w:val="21"/>
              </w:rPr>
            </w:pPr>
            <w:r w:rsidRPr="00B71057">
              <w:rPr>
                <w:rFonts w:eastAsiaTheme="minorEastAsia"/>
                <w:color w:themeColor="text1" w:val="000000"/>
                <w:szCs w:val="21"/>
              </w:rPr>
              <w:t>合计</w:t>
            </w:r>
          </w:p>
        </w:tc>
      </w:tr>
      <w:tr>
        <w:tc>
          <w:tcPr>
            <w:vAlign w:val="center"/>
          </w:tcPr>
          <w:p>
            <w:pPr>
              <w:jc w:val="left"/>
            </w:pPr>
            <w:r>
              <w:rPr>
                <w:rFonts w:eastAsiaTheme="minorEastAsia"/>
                <w:color w:themeColor="text1" w:val="000000"/>
                <w:szCs w:val="21"/>
              </w:rPr>
              <w:t>恒泰证券股份有限公司</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6,905.11</w:t>
            </w:r>
          </w:p>
        </w:tc>
        <w:tc>
          <w:tcPr>
            <w:vAlign w:val="center"/>
          </w:tcPr>
          <w:p>
            <w:pPr>
              <w:jc w:val="right"/>
            </w:pPr>
            <w:r>
              <w:rPr>
                <w:rFonts w:eastAsiaTheme="minorEastAsia"/>
                <w:color w:themeColor="text1" w:val="000000"/>
                <w:szCs w:val="21"/>
              </w:rPr>
              <w:t>6,905.11</w:t>
            </w:r>
          </w:p>
        </w:tc>
      </w:tr>
      <w:tr>
        <w:tc>
          <w:tcPr>
            <w:vAlign w:val="center"/>
          </w:tcPr>
          <w:p>
            <w:pPr>
              <w:jc w:val="left"/>
            </w:pPr>
            <w:r>
              <w:rPr>
                <w:rFonts w:eastAsiaTheme="minorEastAsia"/>
                <w:color w:themeColor="text1" w:val="000000"/>
                <w:szCs w:val="21"/>
              </w:rPr>
              <w:t>中国建设银行股份有限公司</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18,455.26</w:t>
            </w:r>
          </w:p>
        </w:tc>
        <w:tc>
          <w:tcPr>
            <w:vAlign w:val="center"/>
          </w:tcPr>
          <w:p>
            <w:pPr>
              <w:jc w:val="right"/>
            </w:pPr>
            <w:r>
              <w:rPr>
                <w:rFonts w:eastAsiaTheme="minorEastAsia"/>
                <w:color w:themeColor="text1" w:val="000000"/>
                <w:szCs w:val="21"/>
              </w:rPr>
              <w:t>18,455.26</w:t>
            </w:r>
          </w:p>
        </w:tc>
      </w:tr>
      <w:tr w:rsidR="00B71057" w:rsidRPr="00B71057" w:rsidTr="00905E2F">
        <w:trPr>
          <w:trHeight w:val="284"/>
        </w:trPr>
        <w:tc>
          <w:tcPr>
            <w:tcW w:type="dxa" w:w="2110"/>
            <w:vAlign w:val="center"/>
          </w:tcPr>
          <w:p w:rsidP="00442C53" w:rsidR="00442C53" w:rsidRDefault="00442C53" w:rsidRPr="00B71057">
            <w:pPr>
              <w:autoSpaceDE w:val="0"/>
              <w:autoSpaceDN w:val="0"/>
              <w:adjustRightInd w:val="0"/>
              <w:spacing w:before="312" w:beforeLines="100" w:line="360" w:lineRule="auto"/>
              <w:jc w:val="center"/>
              <w:rPr>
                <w:rFonts w:eastAsiaTheme="minorEastAsia"/>
                <w:b/>
                <w:color w:themeColor="text1" w:val="000000"/>
                <w:kern w:val="0"/>
                <w:szCs w:val="21"/>
              </w:rPr>
            </w:pPr>
            <w:r w:rsidRPr="00B71057">
              <w:rPr>
                <w:rFonts w:eastAsiaTheme="minorEastAsia"/>
                <w:color w:themeColor="text1" w:val="000000"/>
                <w:szCs w:val="21"/>
              </w:rPr>
              <w:t>合计</w:t>
            </w:r>
          </w:p>
        </w:tc>
        <w:tc>
          <w:tcPr>
            <w:tcW w:type="dxa" w:w="2534"/>
            <w:vAlign w:val="center"/>
          </w:tcPr>
          <w:p w:rsidP="00905E2F" w:rsidR="00442C53" w:rsidRDefault="00442C53" w:rsidRPr="00B71057">
            <w:pPr>
              <w:jc w:val="right"/>
              <w:rPr>
                <w:rFonts w:eastAsiaTheme="minorEastAsia"/>
                <w:color w:themeColor="text1" w:val="000000"/>
                <w:szCs w:val="21"/>
              </w:rPr>
            </w:pPr>
            <w:r w:rsidRPr="00B71057">
              <w:rPr>
                <w:rFonts w:eastAsiaTheme="minorEastAsia"/>
                <w:color w:themeColor="text1" w:val="000000"/>
                <w:szCs w:val="21"/>
              </w:rPr>
              <w:t>-</w:t>
            </w:r>
          </w:p>
        </w:tc>
        <w:tc>
          <w:tcPr>
            <w:tcW w:type="dxa" w:w="2694"/>
            <w:vAlign w:val="center"/>
          </w:tcPr>
          <w:p w:rsidP="00905E2F" w:rsidR="00442C53" w:rsidRDefault="00442C53" w:rsidRPr="00B71057">
            <w:pPr>
              <w:jc w:val="right"/>
              <w:rPr>
                <w:rFonts w:eastAsiaTheme="minorEastAsia"/>
                <w:color w:themeColor="text1" w:val="000000"/>
                <w:szCs w:val="21"/>
              </w:rPr>
            </w:pPr>
            <w:r w:rsidRPr="00B71057">
              <w:rPr>
                <w:rFonts w:eastAsiaTheme="minorEastAsia"/>
                <w:color w:themeColor="text1" w:val="000000"/>
                <w:szCs w:val="21"/>
              </w:rPr>
              <w:t>25,360.37</w:t>
            </w:r>
          </w:p>
        </w:tc>
        <w:tc>
          <w:tcPr>
            <w:tcW w:type="dxa" w:w="1948"/>
            <w:vAlign w:val="center"/>
          </w:tcPr>
          <w:p w:rsidP="00905E2F" w:rsidR="00442C53" w:rsidRDefault="00442C53" w:rsidRPr="00B71057">
            <w:pPr>
              <w:jc w:val="right"/>
              <w:rPr>
                <w:rFonts w:eastAsiaTheme="minorEastAsia"/>
                <w:color w:themeColor="text1" w:val="000000"/>
                <w:szCs w:val="21"/>
              </w:rPr>
            </w:pPr>
            <w:r w:rsidRPr="00B71057">
              <w:rPr>
                <w:rFonts w:eastAsiaTheme="minorEastAsia"/>
                <w:color w:themeColor="text1" w:val="000000"/>
                <w:szCs w:val="21"/>
              </w:rPr>
              <w:t>25,360.37</w:t>
            </w:r>
          </w:p>
        </w:tc>
      </w:tr>
    </w:tbl>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注：1、本基金的销售服务费按前一日C类基金份额资产净值的0.5%的年费率每日计提确认，累计至每月月底，按月支付。</w:t>
      </w:r>
    </w:p>
    <w:p w:rsidP="00934604" w:rsidR="001A59F9" w:rsidRDefault="005872C2"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lastRenderedPageBreak/>
        <w:t>2、其计算公式为：日C类销售服务费=前一日C类资产净值×0.5%/当年天数。</w:t>
      </w:r>
    </w:p>
    <w:p w:rsidP="00934604"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bCs/>
          <w:color w:themeColor="text1" w:val="000000"/>
          <w:kern w:val="0"/>
          <w:szCs w:val="21"/>
        </w:rPr>
        <w:t>7.4.8.3</w:t>
      </w:r>
      <w:r w:rsidR="002637E8"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与关联方进行银行间同业市场的债券</w:t>
      </w:r>
      <w:r w:rsidRPr="00B71057">
        <w:rPr>
          <w:rFonts w:eastAsiaTheme="minorEastAsia"/>
          <w:b/>
          <w:bCs/>
          <w:color w:themeColor="text1" w:val="000000"/>
          <w:szCs w:val="21"/>
        </w:rPr>
        <w:t>(</w:t>
      </w:r>
      <w:r w:rsidRPr="00B71057">
        <w:rPr>
          <w:rFonts w:eastAsiaTheme="minorEastAsia"/>
          <w:b/>
          <w:bCs/>
          <w:color w:themeColor="text1" w:val="000000"/>
          <w:szCs w:val="21"/>
        </w:rPr>
        <w:t>含回购</w:t>
      </w:r>
      <w:r w:rsidRPr="00B71057">
        <w:rPr>
          <w:rFonts w:eastAsiaTheme="minorEastAsia"/>
          <w:b/>
          <w:bCs/>
          <w:color w:themeColor="text1" w:val="000000"/>
          <w:szCs w:val="21"/>
        </w:rPr>
        <w:t>)</w:t>
      </w:r>
      <w:r w:rsidRPr="00B71057">
        <w:rPr>
          <w:rFonts w:eastAsiaTheme="minorEastAsia"/>
          <w:b/>
          <w:bCs/>
          <w:color w:themeColor="text1" w:val="000000"/>
          <w:szCs w:val="21"/>
        </w:rPr>
        <w:t>交易</w:t>
      </w:r>
    </w:p>
    <w:p>
      <w:pPr>
        <w:tabs>
          <w:tab w:pos="426" w:val="left"/>
        </w:tabs>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1、本基金于2018年2月2日基金合同生效，报告截止2018年12月31日未满一年，无上年度可比期间数据。</w:t>
      </w:r>
    </w:p>
    <w:p w:rsidP="00934604" w:rsidR="001A59F9" w:rsidRDefault="009D32F8"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2、本基金本报告期未与关联方进行银行间同业市场的债券（含回购）交易。</w:t>
      </w:r>
    </w:p>
    <w:p w:rsidP="00026C9C" w:rsidR="001A59F9" w:rsidRDefault="001A59F9" w:rsidRPr="00B71057">
      <w:pPr>
        <w:spacing w:line="360" w:lineRule="auto"/>
        <w:rPr>
          <w:rFonts w:eastAsiaTheme="minorEastAsia"/>
          <w:color w:themeColor="text1" w:val="000000"/>
          <w:szCs w:val="21"/>
        </w:rPr>
      </w:pPr>
    </w:p>
    <w:p w:rsidP="00934604"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bCs/>
          <w:color w:themeColor="text1" w:val="000000"/>
          <w:kern w:val="0"/>
          <w:szCs w:val="21"/>
        </w:rPr>
        <w:t>7.4.8.4</w:t>
      </w:r>
      <w:r w:rsidR="002637E8"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由关联方保管的银行存款余额及当期产生的利息收入</w:t>
      </w:r>
    </w:p>
    <w:p w:rsidP="00026C9C" w:rsidR="001A59F9" w:rsidRDefault="001A59F9" w:rsidRPr="00B71057">
      <w:pPr>
        <w:autoSpaceDE w:val="0"/>
        <w:autoSpaceDN w:val="0"/>
        <w:adjustRightInd w:val="0"/>
        <w:spacing w:before="29" w:line="360" w:lineRule="auto"/>
        <w:ind w:left="15" w:right="210"/>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2268"/>
        <w:gridCol w:w="3366"/>
        <w:gridCol w:w="3366"/>
      </w:tblGrid>
      <w:tr w:rsidR="00B71057" w:rsidRPr="00B71057" w:rsidTr="00C915A6">
        <w:tc>
          <w:tcPr>
            <w:tcW w:type="dxa" w:w="2268"/>
            <w:vMerge w:val="restart"/>
            <w:vAlign w:val="center"/>
          </w:tcPr>
          <w:p w:rsidP="00C915A6" w:rsidR="00360905" w:rsidRDefault="0036090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关联方名称</w:t>
            </w:r>
            <w:r w:rsidR="0081797B" w:rsidRPr="00B71057">
              <w:rPr>
                <w:rFonts w:eastAsiaTheme="minorEastAsia"/>
                <w:color w:themeColor="text1" w:val="000000"/>
                <w:szCs w:val="21"/>
              </w:rPr>
              <w:lastRenderedPageBreak/>
              <w:t/>
            </w:r>
          </w:p>
        </w:tc>
        <w:tc>
          <w:tcPr>
            <w:tcW w:type="dxa" w:w="6732"/>
            <w:gridSpan w:val="2"/>
          </w:tcPr>
          <w:p w:rsidP="00C915A6" w:rsidR="00360905" w:rsidRDefault="0036090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lastRenderedPageBreak/>
              <w:t>本期</w:t>
            </w:r>
          </w:p>
          <w:p w:rsidP="00C915A6" w:rsidR="00360905" w:rsidRDefault="00360905" w:rsidRPr="00B71057">
            <w:pPr>
              <w:widowControl/>
              <w:autoSpaceDE w:val="0"/>
              <w:autoSpaceDN w:val="0"/>
              <w:spacing w:line="360" w:lineRule="auto"/>
              <w:ind w:right="-15"/>
              <w:jc w:val="center"/>
              <w:textAlignment w:val="bottom"/>
              <w:rPr>
                <w:rFonts w:eastAsiaTheme="minorEastAsia"/>
                <w:color w:themeColor="text1" w:val="000000"/>
                <w:kern w:val="0"/>
                <w:szCs w:val="21"/>
              </w:rPr>
            </w:pPr>
            <w:r w:rsidRPr="00B71057">
              <w:rPr>
                <w:rFonts w:eastAsiaTheme="minorEastAsia"/>
                <w:color w:themeColor="text1" w:val="000000"/>
                <w:szCs w:val="21"/>
              </w:rPr>
              <w:lastRenderedPageBreak/>
              <w:t>2018年2月2日（基金合同生效日）</w:t>
            </w:r>
            <w:r w:rsidRPr="00B71057">
              <w:rPr>
                <w:rFonts w:eastAsiaTheme="minorEastAsia"/>
                <w:color w:themeColor="text1" w:val="000000"/>
                <w:szCs w:val="21"/>
              </w:rPr>
              <w:t>至</w:t>
            </w:r>
            <w:r w:rsidRPr="00B71057">
              <w:rPr>
                <w:rFonts w:eastAsiaTheme="minorEastAsia"/>
                <w:color w:themeColor="text1" w:val="000000"/>
                <w:szCs w:val="21"/>
              </w:rPr>
              <w:t>2018年12月31日</w:t>
            </w:r>
          </w:p>
        </w:tc>
      </w:tr>
      <w:tr w:rsidR="00B71057" w:rsidRPr="00B71057" w:rsidTr="00C915A6">
        <w:tc>
          <w:tcPr>
            <w:tcW w:type="dxa" w:w="2268"/>
            <w:vMerge/>
            <w:vAlign w:val="center"/>
          </w:tcPr>
          <w:p w:rsidP="00C915A6" w:rsidR="00360905" w:rsidRDefault="00360905" w:rsidRPr="00B71057">
            <w:pPr>
              <w:widowControl/>
              <w:spacing w:line="360" w:lineRule="auto"/>
              <w:jc w:val="left"/>
              <w:rPr>
                <w:rFonts w:eastAsiaTheme="minorEastAsia"/>
                <w:color w:themeColor="text1" w:val="000000"/>
                <w:szCs w:val="21"/>
              </w:rPr>
            </w:pPr>
          </w:p>
        </w:tc>
        <w:tc>
          <w:tcPr>
            <w:tcW w:type="dxa" w:w="3366"/>
            <w:vAlign w:val="center"/>
          </w:tcPr>
          <w:p w:rsidP="00C915A6" w:rsidR="00360905" w:rsidRDefault="0036090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期末余额</w:t>
            </w:r>
          </w:p>
        </w:tc>
        <w:tc>
          <w:tcPr>
            <w:tcW w:type="dxa" w:w="3366"/>
            <w:vAlign w:val="center"/>
          </w:tcPr>
          <w:p w:rsidP="00C915A6" w:rsidR="00360905" w:rsidRDefault="0036090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当期利息收入</w:t>
            </w:r>
          </w:p>
        </w:tc>
      </w:tr>
      <w:tr>
        <w:tc>
          <w:tcPr>
            <w:vAlign w:val="center"/>
          </w:tcPr>
          <w:p>
            <w:pPr>
              <w:jc w:val="left"/>
            </w:pPr>
            <w:r>
              <w:rPr>
                <w:rFonts w:eastAsiaTheme="minorEastAsia"/>
                <w:color w:themeColor="text1" w:val="000000"/>
                <w:szCs w:val="21"/>
              </w:rPr>
              <w:t>中国建设银行股份有限公司</w:t>
            </w:r>
          </w:p>
        </w:tc>
        <w:tc>
          <w:tcPr>
            <w:vAlign w:val="center"/>
          </w:tcPr>
          <w:p>
            <w:pPr>
              <w:jc w:val="right"/>
            </w:pPr>
            <w:r>
              <w:rPr>
                <w:rFonts w:eastAsiaTheme="minorEastAsia"/>
                <w:color w:themeColor="text1" w:val="000000"/>
                <w:szCs w:val="21"/>
              </w:rPr>
              <w:t>1,508,478.17</w:t>
            </w:r>
          </w:p>
        </w:tc>
        <w:tc>
          <w:tcPr>
            <w:vAlign w:val="center"/>
          </w:tcPr>
          <w:p>
            <w:pPr>
              <w:jc w:val="right"/>
            </w:pPr>
            <w:r>
              <w:rPr>
                <w:rFonts w:eastAsiaTheme="minorEastAsia"/>
                <w:color w:themeColor="text1" w:val="000000"/>
                <w:szCs w:val="21"/>
              </w:rPr>
              <w:t>38,527.17</w:t>
            </w:r>
          </w:p>
        </w:tc>
      </w:tr>
    </w:tbl>
    <w:p w:rsidP="00CA2A5B" w:rsidR="001A59F9" w:rsidRDefault="00360905" w:rsidRPr="00B71057">
      <w:pPr>
        <w:tabs>
          <w:tab w:pos="426" w:val="left"/>
        </w:tabs>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注：本基金于2018年2月2日基金合同生效，报告截止2018年12月31日未满一年，无上年度可比期间数据。</w:t>
      </w:r>
    </w:p>
    <w:p w:rsidP="00CA2A5B"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bCs/>
          <w:color w:themeColor="text1" w:val="000000"/>
          <w:kern w:val="0"/>
          <w:szCs w:val="21"/>
        </w:rPr>
        <w:t>7.4.8.5</w:t>
      </w:r>
      <w:r w:rsidR="002637E8"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本基金在承销期内参与关联方承销证券的情况</w:t>
      </w:r>
    </w:p>
    <w:p>
      <w:pPr>
        <w:widowControl/>
        <w:spacing w:line="360" w:lineRule="auto"/>
        <w:ind w:firstLine="420" w:firstLineChars="200"/>
        <w:jc w:val="left"/>
        <w:rPr>
          <w:rFonts w:eastAsiaTheme="minorEastAsia"/>
          <w:color w:themeColor="text1" w:val="000000"/>
          <w:kern w:val="0"/>
          <w:szCs w:val="21"/>
        </w:rPr>
      </w:pPr>
      <w:r>
        <w:rPr>
          <w:rFonts w:eastAsiaTheme="minorEastAsia"/>
          <w:color w:themeColor="text1" w:val="000000"/>
          <w:kern w:val="0"/>
          <w:szCs w:val="21"/>
        </w:rPr>
        <w:t>1、本基金于2018年2月2日基金合同生效，报告截止2018年12月31日未满一年，无上年度可比期间数据。</w:t>
      </w:r>
    </w:p>
    <w:p w:rsidP="00CA2A5B" w:rsidR="001A59F9" w:rsidRDefault="00982C7F" w:rsidRPr="00B71057">
      <w:pPr>
        <w:widowControl/>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2、本基金在承销期内未参与关联方承销证券。</w:t>
      </w:r>
    </w:p>
    <w:p w:rsidP="00CA2A5B" w:rsidR="001A59F9" w:rsidRDefault="001A59F9" w:rsidRPr="00B71057">
      <w:pPr>
        <w:adjustRightInd w:val="0"/>
        <w:snapToGrid w:val="0"/>
        <w:spacing w:before="312" w:beforeLines="100" w:line="360" w:lineRule="auto"/>
        <w:rPr>
          <w:rFonts w:eastAsiaTheme="minorEastAsia"/>
          <w:b/>
          <w:color w:themeColor="text1" w:val="000000"/>
          <w:szCs w:val="21"/>
        </w:rPr>
      </w:pPr>
      <w:r w:rsidRPr="00B71057">
        <w:rPr>
          <w:rFonts w:eastAsiaTheme="minorEastAsia"/>
          <w:b/>
          <w:bCs/>
          <w:color w:themeColor="text1" w:val="000000"/>
          <w:kern w:val="0"/>
          <w:szCs w:val="21"/>
        </w:rPr>
        <w:t>7.4.8.6</w:t>
      </w:r>
      <w:r w:rsidR="002637E8" w:rsidRPr="00B71057">
        <w:rPr>
          <w:rFonts w:eastAsiaTheme="minorEastAsia"/>
          <w:b/>
          <w:bCs/>
          <w:color w:themeColor="text1" w:val="000000"/>
          <w:kern w:val="0"/>
          <w:szCs w:val="21"/>
        </w:rPr>
        <w:t xml:space="preserve"> </w:t>
      </w:r>
      <w:r w:rsidRPr="00B71057">
        <w:rPr>
          <w:rFonts w:eastAsiaTheme="minorEastAsia"/>
          <w:b/>
          <w:color w:themeColor="text1" w:val="000000"/>
          <w:szCs w:val="21"/>
        </w:rPr>
        <w:t>其他关联交易事项的说明</w:t>
      </w:r>
    </w:p>
    <w:p w:rsidP="00CA2A5B" w:rsidR="001A59F9" w:rsidRDefault="001A59F9"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本基金于2018年2月2日基金合同生效，报告截止2018年12月31日未满一年，本报告期及上年度可比期间无其他关联交易事项。</w:t>
      </w:r>
    </w:p>
    <w:p w:rsidP="00CA2A5B"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bCs/>
          <w:color w:themeColor="text1" w:val="000000"/>
          <w:kern w:val="0"/>
          <w:szCs w:val="21"/>
        </w:rPr>
        <w:t>7.4.9</w:t>
      </w:r>
      <w:r w:rsidR="00AD16A3"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期末（</w:t>
      </w:r>
      <w:r w:rsidR="00F64FAD" w:rsidRPr="00B71057">
        <w:rPr>
          <w:rFonts w:eastAsiaTheme="minorEastAsia"/>
          <w:b/>
          <w:bCs/>
          <w:color w:themeColor="text1" w:val="000000"/>
          <w:szCs w:val="21"/>
        </w:rPr>
        <w:t>2018年12月31日</w:t>
      </w:r>
      <w:r w:rsidRPr="00B71057">
        <w:rPr>
          <w:rFonts w:eastAsiaTheme="minorEastAsia"/>
          <w:b/>
          <w:bCs/>
          <w:color w:themeColor="text1" w:val="000000"/>
          <w:szCs w:val="21"/>
        </w:rPr>
        <w:t>）本基金持有的流通受限证券</w:t>
      </w:r>
    </w:p>
    <w:p w:rsidP="00144F4F" w:rsidR="001A59F9" w:rsidRDefault="001A59F9" w:rsidRPr="00B71057">
      <w:pPr>
        <w:spacing w:line="360" w:lineRule="auto"/>
        <w:rPr>
          <w:rFonts w:eastAsiaTheme="minorEastAsia"/>
          <w:b/>
          <w:bCs/>
          <w:color w:themeColor="text1" w:val="000000"/>
          <w:szCs w:val="21"/>
        </w:rPr>
      </w:pPr>
      <w:r w:rsidRPr="00B71057">
        <w:rPr>
          <w:rFonts w:eastAsiaTheme="minorEastAsia"/>
          <w:b/>
          <w:bCs/>
          <w:color w:themeColor="text1" w:val="000000"/>
          <w:kern w:val="0"/>
          <w:szCs w:val="21"/>
        </w:rPr>
        <w:lastRenderedPageBreak/>
        <w:t>7.4.9.1</w:t>
      </w:r>
      <w:r w:rsidR="00AD16A3"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因认购新发</w:t>
      </w:r>
      <w:r w:rsidRPr="00B71057">
        <w:rPr>
          <w:rFonts w:eastAsiaTheme="minorEastAsia"/>
          <w:b/>
          <w:bCs/>
          <w:color w:themeColor="text1" w:val="000000"/>
          <w:szCs w:val="21"/>
        </w:rPr>
        <w:t>/</w:t>
      </w:r>
      <w:r w:rsidRPr="00B71057">
        <w:rPr>
          <w:rFonts w:eastAsiaTheme="minorEastAsia"/>
          <w:b/>
          <w:bCs/>
          <w:color w:themeColor="text1" w:val="000000"/>
          <w:szCs w:val="21"/>
        </w:rPr>
        <w:t>增发证券而于期末持有的流通受限证券</w:t>
      </w:r>
    </w:p>
    <w:p w:rsidP="00CA2A5B" w:rsidR="001A59F9" w:rsidRDefault="001A59F9" w:rsidRPr="00B71057">
      <w:pPr>
        <w:widowControl/>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t/>
      </w:r>
      <w:r w:rsidR="00996BAA" w:rsidRPr="00B71057">
        <w:rPr>
          <w:rFonts w:eastAsiaTheme="minorEastAsia"/>
          <w:color w:themeColor="text1" w:val="000000"/>
          <w:kern w:val="0"/>
          <w:szCs w:val="21"/>
        </w:rPr>
        <w:t/>
      </w:r>
      <w:r w:rsidRPr="00B71057">
        <w:rPr>
          <w:rFonts w:eastAsiaTheme="minorEastAsia"/>
          <w:color w:themeColor="text1" w:val="000000"/>
          <w:kern w:val="0"/>
          <w:szCs w:val="21"/>
        </w:rPr>
        <w:t>截至报告期期末本基金未持有流通受限证券。</w:t>
      </w:r>
    </w:p>
    <w:p w:rsidP="00CA2A5B"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bCs/>
          <w:color w:themeColor="text1" w:val="000000"/>
          <w:kern w:val="0"/>
          <w:szCs w:val="21"/>
        </w:rPr>
        <w:t>7.4.9.2</w:t>
      </w:r>
      <w:r w:rsidR="00AD16A3"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期末持有的暂时停牌等流通受限股票</w:t>
      </w:r>
    </w:p>
    <w:p w:rsidP="00CA2A5B" w:rsidR="001A59F9" w:rsidRDefault="001A59F9" w:rsidRPr="00B71057">
      <w:pPr>
        <w:widowControl/>
        <w:spacing w:line="360" w:lineRule="auto"/>
        <w:ind w:firstLine="420" w:firstLineChars="200"/>
        <w:jc w:val="left"/>
        <w:rPr>
          <w:rFonts w:eastAsiaTheme="minorEastAsia"/>
          <w:color w:themeColor="text1" w:val="000000"/>
          <w:kern w:val="0"/>
          <w:szCs w:val="21"/>
        </w:rPr>
      </w:pPr>
      <w:r w:rsidRPr="00B71057">
        <w:rPr>
          <w:rFonts w:eastAsiaTheme="minorEastAsia"/>
          <w:color w:themeColor="text1" w:val="000000"/>
          <w:kern w:val="0"/>
          <w:szCs w:val="21"/>
        </w:rPr>
        <w:lastRenderedPageBreak/>
        <w:t>截至报告期期末本基金未持有暂时停牌等流通受限股票。</w:t>
      </w:r>
    </w:p>
    <w:p w:rsidP="00CA2A5B"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bCs/>
          <w:color w:themeColor="text1" w:val="000000"/>
          <w:kern w:val="0"/>
          <w:szCs w:val="21"/>
        </w:rPr>
        <w:t>7.4.9.3</w:t>
      </w:r>
      <w:r w:rsidR="00AD16A3"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期末债券正回购交易中作为抵押的债券</w:t>
      </w:r>
    </w:p>
    <w:p w:rsidP="00144F4F" w:rsidR="001A59F9" w:rsidRDefault="001A59F9" w:rsidRPr="00B71057">
      <w:pPr>
        <w:spacing w:line="360" w:lineRule="auto"/>
        <w:rPr>
          <w:rFonts w:eastAsiaTheme="minorEastAsia"/>
          <w:b/>
          <w:bCs/>
          <w:color w:themeColor="text1" w:val="000000"/>
          <w:szCs w:val="21"/>
        </w:rPr>
      </w:pPr>
      <w:r w:rsidRPr="00B71057">
        <w:rPr>
          <w:rFonts w:eastAsiaTheme="minorEastAsia"/>
          <w:b/>
          <w:bCs/>
          <w:color w:themeColor="text1" w:val="000000"/>
          <w:kern w:val="0"/>
          <w:szCs w:val="21"/>
        </w:rPr>
        <w:t>7.4.9.3.1</w:t>
      </w:r>
      <w:r w:rsidR="00AD16A3"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银行间市场债券正回购</w:t>
      </w:r>
      <w:r w:rsidR="00767EA9" w:rsidRPr="00B71057">
        <w:rPr>
          <w:rFonts w:eastAsiaTheme="minorEastAsia"/>
          <w:b/>
          <w:bCs/>
          <w:color w:themeColor="text1" w:val="000000"/>
          <w:szCs w:val="21"/>
        </w:rPr>
        <w:t/>
      </w:r>
    </w:p>
    <w:p w:rsidP="00144F4F" w:rsidR="001A59F9" w:rsidRDefault="001A59F9" w:rsidRPr="00B71057">
      <w:pPr>
        <w:spacing w:line="360" w:lineRule="auto"/>
        <w:ind w:firstLine="420" w:firstLineChars="200"/>
        <w:rPr>
          <w:rFonts w:eastAsiaTheme="minorEastAsia"/>
          <w:color w:themeColor="text1" w:val="000000"/>
          <w:szCs w:val="21"/>
        </w:rPr>
      </w:pPr>
      <w:r w:rsidRPr="00B71057">
        <w:rPr>
          <w:rFonts w:eastAsiaTheme="minorEastAsia"/>
          <w:color w:themeColor="text1" w:val="000000"/>
          <w:szCs w:val="21"/>
        </w:rPr>
        <w:t>截止2018年12月31日，本基金从事银行间债券正回购交易形成的卖出回购证券款余额31,061,753.41元，于2019年1月3日前全部到期。该类交易要求本基金转入质押库的债券，按银行间市场规定的比例折算为标准券后，不低于债券回购交易的余额。</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w:t>
      </w:r>
      <w:r w:rsidRPr="00B71057">
        <w:rPr>
          <w:rFonts w:eastAsiaTheme="minorEastAsia"/>
          <w:bCs/>
          <w:color w:themeColor="text1" w:val="000000"/>
          <w:szCs w:val="21"/>
        </w:rPr>
        <w:t>：人民币元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500"/>
        <w:gridCol w:w="1500"/>
        <w:gridCol w:w="1500"/>
        <w:gridCol w:w="1260"/>
        <w:gridCol w:w="1440"/>
        <w:gridCol w:w="1836"/>
      </w:tblGrid>
      <w:tr w:rsidR="00B71057" w:rsidRPr="00B71057" w:rsidTr="006D141C">
        <w:tc>
          <w:tcPr>
            <w:tcW w:type="dxa" w:w="150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债券代码</w:t>
            </w:r>
            <w:r w:rsidRPr="00B71057">
              <w:rPr>
                <w:rFonts w:eastAsiaTheme="minorEastAsia"/>
                <w:color w:themeColor="text1" w:val="000000"/>
                <w:szCs w:val="21"/>
              </w:rPr>
              <w:t/>
            </w:r>
          </w:p>
        </w:tc>
        <w:tc>
          <w:tcPr>
            <w:tcW w:type="dxa" w:w="150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债券名称</w:t>
            </w:r>
          </w:p>
        </w:tc>
        <w:tc>
          <w:tcPr>
            <w:tcW w:type="dxa" w:w="150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回购到期日</w:t>
            </w:r>
          </w:p>
        </w:tc>
        <w:tc>
          <w:tcPr>
            <w:tcW w:type="dxa" w:w="126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期末估值单价</w:t>
            </w:r>
          </w:p>
        </w:tc>
        <w:tc>
          <w:tcPr>
            <w:tcW w:type="dxa" w:w="144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数量（张）</w:t>
            </w:r>
          </w:p>
        </w:tc>
        <w:tc>
          <w:tcPr>
            <w:tcW w:type="dxa" w:w="1836"/>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期末估值总额</w:t>
            </w:r>
          </w:p>
        </w:tc>
      </w:tr>
      <w:tr>
        <w:tc>
          <w:tcPr>
            <w:vAlign w:val="center"/>
          </w:tcPr>
          <w:p>
            <w:pPr>
              <w:jc w:val="center"/>
            </w:pPr>
            <w:r>
              <w:rPr>
                <w:rFonts w:eastAsiaTheme="minorEastAsia"/>
                <w:color w:themeColor="text1" w:val="000000"/>
                <w:kern w:val="0"/>
                <w:szCs w:val="21"/>
              </w:rPr>
              <w:t>011800794</w:t>
            </w:r>
          </w:p>
        </w:tc>
        <w:tc>
          <w:tcPr>
            <w:vAlign w:val="center"/>
          </w:tcPr>
          <w:p>
            <w:pPr>
              <w:jc w:val="center"/>
            </w:pPr>
            <w:r>
              <w:rPr>
                <w:rFonts w:eastAsiaTheme="minorEastAsia"/>
                <w:color w:themeColor="text1" w:val="000000"/>
                <w:kern w:val="0"/>
                <w:szCs w:val="21"/>
              </w:rPr>
              <w:t>18农垦SCP003</w:t>
            </w:r>
          </w:p>
        </w:tc>
        <w:tc>
          <w:tcPr>
            <w:vAlign w:val="center"/>
          </w:tcPr>
          <w:p>
            <w:pPr>
              <w:jc w:val="center"/>
            </w:pPr>
            <w:r>
              <w:rPr>
                <w:rFonts w:eastAsiaTheme="minorEastAsia"/>
                <w:color w:themeColor="text1" w:val="000000"/>
                <w:kern w:val="0"/>
                <w:szCs w:val="21"/>
              </w:rPr>
              <w:t>2019-01-03</w:t>
            </w:r>
          </w:p>
        </w:tc>
        <w:tc>
          <w:tcPr>
            <w:vAlign w:val="center"/>
          </w:tcPr>
          <w:p>
            <w:pPr>
              <w:jc w:val="right"/>
            </w:pPr>
            <w:r>
              <w:rPr>
                <w:rFonts w:eastAsiaTheme="minorEastAsia"/>
                <w:color w:themeColor="text1" w:val="000000"/>
                <w:kern w:val="0"/>
                <w:szCs w:val="21"/>
              </w:rPr>
              <w:t>100.83</w:t>
            </w:r>
          </w:p>
        </w:tc>
        <w:tc>
          <w:tcPr>
            <w:vAlign w:val="center"/>
          </w:tcPr>
          <w:p>
            <w:pPr>
              <w:jc w:val="right"/>
            </w:pPr>
            <w:r>
              <w:rPr>
                <w:rFonts w:eastAsiaTheme="minorEastAsia"/>
                <w:color w:themeColor="text1" w:val="000000"/>
                <w:kern w:val="0"/>
                <w:szCs w:val="21"/>
              </w:rPr>
              <w:t>72,000.00</w:t>
            </w:r>
          </w:p>
        </w:tc>
        <w:tc>
          <w:tcPr>
            <w:vAlign w:val="center"/>
          </w:tcPr>
          <w:p>
            <w:pPr>
              <w:jc w:val="right"/>
            </w:pPr>
            <w:r>
              <w:rPr>
                <w:rFonts w:eastAsiaTheme="minorEastAsia"/>
                <w:color w:themeColor="text1" w:val="000000"/>
                <w:kern w:val="0"/>
                <w:szCs w:val="21"/>
              </w:rPr>
              <w:t>7,259,760.00</w:t>
            </w:r>
          </w:p>
        </w:tc>
      </w:tr>
      <w:tr>
        <w:tc>
          <w:tcPr>
            <w:vAlign w:val="center"/>
          </w:tcPr>
          <w:p>
            <w:pPr>
              <w:jc w:val="center"/>
            </w:pPr>
            <w:r>
              <w:rPr>
                <w:rFonts w:eastAsiaTheme="minorEastAsia"/>
                <w:color w:themeColor="text1" w:val="000000"/>
                <w:kern w:val="0"/>
                <w:szCs w:val="21"/>
              </w:rPr>
              <w:t>011800943</w:t>
            </w:r>
          </w:p>
        </w:tc>
        <w:tc>
          <w:tcPr>
            <w:vAlign w:val="center"/>
          </w:tcPr>
          <w:p>
            <w:pPr>
              <w:jc w:val="center"/>
            </w:pPr>
            <w:r>
              <w:rPr>
                <w:rFonts w:eastAsiaTheme="minorEastAsia"/>
                <w:color w:themeColor="text1" w:val="000000"/>
                <w:kern w:val="0"/>
                <w:szCs w:val="21"/>
              </w:rPr>
              <w:t>18西江SCP002</w:t>
            </w:r>
          </w:p>
        </w:tc>
        <w:tc>
          <w:tcPr>
            <w:vAlign w:val="center"/>
          </w:tcPr>
          <w:p>
            <w:pPr>
              <w:jc w:val="center"/>
            </w:pPr>
            <w:r>
              <w:rPr>
                <w:rFonts w:eastAsiaTheme="minorEastAsia"/>
                <w:color w:themeColor="text1" w:val="000000"/>
                <w:kern w:val="0"/>
                <w:szCs w:val="21"/>
              </w:rPr>
              <w:t>2019-01-03</w:t>
            </w:r>
          </w:p>
        </w:tc>
        <w:tc>
          <w:tcPr>
            <w:vAlign w:val="center"/>
          </w:tcPr>
          <w:p>
            <w:pPr>
              <w:jc w:val="right"/>
            </w:pPr>
            <w:r>
              <w:rPr>
                <w:rFonts w:eastAsiaTheme="minorEastAsia"/>
                <w:color w:themeColor="text1" w:val="000000"/>
                <w:kern w:val="0"/>
                <w:szCs w:val="21"/>
              </w:rPr>
              <w:t>100.86</w:t>
            </w:r>
          </w:p>
        </w:tc>
        <w:tc>
          <w:tcPr>
            <w:vAlign w:val="center"/>
          </w:tcPr>
          <w:p>
            <w:pPr>
              <w:jc w:val="right"/>
            </w:pPr>
            <w:r>
              <w:rPr>
                <w:rFonts w:eastAsiaTheme="minorEastAsia"/>
                <w:color w:themeColor="text1" w:val="000000"/>
                <w:kern w:val="0"/>
                <w:szCs w:val="21"/>
              </w:rPr>
              <w:t>150,000.00</w:t>
            </w:r>
          </w:p>
        </w:tc>
        <w:tc>
          <w:tcPr>
            <w:vAlign w:val="center"/>
          </w:tcPr>
          <w:p>
            <w:pPr>
              <w:jc w:val="right"/>
            </w:pPr>
            <w:r>
              <w:rPr>
                <w:rFonts w:eastAsiaTheme="minorEastAsia"/>
                <w:color w:themeColor="text1" w:val="000000"/>
                <w:kern w:val="0"/>
                <w:szCs w:val="21"/>
              </w:rPr>
              <w:t>15,129,000.00</w:t>
            </w:r>
          </w:p>
        </w:tc>
      </w:tr>
      <w:tr>
        <w:tc>
          <w:tcPr>
            <w:vAlign w:val="center"/>
          </w:tcPr>
          <w:p>
            <w:pPr>
              <w:jc w:val="center"/>
            </w:pPr>
            <w:r>
              <w:rPr>
                <w:rFonts w:eastAsiaTheme="minorEastAsia"/>
                <w:color w:themeColor="text1" w:val="000000"/>
                <w:kern w:val="0"/>
                <w:szCs w:val="21"/>
              </w:rPr>
              <w:t>011800736</w:t>
            </w:r>
          </w:p>
        </w:tc>
        <w:tc>
          <w:tcPr>
            <w:vAlign w:val="center"/>
          </w:tcPr>
          <w:p>
            <w:pPr>
              <w:jc w:val="center"/>
            </w:pPr>
            <w:r>
              <w:rPr>
                <w:rFonts w:eastAsiaTheme="minorEastAsia"/>
                <w:color w:themeColor="text1" w:val="000000"/>
                <w:kern w:val="0"/>
                <w:szCs w:val="21"/>
              </w:rPr>
              <w:t>18威海国资SCP002</w:t>
            </w:r>
          </w:p>
        </w:tc>
        <w:tc>
          <w:tcPr>
            <w:vAlign w:val="center"/>
          </w:tcPr>
          <w:p>
            <w:pPr>
              <w:jc w:val="center"/>
            </w:pPr>
            <w:r>
              <w:rPr>
                <w:rFonts w:eastAsiaTheme="minorEastAsia"/>
                <w:color w:themeColor="text1" w:val="000000"/>
                <w:kern w:val="0"/>
                <w:szCs w:val="21"/>
              </w:rPr>
              <w:t>2019-01-03</w:t>
            </w:r>
          </w:p>
        </w:tc>
        <w:tc>
          <w:tcPr>
            <w:vAlign w:val="center"/>
          </w:tcPr>
          <w:p>
            <w:pPr>
              <w:jc w:val="right"/>
            </w:pPr>
            <w:r>
              <w:rPr>
                <w:rFonts w:eastAsiaTheme="minorEastAsia"/>
                <w:color w:themeColor="text1" w:val="000000"/>
                <w:kern w:val="0"/>
                <w:szCs w:val="21"/>
              </w:rPr>
              <w:t>100.76</w:t>
            </w:r>
          </w:p>
        </w:tc>
        <w:tc>
          <w:tcPr>
            <w:vAlign w:val="center"/>
          </w:tcPr>
          <w:p>
            <w:pPr>
              <w:jc w:val="right"/>
            </w:pPr>
            <w:r>
              <w:rPr>
                <w:rFonts w:eastAsiaTheme="minorEastAsia"/>
                <w:color w:themeColor="text1" w:val="000000"/>
                <w:kern w:val="0"/>
                <w:szCs w:val="21"/>
              </w:rPr>
              <w:t>100,000.00</w:t>
            </w:r>
          </w:p>
        </w:tc>
        <w:tc>
          <w:tcPr>
            <w:vAlign w:val="center"/>
          </w:tcPr>
          <w:p>
            <w:pPr>
              <w:jc w:val="right"/>
            </w:pPr>
            <w:r>
              <w:rPr>
                <w:rFonts w:eastAsiaTheme="minorEastAsia"/>
                <w:color w:themeColor="text1" w:val="000000"/>
                <w:kern w:val="0"/>
                <w:szCs w:val="21"/>
              </w:rPr>
              <w:t>10,076,000.00</w:t>
            </w:r>
          </w:p>
        </w:tc>
      </w:tr>
      <w:tr w:rsidR="00B71057" w:rsidRPr="00B71057" w:rsidTr="00101C35">
        <w:tc>
          <w:tcPr>
            <w:tcW w:type="dxa" w:w="1500"/>
          </w:tcPr>
          <w:p w:rsidP="00026C9C" w:rsidR="001A59F9" w:rsidRDefault="001A59F9" w:rsidRPr="00B71057">
            <w:pPr>
              <w:spacing w:line="360" w:lineRule="auto"/>
              <w:rPr>
                <w:rFonts w:eastAsiaTheme="minorEastAsia"/>
                <w:color w:themeColor="text1" w:val="000000"/>
                <w:kern w:val="0"/>
                <w:szCs w:val="21"/>
              </w:rPr>
            </w:pPr>
            <w:r w:rsidRPr="00B71057">
              <w:rPr>
                <w:rFonts w:eastAsiaTheme="minorEastAsia"/>
                <w:color w:themeColor="text1" w:val="000000"/>
                <w:szCs w:val="21"/>
              </w:rPr>
              <w:t>合计</w:t>
            </w:r>
          </w:p>
        </w:tc>
        <w:tc>
          <w:tcPr>
            <w:tcW w:type="dxa" w:w="1500"/>
          </w:tcPr>
          <w:p w:rsidP="00026C9C"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p>
        </w:tc>
        <w:tc>
          <w:tcPr>
            <w:tcW w:type="dxa" w:w="1500"/>
          </w:tcPr>
          <w:p w:rsidP="00026C9C" w:rsidR="001A59F9" w:rsidRDefault="001A59F9" w:rsidRPr="00B71057">
            <w:pPr>
              <w:autoSpaceDE w:val="0"/>
              <w:autoSpaceDN w:val="0"/>
              <w:adjustRightInd w:val="0"/>
              <w:spacing w:before="29" w:line="360" w:lineRule="auto"/>
              <w:ind w:left="15"/>
              <w:jc w:val="center"/>
              <w:rPr>
                <w:rFonts w:eastAsiaTheme="minorEastAsia"/>
                <w:color w:themeColor="text1" w:val="000000"/>
                <w:kern w:val="0"/>
                <w:szCs w:val="21"/>
              </w:rPr>
            </w:pPr>
          </w:p>
        </w:tc>
        <w:tc>
          <w:tcPr>
            <w:tcW w:type="dxa" w:w="1260"/>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p>
        </w:tc>
        <w:tc>
          <w:tcPr>
            <w:tcW w:type="dxa" w:w="1440"/>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322,000.00</w:t>
            </w:r>
          </w:p>
        </w:tc>
        <w:tc>
          <w:tcPr>
            <w:tcW w:type="dxa" w:w="1836"/>
            <w:vAlign w:val="center"/>
          </w:tcPr>
          <w:p w:rsidP="00101C35"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32,464,760.00</w:t>
            </w:r>
          </w:p>
        </w:tc>
      </w:tr>
    </w:tbl>
    <w:p w:rsidP="00CA2A5B"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color w:themeColor="text1" w:val="000000"/>
          <w:szCs w:val="21"/>
        </w:rPr>
        <w:t/>
      </w:r>
      <w:r w:rsidRPr="00B71057">
        <w:rPr>
          <w:rFonts w:eastAsiaTheme="minorEastAsia"/>
          <w:b/>
          <w:bCs/>
          <w:color w:themeColor="text1" w:val="000000"/>
          <w:kern w:val="0"/>
          <w:szCs w:val="21"/>
        </w:rPr>
        <w:t>7.4.9.3.2</w:t>
      </w:r>
      <w:r w:rsidR="00AD16A3" w:rsidRPr="00B71057">
        <w:rPr>
          <w:rFonts w:eastAsiaTheme="minorEastAsia"/>
          <w:b/>
          <w:bCs/>
          <w:color w:themeColor="text1" w:val="000000"/>
          <w:kern w:val="0"/>
          <w:szCs w:val="21"/>
        </w:rPr>
        <w:t xml:space="preserve"> </w:t>
      </w:r>
      <w:r w:rsidRPr="00B71057">
        <w:rPr>
          <w:rFonts w:eastAsiaTheme="minorEastAsia"/>
          <w:b/>
          <w:bCs/>
          <w:color w:themeColor="text1" w:val="000000"/>
          <w:szCs w:val="21"/>
        </w:rPr>
        <w:t>交易所市场债券正回购</w:t>
      </w:r>
      <w:r w:rsidR="00767EA9" w:rsidRPr="00B71057">
        <w:rPr>
          <w:rFonts w:eastAsiaTheme="minorEastAsia"/>
          <w:b/>
          <w:bCs/>
          <w:color w:themeColor="text1" w:val="000000"/>
          <w:szCs w:val="21"/>
        </w:rPr>
        <w:t/>
      </w:r>
    </w:p>
    <w:p w:rsidP="00CA2A5B" w:rsidR="001A59F9" w:rsidRDefault="001A59F9"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本报告期末本基金未持有交易所市场债券正回购。</w:t>
      </w:r>
    </w:p>
    <w:p w:rsidP="001D2FAD" w:rsidR="001A59F9" w:rsidRDefault="001A59F9"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64" w:name="_Toc225498272"/>
      <w:bookmarkStart w:id="65" w:name="_Toc361324877"/>
      <w:r w:rsidRPr="00B71057">
        <w:rPr>
          <w:rFonts w:eastAsiaTheme="minorEastAsia"/>
          <w:b/>
          <w:bCs/>
          <w:color w:themeColor="text1" w:val="000000"/>
          <w:sz w:val="21"/>
          <w:szCs w:val="21"/>
          <w:lang w:val="en-US"/>
        </w:rPr>
        <w:t>§8</w:t>
      </w:r>
      <w:r w:rsidR="009153A3" w:rsidRPr="00B71057">
        <w:rPr>
          <w:rFonts w:eastAsiaTheme="minorEastAsia"/>
          <w:b/>
          <w:bCs/>
          <w:color w:themeColor="text1" w:val="000000"/>
          <w:sz w:val="21"/>
          <w:szCs w:val="21"/>
          <w:lang w:val="en-US"/>
        </w:rPr>
        <w:t xml:space="preserve">  </w:t>
      </w:r>
      <w:r w:rsidRPr="00B71057">
        <w:rPr>
          <w:rFonts w:eastAsiaTheme="minorEastAsia"/>
          <w:b/>
          <w:bCs/>
          <w:color w:themeColor="text1" w:val="000000"/>
          <w:sz w:val="21"/>
          <w:szCs w:val="21"/>
          <w:lang w:val="en-US"/>
        </w:rPr>
        <w:t>投资组合报告</w:t>
      </w:r>
      <w:bookmarkEnd w:id="64"/>
      <w:bookmarkEnd w:id="65"/>
    </w:p>
    <w:p w:rsidP="00777080"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66" w:name="_Toc225498273"/>
      <w:bookmarkStart w:id="67" w:name="_Toc361324878"/>
      <w:r w:rsidRPr="00B71057">
        <w:rPr>
          <w:rFonts w:ascii="Times New Roman" w:eastAsiaTheme="minorEastAsia" w:hAnsi="Times New Roman"/>
          <w:color w:themeColor="text1" w:val="000000"/>
          <w:sz w:val="21"/>
          <w:szCs w:val="21"/>
        </w:rPr>
        <w:t/>
      </w:r>
      <w:r w:rsidRPr="00B71057">
        <w:rPr>
          <w:rFonts w:ascii="Times New Roman" w:eastAsiaTheme="minorEastAsia" w:hAnsi="Times New Roman"/>
          <w:bCs w:val="0"/>
          <w:color w:themeColor="text1" w:val="000000"/>
          <w:kern w:val="0"/>
          <w:sz w:val="21"/>
          <w:szCs w:val="21"/>
        </w:rPr>
        <w:t>8.1</w:t>
      </w:r>
      <w:r w:rsidR="00024200" w:rsidRPr="00B71057">
        <w:rPr>
          <w:rFonts w:ascii="Times New Roman" w:eastAsiaTheme="minorEastAsia" w:hAnsi="Times New Roman"/>
          <w:bCs w:val="0"/>
          <w:color w:themeColor="text1" w:val="000000"/>
          <w:kern w:val="0"/>
          <w:sz w:val="21"/>
          <w:szCs w:val="21"/>
        </w:rPr>
        <w:t xml:space="preserve"> </w:t>
      </w:r>
      <w:r w:rsidRPr="00B71057">
        <w:rPr>
          <w:rFonts w:ascii="Times New Roman" w:eastAsiaTheme="minorEastAsia" w:hAnsi="Times New Roman"/>
          <w:color w:themeColor="text1" w:val="000000"/>
          <w:kern w:val="0"/>
          <w:sz w:val="21"/>
          <w:szCs w:val="21"/>
        </w:rPr>
        <w:t>期末基金资产组合情况</w:t>
      </w:r>
      <w:bookmarkEnd w:id="66"/>
      <w:bookmarkEnd w:id="67"/>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080"/>
        <w:gridCol w:w="3420"/>
        <w:gridCol w:w="2520"/>
        <w:gridCol w:w="1980"/>
      </w:tblGrid>
      <w:tr w:rsidR="00B71057" w:rsidRPr="00B71057" w:rsidTr="00CA2A5B">
        <w:tc>
          <w:tcPr>
            <w:tcW w:type="dxa" w:w="10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序号</w:t>
            </w:r>
            <w:r w:rsidRPr="00B71057">
              <w:rPr>
                <w:rFonts w:eastAsiaTheme="minorEastAsia"/>
                <w:color w:themeColor="text1" w:val="000000"/>
                <w:szCs w:val="21"/>
              </w:rPr>
              <w:t/>
            </w:r>
          </w:p>
        </w:tc>
        <w:tc>
          <w:tcPr>
            <w:tcW w:type="dxa" w:w="342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项目</w:t>
            </w:r>
          </w:p>
        </w:tc>
        <w:tc>
          <w:tcPr>
            <w:tcW w:type="dxa" w:w="252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金额</w:t>
            </w:r>
          </w:p>
        </w:tc>
        <w:tc>
          <w:tcPr>
            <w:tcW w:type="dxa" w:w="19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占基金总资产的比例（</w:t>
            </w:r>
            <w:r w:rsidRPr="00B71057">
              <w:rPr>
                <w:rFonts w:eastAsiaTheme="minorEastAsia"/>
                <w:color w:themeColor="text1" w:val="000000"/>
                <w:szCs w:val="21"/>
              </w:rPr>
              <w:t>%</w:t>
            </w:r>
            <w:r w:rsidRPr="00B71057">
              <w:rPr>
                <w:rFonts w:eastAsiaTheme="minorEastAsia"/>
                <w:color w:themeColor="text1" w:val="000000"/>
                <w:szCs w:val="21"/>
              </w:rPr>
              <w:t>）</w:t>
            </w:r>
          </w:p>
        </w:tc>
      </w:tr>
      <w:tr w:rsidR="00B71057" w:rsidRPr="00B71057" w:rsidTr="00CA2A5B">
        <w:tc>
          <w:tcPr>
            <w:tcW w:type="dxa" w:w="1080"/>
            <w:vAlign w:val="center"/>
          </w:tcPr>
          <w:p w:rsidP="008741A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1</w:t>
            </w:r>
          </w:p>
        </w:tc>
        <w:tc>
          <w:tcPr>
            <w:tcW w:type="dxa" w:w="3420"/>
            <w:vAlign w:val="center"/>
          </w:tcPr>
          <w:p w:rsidP="008741A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权益投资</w:t>
            </w:r>
          </w:p>
        </w:tc>
        <w:tc>
          <w:tcPr>
            <w:tcW w:type="dxa" w:w="252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40,228,351.65</w:t>
            </w:r>
          </w:p>
        </w:tc>
        <w:tc>
          <w:tcPr>
            <w:tcW w:type="dxa" w:w="198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15.97</w:t>
            </w:r>
          </w:p>
        </w:tc>
      </w:tr>
      <w:tr w:rsidR="00B71057" w:rsidRPr="00B71057" w:rsidTr="00CA2A5B">
        <w:tc>
          <w:tcPr>
            <w:tcW w:type="dxa" w:w="1080"/>
            <w:vAlign w:val="center"/>
          </w:tcPr>
          <w:p w:rsidP="008741AC" w:rsidR="001A59F9" w:rsidRDefault="001A59F9" w:rsidRPr="00B71057">
            <w:pPr>
              <w:spacing w:line="360" w:lineRule="auto"/>
              <w:jc w:val="center"/>
              <w:rPr>
                <w:rFonts w:eastAsiaTheme="minorEastAsia"/>
                <w:color w:themeColor="text1" w:val="000000"/>
                <w:szCs w:val="21"/>
              </w:rPr>
            </w:pPr>
          </w:p>
        </w:tc>
        <w:tc>
          <w:tcPr>
            <w:tcW w:type="dxa" w:w="3420"/>
            <w:vAlign w:val="center"/>
          </w:tcPr>
          <w:p w:rsidP="008741A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其中：股票</w:t>
            </w:r>
          </w:p>
        </w:tc>
        <w:tc>
          <w:tcPr>
            <w:tcW w:type="dxa" w:w="252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40,228,351.65</w:t>
            </w:r>
          </w:p>
        </w:tc>
        <w:tc>
          <w:tcPr>
            <w:tcW w:type="dxa" w:w="198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15.97</w:t>
            </w:r>
          </w:p>
        </w:tc>
      </w:tr>
      <w:tr w:rsidR="00B71057" w:rsidRPr="00B71057" w:rsidTr="00CA2A5B">
        <w:tc>
          <w:tcPr>
            <w:tcW w:type="dxa" w:w="1080"/>
            <w:vAlign w:val="center"/>
          </w:tcPr>
          <w:p w:rsidP="008741A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2</w:t>
            </w:r>
          </w:p>
        </w:tc>
        <w:tc>
          <w:tcPr>
            <w:tcW w:type="dxa" w:w="3420"/>
            <w:vAlign w:val="center"/>
          </w:tcPr>
          <w:p w:rsidP="008741A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固定收益投资</w:t>
            </w:r>
          </w:p>
        </w:tc>
        <w:tc>
          <w:tcPr>
            <w:tcW w:type="dxa" w:w="252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202,774,924.00</w:t>
            </w:r>
          </w:p>
        </w:tc>
        <w:tc>
          <w:tcPr>
            <w:tcW w:type="dxa" w:w="198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80.48</w:t>
            </w:r>
          </w:p>
        </w:tc>
      </w:tr>
      <w:tr w:rsidR="00B71057" w:rsidRPr="00B71057" w:rsidTr="00CA2A5B">
        <w:tc>
          <w:tcPr>
            <w:tcW w:type="dxa" w:w="1080"/>
            <w:vAlign w:val="center"/>
          </w:tcPr>
          <w:p w:rsidP="008741AC" w:rsidR="001A59F9" w:rsidRDefault="001A59F9" w:rsidRPr="00B71057">
            <w:pPr>
              <w:spacing w:line="360" w:lineRule="auto"/>
              <w:jc w:val="center"/>
              <w:rPr>
                <w:rFonts w:eastAsiaTheme="minorEastAsia"/>
                <w:color w:themeColor="text1" w:val="000000"/>
                <w:szCs w:val="21"/>
              </w:rPr>
            </w:pPr>
          </w:p>
        </w:tc>
        <w:tc>
          <w:tcPr>
            <w:tcW w:type="dxa" w:w="3420"/>
            <w:vAlign w:val="center"/>
          </w:tcPr>
          <w:p w:rsidP="008741A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其中：债券</w:t>
            </w:r>
          </w:p>
        </w:tc>
        <w:tc>
          <w:tcPr>
            <w:tcW w:type="dxa" w:w="252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202,774,924.00</w:t>
            </w:r>
          </w:p>
        </w:tc>
        <w:tc>
          <w:tcPr>
            <w:tcW w:type="dxa" w:w="198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80.48</w:t>
            </w:r>
          </w:p>
        </w:tc>
      </w:tr>
      <w:tr w:rsidR="00B71057" w:rsidRPr="00B71057" w:rsidTr="00CA2A5B">
        <w:tc>
          <w:tcPr>
            <w:tcW w:type="dxa" w:w="1080"/>
            <w:vAlign w:val="center"/>
          </w:tcPr>
          <w:p w:rsidP="008741AC" w:rsidR="001A59F9" w:rsidRDefault="001A59F9" w:rsidRPr="00B71057">
            <w:pPr>
              <w:spacing w:line="360" w:lineRule="auto"/>
              <w:jc w:val="center"/>
              <w:rPr>
                <w:rFonts w:eastAsiaTheme="minorEastAsia"/>
                <w:color w:themeColor="text1" w:val="000000"/>
                <w:szCs w:val="21"/>
              </w:rPr>
            </w:pPr>
          </w:p>
        </w:tc>
        <w:tc>
          <w:tcPr>
            <w:tcW w:type="dxa" w:w="3420"/>
            <w:vAlign w:val="center"/>
          </w:tcPr>
          <w:p w:rsidP="008741A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资产支持证券</w:t>
            </w:r>
          </w:p>
        </w:tc>
        <w:tc>
          <w:tcPr>
            <w:tcW w:type="dxa" w:w="252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198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tcPr>
          <w:p w:rsidP="00C92A7B" w:rsidR="001E6CEE" w:rsidRDefault="001E6CEE"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3</w:t>
            </w:r>
          </w:p>
        </w:tc>
        <w:tc>
          <w:tcPr>
            <w:tcW w:type="dxa" w:w="3420"/>
          </w:tcPr>
          <w:p w:rsidP="00C92A7B" w:rsidR="001E6CEE" w:rsidRDefault="001E6CEE"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贵金属投资</w:t>
            </w:r>
          </w:p>
        </w:tc>
        <w:tc>
          <w:tcPr>
            <w:tcW w:type="dxa" w:w="2520"/>
            <w:vAlign w:val="center"/>
          </w:tcPr>
          <w:p w:rsidP="00C92A7B"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1980"/>
            <w:vAlign w:val="center"/>
          </w:tcPr>
          <w:p w:rsidP="00C92A7B"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8741AC" w:rsidR="001E6CEE" w:rsidRDefault="001E6CEE"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4</w:t>
            </w:r>
          </w:p>
        </w:tc>
        <w:tc>
          <w:tcPr>
            <w:tcW w:type="dxa" w:w="3420"/>
            <w:vAlign w:val="center"/>
          </w:tcPr>
          <w:p w:rsidP="008741AC" w:rsidR="001E6CEE" w:rsidRDefault="001E6CEE"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金融衍生品投资</w:t>
            </w:r>
          </w:p>
        </w:tc>
        <w:tc>
          <w:tcPr>
            <w:tcW w:type="dxa" w:w="252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198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8741AC" w:rsidR="001E6CEE" w:rsidRDefault="001E6CEE"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5</w:t>
            </w:r>
          </w:p>
        </w:tc>
        <w:tc>
          <w:tcPr>
            <w:tcW w:type="dxa" w:w="3420"/>
            <w:vAlign w:val="center"/>
          </w:tcPr>
          <w:p w:rsidP="008741AC" w:rsidR="001E6CEE" w:rsidRDefault="001E6CEE"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买入返售金融资产</w:t>
            </w:r>
          </w:p>
        </w:tc>
        <w:tc>
          <w:tcPr>
            <w:tcW w:type="dxa" w:w="252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300,000.00</w:t>
            </w:r>
          </w:p>
        </w:tc>
        <w:tc>
          <w:tcPr>
            <w:tcW w:type="dxa" w:w="198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0.12</w:t>
            </w:r>
          </w:p>
        </w:tc>
      </w:tr>
      <w:tr w:rsidR="00B71057" w:rsidRPr="00B71057" w:rsidTr="00CA2A5B">
        <w:tc>
          <w:tcPr>
            <w:tcW w:type="dxa" w:w="1080"/>
            <w:vAlign w:val="center"/>
          </w:tcPr>
          <w:p w:rsidP="008741AC" w:rsidR="001E6CEE" w:rsidRDefault="001E6CEE" w:rsidRPr="00B71057">
            <w:pPr>
              <w:spacing w:line="360" w:lineRule="auto"/>
              <w:jc w:val="center"/>
              <w:rPr>
                <w:rFonts w:eastAsiaTheme="minorEastAsia"/>
                <w:color w:themeColor="text1" w:val="000000"/>
                <w:szCs w:val="21"/>
              </w:rPr>
            </w:pPr>
          </w:p>
        </w:tc>
        <w:tc>
          <w:tcPr>
            <w:tcW w:type="dxa" w:w="3420"/>
            <w:vAlign w:val="center"/>
          </w:tcPr>
          <w:p w:rsidP="008741AC" w:rsidR="001E6CEE" w:rsidRDefault="001E6CEE"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其中：买断式回购的买入返售金融资产</w:t>
            </w:r>
          </w:p>
        </w:tc>
        <w:tc>
          <w:tcPr>
            <w:tcW w:type="dxa" w:w="252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198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8741AC" w:rsidR="001E6CEE" w:rsidRDefault="001E6CEE"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6</w:t>
            </w:r>
          </w:p>
        </w:tc>
        <w:tc>
          <w:tcPr>
            <w:tcW w:type="dxa" w:w="3420"/>
            <w:vAlign w:val="center"/>
          </w:tcPr>
          <w:p w:rsidP="008741AC" w:rsidR="001E6CEE" w:rsidRDefault="001E6CEE"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银行存款和结算备付金合计</w:t>
            </w:r>
          </w:p>
        </w:tc>
        <w:tc>
          <w:tcPr>
            <w:tcW w:type="dxa" w:w="252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1,508,478.17</w:t>
            </w:r>
          </w:p>
        </w:tc>
        <w:tc>
          <w:tcPr>
            <w:tcW w:type="dxa" w:w="1980"/>
            <w:vAlign w:val="center"/>
          </w:tcPr>
          <w:p w:rsidP="00026C9C" w:rsidR="001E6CEE" w:rsidRDefault="001E6CEE"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0.60</w:t>
            </w:r>
          </w:p>
        </w:tc>
      </w:tr>
      <w:tr w:rsidR="00B71057" w:rsidRPr="00B71057" w:rsidTr="00CA2A5B">
        <w:tc>
          <w:tcPr>
            <w:tcW w:type="dxa" w:w="1080"/>
            <w:vAlign w:val="center"/>
          </w:tcPr>
          <w:p w:rsidP="001E6CEE" w:rsidR="001E6CEE" w:rsidRDefault="001E6CEE"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7</w:t>
            </w:r>
          </w:p>
        </w:tc>
        <w:tc>
          <w:tcPr>
            <w:tcW w:type="dxa" w:w="3420"/>
            <w:vAlign w:val="center"/>
          </w:tcPr>
          <w:p w:rsidP="00435BF3" w:rsidR="001E6CEE" w:rsidRDefault="001E6CEE"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其他各项资产</w:t>
            </w:r>
          </w:p>
        </w:tc>
        <w:tc>
          <w:tcPr>
            <w:tcW w:type="dxa" w:w="2520"/>
            <w:vAlign w:val="center"/>
          </w:tcPr>
          <w:p w:rsidP="00026C9C" w:rsidR="001E6CEE" w:rsidRDefault="001E6CEE"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7,132,797.91</w:t>
            </w:r>
          </w:p>
        </w:tc>
        <w:tc>
          <w:tcPr>
            <w:tcW w:type="dxa" w:w="1980"/>
            <w:vAlign w:val="center"/>
          </w:tcPr>
          <w:p w:rsidP="00026C9C" w:rsidR="001E6CEE" w:rsidRDefault="001E6CEE"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2.83</w:t>
            </w:r>
          </w:p>
        </w:tc>
      </w:tr>
      <w:tr w:rsidR="00B71057" w:rsidRPr="00B71057" w:rsidTr="00CA2A5B">
        <w:tc>
          <w:tcPr>
            <w:tcW w:type="dxa" w:w="1080"/>
            <w:vAlign w:val="center"/>
          </w:tcPr>
          <w:p w:rsidP="001E6CEE" w:rsidR="001E6CEE" w:rsidRDefault="001E6CEE"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8</w:t>
            </w:r>
          </w:p>
        </w:tc>
        <w:tc>
          <w:tcPr>
            <w:tcW w:type="dxa" w:w="3420"/>
            <w:vAlign w:val="center"/>
          </w:tcPr>
          <w:p w:rsidP="00435BF3" w:rsidR="001E6CEE" w:rsidRDefault="001E6CEE"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合计</w:t>
            </w:r>
          </w:p>
        </w:tc>
        <w:tc>
          <w:tcPr>
            <w:tcW w:type="dxa" w:w="2520"/>
            <w:vAlign w:val="center"/>
          </w:tcPr>
          <w:p w:rsidP="00026C9C" w:rsidR="001E6CEE" w:rsidRDefault="001E6CEE"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251,944,551.73</w:t>
            </w:r>
          </w:p>
        </w:tc>
        <w:tc>
          <w:tcPr>
            <w:tcW w:type="dxa" w:w="1980"/>
            <w:vAlign w:val="center"/>
          </w:tcPr>
          <w:p w:rsidP="00026C9C" w:rsidR="001E6CEE" w:rsidRDefault="001E6CEE"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100.00</w:t>
            </w:r>
          </w:p>
        </w:tc>
      </w:tr>
    </w:tbl>
    <w:p w:rsidP="00CA2A5B" w:rsidR="001A59F9" w:rsidRDefault="001A59F9">
      <w:pPr>
        <w:pStyle w:val="20"/>
        <w:spacing w:after="0" w:before="312" w:beforeLines="100"/>
        <w:rPr>
          <w:rFonts w:ascii="Times New Roman" w:eastAsiaTheme="minorEastAsia" w:hAnsi="Times New Roman"/>
          <w:color w:themeColor="text1" w:val="000000"/>
          <w:kern w:val="0"/>
          <w:sz w:val="21"/>
          <w:szCs w:val="21"/>
        </w:rPr>
      </w:pPr>
      <w:bookmarkStart w:id="68" w:name="_Toc225498274"/>
      <w:bookmarkStart w:id="69" w:name="_Toc361324879"/>
      <w:r w:rsidRPr="00B71057">
        <w:rPr>
          <w:rFonts w:ascii="Times New Roman" w:eastAsiaTheme="minorEastAsia" w:hAnsi="Times New Roman"/>
          <w:color w:themeColor="text1" w:val="000000"/>
          <w:sz w:val="21"/>
          <w:szCs w:val="21"/>
        </w:rPr>
        <w:t/>
      </w:r>
      <w:r w:rsidRPr="00B71057">
        <w:rPr>
          <w:rFonts w:ascii="Times New Roman" w:eastAsiaTheme="minorEastAsia" w:hAnsi="Times New Roman"/>
          <w:color w:themeColor="text1" w:val="000000"/>
          <w:kern w:val="0"/>
          <w:sz w:val="21"/>
          <w:szCs w:val="21"/>
        </w:rPr>
        <w:t>8.2</w:t>
      </w:r>
      <w:r w:rsidR="00024200" w:rsidRPr="00B71057">
        <w:rPr>
          <w:rFonts w:ascii="Times New Roman" w:eastAsiaTheme="minorEastAsia" w:hAnsi="Times New Roman"/>
          <w:color w:themeColor="text1" w:val="000000"/>
          <w:kern w:val="0"/>
          <w:sz w:val="21"/>
          <w:szCs w:val="21"/>
        </w:rPr>
        <w:t xml:space="preserve"> </w:t>
      </w:r>
      <w:r w:rsidR="0098466B" w:rsidRPr="004A3EBB">
        <w:rPr>
          <w:rFonts w:ascii="Times New Roman" w:eastAsiaTheme="minorEastAsia" w:hAnsi="Times New Roman" w:hint="eastAsia"/>
          <w:color w:themeColor="text1" w:val="000000"/>
          <w:kern w:val="0"/>
          <w:sz w:val="21"/>
          <w:szCs w:val="21"/>
        </w:rPr>
        <w:t>报告</w:t>
      </w:r>
      <w:r w:rsidRPr="00B71057">
        <w:rPr>
          <w:rFonts w:ascii="Times New Roman" w:eastAsiaTheme="minorEastAsia" w:hAnsi="Times New Roman"/>
          <w:color w:themeColor="text1" w:val="000000"/>
          <w:kern w:val="0"/>
          <w:sz w:val="21"/>
          <w:szCs w:val="21"/>
        </w:rPr>
        <w:t>期末按行业分类的股票投资组合</w:t>
      </w:r>
      <w:bookmarkEnd w:id="68"/>
      <w:bookmarkEnd w:id="69"/>
    </w:p>
    <w:p w:rsidP="0020620D" w:rsidR="0020620D" w:rsidRDefault="0020620D" w:rsidRPr="0020620D">
      <w:pPr>
        <w:pStyle w:val="a0"/>
        <w:ind w:firstLine="0" w:firstLineChars="0"/>
      </w:pPr>
      <w:r w:rsidRPr="00380902">
        <w:rPr>
          <w:rFonts w:eastAsiaTheme="minorEastAsia"/>
          <w:b/>
          <w:color w:val="000000"/>
          <w:szCs w:val="21"/>
        </w:rPr>
        <w:t>8.2.1</w:t>
      </w:r>
      <w:r w:rsidRPr="00380902">
        <w:rPr>
          <w:rFonts w:eastAsiaTheme="minorEastAsia" w:hint="eastAsia"/>
          <w:b/>
          <w:color w:val="000000"/>
          <w:szCs w:val="21"/>
        </w:rPr>
        <w:t>报告期末按行业分类的境内股票投资组合</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080"/>
        <w:gridCol w:w="3600"/>
        <w:gridCol w:w="2520"/>
        <w:gridCol w:w="1800"/>
      </w:tblGrid>
      <w:tr w:rsidR="00B71057" w:rsidRPr="00B71057" w:rsidTr="00CA2A5B">
        <w:tc>
          <w:tcPr>
            <w:tcW w:type="dxa" w:w="10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代码</w:t>
            </w:r>
            <w:r w:rsidRPr="00B71057">
              <w:rPr>
                <w:rFonts w:eastAsiaTheme="minorEastAsia"/>
                <w:b/>
                <w:color w:themeColor="text1" w:val="000000"/>
                <w:szCs w:val="21"/>
              </w:rPr>
              <w:t/>
            </w:r>
          </w:p>
        </w:tc>
        <w:tc>
          <w:tcPr>
            <w:tcW w:type="dxa" w:w="360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行业类别</w:t>
            </w:r>
          </w:p>
        </w:tc>
        <w:tc>
          <w:tcPr>
            <w:tcW w:type="dxa" w:w="252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公允价值</w:t>
            </w:r>
            <w:r w:rsidR="0098466B">
              <w:rPr>
                <w:rFonts w:eastAsiaTheme="minorEastAsia" w:hint="eastAsia"/>
                <w:color w:themeColor="text1" w:val="000000"/>
                <w:szCs w:val="21"/>
              </w:rPr>
              <w:t>（元）</w:t>
            </w:r>
          </w:p>
        </w:tc>
        <w:tc>
          <w:tcPr>
            <w:tcW w:type="dxa" w:w="180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占基金资产净值比例（％）</w:t>
            </w:r>
          </w:p>
        </w:tc>
      </w:tr>
      <w:tr w:rsidR="00B71057" w:rsidRPr="00B71057" w:rsidTr="00CA2A5B">
        <w:tc>
          <w:tcPr>
            <w:tcW w:type="dxa" w:w="1080"/>
            <w:vAlign w:val="center"/>
          </w:tcPr>
          <w:p w:rsidP="00435BF3"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A</w:t>
            </w:r>
          </w:p>
        </w:tc>
        <w:tc>
          <w:tcPr>
            <w:tcW w:type="dxa" w:w="3600"/>
            <w:vAlign w:val="center"/>
          </w:tcPr>
          <w:p w:rsidP="00CA2A5B"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农、林、牧、渔业</w:t>
            </w:r>
          </w:p>
        </w:tc>
        <w:tc>
          <w:tcPr>
            <w:tcW w:type="dxa" w:w="2520"/>
            <w:vAlign w:val="center"/>
          </w:tcPr>
          <w:p w:rsidP="00D002E7"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w:t>
            </w:r>
          </w:p>
        </w:tc>
        <w:tc>
          <w:tcPr>
            <w:tcW w:type="dxa" w:w="1800"/>
            <w:vAlign w:val="center"/>
          </w:tcPr>
          <w:p w:rsidP="00D002E7"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B</w:t>
            </w:r>
          </w:p>
        </w:tc>
        <w:tc>
          <w:tcPr>
            <w:tcW w:type="dxa" w:w="3600"/>
            <w:vAlign w:val="center"/>
          </w:tcPr>
          <w:p w:rsidP="00CA2A5B"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采矿业</w:t>
            </w:r>
          </w:p>
        </w:tc>
        <w:tc>
          <w:tcPr>
            <w:tcW w:type="dxa" w:w="2520"/>
            <w:vAlign w:val="center"/>
          </w:tcPr>
          <w:p w:rsidP="00D002E7"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8,919,634.65</w:t>
            </w:r>
          </w:p>
        </w:tc>
        <w:tc>
          <w:tcPr>
            <w:tcW w:type="dxa" w:w="1800"/>
            <w:vAlign w:val="center"/>
          </w:tcPr>
          <w:p w:rsidP="00D002E7"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4.06</w:t>
            </w:r>
          </w:p>
        </w:tc>
      </w:tr>
      <w:tr w:rsidR="00B71057" w:rsidRPr="00B71057" w:rsidTr="00CA2A5B">
        <w:tc>
          <w:tcPr>
            <w:tcW w:type="dxa" w:w="1080"/>
            <w:vAlign w:val="center"/>
          </w:tcPr>
          <w:p w:rsidP="00435BF3"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C</w:t>
            </w:r>
          </w:p>
        </w:tc>
        <w:tc>
          <w:tcPr>
            <w:tcW w:type="dxa" w:w="3600"/>
            <w:vAlign w:val="center"/>
          </w:tcPr>
          <w:p w:rsidP="00CA2A5B"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制造业</w:t>
            </w:r>
          </w:p>
        </w:tc>
        <w:tc>
          <w:tcPr>
            <w:tcW w:type="dxa" w:w="2520"/>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7,821,086.00</w:t>
            </w:r>
          </w:p>
        </w:tc>
        <w:tc>
          <w:tcPr>
            <w:tcW w:type="dxa" w:w="1800"/>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3.56</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D</w:t>
            </w:r>
          </w:p>
        </w:tc>
        <w:tc>
          <w:tcPr>
            <w:tcW w:type="dxa" w:w="3600"/>
            <w:vAlign w:val="center"/>
          </w:tcPr>
          <w:p w:rsidP="00CA2A5B"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电力、热力、燃气及水生产和供应业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E</w:t>
            </w:r>
          </w:p>
        </w:tc>
        <w:tc>
          <w:tcPr>
            <w:tcW w:type="dxa" w:w="3600"/>
            <w:vAlign w:val="center"/>
          </w:tcPr>
          <w:p w:rsidP="00CA2A5B"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建筑业</w:t>
            </w:r>
          </w:p>
        </w:tc>
        <w:tc>
          <w:tcPr>
            <w:tcW w:type="dxa" w:w="2520"/>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w:t>
            </w:r>
          </w:p>
        </w:tc>
        <w:tc>
          <w:tcPr>
            <w:tcW w:type="dxa" w:w="1800"/>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kern w:val="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F</w:t>
            </w:r>
          </w:p>
        </w:tc>
        <w:tc>
          <w:tcPr>
            <w:tcW w:type="dxa" w:w="3600"/>
            <w:vAlign w:val="center"/>
          </w:tcPr>
          <w:p w:rsidP="00CA2A5B"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批发和零售业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G</w:t>
            </w:r>
          </w:p>
        </w:tc>
        <w:tc>
          <w:tcPr>
            <w:tcW w:type="dxa" w:w="3600"/>
            <w:vAlign w:val="center"/>
          </w:tcPr>
          <w:p w:rsidP="00CA2A5B"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交通运输、仓储和邮政业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3,435,324.00</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1.56</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H</w:t>
            </w:r>
          </w:p>
        </w:tc>
        <w:tc>
          <w:tcPr>
            <w:tcW w:type="dxa" w:w="3600"/>
            <w:vAlign w:val="center"/>
          </w:tcPr>
          <w:p w:rsidP="00CA2A5B"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住宿和餐饮业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I</w:t>
            </w:r>
          </w:p>
        </w:tc>
        <w:tc>
          <w:tcPr>
            <w:tcW w:type="dxa" w:w="3600"/>
            <w:vAlign w:val="center"/>
          </w:tcPr>
          <w:p w:rsidP="00CA2A5B"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信息传输、软件和信息技术服务业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J</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金融业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20,052,307.00</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9.12</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K</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房地产业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L</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租赁和商务服务业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M</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科学研究和技术服务业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N</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水利、环境和公共设施管理业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O</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居民服务、修理和其他服务业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P</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教育</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Q</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卫生和社会工作</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R</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文化、体育和娱乐业</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adjustRightInd w:val="0"/>
              <w:snapToGrid w:val="0"/>
              <w:spacing w:line="360" w:lineRule="auto"/>
              <w:jc w:val="center"/>
              <w:rPr>
                <w:rFonts w:eastAsiaTheme="minorEastAsia"/>
                <w:color w:themeColor="text1" w:val="000000"/>
                <w:szCs w:val="21"/>
              </w:rPr>
            </w:pPr>
            <w:r w:rsidRPr="00B71057">
              <w:rPr>
                <w:rFonts w:eastAsiaTheme="minorEastAsia"/>
                <w:color w:themeColor="text1" w:val="000000"/>
                <w:szCs w:val="21"/>
              </w:rPr>
              <w:t>S</w:t>
            </w:r>
          </w:p>
        </w:tc>
        <w:tc>
          <w:tcPr>
            <w:tcW w:type="dxa" w:w="3600"/>
            <w:vAlign w:val="center"/>
          </w:tcPr>
          <w:p w:rsidP="00435BF3" w:rsidR="001A59F9" w:rsidRDefault="001A59F9" w:rsidRPr="00B71057">
            <w:pPr>
              <w:adjustRightInd w:val="0"/>
              <w:snapToGrid w:val="0"/>
              <w:spacing w:line="360" w:lineRule="auto"/>
              <w:rPr>
                <w:rFonts w:eastAsiaTheme="minorEastAsia"/>
                <w:color w:themeColor="text1" w:val="000000"/>
                <w:szCs w:val="21"/>
              </w:rPr>
            </w:pPr>
            <w:r w:rsidRPr="00B71057">
              <w:rPr>
                <w:rFonts w:eastAsiaTheme="minorEastAsia"/>
                <w:color w:themeColor="text1" w:val="000000"/>
                <w:szCs w:val="21"/>
              </w:rPr>
              <w:t>综合</w:t>
            </w:r>
          </w:p>
        </w:tc>
        <w:tc>
          <w:tcPr>
            <w:tcW w:type="dxa" w:w="252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dxa" w:w="1800"/>
            <w:vAlign w:val="bottom"/>
          </w:tcPr>
          <w:p w:rsidP="00026C9C"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1080"/>
            <w:vAlign w:val="center"/>
          </w:tcPr>
          <w:p w:rsidP="00435BF3" w:rsidR="001A59F9" w:rsidRDefault="001A59F9" w:rsidRPr="00B71057">
            <w:pPr>
              <w:spacing w:line="360" w:lineRule="auto"/>
              <w:jc w:val="center"/>
              <w:rPr>
                <w:rFonts w:eastAsiaTheme="minorEastAsia"/>
                <w:color w:themeColor="text1" w:val="000000"/>
                <w:szCs w:val="21"/>
              </w:rPr>
            </w:pPr>
          </w:p>
        </w:tc>
        <w:tc>
          <w:tcPr>
            <w:tcW w:type="dxa" w:w="3600"/>
            <w:vAlign w:val="center"/>
          </w:tcPr>
          <w:p w:rsidP="00435BF3"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合计</w:t>
            </w:r>
          </w:p>
        </w:tc>
        <w:tc>
          <w:tcPr>
            <w:tcW w:type="dxa" w:w="2520"/>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40,228,351.65</w:t>
            </w:r>
          </w:p>
        </w:tc>
        <w:tc>
          <w:tcPr>
            <w:tcW w:type="dxa" w:w="1800"/>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18.30</w:t>
            </w:r>
          </w:p>
        </w:tc>
      </w:tr>
    </w:tbl>
    <w:p w:rsidP="0020620D" w:rsidR="0020620D" w:rsidRDefault="0020620D">
      <w:pPr>
        <w:spacing w:before="312" w:beforeLines="100" w:line="360" w:lineRule="auto"/>
        <w:rPr>
          <w:rFonts w:eastAsiaTheme="minorEastAsia"/>
          <w:b/>
          <w:bCs/>
          <w:kern w:val="0"/>
          <w:szCs w:val="21"/>
        </w:rPr>
      </w:pPr>
      <w:r w:rsidRPr="00723729">
        <w:rPr>
          <w:rFonts w:eastAsiaTheme="minorEastAsia"/>
          <w:b/>
          <w:color w:val="000000"/>
          <w:szCs w:val="21"/>
        </w:rPr>
        <w:t>8.2.2</w:t>
      </w:r>
      <w:r w:rsidRPr="00FB2B87">
        <w:rPr>
          <w:rFonts w:eastAsiaTheme="minorEastAsia" w:hint="eastAsia"/>
          <w:b/>
          <w:bCs/>
          <w:kern w:val="0"/>
          <w:szCs w:val="21"/>
        </w:rPr>
        <w:t>报告期末按行业分类的</w:t>
      </w:r>
      <w:r w:rsidR="00A87FE7">
        <w:rPr>
          <w:rFonts w:eastAsiaTheme="minorEastAsia" w:hint="eastAsia"/>
          <w:b/>
          <w:bCs/>
          <w:kern w:val="0"/>
          <w:szCs w:val="21"/>
        </w:rPr>
        <w:t>港股通</w:t>
      </w:r>
      <w:r w:rsidRPr="00FB2B87">
        <w:rPr>
          <w:rFonts w:eastAsiaTheme="minorEastAsia" w:hint="eastAsia"/>
          <w:b/>
          <w:bCs/>
          <w:kern w:val="0"/>
          <w:szCs w:val="21"/>
        </w:rPr>
        <w:t>投资股票投资组合</w:t>
      </w:r>
    </w:p>
    <w:p w:rsidP="0020620D" w:rsidR="0020620D" w:rsidRDefault="0020620D" w:rsidRPr="00B71057">
      <w:pPr>
        <w:autoSpaceDE w:val="0"/>
        <w:autoSpaceDN w:val="0"/>
        <w:adjustRightInd w:val="0"/>
        <w:spacing w:line="360" w:lineRule="auto"/>
        <w:jc w:val="left"/>
        <w:rPr>
          <w:rFonts w:eastAsiaTheme="minorEastAsia"/>
          <w:color w:themeColor="text1" w:val="000000"/>
          <w:szCs w:val="21"/>
        </w:rPr>
      </w:pPr>
      <w:r>
        <w:rPr>
          <w:rFonts w:eastAsiaTheme="minorEastAsia" w:hint="eastAsia"/>
          <w:szCs w:val="21"/>
        </w:rPr>
        <w:t xml:space="preserve">   </w:t>
      </w:r>
      <w:r w:rsidRPr="00282C32">
        <w:rPr>
          <w:rFonts w:eastAsiaTheme="minorEastAsia"/>
          <w:szCs w:val="21"/>
        </w:rPr>
        <w:t>报告期末本基金未持有沪港通股票。</w:t>
      </w:r>
    </w:p>
    <w:p w:rsidP="00CA2A5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73" w:name="_Toc361324881"/>
      <w:r w:rsidRPr="00B71057">
        <w:rPr>
          <w:rFonts w:ascii="Times New Roman" w:eastAsiaTheme="minorEastAsia" w:hAnsi="Times New Roman"/>
          <w:color w:themeColor="text1" w:val="000000"/>
          <w:kern w:val="0"/>
          <w:sz w:val="21"/>
          <w:szCs w:val="21"/>
        </w:rPr>
        <w:t>8.3</w:t>
      </w:r>
      <w:r w:rsidR="00024200" w:rsidRPr="00B71057">
        <w:rPr>
          <w:rFonts w:ascii="Times New Roman" w:eastAsiaTheme="minorEastAsia" w:hAnsi="Times New Roman"/>
          <w:color w:themeColor="text1" w:val="000000"/>
          <w:kern w:val="0"/>
          <w:sz w:val="21"/>
          <w:szCs w:val="21"/>
        </w:rPr>
        <w:t xml:space="preserve"> </w:t>
      </w:r>
      <w:r w:rsidR="00575259" w:rsidRPr="00B71057">
        <w:rPr>
          <w:rFonts w:ascii="Times New Roman" w:eastAsiaTheme="minorEastAsia" w:hAnsi="Times New Roman"/>
          <w:color w:themeColor="text1" w:val="000000"/>
          <w:kern w:val="0"/>
          <w:sz w:val="21"/>
          <w:szCs w:val="21"/>
        </w:rPr>
        <w:t>期末按公允价值占基金资产净值比例大小排序的前十名</w:t>
      </w:r>
      <w:r w:rsidRPr="00B71057">
        <w:rPr>
          <w:rFonts w:ascii="Times New Roman" w:eastAsiaTheme="minorEastAsia" w:hAnsi="Times New Roman"/>
          <w:color w:themeColor="text1" w:val="000000"/>
          <w:kern w:val="0"/>
          <w:sz w:val="21"/>
          <w:szCs w:val="21"/>
        </w:rPr>
        <w:t>股票投资明细</w:t>
      </w:r>
      <w:bookmarkEnd w:id="73"/>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金额单位：人民币元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17"/>
        <w:gridCol w:w="1276"/>
        <w:gridCol w:w="1701"/>
        <w:gridCol w:w="1559"/>
        <w:gridCol w:w="1701"/>
        <w:gridCol w:w="1843"/>
      </w:tblGrid>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序号</w:t>
            </w:r>
          </w:p>
        </w:tc>
        <w:tc>
          <w:tcPr>
            <w:tcW w:type="dxa" w:w="1276"/>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股票代码</w:t>
            </w:r>
          </w:p>
        </w:tc>
        <w:tc>
          <w:tcPr>
            <w:tcW w:type="dxa" w:w="1701"/>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股票名称</w:t>
            </w:r>
          </w:p>
        </w:tc>
        <w:tc>
          <w:tcPr>
            <w:tcW w:type="dxa" w:w="1559"/>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数量</w:t>
            </w:r>
            <w:r w:rsidRPr="00B71057">
              <w:rPr>
                <w:rFonts w:eastAsiaTheme="minorEastAsia"/>
                <w:color w:themeColor="text1" w:val="000000"/>
                <w:szCs w:val="21"/>
              </w:rPr>
              <w:t>(</w:t>
            </w:r>
            <w:r w:rsidRPr="00B71057">
              <w:rPr>
                <w:rFonts w:eastAsiaTheme="minorEastAsia"/>
                <w:color w:themeColor="text1" w:val="000000"/>
                <w:szCs w:val="21"/>
              </w:rPr>
              <w:t>股</w:t>
            </w:r>
            <w:r w:rsidRPr="00B71057">
              <w:rPr>
                <w:rFonts w:eastAsiaTheme="minorEastAsia"/>
                <w:color w:themeColor="text1" w:val="000000"/>
                <w:szCs w:val="21"/>
              </w:rPr>
              <w:t>)</w:t>
            </w:r>
          </w:p>
        </w:tc>
        <w:tc>
          <w:tcPr>
            <w:tcW w:type="dxa" w:w="1701"/>
            <w:vAlign w:val="center"/>
          </w:tcPr>
          <w:p w:rsidP="009F3A1D" w:rsidR="001A59F9" w:rsidRDefault="001A59F9" w:rsidRPr="00B71057">
            <w:pPr>
              <w:autoSpaceDE w:val="0"/>
              <w:autoSpaceDN w:val="0"/>
              <w:adjustRightInd w:val="0"/>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公允价值</w:t>
            </w:r>
          </w:p>
        </w:tc>
        <w:tc>
          <w:tcPr>
            <w:tcW w:type="dxa" w:w="1843"/>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占基金资产净值比例</w:t>
            </w:r>
            <w:r w:rsidRPr="00B71057">
              <w:rPr>
                <w:rFonts w:eastAsiaTheme="minorEastAsia"/>
                <w:color w:themeColor="text1" w:val="000000"/>
                <w:szCs w:val="21"/>
              </w:rPr>
              <w:t>(</w:t>
            </w:r>
            <w:r w:rsidRPr="00B71057">
              <w:rPr>
                <w:rFonts w:eastAsiaTheme="minorEastAsia"/>
                <w:color w:themeColor="text1" w:val="000000"/>
                <w:szCs w:val="21"/>
              </w:rPr>
              <w:t>％</w:t>
            </w:r>
            <w:r w:rsidRPr="00B71057">
              <w:rPr>
                <w:rFonts w:eastAsiaTheme="minorEastAsia"/>
                <w:color w:themeColor="text1" w:val="000000"/>
                <w:szCs w:val="21"/>
              </w:rPr>
              <w:t>)</w:t>
            </w:r>
          </w:p>
        </w:tc>
      </w:tr>
      <w:tr>
        <w:tc>
          <w:tcPr>
            <w:vAlign w:val="center"/>
          </w:tcPr>
          <w:p>
            <w:pPr>
              <w:jc w:val="center"/>
            </w:pPr>
            <w:r>
              <w:rPr>
                <w:rFonts w:eastAsiaTheme="minorEastAsia"/>
                <w:color w:themeColor="text1" w:val="000000"/>
                <w:szCs w:val="21"/>
              </w:rPr>
              <w:t>1</w:t>
            </w:r>
          </w:p>
        </w:tc>
        <w:tc>
          <w:tcPr>
            <w:vAlign w:val="center"/>
          </w:tcPr>
          <w:p>
            <w:pPr>
              <w:jc w:val="center"/>
            </w:pPr>
            <w:r>
              <w:rPr>
                <w:rFonts w:eastAsiaTheme="minorEastAsia"/>
                <w:color w:themeColor="text1" w:val="000000"/>
                <w:szCs w:val="21"/>
              </w:rPr>
              <w:t>601988</w:t>
            </w:r>
          </w:p>
        </w:tc>
        <w:tc>
          <w:tcPr>
            <w:vAlign w:val="center"/>
          </w:tcPr>
          <w:p>
            <w:pPr>
              <w:jc w:val="center"/>
            </w:pPr>
            <w:r>
              <w:rPr>
                <w:rFonts w:eastAsiaTheme="minorEastAsia"/>
                <w:color w:themeColor="text1" w:val="000000"/>
                <w:szCs w:val="21"/>
              </w:rPr>
              <w:t>中国银行</w:t>
            </w:r>
          </w:p>
        </w:tc>
        <w:tc>
          <w:tcPr>
            <w:vAlign w:val="center"/>
          </w:tcPr>
          <w:p>
            <w:pPr>
              <w:jc w:val="right"/>
            </w:pPr>
            <w:r>
              <w:rPr>
                <w:rFonts w:eastAsiaTheme="minorEastAsia"/>
                <w:color w:themeColor="text1" w:val="000000"/>
                <w:szCs w:val="21"/>
              </w:rPr>
              <w:t>2,929,300</w:t>
            </w:r>
          </w:p>
        </w:tc>
        <w:tc>
          <w:tcPr>
            <w:vAlign w:val="center"/>
          </w:tcPr>
          <w:p>
            <w:pPr>
              <w:jc w:val="right"/>
            </w:pPr>
            <w:r>
              <w:rPr>
                <w:rFonts w:eastAsiaTheme="minorEastAsia"/>
                <w:color w:themeColor="text1" w:val="000000"/>
                <w:szCs w:val="21"/>
              </w:rPr>
              <w:t>10,574,773.00</w:t>
            </w:r>
          </w:p>
        </w:tc>
        <w:tc>
          <w:tcPr>
            <w:vAlign w:val="center"/>
          </w:tcPr>
          <w:p>
            <w:pPr>
              <w:jc w:val="right"/>
            </w:pPr>
            <w:r>
              <w:rPr>
                <w:rFonts w:eastAsiaTheme="minorEastAsia"/>
                <w:color w:themeColor="text1" w:val="000000"/>
                <w:szCs w:val="21"/>
              </w:rPr>
              <w:t>4.81</w:t>
            </w:r>
          </w:p>
        </w:tc>
      </w:tr>
      <w:tr>
        <w:tc>
          <w:tcPr>
            <w:vAlign w:val="center"/>
          </w:tcPr>
          <w:p>
            <w:pPr>
              <w:jc w:val="center"/>
            </w:pPr>
            <w:r>
              <w:rPr>
                <w:rFonts w:eastAsiaTheme="minorEastAsia"/>
                <w:color w:themeColor="text1" w:val="000000"/>
                <w:szCs w:val="21"/>
              </w:rPr>
              <w:t>2</w:t>
            </w:r>
          </w:p>
        </w:tc>
        <w:tc>
          <w:tcPr>
            <w:vAlign w:val="center"/>
          </w:tcPr>
          <w:p>
            <w:pPr>
              <w:jc w:val="center"/>
            </w:pPr>
            <w:r>
              <w:rPr>
                <w:rFonts w:eastAsiaTheme="minorEastAsia"/>
                <w:color w:themeColor="text1" w:val="000000"/>
                <w:szCs w:val="21"/>
              </w:rPr>
              <w:t>601169</w:t>
            </w:r>
          </w:p>
        </w:tc>
        <w:tc>
          <w:tcPr>
            <w:vAlign w:val="center"/>
          </w:tcPr>
          <w:p>
            <w:pPr>
              <w:jc w:val="center"/>
            </w:pPr>
            <w:r>
              <w:rPr>
                <w:rFonts w:eastAsiaTheme="minorEastAsia"/>
                <w:color w:themeColor="text1" w:val="000000"/>
                <w:szCs w:val="21"/>
              </w:rPr>
              <w:t>北京银行</w:t>
            </w:r>
          </w:p>
        </w:tc>
        <w:tc>
          <w:tcPr>
            <w:vAlign w:val="center"/>
          </w:tcPr>
          <w:p>
            <w:pPr>
              <w:jc w:val="right"/>
            </w:pPr>
            <w:r>
              <w:rPr>
                <w:rFonts w:eastAsiaTheme="minorEastAsia"/>
                <w:color w:themeColor="text1" w:val="000000"/>
                <w:szCs w:val="21"/>
              </w:rPr>
              <w:t>1,689,400</w:t>
            </w:r>
          </w:p>
        </w:tc>
        <w:tc>
          <w:tcPr>
            <w:vAlign w:val="center"/>
          </w:tcPr>
          <w:p>
            <w:pPr>
              <w:jc w:val="right"/>
            </w:pPr>
            <w:r>
              <w:rPr>
                <w:rFonts w:eastAsiaTheme="minorEastAsia"/>
                <w:color w:themeColor="text1" w:val="000000"/>
                <w:szCs w:val="21"/>
              </w:rPr>
              <w:t>9,477,534.00</w:t>
            </w:r>
          </w:p>
        </w:tc>
        <w:tc>
          <w:tcPr>
            <w:vAlign w:val="center"/>
          </w:tcPr>
          <w:p>
            <w:pPr>
              <w:jc w:val="right"/>
            </w:pPr>
            <w:r>
              <w:rPr>
                <w:rFonts w:eastAsiaTheme="minorEastAsia"/>
                <w:color w:themeColor="text1" w:val="000000"/>
                <w:szCs w:val="21"/>
              </w:rPr>
              <w:t>4.31</w:t>
            </w:r>
          </w:p>
        </w:tc>
      </w:tr>
      <w:tr>
        <w:tc>
          <w:tcPr>
            <w:vAlign w:val="center"/>
          </w:tcPr>
          <w:p>
            <w:pPr>
              <w:jc w:val="center"/>
            </w:pPr>
            <w:r>
              <w:rPr>
                <w:rFonts w:eastAsiaTheme="minorEastAsia"/>
                <w:color w:themeColor="text1" w:val="000000"/>
                <w:szCs w:val="21"/>
              </w:rPr>
              <w:t>3</w:t>
            </w:r>
          </w:p>
        </w:tc>
        <w:tc>
          <w:tcPr>
            <w:vAlign w:val="center"/>
          </w:tcPr>
          <w:p>
            <w:pPr>
              <w:jc w:val="center"/>
            </w:pPr>
            <w:r>
              <w:rPr>
                <w:rFonts w:eastAsiaTheme="minorEastAsia"/>
                <w:color w:themeColor="text1" w:val="000000"/>
                <w:szCs w:val="21"/>
              </w:rPr>
              <w:t>601898</w:t>
            </w:r>
          </w:p>
        </w:tc>
        <w:tc>
          <w:tcPr>
            <w:vAlign w:val="center"/>
          </w:tcPr>
          <w:p>
            <w:pPr>
              <w:jc w:val="center"/>
            </w:pPr>
            <w:r>
              <w:rPr>
                <w:rFonts w:eastAsiaTheme="minorEastAsia"/>
                <w:color w:themeColor="text1" w:val="000000"/>
                <w:szCs w:val="21"/>
              </w:rPr>
              <w:t>中煤能源</w:t>
            </w:r>
          </w:p>
        </w:tc>
        <w:tc>
          <w:tcPr>
            <w:vAlign w:val="center"/>
          </w:tcPr>
          <w:p>
            <w:pPr>
              <w:jc w:val="right"/>
            </w:pPr>
            <w:r>
              <w:rPr>
                <w:rFonts w:eastAsiaTheme="minorEastAsia"/>
                <w:color w:themeColor="text1" w:val="000000"/>
                <w:szCs w:val="21"/>
              </w:rPr>
              <w:t>1,918,201</w:t>
            </w:r>
          </w:p>
        </w:tc>
        <w:tc>
          <w:tcPr>
            <w:vAlign w:val="center"/>
          </w:tcPr>
          <w:p>
            <w:pPr>
              <w:jc w:val="right"/>
            </w:pPr>
            <w:r>
              <w:rPr>
                <w:rFonts w:eastAsiaTheme="minorEastAsia"/>
                <w:color w:themeColor="text1" w:val="000000"/>
                <w:szCs w:val="21"/>
              </w:rPr>
              <w:t>8,919,634.65</w:t>
            </w:r>
          </w:p>
        </w:tc>
        <w:tc>
          <w:tcPr>
            <w:vAlign w:val="center"/>
          </w:tcPr>
          <w:p>
            <w:pPr>
              <w:jc w:val="right"/>
            </w:pPr>
            <w:r>
              <w:rPr>
                <w:rFonts w:eastAsiaTheme="minorEastAsia"/>
                <w:color w:themeColor="text1" w:val="000000"/>
                <w:szCs w:val="21"/>
              </w:rPr>
              <w:t>4.06</w:t>
            </w:r>
          </w:p>
        </w:tc>
      </w:tr>
      <w:tr>
        <w:tc>
          <w:tcPr>
            <w:vAlign w:val="center"/>
          </w:tcPr>
          <w:p>
            <w:pPr>
              <w:jc w:val="center"/>
            </w:pPr>
            <w:r>
              <w:rPr>
                <w:rFonts w:eastAsiaTheme="minorEastAsia"/>
                <w:color w:themeColor="text1" w:val="000000"/>
                <w:szCs w:val="21"/>
              </w:rPr>
              <w:t>4</w:t>
            </w:r>
          </w:p>
        </w:tc>
        <w:tc>
          <w:tcPr>
            <w:vAlign w:val="center"/>
          </w:tcPr>
          <w:p>
            <w:pPr>
              <w:jc w:val="center"/>
            </w:pPr>
            <w:r>
              <w:rPr>
                <w:rFonts w:eastAsiaTheme="minorEastAsia"/>
                <w:color w:themeColor="text1" w:val="000000"/>
                <w:szCs w:val="21"/>
              </w:rPr>
              <w:t>600166</w:t>
            </w:r>
          </w:p>
        </w:tc>
        <w:tc>
          <w:tcPr>
            <w:vAlign w:val="center"/>
          </w:tcPr>
          <w:p>
            <w:pPr>
              <w:jc w:val="center"/>
            </w:pPr>
            <w:r>
              <w:rPr>
                <w:rFonts w:eastAsiaTheme="minorEastAsia"/>
                <w:color w:themeColor="text1" w:val="000000"/>
                <w:szCs w:val="21"/>
              </w:rPr>
              <w:t>福田汽车</w:t>
            </w:r>
          </w:p>
        </w:tc>
        <w:tc>
          <w:tcPr>
            <w:vAlign w:val="center"/>
          </w:tcPr>
          <w:p>
            <w:pPr>
              <w:jc w:val="right"/>
            </w:pPr>
            <w:r>
              <w:rPr>
                <w:rFonts w:eastAsiaTheme="minorEastAsia"/>
                <w:color w:themeColor="text1" w:val="000000"/>
                <w:szCs w:val="21"/>
              </w:rPr>
              <w:t>4,297,300</w:t>
            </w:r>
          </w:p>
        </w:tc>
        <w:tc>
          <w:tcPr>
            <w:vAlign w:val="center"/>
          </w:tcPr>
          <w:p>
            <w:pPr>
              <w:jc w:val="right"/>
            </w:pPr>
            <w:r>
              <w:rPr>
                <w:rFonts w:eastAsiaTheme="minorEastAsia"/>
                <w:color w:themeColor="text1" w:val="000000"/>
                <w:szCs w:val="21"/>
              </w:rPr>
              <w:t>7,821,086.00</w:t>
            </w:r>
          </w:p>
        </w:tc>
        <w:tc>
          <w:tcPr>
            <w:vAlign w:val="center"/>
          </w:tcPr>
          <w:p>
            <w:pPr>
              <w:jc w:val="right"/>
            </w:pPr>
            <w:r>
              <w:rPr>
                <w:rFonts w:eastAsiaTheme="minorEastAsia"/>
                <w:color w:themeColor="text1" w:val="000000"/>
                <w:szCs w:val="21"/>
              </w:rPr>
              <w:t>3.56</w:t>
            </w:r>
          </w:p>
        </w:tc>
      </w:tr>
      <w:tr>
        <w:tc>
          <w:tcPr>
            <w:vAlign w:val="center"/>
          </w:tcPr>
          <w:p>
            <w:pPr>
              <w:jc w:val="center"/>
            </w:pPr>
            <w:r>
              <w:rPr>
                <w:rFonts w:eastAsiaTheme="minorEastAsia"/>
                <w:color w:themeColor="text1" w:val="000000"/>
                <w:szCs w:val="21"/>
              </w:rPr>
              <w:t>5</w:t>
            </w:r>
          </w:p>
        </w:tc>
        <w:tc>
          <w:tcPr>
            <w:vAlign w:val="center"/>
          </w:tcPr>
          <w:p>
            <w:pPr>
              <w:jc w:val="center"/>
            </w:pPr>
            <w:r>
              <w:rPr>
                <w:rFonts w:eastAsiaTheme="minorEastAsia"/>
                <w:color w:themeColor="text1" w:val="000000"/>
                <w:szCs w:val="21"/>
              </w:rPr>
              <w:t>600221</w:t>
            </w:r>
          </w:p>
        </w:tc>
        <w:tc>
          <w:tcPr>
            <w:vAlign w:val="center"/>
          </w:tcPr>
          <w:p>
            <w:pPr>
              <w:jc w:val="center"/>
            </w:pPr>
            <w:r>
              <w:rPr>
                <w:rFonts w:eastAsiaTheme="minorEastAsia"/>
                <w:color w:themeColor="text1" w:val="000000"/>
                <w:szCs w:val="21"/>
              </w:rPr>
              <w:t>海航控股</w:t>
            </w:r>
          </w:p>
        </w:tc>
        <w:tc>
          <w:tcPr>
            <w:vAlign w:val="center"/>
          </w:tcPr>
          <w:p>
            <w:pPr>
              <w:jc w:val="right"/>
            </w:pPr>
            <w:r>
              <w:rPr>
                <w:rFonts w:eastAsiaTheme="minorEastAsia"/>
                <w:color w:themeColor="text1" w:val="000000"/>
                <w:szCs w:val="21"/>
              </w:rPr>
              <w:t>1,827,300</w:t>
            </w:r>
          </w:p>
        </w:tc>
        <w:tc>
          <w:tcPr>
            <w:vAlign w:val="center"/>
          </w:tcPr>
          <w:p>
            <w:pPr>
              <w:jc w:val="right"/>
            </w:pPr>
            <w:r>
              <w:rPr>
                <w:rFonts w:eastAsiaTheme="minorEastAsia"/>
                <w:color w:themeColor="text1" w:val="000000"/>
                <w:szCs w:val="21"/>
              </w:rPr>
              <w:t>3,435,324.00</w:t>
            </w:r>
          </w:p>
        </w:tc>
        <w:tc>
          <w:tcPr>
            <w:vAlign w:val="center"/>
          </w:tcPr>
          <w:p>
            <w:pPr>
              <w:jc w:val="right"/>
            </w:pPr>
            <w:r>
              <w:rPr>
                <w:rFonts w:eastAsiaTheme="minorEastAsia"/>
                <w:color w:themeColor="text1" w:val="000000"/>
                <w:szCs w:val="21"/>
              </w:rPr>
              <w:t>1.56</w:t>
            </w:r>
          </w:p>
        </w:tc>
      </w:tr>
    </w:tbl>
    <w:p w:rsidP="00CA2A5B" w:rsidR="001A59F9" w:rsidRDefault="001A59F9" w:rsidRPr="00B71057">
      <w:pPr>
        <w:autoSpaceDE w:val="0"/>
        <w:autoSpaceDN w:val="0"/>
        <w:adjustRightInd w:val="0"/>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注：本报告期末本产品仅持有以上五只股票。</w:t>
      </w:r>
    </w:p>
    <w:p w:rsidP="00CA2A5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74" w:name="_Toc361324882"/>
      <w:r w:rsidRPr="00B71057">
        <w:rPr>
          <w:rFonts w:ascii="Times New Roman" w:eastAsiaTheme="minorEastAsia" w:hAnsi="Times New Roman"/>
          <w:color w:themeColor="text1" w:val="000000"/>
          <w:kern w:val="0"/>
          <w:sz w:val="21"/>
          <w:szCs w:val="21"/>
        </w:rPr>
        <w:t>8.4</w:t>
      </w:r>
      <w:bookmarkStart w:id="75" w:name="_Toc234814103"/>
      <w:r w:rsidR="00024200" w:rsidRPr="00B71057">
        <w:rPr>
          <w:rFonts w:ascii="Times New Roman" w:eastAsiaTheme="minorEastAsia" w:hAnsi="Times New Roman"/>
          <w:color w:themeColor="text1" w:val="000000"/>
          <w:kern w:val="0"/>
          <w:sz w:val="21"/>
          <w:szCs w:val="21"/>
        </w:rPr>
        <w:t xml:space="preserve"> </w:t>
      </w:r>
      <w:r w:rsidRPr="00B71057">
        <w:rPr>
          <w:rFonts w:ascii="Times New Roman" w:eastAsiaTheme="minorEastAsia" w:hAnsi="Times New Roman"/>
          <w:color w:themeColor="text1" w:val="000000"/>
          <w:kern w:val="0"/>
          <w:sz w:val="21"/>
          <w:szCs w:val="21"/>
        </w:rPr>
        <w:t>报告期内股票投资组合的重大变动</w:t>
      </w:r>
      <w:bookmarkEnd w:id="74"/>
      <w:bookmarkEnd w:id="75"/>
    </w:p>
    <w:p w:rsidP="00777080" w:rsidR="001A59F9" w:rsidRDefault="001A59F9" w:rsidRPr="00B71057">
      <w:pPr>
        <w:spacing w:line="360" w:lineRule="auto"/>
        <w:rPr>
          <w:rFonts w:eastAsiaTheme="minorEastAsia"/>
          <w:b/>
          <w:bCs/>
          <w:color w:themeColor="text1" w:val="000000"/>
          <w:szCs w:val="21"/>
        </w:rPr>
      </w:pPr>
      <w:r w:rsidRPr="00B71057">
        <w:rPr>
          <w:rFonts w:eastAsiaTheme="minorEastAsia"/>
          <w:b/>
          <w:color w:themeColor="text1" w:val="000000"/>
          <w:szCs w:val="21"/>
        </w:rPr>
        <w:t>8.4.1</w:t>
      </w:r>
      <w:r w:rsidR="00024200" w:rsidRPr="00B71057">
        <w:rPr>
          <w:rFonts w:eastAsiaTheme="minorEastAsia"/>
          <w:b/>
          <w:color w:themeColor="text1" w:val="000000"/>
          <w:szCs w:val="21"/>
        </w:rPr>
        <w:t xml:space="preserve"> </w:t>
      </w:r>
      <w:r w:rsidRPr="00B71057">
        <w:rPr>
          <w:rFonts w:eastAsiaTheme="minorEastAsia"/>
          <w:b/>
          <w:bCs/>
          <w:color w:themeColor="text1" w:val="000000"/>
          <w:szCs w:val="21"/>
        </w:rPr>
        <w:t>累计买入金额超出</w:t>
      </w:r>
      <w:r w:rsidR="006A7E68" w:rsidRPr="00B71057">
        <w:rPr>
          <w:rFonts w:eastAsiaTheme="minorEastAsia"/>
          <w:b/>
          <w:color w:themeColor="text1" w:val="000000"/>
          <w:kern w:val="0"/>
          <w:szCs w:val="21"/>
        </w:rPr>
        <w:t>期末</w:t>
      </w:r>
      <w:r w:rsidRPr="00B71057">
        <w:rPr>
          <w:rFonts w:eastAsiaTheme="minorEastAsia"/>
          <w:b/>
          <w:bCs/>
          <w:color w:themeColor="text1" w:val="000000"/>
          <w:szCs w:val="21"/>
        </w:rPr>
        <w:t>基金资产净值</w:t>
      </w:r>
      <w:r w:rsidR="006073BA" w:rsidRPr="00B71057">
        <w:rPr>
          <w:rFonts w:eastAsiaTheme="minorEastAsia"/>
          <w:b/>
          <w:bCs/>
          <w:color w:themeColor="text1" w:val="000000"/>
          <w:szCs w:val="21"/>
        </w:rPr>
        <w:t>2</w:t>
      </w:r>
      <w:r w:rsidR="006073BA" w:rsidRPr="00B71057">
        <w:rPr>
          <w:rFonts w:eastAsiaTheme="minorEastAsia"/>
          <w:b/>
          <w:bCs/>
          <w:color w:themeColor="text1" w:val="000000"/>
          <w:szCs w:val="21"/>
        </w:rPr>
        <w:t>％</w:t>
      </w:r>
      <w:r w:rsidRPr="00B71057">
        <w:rPr>
          <w:rFonts w:eastAsiaTheme="minorEastAsia"/>
          <w:b/>
          <w:bCs/>
          <w:color w:themeColor="text1" w:val="000000"/>
          <w:szCs w:val="21"/>
        </w:rPr>
        <w:t>或前</w:t>
      </w:r>
      <w:r w:rsidRPr="00B71057">
        <w:rPr>
          <w:rFonts w:eastAsiaTheme="minorEastAsia"/>
          <w:b/>
          <w:bCs/>
          <w:color w:themeColor="text1" w:val="000000"/>
          <w:szCs w:val="21"/>
        </w:rPr>
        <w:t>20</w:t>
      </w:r>
      <w:r w:rsidRPr="00B71057">
        <w:rPr>
          <w:rFonts w:eastAsiaTheme="minorEastAsia"/>
          <w:b/>
          <w:bCs/>
          <w:color w:themeColor="text1" w:val="000000"/>
          <w:szCs w:val="21"/>
        </w:rPr>
        <w:t>名的股票明细</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870"/>
        <w:gridCol w:w="1650"/>
        <w:gridCol w:w="1980"/>
        <w:gridCol w:w="2880"/>
        <w:gridCol w:w="1620"/>
      </w:tblGrid>
      <w:tr w:rsidR="00B71057" w:rsidRPr="00B71057" w:rsidTr="006D141C">
        <w:tc>
          <w:tcPr>
            <w:tcW w:type="dxa" w:w="87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序号</w:t>
            </w:r>
          </w:p>
        </w:tc>
        <w:tc>
          <w:tcPr>
            <w:tcW w:type="dxa" w:w="165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股票代码</w:t>
            </w:r>
          </w:p>
        </w:tc>
        <w:tc>
          <w:tcPr>
            <w:tcW w:type="dxa" w:w="19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股票名称</w:t>
            </w:r>
          </w:p>
        </w:tc>
        <w:tc>
          <w:tcPr>
            <w:tcW w:type="dxa" w:w="28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本期累计买入金额</w:t>
            </w:r>
          </w:p>
        </w:tc>
        <w:tc>
          <w:tcPr>
            <w:tcW w:type="dxa" w:w="162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w:t>
            </w:r>
            <w:r w:rsidR="006A7E68" w:rsidRPr="00B71057">
              <w:rPr>
                <w:rFonts w:eastAsiaTheme="minorEastAsia"/>
                <w:color w:themeColor="text1" w:val="000000"/>
                <w:kern w:val="0"/>
                <w:szCs w:val="21"/>
              </w:rPr>
              <w:t>期末</w:t>
            </w:r>
            <w:r w:rsidRPr="00B71057">
              <w:rPr>
                <w:rFonts w:eastAsiaTheme="minorEastAsia"/>
                <w:color w:themeColor="text1" w:val="000000"/>
                <w:szCs w:val="21"/>
              </w:rPr>
              <w:t>基金资产净值比例（％）</w:t>
            </w:r>
          </w:p>
        </w:tc>
      </w:tr>
      <w:tr>
        <w:tc>
          <w:tcPr>
            <w:vAlign w:val="center"/>
          </w:tcPr>
          <w:p>
            <w:pPr>
              <w:jc w:val="center"/>
            </w:pPr>
            <w:r>
              <w:rPr>
                <w:rFonts w:eastAsiaTheme="minorEastAsia"/>
                <w:color w:themeColor="text1" w:val="000000"/>
                <w:szCs w:val="21"/>
              </w:rPr>
              <w:t>1</w:t>
            </w:r>
          </w:p>
        </w:tc>
        <w:tc>
          <w:tcPr>
            <w:vAlign w:val="center"/>
          </w:tcPr>
          <w:p>
            <w:pPr>
              <w:jc w:val="center"/>
            </w:pPr>
            <w:r>
              <w:rPr>
                <w:rFonts w:eastAsiaTheme="minorEastAsia"/>
                <w:color w:themeColor="text1" w:val="000000"/>
                <w:szCs w:val="21"/>
              </w:rPr>
              <w:t>601988</w:t>
            </w:r>
          </w:p>
        </w:tc>
        <w:tc>
          <w:tcPr>
            <w:vAlign w:val="center"/>
          </w:tcPr>
          <w:p>
            <w:pPr>
              <w:jc w:val="center"/>
            </w:pPr>
            <w:r>
              <w:rPr>
                <w:rFonts w:eastAsiaTheme="minorEastAsia"/>
                <w:color w:themeColor="text1" w:val="000000"/>
                <w:szCs w:val="21"/>
              </w:rPr>
              <w:t>中国银行</w:t>
            </w:r>
          </w:p>
        </w:tc>
        <w:tc>
          <w:tcPr>
            <w:vAlign w:val="center"/>
          </w:tcPr>
          <w:p>
            <w:pPr>
              <w:jc w:val="right"/>
            </w:pPr>
            <w:r>
              <w:rPr>
                <w:rFonts w:eastAsiaTheme="minorEastAsia"/>
                <w:color w:themeColor="text1" w:val="000000"/>
                <w:szCs w:val="21"/>
              </w:rPr>
              <w:t>12,594,747.70</w:t>
            </w:r>
          </w:p>
        </w:tc>
        <w:tc>
          <w:tcPr>
            <w:vAlign w:val="center"/>
          </w:tcPr>
          <w:p>
            <w:pPr>
              <w:jc w:val="right"/>
            </w:pPr>
            <w:r>
              <w:rPr>
                <w:rFonts w:eastAsiaTheme="minorEastAsia"/>
                <w:color w:themeColor="text1" w:val="000000"/>
                <w:szCs w:val="21"/>
              </w:rPr>
              <w:t>5.73</w:t>
            </w:r>
          </w:p>
        </w:tc>
      </w:tr>
      <w:tr>
        <w:tc>
          <w:tcPr>
            <w:vAlign w:val="center"/>
          </w:tcPr>
          <w:p>
            <w:pPr>
              <w:jc w:val="center"/>
            </w:pPr>
            <w:r>
              <w:rPr>
                <w:rFonts w:eastAsiaTheme="minorEastAsia"/>
                <w:color w:themeColor="text1" w:val="000000"/>
                <w:szCs w:val="21"/>
              </w:rPr>
              <w:t>2</w:t>
            </w:r>
          </w:p>
        </w:tc>
        <w:tc>
          <w:tcPr>
            <w:vAlign w:val="center"/>
          </w:tcPr>
          <w:p>
            <w:pPr>
              <w:jc w:val="center"/>
            </w:pPr>
            <w:r>
              <w:rPr>
                <w:rFonts w:eastAsiaTheme="minorEastAsia"/>
                <w:color w:themeColor="text1" w:val="000000"/>
                <w:szCs w:val="21"/>
              </w:rPr>
              <w:t>601169</w:t>
            </w:r>
          </w:p>
        </w:tc>
        <w:tc>
          <w:tcPr>
            <w:vAlign w:val="center"/>
          </w:tcPr>
          <w:p>
            <w:pPr>
              <w:jc w:val="center"/>
            </w:pPr>
            <w:r>
              <w:rPr>
                <w:rFonts w:eastAsiaTheme="minorEastAsia"/>
                <w:color w:themeColor="text1" w:val="000000"/>
                <w:szCs w:val="21"/>
              </w:rPr>
              <w:t>北京银行</w:t>
            </w:r>
          </w:p>
        </w:tc>
        <w:tc>
          <w:tcPr>
            <w:vAlign w:val="center"/>
          </w:tcPr>
          <w:p>
            <w:pPr>
              <w:jc w:val="right"/>
            </w:pPr>
            <w:r>
              <w:rPr>
                <w:rFonts w:eastAsiaTheme="minorEastAsia"/>
                <w:color w:themeColor="text1" w:val="000000"/>
                <w:szCs w:val="21"/>
              </w:rPr>
              <w:t>12,472,898.69</w:t>
            </w:r>
          </w:p>
        </w:tc>
        <w:tc>
          <w:tcPr>
            <w:vAlign w:val="center"/>
          </w:tcPr>
          <w:p>
            <w:pPr>
              <w:jc w:val="right"/>
            </w:pPr>
            <w:r>
              <w:rPr>
                <w:rFonts w:eastAsiaTheme="minorEastAsia"/>
                <w:color w:themeColor="text1" w:val="000000"/>
                <w:szCs w:val="21"/>
              </w:rPr>
              <w:t>5.67</w:t>
            </w:r>
          </w:p>
        </w:tc>
      </w:tr>
      <w:tr>
        <w:tc>
          <w:tcPr>
            <w:vAlign w:val="center"/>
          </w:tcPr>
          <w:p>
            <w:pPr>
              <w:jc w:val="center"/>
            </w:pPr>
            <w:r>
              <w:rPr>
                <w:rFonts w:eastAsiaTheme="minorEastAsia"/>
                <w:color w:themeColor="text1" w:val="000000"/>
                <w:szCs w:val="21"/>
              </w:rPr>
              <w:t>3</w:t>
            </w:r>
          </w:p>
        </w:tc>
        <w:tc>
          <w:tcPr>
            <w:vAlign w:val="center"/>
          </w:tcPr>
          <w:p>
            <w:pPr>
              <w:jc w:val="center"/>
            </w:pPr>
            <w:r>
              <w:rPr>
                <w:rFonts w:eastAsiaTheme="minorEastAsia"/>
                <w:color w:themeColor="text1" w:val="000000"/>
                <w:szCs w:val="21"/>
              </w:rPr>
              <w:t>601898</w:t>
            </w:r>
          </w:p>
        </w:tc>
        <w:tc>
          <w:tcPr>
            <w:vAlign w:val="center"/>
          </w:tcPr>
          <w:p>
            <w:pPr>
              <w:jc w:val="center"/>
            </w:pPr>
            <w:r>
              <w:rPr>
                <w:rFonts w:eastAsiaTheme="minorEastAsia"/>
                <w:color w:themeColor="text1" w:val="000000"/>
                <w:szCs w:val="21"/>
              </w:rPr>
              <w:t>中煤能源</w:t>
            </w:r>
          </w:p>
        </w:tc>
        <w:tc>
          <w:tcPr>
            <w:vAlign w:val="center"/>
          </w:tcPr>
          <w:p>
            <w:pPr>
              <w:jc w:val="right"/>
            </w:pPr>
            <w:r>
              <w:rPr>
                <w:rFonts w:eastAsiaTheme="minorEastAsia"/>
                <w:color w:themeColor="text1" w:val="000000"/>
                <w:szCs w:val="21"/>
              </w:rPr>
              <w:t>11,663,315.15</w:t>
            </w:r>
          </w:p>
        </w:tc>
        <w:tc>
          <w:tcPr>
            <w:vAlign w:val="center"/>
          </w:tcPr>
          <w:p>
            <w:pPr>
              <w:jc w:val="right"/>
            </w:pPr>
            <w:r>
              <w:rPr>
                <w:rFonts w:eastAsiaTheme="minorEastAsia"/>
                <w:color w:themeColor="text1" w:val="000000"/>
                <w:szCs w:val="21"/>
              </w:rPr>
              <w:t>5.31</w:t>
            </w:r>
          </w:p>
        </w:tc>
      </w:tr>
      <w:tr>
        <w:tc>
          <w:tcPr>
            <w:vAlign w:val="center"/>
          </w:tcPr>
          <w:p>
            <w:pPr>
              <w:jc w:val="center"/>
            </w:pPr>
            <w:r>
              <w:rPr>
                <w:rFonts w:eastAsiaTheme="minorEastAsia"/>
                <w:color w:themeColor="text1" w:val="000000"/>
                <w:szCs w:val="21"/>
              </w:rPr>
              <w:t>4</w:t>
            </w:r>
          </w:p>
        </w:tc>
        <w:tc>
          <w:tcPr>
            <w:vAlign w:val="center"/>
          </w:tcPr>
          <w:p>
            <w:pPr>
              <w:jc w:val="center"/>
            </w:pPr>
            <w:r>
              <w:rPr>
                <w:rFonts w:eastAsiaTheme="minorEastAsia"/>
                <w:color w:themeColor="text1" w:val="000000"/>
                <w:szCs w:val="21"/>
              </w:rPr>
              <w:t>600166</w:t>
            </w:r>
          </w:p>
        </w:tc>
        <w:tc>
          <w:tcPr>
            <w:vAlign w:val="center"/>
          </w:tcPr>
          <w:p>
            <w:pPr>
              <w:jc w:val="center"/>
            </w:pPr>
            <w:r>
              <w:rPr>
                <w:rFonts w:eastAsiaTheme="minorEastAsia"/>
                <w:color w:themeColor="text1" w:val="000000"/>
                <w:szCs w:val="21"/>
              </w:rPr>
              <w:t>福田汽车</w:t>
            </w:r>
          </w:p>
        </w:tc>
        <w:tc>
          <w:tcPr>
            <w:vAlign w:val="center"/>
          </w:tcPr>
          <w:p>
            <w:pPr>
              <w:jc w:val="right"/>
            </w:pPr>
            <w:r>
              <w:rPr>
                <w:rFonts w:eastAsiaTheme="minorEastAsia"/>
                <w:color w:themeColor="text1" w:val="000000"/>
                <w:szCs w:val="21"/>
              </w:rPr>
              <w:t>10,721,968.00</w:t>
            </w:r>
          </w:p>
        </w:tc>
        <w:tc>
          <w:tcPr>
            <w:vAlign w:val="center"/>
          </w:tcPr>
          <w:p>
            <w:pPr>
              <w:jc w:val="right"/>
            </w:pPr>
            <w:r>
              <w:rPr>
                <w:rFonts w:eastAsiaTheme="minorEastAsia"/>
                <w:color w:themeColor="text1" w:val="000000"/>
                <w:szCs w:val="21"/>
              </w:rPr>
              <w:t>4.88</w:t>
            </w:r>
          </w:p>
        </w:tc>
      </w:tr>
      <w:tr>
        <w:tc>
          <w:tcPr>
            <w:vAlign w:val="center"/>
          </w:tcPr>
          <w:p>
            <w:pPr>
              <w:jc w:val="center"/>
            </w:pPr>
            <w:r>
              <w:rPr>
                <w:rFonts w:eastAsiaTheme="minorEastAsia"/>
                <w:color w:themeColor="text1" w:val="000000"/>
                <w:szCs w:val="21"/>
              </w:rPr>
              <w:t>5</w:t>
            </w:r>
          </w:p>
        </w:tc>
        <w:tc>
          <w:tcPr>
            <w:vAlign w:val="center"/>
          </w:tcPr>
          <w:p>
            <w:pPr>
              <w:jc w:val="center"/>
            </w:pPr>
            <w:r>
              <w:rPr>
                <w:rFonts w:eastAsiaTheme="minorEastAsia"/>
                <w:color w:themeColor="text1" w:val="000000"/>
                <w:szCs w:val="21"/>
              </w:rPr>
              <w:t>600221</w:t>
            </w:r>
          </w:p>
        </w:tc>
        <w:tc>
          <w:tcPr>
            <w:vAlign w:val="center"/>
          </w:tcPr>
          <w:p>
            <w:pPr>
              <w:jc w:val="center"/>
            </w:pPr>
            <w:r>
              <w:rPr>
                <w:rFonts w:eastAsiaTheme="minorEastAsia"/>
                <w:color w:themeColor="text1" w:val="000000"/>
                <w:szCs w:val="21"/>
              </w:rPr>
              <w:t>海航控股</w:t>
            </w:r>
          </w:p>
        </w:tc>
        <w:tc>
          <w:tcPr>
            <w:vAlign w:val="center"/>
          </w:tcPr>
          <w:p>
            <w:pPr>
              <w:jc w:val="right"/>
            </w:pPr>
            <w:r>
              <w:rPr>
                <w:rFonts w:eastAsiaTheme="minorEastAsia"/>
                <w:color w:themeColor="text1" w:val="000000"/>
                <w:szCs w:val="21"/>
              </w:rPr>
              <w:t>4,129,465.00</w:t>
            </w:r>
          </w:p>
        </w:tc>
        <w:tc>
          <w:tcPr>
            <w:vAlign w:val="center"/>
          </w:tcPr>
          <w:p>
            <w:pPr>
              <w:jc w:val="right"/>
            </w:pPr>
            <w:r>
              <w:rPr>
                <w:rFonts w:eastAsiaTheme="minorEastAsia"/>
                <w:color w:themeColor="text1" w:val="000000"/>
                <w:szCs w:val="21"/>
              </w:rPr>
              <w:t>1.88</w:t>
            </w:r>
          </w:p>
        </w:tc>
      </w:tr>
    </w:tbl>
    <w:p w:rsidP="00CA2A5B" w:rsidR="001A59F9" w:rsidRDefault="001A59F9" w:rsidRPr="00B71057">
      <w:pPr>
        <w:autoSpaceDE w:val="0"/>
        <w:autoSpaceDN w:val="0"/>
        <w:adjustRightInd w:val="0"/>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注：本项“买入金额”均按买卖成交金额（成交单价乘以数量）填列，不考虑相关交易费用。</w:t>
      </w:r>
    </w:p>
    <w:p w:rsidP="00CA2A5B"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color w:themeColor="text1" w:val="000000"/>
          <w:szCs w:val="21"/>
        </w:rPr>
        <w:t>8.4.2</w:t>
      </w:r>
      <w:r w:rsidR="008A0029" w:rsidRPr="00B71057">
        <w:rPr>
          <w:rFonts w:eastAsiaTheme="minorEastAsia"/>
          <w:b/>
          <w:color w:themeColor="text1" w:val="000000"/>
          <w:szCs w:val="21"/>
        </w:rPr>
        <w:t xml:space="preserve"> </w:t>
      </w:r>
      <w:r w:rsidRPr="00B71057">
        <w:rPr>
          <w:rFonts w:eastAsiaTheme="minorEastAsia"/>
          <w:b/>
          <w:bCs/>
          <w:color w:themeColor="text1" w:val="000000"/>
          <w:szCs w:val="21"/>
        </w:rPr>
        <w:t>累计卖出金额超出</w:t>
      </w:r>
      <w:r w:rsidR="006A7E68" w:rsidRPr="00B71057">
        <w:rPr>
          <w:rFonts w:eastAsiaTheme="minorEastAsia"/>
          <w:b/>
          <w:color w:themeColor="text1" w:val="000000"/>
          <w:kern w:val="0"/>
          <w:szCs w:val="21"/>
        </w:rPr>
        <w:t>期末</w:t>
      </w:r>
      <w:r w:rsidRPr="00B71057">
        <w:rPr>
          <w:rFonts w:eastAsiaTheme="minorEastAsia"/>
          <w:b/>
          <w:bCs/>
          <w:color w:themeColor="text1" w:val="000000"/>
          <w:szCs w:val="21"/>
        </w:rPr>
        <w:t>基金资产净值</w:t>
      </w:r>
      <w:r w:rsidR="006073BA" w:rsidRPr="00B71057">
        <w:rPr>
          <w:rFonts w:eastAsiaTheme="minorEastAsia"/>
          <w:b/>
          <w:bCs/>
          <w:color w:themeColor="text1" w:val="000000"/>
          <w:szCs w:val="21"/>
        </w:rPr>
        <w:t>2</w:t>
      </w:r>
      <w:r w:rsidR="006073BA" w:rsidRPr="00B71057">
        <w:rPr>
          <w:rFonts w:eastAsiaTheme="minorEastAsia"/>
          <w:b/>
          <w:bCs/>
          <w:color w:themeColor="text1" w:val="000000"/>
          <w:szCs w:val="21"/>
        </w:rPr>
        <w:t>％</w:t>
      </w:r>
      <w:r w:rsidRPr="00B71057">
        <w:rPr>
          <w:rFonts w:eastAsiaTheme="minorEastAsia"/>
          <w:b/>
          <w:bCs/>
          <w:color w:themeColor="text1" w:val="000000"/>
          <w:szCs w:val="21"/>
        </w:rPr>
        <w:t>或前</w:t>
      </w:r>
      <w:r w:rsidRPr="00B71057">
        <w:rPr>
          <w:rFonts w:eastAsiaTheme="minorEastAsia"/>
          <w:b/>
          <w:bCs/>
          <w:color w:themeColor="text1" w:val="000000"/>
          <w:szCs w:val="21"/>
        </w:rPr>
        <w:t>20</w:t>
      </w:r>
      <w:r w:rsidRPr="00B71057">
        <w:rPr>
          <w:rFonts w:eastAsiaTheme="minorEastAsia"/>
          <w:b/>
          <w:bCs/>
          <w:color w:themeColor="text1" w:val="000000"/>
          <w:szCs w:val="21"/>
        </w:rPr>
        <w:t>名的股票明细</w:t>
      </w:r>
    </w:p>
    <w:p w:rsidP="00CA2A5B" w:rsidR="001A59F9" w:rsidRDefault="001A59F9" w:rsidRPr="00B71057">
      <w:pPr>
        <w:autoSpaceDE w:val="0"/>
        <w:autoSpaceDN w:val="0"/>
        <w:adjustRightInd w:val="0"/>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本报告期本基金未卖出股票。</w:t>
      </w:r>
    </w:p>
    <w:p w:rsidP="00CA2A5B"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color w:themeColor="text1" w:val="000000"/>
          <w:szCs w:val="21"/>
        </w:rPr>
        <w:t>8.4.3</w:t>
      </w:r>
      <w:r w:rsidR="008A0029" w:rsidRPr="00B71057">
        <w:rPr>
          <w:rFonts w:eastAsiaTheme="minorEastAsia"/>
          <w:b/>
          <w:color w:themeColor="text1" w:val="000000"/>
          <w:szCs w:val="21"/>
        </w:rPr>
        <w:t xml:space="preserve"> </w:t>
      </w:r>
      <w:r w:rsidRPr="00B71057">
        <w:rPr>
          <w:rFonts w:eastAsiaTheme="minorEastAsia"/>
          <w:b/>
          <w:bCs/>
          <w:color w:themeColor="text1" w:val="000000"/>
          <w:szCs w:val="21"/>
        </w:rPr>
        <w:t>买入股票的成本总额及卖出股票的收入总额</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4500"/>
        <w:gridCol w:w="4500"/>
      </w:tblGrid>
      <w:tr w:rsidR="00B71057" w:rsidRPr="00B71057" w:rsidTr="00F9254F">
        <w:tc>
          <w:tcPr>
            <w:tcW w:type="dxa" w:w="4500"/>
            <w:vAlign w:val="center"/>
          </w:tcPr>
          <w:p w:rsidP="00F9254F"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买入股票的成本（成交）总额</w:t>
            </w:r>
            <w:r w:rsidRPr="00B71057">
              <w:rPr>
                <w:rFonts w:eastAsiaTheme="minorEastAsia"/>
                <w:color w:themeColor="text1" w:val="000000"/>
                <w:szCs w:val="21"/>
              </w:rPr>
              <w:t/>
            </w:r>
          </w:p>
        </w:tc>
        <w:tc>
          <w:tcPr>
            <w:tcW w:type="dxa" w:w="4500"/>
            <w:vAlign w:val="center"/>
          </w:tcPr>
          <w:p w:rsidP="00F9254F"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51,582,394.54</w:t>
            </w:r>
          </w:p>
        </w:tc>
      </w:tr>
      <w:tr w:rsidR="00B71057" w:rsidRPr="00B71057" w:rsidTr="00F9254F">
        <w:tc>
          <w:tcPr>
            <w:tcW w:type="dxa" w:w="4500"/>
            <w:vAlign w:val="center"/>
          </w:tcPr>
          <w:p w:rsidP="00F9254F"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卖出股票的收入（成交）总额</w:t>
            </w:r>
          </w:p>
        </w:tc>
        <w:tc>
          <w:tcPr>
            <w:tcW w:type="dxa" w:w="4500"/>
            <w:vAlign w:val="center"/>
          </w:tcPr>
          <w:p w:rsidP="00F9254F" w:rsidR="001A59F9" w:rsidRDefault="001A59F9"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0.00</w:t>
            </w:r>
          </w:p>
        </w:tc>
      </w:tr>
    </w:tbl>
    <w:p w:rsidP="00CA2A5B" w:rsidR="001A59F9" w:rsidRDefault="001A59F9" w:rsidRPr="00B71057">
      <w:pPr>
        <w:autoSpaceDE w:val="0"/>
        <w:autoSpaceDN w:val="0"/>
        <w:adjustRightInd w:val="0"/>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注：本项“买入股票的成本（成交）总额”与“卖出股票的收入（成交）总额”均按买卖成交金额（成交单位乘以数量）填列，不考虑相关交易费用。</w:t>
      </w:r>
    </w:p>
    <w:p w:rsidP="00CA2A5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76" w:name="_Toc234814104"/>
      <w:bookmarkStart w:id="77" w:name="_Toc361324883"/>
      <w:r w:rsidRPr="00B71057">
        <w:rPr>
          <w:rFonts w:ascii="Times New Roman" w:eastAsiaTheme="minorEastAsia" w:hAnsi="Times New Roman"/>
          <w:color w:themeColor="text1" w:val="000000"/>
          <w:kern w:val="0"/>
          <w:sz w:val="21"/>
          <w:szCs w:val="21"/>
        </w:rPr>
        <w:t>8.5</w:t>
      </w:r>
      <w:r w:rsidR="008A0029" w:rsidRPr="00B71057">
        <w:rPr>
          <w:rFonts w:ascii="Times New Roman" w:eastAsiaTheme="minorEastAsia" w:hAnsi="Times New Roman"/>
          <w:color w:themeColor="text1" w:val="000000"/>
          <w:kern w:val="0"/>
          <w:sz w:val="21"/>
          <w:szCs w:val="21"/>
        </w:rPr>
        <w:t xml:space="preserve"> </w:t>
      </w:r>
      <w:r w:rsidRPr="00B71057">
        <w:rPr>
          <w:rFonts w:ascii="Times New Roman" w:eastAsiaTheme="minorEastAsia" w:hAnsi="Times New Roman"/>
          <w:color w:themeColor="text1" w:val="000000"/>
          <w:kern w:val="0"/>
          <w:sz w:val="21"/>
          <w:szCs w:val="21"/>
        </w:rPr>
        <w:t>期末按债券品种分类的债券投资组合</w:t>
      </w:r>
      <w:bookmarkEnd w:id="76"/>
      <w:bookmarkEnd w:id="77"/>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金额单位：人民币元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17"/>
        <w:gridCol w:w="3260"/>
        <w:gridCol w:w="2410"/>
        <w:gridCol w:w="2041"/>
      </w:tblGrid>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序号</w:t>
            </w:r>
            <w:r w:rsidRPr="00B71057">
              <w:rPr>
                <w:rFonts w:eastAsiaTheme="minorEastAsia"/>
                <w:color w:themeColor="text1" w:val="000000"/>
                <w:szCs w:val="21"/>
              </w:rPr>
              <w:t/>
            </w:r>
          </w:p>
        </w:tc>
        <w:tc>
          <w:tcPr>
            <w:tcW w:type="dxa" w:w="3260"/>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债券品种</w:t>
            </w:r>
          </w:p>
        </w:tc>
        <w:tc>
          <w:tcPr>
            <w:tcW w:type="dxa" w:w="2410"/>
            <w:vAlign w:val="center"/>
          </w:tcPr>
          <w:p w:rsidP="00C11FB8"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公允价值</w:t>
            </w:r>
          </w:p>
        </w:tc>
        <w:tc>
          <w:tcPr>
            <w:tcW w:type="dxa" w:w="2041"/>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占基金资产净值比例</w:t>
            </w:r>
            <w:r w:rsidRPr="00B71057">
              <w:rPr>
                <w:rFonts w:eastAsiaTheme="minorEastAsia"/>
                <w:color w:themeColor="text1" w:val="000000"/>
                <w:szCs w:val="21"/>
              </w:rPr>
              <w:t>(</w:t>
            </w:r>
            <w:r w:rsidRPr="00B71057">
              <w:rPr>
                <w:rFonts w:eastAsiaTheme="minorEastAsia"/>
                <w:color w:themeColor="text1" w:val="000000"/>
                <w:szCs w:val="21"/>
              </w:rPr>
              <w:t>％</w:t>
            </w:r>
            <w:r w:rsidRPr="00B71057">
              <w:rPr>
                <w:rFonts w:eastAsiaTheme="minorEastAsia"/>
                <w:color w:themeColor="text1" w:val="000000"/>
                <w:szCs w:val="21"/>
              </w:rPr>
              <w:t>)</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1</w:t>
            </w: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国家债券</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2</w:t>
            </w: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央行票据</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3</w:t>
            </w: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金融债券</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其中：政策性金融债</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4</w:t>
            </w: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企业债券</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17,829,000.00</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8.11</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5</w:t>
            </w: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企业短期融资</w:t>
            </w:r>
            <w:r w:rsidR="0043264B" w:rsidRPr="00B71057">
              <w:rPr>
                <w:rFonts w:eastAsiaTheme="minorEastAsia"/>
                <w:color w:themeColor="text1" w:val="000000"/>
                <w:szCs w:val="21"/>
              </w:rPr>
              <w:t>券</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138,342,200.00</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62.93</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6</w:t>
            </w: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中期票据</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27,923,900.00</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12.70</w:t>
            </w:r>
          </w:p>
        </w:tc>
      </w:tr>
      <w:tr w:rsidR="00B71057" w:rsidRPr="00B71057" w:rsidTr="00CA2A5B">
        <w:tc>
          <w:tcPr>
            <w:tcW w:type="dxa" w:w="817"/>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7</w:t>
            </w:r>
          </w:p>
        </w:tc>
        <w:tc>
          <w:tcPr>
            <w:tcW w:type="dxa" w:w="3260"/>
            <w:vAlign w:val="center"/>
          </w:tcPr>
          <w:p w:rsidP="00026C9C" w:rsidR="001A59F9" w:rsidRDefault="001A59F9"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可转债</w:t>
            </w:r>
            <w:r w:rsidR="0020620D" w:rsidRPr="006637A1">
              <w:rPr>
                <w:rFonts w:eastAsiaTheme="minorEastAsia" w:hint="eastAsia"/>
                <w:color w:val="000000"/>
                <w:szCs w:val="21"/>
              </w:rPr>
              <w:t>（可交换债）</w:t>
            </w:r>
          </w:p>
        </w:tc>
        <w:tc>
          <w:tcPr>
            <w:tcW w:type="dxa" w:w="2410"/>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18,679,824.00</w:t>
            </w:r>
          </w:p>
        </w:tc>
        <w:tc>
          <w:tcPr>
            <w:tcW w:type="dxa" w:w="2041"/>
            <w:vAlign w:val="center"/>
          </w:tcPr>
          <w:p w:rsidP="00026C9C" w:rsidR="001A59F9" w:rsidRDefault="001A59F9"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8.50</w:t>
            </w:r>
          </w:p>
        </w:tc>
      </w:tr>
      <w:tr w:rsidR="00244C8D" w:rsidRPr="00B71057" w:rsidTr="00CA2A5B">
        <w:tc>
          <w:tcPr>
            <w:tcW w:type="dxa" w:w="817"/>
            <w:vAlign w:val="center"/>
          </w:tcPr>
          <w:p w:rsidP="0087491A" w:rsidR="00244C8D" w:rsidRDefault="00244C8D" w:rsidRPr="00090169">
            <w:pPr>
              <w:spacing w:before="29" w:line="360" w:lineRule="auto"/>
              <w:ind w:left="17"/>
              <w:jc w:val="center"/>
              <w:rPr>
                <w:rFonts w:eastAsiaTheme="minorEastAsia"/>
                <w:color w:themeColor="text1" w:val="000000"/>
                <w:szCs w:val="21"/>
              </w:rPr>
            </w:pPr>
            <w:r>
              <w:rPr>
                <w:rFonts w:eastAsiaTheme="minorEastAsia" w:hint="eastAsia"/>
                <w:color w:themeColor="text1" w:val="000000"/>
                <w:szCs w:val="21"/>
              </w:rPr>
              <w:t>8</w:t>
            </w:r>
          </w:p>
        </w:tc>
        <w:tc>
          <w:tcPr>
            <w:tcW w:type="dxa" w:w="3260"/>
            <w:vAlign w:val="center"/>
          </w:tcPr>
          <w:p w:rsidP="0087491A" w:rsidR="00244C8D" w:rsidRDefault="00244C8D" w:rsidRPr="00090169">
            <w:pPr>
              <w:spacing w:before="29" w:line="360" w:lineRule="auto"/>
              <w:ind w:left="17"/>
              <w:jc w:val="left"/>
              <w:rPr>
                <w:rFonts w:eastAsiaTheme="minorEastAsia"/>
                <w:color w:themeColor="text1" w:val="000000"/>
                <w:szCs w:val="21"/>
              </w:rPr>
            </w:pPr>
            <w:r w:rsidRPr="00090169">
              <w:rPr>
                <w:rFonts w:eastAsiaTheme="minorEastAsia" w:hint="eastAsia"/>
                <w:color w:themeColor="text1" w:val="000000"/>
                <w:szCs w:val="21"/>
              </w:rPr>
              <w:t>同业存单</w:t>
            </w:r>
          </w:p>
        </w:tc>
        <w:tc>
          <w:tcPr>
            <w:tcW w:type="dxa" w:w="2410"/>
            <w:vAlign w:val="center"/>
          </w:tcPr>
          <w:p w:rsidP="0087491A" w:rsidR="00244C8D" w:rsidRDefault="00244C8D" w:rsidRPr="00090169">
            <w:pPr>
              <w:spacing w:before="29" w:line="360" w:lineRule="auto"/>
              <w:ind w:left="17"/>
              <w:jc w:val="right"/>
              <w:rPr>
                <w:rFonts w:eastAsiaTheme="minorEastAsia"/>
                <w:color w:themeColor="text1" w:val="000000"/>
                <w:szCs w:val="21"/>
              </w:rPr>
            </w:pPr>
            <w:r w:rsidRPr="00090169">
              <w:rPr>
                <w:rFonts w:eastAsiaTheme="minorEastAsia" w:hint="eastAsia"/>
                <w:color w:themeColor="text1" w:val="000000"/>
                <w:szCs w:val="21"/>
              </w:rPr>
              <w:t/>
            </w:r>
            <w:r w:rsidRPr="00090169">
              <w:rPr>
                <w:rFonts w:eastAsiaTheme="minorEastAsia"/>
                <w:color w:themeColor="text1" w:val="000000"/>
                <w:szCs w:val="21"/>
              </w:rPr>
              <w:t/>
            </w:r>
            <w:r w:rsidRPr="00090169">
              <w:rPr>
                <w:rFonts w:eastAsiaTheme="minorEastAsia" w:hint="eastAsia"/>
                <w:color w:themeColor="text1" w:val="000000"/>
                <w:szCs w:val="21"/>
              </w:rPr>
              <w:t>-</w:t>
            </w:r>
          </w:p>
        </w:tc>
        <w:tc>
          <w:tcPr>
            <w:tcW w:type="dxa" w:w="2041"/>
            <w:vAlign w:val="center"/>
          </w:tcPr>
          <w:p w:rsidP="0087491A" w:rsidR="00244C8D" w:rsidRDefault="00244C8D" w:rsidRPr="00090169">
            <w:pPr>
              <w:spacing w:before="29" w:line="360" w:lineRule="auto"/>
              <w:ind w:left="17"/>
              <w:jc w:val="right"/>
              <w:rPr>
                <w:rFonts w:eastAsiaTheme="minorEastAsia"/>
                <w:color w:themeColor="text1" w:val="000000"/>
                <w:szCs w:val="21"/>
              </w:rPr>
            </w:pPr>
            <w:r w:rsidRPr="00090169">
              <w:rPr>
                <w:rFonts w:eastAsiaTheme="minorEastAsia" w:hint="eastAsia"/>
                <w:color w:themeColor="text1" w:val="000000"/>
                <w:szCs w:val="21"/>
              </w:rPr>
              <w:t/>
            </w:r>
            <w:r w:rsidRPr="00090169">
              <w:rPr>
                <w:rFonts w:eastAsiaTheme="minorEastAsia"/>
                <w:color w:themeColor="text1" w:val="000000"/>
                <w:szCs w:val="21"/>
              </w:rPr>
              <w:t/>
            </w:r>
            <w:r w:rsidRPr="00090169">
              <w:rPr>
                <w:rFonts w:eastAsiaTheme="minorEastAsia" w:hint="eastAsia"/>
                <w:color w:themeColor="text1" w:val="000000"/>
                <w:szCs w:val="21"/>
              </w:rPr>
              <w:t>-</w:t>
            </w:r>
          </w:p>
        </w:tc>
      </w:tr>
      <w:tr w:rsidR="00244C8D" w:rsidRPr="00B71057" w:rsidTr="00CA2A5B">
        <w:tc>
          <w:tcPr>
            <w:tcW w:type="dxa" w:w="817"/>
            <w:vAlign w:val="center"/>
          </w:tcPr>
          <w:p w:rsidP="00026C9C" w:rsidR="00244C8D" w:rsidRDefault="00244C8D"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
            </w:r>
            <w:r>
              <w:rPr>
                <w:rFonts w:eastAsiaTheme="minorEastAsia" w:hint="eastAsia"/>
                <w:color w:themeColor="text1" w:val="000000"/>
                <w:szCs w:val="21"/>
              </w:rPr>
              <w:t/>
            </w:r>
            <w:r w:rsidRPr="00B71057">
              <w:rPr>
                <w:rFonts w:eastAsiaTheme="minorEastAsia"/>
                <w:color w:themeColor="text1" w:val="000000"/>
                <w:szCs w:val="21"/>
              </w:rPr>
              <w:t>9</w:t>
            </w:r>
          </w:p>
        </w:tc>
        <w:tc>
          <w:tcPr>
            <w:tcW w:type="dxa" w:w="3260"/>
            <w:vAlign w:val="center"/>
          </w:tcPr>
          <w:p w:rsidP="00026C9C" w:rsidR="00244C8D" w:rsidRDefault="00244C8D"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其他</w:t>
            </w:r>
          </w:p>
        </w:tc>
        <w:tc>
          <w:tcPr>
            <w:tcW w:type="dxa" w:w="2410"/>
            <w:vAlign w:val="center"/>
          </w:tcPr>
          <w:p w:rsidP="00026C9C" w:rsidR="00244C8D" w:rsidRDefault="00244C8D"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c>
          <w:tcPr>
            <w:tcW w:type="dxa" w:w="2041"/>
            <w:vAlign w:val="center"/>
          </w:tcPr>
          <w:p w:rsidP="00026C9C" w:rsidR="00244C8D" w:rsidRDefault="00244C8D"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w:t>
            </w:r>
          </w:p>
        </w:tc>
      </w:tr>
      <w:tr w:rsidR="00244C8D" w:rsidRPr="00B71057" w:rsidTr="00CA2A5B">
        <w:tc>
          <w:tcPr>
            <w:tcW w:type="dxa" w:w="817"/>
            <w:vAlign w:val="center"/>
          </w:tcPr>
          <w:p w:rsidP="00026C9C" w:rsidR="00244C8D" w:rsidRDefault="00244C8D"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
            </w:r>
            <w:r>
              <w:rPr>
                <w:rFonts w:eastAsiaTheme="minorEastAsia" w:hint="eastAsia"/>
                <w:color w:themeColor="text1" w:val="000000"/>
                <w:szCs w:val="21"/>
              </w:rPr>
              <w:t/>
            </w:r>
            <w:r w:rsidRPr="00B71057">
              <w:rPr>
                <w:rFonts w:eastAsiaTheme="minorEastAsia"/>
                <w:color w:themeColor="text1" w:val="000000"/>
                <w:szCs w:val="21"/>
              </w:rPr>
              <w:t>10</w:t>
            </w:r>
          </w:p>
        </w:tc>
        <w:tc>
          <w:tcPr>
            <w:tcW w:type="dxa" w:w="3260"/>
            <w:vAlign w:val="center"/>
          </w:tcPr>
          <w:p w:rsidP="00026C9C" w:rsidR="00244C8D" w:rsidRDefault="00244C8D" w:rsidRPr="00B71057">
            <w:pPr>
              <w:spacing w:before="29" w:line="360" w:lineRule="auto"/>
              <w:ind w:left="17"/>
              <w:jc w:val="left"/>
              <w:rPr>
                <w:rFonts w:eastAsiaTheme="minorEastAsia"/>
                <w:color w:themeColor="text1" w:val="000000"/>
                <w:szCs w:val="21"/>
              </w:rPr>
            </w:pPr>
            <w:r w:rsidRPr="00B71057">
              <w:rPr>
                <w:rFonts w:eastAsiaTheme="minorEastAsia"/>
                <w:color w:themeColor="text1" w:val="000000"/>
                <w:szCs w:val="21"/>
              </w:rPr>
              <w:t>合计</w:t>
            </w:r>
          </w:p>
        </w:tc>
        <w:tc>
          <w:tcPr>
            <w:tcW w:type="dxa" w:w="2410"/>
            <w:vAlign w:val="center"/>
          </w:tcPr>
          <w:p w:rsidP="00026C9C" w:rsidR="00244C8D" w:rsidRDefault="00244C8D"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202,774,924.00</w:t>
            </w:r>
          </w:p>
        </w:tc>
        <w:tc>
          <w:tcPr>
            <w:tcW w:type="dxa" w:w="2041"/>
            <w:vAlign w:val="center"/>
          </w:tcPr>
          <w:p w:rsidP="00026C9C" w:rsidR="00244C8D" w:rsidRDefault="00244C8D" w:rsidRPr="00B71057">
            <w:pPr>
              <w:spacing w:before="29" w:line="360" w:lineRule="auto"/>
              <w:ind w:left="17"/>
              <w:jc w:val="right"/>
              <w:rPr>
                <w:rFonts w:eastAsiaTheme="minorEastAsia"/>
                <w:color w:themeColor="text1" w:val="000000"/>
                <w:szCs w:val="21"/>
              </w:rPr>
            </w:pPr>
            <w:r w:rsidRPr="00B71057">
              <w:rPr>
                <w:rFonts w:eastAsiaTheme="minorEastAsia"/>
                <w:color w:themeColor="text1" w:val="000000"/>
                <w:szCs w:val="21"/>
              </w:rPr>
              <w:t>92.24</w:t>
            </w:r>
          </w:p>
        </w:tc>
      </w:tr>
    </w:tbl>
    <w:p w:rsidP="00CA2A5B"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78" w:name="_Toc361324884"/>
      <w:r w:rsidRPr="00B71057">
        <w:rPr>
          <w:rFonts w:ascii="Times New Roman" w:eastAsiaTheme="minorEastAsia" w:hAnsi="Times New Roman"/>
          <w:color w:themeColor="text1" w:val="000000"/>
          <w:kern w:val="0"/>
          <w:sz w:val="21"/>
          <w:szCs w:val="21"/>
        </w:rPr>
        <w:t>8.6</w:t>
      </w:r>
      <w:bookmarkStart w:id="79" w:name="_Toc234814105"/>
      <w:r w:rsidR="008A0029" w:rsidRPr="00B71057">
        <w:rPr>
          <w:rFonts w:ascii="Times New Roman" w:eastAsiaTheme="minorEastAsia" w:hAnsi="Times New Roman"/>
          <w:color w:themeColor="text1" w:val="000000"/>
          <w:kern w:val="0"/>
          <w:sz w:val="21"/>
          <w:szCs w:val="21"/>
        </w:rPr>
        <w:t xml:space="preserve"> </w:t>
      </w:r>
      <w:r w:rsidRPr="00B71057">
        <w:rPr>
          <w:rFonts w:ascii="Times New Roman" w:eastAsiaTheme="minorEastAsia" w:hAnsi="Times New Roman"/>
          <w:color w:themeColor="text1" w:val="000000"/>
          <w:kern w:val="0"/>
          <w:sz w:val="21"/>
          <w:szCs w:val="21"/>
        </w:rPr>
        <w:t>期末按公允价值占基金资产净值比例大小</w:t>
      </w:r>
      <w:r w:rsidR="00D367BD" w:rsidRPr="00B71057">
        <w:rPr>
          <w:rFonts w:ascii="Times New Roman" w:eastAsiaTheme="minorEastAsia" w:hAnsi="Times New Roman"/>
          <w:color w:themeColor="text1" w:val="000000"/>
          <w:kern w:val="0"/>
          <w:sz w:val="21"/>
          <w:szCs w:val="21"/>
        </w:rPr>
        <w:t>排序</w:t>
      </w:r>
      <w:r w:rsidRPr="00B71057">
        <w:rPr>
          <w:rFonts w:ascii="Times New Roman" w:eastAsiaTheme="minorEastAsia" w:hAnsi="Times New Roman"/>
          <w:color w:themeColor="text1" w:val="000000"/>
          <w:kern w:val="0"/>
          <w:sz w:val="21"/>
          <w:szCs w:val="21"/>
        </w:rPr>
        <w:t>的前五名债券投资明细</w:t>
      </w:r>
      <w:bookmarkEnd w:id="78"/>
      <w:bookmarkEnd w:id="79"/>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金额单位：人民币元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1252"/>
        <w:gridCol w:w="1310"/>
        <w:gridCol w:w="1282"/>
        <w:gridCol w:w="1426"/>
        <w:gridCol w:w="1646"/>
        <w:gridCol w:w="1612"/>
      </w:tblGrid>
      <w:tr w:rsidR="00B71057" w:rsidRPr="00B71057" w:rsidTr="00032164">
        <w:tc>
          <w:tcPr>
            <w:tcW w:type="dxa" w:w="1252"/>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序号</w:t>
            </w:r>
          </w:p>
        </w:tc>
        <w:tc>
          <w:tcPr>
            <w:tcW w:type="dxa" w:w="1310"/>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债券代码</w:t>
            </w:r>
          </w:p>
        </w:tc>
        <w:tc>
          <w:tcPr>
            <w:tcW w:type="dxa" w:w="1282"/>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债券名称</w:t>
            </w:r>
          </w:p>
        </w:tc>
        <w:tc>
          <w:tcPr>
            <w:tcW w:type="dxa" w:w="1426"/>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数量</w:t>
            </w:r>
            <w:r w:rsidRPr="00B71057">
              <w:rPr>
                <w:rFonts w:eastAsiaTheme="minorEastAsia"/>
                <w:color w:themeColor="text1" w:val="000000"/>
                <w:szCs w:val="21"/>
              </w:rPr>
              <w:t>(</w:t>
            </w:r>
            <w:r w:rsidRPr="00B71057">
              <w:rPr>
                <w:rFonts w:eastAsiaTheme="minorEastAsia"/>
                <w:color w:themeColor="text1" w:val="000000"/>
                <w:szCs w:val="21"/>
              </w:rPr>
              <w:t>张</w:t>
            </w:r>
            <w:r w:rsidRPr="00B71057">
              <w:rPr>
                <w:rFonts w:eastAsiaTheme="minorEastAsia"/>
                <w:color w:themeColor="text1" w:val="000000"/>
                <w:szCs w:val="21"/>
              </w:rPr>
              <w:t>)</w:t>
            </w:r>
          </w:p>
        </w:tc>
        <w:tc>
          <w:tcPr>
            <w:tcW w:type="dxa" w:w="1646"/>
            <w:vAlign w:val="center"/>
          </w:tcPr>
          <w:p w:rsidP="007C2AE2"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公允价值</w:t>
            </w:r>
          </w:p>
        </w:tc>
        <w:tc>
          <w:tcPr>
            <w:tcW w:type="dxa" w:w="1612"/>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占基金资产净值比例</w:t>
            </w:r>
            <w:r w:rsidRPr="00B71057">
              <w:rPr>
                <w:rFonts w:eastAsiaTheme="minorEastAsia"/>
                <w:color w:themeColor="text1" w:val="000000"/>
                <w:szCs w:val="21"/>
              </w:rPr>
              <w:t>(</w:t>
            </w:r>
            <w:r w:rsidRPr="00B71057">
              <w:rPr>
                <w:rFonts w:eastAsiaTheme="minorEastAsia"/>
                <w:color w:themeColor="text1" w:val="000000"/>
                <w:szCs w:val="21"/>
              </w:rPr>
              <w:t>％</w:t>
            </w:r>
            <w:r w:rsidRPr="00B71057">
              <w:rPr>
                <w:rFonts w:eastAsiaTheme="minorEastAsia"/>
                <w:color w:themeColor="text1" w:val="000000"/>
                <w:szCs w:val="21"/>
              </w:rPr>
              <w:t>)</w:t>
            </w:r>
          </w:p>
        </w:tc>
      </w:tr>
      <w:tr>
        <w:tc>
          <w:tcPr>
            <w:vAlign w:val="center"/>
          </w:tcPr>
          <w:p>
            <w:pPr>
              <w:jc w:val="center"/>
            </w:pPr>
            <w:r>
              <w:rPr>
                <w:rFonts w:eastAsiaTheme="minorEastAsia"/>
                <w:color w:themeColor="text1" w:val="000000"/>
                <w:szCs w:val="21"/>
              </w:rPr>
              <w:t>1</w:t>
            </w:r>
          </w:p>
        </w:tc>
        <w:tc>
          <w:tcPr>
            <w:vAlign w:val="center"/>
          </w:tcPr>
          <w:p>
            <w:pPr>
              <w:jc w:val="center"/>
            </w:pPr>
            <w:r>
              <w:rPr>
                <w:rFonts w:eastAsiaTheme="minorEastAsia"/>
                <w:color w:themeColor="text1" w:val="000000"/>
                <w:szCs w:val="21"/>
              </w:rPr>
              <w:t>101800593</w:t>
            </w:r>
          </w:p>
        </w:tc>
        <w:tc>
          <w:tcPr>
            <w:vAlign w:val="center"/>
          </w:tcPr>
          <w:p>
            <w:pPr>
              <w:jc w:val="center"/>
            </w:pPr>
            <w:r>
              <w:rPr>
                <w:rFonts w:eastAsiaTheme="minorEastAsia"/>
                <w:color w:themeColor="text1" w:val="000000"/>
                <w:szCs w:val="21"/>
              </w:rPr>
              <w:t>18昆明经开MTN001</w:t>
            </w:r>
          </w:p>
        </w:tc>
        <w:tc>
          <w:tcPr>
            <w:vAlign w:val="center"/>
          </w:tcPr>
          <w:p>
            <w:pPr>
              <w:jc w:val="right"/>
            </w:pPr>
            <w:r>
              <w:rPr>
                <w:rFonts w:eastAsiaTheme="minorEastAsia"/>
                <w:color w:themeColor="text1" w:val="000000"/>
                <w:szCs w:val="21"/>
              </w:rPr>
              <w:t>200,000</w:t>
            </w:r>
          </w:p>
        </w:tc>
        <w:tc>
          <w:tcPr>
            <w:vAlign w:val="center"/>
          </w:tcPr>
          <w:p>
            <w:pPr>
              <w:jc w:val="right"/>
            </w:pPr>
            <w:r>
              <w:rPr>
                <w:rFonts w:eastAsiaTheme="minorEastAsia"/>
                <w:color w:themeColor="text1" w:val="000000"/>
                <w:szCs w:val="21"/>
              </w:rPr>
              <w:t>21,872,000.00</w:t>
            </w:r>
          </w:p>
        </w:tc>
        <w:tc>
          <w:tcPr>
            <w:vAlign w:val="center"/>
          </w:tcPr>
          <w:p>
            <w:pPr>
              <w:jc w:val="right"/>
            </w:pPr>
            <w:r>
              <w:rPr>
                <w:rFonts w:eastAsiaTheme="minorEastAsia"/>
                <w:color w:themeColor="text1" w:val="000000"/>
                <w:szCs w:val="21"/>
              </w:rPr>
              <w:t>9.95</w:t>
            </w:r>
          </w:p>
        </w:tc>
      </w:tr>
      <w:tr>
        <w:tc>
          <w:tcPr>
            <w:vAlign w:val="center"/>
          </w:tcPr>
          <w:p>
            <w:pPr>
              <w:jc w:val="center"/>
            </w:pPr>
            <w:r>
              <w:rPr>
                <w:rFonts w:eastAsiaTheme="minorEastAsia"/>
                <w:color w:themeColor="text1" w:val="000000"/>
                <w:szCs w:val="21"/>
              </w:rPr>
              <w:t>2</w:t>
            </w:r>
          </w:p>
        </w:tc>
        <w:tc>
          <w:tcPr>
            <w:vAlign w:val="center"/>
          </w:tcPr>
          <w:p>
            <w:pPr>
              <w:jc w:val="center"/>
            </w:pPr>
            <w:r>
              <w:rPr>
                <w:rFonts w:eastAsiaTheme="minorEastAsia"/>
                <w:color w:themeColor="text1" w:val="000000"/>
                <w:szCs w:val="21"/>
              </w:rPr>
              <w:t>041800058</w:t>
            </w:r>
          </w:p>
        </w:tc>
        <w:tc>
          <w:tcPr>
            <w:vAlign w:val="center"/>
          </w:tcPr>
          <w:p>
            <w:pPr>
              <w:jc w:val="center"/>
            </w:pPr>
            <w:r>
              <w:rPr>
                <w:rFonts w:eastAsiaTheme="minorEastAsia"/>
                <w:color w:themeColor="text1" w:val="000000"/>
                <w:szCs w:val="21"/>
              </w:rPr>
              <w:t>18日照城投CP001</w:t>
            </w:r>
          </w:p>
        </w:tc>
        <w:tc>
          <w:tcPr>
            <w:vAlign w:val="center"/>
          </w:tcPr>
          <w:p>
            <w:pPr>
              <w:jc w:val="right"/>
            </w:pPr>
            <w:r>
              <w:rPr>
                <w:rFonts w:eastAsiaTheme="minorEastAsia"/>
                <w:color w:themeColor="text1" w:val="000000"/>
                <w:szCs w:val="21"/>
              </w:rPr>
              <w:t>200,000</w:t>
            </w:r>
          </w:p>
        </w:tc>
        <w:tc>
          <w:tcPr>
            <w:vAlign w:val="center"/>
          </w:tcPr>
          <w:p>
            <w:pPr>
              <w:jc w:val="right"/>
            </w:pPr>
            <w:r>
              <w:rPr>
                <w:rFonts w:eastAsiaTheme="minorEastAsia"/>
                <w:color w:themeColor="text1" w:val="000000"/>
                <w:szCs w:val="21"/>
              </w:rPr>
              <w:t>20,238,000.00</w:t>
            </w:r>
          </w:p>
        </w:tc>
        <w:tc>
          <w:tcPr>
            <w:vAlign w:val="center"/>
          </w:tcPr>
          <w:p>
            <w:pPr>
              <w:jc w:val="right"/>
            </w:pPr>
            <w:r>
              <w:rPr>
                <w:rFonts w:eastAsiaTheme="minorEastAsia"/>
                <w:color w:themeColor="text1" w:val="000000"/>
                <w:szCs w:val="21"/>
              </w:rPr>
              <w:t>9.21</w:t>
            </w:r>
          </w:p>
        </w:tc>
      </w:tr>
      <w:tr>
        <w:tc>
          <w:tcPr>
            <w:vAlign w:val="center"/>
          </w:tcPr>
          <w:p>
            <w:pPr>
              <w:jc w:val="center"/>
            </w:pPr>
            <w:r>
              <w:rPr>
                <w:rFonts w:eastAsiaTheme="minorEastAsia"/>
                <w:color w:themeColor="text1" w:val="000000"/>
                <w:szCs w:val="21"/>
              </w:rPr>
              <w:t>3</w:t>
            </w:r>
          </w:p>
        </w:tc>
        <w:tc>
          <w:tcPr>
            <w:vAlign w:val="center"/>
          </w:tcPr>
          <w:p>
            <w:pPr>
              <w:jc w:val="center"/>
            </w:pPr>
            <w:r>
              <w:rPr>
                <w:rFonts w:eastAsiaTheme="minorEastAsia"/>
                <w:color w:themeColor="text1" w:val="000000"/>
                <w:szCs w:val="21"/>
              </w:rPr>
              <w:t>011800850</w:t>
            </w:r>
          </w:p>
        </w:tc>
        <w:tc>
          <w:tcPr>
            <w:vAlign w:val="center"/>
          </w:tcPr>
          <w:p>
            <w:pPr>
              <w:jc w:val="center"/>
            </w:pPr>
            <w:r>
              <w:rPr>
                <w:rFonts w:eastAsiaTheme="minorEastAsia"/>
                <w:color w:themeColor="text1" w:val="000000"/>
                <w:szCs w:val="21"/>
              </w:rPr>
              <w:t>18双流交建SCP001</w:t>
            </w:r>
          </w:p>
        </w:tc>
        <w:tc>
          <w:tcPr>
            <w:vAlign w:val="center"/>
          </w:tcPr>
          <w:p>
            <w:pPr>
              <w:jc w:val="right"/>
            </w:pPr>
            <w:r>
              <w:rPr>
                <w:rFonts w:eastAsiaTheme="minorEastAsia"/>
                <w:color w:themeColor="text1" w:val="000000"/>
                <w:szCs w:val="21"/>
              </w:rPr>
              <w:t>200,000</w:t>
            </w:r>
          </w:p>
        </w:tc>
        <w:tc>
          <w:tcPr>
            <w:vAlign w:val="center"/>
          </w:tcPr>
          <w:p>
            <w:pPr>
              <w:jc w:val="right"/>
            </w:pPr>
            <w:r>
              <w:rPr>
                <w:rFonts w:eastAsiaTheme="minorEastAsia"/>
                <w:color w:themeColor="text1" w:val="000000"/>
                <w:szCs w:val="21"/>
              </w:rPr>
              <w:t>20,178,000.00</w:t>
            </w:r>
          </w:p>
        </w:tc>
        <w:tc>
          <w:tcPr>
            <w:vAlign w:val="center"/>
          </w:tcPr>
          <w:p>
            <w:pPr>
              <w:jc w:val="right"/>
            </w:pPr>
            <w:r>
              <w:rPr>
                <w:rFonts w:eastAsiaTheme="minorEastAsia"/>
                <w:color w:themeColor="text1" w:val="000000"/>
                <w:szCs w:val="21"/>
              </w:rPr>
              <w:t>9.18</w:t>
            </w:r>
          </w:p>
        </w:tc>
      </w:tr>
      <w:tr>
        <w:tc>
          <w:tcPr>
            <w:vAlign w:val="center"/>
          </w:tcPr>
          <w:p>
            <w:pPr>
              <w:jc w:val="center"/>
            </w:pPr>
            <w:r>
              <w:rPr>
                <w:rFonts w:eastAsiaTheme="minorEastAsia"/>
                <w:color w:themeColor="text1" w:val="000000"/>
                <w:szCs w:val="21"/>
              </w:rPr>
              <w:t>4</w:t>
            </w:r>
          </w:p>
        </w:tc>
        <w:tc>
          <w:tcPr>
            <w:vAlign w:val="center"/>
          </w:tcPr>
          <w:p>
            <w:pPr>
              <w:jc w:val="center"/>
            </w:pPr>
            <w:r>
              <w:rPr>
                <w:rFonts w:eastAsiaTheme="minorEastAsia"/>
                <w:color w:themeColor="text1" w:val="000000"/>
                <w:szCs w:val="21"/>
              </w:rPr>
              <w:t>011800794</w:t>
            </w:r>
          </w:p>
        </w:tc>
        <w:tc>
          <w:tcPr>
            <w:vAlign w:val="center"/>
          </w:tcPr>
          <w:p>
            <w:pPr>
              <w:jc w:val="center"/>
            </w:pPr>
            <w:r>
              <w:rPr>
                <w:rFonts w:eastAsiaTheme="minorEastAsia"/>
                <w:color w:themeColor="text1" w:val="000000"/>
                <w:szCs w:val="21"/>
              </w:rPr>
              <w:t>18农垦SCP003</w:t>
            </w:r>
          </w:p>
        </w:tc>
        <w:tc>
          <w:tcPr>
            <w:vAlign w:val="center"/>
          </w:tcPr>
          <w:p>
            <w:pPr>
              <w:jc w:val="right"/>
            </w:pPr>
            <w:r>
              <w:rPr>
                <w:rFonts w:eastAsiaTheme="minorEastAsia"/>
                <w:color w:themeColor="text1" w:val="000000"/>
                <w:szCs w:val="21"/>
              </w:rPr>
              <w:t>200,000</w:t>
            </w:r>
          </w:p>
        </w:tc>
        <w:tc>
          <w:tcPr>
            <w:vAlign w:val="center"/>
          </w:tcPr>
          <w:p>
            <w:pPr>
              <w:jc w:val="right"/>
            </w:pPr>
            <w:r>
              <w:rPr>
                <w:rFonts w:eastAsiaTheme="minorEastAsia"/>
                <w:color w:themeColor="text1" w:val="000000"/>
                <w:szCs w:val="21"/>
              </w:rPr>
              <w:t>20,166,000.00</w:t>
            </w:r>
          </w:p>
        </w:tc>
        <w:tc>
          <w:tcPr>
            <w:vAlign w:val="center"/>
          </w:tcPr>
          <w:p>
            <w:pPr>
              <w:jc w:val="right"/>
            </w:pPr>
            <w:r>
              <w:rPr>
                <w:rFonts w:eastAsiaTheme="minorEastAsia"/>
                <w:color w:themeColor="text1" w:val="000000"/>
                <w:szCs w:val="21"/>
              </w:rPr>
              <w:t>9.17</w:t>
            </w:r>
          </w:p>
        </w:tc>
      </w:tr>
      <w:tr>
        <w:tc>
          <w:tcPr>
            <w:vAlign w:val="center"/>
          </w:tcPr>
          <w:p>
            <w:pPr>
              <w:jc w:val="center"/>
            </w:pPr>
            <w:r>
              <w:rPr>
                <w:rFonts w:eastAsiaTheme="minorEastAsia"/>
                <w:color w:themeColor="text1" w:val="000000"/>
                <w:szCs w:val="21"/>
              </w:rPr>
              <w:t>5</w:t>
            </w:r>
          </w:p>
        </w:tc>
        <w:tc>
          <w:tcPr>
            <w:vAlign w:val="center"/>
          </w:tcPr>
          <w:p>
            <w:pPr>
              <w:jc w:val="center"/>
            </w:pPr>
            <w:r>
              <w:rPr>
                <w:rFonts w:eastAsiaTheme="minorEastAsia"/>
                <w:color w:themeColor="text1" w:val="000000"/>
                <w:szCs w:val="21"/>
              </w:rPr>
              <w:t>113011</w:t>
            </w:r>
          </w:p>
        </w:tc>
        <w:tc>
          <w:tcPr>
            <w:vAlign w:val="center"/>
          </w:tcPr>
          <w:p>
            <w:pPr>
              <w:jc w:val="center"/>
            </w:pPr>
            <w:r>
              <w:rPr>
                <w:rFonts w:eastAsiaTheme="minorEastAsia"/>
                <w:color w:themeColor="text1" w:val="000000"/>
                <w:szCs w:val="21"/>
              </w:rPr>
              <w:t>光大转债</w:t>
            </w:r>
          </w:p>
        </w:tc>
        <w:tc>
          <w:tcPr>
            <w:vAlign w:val="center"/>
          </w:tcPr>
          <w:p>
            <w:pPr>
              <w:jc w:val="right"/>
            </w:pPr>
            <w:r>
              <w:rPr>
                <w:rFonts w:eastAsiaTheme="minorEastAsia"/>
                <w:color w:themeColor="text1" w:val="000000"/>
                <w:szCs w:val="21"/>
              </w:rPr>
              <w:t>177,700</w:t>
            </w:r>
          </w:p>
        </w:tc>
        <w:tc>
          <w:tcPr>
            <w:vAlign w:val="center"/>
          </w:tcPr>
          <w:p>
            <w:pPr>
              <w:jc w:val="right"/>
            </w:pPr>
            <w:r>
              <w:rPr>
                <w:rFonts w:eastAsiaTheme="minorEastAsia"/>
                <w:color w:themeColor="text1" w:val="000000"/>
                <w:szCs w:val="21"/>
              </w:rPr>
              <w:t>18,679,824.00</w:t>
            </w:r>
          </w:p>
        </w:tc>
        <w:tc>
          <w:tcPr>
            <w:vAlign w:val="center"/>
          </w:tcPr>
          <w:p>
            <w:pPr>
              <w:jc w:val="right"/>
            </w:pPr>
            <w:r>
              <w:rPr>
                <w:rFonts w:eastAsiaTheme="minorEastAsia"/>
                <w:color w:themeColor="text1" w:val="000000"/>
                <w:szCs w:val="21"/>
              </w:rPr>
              <w:t>8.50</w:t>
            </w:r>
          </w:p>
        </w:tc>
      </w:tr>
    </w:tbl>
    <w:p w:rsidP="00032164"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80" w:name="_Toc361324885"/>
      <w:r w:rsidRPr="00B71057">
        <w:rPr>
          <w:rFonts w:ascii="Times New Roman" w:eastAsiaTheme="minorEastAsia" w:hAnsi="Times New Roman"/>
          <w:color w:themeColor="text1" w:val="000000"/>
          <w:kern w:val="0"/>
          <w:sz w:val="21"/>
          <w:szCs w:val="21"/>
        </w:rPr>
        <w:t>8.7</w:t>
      </w:r>
      <w:r w:rsidR="008A0029" w:rsidRPr="00B71057">
        <w:rPr>
          <w:rFonts w:ascii="Times New Roman" w:eastAsiaTheme="minorEastAsia" w:hAnsi="Times New Roman"/>
          <w:color w:themeColor="text1" w:val="000000"/>
          <w:kern w:val="0"/>
          <w:sz w:val="21"/>
          <w:szCs w:val="21"/>
        </w:rPr>
        <w:t xml:space="preserve"> </w:t>
      </w:r>
      <w:r w:rsidR="006B39E7" w:rsidRPr="00B71057">
        <w:rPr>
          <w:rFonts w:ascii="Times New Roman" w:eastAsiaTheme="minorEastAsia" w:hAnsi="Times New Roman"/>
          <w:color w:themeColor="text1" w:val="000000"/>
          <w:kern w:val="0"/>
          <w:sz w:val="21"/>
          <w:szCs w:val="21"/>
        </w:rPr>
        <w:t>期末按公允价值占基金资产净值比例大小</w:t>
      </w:r>
      <w:r w:rsidR="00AD5AF0" w:rsidRPr="00B71057">
        <w:rPr>
          <w:rFonts w:ascii="Times New Roman" w:eastAsiaTheme="minorEastAsia" w:hAnsi="Times New Roman"/>
          <w:color w:themeColor="text1" w:val="000000"/>
          <w:kern w:val="0"/>
          <w:sz w:val="21"/>
          <w:szCs w:val="21"/>
        </w:rPr>
        <w:t>排序</w:t>
      </w:r>
      <w:r w:rsidR="006B39E7" w:rsidRPr="00B71057">
        <w:rPr>
          <w:rFonts w:ascii="Times New Roman" w:eastAsiaTheme="minorEastAsia" w:hAnsi="Times New Roman"/>
          <w:color w:themeColor="text1" w:val="000000"/>
          <w:kern w:val="0"/>
          <w:sz w:val="21"/>
          <w:szCs w:val="21"/>
        </w:rPr>
        <w:t>的前十名</w:t>
      </w:r>
      <w:r w:rsidRPr="00B71057">
        <w:rPr>
          <w:rFonts w:ascii="Times New Roman" w:eastAsiaTheme="minorEastAsia" w:hAnsi="Times New Roman"/>
          <w:color w:themeColor="text1" w:val="000000"/>
          <w:kern w:val="0"/>
          <w:sz w:val="21"/>
          <w:szCs w:val="21"/>
        </w:rPr>
        <w:t>资产支持证券投资明细</w:t>
      </w:r>
      <w:bookmarkEnd w:id="80"/>
    </w:p>
    <w:p w:rsidP="00032164" w:rsidR="001A59F9" w:rsidRDefault="001A59F9" w:rsidRPr="00B71057">
      <w:pPr>
        <w:autoSpaceDE w:val="0"/>
        <w:autoSpaceDN w:val="0"/>
        <w:adjustRightInd w:val="0"/>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报告期末本基金未持有资产支持证券。</w:t>
      </w:r>
    </w:p>
    <w:p w:rsidP="00032164" w:rsidR="00B73D49" w:rsidRDefault="00B73D49" w:rsidRPr="00B71057">
      <w:pPr>
        <w:pStyle w:val="20"/>
        <w:spacing w:after="0" w:before="312" w:beforeLines="100"/>
        <w:rPr>
          <w:rFonts w:ascii="Times New Roman" w:eastAsiaTheme="minorEastAsia" w:hAnsi="Times New Roman"/>
          <w:color w:themeColor="text1" w:val="000000"/>
          <w:kern w:val="0"/>
          <w:sz w:val="21"/>
          <w:szCs w:val="21"/>
        </w:rPr>
      </w:pPr>
      <w:r w:rsidRPr="00B71057">
        <w:rPr>
          <w:rFonts w:ascii="Times New Roman" w:eastAsiaTheme="minorEastAsia" w:hAnsi="Times New Roman"/>
          <w:color w:themeColor="text1" w:val="000000"/>
          <w:kern w:val="0"/>
          <w:sz w:val="21"/>
          <w:szCs w:val="21"/>
        </w:rPr>
        <w:t xml:space="preserve">8.8 </w:t>
      </w:r>
      <w:r w:rsidRPr="00B71057">
        <w:rPr>
          <w:rFonts w:ascii="Times New Roman" w:eastAsiaTheme="minorEastAsia" w:hAnsi="Times New Roman"/>
          <w:color w:themeColor="text1" w:val="000000"/>
          <w:kern w:val="0"/>
          <w:sz w:val="21"/>
          <w:szCs w:val="21"/>
        </w:rPr>
        <w:t>报告期末按公允价值占基金资产净值比例大小排序的前五名贵金属投资明细</w:t>
      </w:r>
    </w:p>
    <w:p w:rsidP="00032164" w:rsidR="00B73D49" w:rsidRDefault="00B73D49" w:rsidRPr="00B71057">
      <w:pPr>
        <w:widowControl/>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本基金本报告期末未持有贵金属。</w:t>
      </w:r>
    </w:p>
    <w:p w:rsidP="00032164" w:rsidR="001A59F9" w:rsidRDefault="001A59F9" w:rsidRPr="00B71057">
      <w:pPr>
        <w:pStyle w:val="20"/>
        <w:spacing w:after="0" w:before="312" w:beforeLines="100"/>
        <w:rPr>
          <w:rFonts w:ascii="Times New Roman" w:eastAsiaTheme="minorEastAsia" w:hAnsi="Times New Roman"/>
          <w:color w:themeColor="text1" w:val="000000"/>
          <w:kern w:val="0"/>
          <w:sz w:val="21"/>
          <w:szCs w:val="21"/>
        </w:rPr>
      </w:pPr>
      <w:bookmarkStart w:id="81" w:name="_Toc361324886"/>
      <w:r w:rsidRPr="00B71057">
        <w:rPr>
          <w:rFonts w:ascii="Times New Roman" w:eastAsiaTheme="minorEastAsia" w:hAnsi="Times New Roman"/>
          <w:color w:themeColor="text1" w:val="000000"/>
          <w:kern w:val="0"/>
          <w:sz w:val="21"/>
          <w:szCs w:val="21"/>
        </w:rPr>
        <w:t>8.9</w:t>
      </w:r>
      <w:r w:rsidR="008A0029" w:rsidRPr="00B71057">
        <w:rPr>
          <w:rFonts w:ascii="Times New Roman" w:eastAsiaTheme="minorEastAsia" w:hAnsi="Times New Roman"/>
          <w:color w:themeColor="text1" w:val="000000"/>
          <w:kern w:val="0"/>
          <w:sz w:val="21"/>
          <w:szCs w:val="21"/>
        </w:rPr>
        <w:t xml:space="preserve"> </w:t>
      </w:r>
      <w:r w:rsidRPr="00B71057">
        <w:rPr>
          <w:rFonts w:ascii="Times New Roman" w:eastAsiaTheme="minorEastAsia" w:hAnsi="Times New Roman"/>
          <w:color w:themeColor="text1" w:val="000000"/>
          <w:kern w:val="0"/>
          <w:sz w:val="21"/>
          <w:szCs w:val="21"/>
        </w:rPr>
        <w:t>期末按公允价值占基金资产净值比例大小排</w:t>
      </w:r>
      <w:r w:rsidR="00D742F4" w:rsidRPr="00B71057">
        <w:rPr>
          <w:rFonts w:ascii="Times New Roman" w:eastAsiaTheme="minorEastAsia" w:hAnsi="Times New Roman"/>
          <w:color w:themeColor="text1" w:val="000000"/>
          <w:kern w:val="0"/>
          <w:sz w:val="21"/>
          <w:szCs w:val="21"/>
        </w:rPr>
        <w:t>序</w:t>
      </w:r>
      <w:r w:rsidRPr="00B71057">
        <w:rPr>
          <w:rFonts w:ascii="Times New Roman" w:eastAsiaTheme="minorEastAsia" w:hAnsi="Times New Roman"/>
          <w:color w:themeColor="text1" w:val="000000"/>
          <w:kern w:val="0"/>
          <w:sz w:val="21"/>
          <w:szCs w:val="21"/>
        </w:rPr>
        <w:t>的前五名权证投资明细</w:t>
      </w:r>
      <w:bookmarkEnd w:id="81"/>
    </w:p>
    <w:p w:rsidP="00032164" w:rsidR="001A59F9" w:rsidRDefault="001A59F9" w:rsidRPr="00B71057">
      <w:pPr>
        <w:autoSpaceDE w:val="0"/>
        <w:autoSpaceDN w:val="0"/>
        <w:adjustRightInd w:val="0"/>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本基金本报告期末未持有权证。</w:t>
      </w:r>
    </w:p>
    <w:p w:rsidP="00032164" w:rsidR="005D072B" w:rsidRDefault="005D072B" w:rsidRPr="00B71057">
      <w:pPr>
        <w:pStyle w:val="20"/>
        <w:spacing w:after="0" w:before="312" w:beforeLines="100"/>
        <w:rPr>
          <w:rFonts w:ascii="Times New Roman" w:eastAsiaTheme="minorEastAsia" w:hAnsi="Times New Roman"/>
          <w:color w:themeColor="text1" w:val="000000"/>
          <w:kern w:val="0"/>
          <w:sz w:val="21"/>
          <w:szCs w:val="21"/>
        </w:rPr>
      </w:pPr>
      <w:r w:rsidRPr="00B71057">
        <w:rPr>
          <w:rFonts w:ascii="Times New Roman" w:eastAsiaTheme="minorEastAsia" w:hAnsi="Times New Roman"/>
          <w:color w:themeColor="text1" w:val="000000"/>
          <w:kern w:val="0"/>
          <w:sz w:val="21"/>
          <w:szCs w:val="21"/>
        </w:rPr>
        <w:t xml:space="preserve">8.10 </w:t>
      </w:r>
      <w:r w:rsidRPr="00B71057">
        <w:rPr>
          <w:rFonts w:ascii="Times New Roman" w:eastAsiaTheme="minorEastAsia" w:hAnsi="Times New Roman"/>
          <w:color w:themeColor="text1" w:val="000000"/>
          <w:kern w:val="0"/>
          <w:sz w:val="21"/>
          <w:szCs w:val="21"/>
        </w:rPr>
        <w:t>报告期末本基金投资的股指期货交易情况说明</w:t>
      </w:r>
    </w:p>
    <w:p w:rsidP="00777080" w:rsidR="005D072B" w:rsidRDefault="005D072B" w:rsidRPr="00B71057">
      <w:pPr>
        <w:adjustRightInd w:val="0"/>
        <w:snapToGrid w:val="0"/>
        <w:spacing w:line="360" w:lineRule="auto"/>
        <w:rPr>
          <w:rFonts w:eastAsiaTheme="minorEastAsia"/>
          <w:b/>
          <w:color w:themeColor="text1" w:val="000000"/>
          <w:szCs w:val="21"/>
        </w:rPr>
      </w:pPr>
      <w:r w:rsidRPr="00B71057">
        <w:rPr>
          <w:rFonts w:eastAsiaTheme="minorEastAsia"/>
          <w:b/>
          <w:color w:themeColor="text1" w:val="000000"/>
          <w:szCs w:val="21"/>
        </w:rPr>
        <w:t xml:space="preserve">8.10.1 </w:t>
      </w:r>
      <w:r w:rsidRPr="00B71057">
        <w:rPr>
          <w:rFonts w:eastAsiaTheme="minorEastAsia"/>
          <w:b/>
          <w:color w:themeColor="text1" w:val="000000"/>
          <w:szCs w:val="21"/>
        </w:rPr>
        <w:t>报告期末本基金投资的股指期货持仓和损益明细</w:t>
      </w:r>
    </w:p>
    <w:p w:rsidP="00032164" w:rsidR="005D072B" w:rsidRDefault="005D072B" w:rsidRPr="00B71057">
      <w:pPr>
        <w:autoSpaceDE w:val="0"/>
        <w:autoSpaceDN w:val="0"/>
        <w:adjustRightInd w:val="0"/>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本基金本报告期末未持有股指期货。</w:t>
      </w:r>
    </w:p>
    <w:p w:rsidP="00032164" w:rsidR="005D072B" w:rsidRDefault="005D072B" w:rsidRPr="00B71057">
      <w:pPr>
        <w:adjustRightInd w:val="0"/>
        <w:snapToGrid w:val="0"/>
        <w:spacing w:before="312" w:beforeLines="100" w:line="360" w:lineRule="auto"/>
        <w:rPr>
          <w:rFonts w:eastAsiaTheme="minorEastAsia"/>
          <w:b/>
          <w:color w:themeColor="text1" w:val="000000"/>
          <w:szCs w:val="21"/>
        </w:rPr>
      </w:pPr>
      <w:r w:rsidRPr="00B71057">
        <w:rPr>
          <w:rFonts w:eastAsiaTheme="minorEastAsia"/>
          <w:b/>
          <w:color w:themeColor="text1" w:val="000000"/>
          <w:szCs w:val="21"/>
        </w:rPr>
        <w:t xml:space="preserve">8.10.2 </w:t>
      </w:r>
      <w:r w:rsidRPr="00B71057">
        <w:rPr>
          <w:rFonts w:eastAsiaTheme="minorEastAsia"/>
          <w:b/>
          <w:color w:themeColor="text1" w:val="000000"/>
          <w:szCs w:val="21"/>
        </w:rPr>
        <w:t>本基金投资股指期货的投资政策</w:t>
      </w:r>
    </w:p>
    <w:p w:rsidP="00032164" w:rsidR="005D072B" w:rsidRDefault="005D072B"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本基金合同中尚无股指期货的投资政策。</w:t>
      </w:r>
    </w:p>
    <w:p w:rsidP="00032164" w:rsidR="00FF26CE" w:rsidRDefault="00FF26CE" w:rsidRPr="00B71057">
      <w:pPr>
        <w:pStyle w:val="20"/>
        <w:spacing w:after="0" w:before="312" w:beforeLines="100"/>
        <w:rPr>
          <w:rFonts w:ascii="Times New Roman" w:eastAsiaTheme="minorEastAsia" w:hAnsi="Times New Roman"/>
          <w:color w:themeColor="text1" w:val="000000"/>
          <w:kern w:val="0"/>
          <w:sz w:val="21"/>
          <w:szCs w:val="21"/>
        </w:rPr>
      </w:pPr>
      <w:r w:rsidRPr="00B71057">
        <w:rPr>
          <w:rFonts w:ascii="Times New Roman" w:eastAsiaTheme="minorEastAsia" w:hAnsi="Times New Roman"/>
          <w:color w:themeColor="text1" w:val="000000"/>
          <w:kern w:val="0"/>
          <w:sz w:val="21"/>
          <w:szCs w:val="21"/>
        </w:rPr>
        <w:t>8.11</w:t>
      </w:r>
      <w:r w:rsidRPr="00B71057">
        <w:rPr>
          <w:rFonts w:ascii="Times New Roman" w:eastAsiaTheme="minorEastAsia" w:hAnsi="Times New Roman"/>
          <w:color w:themeColor="text1" w:val="000000"/>
          <w:kern w:val="0"/>
          <w:sz w:val="21"/>
          <w:szCs w:val="21"/>
        </w:rPr>
        <w:t>报告期末本基金投资的国债期货交易情况说明</w:t>
      </w:r>
    </w:p>
    <w:p w:rsidP="00777080" w:rsidR="00FF26CE" w:rsidRDefault="00FF26CE" w:rsidRPr="00B71057">
      <w:pPr>
        <w:adjustRightInd w:val="0"/>
        <w:snapToGrid w:val="0"/>
        <w:spacing w:line="360" w:lineRule="auto"/>
        <w:rPr>
          <w:rFonts w:eastAsiaTheme="minorEastAsia"/>
          <w:b/>
          <w:color w:themeColor="text1" w:val="000000"/>
          <w:szCs w:val="21"/>
        </w:rPr>
      </w:pPr>
      <w:r w:rsidRPr="00B71057">
        <w:rPr>
          <w:rFonts w:eastAsiaTheme="minorEastAsia"/>
          <w:b/>
          <w:color w:themeColor="text1" w:val="000000"/>
          <w:szCs w:val="21"/>
        </w:rPr>
        <w:t xml:space="preserve">8.11.1 </w:t>
      </w:r>
      <w:r w:rsidRPr="00B71057">
        <w:rPr>
          <w:rFonts w:eastAsiaTheme="minorEastAsia"/>
          <w:b/>
          <w:color w:themeColor="text1" w:val="000000"/>
          <w:szCs w:val="21"/>
        </w:rPr>
        <w:t>本期国债期货投资政策</w:t>
      </w:r>
    </w:p>
    <w:p w:rsidP="00777080" w:rsidR="00FF26CE" w:rsidRDefault="00FF26CE"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本基金合同中尚无国债期货的投资政策。</w:t>
      </w:r>
    </w:p>
    <w:p w:rsidP="00777080" w:rsidR="00FF26CE" w:rsidRDefault="00FF26CE" w:rsidRPr="00B71057">
      <w:pPr>
        <w:autoSpaceDE w:val="0"/>
        <w:autoSpaceDN w:val="0"/>
        <w:adjustRightInd w:val="0"/>
        <w:spacing w:line="360" w:lineRule="auto"/>
        <w:jc w:val="left"/>
        <w:rPr>
          <w:rFonts w:eastAsiaTheme="minorEastAsia"/>
          <w:b/>
          <w:color w:themeColor="text1" w:val="000000"/>
          <w:szCs w:val="21"/>
        </w:rPr>
      </w:pPr>
      <w:r w:rsidRPr="00B71057">
        <w:rPr>
          <w:rFonts w:eastAsiaTheme="minorEastAsia"/>
          <w:b/>
          <w:color w:themeColor="text1" w:val="000000"/>
          <w:szCs w:val="21"/>
        </w:rPr>
        <w:t xml:space="preserve">8.11.2 </w:t>
      </w:r>
      <w:r w:rsidRPr="00B71057">
        <w:rPr>
          <w:rFonts w:eastAsiaTheme="minorEastAsia"/>
          <w:b/>
          <w:color w:themeColor="text1" w:val="000000"/>
          <w:szCs w:val="21"/>
        </w:rPr>
        <w:t>报告期末本基金投资的国债期货持仓和损益明细</w:t>
      </w:r>
    </w:p>
    <w:p w:rsidP="00032164" w:rsidR="00FF26CE" w:rsidRDefault="00FF26CE" w:rsidRPr="00B71057">
      <w:pPr>
        <w:widowControl/>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本基金本报告期末未持有国债期货。</w:t>
      </w:r>
    </w:p>
    <w:p w:rsidP="00777080" w:rsidR="00FF26CE" w:rsidRDefault="00FF26CE" w:rsidRPr="00B71057">
      <w:pPr>
        <w:adjustRightInd w:val="0"/>
        <w:snapToGrid w:val="0"/>
        <w:spacing w:line="360" w:lineRule="auto"/>
        <w:jc w:val="left"/>
        <w:rPr>
          <w:rFonts w:eastAsiaTheme="minorEastAsia"/>
          <w:b/>
          <w:color w:themeColor="text1" w:val="000000"/>
          <w:szCs w:val="21"/>
        </w:rPr>
      </w:pPr>
      <w:r w:rsidRPr="00B71057">
        <w:rPr>
          <w:rFonts w:eastAsiaTheme="minorEastAsia"/>
          <w:b/>
          <w:color w:themeColor="text1" w:val="000000"/>
          <w:szCs w:val="21"/>
        </w:rPr>
        <w:t xml:space="preserve">8.11.3 </w:t>
      </w:r>
      <w:r w:rsidRPr="00B71057">
        <w:rPr>
          <w:rFonts w:eastAsiaTheme="minorEastAsia"/>
          <w:b/>
          <w:color w:themeColor="text1" w:val="000000"/>
          <w:szCs w:val="21"/>
        </w:rPr>
        <w:t>本期国债期货投资评价</w:t>
      </w:r>
    </w:p>
    <w:p w:rsidP="00032164" w:rsidR="00FF26CE" w:rsidRDefault="00FF26CE"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本基金本报告期末未持有国债期货。</w:t>
      </w:r>
    </w:p>
    <w:p w:rsidP="00032164" w:rsidR="001A59F9" w:rsidRDefault="00B67021" w:rsidRPr="00B71057">
      <w:pPr>
        <w:pStyle w:val="20"/>
        <w:spacing w:after="0" w:before="312" w:beforeLines="100"/>
        <w:rPr>
          <w:rFonts w:ascii="Times New Roman" w:eastAsiaTheme="minorEastAsia" w:hAnsi="Times New Roman"/>
          <w:color w:themeColor="text1" w:val="000000"/>
          <w:kern w:val="0"/>
          <w:sz w:val="21"/>
          <w:szCs w:val="21"/>
        </w:rPr>
      </w:pPr>
      <w:bookmarkStart w:id="82" w:name="_Toc361324887"/>
      <w:r w:rsidRPr="00B71057">
        <w:rPr>
          <w:rFonts w:ascii="Times New Roman" w:eastAsiaTheme="minorEastAsia" w:hAnsi="Times New Roman"/>
          <w:color w:themeColor="text1" w:val="000000"/>
          <w:kern w:val="0"/>
          <w:sz w:val="21"/>
          <w:szCs w:val="21"/>
        </w:rPr>
        <w:t/>
      </w:r>
      <w:r w:rsidR="001A59F9" w:rsidRPr="00B71057">
        <w:rPr>
          <w:rFonts w:ascii="Times New Roman" w:eastAsiaTheme="minorEastAsia" w:hAnsi="Times New Roman"/>
          <w:color w:themeColor="text1" w:val="000000"/>
          <w:kern w:val="0"/>
          <w:sz w:val="21"/>
          <w:szCs w:val="21"/>
        </w:rPr>
        <w:t xml:space="preserve">8.12 </w:t>
      </w:r>
      <w:r w:rsidR="001A59F9" w:rsidRPr="00B71057">
        <w:rPr>
          <w:rFonts w:ascii="Times New Roman" w:eastAsiaTheme="minorEastAsia" w:hAnsi="Times New Roman"/>
          <w:color w:themeColor="text1" w:val="000000"/>
          <w:kern w:val="0"/>
          <w:sz w:val="21"/>
          <w:szCs w:val="21"/>
        </w:rPr>
        <w:t>投资组合报告附注</w:t>
      </w:r>
      <w:bookmarkEnd w:id="82"/>
    </w:p>
    <w:p w:rsidP="00777080" w:rsidR="001A59F9" w:rsidRDefault="00B67021" w:rsidRPr="00B71057">
      <w:pPr>
        <w:spacing w:line="360" w:lineRule="auto"/>
        <w:rPr>
          <w:rFonts w:eastAsiaTheme="minorEastAsia"/>
          <w:color w:themeColor="text1" w:val="000000"/>
          <w:szCs w:val="21"/>
        </w:rPr>
      </w:pPr>
      <w:r w:rsidRPr="00B71057">
        <w:rPr>
          <w:rFonts w:eastAsiaTheme="minorEastAsia"/>
          <w:color w:themeColor="text1" w:val="000000"/>
          <w:kern w:val="0"/>
          <w:szCs w:val="21"/>
        </w:rPr>
        <w:t/>
      </w:r>
      <w:r w:rsidR="001A59F9" w:rsidRPr="00B71057">
        <w:rPr>
          <w:rFonts w:eastAsiaTheme="minorEastAsia"/>
          <w:color w:themeColor="text1" w:val="000000"/>
          <w:szCs w:val="21"/>
        </w:rPr>
        <w:t>8.12.1本基金投资的前十名证券的发行主体本期没有出现被监管部门立案调查，或在报告编制日前一年内受到公开谴责、处罚的情形。</w:t>
      </w:r>
    </w:p>
    <w:p w:rsidP="00777080" w:rsidR="001A59F9" w:rsidRDefault="00B67021" w:rsidRPr="00B71057">
      <w:pPr>
        <w:spacing w:line="360" w:lineRule="auto"/>
        <w:rPr>
          <w:rFonts w:eastAsiaTheme="minorEastAsia"/>
          <w:color w:themeColor="text1" w:val="000000"/>
          <w:szCs w:val="21"/>
        </w:rPr>
      </w:pPr>
      <w:r w:rsidRPr="00B71057">
        <w:rPr>
          <w:rFonts w:eastAsiaTheme="minorEastAsia"/>
          <w:color w:themeColor="text1" w:val="000000"/>
          <w:kern w:val="0"/>
          <w:szCs w:val="21"/>
        </w:rPr>
        <w:t/>
      </w:r>
      <w:r w:rsidR="001A59F9" w:rsidRPr="00B71057">
        <w:rPr>
          <w:rFonts w:eastAsiaTheme="minorEastAsia"/>
          <w:color w:themeColor="text1" w:val="000000"/>
          <w:szCs w:val="21"/>
        </w:rPr>
        <w:t>8.12.2本报告期，本基金投资的前十名股票没有超出基金合同规定的备选股票库。</w:t>
      </w:r>
    </w:p>
    <w:p w:rsidP="00777080" w:rsidR="001A59F9" w:rsidRDefault="001A59F9" w:rsidRPr="00B71057">
      <w:pPr>
        <w:spacing w:line="360" w:lineRule="auto"/>
        <w:rPr>
          <w:rFonts w:eastAsiaTheme="minorEastAsia"/>
          <w:b/>
          <w:bCs/>
          <w:color w:themeColor="text1" w:val="000000"/>
          <w:szCs w:val="21"/>
        </w:rPr>
      </w:pPr>
      <w:r w:rsidRPr="00B71057">
        <w:rPr>
          <w:rFonts w:eastAsiaTheme="minorEastAsia"/>
          <w:b/>
          <w:color w:themeColor="text1" w:val="000000"/>
          <w:szCs w:val="21"/>
        </w:rPr>
        <w:t>8.12.3</w:t>
      </w:r>
      <w:r w:rsidR="008A0029" w:rsidRPr="00B71057">
        <w:rPr>
          <w:rFonts w:eastAsiaTheme="minorEastAsia"/>
          <w:b/>
          <w:color w:themeColor="text1" w:val="000000"/>
          <w:szCs w:val="21"/>
        </w:rPr>
        <w:t xml:space="preserve"> </w:t>
      </w:r>
      <w:r w:rsidRPr="00B71057">
        <w:rPr>
          <w:rFonts w:eastAsiaTheme="minorEastAsia"/>
          <w:b/>
          <w:bCs/>
          <w:color w:themeColor="text1" w:val="000000"/>
          <w:szCs w:val="21"/>
        </w:rPr>
        <w:t>期末其他各项资产构成</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765"/>
        <w:gridCol w:w="4117"/>
        <w:gridCol w:w="4118"/>
      </w:tblGrid>
      <w:tr w:rsidR="00B71057" w:rsidRPr="00B71057" w:rsidTr="006D141C">
        <w:tc>
          <w:tcPr>
            <w:tcW w:type="dxa" w:w="765"/>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序号</w:t>
            </w:r>
          </w:p>
        </w:tc>
        <w:tc>
          <w:tcPr>
            <w:tcW w:type="dxa" w:w="4117"/>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名称</w:t>
            </w:r>
            <w:r w:rsidRPr="00B71057">
              <w:rPr>
                <w:rFonts w:eastAsiaTheme="minorEastAsia"/>
                <w:color w:themeColor="text1" w:val="000000"/>
                <w:szCs w:val="21"/>
              </w:rPr>
              <w:t/>
            </w:r>
          </w:p>
        </w:tc>
        <w:tc>
          <w:tcPr>
            <w:tcW w:type="dxa" w:w="4118"/>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金额</w:t>
            </w:r>
          </w:p>
        </w:tc>
      </w:tr>
      <w:tr w:rsidR="00B71057" w:rsidRPr="00B71057" w:rsidTr="006D141C">
        <w:tc>
          <w:tcPr>
            <w:tcW w:type="dxa" w:w="765"/>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1</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存出保证金</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2,072.17</w:t>
            </w:r>
          </w:p>
        </w:tc>
      </w:tr>
      <w:tr w:rsidR="00B71057" w:rsidRPr="00B71057" w:rsidTr="006D141C">
        <w:tc>
          <w:tcPr>
            <w:tcW w:type="dxa" w:w="765"/>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2</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应收证券清算款</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6D141C">
        <w:tc>
          <w:tcPr>
            <w:tcW w:type="dxa" w:w="765"/>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3</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应收股利</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6D141C">
        <w:tc>
          <w:tcPr>
            <w:tcW w:type="dxa" w:w="765"/>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4</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应收利息</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7,130,725.74</w:t>
            </w:r>
          </w:p>
        </w:tc>
      </w:tr>
      <w:tr w:rsidR="00B71057" w:rsidRPr="00B71057" w:rsidTr="006D141C">
        <w:tc>
          <w:tcPr>
            <w:tcW w:type="dxa" w:w="765"/>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5</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应收申购款</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6D141C">
        <w:tc>
          <w:tcPr>
            <w:tcW w:type="dxa" w:w="765"/>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6</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其他应收款</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6D141C">
        <w:tc>
          <w:tcPr>
            <w:tcW w:type="dxa" w:w="765"/>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7</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待摊费用</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6D141C">
        <w:tc>
          <w:tcPr>
            <w:tcW w:type="dxa" w:w="765"/>
            <w:vAlign w:val="center"/>
          </w:tcPr>
          <w:p w:rsidP="00026C9C" w:rsidR="001A59F9" w:rsidRDefault="001A59F9" w:rsidRPr="00B71057">
            <w:pPr>
              <w:autoSpaceDE w:val="0"/>
              <w:autoSpaceDN w:val="0"/>
              <w:adjustRightInd w:val="0"/>
              <w:spacing w:before="29" w:line="360" w:lineRule="auto"/>
              <w:ind w:left="15"/>
              <w:jc w:val="center"/>
              <w:rPr>
                <w:rFonts w:eastAsiaTheme="minorEastAsia"/>
                <w:color w:themeColor="text1" w:val="000000"/>
                <w:szCs w:val="21"/>
              </w:rPr>
            </w:pPr>
            <w:r w:rsidRPr="00B71057">
              <w:rPr>
                <w:rFonts w:eastAsiaTheme="minorEastAsia"/>
                <w:color w:themeColor="text1" w:val="000000"/>
                <w:szCs w:val="21"/>
              </w:rPr>
              <w:t>8</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其他</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6D141C">
        <w:tc>
          <w:tcPr>
            <w:tcW w:type="dxa" w:w="765"/>
            <w:vAlign w:val="center"/>
          </w:tcPr>
          <w:p w:rsidP="00026C9C" w:rsidR="001A59F9" w:rsidRDefault="001A59F9" w:rsidRPr="00B71057">
            <w:pPr>
              <w:autoSpaceDE w:val="0"/>
              <w:autoSpaceDN w:val="0"/>
              <w:adjustRightInd w:val="0"/>
              <w:spacing w:before="29" w:line="360" w:lineRule="auto"/>
              <w:ind w:left="15"/>
              <w:jc w:val="center"/>
              <w:rPr>
                <w:rFonts w:eastAsiaTheme="minorEastAsia"/>
                <w:color w:themeColor="text1" w:val="000000"/>
                <w:szCs w:val="21"/>
              </w:rPr>
            </w:pPr>
            <w:r w:rsidRPr="00B71057">
              <w:rPr>
                <w:rFonts w:eastAsiaTheme="minorEastAsia"/>
                <w:color w:themeColor="text1" w:val="000000"/>
                <w:szCs w:val="21"/>
              </w:rPr>
              <w:t>9</w:t>
            </w:r>
          </w:p>
        </w:tc>
        <w:tc>
          <w:tcPr>
            <w:tcW w:type="dxa" w:w="4117"/>
          </w:tcPr>
          <w:p w:rsidP="00026C9C" w:rsidR="001A59F9" w:rsidRDefault="001A59F9" w:rsidRPr="00B71057">
            <w:pPr>
              <w:spacing w:line="360" w:lineRule="auto"/>
              <w:ind w:left="105" w:leftChars="50"/>
              <w:rPr>
                <w:rFonts w:eastAsiaTheme="minorEastAsia"/>
                <w:color w:themeColor="text1" w:val="000000"/>
                <w:szCs w:val="21"/>
              </w:rPr>
            </w:pPr>
            <w:r w:rsidRPr="00B71057">
              <w:rPr>
                <w:rFonts w:eastAsiaTheme="minorEastAsia"/>
                <w:color w:themeColor="text1" w:val="000000"/>
                <w:szCs w:val="21"/>
              </w:rPr>
              <w:t>合计</w:t>
            </w:r>
          </w:p>
        </w:tc>
        <w:tc>
          <w:tcPr>
            <w:tcW w:type="dxa" w:w="4118"/>
            <w:vAlign w:val="center"/>
          </w:tcPr>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7,132,797.91</w:t>
            </w:r>
          </w:p>
        </w:tc>
      </w:tr>
    </w:tbl>
    <w:p w:rsidP="00032164" w:rsidR="001A59F9" w:rsidRDefault="001A59F9" w:rsidRPr="00B71057">
      <w:pPr>
        <w:spacing w:before="312" w:beforeLines="100" w:line="360" w:lineRule="auto"/>
        <w:rPr>
          <w:rFonts w:eastAsiaTheme="minorEastAsia"/>
          <w:b/>
          <w:bCs/>
          <w:color w:themeColor="text1" w:val="000000"/>
          <w:szCs w:val="21"/>
        </w:rPr>
      </w:pPr>
      <w:r w:rsidRPr="00B71057">
        <w:rPr>
          <w:rFonts w:eastAsiaTheme="minorEastAsia"/>
          <w:b/>
          <w:color w:themeColor="text1" w:val="000000"/>
          <w:szCs w:val="21"/>
        </w:rPr>
        <w:t>8.12.4</w:t>
      </w:r>
      <w:r w:rsidR="008A0029" w:rsidRPr="00B71057">
        <w:rPr>
          <w:rFonts w:eastAsiaTheme="minorEastAsia"/>
          <w:b/>
          <w:color w:themeColor="text1" w:val="000000"/>
          <w:szCs w:val="21"/>
        </w:rPr>
        <w:t xml:space="preserve"> </w:t>
      </w:r>
      <w:r w:rsidRPr="00B71057">
        <w:rPr>
          <w:rFonts w:eastAsiaTheme="minorEastAsia"/>
          <w:b/>
          <w:bCs/>
          <w:color w:themeColor="text1" w:val="000000"/>
          <w:szCs w:val="21"/>
        </w:rPr>
        <w:t>期末持有的处于转股期的可转换债券明细</w:t>
      </w:r>
    </w:p>
    <w:p w:rsidP="00026C9C" w:rsidR="001A59F9" w:rsidRDefault="001A59F9" w:rsidRPr="00B71057">
      <w:pPr>
        <w:autoSpaceDE w:val="0"/>
        <w:autoSpaceDN w:val="0"/>
        <w:adjustRightInd w:val="0"/>
        <w:spacing w:before="29" w:line="360" w:lineRule="auto"/>
        <w:ind w:left="15"/>
        <w:jc w:val="right"/>
        <w:rPr>
          <w:rFonts w:eastAsiaTheme="minorEastAsia"/>
          <w:color w:themeColor="text1" w:val="000000"/>
          <w:kern w:val="0"/>
          <w:szCs w:val="21"/>
        </w:rPr>
      </w:pPr>
      <w:r w:rsidRPr="00B71057">
        <w:rPr>
          <w:rFonts w:eastAsiaTheme="minorEastAsia"/>
          <w:color w:themeColor="text1" w:val="000000"/>
          <w:szCs w:val="21"/>
        </w:rPr>
        <w:t/>
      </w:r>
      <w:r w:rsidRPr="00B71057">
        <w:rPr>
          <w:rFonts w:eastAsiaTheme="minorEastAsia"/>
          <w:color w:themeColor="text1" w:val="000000"/>
          <w:szCs w:val="21"/>
        </w:rPr>
        <w:t>金额单位：人民币元</w:t>
      </w:r>
    </w:p>
    <w:tbl>
      <w:tblPr>
        <w:tblW w:type="auto" w:w="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1808"/>
        <w:gridCol w:w="1729"/>
        <w:gridCol w:w="1658"/>
        <w:gridCol w:w="2224"/>
        <w:gridCol w:w="1746"/>
      </w:tblGrid>
      <w:tr w:rsidR="00B71057" w:rsidRPr="00B71057" w:rsidTr="00032164">
        <w:tc>
          <w:tcPr>
            <w:tcW w:type="dxa" w:w="1808"/>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序号</w:t>
            </w:r>
          </w:p>
        </w:tc>
        <w:tc>
          <w:tcPr>
            <w:tcW w:type="dxa" w:w="1729"/>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债券代码</w:t>
            </w:r>
          </w:p>
        </w:tc>
        <w:tc>
          <w:tcPr>
            <w:tcW w:type="dxa" w:w="1658"/>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债券名称</w:t>
            </w:r>
          </w:p>
        </w:tc>
        <w:tc>
          <w:tcPr>
            <w:tcW w:type="dxa" w:w="2224"/>
            <w:vAlign w:val="center"/>
          </w:tcPr>
          <w:p w:rsidP="0071671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公允价值</w:t>
            </w:r>
          </w:p>
        </w:tc>
        <w:tc>
          <w:tcPr>
            <w:tcW w:type="dxa" w:w="1746"/>
            <w:vAlign w:val="center"/>
          </w:tcPr>
          <w:p w:rsidP="00026C9C" w:rsidR="001A59F9" w:rsidRDefault="001A59F9" w:rsidRPr="00B71057">
            <w:pPr>
              <w:spacing w:before="29" w:line="360" w:lineRule="auto"/>
              <w:ind w:left="17"/>
              <w:jc w:val="center"/>
              <w:rPr>
                <w:rFonts w:eastAsiaTheme="minorEastAsia"/>
                <w:color w:themeColor="text1" w:val="000000"/>
                <w:szCs w:val="21"/>
              </w:rPr>
            </w:pPr>
            <w:r w:rsidRPr="00B71057">
              <w:rPr>
                <w:rFonts w:eastAsiaTheme="minorEastAsia"/>
                <w:color w:themeColor="text1" w:val="000000"/>
                <w:szCs w:val="21"/>
              </w:rPr>
              <w:t>占基金资产净值比例</w:t>
            </w:r>
            <w:r w:rsidRPr="00B71057">
              <w:rPr>
                <w:rFonts w:eastAsiaTheme="minorEastAsia"/>
                <w:color w:themeColor="text1" w:val="000000"/>
                <w:szCs w:val="21"/>
              </w:rPr>
              <w:t>(%)</w:t>
            </w:r>
          </w:p>
        </w:tc>
      </w:tr>
      <w:tr>
        <w:tc>
          <w:tcPr>
            <w:vAlign w:val="center"/>
          </w:tcPr>
          <w:p>
            <w:pPr>
              <w:jc w:val="center"/>
            </w:pPr>
            <w:r>
              <w:rPr>
                <w:rFonts w:eastAsiaTheme="minorEastAsia"/>
                <w:color w:themeColor="text1" w:val="000000"/>
                <w:szCs w:val="21"/>
              </w:rPr>
              <w:t>1</w:t>
            </w:r>
          </w:p>
        </w:tc>
        <w:tc>
          <w:tcPr>
            <w:vAlign w:val="center"/>
          </w:tcPr>
          <w:p>
            <w:pPr>
              <w:jc w:val="center"/>
            </w:pPr>
            <w:r>
              <w:rPr>
                <w:rFonts w:eastAsiaTheme="minorEastAsia"/>
                <w:color w:themeColor="text1" w:val="000000"/>
                <w:szCs w:val="21"/>
              </w:rPr>
              <w:t>113011</w:t>
            </w:r>
          </w:p>
        </w:tc>
        <w:tc>
          <w:tcPr>
            <w:vAlign w:val="center"/>
          </w:tcPr>
          <w:p>
            <w:pPr>
              <w:jc w:val="center"/>
            </w:pPr>
            <w:r>
              <w:rPr>
                <w:rFonts w:eastAsiaTheme="minorEastAsia"/>
                <w:color w:themeColor="text1" w:val="000000"/>
                <w:szCs w:val="21"/>
              </w:rPr>
              <w:t>光大转债</w:t>
            </w:r>
          </w:p>
        </w:tc>
        <w:tc>
          <w:tcPr>
            <w:vAlign w:val="center"/>
          </w:tcPr>
          <w:p>
            <w:pPr>
              <w:jc w:val="right"/>
            </w:pPr>
            <w:r>
              <w:rPr>
                <w:rFonts w:eastAsiaTheme="minorEastAsia"/>
                <w:color w:themeColor="text1" w:val="000000"/>
                <w:szCs w:val="21"/>
              </w:rPr>
              <w:t>18,679,824.00</w:t>
            </w:r>
          </w:p>
        </w:tc>
        <w:tc>
          <w:tcPr>
            <w:vAlign w:val="center"/>
          </w:tcPr>
          <w:p>
            <w:pPr>
              <w:jc w:val="right"/>
            </w:pPr>
            <w:r>
              <w:rPr>
                <w:rFonts w:eastAsiaTheme="minorEastAsia"/>
                <w:color w:themeColor="text1" w:val="000000"/>
                <w:szCs w:val="21"/>
              </w:rPr>
              <w:t>8.50</w:t>
            </w:r>
          </w:p>
        </w:tc>
      </w:tr>
    </w:tbl>
    <w:p w:rsidP="001D2FAD" w:rsidR="001A59F9" w:rsidRDefault="00A563D1"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83" w:name="_Toc225500050"/>
      <w:bookmarkStart w:id="84" w:name="_Toc361324888"/>
      <w:r w:rsidRPr="00B71057">
        <w:rPr>
          <w:rFonts w:eastAsiaTheme="minorEastAsia"/>
          <w:b/>
          <w:bCs/>
          <w:color w:themeColor="text1" w:val="000000"/>
          <w:sz w:val="21"/>
          <w:szCs w:val="21"/>
          <w:lang w:val="en-US"/>
        </w:rPr>
        <w:t/>
      </w:r>
      <w:r w:rsidR="001A59F9" w:rsidRPr="00B71057">
        <w:rPr>
          <w:rFonts w:eastAsiaTheme="minorEastAsia"/>
          <w:b/>
          <w:bCs/>
          <w:color w:themeColor="text1" w:val="000000"/>
          <w:sz w:val="21"/>
          <w:szCs w:val="21"/>
          <w:lang w:val="en-US"/>
        </w:rPr>
        <w:t>§9</w:t>
      </w:r>
      <w:r w:rsidR="009153A3" w:rsidRPr="00B71057">
        <w:rPr>
          <w:rFonts w:eastAsiaTheme="minorEastAsia"/>
          <w:b/>
          <w:bCs/>
          <w:color w:themeColor="text1" w:val="000000"/>
          <w:sz w:val="21"/>
          <w:szCs w:val="21"/>
          <w:lang w:val="en-US"/>
        </w:rPr>
        <w:t xml:space="preserve">  </w:t>
      </w:r>
      <w:r w:rsidR="001A59F9" w:rsidRPr="00B71057">
        <w:rPr>
          <w:rFonts w:eastAsiaTheme="minorEastAsia"/>
          <w:b/>
          <w:bCs/>
          <w:color w:themeColor="text1" w:val="000000"/>
          <w:sz w:val="21"/>
          <w:szCs w:val="21"/>
          <w:lang w:val="en-US"/>
        </w:rPr>
        <w:t>基金份额持有人信息</w:t>
      </w:r>
      <w:bookmarkEnd w:id="83"/>
      <w:bookmarkEnd w:id="84"/>
    </w:p>
    <w:p w:rsidP="005E19B4" w:rsidR="001A59F9" w:rsidRDefault="00A563D1" w:rsidRPr="00B71057">
      <w:pPr>
        <w:pStyle w:val="20"/>
        <w:spacing w:after="0" w:before="0"/>
        <w:rPr>
          <w:rFonts w:ascii="Times New Roman" w:eastAsiaTheme="minorEastAsia" w:hAnsi="Times New Roman"/>
          <w:color w:themeColor="text1" w:val="000000"/>
          <w:kern w:val="0"/>
          <w:sz w:val="21"/>
          <w:szCs w:val="21"/>
        </w:rPr>
      </w:pPr>
      <w:bookmarkStart w:id="85" w:name="_Toc225500051"/>
      <w:bookmarkStart w:id="86" w:name="_Toc361324889"/>
      <w:r w:rsidRPr="00B71057">
        <w:rPr>
          <w:rFonts w:ascii="Times New Roman" w:eastAsiaTheme="minorEastAsia" w:hAnsi="Times New Roman"/>
          <w:color w:themeColor="text1" w:val="000000"/>
          <w:kern w:val="0"/>
          <w:sz w:val="21"/>
          <w:szCs w:val="21"/>
        </w:rPr>
        <w:t/>
      </w:r>
      <w:r w:rsidR="001A59F9" w:rsidRPr="00B71057">
        <w:rPr>
          <w:rFonts w:ascii="Times New Roman" w:eastAsiaTheme="minorEastAsia" w:hAnsi="Times New Roman"/>
          <w:color w:themeColor="text1" w:val="000000"/>
          <w:kern w:val="0"/>
          <w:sz w:val="21"/>
          <w:szCs w:val="21"/>
        </w:rPr>
        <w:t xml:space="preserve">9.1 </w:t>
      </w:r>
      <w:r w:rsidR="001A59F9" w:rsidRPr="00B71057">
        <w:rPr>
          <w:rFonts w:ascii="Times New Roman" w:eastAsiaTheme="minorEastAsia" w:hAnsi="Times New Roman"/>
          <w:color w:themeColor="text1" w:val="000000"/>
          <w:kern w:val="0"/>
          <w:sz w:val="21"/>
          <w:szCs w:val="21"/>
        </w:rPr>
        <w:t>期末基金份额持有人户数及持有人结构</w:t>
      </w:r>
      <w:bookmarkEnd w:id="85"/>
      <w:bookmarkEnd w:id="86"/>
    </w:p>
    <w:p w:rsidP="00BA5C43" w:rsidR="00BA5C43" w:rsidRDefault="00BA5C43" w:rsidRPr="00B71057">
      <w:pPr>
        <w:autoSpaceDE w:val="0"/>
        <w:autoSpaceDN w:val="0"/>
        <w:adjustRightInd w:val="0"/>
        <w:spacing w:before="29" w:line="360" w:lineRule="auto"/>
        <w:ind w:left="15"/>
        <w:jc w:val="right"/>
        <w:rPr>
          <w:rFonts w:eastAsiaTheme="minorEastAsia"/>
          <w:color w:themeColor="text1" w:val="000000"/>
          <w:szCs w:val="21"/>
        </w:rPr>
      </w:pPr>
      <w:r w:rsidRPr="00B71057">
        <w:rPr>
          <w:rFonts w:eastAsiaTheme="minorEastAsia"/>
          <w:color w:themeColor="text1" w:val="000000"/>
          <w:szCs w:val="21"/>
        </w:rPr>
        <w:t/>
      </w:r>
      <w:r w:rsidRPr="00B71057">
        <w:rPr>
          <w:rFonts w:eastAsiaTheme="minorEastAsia"/>
          <w:color w:themeColor="text1" w:val="000000"/>
          <w:szCs w:val="21"/>
        </w:rPr>
        <w:t>份额单位：份</w:t>
      </w:r>
    </w:p>
    <w:p w:rsidP="00BA5C43" w:rsidR="00BA5C43" w:rsidRDefault="00BA5C43" w:rsidRPr="00B71057">
      <w:pPr>
        <w:autoSpaceDE w:val="0"/>
        <w:autoSpaceDN w:val="0"/>
        <w:adjustRightInd w:val="0"/>
        <w:spacing w:line="360" w:lineRule="auto"/>
        <w:jc w:val="left"/>
        <w:rPr>
          <w:rFonts w:eastAsiaTheme="minorEastAsia"/>
          <w:color w:themeColor="text1" w:val="000000"/>
          <w:szCs w:val="21"/>
        </w:rPr>
      </w:pPr>
    </w:p>
    <w:tbl>
      <w:tblPr>
        <w:tblW w:type="pct" w:w="5000"/>
        <w:tblInd w:type="dxa" w:w="108"/>
        <w:tblLayout w:type="fixed"/>
        <w:tblLook w:firstColumn="1" w:firstRow="1" w:lastColumn="0" w:lastRow="0" w:noHBand="0" w:noVBand="0" w:val="00A0"/>
      </w:tblPr>
      <w:tblGrid>
        <w:gridCol w:w="1790"/>
        <w:gridCol w:w="1176"/>
        <w:gridCol w:w="1278"/>
        <w:gridCol w:w="1534"/>
        <w:gridCol w:w="986"/>
        <w:gridCol w:w="1566"/>
        <w:gridCol w:w="956"/>
      </w:tblGrid>
      <w:tr w:rsidR="00B71057" w:rsidRPr="00B71057" w:rsidTr="00BC1826">
        <w:tc>
          <w:tcPr>
            <w:tcW w:type="pct" w:w="964"/>
            <w:vMerge w:val="restart"/>
            <w:tcBorders>
              <w:top w:color="000000" w:space="0" w:sz="8" w:val="single"/>
              <w:left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color w:themeColor="text1" w:val="000000"/>
                <w:szCs w:val="21"/>
              </w:rPr>
              <w:t>份额级别</w:t>
            </w:r>
            <w:r w:rsidRPr="00B71057">
              <w:rPr>
                <w:rFonts w:eastAsiaTheme="minorEastAsia"/>
                <w:color w:themeColor="text1" w:val="000000"/>
                <w:szCs w:val="21"/>
              </w:rPr>
              <w:t/>
            </w:r>
            <w:r w:rsidRPr="00B71057">
              <w:rPr>
                <w:rFonts w:eastAsiaTheme="minorEastAsia"/>
                <w:bCs/>
                <w:color w:themeColor="text1" w:val="000000"/>
                <w:szCs w:val="21"/>
              </w:rPr>
              <w:t/>
            </w:r>
            <w:r w:rsidRPr="00B71057">
              <w:rPr>
                <w:rFonts w:eastAsiaTheme="minorEastAsia"/>
                <w:color w:themeColor="text1" w:val="000000"/>
                <w:szCs w:val="21"/>
              </w:rPr>
              <w:t/>
            </w:r>
            <w:r w:rsidRPr="00B71057">
              <w:rPr>
                <w:rFonts w:eastAsiaTheme="minorEastAsia"/>
                <w:bCs/>
                <w:color w:themeColor="text1" w:val="000000"/>
                <w:szCs w:val="21"/>
              </w:rPr>
              <w:t/>
            </w:r>
          </w:p>
        </w:tc>
        <w:tc>
          <w:tcPr>
            <w:tcW w:type="pct" w:w="633"/>
            <w:vMerge w:val="restart"/>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持有人户数</w:t>
            </w:r>
            <w:r w:rsidRPr="00B71057">
              <w:rPr>
                <w:rFonts w:eastAsiaTheme="minorEastAsia"/>
                <w:bCs/>
                <w:color w:themeColor="text1" w:val="000000"/>
                <w:szCs w:val="21"/>
              </w:rPr>
              <w:t>(</w:t>
            </w:r>
            <w:r w:rsidRPr="00B71057">
              <w:rPr>
                <w:rFonts w:eastAsiaTheme="minorEastAsia"/>
                <w:bCs/>
                <w:color w:themeColor="text1" w:val="000000"/>
                <w:szCs w:val="21"/>
              </w:rPr>
              <w:t>户</w:t>
            </w:r>
            <w:r w:rsidRPr="00B71057">
              <w:rPr>
                <w:rFonts w:eastAsiaTheme="minorEastAsia"/>
                <w:bCs/>
                <w:color w:themeColor="text1" w:val="000000"/>
                <w:szCs w:val="21"/>
              </w:rPr>
              <w:t>)</w:t>
            </w:r>
          </w:p>
        </w:tc>
        <w:tc>
          <w:tcPr>
            <w:tcW w:type="pct" w:w="688"/>
            <w:vMerge w:val="restart"/>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户均持有的基金份额</w:t>
            </w:r>
          </w:p>
        </w:tc>
        <w:tc>
          <w:tcPr>
            <w:tcW w:type="pct" w:w="2715"/>
            <w:gridSpan w:val="4"/>
            <w:tcBorders>
              <w:top w:color="000000" w:space="0" w:sz="8" w:val="single"/>
              <w:left w:color="000000" w:space="0" w:sz="8" w:val="single"/>
              <w:bottom w:color="000000" w:space="0" w:sz="8" w:val="single"/>
              <w:right w:color="auto" w:space="0" w:sz="4"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持有人结构</w:t>
            </w:r>
          </w:p>
        </w:tc>
      </w:tr>
      <w:tr w:rsidR="00B71057" w:rsidRPr="00B71057" w:rsidTr="00BC1826">
        <w:tc>
          <w:tcPr>
            <w:tcW w:type="pct" w:w="964"/>
            <w:vMerge/>
            <w:tcBorders>
              <w:left w:color="000000" w:space="0" w:sz="8" w:val="single"/>
              <w:right w:color="000000" w:space="0" w:sz="8" w:val="single"/>
            </w:tcBorders>
          </w:tcPr>
          <w:p w:rsidP="00C92A7B" w:rsidR="00BA5C43" w:rsidRDefault="00BA5C43" w:rsidRPr="00B71057">
            <w:pPr>
              <w:widowControl/>
              <w:spacing w:line="360" w:lineRule="auto"/>
              <w:jc w:val="left"/>
              <w:rPr>
                <w:rFonts w:eastAsiaTheme="minorEastAsia"/>
                <w:bCs/>
                <w:color w:themeColor="text1" w:val="000000"/>
                <w:szCs w:val="21"/>
              </w:rPr>
            </w:pPr>
          </w:p>
        </w:tc>
        <w:tc>
          <w:tcPr>
            <w:tcW w:type="pct" w:w="633"/>
            <w:vMerge/>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widowControl/>
              <w:spacing w:line="360" w:lineRule="auto"/>
              <w:jc w:val="left"/>
              <w:rPr>
                <w:rFonts w:eastAsiaTheme="minorEastAsia"/>
                <w:bCs/>
                <w:color w:themeColor="text1" w:val="000000"/>
                <w:szCs w:val="21"/>
              </w:rPr>
            </w:pPr>
          </w:p>
        </w:tc>
        <w:tc>
          <w:tcPr>
            <w:tcW w:type="pct" w:w="688"/>
            <w:vMerge/>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widowControl/>
              <w:spacing w:line="360" w:lineRule="auto"/>
              <w:jc w:val="left"/>
              <w:rPr>
                <w:rFonts w:eastAsiaTheme="minorEastAsia"/>
                <w:bCs/>
                <w:color w:themeColor="text1" w:val="000000"/>
                <w:szCs w:val="21"/>
              </w:rPr>
            </w:pPr>
          </w:p>
        </w:tc>
        <w:tc>
          <w:tcPr>
            <w:tcW w:type="pct" w:w="1357"/>
            <w:gridSpan w:val="2"/>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机构投资者</w:t>
            </w:r>
          </w:p>
        </w:tc>
        <w:tc>
          <w:tcPr>
            <w:tcW w:type="pct" w:w="1358"/>
            <w:gridSpan w:val="2"/>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个人投资者</w:t>
            </w:r>
          </w:p>
        </w:tc>
      </w:tr>
      <w:tr w:rsidR="00B71057" w:rsidRPr="00B71057" w:rsidTr="00BC1826">
        <w:tc>
          <w:tcPr>
            <w:tcW w:type="pct" w:w="964"/>
            <w:vMerge/>
            <w:tcBorders>
              <w:left w:color="000000" w:space="0" w:sz="8" w:val="single"/>
              <w:bottom w:color="000000" w:space="0" w:sz="8" w:val="single"/>
              <w:right w:color="000000" w:space="0" w:sz="8" w:val="single"/>
            </w:tcBorders>
          </w:tcPr>
          <w:p w:rsidP="00C92A7B" w:rsidR="00BA5C43" w:rsidRDefault="00BA5C43" w:rsidRPr="00B71057">
            <w:pPr>
              <w:widowControl/>
              <w:spacing w:line="360" w:lineRule="auto"/>
              <w:jc w:val="left"/>
              <w:rPr>
                <w:rFonts w:eastAsiaTheme="minorEastAsia"/>
                <w:bCs/>
                <w:color w:themeColor="text1" w:val="000000"/>
                <w:szCs w:val="21"/>
              </w:rPr>
            </w:pPr>
          </w:p>
        </w:tc>
        <w:tc>
          <w:tcPr>
            <w:tcW w:type="pct" w:w="633"/>
            <w:vMerge/>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widowControl/>
              <w:spacing w:line="360" w:lineRule="auto"/>
              <w:jc w:val="left"/>
              <w:rPr>
                <w:rFonts w:eastAsiaTheme="minorEastAsia"/>
                <w:bCs/>
                <w:color w:themeColor="text1" w:val="000000"/>
                <w:szCs w:val="21"/>
              </w:rPr>
            </w:pPr>
          </w:p>
        </w:tc>
        <w:tc>
          <w:tcPr>
            <w:tcW w:type="pct" w:w="688"/>
            <w:vMerge/>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widowControl/>
              <w:spacing w:line="360" w:lineRule="auto"/>
              <w:jc w:val="left"/>
              <w:rPr>
                <w:rFonts w:eastAsiaTheme="minorEastAsia"/>
                <w:bCs/>
                <w:color w:themeColor="text1" w:val="000000"/>
                <w:szCs w:val="21"/>
              </w:rPr>
            </w:pPr>
          </w:p>
        </w:tc>
        <w:tc>
          <w:tcPr>
            <w:tcW w:type="pct" w:w="826"/>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持有份额</w:t>
            </w:r>
          </w:p>
        </w:tc>
        <w:tc>
          <w:tcPr>
            <w:tcW w:type="pct" w:w="531"/>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占总份额比例</w:t>
            </w:r>
          </w:p>
        </w:tc>
        <w:tc>
          <w:tcPr>
            <w:tcW w:type="pct" w:w="843"/>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持有份额</w:t>
            </w:r>
          </w:p>
        </w:tc>
        <w:tc>
          <w:tcPr>
            <w:tcW w:type="pct" w:w="515"/>
            <w:tcBorders>
              <w:top w:color="000000" w:space="0" w:sz="8" w:val="single"/>
              <w:left w:color="000000" w:space="0" w:sz="8" w:val="single"/>
              <w:bottom w:color="000000" w:space="0" w:sz="8" w:val="single"/>
              <w:right w:color="auto" w:space="0" w:sz="4"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占总份额比例</w:t>
            </w:r>
          </w:p>
        </w:tc>
      </w:tr>
      <w:tr w:rsidR="00B71057" w:rsidRPr="00B71057" w:rsidTr="00BC1826">
        <w:tc>
          <w:tcPr>
            <w:tcW w:type="pct" w:w="964"/>
            <w:tcBorders>
              <w:left w:color="000000" w:space="0" w:sz="8" w:val="single"/>
              <w:bottom w:color="000000" w:space="0" w:sz="8" w:val="single"/>
              <w:right w:color="000000" w:space="0" w:sz="8" w:val="single"/>
            </w:tcBorders>
          </w:tcPr>
          <w:p w:rsidP="00C92A7B" w:rsidR="00BA5C43" w:rsidRDefault="00BA5C43" w:rsidRPr="00B71057">
            <w:pPr>
              <w:widowControl/>
              <w:spacing w:line="360" w:lineRule="auto"/>
              <w:jc w:val="center"/>
              <w:rPr>
                <w:rFonts w:eastAsiaTheme="minorEastAsia"/>
                <w:bCs/>
                <w:color w:themeColor="text1" w:val="000000"/>
                <w:szCs w:val="21"/>
              </w:rPr>
            </w:pPr>
            <w:r w:rsidRPr="00B71057">
              <w:rPr>
                <w:rFonts w:eastAsiaTheme="minorEastAsia"/>
                <w:bCs/>
                <w:color w:themeColor="text1" w:val="000000"/>
                <w:szCs w:val="21"/>
              </w:rPr>
              <w:t>新华安享惠钰定期开放债券A</w:t>
            </w:r>
          </w:p>
        </w:tc>
        <w:tc>
          <w:tcPr>
            <w:tcW w:type="pct" w:w="633"/>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795</w:t>
            </w:r>
          </w:p>
        </w:tc>
        <w:tc>
          <w:tcPr>
            <w:tcW w:type="pct" w:w="688"/>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245,497.32</w:t>
            </w:r>
          </w:p>
        </w:tc>
        <w:tc>
          <w:tcPr>
            <w:tcW w:type="pct" w:w="826"/>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95,013,660.58</w:t>
            </w:r>
          </w:p>
        </w:tc>
        <w:tc>
          <w:tcPr>
            <w:tcW w:type="pct" w:w="531"/>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48.68%</w:t>
            </w:r>
          </w:p>
        </w:tc>
        <w:tc>
          <w:tcPr>
            <w:tcW w:type="pct" w:w="843"/>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100,156,706.86</w:t>
            </w:r>
          </w:p>
        </w:tc>
        <w:tc>
          <w:tcPr>
            <w:tcW w:type="pct" w:w="515"/>
            <w:tcBorders>
              <w:top w:color="000000" w:space="0" w:sz="8" w:val="single"/>
              <w:left w:color="000000" w:space="0" w:sz="8" w:val="single"/>
              <w:bottom w:color="000000" w:space="0" w:sz="8" w:val="single"/>
              <w:right w:color="auto" w:space="0" w:sz="4"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51.32%</w:t>
            </w:r>
          </w:p>
        </w:tc>
      </w:tr>
      <w:tr w:rsidR="00B71057" w:rsidRPr="00B71057" w:rsidTr="00BC1826">
        <w:tc>
          <w:tcPr>
            <w:tcW w:type="pct" w:w="964"/>
            <w:tcBorders>
              <w:left w:color="000000" w:space="0" w:sz="8" w:val="single"/>
              <w:bottom w:color="000000" w:space="0" w:sz="8" w:val="single"/>
              <w:right w:color="000000" w:space="0" w:sz="8" w:val="single"/>
            </w:tcBorders>
          </w:tcPr>
          <w:p w:rsidP="00C92A7B" w:rsidR="00BA5C43" w:rsidRDefault="00BA5C43" w:rsidRPr="00B71057">
            <w:pPr>
              <w:widowControl/>
              <w:spacing w:line="360" w:lineRule="auto"/>
              <w:jc w:val="center"/>
              <w:rPr>
                <w:rFonts w:eastAsiaTheme="minorEastAsia"/>
                <w:bCs/>
                <w:color w:themeColor="text1" w:val="000000"/>
                <w:szCs w:val="21"/>
              </w:rPr>
            </w:pPr>
            <w:r w:rsidRPr="00B71057">
              <w:rPr>
                <w:rFonts w:eastAsiaTheme="minorEastAsia"/>
                <w:bCs/>
                <w:color w:themeColor="text1" w:val="000000"/>
                <w:szCs w:val="21"/>
              </w:rPr>
              <w:t>新华安享惠钰定期开放债券C</w:t>
            </w:r>
          </w:p>
        </w:tc>
        <w:tc>
          <w:tcPr>
            <w:tcW w:type="pct" w:w="633"/>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188</w:t>
            </w:r>
          </w:p>
        </w:tc>
        <w:tc>
          <w:tcPr>
            <w:tcW w:type="pct" w:w="688"/>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152,337.37</w:t>
            </w:r>
          </w:p>
        </w:tc>
        <w:tc>
          <w:tcPr>
            <w:tcW w:type="pct" w:w="826"/>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10,000,000.00</w:t>
            </w:r>
          </w:p>
        </w:tc>
        <w:tc>
          <w:tcPr>
            <w:tcW w:type="pct" w:w="531"/>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34.92%</w:t>
            </w:r>
          </w:p>
        </w:tc>
        <w:tc>
          <w:tcPr>
            <w:tcW w:type="pct" w:w="843"/>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18,639,425.43</w:t>
            </w:r>
          </w:p>
        </w:tc>
        <w:tc>
          <w:tcPr>
            <w:tcW w:type="pct" w:w="515"/>
            <w:tcBorders>
              <w:top w:color="000000" w:space="0" w:sz="8" w:val="single"/>
              <w:left w:color="000000" w:space="0" w:sz="8" w:val="single"/>
              <w:bottom w:color="000000" w:space="0" w:sz="8" w:val="single"/>
              <w:right w:color="auto" w:space="0" w:sz="4"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65.08%</w:t>
            </w:r>
          </w:p>
        </w:tc>
      </w:tr>
      <w:tr w:rsidR="00B71057" w:rsidRPr="00B71057" w:rsidTr="00BC1826">
        <w:tc>
          <w:tcPr>
            <w:tcW w:type="pct" w:w="964"/>
            <w:tcBorders>
              <w:top w:color="000000" w:space="0" w:sz="8" w:val="single"/>
              <w:left w:color="000000" w:space="0" w:sz="8" w:val="single"/>
              <w:bottom w:color="000000" w:space="0" w:sz="8" w:val="single"/>
              <w:right w:color="000000" w:space="0" w:sz="8" w:val="single"/>
            </w:tcBorders>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合计</w:t>
            </w:r>
          </w:p>
        </w:tc>
        <w:tc>
          <w:tcPr>
            <w:tcW w:type="pct" w:w="633"/>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center"/>
              <w:rPr>
                <w:rFonts w:eastAsiaTheme="minorEastAsia"/>
                <w:bCs/>
                <w:color w:themeColor="text1" w:val="000000"/>
                <w:szCs w:val="21"/>
              </w:rPr>
            </w:pPr>
            <w:r w:rsidRPr="00B71057">
              <w:rPr>
                <w:rFonts w:eastAsiaTheme="minorEastAsia"/>
                <w:bCs/>
                <w:color w:themeColor="text1" w:val="000000"/>
                <w:szCs w:val="21"/>
              </w:rPr>
              <w:t>983</w:t>
            </w:r>
          </w:p>
        </w:tc>
        <w:tc>
          <w:tcPr>
            <w:tcW w:type="pct" w:w="688"/>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227,680.36</w:t>
            </w:r>
          </w:p>
        </w:tc>
        <w:tc>
          <w:tcPr>
            <w:tcW w:type="pct" w:w="826"/>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105,013,660.58</w:t>
            </w:r>
          </w:p>
        </w:tc>
        <w:tc>
          <w:tcPr>
            <w:tcW w:type="pct" w:w="531"/>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46.92%</w:t>
            </w:r>
          </w:p>
        </w:tc>
        <w:tc>
          <w:tcPr>
            <w:tcW w:type="pct" w:w="843"/>
            <w:tcBorders>
              <w:top w:color="000000" w:space="0" w:sz="8" w:val="single"/>
              <w:left w:color="000000" w:space="0" w:sz="8" w:val="single"/>
              <w:bottom w:color="000000" w:space="0" w:sz="8" w:val="single"/>
              <w:right w:color="000000" w:space="0" w:sz="8"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118,796,132.29</w:t>
            </w:r>
          </w:p>
        </w:tc>
        <w:tc>
          <w:tcPr>
            <w:tcW w:type="pct" w:w="515"/>
            <w:tcBorders>
              <w:top w:color="000000" w:space="0" w:sz="8" w:val="single"/>
              <w:left w:color="000000" w:space="0" w:sz="8" w:val="single"/>
              <w:bottom w:color="000000" w:space="0" w:sz="8" w:val="single"/>
              <w:right w:color="auto" w:space="0" w:sz="4" w:val="single"/>
            </w:tcBorders>
            <w:vAlign w:val="center"/>
          </w:tcPr>
          <w:p w:rsidP="00C92A7B" w:rsidR="00BA5C43" w:rsidRDefault="00BA5C43" w:rsidRPr="00B71057">
            <w:pPr>
              <w:spacing w:line="360" w:lineRule="auto"/>
              <w:jc w:val="right"/>
              <w:rPr>
                <w:rFonts w:eastAsiaTheme="minorEastAsia"/>
                <w:bCs/>
                <w:color w:themeColor="text1" w:val="000000"/>
                <w:szCs w:val="21"/>
              </w:rPr>
            </w:pPr>
            <w:r w:rsidRPr="00B71057">
              <w:rPr>
                <w:rFonts w:eastAsiaTheme="minorEastAsia"/>
                <w:bCs/>
                <w:color w:themeColor="text1" w:val="000000"/>
                <w:szCs w:val="21"/>
              </w:rPr>
              <w:t>53.08%</w:t>
            </w:r>
          </w:p>
        </w:tc>
      </w:tr>
    </w:tbl>
    <w:p w:rsidP="00BC1826" w:rsidR="001A59F9" w:rsidRDefault="001A59F9" w:rsidRPr="00B71057">
      <w:pPr>
        <w:pStyle w:val="20"/>
        <w:spacing w:after="0" w:before="312" w:beforeLines="100"/>
        <w:rPr>
          <w:rFonts w:ascii="Times New Roman" w:eastAsiaTheme="minorEastAsia" w:hAnsi="Times New Roman"/>
          <w:color w:themeColor="text1" w:val="000000"/>
          <w:szCs w:val="21"/>
        </w:rPr>
      </w:pPr>
      <w:bookmarkStart w:id="88" w:name="_Toc361324891"/>
      <w:r w:rsidRPr="00B71057">
        <w:rPr>
          <w:rFonts w:ascii="Times New Roman" w:eastAsiaTheme="minorEastAsia" w:hAnsi="Times New Roman"/>
          <w:color w:themeColor="text1" w:val="000000"/>
          <w:kern w:val="0"/>
          <w:sz w:val="21"/>
          <w:szCs w:val="21"/>
        </w:rPr>
        <w:t>9.2</w:t>
      </w:r>
      <w:r w:rsidR="008A0029" w:rsidRPr="00B71057">
        <w:rPr>
          <w:rFonts w:ascii="Times New Roman" w:eastAsiaTheme="minorEastAsia" w:hAnsi="Times New Roman"/>
          <w:color w:themeColor="text1" w:val="000000"/>
          <w:kern w:val="0"/>
          <w:sz w:val="21"/>
          <w:szCs w:val="21"/>
        </w:rPr>
        <w:t xml:space="preserve"> </w:t>
      </w:r>
      <w:r w:rsidRPr="00B71057">
        <w:rPr>
          <w:rFonts w:ascii="Times New Roman" w:eastAsiaTheme="minorEastAsia" w:hAnsi="Times New Roman"/>
          <w:color w:themeColor="text1" w:val="000000"/>
          <w:kern w:val="0"/>
          <w:sz w:val="21"/>
          <w:szCs w:val="21"/>
        </w:rPr>
        <w:t>期末基金管理人的从业人员持有本基金的情况</w:t>
      </w:r>
      <w:bookmarkEnd w:id="88"/>
    </w:p>
    <w:tbl>
      <w:tblPr>
        <w:tblW w:type="dxa" w:w="9615"/>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2839"/>
        <w:gridCol w:w="2421"/>
        <w:gridCol w:w="2161"/>
        <w:gridCol w:w="2194"/>
      </w:tblGrid>
      <w:tr w:rsidR="00B71057" w:rsidRPr="00B71057" w:rsidTr="00BC1826">
        <w:trPr>
          <w:trHeight w:val="285"/>
        </w:trPr>
        <w:tc>
          <w:tcPr>
            <w:tcW w:type="dxa" w:w="2837"/>
            <w:noWrap/>
            <w:vAlign w:val="center"/>
          </w:tcPr>
          <w:p w:rsidP="00026C9C" w:rsidR="001A59F9" w:rsidRDefault="001A59F9" w:rsidRPr="00B71057">
            <w:pPr>
              <w:pStyle w:val="xl33"/>
              <w:widowControl w:val="0"/>
              <w:pBdr>
                <w:left w:color="auto" w:space="0" w:sz="0" w:val="none"/>
                <w:bottom w:color="auto" w:space="0" w:sz="0" w:val="none"/>
                <w:right w:color="auto" w:space="0" w:sz="0" w:val="none"/>
              </w:pBdr>
              <w:spacing w:after="0" w:afterAutospacing="0" w:before="0" w:beforeAutospacing="0" w:line="360" w:lineRule="auto"/>
              <w:jc w:val="center"/>
              <w:rPr>
                <w:rFonts w:ascii="Times New Roman" w:cs="Times New Roman" w:eastAsiaTheme="minorEastAsia" w:hAnsi="Times New Roman"/>
                <w:color w:themeColor="text1" w:val="000000"/>
                <w:kern w:val="2"/>
                <w:sz w:val="21"/>
                <w:szCs w:val="21"/>
              </w:rPr>
            </w:pPr>
            <w:r w:rsidRPr="00B71057">
              <w:rPr>
                <w:rFonts w:ascii="Times New Roman" w:cs="Times New Roman" w:eastAsiaTheme="minorEastAsia" w:hAnsi="Times New Roman"/>
                <w:color w:themeColor="text1" w:val="000000"/>
                <w:kern w:val="2"/>
                <w:sz w:val="21"/>
                <w:szCs w:val="21"/>
              </w:rPr>
              <w:t>项目</w:t>
            </w:r>
            <w:r w:rsidRPr="00B71057">
              <w:rPr>
                <w:rFonts w:ascii="Times New Roman" w:cs="Times New Roman" w:eastAsiaTheme="minorEastAsia" w:hAnsi="Times New Roman"/>
                <w:color w:themeColor="text1" w:val="000000"/>
                <w:kern w:val="2"/>
                <w:sz w:val="21"/>
                <w:szCs w:val="21"/>
              </w:rPr>
              <w:t/>
            </w:r>
          </w:p>
        </w:tc>
        <w:tc>
          <w:tcPr>
            <w:tcW w:type="dxa" w:w="2419"/>
            <w:vAlign w:val="center"/>
          </w:tcPr>
          <w:p w:rsidP="00026C9C" w:rsidR="001A59F9" w:rsidRDefault="001A59F9" w:rsidRPr="00B71057">
            <w:pPr>
              <w:pStyle w:val="xl33"/>
              <w:widowControl w:val="0"/>
              <w:pBdr>
                <w:left w:color="auto" w:space="0" w:sz="0" w:val="none"/>
                <w:bottom w:color="auto" w:space="0" w:sz="0" w:val="none"/>
                <w:right w:color="auto" w:space="0" w:sz="0" w:val="none"/>
              </w:pBdr>
              <w:spacing w:after="0" w:afterAutospacing="0" w:before="0" w:beforeAutospacing="0" w:line="360" w:lineRule="auto"/>
              <w:jc w:val="center"/>
              <w:rPr>
                <w:rFonts w:ascii="Times New Roman" w:cs="Times New Roman" w:eastAsiaTheme="minorEastAsia" w:hAnsi="Times New Roman"/>
                <w:color w:themeColor="text1" w:val="000000"/>
                <w:kern w:val="2"/>
                <w:sz w:val="21"/>
                <w:szCs w:val="21"/>
              </w:rPr>
            </w:pPr>
            <w:r w:rsidRPr="00B71057">
              <w:rPr>
                <w:rFonts w:ascii="Times New Roman" w:cs="Times New Roman" w:eastAsiaTheme="minorEastAsia" w:hAnsi="Times New Roman"/>
                <w:color w:themeColor="text1" w:val="000000"/>
                <w:kern w:val="2"/>
                <w:sz w:val="21"/>
                <w:szCs w:val="21"/>
              </w:rPr>
              <w:t>份额级别</w:t>
            </w:r>
          </w:p>
        </w:tc>
        <w:tc>
          <w:tcPr>
            <w:tcW w:type="dxa" w:w="2160"/>
            <w:noWrap/>
            <w:vAlign w:val="center"/>
          </w:tcPr>
          <w:p w:rsidP="00026C9C" w:rsidR="001A59F9" w:rsidRDefault="001A59F9" w:rsidRPr="00B71057">
            <w:pPr>
              <w:pStyle w:val="xl33"/>
              <w:widowControl w:val="0"/>
              <w:pBdr>
                <w:left w:color="auto" w:space="0" w:sz="0" w:val="none"/>
                <w:bottom w:color="auto" w:space="0" w:sz="0" w:val="none"/>
                <w:right w:color="auto" w:space="0" w:sz="0" w:val="none"/>
              </w:pBdr>
              <w:spacing w:after="0" w:afterAutospacing="0" w:before="0" w:beforeAutospacing="0" w:line="360" w:lineRule="auto"/>
              <w:rPr>
                <w:rFonts w:ascii="Times New Roman" w:cs="Times New Roman" w:eastAsiaTheme="minorEastAsia" w:hAnsi="Times New Roman"/>
                <w:color w:themeColor="text1" w:val="000000"/>
                <w:kern w:val="2"/>
                <w:sz w:val="21"/>
                <w:szCs w:val="21"/>
              </w:rPr>
            </w:pPr>
            <w:r w:rsidRPr="00B71057">
              <w:rPr>
                <w:rFonts w:ascii="Times New Roman" w:cs="Times New Roman" w:eastAsiaTheme="minorEastAsia" w:hAnsi="Times New Roman"/>
                <w:color w:themeColor="text1" w:val="000000"/>
                <w:kern w:val="2"/>
                <w:sz w:val="21"/>
                <w:szCs w:val="21"/>
              </w:rPr>
              <w:t>持有份额总数（份）</w:t>
            </w:r>
          </w:p>
        </w:tc>
        <w:tc>
          <w:tcPr>
            <w:tcW w:type="dxa" w:w="2193"/>
            <w:noWrap/>
            <w:vAlign w:val="center"/>
          </w:tcPr>
          <w:p w:rsidP="00026C9C" w:rsidR="001A59F9" w:rsidRDefault="001A59F9" w:rsidRPr="00B71057">
            <w:pPr>
              <w:pStyle w:val="xl33"/>
              <w:widowControl w:val="0"/>
              <w:pBdr>
                <w:left w:color="auto" w:space="0" w:sz="0" w:val="none"/>
                <w:bottom w:color="auto" w:space="0" w:sz="0" w:val="none"/>
                <w:right w:color="auto" w:space="0" w:sz="0" w:val="none"/>
              </w:pBdr>
              <w:spacing w:after="0" w:afterAutospacing="0" w:before="0" w:beforeAutospacing="0" w:line="360" w:lineRule="auto"/>
              <w:rPr>
                <w:rFonts w:ascii="Times New Roman" w:cs="Times New Roman" w:eastAsiaTheme="minorEastAsia" w:hAnsi="Times New Roman"/>
                <w:color w:themeColor="text1" w:val="000000"/>
                <w:kern w:val="2"/>
                <w:sz w:val="21"/>
                <w:szCs w:val="21"/>
              </w:rPr>
            </w:pPr>
            <w:r w:rsidRPr="00B71057">
              <w:rPr>
                <w:rFonts w:ascii="Times New Roman" w:cs="Times New Roman" w:eastAsiaTheme="minorEastAsia" w:hAnsi="Times New Roman"/>
                <w:color w:themeColor="text1" w:val="000000"/>
                <w:kern w:val="2"/>
                <w:sz w:val="21"/>
                <w:szCs w:val="21"/>
              </w:rPr>
              <w:t>占基金总份额比例</w:t>
            </w:r>
          </w:p>
        </w:tc>
      </w:tr>
      <w:tr w:rsidR="00B71057" w:rsidRPr="00B71057" w:rsidTr="00BC1826">
        <w:trPr>
          <w:trHeight w:val="285"/>
        </w:trPr>
        <w:tc>
          <w:tcPr>
            <w:tcW w:type="dxa" w:w="2837"/>
            <w:vMerge w:val="restart"/>
            <w:noWrap/>
            <w:vAlign w:val="center"/>
          </w:tcPr>
          <w:p w:rsidP="00026C9C" w:rsidR="001A59F9" w:rsidRDefault="001A59F9" w:rsidRPr="00B71057">
            <w:pPr>
              <w:spacing w:line="360" w:lineRule="auto"/>
              <w:rPr>
                <w:rFonts w:eastAsiaTheme="minorEastAsia"/>
                <w:color w:themeColor="text1" w:val="000000"/>
                <w:szCs w:val="21"/>
              </w:rPr>
            </w:pPr>
            <w:r w:rsidRPr="00B71057">
              <w:rPr>
                <w:rFonts w:eastAsiaTheme="minorEastAsia"/>
                <w:color w:themeColor="text1" w:val="000000"/>
                <w:szCs w:val="21"/>
              </w:rPr>
              <w:t>基金管理人所有从业人员持有本基金</w:t>
            </w:r>
            <w:r w:rsidR="00AB37D2" w:rsidRPr="00B71057">
              <w:rPr>
                <w:rFonts w:eastAsiaTheme="minorEastAsia"/>
                <w:bCs/>
                <w:color w:themeColor="text1" w:val="000000"/>
                <w:szCs w:val="21"/>
              </w:rPr>
              <w:t/>
            </w:r>
          </w:p>
        </w:tc>
        <w:tc>
          <w:tcPr>
            <w:tcW w:type="dxa" w:w="2419"/>
            <w:vAlign w:val="center"/>
          </w:tcPr>
          <w:p w:rsidP="00026C9C" w:rsidR="001A59F9" w:rsidRDefault="001A59F9" w:rsidRPr="00B71057">
            <w:pPr>
              <w:spacing w:line="360" w:lineRule="auto"/>
              <w:jc w:val="right"/>
              <w:rPr>
                <w:rFonts w:eastAsiaTheme="minorEastAsia"/>
                <w:color w:themeColor="text1" w:val="000000"/>
                <w:kern w:val="0"/>
                <w:szCs w:val="21"/>
              </w:rPr>
            </w:pPr>
            <w:r w:rsidRPr="00B71057">
              <w:rPr>
                <w:rFonts w:eastAsiaTheme="minorEastAsia"/>
                <w:color w:themeColor="text1" w:val="000000"/>
                <w:szCs w:val="21"/>
              </w:rPr>
              <w:t>新华安享惠钰定期开放债券A</w:t>
            </w:r>
          </w:p>
        </w:tc>
        <w:tc>
          <w:tcPr>
            <w:tcW w:type="dxa" w:w="2160"/>
            <w:noWrap/>
            <w:vAlign w:val="center"/>
          </w:tcPr>
          <w:p w:rsidP="00026C9C" w:rsidR="001A59F9" w:rsidRDefault="001A59F9" w:rsidRPr="00B71057">
            <w:pPr>
              <w:widowControl/>
              <w:spacing w:line="360" w:lineRule="auto"/>
              <w:jc w:val="right"/>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0.00</w:t>
            </w:r>
          </w:p>
        </w:tc>
        <w:tc>
          <w:tcPr>
            <w:tcW w:type="dxa" w:w="2193"/>
            <w:noWrap/>
            <w:vAlign w:val="center"/>
          </w:tcPr>
          <w:p w:rsidP="00026C9C" w:rsidR="001A59F9" w:rsidRDefault="001A59F9" w:rsidRPr="00B71057">
            <w:pPr>
              <w:widowControl/>
              <w:spacing w:line="360" w:lineRule="auto"/>
              <w:jc w:val="right"/>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0.00%</w:t>
            </w:r>
          </w:p>
        </w:tc>
      </w:tr>
      <w:tr w:rsidR="00B71057" w:rsidRPr="00B71057" w:rsidTr="00BC1826">
        <w:trPr>
          <w:trHeight w:val="285"/>
        </w:trPr>
        <w:tc>
          <w:tcPr>
            <w:tcW w:type="dxa" w:w="2837"/>
            <w:vMerge/>
            <w:vAlign w:val="center"/>
          </w:tcPr>
          <w:p w:rsidP="00026C9C" w:rsidR="001A59F9" w:rsidRDefault="001A59F9" w:rsidRPr="00B71057">
            <w:pPr>
              <w:widowControl/>
              <w:spacing w:line="360" w:lineRule="auto"/>
              <w:jc w:val="left"/>
              <w:rPr>
                <w:rFonts w:eastAsiaTheme="minorEastAsia"/>
                <w:color w:themeColor="text1" w:val="000000"/>
                <w:szCs w:val="21"/>
              </w:rPr>
            </w:pPr>
          </w:p>
        </w:tc>
        <w:tc>
          <w:tcPr>
            <w:tcW w:type="dxa" w:w="2419"/>
            <w:vAlign w:val="center"/>
          </w:tcPr>
          <w:p w:rsidP="00026C9C" w:rsidR="001A59F9" w:rsidRDefault="001A59F9" w:rsidRPr="00B71057">
            <w:pPr>
              <w:spacing w:line="360" w:lineRule="auto"/>
              <w:jc w:val="right"/>
              <w:rPr>
                <w:rFonts w:eastAsiaTheme="minorEastAsia"/>
                <w:color w:themeColor="text1" w:val="000000"/>
                <w:kern w:val="0"/>
                <w:szCs w:val="21"/>
              </w:rPr>
            </w:pPr>
            <w:r w:rsidRPr="00B71057">
              <w:rPr>
                <w:rFonts w:eastAsiaTheme="minorEastAsia"/>
                <w:color w:themeColor="text1" w:val="000000"/>
                <w:szCs w:val="21"/>
              </w:rPr>
              <w:t/>
            </w:r>
            <w:r w:rsidR="00465368" w:rsidRPr="00B71057">
              <w:rPr>
                <w:rFonts w:eastAsiaTheme="minorEastAsia"/>
                <w:color w:themeColor="text1" w:val="000000"/>
                <w:szCs w:val="21"/>
              </w:rPr>
              <w:t/>
            </w:r>
            <w:r w:rsidRPr="00B71057">
              <w:rPr>
                <w:rFonts w:eastAsiaTheme="minorEastAsia"/>
                <w:color w:themeColor="text1" w:val="000000"/>
                <w:szCs w:val="21"/>
              </w:rPr>
              <w:t>新华安享惠钰定期开放债券C</w:t>
            </w:r>
          </w:p>
        </w:tc>
        <w:tc>
          <w:tcPr>
            <w:tcW w:type="dxa" w:w="2160"/>
            <w:noWrap/>
            <w:vAlign w:val="center"/>
          </w:tcPr>
          <w:p w:rsidP="00026C9C" w:rsidR="001A59F9" w:rsidRDefault="001A59F9" w:rsidRPr="00B71057">
            <w:pPr>
              <w:widowControl/>
              <w:spacing w:line="360" w:lineRule="auto"/>
              <w:jc w:val="right"/>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
            </w:r>
            <w:r w:rsidR="00465368" w:rsidRPr="00B71057">
              <w:rPr>
                <w:rFonts w:eastAsiaTheme="minorEastAsia"/>
                <w:color w:themeColor="text1" w:val="000000"/>
                <w:szCs w:val="21"/>
              </w:rPr>
              <w:t/>
            </w:r>
            <w:r w:rsidRPr="00B71057">
              <w:rPr>
                <w:rFonts w:eastAsiaTheme="minorEastAsia"/>
                <w:color w:themeColor="text1" w:val="000000"/>
                <w:kern w:val="0"/>
                <w:szCs w:val="21"/>
              </w:rPr>
              <w:t>0.00</w:t>
            </w:r>
          </w:p>
        </w:tc>
        <w:tc>
          <w:tcPr>
            <w:tcW w:type="dxa" w:w="2193"/>
            <w:noWrap/>
            <w:vAlign w:val="center"/>
          </w:tcPr>
          <w:p w:rsidP="00026C9C" w:rsidR="001A59F9" w:rsidRDefault="001A59F9" w:rsidRPr="00B71057">
            <w:pPr>
              <w:widowControl/>
              <w:spacing w:line="360" w:lineRule="auto"/>
              <w:jc w:val="right"/>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
            </w:r>
            <w:r w:rsidR="00465368" w:rsidRPr="00B71057">
              <w:rPr>
                <w:rFonts w:eastAsiaTheme="minorEastAsia"/>
                <w:color w:themeColor="text1" w:val="000000"/>
                <w:szCs w:val="21"/>
              </w:rPr>
              <w:t/>
            </w:r>
            <w:r w:rsidRPr="00B71057">
              <w:rPr>
                <w:rFonts w:eastAsiaTheme="minorEastAsia"/>
                <w:color w:themeColor="text1" w:val="000000"/>
                <w:kern w:val="0"/>
                <w:szCs w:val="21"/>
              </w:rPr>
              <w:t>0.00%</w:t>
            </w:r>
          </w:p>
        </w:tc>
      </w:tr>
      <w:tr w:rsidR="00B71057" w:rsidRPr="00B71057" w:rsidTr="00BC1826">
        <w:trPr>
          <w:trHeight w:val="285"/>
        </w:trPr>
        <w:tc>
          <w:tcPr>
            <w:tcW w:type="dxa" w:w="2837"/>
            <w:vMerge/>
            <w:vAlign w:val="center"/>
          </w:tcPr>
          <w:p w:rsidP="00026C9C" w:rsidR="001A59F9" w:rsidRDefault="001A59F9" w:rsidRPr="00B71057">
            <w:pPr>
              <w:widowControl/>
              <w:spacing w:line="360" w:lineRule="auto"/>
              <w:jc w:val="left"/>
              <w:rPr>
                <w:rFonts w:eastAsiaTheme="minorEastAsia"/>
                <w:color w:themeColor="text1" w:val="000000"/>
                <w:szCs w:val="21"/>
              </w:rPr>
            </w:pPr>
          </w:p>
        </w:tc>
        <w:tc>
          <w:tcPr>
            <w:tcW w:type="dxa" w:w="2419"/>
            <w:vAlign w:val="center"/>
          </w:tcPr>
          <w:p w:rsidP="00026C9C" w:rsidR="001A59F9" w:rsidRDefault="001A59F9" w:rsidRPr="00B71057">
            <w:pPr>
              <w:widowControl/>
              <w:spacing w:line="360" w:lineRule="auto"/>
              <w:jc w:val="center"/>
              <w:rPr>
                <w:rFonts w:eastAsiaTheme="minorEastAsia"/>
                <w:color w:themeColor="text1" w:val="000000"/>
                <w:kern w:val="0"/>
                <w:szCs w:val="21"/>
              </w:rPr>
            </w:pPr>
            <w:r w:rsidRPr="00B71057">
              <w:rPr>
                <w:rFonts w:eastAsiaTheme="minorEastAsia"/>
                <w:color w:themeColor="text1" w:val="000000"/>
                <w:kern w:val="0"/>
                <w:szCs w:val="21"/>
              </w:rPr>
              <w:t>合计</w:t>
            </w:r>
          </w:p>
        </w:tc>
        <w:tc>
          <w:tcPr>
            <w:tcW w:type="dxa" w:w="2160"/>
            <w:noWrap/>
            <w:vAlign w:val="center"/>
          </w:tcPr>
          <w:p w:rsidP="00026C9C" w:rsidR="001A59F9" w:rsidRDefault="001A59F9" w:rsidRPr="00B71057">
            <w:pPr>
              <w:widowControl/>
              <w:spacing w:line="360" w:lineRule="auto"/>
              <w:jc w:val="right"/>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0.00</w:t>
            </w:r>
          </w:p>
        </w:tc>
        <w:tc>
          <w:tcPr>
            <w:tcW w:type="dxa" w:w="2193"/>
            <w:noWrap/>
            <w:vAlign w:val="center"/>
          </w:tcPr>
          <w:p w:rsidP="00026C9C" w:rsidR="001A59F9" w:rsidRDefault="001A59F9" w:rsidRPr="00B71057">
            <w:pPr>
              <w:widowControl/>
              <w:spacing w:line="360" w:lineRule="auto"/>
              <w:jc w:val="right"/>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0.00%</w:t>
            </w:r>
          </w:p>
        </w:tc>
      </w:tr>
    </w:tbl>
    <w:p w:rsidP="00BC1826" w:rsidR="00F23D61" w:rsidRDefault="00F23D61" w:rsidRPr="00B71057">
      <w:pPr>
        <w:pStyle w:val="20"/>
        <w:spacing w:after="0" w:before="312" w:beforeLines="100" w:line="240" w:lineRule="auto"/>
        <w:rPr>
          <w:rFonts w:ascii="Times New Roman" w:eastAsiaTheme="minorEastAsia" w:hAnsi="Times New Roman"/>
          <w:color w:themeColor="text1" w:val="000000"/>
          <w:sz w:val="21"/>
          <w:szCs w:val="21"/>
        </w:rPr>
      </w:pPr>
      <w:r w:rsidRPr="00B71057">
        <w:rPr>
          <w:rFonts w:ascii="Times New Roman" w:eastAsiaTheme="minorEastAsia" w:hAnsi="Times New Roman"/>
          <w:color w:themeColor="text1" w:val="000000"/>
          <w:kern w:val="0"/>
          <w:sz w:val="21"/>
          <w:szCs w:val="21"/>
        </w:rPr>
        <w:t>9.3</w:t>
      </w:r>
      <w:r w:rsidRPr="00B71057">
        <w:rPr>
          <w:rFonts w:ascii="Times New Roman" w:eastAsiaTheme="minorEastAsia" w:hAnsi="Times New Roman"/>
          <w:color w:themeColor="text1" w:val="000000"/>
          <w:sz w:val="21"/>
          <w:szCs w:val="21"/>
        </w:rPr>
        <w:t>期末基金管理人的从业人员持有本开放式基金份额总量区间的情况</w:t>
      </w:r>
    </w:p>
    <w:tbl>
      <w:tblPr>
        <w:tblW w:type="auto" w:w="0"/>
        <w:tblInd w:type="dxa" w:w="108"/>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left w:type="dxa" w:w="0"/>
          <w:right w:type="dxa" w:w="0"/>
        </w:tblCellMar>
        <w:tblLook w:firstColumn="1" w:firstRow="1" w:lastColumn="0" w:lastRow="0" w:noHBand="0" w:noVBand="1" w:val="04A0"/>
      </w:tblPr>
      <w:tblGrid>
        <w:gridCol w:w="2548"/>
        <w:gridCol w:w="2424"/>
        <w:gridCol w:w="4526"/>
      </w:tblGrid>
      <w:tr w:rsidR="00B71057" w:rsidRPr="00B71057" w:rsidTr="00BC1826">
        <w:trPr>
          <w:trHeight w:val="285"/>
        </w:trPr>
        <w:tc>
          <w:tcPr>
            <w:tcW w:type="dxa" w:w="2548"/>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项目</w:t>
            </w:r>
            <w:r w:rsidRPr="00B71057">
              <w:rPr>
                <w:rFonts w:eastAsiaTheme="minorEastAsia"/>
                <w:color w:themeColor="text1" w:val="000000"/>
                <w:szCs w:val="21"/>
              </w:rPr>
              <w:t/>
            </w:r>
          </w:p>
        </w:tc>
        <w:tc>
          <w:tcPr>
            <w:tcW w:type="dxa" w:w="2424"/>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份额级别</w:t>
            </w:r>
          </w:p>
        </w:tc>
        <w:tc>
          <w:tcPr>
            <w:tcW w:type="dxa" w:w="4526"/>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持有基金份额总量的数量区间（万份）</w:t>
            </w:r>
          </w:p>
        </w:tc>
      </w:tr>
      <w:tr w:rsidR="00B71057" w:rsidRPr="00B71057" w:rsidTr="00BC1826">
        <w:trPr>
          <w:trHeight w:val="285"/>
        </w:trPr>
        <w:tc>
          <w:tcPr>
            <w:tcW w:type="dxa" w:w="2548"/>
            <w:vMerge w:val="restart"/>
            <w:shd w:color="auto" w:fill="auto" w:val="clear"/>
            <w:tcMar>
              <w:top w:type="dxa" w:w="0"/>
              <w:left w:type="dxa" w:w="108"/>
              <w:bottom w:type="dxa" w:w="0"/>
              <w:right w:type="dxa" w:w="108"/>
            </w:tcMar>
            <w:vAlign w:val="center"/>
            <w:hideMark/>
          </w:tcPr>
          <w:p w:rsidP="00C92A7B" w:rsidR="00F23D61" w:rsidRDefault="00F23D61" w:rsidRPr="00B71057">
            <w:pPr>
              <w:widowControl/>
              <w:jc w:val="left"/>
              <w:rPr>
                <w:rFonts w:eastAsiaTheme="minorEastAsia"/>
                <w:color w:themeColor="text1" w:val="000000"/>
                <w:kern w:val="0"/>
                <w:szCs w:val="21"/>
              </w:rPr>
            </w:pPr>
            <w:r w:rsidRPr="00B71057">
              <w:rPr>
                <w:rFonts w:eastAsiaTheme="minorEastAsia"/>
                <w:color w:themeColor="text1" w:val="000000"/>
                <w:kern w:val="0"/>
                <w:szCs w:val="21"/>
              </w:rPr>
              <w:t>本公司高级管理人员、基金投资和研究部门负责人持有本开放式基金</w:t>
            </w:r>
          </w:p>
        </w:tc>
        <w:tc>
          <w:tcPr>
            <w:tcW w:type="dxa" w:w="2424"/>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新华安享惠钰定期开放债券A</w:t>
            </w:r>
          </w:p>
        </w:tc>
        <w:tc>
          <w:tcPr>
            <w:tcW w:type="dxa" w:w="4526"/>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w:t>
            </w:r>
          </w:p>
        </w:tc>
      </w:tr>
      <w:tr w:rsidR="00B71057" w:rsidRPr="00B71057" w:rsidTr="00BC1826">
        <w:trPr>
          <w:trHeight w:val="285"/>
        </w:trPr>
        <w:tc>
          <w:tcPr>
            <w:tcW w:type="dxa" w:w="2548"/>
            <w:vMerge/>
            <w:shd w:color="auto" w:fill="auto" w:val="clear"/>
            <w:vAlign w:val="center"/>
            <w:hideMark/>
          </w:tcPr>
          <w:p w:rsidP="00C92A7B" w:rsidR="00F23D61" w:rsidRDefault="00F23D61" w:rsidRPr="00B71057">
            <w:pPr>
              <w:widowControl/>
              <w:jc w:val="left"/>
              <w:rPr>
                <w:rFonts w:eastAsiaTheme="minorEastAsia"/>
                <w:color w:themeColor="text1" w:val="000000"/>
                <w:kern w:val="0"/>
                <w:szCs w:val="21"/>
              </w:rPr>
            </w:pPr>
          </w:p>
        </w:tc>
        <w:tc>
          <w:tcPr>
            <w:tcW w:type="dxa" w:w="2424"/>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新华安享惠钰定期开放债券C</w:t>
            </w:r>
          </w:p>
        </w:tc>
        <w:tc>
          <w:tcPr>
            <w:tcW w:type="dxa" w:w="4526"/>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w:t>
            </w:r>
          </w:p>
        </w:tc>
      </w:tr>
      <w:tr w:rsidR="00B71057" w:rsidRPr="00B71057" w:rsidTr="00BC1826">
        <w:trPr>
          <w:trHeight w:val="285"/>
        </w:trPr>
        <w:tc>
          <w:tcPr>
            <w:tcW w:type="dxa" w:w="2548"/>
            <w:vMerge/>
            <w:shd w:color="auto" w:fill="auto" w:val="clear"/>
            <w:vAlign w:val="center"/>
            <w:hideMark/>
          </w:tcPr>
          <w:p w:rsidP="00C92A7B" w:rsidR="00F23D61" w:rsidRDefault="00F23D61" w:rsidRPr="00B71057">
            <w:pPr>
              <w:widowControl/>
              <w:jc w:val="left"/>
              <w:rPr>
                <w:rFonts w:eastAsiaTheme="minorEastAsia"/>
                <w:color w:themeColor="text1" w:val="000000"/>
                <w:kern w:val="0"/>
                <w:szCs w:val="21"/>
              </w:rPr>
            </w:pPr>
          </w:p>
        </w:tc>
        <w:tc>
          <w:tcPr>
            <w:tcW w:type="dxa" w:w="2424"/>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合计</w:t>
            </w:r>
          </w:p>
        </w:tc>
        <w:tc>
          <w:tcPr>
            <w:tcW w:type="dxa" w:w="4526"/>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0</w:t>
            </w:r>
          </w:p>
        </w:tc>
      </w:tr>
      <w:tr w:rsidR="00B71057" w:rsidRPr="00B71057" w:rsidTr="00BC1826">
        <w:trPr>
          <w:trHeight w:val="285"/>
        </w:trPr>
        <w:tc>
          <w:tcPr>
            <w:tcW w:type="dxa" w:w="2548"/>
            <w:vMerge w:val="restart"/>
            <w:shd w:color="auto" w:fill="auto" w:val="clear"/>
            <w:tcMar>
              <w:top w:type="dxa" w:w="0"/>
              <w:left w:type="dxa" w:w="108"/>
              <w:bottom w:type="dxa" w:w="0"/>
              <w:right w:type="dxa" w:w="108"/>
            </w:tcMar>
            <w:vAlign w:val="center"/>
            <w:hideMark/>
          </w:tcPr>
          <w:p w:rsidP="00C92A7B" w:rsidR="00F23D61" w:rsidRDefault="00F23D61" w:rsidRPr="00B71057">
            <w:pPr>
              <w:widowControl/>
              <w:jc w:val="left"/>
              <w:rPr>
                <w:rFonts w:eastAsiaTheme="minorEastAsia"/>
                <w:color w:themeColor="text1" w:val="000000"/>
                <w:kern w:val="0"/>
                <w:szCs w:val="21"/>
              </w:rPr>
            </w:pPr>
            <w:r w:rsidRPr="00B71057">
              <w:rPr>
                <w:rFonts w:eastAsiaTheme="minorEastAsia"/>
                <w:color w:themeColor="text1" w:val="000000"/>
                <w:kern w:val="0"/>
                <w:szCs w:val="21"/>
              </w:rPr>
              <w:t>本基金基金经理持有本开放式基金</w:t>
            </w:r>
          </w:p>
        </w:tc>
        <w:tc>
          <w:tcPr>
            <w:tcW w:type="dxa" w:w="2424"/>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新华安享惠钰定期开放债券A</w:t>
            </w:r>
          </w:p>
        </w:tc>
        <w:tc>
          <w:tcPr>
            <w:tcW w:type="dxa" w:w="4526"/>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w:t>
            </w:r>
          </w:p>
        </w:tc>
      </w:tr>
      <w:tr w:rsidR="00B71057" w:rsidRPr="00B71057" w:rsidTr="00BC1826">
        <w:trPr>
          <w:trHeight w:val="525"/>
        </w:trPr>
        <w:tc>
          <w:tcPr>
            <w:tcW w:type="dxa" w:w="2548"/>
            <w:vMerge/>
            <w:shd w:color="auto" w:fill="auto" w:val="clear"/>
            <w:vAlign w:val="center"/>
            <w:hideMark/>
          </w:tcPr>
          <w:p w:rsidP="00C92A7B" w:rsidR="00F23D61" w:rsidRDefault="00F23D61" w:rsidRPr="00B71057">
            <w:pPr>
              <w:widowControl/>
              <w:jc w:val="left"/>
              <w:rPr>
                <w:rFonts w:eastAsiaTheme="minorEastAsia"/>
                <w:color w:themeColor="text1" w:val="000000"/>
                <w:kern w:val="0"/>
                <w:szCs w:val="21"/>
              </w:rPr>
            </w:pPr>
          </w:p>
        </w:tc>
        <w:tc>
          <w:tcPr>
            <w:tcW w:type="dxa" w:w="2424"/>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新华安享惠钰定期开放债券C</w:t>
            </w:r>
          </w:p>
        </w:tc>
        <w:tc>
          <w:tcPr>
            <w:tcW w:type="dxa" w:w="4526"/>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
            </w:r>
            <w:r w:rsidRPr="00B71057">
              <w:rPr>
                <w:rFonts w:eastAsiaTheme="minorEastAsia"/>
                <w:color w:themeColor="text1" w:val="000000"/>
                <w:szCs w:val="21"/>
              </w:rPr>
              <w:t/>
            </w:r>
            <w:r w:rsidRPr="00B71057">
              <w:rPr>
                <w:rFonts w:eastAsiaTheme="minorEastAsia"/>
                <w:color w:themeColor="text1" w:val="000000"/>
                <w:kern w:val="0"/>
                <w:szCs w:val="21"/>
              </w:rPr>
              <w:t>0</w:t>
            </w:r>
          </w:p>
        </w:tc>
      </w:tr>
      <w:tr w:rsidR="00B71057" w:rsidRPr="00B71057" w:rsidTr="00BC1826">
        <w:trPr>
          <w:trHeight w:val="653"/>
        </w:trPr>
        <w:tc>
          <w:tcPr>
            <w:tcW w:type="dxa" w:w="2548"/>
            <w:vMerge/>
            <w:shd w:color="auto" w:fill="auto" w:val="clear"/>
            <w:vAlign w:val="center"/>
            <w:hideMark/>
          </w:tcPr>
          <w:p w:rsidP="00C92A7B" w:rsidR="00F23D61" w:rsidRDefault="00F23D61" w:rsidRPr="00B71057">
            <w:pPr>
              <w:widowControl/>
              <w:jc w:val="left"/>
              <w:rPr>
                <w:rFonts w:eastAsiaTheme="minorEastAsia"/>
                <w:color w:themeColor="text1" w:val="000000"/>
                <w:kern w:val="0"/>
                <w:szCs w:val="21"/>
              </w:rPr>
            </w:pPr>
          </w:p>
        </w:tc>
        <w:tc>
          <w:tcPr>
            <w:tcW w:type="dxa" w:w="2424"/>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合计</w:t>
            </w:r>
          </w:p>
        </w:tc>
        <w:tc>
          <w:tcPr>
            <w:tcW w:type="dxa" w:w="4526"/>
            <w:shd w:color="auto" w:fill="auto" w:val="clear"/>
            <w:tcMar>
              <w:top w:type="dxa" w:w="0"/>
              <w:left w:type="dxa" w:w="108"/>
              <w:bottom w:type="dxa" w:w="0"/>
              <w:right w:type="dxa" w:w="108"/>
            </w:tcMar>
            <w:vAlign w:val="center"/>
            <w:hideMark/>
          </w:tcPr>
          <w:p w:rsidP="00C92A7B" w:rsidR="00F23D61" w:rsidRDefault="00F23D61" w:rsidRPr="00B71057">
            <w:pPr>
              <w:widowControl/>
              <w:jc w:val="center"/>
              <w:rPr>
                <w:rFonts w:eastAsiaTheme="minorEastAsia"/>
                <w:color w:themeColor="text1" w:val="000000"/>
                <w:kern w:val="0"/>
                <w:szCs w:val="21"/>
              </w:rPr>
            </w:pPr>
            <w:r w:rsidRPr="00B71057">
              <w:rPr>
                <w:rFonts w:eastAsiaTheme="minorEastAsia"/>
                <w:color w:themeColor="text1" w:val="000000"/>
                <w:kern w:val="0"/>
                <w:szCs w:val="21"/>
              </w:rPr>
              <w:t>0</w:t>
            </w:r>
          </w:p>
        </w:tc>
      </w:tr>
    </w:tbl>
    <w:p w:rsidP="001D2FAD" w:rsidR="001A59F9" w:rsidRDefault="00AC34AE"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91" w:name="_Toc225500053"/>
      <w:bookmarkStart w:id="92" w:name="_Toc361324892"/>
      <w:r w:rsidRPr="00B71057">
        <w:rPr>
          <w:rFonts w:eastAsiaTheme="minorEastAsia"/>
          <w:b/>
          <w:bCs/>
          <w:color w:themeColor="text1" w:val="000000"/>
          <w:sz w:val="21"/>
          <w:szCs w:val="21"/>
          <w:lang w:val="en-US"/>
        </w:rPr>
        <w:t/>
      </w:r>
      <w:r w:rsidR="001A59F9" w:rsidRPr="00B71057">
        <w:rPr>
          <w:rFonts w:eastAsiaTheme="minorEastAsia"/>
          <w:b/>
          <w:bCs/>
          <w:color w:themeColor="text1" w:val="000000"/>
          <w:sz w:val="21"/>
          <w:szCs w:val="21"/>
          <w:lang w:val="en-US"/>
        </w:rPr>
        <w:t>§</w:t>
      </w:r>
      <w:r w:rsidR="009153A3" w:rsidRPr="00B71057">
        <w:rPr>
          <w:rFonts w:eastAsiaTheme="minorEastAsia"/>
          <w:b/>
          <w:bCs/>
          <w:color w:themeColor="text1" w:val="000000"/>
          <w:sz w:val="21"/>
          <w:szCs w:val="21"/>
          <w:lang w:val="en-US"/>
        </w:rPr>
        <w:t xml:space="preserve">10  </w:t>
      </w:r>
      <w:r w:rsidR="001A59F9" w:rsidRPr="00B71057">
        <w:rPr>
          <w:rFonts w:eastAsiaTheme="minorEastAsia"/>
          <w:b/>
          <w:bCs/>
          <w:color w:themeColor="text1" w:val="000000"/>
          <w:sz w:val="21"/>
          <w:szCs w:val="21"/>
          <w:lang w:val="en-US"/>
        </w:rPr>
        <w:t>开放式基金份额变动</w:t>
      </w:r>
      <w:bookmarkEnd w:id="91"/>
      <w:bookmarkEnd w:id="92"/>
    </w:p>
    <w:p w:rsidP="005B7BB7" w:rsidR="001A59F9" w:rsidRDefault="006B05F1"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
      </w:r>
      <w:r w:rsidR="001A59F9" w:rsidRPr="00B71057">
        <w:rPr>
          <w:rFonts w:eastAsiaTheme="minorEastAsia"/>
          <w:color w:themeColor="text1" w:val="000000"/>
          <w:szCs w:val="21"/>
        </w:rPr>
        <w:t>单位：份</w:t>
      </w:r>
    </w:p>
    <w:tbl>
      <w:tblPr>
        <w:tblW w:type="pct" w:w="5000"/>
        <w:tblInd w:type="dxa" w:w="108"/>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3289"/>
        <w:gridCol w:w="2998"/>
        <w:gridCol w:w="2999"/>
      </w:tblGrid>
      <w:tr w:rsidR="00B71057" w:rsidRPr="00B71057" w:rsidTr="00BC1826">
        <w:tc>
          <w:tcPr>
            <w:tcW w:type="pct" w:w="1771"/>
          </w:tcPr>
          <w:p w:rsidP="00BD4E43" w:rsidR="00703495" w:rsidRDefault="0070349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项目</w:t>
            </w:r>
          </w:p>
        </w:tc>
        <w:tc>
          <w:tcPr>
            <w:tcW w:type="pct" w:w="1614"/>
            <w:vAlign w:val="center"/>
          </w:tcPr>
          <w:p w:rsidP="00BD4E43" w:rsidR="00703495" w:rsidRDefault="0070349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新华安享惠钰定期开放债券A</w:t>
            </w:r>
          </w:p>
        </w:tc>
        <w:tc>
          <w:tcPr>
            <w:tcW w:type="pct" w:w="1615"/>
            <w:vAlign w:val="center"/>
          </w:tcPr>
          <w:p w:rsidP="00BD4E43" w:rsidR="00703495" w:rsidRDefault="00703495"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新华安享惠钰定期开放债券C</w:t>
            </w:r>
          </w:p>
        </w:tc>
      </w:tr>
      <w:tr w:rsidR="00B71057" w:rsidRPr="00B71057" w:rsidTr="00BC1826">
        <w:tc>
          <w:tcPr>
            <w:tcW w:type="pct" w:w="1771"/>
          </w:tcPr>
          <w:p w:rsidP="00026C9C" w:rsidR="00703495" w:rsidRDefault="00703495" w:rsidRPr="00B71057">
            <w:pPr>
              <w:spacing w:line="360" w:lineRule="auto"/>
              <w:rPr>
                <w:rFonts w:eastAsiaTheme="minorEastAsia"/>
                <w:color w:themeColor="text1" w:val="000000"/>
                <w:szCs w:val="21"/>
              </w:rPr>
            </w:pPr>
            <w:r w:rsidRPr="00B71057">
              <w:rPr>
                <w:rFonts w:eastAsiaTheme="minorEastAsia"/>
                <w:color w:themeColor="text1" w:val="000000"/>
                <w:szCs w:val="21"/>
              </w:rPr>
              <w:t>基金合同生效日（</w:t>
            </w:r>
            <w:r w:rsidRPr="00B71057">
              <w:rPr>
                <w:rFonts w:eastAsiaTheme="minorEastAsia"/>
                <w:color w:themeColor="text1" w:val="000000"/>
                <w:szCs w:val="21"/>
              </w:rPr>
              <w:t>2018年2月2日</w:t>
            </w:r>
            <w:r w:rsidRPr="00B71057">
              <w:rPr>
                <w:rFonts w:eastAsiaTheme="minorEastAsia"/>
                <w:color w:themeColor="text1" w:val="000000"/>
                <w:szCs w:val="21"/>
              </w:rPr>
              <w:t>）基金份额总额</w:t>
            </w:r>
            <w:r w:rsidRPr="00B71057">
              <w:rPr>
                <w:rFonts w:eastAsiaTheme="minorEastAsia"/>
                <w:color w:themeColor="text1" w:val="000000"/>
                <w:szCs w:val="21"/>
              </w:rPr>
              <w:t/>
            </w:r>
          </w:p>
        </w:tc>
        <w:tc>
          <w:tcPr>
            <w:tcW w:type="pct" w:w="1614"/>
            <w:vAlign w:val="center"/>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195,170,367.44</w:t>
            </w:r>
          </w:p>
        </w:tc>
        <w:tc>
          <w:tcPr>
            <w:tcW w:type="pct" w:w="1615"/>
            <w:vAlign w:val="center"/>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28,639,425.43</w:t>
            </w:r>
          </w:p>
        </w:tc>
      </w:tr>
      <w:tr w:rsidR="00B71057" w:rsidRPr="00B71057" w:rsidTr="00BC1826">
        <w:tc>
          <w:tcPr>
            <w:tcW w:type="pct" w:w="1771"/>
          </w:tcPr>
          <w:p w:rsidP="00C915A6" w:rsidR="00703495" w:rsidRDefault="00703495" w:rsidRPr="00B71057">
            <w:pPr>
              <w:spacing w:line="360" w:lineRule="auto"/>
              <w:rPr>
                <w:rFonts w:eastAsiaTheme="minorEastAsia"/>
                <w:color w:themeColor="text1" w:val="000000"/>
                <w:szCs w:val="21"/>
              </w:rPr>
            </w:pPr>
            <w:r w:rsidRPr="00B71057">
              <w:rPr>
                <w:rFonts w:eastAsiaTheme="minorEastAsia"/>
                <w:color w:themeColor="text1" w:val="000000"/>
                <w:szCs w:val="21"/>
              </w:rPr>
              <w:t>基金合同生效日起至报告期期末</w:t>
            </w:r>
            <w:r w:rsidRPr="00B71057">
              <w:rPr>
                <w:rFonts w:eastAsiaTheme="minorEastAsia"/>
                <w:color w:themeColor="text1" w:val="000000"/>
                <w:szCs w:val="21"/>
              </w:rPr>
              <w:t>基金总申购份额</w:t>
            </w:r>
          </w:p>
        </w:tc>
        <w:tc>
          <w:tcPr>
            <w:tcW w:type="pct" w:w="1614"/>
            <w:vAlign w:val="bottom"/>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1615"/>
            <w:vAlign w:val="bottom"/>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BC1826">
        <w:tc>
          <w:tcPr>
            <w:tcW w:type="pct" w:w="1771"/>
          </w:tcPr>
          <w:p w:rsidP="00C915A6" w:rsidR="00703495" w:rsidRDefault="00703495" w:rsidRPr="00B71057">
            <w:pPr>
              <w:spacing w:line="360" w:lineRule="auto"/>
              <w:rPr>
                <w:rFonts w:eastAsiaTheme="minorEastAsia"/>
                <w:color w:themeColor="text1" w:val="000000"/>
                <w:szCs w:val="21"/>
              </w:rPr>
            </w:pPr>
            <w:r w:rsidRPr="00B71057">
              <w:rPr>
                <w:rFonts w:eastAsiaTheme="minorEastAsia"/>
                <w:color w:themeColor="text1" w:val="000000"/>
                <w:szCs w:val="21"/>
              </w:rPr>
              <w:t>减：</w:t>
            </w:r>
            <w:r w:rsidRPr="00B71057">
              <w:rPr>
                <w:rFonts w:eastAsiaTheme="minorEastAsia"/>
                <w:color w:themeColor="text1" w:val="000000"/>
                <w:szCs w:val="21"/>
              </w:rPr>
              <w:t>基金合同生效日起至报告期期末</w:t>
            </w:r>
            <w:r w:rsidRPr="00B71057">
              <w:rPr>
                <w:rFonts w:eastAsiaTheme="minorEastAsia"/>
                <w:color w:themeColor="text1" w:val="000000"/>
                <w:szCs w:val="21"/>
              </w:rPr>
              <w:t>基金总赎回份额</w:t>
            </w:r>
          </w:p>
        </w:tc>
        <w:tc>
          <w:tcPr>
            <w:tcW w:type="pct" w:w="1614"/>
            <w:vAlign w:val="bottom"/>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1615"/>
            <w:vAlign w:val="bottom"/>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BC1826">
        <w:tc>
          <w:tcPr>
            <w:tcW w:type="pct" w:w="1771"/>
          </w:tcPr>
          <w:p w:rsidP="00C915A6" w:rsidR="00703495" w:rsidRDefault="00703495" w:rsidRPr="00B71057">
            <w:pPr>
              <w:spacing w:line="360" w:lineRule="auto"/>
              <w:rPr>
                <w:rFonts w:eastAsiaTheme="minorEastAsia"/>
                <w:color w:themeColor="text1" w:val="000000"/>
                <w:szCs w:val="21"/>
              </w:rPr>
            </w:pPr>
            <w:r w:rsidRPr="00B71057">
              <w:rPr>
                <w:rFonts w:eastAsiaTheme="minorEastAsia"/>
                <w:color w:themeColor="text1" w:val="000000"/>
                <w:szCs w:val="21"/>
              </w:rPr>
              <w:t>基金合同生效日起至报告期期末</w:t>
            </w:r>
            <w:r w:rsidRPr="00B71057">
              <w:rPr>
                <w:rFonts w:eastAsiaTheme="minorEastAsia"/>
                <w:color w:themeColor="text1" w:val="000000"/>
                <w:szCs w:val="21"/>
              </w:rPr>
              <w:t>基金拆分变动份额</w:t>
            </w:r>
          </w:p>
        </w:tc>
        <w:tc>
          <w:tcPr>
            <w:tcW w:type="pct" w:w="1614"/>
            <w:vAlign w:val="bottom"/>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c>
          <w:tcPr>
            <w:tcW w:type="pct" w:w="1615"/>
            <w:vAlign w:val="bottom"/>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w:t>
            </w:r>
          </w:p>
        </w:tc>
      </w:tr>
      <w:tr w:rsidR="00B71057" w:rsidRPr="00B71057" w:rsidTr="00BC1826">
        <w:tc>
          <w:tcPr>
            <w:tcW w:type="pct" w:w="1771"/>
          </w:tcPr>
          <w:p w:rsidP="00C915A6" w:rsidR="00703495" w:rsidRDefault="00703495" w:rsidRPr="00B71057">
            <w:pPr>
              <w:spacing w:line="360" w:lineRule="auto"/>
              <w:rPr>
                <w:rFonts w:eastAsiaTheme="minorEastAsia"/>
                <w:color w:themeColor="text1" w:val="000000"/>
                <w:szCs w:val="21"/>
              </w:rPr>
            </w:pPr>
            <w:r w:rsidRPr="00B71057">
              <w:rPr>
                <w:rFonts w:eastAsiaTheme="minorEastAsia"/>
                <w:color w:themeColor="text1" w:val="000000"/>
                <w:szCs w:val="21"/>
              </w:rPr>
              <w:t>本报告期期末基金份额总额</w:t>
            </w:r>
          </w:p>
        </w:tc>
        <w:tc>
          <w:tcPr>
            <w:tcW w:type="pct" w:w="1614"/>
            <w:vAlign w:val="center"/>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195,170,367.44</w:t>
            </w:r>
          </w:p>
        </w:tc>
        <w:tc>
          <w:tcPr>
            <w:tcW w:type="pct" w:w="1615"/>
            <w:vAlign w:val="center"/>
          </w:tcPr>
          <w:p w:rsidP="00026C9C" w:rsidR="00703495" w:rsidRDefault="00703495" w:rsidRPr="00B71057">
            <w:pPr>
              <w:spacing w:line="360" w:lineRule="auto"/>
              <w:jc w:val="right"/>
              <w:rPr>
                <w:rFonts w:eastAsiaTheme="minorEastAsia"/>
                <w:color w:themeColor="text1" w:val="000000"/>
                <w:szCs w:val="21"/>
              </w:rPr>
            </w:pPr>
            <w:r w:rsidRPr="00B71057">
              <w:rPr>
                <w:rFonts w:eastAsiaTheme="minorEastAsia"/>
                <w:color w:themeColor="text1" w:val="000000"/>
                <w:szCs w:val="21"/>
              </w:rPr>
              <w:t>28,639,425.43</w:t>
            </w:r>
          </w:p>
        </w:tc>
      </w:tr>
    </w:tbl>
    <w:p w:rsidP="001D2FAD" w:rsidR="001A59F9" w:rsidRDefault="001A59F9" w:rsidRPr="00B71057">
      <w:pPr>
        <w:pStyle w:val="1"/>
        <w:keepNext/>
        <w:keepLines/>
        <w:widowControl w:val="0"/>
        <w:spacing w:after="312" w:afterLines="100" w:before="312" w:beforeLines="100" w:line="360" w:lineRule="auto"/>
        <w:jc w:val="center"/>
        <w:rPr>
          <w:rFonts w:eastAsiaTheme="minorEastAsia"/>
          <w:b/>
          <w:bCs/>
          <w:color w:themeColor="text1" w:val="000000"/>
          <w:sz w:val="21"/>
          <w:szCs w:val="21"/>
          <w:lang w:val="en-US"/>
        </w:rPr>
      </w:pPr>
      <w:bookmarkStart w:id="93" w:name="_Toc225500054"/>
      <w:bookmarkStart w:id="94" w:name="_Toc361324893"/>
      <w:r w:rsidRPr="00B71057">
        <w:rPr>
          <w:rFonts w:eastAsiaTheme="minorEastAsia"/>
          <w:b/>
          <w:bCs/>
          <w:color w:themeColor="text1" w:val="000000"/>
          <w:sz w:val="21"/>
          <w:szCs w:val="21"/>
          <w:lang w:val="en-US"/>
        </w:rPr>
        <w:t>§</w:t>
      </w:r>
      <w:r w:rsidR="009153A3" w:rsidRPr="00B71057">
        <w:rPr>
          <w:rFonts w:eastAsiaTheme="minorEastAsia"/>
          <w:b/>
          <w:bCs/>
          <w:color w:themeColor="text1" w:val="000000"/>
          <w:sz w:val="21"/>
          <w:szCs w:val="21"/>
          <w:lang w:val="en-US"/>
        </w:rPr>
        <w:t/>
      </w:r>
      <w:r w:rsidRPr="00B71057">
        <w:rPr>
          <w:rFonts w:eastAsiaTheme="minorEastAsia"/>
          <w:b/>
          <w:bCs/>
          <w:color w:themeColor="text1" w:val="000000"/>
          <w:sz w:val="21"/>
          <w:szCs w:val="21"/>
          <w:lang w:val="en-US"/>
        </w:rPr>
        <w:t>11</w:t>
      </w:r>
      <w:r w:rsidR="009153A3" w:rsidRPr="00B71057">
        <w:rPr>
          <w:rFonts w:eastAsiaTheme="minorEastAsia"/>
          <w:b/>
          <w:bCs/>
          <w:color w:themeColor="text1" w:val="000000"/>
          <w:sz w:val="21"/>
          <w:szCs w:val="21"/>
          <w:lang w:val="en-US"/>
        </w:rPr>
        <w:t xml:space="preserve">  </w:t>
      </w:r>
      <w:r w:rsidRPr="00B71057">
        <w:rPr>
          <w:rFonts w:eastAsiaTheme="minorEastAsia"/>
          <w:b/>
          <w:bCs/>
          <w:color w:themeColor="text1" w:val="000000"/>
          <w:sz w:val="21"/>
          <w:szCs w:val="21"/>
          <w:lang w:val="en-US"/>
        </w:rPr>
        <w:t>重大事件揭示</w:t>
      </w:r>
      <w:bookmarkEnd w:id="93"/>
      <w:bookmarkEnd w:id="94"/>
    </w:p>
    <w:p w:rsidP="005E19B4"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95" w:name="_Toc361324894"/>
      <w:r w:rsidRPr="00B71057">
        <w:rPr>
          <w:rFonts w:ascii="Times New Roman" w:eastAsiaTheme="minorEastAsia" w:hAnsi="Times New Roman"/>
          <w:color w:themeColor="text1" w:val="000000"/>
          <w:kern w:val="0"/>
          <w:sz w:val="21"/>
          <w:szCs w:val="21"/>
        </w:rPr>
        <w:t>11.1</w:t>
      </w:r>
      <w:r w:rsidRPr="00B71057">
        <w:rPr>
          <w:rFonts w:ascii="Times New Roman" w:eastAsiaTheme="minorEastAsia" w:hAnsi="Times New Roman"/>
          <w:color w:themeColor="text1" w:val="000000"/>
          <w:kern w:val="0"/>
          <w:sz w:val="21"/>
          <w:szCs w:val="21"/>
        </w:rPr>
        <w:t>基金份额持有人大会决议</w:t>
      </w:r>
      <w:bookmarkEnd w:id="95"/>
    </w:p>
    <w:p w:rsidP="005E19B4" w:rsidR="001A59F9" w:rsidRDefault="001A59F9"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本报告期本基金未召开基金份额持有人大会。</w:t>
      </w:r>
    </w:p>
    <w:p w:rsidP="005E19B4"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96" w:name="_Toc361324895"/>
      <w:r w:rsidRPr="00B71057">
        <w:rPr>
          <w:rFonts w:ascii="Times New Roman" w:eastAsiaTheme="minorEastAsia" w:hAnsi="Times New Roman"/>
          <w:color w:themeColor="text1" w:val="000000"/>
          <w:kern w:val="0"/>
          <w:sz w:val="21"/>
          <w:szCs w:val="21"/>
        </w:rPr>
        <w:t xml:space="preserve">11.2 </w:t>
      </w:r>
      <w:r w:rsidRPr="00B71057">
        <w:rPr>
          <w:rFonts w:ascii="Times New Roman" w:eastAsiaTheme="minorEastAsia" w:hAnsi="Times New Roman"/>
          <w:color w:themeColor="text1" w:val="000000"/>
          <w:kern w:val="0"/>
          <w:sz w:val="21"/>
          <w:szCs w:val="21"/>
        </w:rPr>
        <w:t>基金管理人、基金托管人的专门基金托管部门的重大人事变动</w:t>
      </w:r>
      <w:bookmarkEnd w:id="96"/>
    </w:p>
    <w:p>
      <w:pPr>
        <w:widowControl/>
        <w:spacing w:line="360" w:lineRule="auto"/>
        <w:ind w:firstLine="420" w:firstLineChars="200"/>
        <w:rPr>
          <w:rFonts w:eastAsiaTheme="minorEastAsia"/>
          <w:color w:themeColor="text1" w:val="000000"/>
          <w:kern w:val="0"/>
          <w:szCs w:val="21"/>
        </w:rPr>
      </w:pPr>
      <w:r>
        <w:rPr>
          <w:rFonts w:eastAsiaTheme="minorEastAsia"/>
          <w:color w:themeColor="text1" w:val="000000"/>
          <w:kern w:val="0"/>
          <w:szCs w:val="21"/>
        </w:rPr>
        <w:t>2018年5月21日，沈健先生离任本基金基金管理人新华基金管理股份有限公司副总经理。</w:t>
      </w:r>
    </w:p>
    <w:p w:rsidP="005E19B4" w:rsidR="001A59F9" w:rsidRDefault="001A59F9"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本基金托管人的专门基金托管部门本报告期内未发生重大人事变动。</w:t>
      </w:r>
    </w:p>
    <w:p w:rsidP="005E19B4"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97" w:name="_Toc361324896"/>
      <w:r w:rsidRPr="00B71057">
        <w:rPr>
          <w:rFonts w:ascii="Times New Roman" w:eastAsiaTheme="minorEastAsia" w:hAnsi="Times New Roman"/>
          <w:color w:themeColor="text1" w:val="000000"/>
          <w:kern w:val="0"/>
          <w:sz w:val="21"/>
          <w:szCs w:val="21"/>
        </w:rPr>
        <w:t xml:space="preserve">11.3 </w:t>
      </w:r>
      <w:r w:rsidRPr="00B71057">
        <w:rPr>
          <w:rFonts w:ascii="Times New Roman" w:eastAsiaTheme="minorEastAsia" w:hAnsi="Times New Roman"/>
          <w:color w:themeColor="text1" w:val="000000"/>
          <w:kern w:val="0"/>
          <w:sz w:val="21"/>
          <w:szCs w:val="21"/>
        </w:rPr>
        <w:t>涉及基金管理人、基金财产、基金托管业务的诉讼</w:t>
      </w:r>
      <w:bookmarkEnd w:id="97"/>
    </w:p>
    <w:p w:rsidP="005E19B4" w:rsidR="001A59F9" w:rsidRDefault="001A59F9"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本报告期未有涉及基金管理人、基金财产、基金托管业务的诉讼。</w:t>
      </w:r>
    </w:p>
    <w:p w:rsidP="005E19B4"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98" w:name="_Toc361324897"/>
      <w:r w:rsidRPr="00B71057">
        <w:rPr>
          <w:rFonts w:ascii="Times New Roman" w:eastAsiaTheme="minorEastAsia" w:hAnsi="Times New Roman"/>
          <w:color w:themeColor="text1" w:val="000000"/>
          <w:kern w:val="0"/>
          <w:sz w:val="21"/>
          <w:szCs w:val="21"/>
        </w:rPr>
        <w:t xml:space="preserve">11.4 </w:t>
      </w:r>
      <w:r w:rsidRPr="00B71057">
        <w:rPr>
          <w:rFonts w:ascii="Times New Roman" w:eastAsiaTheme="minorEastAsia" w:hAnsi="Times New Roman"/>
          <w:color w:themeColor="text1" w:val="000000"/>
          <w:kern w:val="0"/>
          <w:sz w:val="21"/>
          <w:szCs w:val="21"/>
        </w:rPr>
        <w:t>基金投资策略的改变</w:t>
      </w:r>
      <w:bookmarkEnd w:id="98"/>
    </w:p>
    <w:p w:rsidP="005E19B4" w:rsidR="001A59F9" w:rsidRDefault="001A59F9"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本报告期本基金投资策略未发生改变。</w:t>
      </w:r>
    </w:p>
    <w:p w:rsidP="005E19B4"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99" w:name="_Toc361324898"/>
      <w:r w:rsidRPr="00B71057">
        <w:rPr>
          <w:rFonts w:ascii="Times New Roman" w:eastAsiaTheme="minorEastAsia" w:hAnsi="Times New Roman"/>
          <w:color w:themeColor="text1" w:val="000000"/>
          <w:kern w:val="0"/>
          <w:sz w:val="21"/>
          <w:szCs w:val="21"/>
        </w:rPr>
        <w:t>11.5</w:t>
      </w:r>
      <w:bookmarkEnd w:id="99"/>
      <w:r w:rsidR="001134F0" w:rsidRPr="00B71057">
        <w:rPr>
          <w:rFonts w:ascii="Times New Roman" w:eastAsiaTheme="minorEastAsia" w:hAnsi="Times New Roman"/>
          <w:color w:themeColor="text1" w:val="000000"/>
          <w:sz w:val="21"/>
          <w:szCs w:val="21"/>
        </w:rPr>
        <w:t>为基金进行审计的会计师事务所情况</w:t>
      </w:r>
    </w:p>
    <w:p w:rsidP="005E19B4" w:rsidR="001A59F9" w:rsidRDefault="001A59F9" w:rsidRPr="00B71057">
      <w:pPr>
        <w:widowControl/>
        <w:spacing w:line="360" w:lineRule="auto"/>
        <w:ind w:firstLine="420" w:firstLineChars="200"/>
        <w:rPr>
          <w:rFonts w:eastAsiaTheme="minorEastAsia"/>
          <w:color w:themeColor="text1" w:val="000000"/>
          <w:kern w:val="0"/>
          <w:szCs w:val="21"/>
        </w:rPr>
      </w:pPr>
      <w:bookmarkStart w:id="100" w:name="OLE_LINK3"/>
      <w:r w:rsidRPr="00B71057">
        <w:rPr>
          <w:rFonts w:eastAsiaTheme="minorEastAsia"/>
          <w:color w:themeColor="text1" w:val="000000"/>
          <w:kern w:val="0"/>
          <w:szCs w:val="21"/>
        </w:rPr>
        <w:t>本报告期内，本基金未发生改聘会计师事务所情况。报告年度应支付给其报酬80000元人民币。审计年限为1年。2018年，瑞华会计师事务所为本基金提供1年审计服务。</w:t>
      </w:r>
    </w:p>
    <w:p w:rsidP="005E19B4"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101" w:name="_Toc361324899"/>
      <w:bookmarkEnd w:id="100"/>
      <w:r w:rsidRPr="00B71057">
        <w:rPr>
          <w:rFonts w:ascii="Times New Roman" w:eastAsiaTheme="minorEastAsia" w:hAnsi="Times New Roman"/>
          <w:color w:themeColor="text1" w:val="000000"/>
          <w:kern w:val="0"/>
          <w:sz w:val="21"/>
          <w:szCs w:val="21"/>
        </w:rPr>
        <w:t xml:space="preserve">11.6 </w:t>
      </w:r>
      <w:r w:rsidRPr="00B71057">
        <w:rPr>
          <w:rFonts w:ascii="Times New Roman" w:eastAsiaTheme="minorEastAsia" w:hAnsi="Times New Roman"/>
          <w:color w:themeColor="text1" w:val="000000"/>
          <w:kern w:val="0"/>
          <w:sz w:val="21"/>
          <w:szCs w:val="21"/>
        </w:rPr>
        <w:t>管理人、托管人及其高级管理人员受稽查或处罚等情况</w:t>
      </w:r>
      <w:bookmarkEnd w:id="101"/>
    </w:p>
    <w:p w:rsidP="005E19B4" w:rsidR="001A59F9" w:rsidRDefault="001A59F9" w:rsidRPr="00B71057">
      <w:pPr>
        <w:widowControl/>
        <w:spacing w:line="360" w:lineRule="auto"/>
        <w:ind w:firstLine="420" w:firstLineChars="200"/>
        <w:rPr>
          <w:rFonts w:eastAsiaTheme="minorEastAsia"/>
          <w:color w:themeColor="text1" w:val="000000"/>
          <w:kern w:val="0"/>
          <w:szCs w:val="21"/>
        </w:rPr>
      </w:pPr>
      <w:r w:rsidRPr="00B71057">
        <w:rPr>
          <w:rFonts w:eastAsiaTheme="minorEastAsia"/>
          <w:color w:themeColor="text1" w:val="000000"/>
          <w:kern w:val="0"/>
          <w:szCs w:val="21"/>
        </w:rPr>
        <w:t>本报告期本基金管理人、托管人及其高级管理人员未有受稽核或处罚的情况。</w:t>
      </w:r>
    </w:p>
    <w:p w:rsidP="005E19B4" w:rsidR="001A59F9" w:rsidRDefault="001A59F9" w:rsidRPr="00B71057">
      <w:pPr>
        <w:pStyle w:val="20"/>
        <w:spacing w:after="0" w:before="0"/>
        <w:rPr>
          <w:rFonts w:ascii="Times New Roman" w:eastAsiaTheme="minorEastAsia" w:hAnsi="Times New Roman"/>
          <w:color w:themeColor="text1" w:val="000000"/>
          <w:kern w:val="0"/>
          <w:sz w:val="21"/>
          <w:szCs w:val="21"/>
        </w:rPr>
      </w:pPr>
      <w:bookmarkStart w:id="102" w:name="_Toc361324900"/>
      <w:r w:rsidRPr="00B71057">
        <w:rPr>
          <w:rFonts w:ascii="Times New Roman" w:eastAsiaTheme="minorEastAsia" w:hAnsi="Times New Roman"/>
          <w:color w:themeColor="text1" w:val="000000"/>
          <w:kern w:val="0"/>
          <w:sz w:val="21"/>
          <w:szCs w:val="21"/>
        </w:rPr>
        <w:t xml:space="preserve">11.7 </w:t>
      </w:r>
      <w:r w:rsidRPr="00B71057">
        <w:rPr>
          <w:rFonts w:ascii="Times New Roman" w:eastAsiaTheme="minorEastAsia" w:hAnsi="Times New Roman"/>
          <w:color w:themeColor="text1" w:val="000000"/>
          <w:kern w:val="0"/>
          <w:sz w:val="21"/>
          <w:szCs w:val="21"/>
        </w:rPr>
        <w:t>基金租用证券公司交易单元的有关情况</w:t>
      </w:r>
      <w:bookmarkEnd w:id="102"/>
    </w:p>
    <w:p w:rsidP="005E19B4" w:rsidR="001A59F9" w:rsidRDefault="00573820" w:rsidRPr="00B71057">
      <w:pPr>
        <w:spacing w:line="360" w:lineRule="auto"/>
        <w:rPr>
          <w:rFonts w:eastAsiaTheme="minorEastAsia"/>
          <w:b/>
          <w:color w:themeColor="text1" w:val="000000"/>
          <w:szCs w:val="21"/>
        </w:rPr>
      </w:pPr>
      <w:bookmarkStart w:id="103" w:name="_Toc249760070"/>
      <w:r w:rsidRPr="00B71057">
        <w:rPr>
          <w:rFonts w:eastAsiaTheme="minorEastAsia"/>
          <w:b/>
          <w:color w:themeColor="text1" w:val="000000"/>
          <w:szCs w:val="21"/>
        </w:rPr>
        <w:t/>
      </w:r>
      <w:r w:rsidR="001A59F9" w:rsidRPr="00B71057">
        <w:rPr>
          <w:rFonts w:eastAsiaTheme="minorEastAsia"/>
          <w:b/>
          <w:color w:themeColor="text1" w:val="000000"/>
          <w:szCs w:val="21"/>
        </w:rPr>
        <w:t>11.7.1</w:t>
      </w:r>
      <w:r w:rsidR="001A59F9" w:rsidRPr="00B71057">
        <w:rPr>
          <w:rFonts w:eastAsiaTheme="minorEastAsia"/>
          <w:b/>
          <w:color w:themeColor="text1" w:val="000000"/>
          <w:szCs w:val="21"/>
        </w:rPr>
        <w:t>基金租用证券公司交易单元进行股票投资及佣金支付情况</w:t>
      </w:r>
      <w:bookmarkEnd w:id="103"/>
    </w:p>
    <w:p w:rsidP="008B2C7A" w:rsidR="001A59F9" w:rsidRDefault="00573820" w:rsidRPr="00B71057">
      <w:pPr>
        <w:pStyle w:val="a0"/>
        <w:spacing w:line="360" w:lineRule="auto"/>
        <w:ind w:firstLine="5460" w:firstLineChars="2600"/>
        <w:jc w:val="right"/>
        <w:rPr>
          <w:rFonts w:eastAsiaTheme="minorEastAsia"/>
          <w:color w:themeColor="text1" w:val="000000"/>
          <w:szCs w:val="21"/>
        </w:rPr>
      </w:pPr>
      <w:r w:rsidRPr="00B71057">
        <w:rPr>
          <w:rFonts w:eastAsiaTheme="minorEastAsia"/>
          <w:color w:themeColor="text1" w:val="000000"/>
          <w:szCs w:val="21"/>
        </w:rPr>
        <w:t/>
      </w:r>
      <w:r w:rsidR="001A59F9" w:rsidRPr="00B71057">
        <w:rPr>
          <w:rFonts w:eastAsiaTheme="minorEastAsia"/>
          <w:color w:themeColor="text1" w:val="000000"/>
          <w:szCs w:val="21"/>
        </w:rPr>
        <w:t>金额单位：人民币元</w:t>
      </w:r>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560"/>
        <w:gridCol w:w="780"/>
        <w:gridCol w:w="1800"/>
        <w:gridCol w:w="1080"/>
        <w:gridCol w:w="1620"/>
        <w:gridCol w:w="1080"/>
        <w:gridCol w:w="1080"/>
      </w:tblGrid>
      <w:tr w:rsidR="00B71057" w:rsidRPr="00B71057" w:rsidTr="006D141C">
        <w:tc>
          <w:tcPr>
            <w:tcW w:type="dxa" w:w="1560"/>
            <w:vMerge w:val="restart"/>
            <w:vAlign w:val="center"/>
          </w:tcPr>
          <w:p w:rsidP="00026C9C" w:rsidR="001A59F9" w:rsidRDefault="001A59F9" w:rsidRPr="00B71057">
            <w:pPr>
              <w:spacing w:line="360" w:lineRule="auto"/>
              <w:jc w:val="center"/>
              <w:rPr>
                <w:rFonts w:eastAsiaTheme="minorEastAsia"/>
                <w:color w:themeColor="text1" w:val="000000"/>
                <w:szCs w:val="21"/>
              </w:rPr>
            </w:pPr>
            <w:bookmarkStart w:id="104" w:name="_Toc249760071"/>
            <w:r w:rsidRPr="00B71057">
              <w:rPr>
                <w:rFonts w:eastAsiaTheme="minorEastAsia"/>
                <w:color w:themeColor="text1" w:val="000000"/>
                <w:szCs w:val="21"/>
              </w:rPr>
              <w:t>券商名称</w:t>
            </w:r>
            <w:r w:rsidR="006C2116" w:rsidRPr="00B71057">
              <w:rPr>
                <w:rFonts w:eastAsiaTheme="minorEastAsia"/>
                <w:color w:themeColor="text1" w:val="000000"/>
                <w:szCs w:val="21"/>
              </w:rPr>
              <w:t/>
            </w:r>
          </w:p>
        </w:tc>
        <w:tc>
          <w:tcPr>
            <w:tcW w:type="dxa" w:w="780"/>
            <w:vMerge w:val="restart"/>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交易单元数量</w:t>
            </w:r>
          </w:p>
        </w:tc>
        <w:tc>
          <w:tcPr>
            <w:tcW w:type="dxa" w:w="2880"/>
            <w:gridSpan w:val="2"/>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股票交易</w:t>
            </w:r>
          </w:p>
        </w:tc>
        <w:tc>
          <w:tcPr>
            <w:tcW w:type="dxa" w:w="2700"/>
            <w:gridSpan w:val="2"/>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应支付该券商的佣金</w:t>
            </w:r>
          </w:p>
        </w:tc>
        <w:tc>
          <w:tcPr>
            <w:tcW w:type="dxa" w:w="1080"/>
            <w:vMerge w:val="restart"/>
            <w:vAlign w:val="center"/>
          </w:tcPr>
          <w:p w:rsidP="00026C9C" w:rsidR="001A59F9" w:rsidRDefault="001A59F9" w:rsidRPr="00B71057">
            <w:pPr>
              <w:spacing w:line="360" w:lineRule="auto"/>
              <w:jc w:val="center"/>
              <w:rPr>
                <w:rFonts w:eastAsiaTheme="minorEastAsia"/>
                <w:color w:themeColor="text1" w:val="000000"/>
                <w:kern w:val="0"/>
                <w:szCs w:val="21"/>
              </w:rPr>
            </w:pPr>
            <w:r w:rsidRPr="00B71057">
              <w:rPr>
                <w:rFonts w:eastAsiaTheme="minorEastAsia"/>
                <w:color w:themeColor="text1" w:val="000000"/>
                <w:kern w:val="0"/>
                <w:szCs w:val="21"/>
              </w:rPr>
              <w:t>备注</w:t>
            </w:r>
          </w:p>
        </w:tc>
      </w:tr>
      <w:tr w:rsidR="00B71057" w:rsidRPr="00B71057" w:rsidTr="006D141C">
        <w:tc>
          <w:tcPr>
            <w:tcW w:type="dxa" w:w="9000"/>
            <w:vMerge/>
            <w:vAlign w:val="center"/>
          </w:tcPr>
          <w:p w:rsidP="00026C9C" w:rsidR="001A59F9" w:rsidRDefault="001A59F9" w:rsidRPr="00B71057">
            <w:pPr>
              <w:widowControl/>
              <w:spacing w:line="360" w:lineRule="auto"/>
              <w:jc w:val="left"/>
              <w:rPr>
                <w:rFonts w:eastAsiaTheme="minorEastAsia"/>
                <w:color w:themeColor="text1" w:val="000000"/>
                <w:szCs w:val="21"/>
              </w:rPr>
            </w:pPr>
          </w:p>
        </w:tc>
        <w:tc>
          <w:tcPr>
            <w:tcW w:type="dxa" w:w="780"/>
            <w:vMerge/>
            <w:vAlign w:val="center"/>
          </w:tcPr>
          <w:p w:rsidP="00026C9C" w:rsidR="001A59F9" w:rsidRDefault="001A59F9" w:rsidRPr="00B71057">
            <w:pPr>
              <w:widowControl/>
              <w:spacing w:line="360" w:lineRule="auto"/>
              <w:jc w:val="left"/>
              <w:rPr>
                <w:rFonts w:eastAsiaTheme="minorEastAsia"/>
                <w:color w:themeColor="text1" w:val="000000"/>
                <w:szCs w:val="21"/>
              </w:rPr>
            </w:pPr>
          </w:p>
        </w:tc>
        <w:tc>
          <w:tcPr>
            <w:tcW w:type="dxa" w:w="180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成交金额</w:t>
            </w:r>
          </w:p>
        </w:tc>
        <w:tc>
          <w:tcPr>
            <w:tcW w:type="dxa" w:w="10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占当期股票成交总额的比例</w:t>
            </w:r>
          </w:p>
        </w:tc>
        <w:tc>
          <w:tcPr>
            <w:tcW w:type="dxa" w:w="1620"/>
            <w:vAlign w:val="center"/>
          </w:tcPr>
          <w:p w:rsidP="00026C9C" w:rsidR="001A59F9" w:rsidRDefault="001A59F9" w:rsidRPr="00B71057">
            <w:pPr>
              <w:spacing w:line="360" w:lineRule="auto"/>
              <w:jc w:val="center"/>
              <w:rPr>
                <w:rFonts w:eastAsiaTheme="minorEastAsia"/>
                <w:color w:themeColor="text1" w:val="000000"/>
                <w:kern w:val="0"/>
                <w:szCs w:val="21"/>
              </w:rPr>
            </w:pPr>
            <w:r w:rsidRPr="00B71057">
              <w:rPr>
                <w:rFonts w:eastAsiaTheme="minorEastAsia"/>
                <w:color w:themeColor="text1" w:val="000000"/>
                <w:kern w:val="0"/>
                <w:szCs w:val="21"/>
              </w:rPr>
              <w:t>佣金</w:t>
            </w:r>
          </w:p>
        </w:tc>
        <w:tc>
          <w:tcPr>
            <w:tcW w:type="dxa" w:w="10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占当期佣金总量的比例</w:t>
            </w:r>
          </w:p>
        </w:tc>
        <w:tc>
          <w:tcPr>
            <w:tcW w:type="dxa" w:w="1080"/>
            <w:vMerge/>
            <w:vAlign w:val="center"/>
          </w:tcPr>
          <w:p w:rsidP="00026C9C" w:rsidR="001A59F9" w:rsidRDefault="001A59F9" w:rsidRPr="00B71057">
            <w:pPr>
              <w:widowControl/>
              <w:spacing w:line="360" w:lineRule="auto"/>
              <w:jc w:val="left"/>
              <w:rPr>
                <w:rFonts w:eastAsiaTheme="minorEastAsia"/>
                <w:color w:themeColor="text1" w:val="000000"/>
                <w:kern w:val="0"/>
                <w:szCs w:val="21"/>
              </w:rPr>
            </w:pPr>
          </w:p>
        </w:tc>
      </w:tr>
      <w:tr>
        <w:tc>
          <w:tcPr>
            <w:vAlign w:val="center"/>
          </w:tcPr>
          <w:p>
            <w:pPr>
              <w:jc w:val="left"/>
            </w:pPr>
            <w:r>
              <w:rPr>
                <w:rFonts w:eastAsiaTheme="minorEastAsia"/>
                <w:color w:themeColor="text1" w:val="000000"/>
                <w:szCs w:val="21"/>
              </w:rPr>
              <w:t>渤海证券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中信建投证券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方正证券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广发证券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安信证券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华创证券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太平洋证券</w:t>
            </w:r>
          </w:p>
        </w:tc>
        <w:tc>
          <w:tcPr>
            <w:vAlign w:val="center"/>
          </w:tcPr>
          <w:p>
            <w:pPr>
              <w:jc w:val="right"/>
            </w:pPr>
            <w:r>
              <w:rPr>
                <w:rFonts w:eastAsiaTheme="minorEastAsia"/>
                <w:color w:themeColor="text1" w:val="000000"/>
                <w:szCs w:val="21"/>
              </w:rPr>
              <w:t>2</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银河证券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国金证券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申银万国</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43,340,656.42</w:t>
            </w:r>
          </w:p>
        </w:tc>
        <w:tc>
          <w:tcPr>
            <w:vAlign w:val="center"/>
          </w:tcPr>
          <w:p>
            <w:pPr>
              <w:jc w:val="right"/>
            </w:pPr>
            <w:r>
              <w:rPr>
                <w:rFonts w:eastAsiaTheme="minorEastAsia"/>
                <w:color w:themeColor="text1" w:val="000000"/>
                <w:szCs w:val="21"/>
              </w:rPr>
              <w:t>84.02%</w:t>
            </w:r>
          </w:p>
        </w:tc>
        <w:tc>
          <w:tcPr>
            <w:vAlign w:val="center"/>
          </w:tcPr>
          <w:p>
            <w:pPr>
              <w:jc w:val="right"/>
            </w:pPr>
            <w:r>
              <w:rPr>
                <w:rFonts w:eastAsiaTheme="minorEastAsia"/>
                <w:color w:themeColor="text1" w:val="000000"/>
                <w:szCs w:val="21"/>
              </w:rPr>
              <w:t>40,363.46</w:t>
            </w:r>
          </w:p>
        </w:tc>
        <w:tc>
          <w:tcPr>
            <w:vAlign w:val="center"/>
          </w:tcPr>
          <w:p>
            <w:pPr>
              <w:jc w:val="right"/>
            </w:pPr>
            <w:r>
              <w:rPr>
                <w:rFonts w:eastAsiaTheme="minorEastAsia"/>
                <w:color w:themeColor="text1" w:val="000000"/>
                <w:szCs w:val="21"/>
              </w:rPr>
              <w:t>85.09%</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国信证券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5,233,803.00</w:t>
            </w:r>
          </w:p>
        </w:tc>
        <w:tc>
          <w:tcPr>
            <w:vAlign w:val="center"/>
          </w:tcPr>
          <w:p>
            <w:pPr>
              <w:jc w:val="right"/>
            </w:pPr>
            <w:r>
              <w:rPr>
                <w:rFonts w:eastAsiaTheme="minorEastAsia"/>
                <w:color w:themeColor="text1" w:val="000000"/>
                <w:szCs w:val="21"/>
              </w:rPr>
              <w:t>10.15%</w:t>
            </w:r>
          </w:p>
        </w:tc>
        <w:tc>
          <w:tcPr>
            <w:vAlign w:val="center"/>
          </w:tcPr>
          <w:p>
            <w:pPr>
              <w:jc w:val="right"/>
            </w:pPr>
            <w:r>
              <w:rPr>
                <w:rFonts w:eastAsiaTheme="minorEastAsia"/>
                <w:color w:themeColor="text1" w:val="000000"/>
                <w:szCs w:val="21"/>
              </w:rPr>
              <w:t>4,874.21</w:t>
            </w:r>
          </w:p>
        </w:tc>
        <w:tc>
          <w:tcPr>
            <w:vAlign w:val="center"/>
          </w:tcPr>
          <w:p>
            <w:pPr>
              <w:jc w:val="right"/>
            </w:pPr>
            <w:r>
              <w:rPr>
                <w:rFonts w:eastAsiaTheme="minorEastAsia"/>
                <w:color w:themeColor="text1" w:val="000000"/>
                <w:szCs w:val="21"/>
              </w:rPr>
              <w:t>10.28%</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东北证券</w:t>
            </w:r>
          </w:p>
        </w:tc>
        <w:tc>
          <w:tcPr>
            <w:vAlign w:val="center"/>
          </w:tcPr>
          <w:p>
            <w:pPr>
              <w:jc w:val="right"/>
            </w:pPr>
            <w:r>
              <w:rPr>
                <w:rFonts w:eastAsiaTheme="minorEastAsia"/>
                <w:color w:themeColor="text1" w:val="000000"/>
                <w:szCs w:val="21"/>
              </w:rPr>
              <w:t>1</w:t>
            </w:r>
          </w:p>
        </w:tc>
        <w:tc>
          <w:tcPr>
            <w:vAlign w:val="center"/>
          </w:tcPr>
          <w:p>
            <w:pPr>
              <w:jc w:val="right"/>
            </w:pPr>
            <w:r>
              <w:rPr>
                <w:rFonts w:eastAsiaTheme="minorEastAsia"/>
                <w:color w:themeColor="text1" w:val="000000"/>
                <w:szCs w:val="21"/>
              </w:rPr>
              <w:t>2,834,089.12</w:t>
            </w:r>
          </w:p>
        </w:tc>
        <w:tc>
          <w:tcPr>
            <w:vAlign w:val="center"/>
          </w:tcPr>
          <w:p>
            <w:pPr>
              <w:jc w:val="right"/>
            </w:pPr>
            <w:r>
              <w:rPr>
                <w:rFonts w:eastAsiaTheme="minorEastAsia"/>
                <w:color w:themeColor="text1" w:val="000000"/>
                <w:szCs w:val="21"/>
              </w:rPr>
              <w:t>5.49%</w:t>
            </w:r>
          </w:p>
        </w:tc>
        <w:tc>
          <w:tcPr>
            <w:vAlign w:val="center"/>
          </w:tcPr>
          <w:p>
            <w:pPr>
              <w:jc w:val="right"/>
            </w:pPr>
            <w:r>
              <w:rPr>
                <w:rFonts w:eastAsiaTheme="minorEastAsia"/>
                <w:color w:themeColor="text1" w:val="000000"/>
                <w:szCs w:val="21"/>
              </w:rPr>
              <w:t>2,072.64</w:t>
            </w:r>
          </w:p>
        </w:tc>
        <w:tc>
          <w:tcPr>
            <w:vAlign w:val="center"/>
          </w:tcPr>
          <w:p>
            <w:pPr>
              <w:jc w:val="right"/>
            </w:pPr>
            <w:r>
              <w:rPr>
                <w:rFonts w:eastAsiaTheme="minorEastAsia"/>
                <w:color w:themeColor="text1" w:val="000000"/>
                <w:szCs w:val="21"/>
              </w:rPr>
              <w:t>4.37%</w:t>
            </w:r>
          </w:p>
        </w:tc>
        <w:tc>
          <w:tcPr>
            <w:vAlign w:val="center"/>
          </w:tcPr>
          <w:p>
            <w:pPr>
              <w:jc w:val="lef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恒泰证券</w:t>
            </w:r>
          </w:p>
        </w:tc>
        <w:tc>
          <w:tcPr>
            <w:vAlign w:val="center"/>
          </w:tcPr>
          <w:p>
            <w:pPr>
              <w:jc w:val="right"/>
            </w:pPr>
            <w:r>
              <w:rPr>
                <w:rFonts w:eastAsiaTheme="minorEastAsia"/>
                <w:color w:themeColor="text1" w:val="000000"/>
                <w:szCs w:val="21"/>
              </w:rPr>
              <w:t>2</w:t>
            </w:r>
          </w:p>
        </w:tc>
        <w:tc>
          <w:tcPr>
            <w:vAlign w:val="center"/>
          </w:tcPr>
          <w:p>
            <w:pPr>
              <w:jc w:val="right"/>
            </w:pPr>
            <w:r>
              <w:rPr>
                <w:rFonts w:eastAsiaTheme="minorEastAsia"/>
                <w:color w:themeColor="text1" w:val="000000"/>
                <w:szCs w:val="21"/>
              </w:rPr>
              <w:t>173,846.00</w:t>
            </w:r>
          </w:p>
        </w:tc>
        <w:tc>
          <w:tcPr>
            <w:vAlign w:val="center"/>
          </w:tcPr>
          <w:p>
            <w:pPr>
              <w:jc w:val="right"/>
            </w:pPr>
            <w:r>
              <w:rPr>
                <w:rFonts w:eastAsiaTheme="minorEastAsia"/>
                <w:color w:themeColor="text1" w:val="000000"/>
                <w:szCs w:val="21"/>
              </w:rPr>
              <w:t>0.34%</w:t>
            </w:r>
          </w:p>
        </w:tc>
        <w:tc>
          <w:tcPr>
            <w:vAlign w:val="center"/>
          </w:tcPr>
          <w:p>
            <w:pPr>
              <w:jc w:val="right"/>
            </w:pPr>
            <w:r>
              <w:rPr>
                <w:rFonts w:eastAsiaTheme="minorEastAsia"/>
                <w:color w:themeColor="text1" w:val="000000"/>
                <w:szCs w:val="21"/>
              </w:rPr>
              <w:t>127.12</w:t>
            </w:r>
          </w:p>
        </w:tc>
        <w:tc>
          <w:tcPr>
            <w:vAlign w:val="center"/>
          </w:tcPr>
          <w:p>
            <w:pPr>
              <w:jc w:val="right"/>
            </w:pPr>
            <w:r>
              <w:rPr>
                <w:rFonts w:eastAsiaTheme="minorEastAsia"/>
                <w:color w:themeColor="text1" w:val="000000"/>
                <w:szCs w:val="21"/>
              </w:rPr>
              <w:t>0.27%</w:t>
            </w:r>
          </w:p>
        </w:tc>
        <w:tc>
          <w:tcPr>
            <w:vAlign w:val="center"/>
          </w:tcPr>
          <w:p>
            <w:pPr>
              <w:jc w:val="left"/>
            </w:pPr>
            <w:r>
              <w:rPr>
                <w:rFonts w:eastAsiaTheme="minorEastAsia"/>
                <w:color w:themeColor="text1" w:val="000000"/>
                <w:szCs w:val="21"/>
              </w:rPr>
              <w:t>-</w:t>
            </w:r>
          </w:p>
        </w:tc>
      </w:tr>
    </w:tbl>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注：本基金根据中国证券监督管理委员会《关于加强证券投资基金监管有关问题的通知》（证监基字[1998]29号）以及《关于完善证券投资基金交易席位制度有关问题的通知》（证监基金字[2007]48号）的有关规定，本基金共租用15个交易席位，其中报告期内新增0个交易席位，退租1个交易席位。退租交易席位为：新时代证券上海交易单元。</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一、交易席位的分配依据</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交易席位的分配以券商实力及其所提供的研究支持为基础，主要考察点包括：</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1、经营行为稳健规范，内控制度健全。</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2、具备基金运作所需的高效、安全的通讯条件，交易设施满足基金进行证券交易的需要。</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3、具有较强的全方位金融服务能力和水平。</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二、交易席位的选择流程</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1、研究部根据上述标准考察后确定选用交易席位的券商。</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2、与被选中的证券经营机构签订席位租用协议。</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三、交易量的分配</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交易量的分配以券商所提供的服务及研究支持为基础，主要考察点包括：</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1、券商提供独立的或第三方研究报告及服务，包括宏观经济、行业分析、公司研发、市场数据、财经信息、行业期刊、组合分析软件、绩效评估、研讨会、统计信息、交易评估等，用以支持投资决策。</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2、以季度为单位对经纪商通过评分的方式进行考核，由基金经理、研究员和交易员分别打分，根据经纪商给投资带来的增值确定经济商的排名。</w:t>
      </w:r>
    </w:p>
    <w:p>
      <w:pPr>
        <w:spacing w:line="360" w:lineRule="auto"/>
        <w:ind w:firstLine="420" w:firstLineChars="200"/>
        <w:jc w:val="left"/>
        <w:rPr>
          <w:rFonts w:eastAsiaTheme="minorEastAsia"/>
          <w:color w:themeColor="text1" w:val="000000"/>
          <w:szCs w:val="21"/>
        </w:rPr>
      </w:pPr>
      <w:r>
        <w:rPr>
          <w:rFonts w:eastAsiaTheme="minorEastAsia"/>
          <w:color w:themeColor="text1" w:val="000000"/>
          <w:szCs w:val="21"/>
        </w:rPr>
        <w:t>考核的内容包括上一季度经纪交易执行情况、提供研究报告数量、研究报告质量和及时性、受邀讲解次数及效果、主动推介次数及效果等。考核结果将作为当期交易量分配的依据，交易量大小和评分高低成正比。</w:t>
      </w:r>
    </w:p>
    <w:p w:rsidP="00BC1826" w:rsidR="001A59F9" w:rsidRDefault="001A59F9" w:rsidRPr="00B71057">
      <w:pPr>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3、交易部负责落实交易量的实际分配工作。</w:t>
      </w:r>
    </w:p>
    <w:p w:rsidP="00BC1826" w:rsidR="001A59F9" w:rsidRDefault="001A59F9" w:rsidRPr="00B71057">
      <w:pPr>
        <w:spacing w:before="312" w:beforeLines="100" w:line="360" w:lineRule="auto"/>
        <w:rPr>
          <w:rFonts w:eastAsiaTheme="minorEastAsia"/>
          <w:b/>
          <w:color w:themeColor="text1" w:val="000000"/>
          <w:szCs w:val="21"/>
        </w:rPr>
      </w:pPr>
      <w:r w:rsidRPr="00B71057">
        <w:rPr>
          <w:rFonts w:eastAsiaTheme="minorEastAsia"/>
          <w:b/>
          <w:color w:themeColor="text1" w:val="000000"/>
          <w:szCs w:val="21"/>
        </w:rPr>
        <w:t>11.7.2</w:t>
      </w:r>
      <w:r w:rsidR="009153A3" w:rsidRPr="00B71057">
        <w:rPr>
          <w:rFonts w:eastAsiaTheme="minorEastAsia"/>
          <w:b/>
          <w:color w:themeColor="text1" w:val="000000"/>
          <w:szCs w:val="21"/>
        </w:rPr>
        <w:t xml:space="preserve"> </w:t>
      </w:r>
      <w:r w:rsidRPr="00B71057">
        <w:rPr>
          <w:rFonts w:eastAsiaTheme="minorEastAsia"/>
          <w:b/>
          <w:color w:themeColor="text1" w:val="000000"/>
          <w:szCs w:val="21"/>
        </w:rPr>
        <w:t>基金租用证券公司交易单元进行其他证券投资的情况</w:t>
      </w:r>
      <w:bookmarkEnd w:id="104"/>
    </w:p>
    <w:p w:rsidP="00026C9C" w:rsidR="001A59F9" w:rsidRDefault="001A59F9" w:rsidRPr="00B71057">
      <w:pPr>
        <w:spacing w:line="360" w:lineRule="auto"/>
        <w:ind w:firstLine="420"/>
        <w:jc w:val="right"/>
        <w:rPr>
          <w:rFonts w:eastAsiaTheme="minorEastAsia"/>
          <w:color w:themeColor="text1" w:val="000000"/>
          <w:szCs w:val="21"/>
        </w:rPr>
      </w:pPr>
      <w:bookmarkStart w:id="105" w:name="_Toc249707408"/>
      <w:r w:rsidRPr="00B71057">
        <w:rPr>
          <w:rFonts w:eastAsiaTheme="minorEastAsia"/>
          <w:color w:themeColor="text1" w:val="000000"/>
          <w:szCs w:val="21"/>
        </w:rPr>
        <w:t/>
      </w:r>
      <w:r w:rsidRPr="00B71057">
        <w:rPr>
          <w:rFonts w:eastAsiaTheme="minorEastAsia"/>
          <w:color w:themeColor="text1" w:val="000000"/>
          <w:szCs w:val="21"/>
        </w:rPr>
        <w:t>金额单位</w:t>
      </w:r>
      <w:r w:rsidRPr="00B71057">
        <w:rPr>
          <w:rFonts w:eastAsiaTheme="minorEastAsia"/>
          <w:color w:themeColor="text1" w:val="000000"/>
          <w:kern w:val="0"/>
          <w:szCs w:val="21"/>
        </w:rPr>
        <w:t>：</w:t>
      </w:r>
      <w:r w:rsidRPr="00B71057">
        <w:rPr>
          <w:rFonts w:eastAsiaTheme="minorEastAsia"/>
          <w:color w:themeColor="text1" w:val="000000"/>
          <w:kern w:val="0"/>
          <w:szCs w:val="21"/>
          <w:lang w:val="zh-CN"/>
        </w:rPr>
        <w:t>人民币元</w:t>
      </w:r>
      <w:bookmarkEnd w:id="105"/>
    </w:p>
    <w:tbl>
      <w:tblPr>
        <w:tblW w:type="auto" w:w="0"/>
        <w:tblInd w:type="dxa" w:w="108"/>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0" w:lastRow="0" w:noHBand="0" w:noVBand="0" w:val="00A0"/>
      </w:tblPr>
      <w:tblGrid>
        <w:gridCol w:w="1560"/>
        <w:gridCol w:w="1320"/>
        <w:gridCol w:w="1080"/>
        <w:gridCol w:w="1080"/>
        <w:gridCol w:w="1260"/>
        <w:gridCol w:w="1260"/>
        <w:gridCol w:w="1440"/>
      </w:tblGrid>
      <w:tr w:rsidR="00B71057" w:rsidRPr="00B71057" w:rsidTr="006D141C">
        <w:tc>
          <w:tcPr>
            <w:tcW w:type="dxa" w:w="1560"/>
            <w:vMerge w:val="restart"/>
            <w:vAlign w:val="center"/>
          </w:tcPr>
          <w:p w:rsidP="00026C9C" w:rsidR="001A59F9" w:rsidRDefault="001A59F9" w:rsidRPr="00B71057">
            <w:pPr>
              <w:spacing w:line="360" w:lineRule="auto"/>
              <w:jc w:val="center"/>
              <w:rPr>
                <w:rFonts w:eastAsiaTheme="minorEastAsia"/>
                <w:color w:themeColor="text1" w:val="000000"/>
                <w:kern w:val="0"/>
                <w:szCs w:val="21"/>
              </w:rPr>
            </w:pPr>
            <w:r w:rsidRPr="00B71057">
              <w:rPr>
                <w:rFonts w:eastAsiaTheme="minorEastAsia"/>
                <w:color w:themeColor="text1" w:val="000000"/>
                <w:szCs w:val="21"/>
              </w:rPr>
              <w:t>券商名称</w:t>
            </w:r>
            <w:r w:rsidR="00DC43D0" w:rsidRPr="00B71057">
              <w:rPr>
                <w:rFonts w:eastAsiaTheme="minorEastAsia"/>
                <w:color w:themeColor="text1" w:val="000000"/>
                <w:szCs w:val="21"/>
              </w:rPr>
              <w:t/>
            </w:r>
          </w:p>
        </w:tc>
        <w:tc>
          <w:tcPr>
            <w:tcW w:type="dxa" w:w="2400"/>
            <w:gridSpan w:val="2"/>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债券交易</w:t>
            </w:r>
          </w:p>
        </w:tc>
        <w:tc>
          <w:tcPr>
            <w:tcW w:type="dxa" w:w="2340"/>
            <w:gridSpan w:val="2"/>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回购交易</w:t>
            </w:r>
          </w:p>
        </w:tc>
        <w:tc>
          <w:tcPr>
            <w:tcW w:type="dxa" w:w="2700"/>
            <w:gridSpan w:val="2"/>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权证交易</w:t>
            </w:r>
          </w:p>
        </w:tc>
      </w:tr>
      <w:tr w:rsidR="00B71057" w:rsidRPr="00B71057" w:rsidTr="006D141C">
        <w:tc>
          <w:tcPr>
            <w:tcW w:type="dxa" w:w="9000"/>
            <w:vMerge/>
            <w:vAlign w:val="center"/>
          </w:tcPr>
          <w:p w:rsidP="00026C9C" w:rsidR="001A59F9" w:rsidRDefault="001A59F9" w:rsidRPr="00B71057">
            <w:pPr>
              <w:widowControl/>
              <w:spacing w:line="360" w:lineRule="auto"/>
              <w:jc w:val="left"/>
              <w:rPr>
                <w:rFonts w:eastAsiaTheme="minorEastAsia"/>
                <w:color w:themeColor="text1" w:val="000000"/>
                <w:kern w:val="0"/>
                <w:szCs w:val="21"/>
              </w:rPr>
            </w:pPr>
          </w:p>
        </w:tc>
        <w:tc>
          <w:tcPr>
            <w:tcW w:type="dxa" w:w="132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成交金额</w:t>
            </w:r>
          </w:p>
        </w:tc>
        <w:tc>
          <w:tcPr>
            <w:tcW w:type="dxa" w:w="10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占当期债券成交总额的比例</w:t>
            </w:r>
          </w:p>
        </w:tc>
        <w:tc>
          <w:tcPr>
            <w:tcW w:type="dxa" w:w="108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成交金额</w:t>
            </w:r>
          </w:p>
        </w:tc>
        <w:tc>
          <w:tcPr>
            <w:tcW w:type="dxa" w:w="126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占当期回购成交总额的比例</w:t>
            </w:r>
          </w:p>
        </w:tc>
        <w:tc>
          <w:tcPr>
            <w:tcW w:type="dxa" w:w="126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成交金额</w:t>
            </w:r>
          </w:p>
        </w:tc>
        <w:tc>
          <w:tcPr>
            <w:tcW w:type="dxa" w:w="1440"/>
            <w:vAlign w:val="center"/>
          </w:tcPr>
          <w:p w:rsidP="00026C9C" w:rsidR="001A59F9" w:rsidRDefault="001A59F9" w:rsidRPr="00B71057">
            <w:pPr>
              <w:spacing w:line="360" w:lineRule="auto"/>
              <w:jc w:val="center"/>
              <w:rPr>
                <w:rFonts w:eastAsiaTheme="minorEastAsia"/>
                <w:color w:themeColor="text1" w:val="000000"/>
                <w:szCs w:val="21"/>
              </w:rPr>
            </w:pPr>
            <w:r w:rsidRPr="00B71057">
              <w:rPr>
                <w:rFonts w:eastAsiaTheme="minorEastAsia"/>
                <w:color w:themeColor="text1" w:val="000000"/>
                <w:szCs w:val="21"/>
              </w:rPr>
              <w:t>占当期权证成交总额的比例</w:t>
            </w:r>
          </w:p>
        </w:tc>
      </w:tr>
      <w:tr>
        <w:tc>
          <w:tcPr>
            <w:vAlign w:val="center"/>
          </w:tcPr>
          <w:p>
            <w:pPr>
              <w:jc w:val="left"/>
            </w:pPr>
            <w:r>
              <w:rPr>
                <w:rFonts w:eastAsiaTheme="minorEastAsia"/>
                <w:color w:themeColor="text1" w:val="000000"/>
                <w:szCs w:val="21"/>
              </w:rPr>
              <w:t>中信建投证券</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300,000.00</w:t>
            </w:r>
          </w:p>
        </w:tc>
        <w:tc>
          <w:tcPr>
            <w:vAlign w:val="center"/>
          </w:tcPr>
          <w:p>
            <w:pPr>
              <w:jc w:val="right"/>
            </w:pPr>
            <w:r>
              <w:rPr>
                <w:rFonts w:eastAsiaTheme="minorEastAsia"/>
                <w:color w:themeColor="text1" w:val="000000"/>
                <w:szCs w:val="21"/>
              </w:rPr>
              <w:t>0.16%</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方正证券</w:t>
            </w:r>
          </w:p>
        </w:tc>
        <w:tc>
          <w:tcPr>
            <w:vAlign w:val="center"/>
          </w:tcPr>
          <w:p>
            <w:pPr>
              <w:jc w:val="right"/>
            </w:pPr>
            <w:r>
              <w:rPr>
                <w:rFonts w:eastAsiaTheme="minorEastAsia"/>
                <w:color w:themeColor="text1" w:val="000000"/>
                <w:szCs w:val="21"/>
              </w:rPr>
              <w:t>4,166,826.30</w:t>
            </w:r>
          </w:p>
        </w:tc>
        <w:tc>
          <w:tcPr>
            <w:vAlign w:val="center"/>
          </w:tcPr>
          <w:p>
            <w:pPr>
              <w:jc w:val="right"/>
            </w:pPr>
            <w:r>
              <w:rPr>
                <w:rFonts w:eastAsiaTheme="minorEastAsia"/>
                <w:color w:themeColor="text1" w:val="000000"/>
                <w:szCs w:val="21"/>
              </w:rPr>
              <w:t>21.23%</w:t>
            </w:r>
          </w:p>
        </w:tc>
        <w:tc>
          <w:tcPr>
            <w:vAlign w:val="center"/>
          </w:tcPr>
          <w:p>
            <w:pPr>
              <w:jc w:val="right"/>
            </w:pPr>
            <w:r>
              <w:rPr>
                <w:rFonts w:eastAsiaTheme="minorEastAsia"/>
                <w:color w:themeColor="text1" w:val="000000"/>
                <w:szCs w:val="21"/>
              </w:rPr>
              <w:t>1,400,000.00</w:t>
            </w:r>
          </w:p>
        </w:tc>
        <w:tc>
          <w:tcPr>
            <w:vAlign w:val="center"/>
          </w:tcPr>
          <w:p>
            <w:pPr>
              <w:jc w:val="right"/>
            </w:pPr>
            <w:r>
              <w:rPr>
                <w:rFonts w:eastAsiaTheme="minorEastAsia"/>
                <w:color w:themeColor="text1" w:val="000000"/>
                <w:szCs w:val="21"/>
              </w:rPr>
              <w:t>0.74%</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广发证券</w:t>
            </w:r>
          </w:p>
        </w:tc>
        <w:tc>
          <w:tcPr>
            <w:vAlign w:val="center"/>
          </w:tcPr>
          <w:p>
            <w:pPr>
              <w:jc w:val="right"/>
            </w:pPr>
            <w:r>
              <w:rPr>
                <w:rFonts w:eastAsiaTheme="minorEastAsia"/>
                <w:color w:themeColor="text1" w:val="000000"/>
                <w:szCs w:val="21"/>
              </w:rPr>
              <w:t>1,357,325.40</w:t>
            </w:r>
          </w:p>
        </w:tc>
        <w:tc>
          <w:tcPr>
            <w:vAlign w:val="center"/>
          </w:tcPr>
          <w:p>
            <w:pPr>
              <w:jc w:val="right"/>
            </w:pPr>
            <w:r>
              <w:rPr>
                <w:rFonts w:eastAsiaTheme="minorEastAsia"/>
                <w:color w:themeColor="text1" w:val="000000"/>
                <w:szCs w:val="21"/>
              </w:rPr>
              <w:t>6.92%</w:t>
            </w:r>
          </w:p>
        </w:tc>
        <w:tc>
          <w:tcPr>
            <w:vAlign w:val="center"/>
          </w:tcPr>
          <w:p>
            <w:pPr>
              <w:jc w:val="right"/>
            </w:pPr>
            <w:r>
              <w:rPr>
                <w:rFonts w:eastAsiaTheme="minorEastAsia"/>
                <w:color w:themeColor="text1" w:val="000000"/>
                <w:szCs w:val="21"/>
              </w:rPr>
              <w:t>8,600,000.00</w:t>
            </w:r>
          </w:p>
        </w:tc>
        <w:tc>
          <w:tcPr>
            <w:vAlign w:val="center"/>
          </w:tcPr>
          <w:p>
            <w:pPr>
              <w:jc w:val="right"/>
            </w:pPr>
            <w:r>
              <w:rPr>
                <w:rFonts w:eastAsiaTheme="minorEastAsia"/>
                <w:color w:themeColor="text1" w:val="000000"/>
                <w:szCs w:val="21"/>
              </w:rPr>
              <w:t>4.53%</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太平洋证券</w:t>
            </w:r>
          </w:p>
        </w:tc>
        <w:tc>
          <w:tcPr>
            <w:vAlign w:val="center"/>
          </w:tcPr>
          <w:p>
            <w:pPr>
              <w:jc w:val="right"/>
            </w:pPr>
            <w:r>
              <w:rPr>
                <w:rFonts w:eastAsiaTheme="minorEastAsia"/>
                <w:color w:themeColor="text1" w:val="000000"/>
                <w:szCs w:val="21"/>
              </w:rPr>
              <w:t>448,842.60</w:t>
            </w:r>
          </w:p>
        </w:tc>
        <w:tc>
          <w:tcPr>
            <w:vAlign w:val="center"/>
          </w:tcPr>
          <w:p>
            <w:pPr>
              <w:jc w:val="right"/>
            </w:pPr>
            <w:r>
              <w:rPr>
                <w:rFonts w:eastAsiaTheme="minorEastAsia"/>
                <w:color w:themeColor="text1" w:val="000000"/>
                <w:szCs w:val="21"/>
              </w:rPr>
              <w:t>2.29%</w:t>
            </w:r>
          </w:p>
        </w:tc>
        <w:tc>
          <w:tcPr>
            <w:vAlign w:val="center"/>
          </w:tcPr>
          <w:p>
            <w:pPr>
              <w:jc w:val="right"/>
            </w:pPr>
            <w:r>
              <w:rPr>
                <w:rFonts w:eastAsiaTheme="minorEastAsia"/>
                <w:color w:themeColor="text1" w:val="000000"/>
                <w:szCs w:val="21"/>
              </w:rPr>
              <w:t>1,300,000.00</w:t>
            </w:r>
          </w:p>
        </w:tc>
        <w:tc>
          <w:tcPr>
            <w:vAlign w:val="center"/>
          </w:tcPr>
          <w:p>
            <w:pPr>
              <w:jc w:val="right"/>
            </w:pPr>
            <w:r>
              <w:rPr>
                <w:rFonts w:eastAsiaTheme="minorEastAsia"/>
                <w:color w:themeColor="text1" w:val="000000"/>
                <w:szCs w:val="21"/>
              </w:rPr>
              <w:t>0.69%</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申银万国</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141,800,000.00</w:t>
            </w:r>
          </w:p>
        </w:tc>
        <w:tc>
          <w:tcPr>
            <w:vAlign w:val="center"/>
          </w:tcPr>
          <w:p>
            <w:pPr>
              <w:jc w:val="right"/>
            </w:pPr>
            <w:r>
              <w:rPr>
                <w:rFonts w:eastAsiaTheme="minorEastAsia"/>
                <w:color w:themeColor="text1" w:val="000000"/>
                <w:szCs w:val="21"/>
              </w:rPr>
              <w:t>74.75%</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国信证券</w:t>
            </w:r>
          </w:p>
        </w:tc>
        <w:tc>
          <w:tcPr>
            <w:vAlign w:val="center"/>
          </w:tcPr>
          <w:p>
            <w:pPr>
              <w:jc w:val="right"/>
            </w:pPr>
            <w:r>
              <w:rPr>
                <w:rFonts w:eastAsiaTheme="minorEastAsia"/>
                <w:color w:themeColor="text1" w:val="000000"/>
                <w:szCs w:val="21"/>
              </w:rPr>
              <w:t>1,401,462.20</w:t>
            </w:r>
          </w:p>
        </w:tc>
        <w:tc>
          <w:tcPr>
            <w:vAlign w:val="center"/>
          </w:tcPr>
          <w:p>
            <w:pPr>
              <w:jc w:val="right"/>
            </w:pPr>
            <w:r>
              <w:rPr>
                <w:rFonts w:eastAsiaTheme="minorEastAsia"/>
                <w:color w:themeColor="text1" w:val="000000"/>
                <w:szCs w:val="21"/>
              </w:rPr>
              <w:t>7.14%</w:t>
            </w:r>
          </w:p>
        </w:tc>
        <w:tc>
          <w:tcPr>
            <w:vAlign w:val="center"/>
          </w:tcPr>
          <w:p>
            <w:pPr>
              <w:jc w:val="right"/>
            </w:pPr>
            <w:r>
              <w:rPr>
                <w:rFonts w:eastAsiaTheme="minorEastAsia"/>
                <w:color w:themeColor="text1" w:val="000000"/>
                <w:szCs w:val="21"/>
              </w:rPr>
              <w:t>10,200,000.00</w:t>
            </w:r>
          </w:p>
        </w:tc>
        <w:tc>
          <w:tcPr>
            <w:vAlign w:val="center"/>
          </w:tcPr>
          <w:p>
            <w:pPr>
              <w:jc w:val="right"/>
            </w:pPr>
            <w:r>
              <w:rPr>
                <w:rFonts w:eastAsiaTheme="minorEastAsia"/>
                <w:color w:themeColor="text1" w:val="000000"/>
                <w:szCs w:val="21"/>
              </w:rPr>
              <w:t>5.38%</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东北证券</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2,800,000.00</w:t>
            </w:r>
          </w:p>
        </w:tc>
        <w:tc>
          <w:tcPr>
            <w:vAlign w:val="center"/>
          </w:tcPr>
          <w:p>
            <w:pPr>
              <w:jc w:val="right"/>
            </w:pPr>
            <w:r>
              <w:rPr>
                <w:rFonts w:eastAsiaTheme="minorEastAsia"/>
                <w:color w:themeColor="text1" w:val="000000"/>
                <w:szCs w:val="21"/>
              </w:rPr>
              <w:t>1.48%</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r>
        <w:tc>
          <w:tcPr>
            <w:vAlign w:val="center"/>
          </w:tcPr>
          <w:p>
            <w:pPr>
              <w:jc w:val="left"/>
            </w:pPr>
            <w:r>
              <w:rPr>
                <w:rFonts w:eastAsiaTheme="minorEastAsia"/>
                <w:color w:themeColor="text1" w:val="000000"/>
                <w:szCs w:val="21"/>
              </w:rPr>
              <w:t>恒泰证券</w:t>
            </w:r>
          </w:p>
        </w:tc>
        <w:tc>
          <w:tcPr>
            <w:vAlign w:val="center"/>
          </w:tcPr>
          <w:p>
            <w:pPr>
              <w:jc w:val="right"/>
            </w:pPr>
            <w:r>
              <w:rPr>
                <w:rFonts w:eastAsiaTheme="minorEastAsia"/>
                <w:color w:themeColor="text1" w:val="000000"/>
                <w:szCs w:val="21"/>
              </w:rPr>
              <w:t>12,253,566.40</w:t>
            </w:r>
          </w:p>
        </w:tc>
        <w:tc>
          <w:tcPr>
            <w:vAlign w:val="center"/>
          </w:tcPr>
          <w:p>
            <w:pPr>
              <w:jc w:val="right"/>
            </w:pPr>
            <w:r>
              <w:rPr>
                <w:rFonts w:eastAsiaTheme="minorEastAsia"/>
                <w:color w:themeColor="text1" w:val="000000"/>
                <w:szCs w:val="21"/>
              </w:rPr>
              <w:t>62.43%</w:t>
            </w:r>
          </w:p>
        </w:tc>
        <w:tc>
          <w:tcPr>
            <w:vAlign w:val="center"/>
          </w:tcPr>
          <w:p>
            <w:pPr>
              <w:jc w:val="right"/>
            </w:pPr>
            <w:r>
              <w:rPr>
                <w:rFonts w:eastAsiaTheme="minorEastAsia"/>
                <w:color w:themeColor="text1" w:val="000000"/>
                <w:szCs w:val="21"/>
              </w:rPr>
              <w:t>23,300,000.00</w:t>
            </w:r>
          </w:p>
        </w:tc>
        <w:tc>
          <w:tcPr>
            <w:vAlign w:val="center"/>
          </w:tcPr>
          <w:p>
            <w:pPr>
              <w:jc w:val="right"/>
            </w:pPr>
            <w:r>
              <w:rPr>
                <w:rFonts w:eastAsiaTheme="minorEastAsia"/>
                <w:color w:themeColor="text1" w:val="000000"/>
                <w:szCs w:val="21"/>
              </w:rPr>
              <w:t>12.28%</w:t>
            </w:r>
          </w:p>
        </w:tc>
        <w:tc>
          <w:tcPr>
            <w:vAlign w:val="center"/>
          </w:tcPr>
          <w:p>
            <w:pPr>
              <w:jc w:val="right"/>
            </w:pPr>
            <w:r>
              <w:rPr>
                <w:rFonts w:eastAsiaTheme="minorEastAsia"/>
                <w:color w:themeColor="text1" w:val="000000"/>
                <w:szCs w:val="21"/>
              </w:rPr>
              <w:t>-</w:t>
            </w:r>
          </w:p>
        </w:tc>
        <w:tc>
          <w:tcPr>
            <w:vAlign w:val="center"/>
          </w:tcPr>
          <w:p>
            <w:pPr>
              <w:jc w:val="right"/>
            </w:pPr>
            <w:r>
              <w:rPr>
                <w:rFonts w:eastAsiaTheme="minorEastAsia"/>
                <w:color w:themeColor="text1" w:val="000000"/>
                <w:szCs w:val="21"/>
              </w:rPr>
              <w:t>-</w:t>
            </w:r>
          </w:p>
        </w:tc>
      </w:tr>
    </w:tbl>
    <w:p w:rsidP="00BC1826" w:rsidR="001A59F9" w:rsidRDefault="001A59F9" w:rsidRPr="00B71057">
      <w:pPr>
        <w:spacing w:line="360" w:lineRule="auto"/>
        <w:ind w:firstLine="420" w:firstLineChars="200"/>
        <w:jc w:val="left"/>
        <w:rPr>
          <w:rFonts w:eastAsiaTheme="minorEastAsia"/>
          <w:color w:themeColor="text1" w:val="000000"/>
          <w:szCs w:val="21"/>
        </w:rPr>
      </w:pPr>
      <w:r w:rsidRPr="00B71057">
        <w:rPr>
          <w:rFonts w:eastAsiaTheme="minorEastAsia"/>
          <w:color w:themeColor="text1" w:val="000000"/>
          <w:szCs w:val="21"/>
        </w:rPr>
        <w:t>注：回购交易不包含非担保交收金额。</w:t>
      </w:r>
    </w:p>
    <w:p w:rsidP="00A87FE7" w:rsidR="00A87FE7" w:rsidRDefault="00A87FE7">
      <w:pPr>
        <w:pStyle w:val="1"/>
        <w:keepNext/>
        <w:keepLines/>
        <w:widowControl w:val="0"/>
        <w:spacing w:after="312" w:afterLines="100" w:before="312" w:beforeLines="100" w:line="360" w:lineRule="auto"/>
        <w:jc w:val="center"/>
        <w:rPr>
          <w:rFonts w:eastAsiaTheme="minorEastAsia"/>
          <w:b/>
          <w:bCs/>
          <w:sz w:val="21"/>
          <w:szCs w:val="21"/>
          <w:lang w:val="en-US"/>
        </w:rPr>
      </w:pPr>
      <w:bookmarkStart w:id="106" w:name="_Toc374532345"/>
      <w:r>
        <w:rPr>
          <w:rFonts w:eastAsiaTheme="minorEastAsia"/>
          <w:b/>
          <w:bCs/>
          <w:color w:val="000000"/>
          <w:sz w:val="21"/>
          <w:szCs w:val="21"/>
        </w:rPr>
        <w:t/>
      </w:r>
      <w:r>
        <w:rPr>
          <w:rFonts w:eastAsiaTheme="minorEastAsia"/>
          <w:b/>
          <w:bCs/>
          <w:sz w:val="21"/>
          <w:szCs w:val="21"/>
          <w:lang w:val="en-US"/>
        </w:rPr>
        <w:t xml:space="preserve">12  </w:t>
      </w:r>
      <w:r>
        <w:rPr>
          <w:rFonts w:eastAsiaTheme="minorEastAsia"/>
          <w:b/>
          <w:bCs/>
          <w:sz w:val="21"/>
          <w:szCs w:val="21"/>
          <w:lang w:val="en-US"/>
        </w:rPr>
        <w:t>影响投资者决策的其他重要信息</w:t>
      </w:r>
      <w:bookmarkEnd w:id="106"/>
    </w:p>
    <w:p w:rsidP="00A87FE7" w:rsidR="00A87FE7" w:rsidRDefault="00A87FE7">
      <w:pPr>
        <w:autoSpaceDE w:val="0"/>
        <w:autoSpaceDN w:val="0"/>
        <w:adjustRightInd w:val="0"/>
        <w:spacing w:line="360" w:lineRule="auto"/>
        <w:jc w:val="left"/>
        <w:rPr>
          <w:rFonts w:ascii="宋体" w:hAnsi="宋体"/>
          <w:b/>
          <w:bCs/>
          <w:color w:val="000000"/>
          <w:kern w:val="0"/>
          <w:szCs w:val="21"/>
        </w:rPr>
      </w:pPr>
      <w:r>
        <w:rPr>
          <w:rFonts w:ascii="宋体" w:hAnsi="宋体"/>
          <w:b/>
          <w:color w:val="000000"/>
          <w:kern w:val="0"/>
          <w:szCs w:val="21"/>
        </w:rPr>
        <w:t/>
      </w:r>
      <w:r>
        <w:rPr>
          <w:rFonts w:ascii="宋体" w:hAnsi="宋体"/>
          <w:b/>
          <w:bCs/>
          <w:color w:val="000000"/>
          <w:kern w:val="0"/>
          <w:szCs w:val="21"/>
        </w:rPr>
        <w:t>12.</w:t>
      </w:r>
      <w:r>
        <w:rPr>
          <w:rFonts w:ascii="宋体" w:hAnsi="宋体" w:hint="eastAsia"/>
          <w:b/>
          <w:bCs/>
          <w:color w:val="000000"/>
          <w:kern w:val="0"/>
          <w:szCs w:val="21"/>
        </w:rPr>
        <w:t>1 报告期内单一投资者持有基金份额比例达到或超过20%的情况</w:t>
      </w:r>
    </w:p>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3"/>
        <w:gridCol w:w="992"/>
        <w:gridCol w:w="1843"/>
        <w:gridCol w:w="851"/>
        <w:gridCol w:w="850"/>
        <w:gridCol w:w="1134"/>
        <w:gridCol w:w="1419"/>
        <w:gridCol w:w="1130"/>
      </w:tblGrid>
      <w:tr w:rsidR="00A87FE7" w:rsidTr="00130FB1">
        <w:tc>
          <w:tcPr>
            <w:tcW w:type="dxa" w:w="993"/>
            <w:vMerge w:val="restart"/>
            <w:vAlign w:val="center"/>
          </w:tcPr>
          <w:p w:rsidP="00130FB1" w:rsidR="00A87FE7" w:rsidRDefault="00A87FE7">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color w:val="000000"/>
                <w:kern w:val="0"/>
                <w:szCs w:val="21"/>
              </w:rPr>
              <w:t xml:space="preserve">  </w:t>
            </w:r>
          </w:p>
        </w:tc>
        <w:tc>
          <w:tcPr>
            <w:tcW w:type="dxa" w:w="5670"/>
            <w:gridSpan w:val="5"/>
            <w:vAlign w:val="center"/>
          </w:tcPr>
          <w:p w:rsidP="00130FB1" w:rsidR="00A87FE7" w:rsidRDefault="00A87FE7">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type="dxa" w:w="2549"/>
            <w:gridSpan w:val="2"/>
            <w:vAlign w:val="center"/>
          </w:tcPr>
          <w:p w:rsidP="00130FB1" w:rsidR="00A87FE7" w:rsidRDefault="00A87FE7">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A87FE7" w:rsidTr="00130FB1">
        <w:tc>
          <w:tcPr>
            <w:tcW w:type="dxa" w:w="993"/>
            <w:vMerge/>
            <w:vAlign w:val="center"/>
          </w:tcPr>
          <w:p w:rsidP="00130FB1" w:rsidR="00A87FE7" w:rsidRDefault="00A87FE7">
            <w:pPr>
              <w:autoSpaceDE w:val="0"/>
              <w:autoSpaceDN w:val="0"/>
              <w:adjustRightInd w:val="0"/>
              <w:jc w:val="center"/>
              <w:rPr>
                <w:rFonts w:ascii="宋体" w:hAnsi="宋体"/>
                <w:b/>
                <w:bCs/>
                <w:color w:val="000000"/>
                <w:kern w:val="0"/>
                <w:szCs w:val="21"/>
              </w:rPr>
            </w:pPr>
          </w:p>
        </w:tc>
        <w:tc>
          <w:tcPr>
            <w:tcW w:type="dxa" w:w="992"/>
            <w:vAlign w:val="center"/>
          </w:tcPr>
          <w:p w:rsidP="00130FB1" w:rsidR="00A87FE7" w:rsidRDefault="00A87FE7">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vAlign w:val="center"/>
          </w:tcPr>
          <w:p w:rsidP="00130FB1" w:rsidR="00A87FE7" w:rsidRDefault="00A87FE7">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type="dxa" w:w="851"/>
            <w:vAlign w:val="center"/>
          </w:tcPr>
          <w:p w:rsidP="00130FB1" w:rsidR="00A87FE7" w:rsidRDefault="00A87FE7">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type="dxa" w:w="850"/>
            <w:vAlign w:val="center"/>
          </w:tcPr>
          <w:p w:rsidP="00130FB1" w:rsidR="00A87FE7" w:rsidRDefault="00A87FE7">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type="dxa" w:w="1134"/>
            <w:vAlign w:val="center"/>
          </w:tcPr>
          <w:p w:rsidP="00130FB1" w:rsidR="00A87FE7" w:rsidRDefault="00A87FE7">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type="dxa" w:w="1419"/>
            <w:vAlign w:val="center"/>
          </w:tcPr>
          <w:p w:rsidP="00130FB1" w:rsidR="00A87FE7" w:rsidRDefault="00A87FE7">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vAlign w:val="center"/>
          </w:tcPr>
          <w:p w:rsidP="00130FB1" w:rsidR="00A87FE7" w:rsidRDefault="00A87FE7">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color w:val="000000"/>
                <w:kern w:val="0"/>
                <w:szCs w:val="21"/>
              </w:rPr>
              <w:t>1</w:t>
            </w:r>
          </w:p>
        </w:tc>
        <w:tc>
          <w:tcPr>
            <w:vAlign w:val="center"/>
          </w:tcPr>
          <w:p>
            <w:pPr>
              <w:jc w:val="center"/>
            </w:pPr>
            <w:r>
              <w:rPr>
                <w:rFonts w:ascii="宋体" w:hAnsi="宋体"/>
                <w:color w:val="000000"/>
                <w:kern w:val="0"/>
                <w:szCs w:val="21"/>
              </w:rPr>
              <w:t>20180326-20181231</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50,014,460.58</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50,014,460.58</w:t>
            </w:r>
          </w:p>
        </w:tc>
        <w:tc>
          <w:tcPr>
            <w:vAlign w:val="center"/>
          </w:tcPr>
          <w:p>
            <w:pPr>
              <w:jc w:val="center"/>
            </w:pPr>
            <w:r>
              <w:rPr>
                <w:rFonts w:ascii="宋体" w:hAnsi="宋体"/>
                <w:color w:val="000000"/>
                <w:kern w:val="0"/>
                <w:szCs w:val="21"/>
              </w:rPr>
              <w:t>22.35%</w:t>
            </w:r>
          </w:p>
        </w:tc>
      </w:tr>
    </w:tbl>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2"/>
      </w:tblGrid>
      <w:tr w:rsidR="00A87FE7" w:rsidTr="00130FB1">
        <w:tc>
          <w:tcPr>
            <w:tcW w:type="dxa" w:w="9212"/>
            <w:vAlign w:val="center"/>
          </w:tcPr>
          <w:p w:rsidP="00130FB1" w:rsidR="00A87FE7" w:rsidRDefault="00A87FE7">
            <w:pPr>
              <w:autoSpaceDE w:val="0"/>
              <w:autoSpaceDN w:val="0"/>
              <w:adjustRightInd w:val="0"/>
              <w:jc w:val="center"/>
              <w:rPr>
                <w:rFonts w:ascii="宋体" w:hAnsi="宋体"/>
                <w:kern w:val="0"/>
                <w:szCs w:val="21"/>
              </w:rPr>
            </w:pPr>
            <w:r>
              <w:rPr>
                <w:rFonts w:ascii="宋体" w:hAnsi="宋体"/>
                <w:color w:val="000000"/>
                <w:kern w:val="0"/>
                <w:szCs w:val="21"/>
              </w:rPr>
              <w:t>产品特有风险</w:t>
            </w:r>
            <w:r>
              <w:rPr>
                <w:rFonts w:ascii="宋体" w:hAnsi="宋体"/>
                <w:kern w:val="0"/>
                <w:szCs w:val="21"/>
              </w:rPr>
              <w:t/>
            </w:r>
            <w:r>
              <w:rPr>
                <w:rFonts w:ascii="宋体" w:hAnsi="宋体" w:hint="eastAsia"/>
                <w:kern w:val="0"/>
                <w:szCs w:val="21"/>
              </w:rPr>
              <w:t/>
            </w:r>
            <w:r>
              <w:rPr>
                <w:rFonts w:ascii="宋体" w:hAnsi="宋体"/>
                <w:kern w:val="0"/>
                <w:szCs w:val="21"/>
              </w:rPr>
              <w:t/>
            </w:r>
          </w:p>
        </w:tc>
      </w:tr>
      <w:tr w:rsidR="00A87FE7" w:rsidTr="00130FB1">
        <w:tc>
          <w:tcPr>
            <w:tcW w:type="dxa" w:w="9212"/>
            <w:vAlign w:val="center"/>
          </w:tcPr>
          <w:p>
            <w:pPr>
              <w:autoSpaceDE w:val="0"/>
              <w:autoSpaceDN w:val="0"/>
              <w:adjustRightInd w:val="0"/>
              <w:jc w:val="left"/>
              <w:rPr>
                <w:rFonts w:ascii="宋体" w:hAnsi="宋体"/>
                <w:kern w:val="0"/>
                <w:szCs w:val="21"/>
              </w:rPr>
            </w:pPr>
            <w:r>
              <w:rPr>
                <w:rFonts w:ascii="宋体" w:hAnsi="宋体" w:hint="eastAsia"/>
                <w:kern w:val="0"/>
                <w:szCs w:val="21"/>
              </w:rPr>
              <w:t>1、赎回申请延期办理的风险</w:t>
            </w:r>
          </w:p>
          <w:p>
            <w:pPr>
              <w:autoSpaceDE w:val="0"/>
              <w:autoSpaceDN w:val="0"/>
              <w:adjustRightInd w:val="0"/>
              <w:jc w:val="left"/>
              <w:rPr>
                <w:rFonts w:ascii="宋体" w:hAnsi="宋体"/>
                <w:kern w:val="0"/>
                <w:szCs w:val="21"/>
              </w:rPr>
            </w:pPr>
            <w:r>
              <w:rPr>
                <w:rFonts w:ascii="宋体" w:hAnsi="宋体" w:hint="eastAsia"/>
                <w:kern w:val="0"/>
                <w:szCs w:val="21"/>
              </w:rPr>
              <w:t>机构投资者大额赎回时易构成本基金发生巨额赎回，中小投资者可能面临小额赎回，中小投资者可能面临小额赎回申请也需要与机构投资者按同比例部分延期办理的风险；</w:t>
            </w:r>
          </w:p>
          <w:p>
            <w:pPr>
              <w:autoSpaceDE w:val="0"/>
              <w:autoSpaceDN w:val="0"/>
              <w:adjustRightInd w:val="0"/>
              <w:jc w:val="left"/>
              <w:rPr>
                <w:rFonts w:ascii="宋体" w:hAnsi="宋体"/>
                <w:kern w:val="0"/>
                <w:szCs w:val="21"/>
              </w:rPr>
            </w:pPr>
            <w:r>
              <w:rPr>
                <w:rFonts w:ascii="宋体" w:hAnsi="宋体" w:hint="eastAsia"/>
                <w:kern w:val="0"/>
                <w:szCs w:val="21"/>
              </w:rPr>
              <w:t>2、基金净值大幅波动的风险</w:t>
            </w:r>
          </w:p>
          <w:p>
            <w:pPr>
              <w:autoSpaceDE w:val="0"/>
              <w:autoSpaceDN w:val="0"/>
              <w:adjustRightInd w:val="0"/>
              <w:jc w:val="left"/>
              <w:rPr>
                <w:rFonts w:ascii="宋体" w:hAnsi="宋体"/>
                <w:kern w:val="0"/>
                <w:szCs w:val="21"/>
              </w:rPr>
            </w:pPr>
            <w:r>
              <w:rPr>
                <w:rFonts w:ascii="宋体" w:hAnsi="宋体" w:hint="eastAsia"/>
                <w:kern w:val="0"/>
                <w:szCs w:val="21"/>
              </w:rPr>
              <w:t>机构投资者大额赎回时，基金管理人进行基金财产变现可能会对基金资产净值造成较大波动；</w:t>
            </w:r>
          </w:p>
          <w:p>
            <w:pPr>
              <w:autoSpaceDE w:val="0"/>
              <w:autoSpaceDN w:val="0"/>
              <w:adjustRightInd w:val="0"/>
              <w:jc w:val="left"/>
              <w:rPr>
                <w:rFonts w:ascii="宋体" w:hAnsi="宋体"/>
                <w:kern w:val="0"/>
                <w:szCs w:val="21"/>
              </w:rPr>
            </w:pPr>
            <w:r>
              <w:rPr>
                <w:rFonts w:ascii="宋体" w:hAnsi="宋体" w:hint="eastAsia"/>
                <w:kern w:val="0"/>
                <w:szCs w:val="21"/>
              </w:rPr>
              <w:t>3、提前终止基金合同的风险</w:t>
            </w:r>
          </w:p>
          <w:p>
            <w:pPr>
              <w:autoSpaceDE w:val="0"/>
              <w:autoSpaceDN w:val="0"/>
              <w:adjustRightInd w:val="0"/>
              <w:jc w:val="left"/>
              <w:rPr>
                <w:rFonts w:ascii="宋体" w:hAnsi="宋体"/>
                <w:kern w:val="0"/>
                <w:szCs w:val="21"/>
              </w:rPr>
            </w:pPr>
            <w:r>
              <w:rPr>
                <w:rFonts w:ascii="宋体" w:hAnsi="宋体" w:hint="eastAsia"/>
                <w:kern w:val="0"/>
                <w:szCs w:val="21"/>
              </w:rPr>
              <w:t>机构投资者赎回后，可能出现基金资产净值低于5000万元的情形，若连续六十个工作日出现基金资产净值低于5000万元情形的，基金管理人可能提前终止基金合同，基金财产将进行清算；</w:t>
            </w:r>
          </w:p>
          <w:p>
            <w:pPr>
              <w:autoSpaceDE w:val="0"/>
              <w:autoSpaceDN w:val="0"/>
              <w:adjustRightInd w:val="0"/>
              <w:jc w:val="left"/>
              <w:rPr>
                <w:rFonts w:ascii="宋体" w:hAnsi="宋体"/>
                <w:kern w:val="0"/>
                <w:szCs w:val="21"/>
              </w:rPr>
            </w:pPr>
            <w:r>
              <w:rPr>
                <w:rFonts w:ascii="宋体" w:hAnsi="宋体" w:hint="eastAsia"/>
                <w:kern w:val="0"/>
                <w:szCs w:val="21"/>
              </w:rPr>
              <w:t>4、基金规模过小导致的风险</w:t>
            </w:r>
          </w:p>
          <w:p w:rsidP="00130FB1" w:rsidR="00A87FE7" w:rsidRDefault="00A87FE7">
            <w:pPr>
              <w:autoSpaceDE w:val="0"/>
              <w:autoSpaceDN w:val="0"/>
              <w:adjustRightInd w:val="0"/>
              <w:jc w:val="left"/>
              <w:rPr>
                <w:rFonts w:ascii="宋体" w:hAnsi="宋体"/>
                <w:kern w:val="0"/>
                <w:szCs w:val="21"/>
              </w:rPr>
            </w:pPr>
            <w:r>
              <w:rPr>
                <w:rFonts w:ascii="宋体" w:hAnsi="宋体" w:hint="eastAsia"/>
                <w:kern w:val="0"/>
                <w:szCs w:val="21"/>
              </w:rPr>
              <w:t/>
            </w:r>
            <w:r>
              <w:rPr>
                <w:rFonts w:ascii="宋体" w:hAnsi="宋体"/>
                <w:kern w:val="0"/>
                <w:szCs w:val="21"/>
              </w:rPr>
              <w:t/>
            </w:r>
            <w:r>
              <w:rPr>
                <w:rFonts w:ascii="宋体" w:hAnsi="宋体" w:hint="eastAsia"/>
                <w:kern w:val="0"/>
                <w:szCs w:val="21"/>
              </w:rPr>
              <w:t>机构投资者赎回后，可能导致基金规模过小。基金可能会面临投资银行间债券、交易所债券时交易困难的情形。</w:t>
            </w:r>
            <w:r>
              <w:rPr>
                <w:rFonts w:ascii="宋体" w:hAnsi="宋体"/>
                <w:kern w:val="0"/>
                <w:szCs w:val="21"/>
              </w:rPr>
              <w:t/>
            </w:r>
          </w:p>
        </w:tc>
      </w:tr>
    </w:tbl>
    <w:p w:rsidP="00A87FE7" w:rsidR="00A87FE7" w:rsidRDefault="00A87FE7">
      <w:pPr>
        <w:autoSpaceDE w:val="0"/>
        <w:autoSpaceDN w:val="0"/>
        <w:adjustRightInd w:val="0"/>
        <w:spacing w:line="360" w:lineRule="auto"/>
        <w:jc w:val="left"/>
        <w:rPr>
          <w:rFonts w:ascii="宋体" w:hAnsi="宋体"/>
          <w:b/>
          <w:bCs/>
          <w:color w:val="000000"/>
          <w:kern w:val="0"/>
          <w:szCs w:val="21"/>
        </w:rPr>
      </w:pPr>
      <w:r>
        <w:rPr>
          <w:rFonts w:ascii="宋体" w:hAnsi="宋体"/>
          <w:b/>
          <w:color w:val="000000"/>
          <w:kern w:val="0"/>
          <w:szCs w:val="21"/>
        </w:rPr>
        <w:t/>
      </w:r>
      <w:r>
        <w:rPr>
          <w:rFonts w:ascii="宋体" w:hAnsi="宋体" w:hint="eastAsia"/>
          <w:b/>
          <w:bCs/>
          <w:color w:val="000000"/>
          <w:kern w:val="0"/>
          <w:szCs w:val="21"/>
        </w:rPr>
        <w:t>12.2 影响投资者决策的其他重要信息</w:t>
      </w:r>
    </w:p>
    <w:p w:rsidP="00A87FE7" w:rsidR="00A87FE7" w:rsidRDefault="00A87FE7">
      <w:pPr>
        <w:spacing w:line="360" w:lineRule="auto"/>
        <w:ind w:firstLine="420" w:firstLineChars="200"/>
        <w:rPr>
          <w:rFonts w:ascii="宋体" w:hAnsi="宋体"/>
          <w:color w:val="000000"/>
          <w:szCs w:val="21"/>
        </w:rPr>
      </w:pPr>
      <w:r>
        <w:rPr>
          <w:rFonts w:ascii="宋体" w:hAnsi="宋体"/>
          <w:color w:val="000000"/>
          <w:szCs w:val="21"/>
        </w:rPr>
        <w:t>本基金本报告期内无影响投资者决策的其他重要信息。</w:t>
      </w:r>
    </w:p>
    <w:p w:rsidP="008B2C7A" w:rsidR="001A59F9" w:rsidRDefault="001A59F9" w:rsidRPr="00B71057">
      <w:pPr>
        <w:spacing w:line="360" w:lineRule="auto"/>
        <w:ind w:firstLine="315" w:firstLineChars="150"/>
        <w:rPr>
          <w:rFonts w:eastAsiaTheme="minorEastAsia"/>
          <w:bCs/>
          <w:color w:themeColor="text1" w:val="000000"/>
          <w:szCs w:val="21"/>
        </w:rPr>
      </w:pPr>
    </w:p>
    <w:p w:rsidP="008B2C7A" w:rsidR="001A59F9" w:rsidRDefault="001A59F9" w:rsidRPr="00B71057">
      <w:pPr>
        <w:spacing w:line="360" w:lineRule="auto"/>
        <w:ind w:firstLine="315" w:firstLineChars="150"/>
        <w:rPr>
          <w:rFonts w:eastAsiaTheme="minorEastAsia"/>
          <w:bCs/>
          <w:color w:themeColor="text1" w:val="000000"/>
          <w:szCs w:val="21"/>
        </w:rPr>
      </w:pPr>
    </w:p>
    <w:p w:rsidP="008B2C7A" w:rsidR="001A59F9" w:rsidRDefault="001A59F9" w:rsidRPr="00B71057">
      <w:pPr>
        <w:spacing w:line="360" w:lineRule="auto"/>
        <w:ind w:firstLine="315" w:firstLineChars="150"/>
        <w:rPr>
          <w:rFonts w:eastAsiaTheme="minorEastAsia"/>
          <w:bCs/>
          <w:color w:themeColor="text1" w:val="000000"/>
          <w:szCs w:val="21"/>
        </w:rPr>
      </w:pPr>
    </w:p>
    <w:p w:rsidP="008B2C7A" w:rsidR="001A59F9" w:rsidRDefault="001A59F9" w:rsidRPr="00B71057">
      <w:pPr>
        <w:spacing w:line="360" w:lineRule="auto"/>
        <w:ind w:firstLine="315" w:firstLineChars="150"/>
        <w:rPr>
          <w:rFonts w:eastAsiaTheme="minorEastAsia"/>
          <w:bCs/>
          <w:color w:themeColor="text1" w:val="000000"/>
          <w:szCs w:val="21"/>
        </w:rPr>
      </w:pPr>
    </w:p>
    <w:p w:rsidP="008B2C7A" w:rsidR="001A59F9" w:rsidRDefault="001A59F9" w:rsidRPr="00B71057">
      <w:pPr>
        <w:spacing w:line="360" w:lineRule="auto"/>
        <w:ind w:firstLine="315" w:firstLineChars="150"/>
        <w:rPr>
          <w:rFonts w:eastAsiaTheme="minorEastAsia"/>
          <w:bCs/>
          <w:color w:themeColor="text1" w:val="000000"/>
          <w:szCs w:val="21"/>
        </w:rPr>
      </w:pPr>
    </w:p>
    <w:p w:rsidP="008B2C7A" w:rsidR="001A59F9" w:rsidRDefault="001A59F9" w:rsidRPr="00B71057">
      <w:pPr>
        <w:spacing w:line="360" w:lineRule="auto"/>
        <w:ind w:firstLine="315" w:firstLineChars="150"/>
        <w:rPr>
          <w:rFonts w:eastAsiaTheme="minorEastAsia"/>
          <w:bCs/>
          <w:color w:themeColor="text1" w:val="000000"/>
          <w:szCs w:val="21"/>
        </w:rPr>
      </w:pPr>
    </w:p>
    <w:p w:rsidP="008B2C7A" w:rsidR="001A59F9" w:rsidRDefault="001A59F9" w:rsidRPr="00B71057">
      <w:pPr>
        <w:spacing w:line="360" w:lineRule="auto"/>
        <w:ind w:firstLine="315" w:firstLineChars="150"/>
        <w:rPr>
          <w:rFonts w:eastAsiaTheme="minorEastAsia"/>
          <w:bCs/>
          <w:color w:themeColor="text1" w:val="000000"/>
          <w:szCs w:val="21"/>
        </w:rPr>
      </w:pPr>
    </w:p>
    <w:p w:rsidP="00026C9C" w:rsidR="001A59F9" w:rsidRDefault="00E5367C" w:rsidRPr="00B71057">
      <w:pPr>
        <w:spacing w:line="360" w:lineRule="auto"/>
        <w:ind w:left="840"/>
        <w:jc w:val="right"/>
        <w:rPr>
          <w:rFonts w:eastAsiaTheme="minorEastAsia"/>
          <w:b/>
          <w:bCs/>
          <w:color w:themeColor="text1" w:val="000000"/>
          <w:szCs w:val="21"/>
        </w:rPr>
      </w:pPr>
      <w:r w:rsidRPr="00B71057">
        <w:rPr>
          <w:rFonts w:eastAsiaTheme="minorEastAsia"/>
          <w:b/>
          <w:bCs/>
          <w:color w:themeColor="text1" w:val="000000"/>
          <w:szCs w:val="21"/>
        </w:rPr>
        <w:t/>
      </w:r>
      <w:r w:rsidR="001A59F9" w:rsidRPr="00B71057">
        <w:rPr>
          <w:rFonts w:eastAsiaTheme="minorEastAsia"/>
          <w:b/>
          <w:bCs/>
          <w:color w:themeColor="text1" w:val="000000"/>
          <w:szCs w:val="21"/>
        </w:rPr>
        <w:t>新华基金管理股份有限公司</w:t>
      </w:r>
    </w:p>
    <w:p w:rsidP="002738EF" w:rsidR="00230D58" w:rsidRDefault="00E5367C" w:rsidRPr="00B71057">
      <w:pPr>
        <w:spacing w:line="360" w:lineRule="auto"/>
        <w:ind w:left="840"/>
        <w:jc w:val="right"/>
        <w:rPr>
          <w:rFonts w:eastAsiaTheme="minorEastAsia"/>
          <w:b/>
          <w:bCs/>
          <w:color w:themeColor="text1" w:val="000000"/>
          <w:szCs w:val="21"/>
        </w:rPr>
      </w:pPr>
      <w:r w:rsidRPr="00B71057">
        <w:rPr>
          <w:rFonts w:eastAsiaTheme="minorEastAsia"/>
          <w:b/>
          <w:bCs/>
          <w:color w:themeColor="text1" w:val="000000"/>
          <w:szCs w:val="21"/>
        </w:rPr>
        <w:t/>
      </w:r>
      <w:r w:rsidR="00A77C51" w:rsidRPr="00B71057">
        <w:rPr>
          <w:rFonts w:eastAsiaTheme="minorEastAsia"/>
          <w:b/>
          <w:bCs/>
          <w:color w:themeColor="text1" w:val="000000"/>
          <w:szCs w:val="21"/>
        </w:rPr>
        <w:t>二〇一九年三月二十八日</w:t>
      </w:r>
    </w:p>
    <w:p w:rsidP="00230D58" w:rsidR="00230D58" w:rsidRDefault="00230D58" w:rsidRPr="00B71057">
      <w:pPr>
        <w:autoSpaceDE w:val="0"/>
        <w:autoSpaceDN w:val="0"/>
        <w:adjustRightInd w:val="0"/>
        <w:spacing w:line="360" w:lineRule="auto"/>
        <w:ind w:right="480"/>
        <w:rPr>
          <w:rFonts w:eastAsiaTheme="minorEastAsia"/>
          <w:b/>
          <w:bCs/>
          <w:color w:themeColor="text1" w:val="000000"/>
          <w:szCs w:val="21"/>
        </w:rPr>
      </w:pPr>
    </w:p>
    <w:sectPr w:rsidR="00230D58" w:rsidRPr="00B71057" w:rsidSect="00937AC9">
      <w:footerReference r:id="rId13" w:type="even"/>
      <w:footerReference r:id="rId14" w:type="default"/>
      <w:pgSz w:code="9" w:h="16838" w:w="11906"/>
      <w:pgMar w:bottom="851" w:footer="992" w:gutter="0" w:header="851" w:left="1418" w:right="1418" w:top="1418"/>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55" w:rsidRDefault="00157155">
      <w:r>
        <w:separator/>
      </w:r>
    </w:p>
  </w:endnote>
  <w:endnote w:type="continuationSeparator" w:id="0">
    <w:p w:rsidR="00157155" w:rsidRDefault="0015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C03B3A" w:rsidR="00905E2F" w:rsidRDefault="00905E2F">
    <w:pPr>
      <w:pStyle w:val="a7"/>
      <w:framePr w:hAnchor="margin" w:vAnchor="text" w:wrap="around" w:xAlign="right" w:y="1"/>
      <w:rPr>
        <w:rStyle w:val="a8"/>
      </w:rPr>
    </w:pPr>
    <w:r>
      <w:rPr>
        <w:rStyle w:val="a8"/>
      </w:rPr>
      <w:fldChar w:fldCharType="begin"/>
    </w:r>
    <w:r>
      <w:rPr>
        <w:rStyle w:val="a8"/>
      </w:rPr>
      <w:instrText xml:space="preserve">PAGE  </w:instrText>
    </w:r>
    <w:r>
      <w:rPr>
        <w:rStyle w:val="a8"/>
      </w:rPr>
      <w:fldChar w:fldCharType="end"/>
    </w:r>
  </w:p>
  <w:p w:rsidP="00C03B3A" w:rsidR="00905E2F" w:rsidRDefault="00905E2F">
    <w:pPr>
      <w:pStyle w:val="a7"/>
      <w:ind w:right="360"/>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C03B3A" w:rsidR="00905E2F" w:rsidRDefault="00905E2F">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522213">
      <w:rPr>
        <w:noProof/>
        <w:kern w:val="0"/>
        <w:szCs w:val="21"/>
      </w:rPr>
      <w:t>40</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522213">
      <w:rPr>
        <w:noProof/>
        <w:kern w:val="0"/>
        <w:szCs w:val="21"/>
      </w:rPr>
      <w:t>40</w:t>
    </w:r>
    <w:r>
      <w:rPr>
        <w:kern w:val="0"/>
        <w:szCs w:val="21"/>
      </w:rPr>
      <w:fldChar w:fldCharType="end"/>
    </w:r>
    <w:r>
      <w:rPr>
        <w:rFonts w:hint="eastAsia"/>
        <w:kern w:val="0"/>
        <w:szCs w:val="21"/>
      </w:rPr>
      <w:t>页</w:t>
    </w: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otnote w:id="-1" w:type="separator">
    <w:p w:rsidR="00157155" w:rsidRDefault="00157155">
      <w:r>
        <w:separator/>
      </w:r>
    </w:p>
  </w:footnote>
  <w:footnote w:id="0" w:type="continuationSeparator">
    <w:p w:rsidR="00157155" w:rsidRDefault="00157155">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P="00C2542B" w:rsidR="00905E2F" w:rsidRDefault="00905E2F" w:rsidRPr="00C2542B">
    <w:pPr>
      <w:pStyle w:val="aa"/>
      <w:pBdr>
        <w:bottom w:color="auto" w:space="0" w:sz="6" w:val="single"/>
      </w:pBdr>
      <w:jc w:val="right"/>
    </w:pPr>
    <w:r w:rsidRPr="0098122D">
      <w:rPr>
        <w:sz w:val="21"/>
        <w:szCs w:val="21"/>
      </w:rPr>
      <w:t>新华安享惠钰定期开放债券型证券投资基金2018年年度报告</w:t>
    </w:r>
    <w:r>
      <w:rPr>
        <w:rFonts w:hint="eastAsia"/>
        <w:sz w:val="21"/>
        <w:szCs w:val="21"/>
      </w:rPr>
      <w:t>摘要</w:t>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1DF74DBA"/>
    <w:multiLevelType w:val="multilevel"/>
    <w:tmpl w:val="B7D01BBA"/>
    <w:lvl w:ilvl="0">
      <w:start w:val="3"/>
      <w:numFmt w:val="decimal"/>
      <w:lvlText w:val="%1"/>
      <w:lvlJc w:val="left"/>
      <w:pPr>
        <w:tabs>
          <w:tab w:pos="360" w:val="num"/>
        </w:tabs>
        <w:ind w:hanging="360" w:left="36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2">
    <w:nsid w:val="211D1A1B"/>
    <w:multiLevelType w:val="multilevel"/>
    <w:tmpl w:val="6E2E530C"/>
    <w:lvl w:ilvl="0">
      <w:start w:val="12"/>
      <w:numFmt w:val="decimal"/>
      <w:lvlText w:val="%1"/>
      <w:lvlJc w:val="left"/>
      <w:pPr>
        <w:tabs>
          <w:tab w:pos="480" w:val="num"/>
        </w:tabs>
        <w:ind w:hanging="480" w:left="480"/>
      </w:pPr>
      <w:rPr>
        <w:rFonts w:cs="Times New Roman" w:hint="default"/>
      </w:rPr>
    </w:lvl>
    <w:lvl w:ilvl="1">
      <w:start w:val="1"/>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pos="360" w:val="num"/>
        </w:tabs>
        <w:ind w:hanging="360" w:left="36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418" w:val="num"/>
        </w:tabs>
        <w:ind w:hanging="567" w:left="1418"/>
      </w:pPr>
      <w:rPr>
        <w:rFonts w:cs="Times New Roman"/>
      </w:rPr>
    </w:lvl>
    <w:lvl w:ilvl="3">
      <w:start w:val="1"/>
      <w:numFmt w:val="decimal"/>
      <w:lvlText w:val="%1.%2.%3.%4"/>
      <w:lvlJc w:val="left"/>
      <w:pPr>
        <w:tabs>
          <w:tab w:pos="1984" w:val="num"/>
        </w:tabs>
        <w:ind w:hanging="708" w:left="1984"/>
      </w:pPr>
      <w:rPr>
        <w:rFonts w:cs="Times New Roman"/>
      </w:rPr>
    </w:lvl>
    <w:lvl w:ilvl="4">
      <w:start w:val="1"/>
      <w:numFmt w:val="decimal"/>
      <w:lvlText w:val="%1.%2.%3.%4.%5"/>
      <w:lvlJc w:val="left"/>
      <w:pPr>
        <w:tabs>
          <w:tab w:pos="2551" w:val="num"/>
        </w:tabs>
        <w:ind w:hanging="850" w:left="2551"/>
      </w:pPr>
      <w:rPr>
        <w:rFonts w:cs="Times New Roman"/>
      </w:rPr>
    </w:lvl>
    <w:lvl w:ilvl="5">
      <w:start w:val="1"/>
      <w:numFmt w:val="decimal"/>
      <w:lvlText w:val="%1.%2.%3.%4.%5.%6"/>
      <w:lvlJc w:val="left"/>
      <w:pPr>
        <w:tabs>
          <w:tab w:pos="3260" w:val="num"/>
        </w:tabs>
        <w:ind w:hanging="1134" w:left="3260"/>
      </w:pPr>
      <w:rPr>
        <w:rFonts w:cs="Times New Roman"/>
      </w:rPr>
    </w:lvl>
    <w:lvl w:ilvl="6">
      <w:start w:val="1"/>
      <w:numFmt w:val="decimal"/>
      <w:lvlText w:val="%1.%2.%3.%4.%5.%6.%7"/>
      <w:lvlJc w:val="left"/>
      <w:pPr>
        <w:tabs>
          <w:tab w:pos="3827" w:val="num"/>
        </w:tabs>
        <w:ind w:hanging="1276" w:left="3827"/>
      </w:pPr>
      <w:rPr>
        <w:rFonts w:cs="Times New Roman"/>
      </w:rPr>
    </w:lvl>
    <w:lvl w:ilvl="7">
      <w:start w:val="1"/>
      <w:numFmt w:val="decimal"/>
      <w:lvlText w:val="%1.%2.%3.%4.%5.%6.%7.%8"/>
      <w:lvlJc w:val="left"/>
      <w:pPr>
        <w:tabs>
          <w:tab w:pos="4394" w:val="num"/>
        </w:tabs>
        <w:ind w:hanging="1418" w:left="4394"/>
      </w:pPr>
      <w:rPr>
        <w:rFonts w:cs="Times New Roman"/>
      </w:rPr>
    </w:lvl>
    <w:lvl w:ilvl="8">
      <w:start w:val="1"/>
      <w:numFmt w:val="decimal"/>
      <w:lvlText w:val="%1.%2.%3.%4.%5.%6.%7.%8.%9"/>
      <w:lvlJc w:val="left"/>
      <w:pPr>
        <w:tabs>
          <w:tab w:pos="5102" w:val="num"/>
        </w:tabs>
        <w:ind w:hanging="1700" w:left="5102"/>
      </w:pPr>
      <w:rPr>
        <w:rFonts w:cs="Times New Roman"/>
      </w:rPr>
    </w:lvl>
  </w:abstractNum>
  <w:abstractNum w:abstractNumId="6">
    <w:nsid w:val="52D86888"/>
    <w:multiLevelType w:val="multilevel"/>
    <w:tmpl w:val="DD2C7036"/>
    <w:lvl w:ilvl="0">
      <w:start w:val="10"/>
      <w:numFmt w:val="decimal"/>
      <w:lvlText w:val="%1"/>
      <w:lvlJc w:val="left"/>
      <w:pPr>
        <w:tabs>
          <w:tab w:pos="480" w:val="num"/>
        </w:tabs>
        <w:ind w:hanging="480" w:left="480"/>
      </w:pPr>
      <w:rPr>
        <w:rFonts w:cs="Times New Roman" w:hint="default"/>
      </w:rPr>
    </w:lvl>
    <w:lvl w:ilvl="1">
      <w:start w:val="3"/>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pos="1200" w:val="num"/>
        </w:tabs>
        <w:ind w:hanging="720" w:left="1200"/>
      </w:pPr>
      <w:rPr>
        <w:rFonts w:cs="Times New Roman" w:hint="eastAsia"/>
        <w:sz w:val="24"/>
      </w:rPr>
    </w:lvl>
    <w:lvl w:ilvl="1" w:tentative="1" w:tplc="04090019">
      <w:start w:val="1"/>
      <w:numFmt w:val="lowerLetter"/>
      <w:lvlText w:val="%2)"/>
      <w:lvlJc w:val="left"/>
      <w:pPr>
        <w:tabs>
          <w:tab w:pos="1320" w:val="num"/>
        </w:tabs>
        <w:ind w:hanging="420" w:left="1320"/>
      </w:pPr>
      <w:rPr>
        <w:rFonts w:cs="Times New Roman"/>
      </w:rPr>
    </w:lvl>
    <w:lvl w:ilvl="2" w:tentative="1" w:tplc="0409001B">
      <w:start w:val="1"/>
      <w:numFmt w:val="lowerRoman"/>
      <w:lvlText w:val="%3."/>
      <w:lvlJc w:val="right"/>
      <w:pPr>
        <w:tabs>
          <w:tab w:pos="1740" w:val="num"/>
        </w:tabs>
        <w:ind w:hanging="420" w:left="1740"/>
      </w:pPr>
      <w:rPr>
        <w:rFonts w:cs="Times New Roman"/>
      </w:rPr>
    </w:lvl>
    <w:lvl w:ilvl="3" w:tentative="1" w:tplc="0409000F">
      <w:start w:val="1"/>
      <w:numFmt w:val="decimal"/>
      <w:lvlText w:val="%4."/>
      <w:lvlJc w:val="left"/>
      <w:pPr>
        <w:tabs>
          <w:tab w:pos="2160" w:val="num"/>
        </w:tabs>
        <w:ind w:hanging="420" w:left="2160"/>
      </w:pPr>
      <w:rPr>
        <w:rFonts w:cs="Times New Roman"/>
      </w:rPr>
    </w:lvl>
    <w:lvl w:ilvl="4" w:tentative="1" w:tplc="04090019">
      <w:start w:val="1"/>
      <w:numFmt w:val="lowerLetter"/>
      <w:lvlText w:val="%5)"/>
      <w:lvlJc w:val="left"/>
      <w:pPr>
        <w:tabs>
          <w:tab w:pos="2580" w:val="num"/>
        </w:tabs>
        <w:ind w:hanging="420" w:left="2580"/>
      </w:pPr>
      <w:rPr>
        <w:rFonts w:cs="Times New Roman"/>
      </w:rPr>
    </w:lvl>
    <w:lvl w:ilvl="5" w:tentative="1" w:tplc="0409001B">
      <w:start w:val="1"/>
      <w:numFmt w:val="lowerRoman"/>
      <w:lvlText w:val="%6."/>
      <w:lvlJc w:val="right"/>
      <w:pPr>
        <w:tabs>
          <w:tab w:pos="3000" w:val="num"/>
        </w:tabs>
        <w:ind w:hanging="420" w:left="3000"/>
      </w:pPr>
      <w:rPr>
        <w:rFonts w:cs="Times New Roman"/>
      </w:rPr>
    </w:lvl>
    <w:lvl w:ilvl="6" w:tentative="1" w:tplc="0409000F">
      <w:start w:val="1"/>
      <w:numFmt w:val="decimal"/>
      <w:lvlText w:val="%7."/>
      <w:lvlJc w:val="left"/>
      <w:pPr>
        <w:tabs>
          <w:tab w:pos="3420" w:val="num"/>
        </w:tabs>
        <w:ind w:hanging="420" w:left="3420"/>
      </w:pPr>
      <w:rPr>
        <w:rFonts w:cs="Times New Roman"/>
      </w:rPr>
    </w:lvl>
    <w:lvl w:ilvl="7" w:tentative="1" w:tplc="04090019">
      <w:start w:val="1"/>
      <w:numFmt w:val="lowerLetter"/>
      <w:lvlText w:val="%8)"/>
      <w:lvlJc w:val="left"/>
      <w:pPr>
        <w:tabs>
          <w:tab w:pos="3840" w:val="num"/>
        </w:tabs>
        <w:ind w:hanging="420" w:left="3840"/>
      </w:pPr>
      <w:rPr>
        <w:rFonts w:cs="Times New Roman"/>
      </w:rPr>
    </w:lvl>
    <w:lvl w:ilvl="8" w:tentative="1" w:tplc="0409001B">
      <w:start w:val="1"/>
      <w:numFmt w:val="lowerRoman"/>
      <w:lvlText w:val="%9."/>
      <w:lvlJc w:val="right"/>
      <w:pPr>
        <w:tabs>
          <w:tab w:pos="4260" w:val="num"/>
        </w:tabs>
        <w:ind w:hanging="420" w:left="426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571" w:val="num"/>
        </w:tabs>
        <w:ind w:hanging="567" w:left="1418"/>
      </w:pPr>
      <w:rPr>
        <w:rFonts w:cs="Times New Roman" w:eastAsia="宋体" w:hint="eastAsia"/>
      </w:rPr>
    </w:lvl>
    <w:lvl w:ilvl="3">
      <w:start w:val="1"/>
      <w:numFmt w:val="decimal"/>
      <w:lvlText w:val="%1.%2.%3.%4"/>
      <w:lvlJc w:val="left"/>
      <w:pPr>
        <w:tabs>
          <w:tab w:pos="2356" w:val="num"/>
        </w:tabs>
        <w:ind w:hanging="708" w:left="1984"/>
      </w:pPr>
      <w:rPr>
        <w:rFonts w:cs="Times New Roman"/>
      </w:rPr>
    </w:lvl>
    <w:lvl w:ilvl="4">
      <w:start w:val="1"/>
      <w:numFmt w:val="decimal"/>
      <w:lvlText w:val="%1.%2.%3.%4.%5"/>
      <w:lvlJc w:val="left"/>
      <w:pPr>
        <w:tabs>
          <w:tab w:pos="2781" w:val="num"/>
        </w:tabs>
        <w:ind w:hanging="850" w:left="2551"/>
      </w:pPr>
      <w:rPr>
        <w:rFonts w:cs="Times New Roman"/>
      </w:rPr>
    </w:lvl>
    <w:lvl w:ilvl="5">
      <w:start w:val="1"/>
      <w:numFmt w:val="decimal"/>
      <w:lvlText w:val="%1.%2.%3.%4.%5.%6"/>
      <w:lvlJc w:val="left"/>
      <w:pPr>
        <w:tabs>
          <w:tab w:pos="3566" w:val="num"/>
        </w:tabs>
        <w:ind w:hanging="1134" w:left="3260"/>
      </w:pPr>
      <w:rPr>
        <w:rFonts w:cs="Times New Roman"/>
      </w:rPr>
    </w:lvl>
    <w:lvl w:ilvl="6">
      <w:start w:val="1"/>
      <w:numFmt w:val="decimal"/>
      <w:lvlText w:val="%1.%2.%3.%4.%5.%6.%7"/>
      <w:lvlJc w:val="left"/>
      <w:pPr>
        <w:tabs>
          <w:tab w:pos="4351" w:val="num"/>
        </w:tabs>
        <w:ind w:hanging="1276" w:left="3827"/>
      </w:pPr>
      <w:rPr>
        <w:rFonts w:cs="Times New Roman"/>
      </w:rPr>
    </w:lvl>
    <w:lvl w:ilvl="7">
      <w:start w:val="1"/>
      <w:numFmt w:val="decimal"/>
      <w:lvlText w:val="%1.%2.%3.%4.%5.%6.%7.%8"/>
      <w:lvlJc w:val="left"/>
      <w:pPr>
        <w:tabs>
          <w:tab w:pos="4776" w:val="num"/>
        </w:tabs>
        <w:ind w:hanging="1418" w:left="4394"/>
      </w:pPr>
      <w:rPr>
        <w:rFonts w:cs="Times New Roman"/>
      </w:rPr>
    </w:lvl>
    <w:lvl w:ilvl="8">
      <w:start w:val="1"/>
      <w:numFmt w:val="decimal"/>
      <w:lvlText w:val="%1.%2.%3.%4.%5.%6.%7.%8.%9"/>
      <w:lvlJc w:val="left"/>
      <w:pPr>
        <w:tabs>
          <w:tab w:pos="5562" w:val="num"/>
        </w:tabs>
        <w:ind w:hanging="1700" w:left="5102"/>
      </w:pPr>
      <w:rPr>
        <w:rFonts w:cs="Times New Roman"/>
      </w:rPr>
    </w:lvl>
  </w:abstractNum>
  <w:abstractNum w:abstractNumId="10">
    <w:nsid w:val="6E5C03DC"/>
    <w:multiLevelType w:val="multilevel"/>
    <w:tmpl w:val="0409001D"/>
    <w:styleLink w:val="4"/>
    <w:lvl w:ilvl="0">
      <w:start w:val="1"/>
      <w:numFmt w:val="decimal"/>
      <w:lvlText w:val="%1"/>
      <w:lvlJc w:val="left"/>
      <w:pPr>
        <w:tabs>
          <w:tab w:pos="425" w:val="num"/>
        </w:tabs>
        <w:ind w:hanging="425" w:left="425"/>
      </w:pPr>
      <w:rPr>
        <w:rFonts w:cs="Times New Roman"/>
      </w:rPr>
    </w:lvl>
    <w:lvl w:ilvl="1">
      <w:start w:val="1"/>
      <w:numFmt w:val="decimal"/>
      <w:lvlText w:val="%1.%2"/>
      <w:lvlJc w:val="left"/>
      <w:pPr>
        <w:tabs>
          <w:tab w:pos="992" w:val="num"/>
        </w:tabs>
        <w:ind w:hanging="567" w:left="992"/>
      </w:pPr>
      <w:rPr>
        <w:rFonts w:cs="Times New Roman"/>
      </w:rPr>
    </w:lvl>
    <w:lvl w:ilvl="2">
      <w:start w:val="1"/>
      <w:numFmt w:val="decimal"/>
      <w:lvlText w:val="%1.%2.%3"/>
      <w:lvlJc w:val="left"/>
      <w:pPr>
        <w:tabs>
          <w:tab w:pos="1418" w:val="num"/>
        </w:tabs>
        <w:ind w:hanging="567" w:left="1418"/>
      </w:pPr>
      <w:rPr>
        <w:rFonts w:cs="Times New Roman"/>
      </w:rPr>
    </w:lvl>
    <w:lvl w:ilvl="3">
      <w:start w:val="1"/>
      <w:numFmt w:val="decimal"/>
      <w:lvlText w:val="%1.%2.%3.%4"/>
      <w:lvlJc w:val="left"/>
      <w:pPr>
        <w:tabs>
          <w:tab w:pos="1984" w:val="num"/>
        </w:tabs>
        <w:ind w:hanging="708" w:left="1984"/>
      </w:pPr>
      <w:rPr>
        <w:rFonts w:cs="Times New Roman"/>
      </w:rPr>
    </w:lvl>
    <w:lvl w:ilvl="4">
      <w:start w:val="1"/>
      <w:numFmt w:val="decimal"/>
      <w:lvlText w:val="%1.%2.%3.%4.%5"/>
      <w:lvlJc w:val="left"/>
      <w:pPr>
        <w:tabs>
          <w:tab w:pos="2551" w:val="num"/>
        </w:tabs>
        <w:ind w:hanging="850" w:left="2551"/>
      </w:pPr>
      <w:rPr>
        <w:rFonts w:cs="Times New Roman"/>
      </w:rPr>
    </w:lvl>
    <w:lvl w:ilvl="5">
      <w:start w:val="1"/>
      <w:numFmt w:val="decimal"/>
      <w:lvlText w:val="%1.%2.%3.%4.%5.%6"/>
      <w:lvlJc w:val="left"/>
      <w:pPr>
        <w:tabs>
          <w:tab w:pos="3260" w:val="num"/>
        </w:tabs>
        <w:ind w:hanging="1134" w:left="3260"/>
      </w:pPr>
      <w:rPr>
        <w:rFonts w:cs="Times New Roman"/>
      </w:rPr>
    </w:lvl>
    <w:lvl w:ilvl="6">
      <w:start w:val="1"/>
      <w:numFmt w:val="decimal"/>
      <w:lvlText w:val="%1.%2.%3.%4.%5.%6.%7"/>
      <w:lvlJc w:val="left"/>
      <w:pPr>
        <w:tabs>
          <w:tab w:pos="3827" w:val="num"/>
        </w:tabs>
        <w:ind w:hanging="1276" w:left="3827"/>
      </w:pPr>
      <w:rPr>
        <w:rFonts w:cs="Times New Roman"/>
      </w:rPr>
    </w:lvl>
    <w:lvl w:ilvl="7">
      <w:start w:val="1"/>
      <w:numFmt w:val="decimal"/>
      <w:lvlText w:val="%1.%2.%3.%4.%5.%6.%7.%8"/>
      <w:lvlJc w:val="left"/>
      <w:pPr>
        <w:tabs>
          <w:tab w:pos="4394" w:val="num"/>
        </w:tabs>
        <w:ind w:hanging="1418" w:left="4394"/>
      </w:pPr>
      <w:rPr>
        <w:rFonts w:cs="Times New Roman"/>
      </w:rPr>
    </w:lvl>
    <w:lvl w:ilvl="8">
      <w:start w:val="1"/>
      <w:numFmt w:val="decimal"/>
      <w:lvlText w:val="%1.%2.%3.%4.%5.%6.%7.%8.%9"/>
      <w:lvlJc w:val="left"/>
      <w:pPr>
        <w:tabs>
          <w:tab w:pos="5102" w:val="num"/>
        </w:tabs>
        <w:ind w:hanging="1700" w:left="5102"/>
      </w:pPr>
      <w:rPr>
        <w:rFonts w:cs="Times New Roman"/>
      </w:rPr>
    </w:lvl>
  </w:abstractNum>
  <w:abstractNum w:abstractNumId="11">
    <w:nsid w:val="730968E3"/>
    <w:multiLevelType w:val="multilevel"/>
    <w:tmpl w:val="C72EB838"/>
    <w:styleLink w:val="2"/>
    <w:lvl w:ilvl="0">
      <w:start w:val="1"/>
      <w:numFmt w:val="decimal"/>
      <w:lvlText w:val="§%1"/>
      <w:lvlJc w:val="left"/>
      <w:pPr>
        <w:tabs>
          <w:tab w:pos="425" w:val="num"/>
        </w:tabs>
        <w:ind w:hanging="425" w:left="425"/>
      </w:pPr>
      <w:rPr>
        <w:rFonts w:cs="Times New Roman" w:hint="eastAsia"/>
      </w:rPr>
    </w:lvl>
    <w:lvl w:ilvl="1">
      <w:start w:val="1"/>
      <w:numFmt w:val="decimal"/>
      <w:lvlText w:val="%1.%2"/>
      <w:lvlJc w:val="left"/>
      <w:pPr>
        <w:tabs>
          <w:tab w:pos="992" w:val="num"/>
        </w:tabs>
        <w:ind w:hanging="567" w:left="992"/>
      </w:pPr>
      <w:rPr>
        <w:rFonts w:cs="Times New Roman" w:hint="eastAsia"/>
      </w:rPr>
    </w:lvl>
    <w:lvl w:ilvl="2">
      <w:start w:val="1"/>
      <w:numFmt w:val="decimal"/>
      <w:lvlText w:val="%1.%2.%3"/>
      <w:lvlJc w:val="left"/>
      <w:pPr>
        <w:tabs>
          <w:tab w:pos="1571" w:val="num"/>
        </w:tabs>
        <w:ind w:hanging="567" w:left="1418"/>
      </w:pPr>
      <w:rPr>
        <w:rFonts w:cs="Times New Roman" w:hint="eastAsia"/>
      </w:rPr>
    </w:lvl>
    <w:lvl w:ilvl="3">
      <w:start w:val="1"/>
      <w:numFmt w:val="decimal"/>
      <w:lvlText w:val="%1.%2.%3.%4"/>
      <w:lvlJc w:val="left"/>
      <w:pPr>
        <w:tabs>
          <w:tab w:pos="2356" w:val="num"/>
        </w:tabs>
        <w:ind w:hanging="708" w:left="1984"/>
      </w:pPr>
      <w:rPr>
        <w:rFonts w:cs="Times New Roman" w:hint="eastAsia"/>
      </w:rPr>
    </w:lvl>
    <w:lvl w:ilvl="4">
      <w:start w:val="1"/>
      <w:numFmt w:val="decimal"/>
      <w:lvlText w:val="%1.%2.%3.%4.%5"/>
      <w:lvlJc w:val="left"/>
      <w:pPr>
        <w:tabs>
          <w:tab w:pos="3141" w:val="num"/>
        </w:tabs>
        <w:ind w:hanging="850" w:left="2551"/>
      </w:pPr>
      <w:rPr>
        <w:rFonts w:cs="Times New Roman" w:hint="eastAsia"/>
      </w:rPr>
    </w:lvl>
    <w:lvl w:ilvl="5">
      <w:start w:val="1"/>
      <w:numFmt w:val="decimal"/>
      <w:lvlText w:val="%1.%2.%3.%4.%5.%6"/>
      <w:lvlJc w:val="left"/>
      <w:pPr>
        <w:tabs>
          <w:tab w:pos="3566" w:val="num"/>
        </w:tabs>
        <w:ind w:hanging="1134" w:left="3260"/>
      </w:pPr>
      <w:rPr>
        <w:rFonts w:cs="Times New Roman" w:hint="eastAsia"/>
      </w:rPr>
    </w:lvl>
    <w:lvl w:ilvl="6">
      <w:start w:val="1"/>
      <w:numFmt w:val="decimal"/>
      <w:lvlText w:val="%1.%2.%3.%4.%5.%6.%7"/>
      <w:lvlJc w:val="left"/>
      <w:pPr>
        <w:tabs>
          <w:tab w:pos="4351" w:val="num"/>
        </w:tabs>
        <w:ind w:hanging="1276" w:left="3827"/>
      </w:pPr>
      <w:rPr>
        <w:rFonts w:cs="Times New Roman" w:hint="eastAsia"/>
      </w:rPr>
    </w:lvl>
    <w:lvl w:ilvl="7">
      <w:start w:val="1"/>
      <w:numFmt w:val="decimal"/>
      <w:lvlText w:val="%1.%2.%3.%4.%5.%6.%7.%8"/>
      <w:lvlJc w:val="left"/>
      <w:pPr>
        <w:tabs>
          <w:tab w:pos="5136" w:val="num"/>
        </w:tabs>
        <w:ind w:hanging="1418" w:left="4394"/>
      </w:pPr>
      <w:rPr>
        <w:rFonts w:cs="Times New Roman" w:hint="eastAsia"/>
      </w:rPr>
    </w:lvl>
    <w:lvl w:ilvl="8">
      <w:start w:val="1"/>
      <w:numFmt w:val="decimal"/>
      <w:lvlText w:val="%1.%2.%3.%4.%5.%6.%7.%8.%9"/>
      <w:lvlJc w:val="left"/>
      <w:pPr>
        <w:tabs>
          <w:tab w:pos="5562" w:val="num"/>
        </w:tabs>
        <w:ind w:hanging="1700" w:left="5102"/>
      </w:pPr>
      <w:rPr>
        <w:rFonts w:cs="Times New Roman" w:hint="eastAsia"/>
      </w:rPr>
    </w:lvl>
  </w:abstractNum>
  <w:abstractNum w:abstractNumId="12">
    <w:nsid w:val="7C2F7AB8"/>
    <w:multiLevelType w:val="multilevel"/>
    <w:tmpl w:val="7F5C4A20"/>
    <w:lvl w:ilvl="0">
      <w:start w:val="10"/>
      <w:numFmt w:val="decimal"/>
      <w:lvlText w:val="%1"/>
      <w:lvlJc w:val="left"/>
      <w:pPr>
        <w:tabs>
          <w:tab w:pos="480" w:val="num"/>
        </w:tabs>
        <w:ind w:hanging="480" w:left="480"/>
      </w:pPr>
      <w:rPr>
        <w:rFonts w:cs="Times New Roman" w:hint="default"/>
      </w:rPr>
    </w:lvl>
    <w:lvl w:ilvl="1">
      <w:start w:val="4"/>
      <w:numFmt w:val="decimal"/>
      <w:lvlText w:val="%1.%2"/>
      <w:lvlJc w:val="left"/>
      <w:pPr>
        <w:tabs>
          <w:tab w:pos="720" w:val="num"/>
        </w:tabs>
        <w:ind w:hanging="720" w:left="720"/>
      </w:pPr>
      <w:rPr>
        <w:rFonts w:cs="Times New Roman" w:hint="default"/>
      </w:rPr>
    </w:lvl>
    <w:lvl w:ilvl="2">
      <w:start w:val="1"/>
      <w:numFmt w:val="decimal"/>
      <w:lvlText w:val="%1.%2.%3"/>
      <w:lvlJc w:val="left"/>
      <w:pPr>
        <w:tabs>
          <w:tab w:pos="720" w:val="num"/>
        </w:tabs>
        <w:ind w:hanging="720" w:left="720"/>
      </w:pPr>
      <w:rPr>
        <w:rFonts w:cs="Times New Roman" w:hint="default"/>
      </w:rPr>
    </w:lvl>
    <w:lvl w:ilvl="3">
      <w:start w:val="1"/>
      <w:numFmt w:val="decimal"/>
      <w:lvlText w:val="%1.%2.%3.%4"/>
      <w:lvlJc w:val="left"/>
      <w:pPr>
        <w:tabs>
          <w:tab w:pos="1080" w:val="num"/>
        </w:tabs>
        <w:ind w:hanging="1080" w:left="1080"/>
      </w:pPr>
      <w:rPr>
        <w:rFonts w:cs="Times New Roman" w:hint="default"/>
      </w:rPr>
    </w:lvl>
    <w:lvl w:ilvl="4">
      <w:start w:val="1"/>
      <w:numFmt w:val="decimal"/>
      <w:lvlText w:val="%1.%2.%3.%4.%5"/>
      <w:lvlJc w:val="left"/>
      <w:pPr>
        <w:tabs>
          <w:tab w:pos="1440" w:val="num"/>
        </w:tabs>
        <w:ind w:hanging="1440" w:left="1440"/>
      </w:pPr>
      <w:rPr>
        <w:rFonts w:cs="Times New Roman" w:hint="default"/>
      </w:rPr>
    </w:lvl>
    <w:lvl w:ilvl="5">
      <w:start w:val="1"/>
      <w:numFmt w:val="decimal"/>
      <w:lvlText w:val="%1.%2.%3.%4.%5.%6"/>
      <w:lvlJc w:val="left"/>
      <w:pPr>
        <w:tabs>
          <w:tab w:pos="1440" w:val="num"/>
        </w:tabs>
        <w:ind w:hanging="1440" w:left="1440"/>
      </w:pPr>
      <w:rPr>
        <w:rFonts w:cs="Times New Roman" w:hint="default"/>
      </w:rPr>
    </w:lvl>
    <w:lvl w:ilvl="6">
      <w:start w:val="1"/>
      <w:numFmt w:val="decimal"/>
      <w:lvlText w:val="%1.%2.%3.%4.%5.%6.%7"/>
      <w:lvlJc w:val="left"/>
      <w:pPr>
        <w:tabs>
          <w:tab w:pos="1800" w:val="num"/>
        </w:tabs>
        <w:ind w:hanging="1800" w:left="1800"/>
      </w:pPr>
      <w:rPr>
        <w:rFonts w:cs="Times New Roman" w:hint="default"/>
      </w:rPr>
    </w:lvl>
    <w:lvl w:ilvl="7">
      <w:start w:val="1"/>
      <w:numFmt w:val="decimal"/>
      <w:lvlText w:val="%1.%2.%3.%4.%5.%6.%7.%8"/>
      <w:lvlJc w:val="left"/>
      <w:pPr>
        <w:tabs>
          <w:tab w:pos="2160" w:val="num"/>
        </w:tabs>
        <w:ind w:hanging="2160" w:left="2160"/>
      </w:pPr>
      <w:rPr>
        <w:rFonts w:cs="Times New Roman" w:hint="default"/>
      </w:rPr>
    </w:lvl>
    <w:lvl w:ilvl="8">
      <w:start w:val="1"/>
      <w:numFmt w:val="decimal"/>
      <w:lvlText w:val="%1.%2.%3.%4.%5.%6.%7.%8.%9"/>
      <w:lvlJc w:val="left"/>
      <w:pPr>
        <w:tabs>
          <w:tab w:pos="2160" w:val="num"/>
        </w:tabs>
        <w:ind w:hanging="2160" w:left="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pos="480" w:val="num"/>
        </w:tabs>
        <w:ind w:hanging="480" w:left="480"/>
      </w:pPr>
      <w:rPr>
        <w:rFonts w:cs="Times New Roman" w:eastAsia="宋体" w:hint="eastAsia"/>
        <w:color w:val="auto"/>
      </w:rPr>
    </w:lvl>
    <w:lvl w:ilvl="1" w:tplc="D5ACC954">
      <w:start w:val="1"/>
      <w:numFmt w:val="japaneseCounting"/>
      <w:lvlText w:val="(%2)"/>
      <w:lvlJc w:val="left"/>
      <w:pPr>
        <w:tabs>
          <w:tab w:pos="810" w:val="num"/>
        </w:tabs>
        <w:ind w:hanging="390" w:left="810"/>
      </w:pPr>
      <w:rPr>
        <w:rFonts w:cs="Times New Roman" w:hint="eastAsia"/>
      </w:rPr>
    </w:lvl>
    <w:lvl w:ilvl="2" w:tplc="E2F6B948">
      <w:start w:val="1"/>
      <w:numFmt w:val="decimal"/>
      <w:lvlText w:val="%3、"/>
      <w:lvlJc w:val="left"/>
      <w:pPr>
        <w:tabs>
          <w:tab w:pos="1200" w:val="num"/>
        </w:tabs>
        <w:ind w:hanging="360" w:left="1200"/>
      </w:pPr>
      <w:rPr>
        <w:rFonts w:cs="Times New Roman" w:hint="eastAsia"/>
      </w:rPr>
    </w:lvl>
    <w:lvl w:ilvl="3" w:tentative="1" w:tplc="0409000F">
      <w:start w:val="1"/>
      <w:numFmt w:val="decimal"/>
      <w:lvlText w:val="%4."/>
      <w:lvlJc w:val="left"/>
      <w:pPr>
        <w:tabs>
          <w:tab w:pos="1680" w:val="num"/>
        </w:tabs>
        <w:ind w:hanging="420" w:left="1680"/>
      </w:pPr>
      <w:rPr>
        <w:rFonts w:cs="Times New Roman"/>
      </w:rPr>
    </w:lvl>
    <w:lvl w:ilvl="4" w:tentative="1" w:tplc="04090019">
      <w:start w:val="1"/>
      <w:numFmt w:val="lowerLetter"/>
      <w:lvlText w:val="%5)"/>
      <w:lvlJc w:val="left"/>
      <w:pPr>
        <w:tabs>
          <w:tab w:pos="2100" w:val="num"/>
        </w:tabs>
        <w:ind w:hanging="420" w:left="2100"/>
      </w:pPr>
      <w:rPr>
        <w:rFonts w:cs="Times New Roman"/>
      </w:rPr>
    </w:lvl>
    <w:lvl w:ilvl="5" w:tentative="1" w:tplc="0409001B">
      <w:start w:val="1"/>
      <w:numFmt w:val="lowerRoman"/>
      <w:lvlText w:val="%6."/>
      <w:lvlJc w:val="right"/>
      <w:pPr>
        <w:tabs>
          <w:tab w:pos="2520" w:val="num"/>
        </w:tabs>
        <w:ind w:hanging="420" w:left="2520"/>
      </w:pPr>
      <w:rPr>
        <w:rFonts w:cs="Times New Roman"/>
      </w:rPr>
    </w:lvl>
    <w:lvl w:ilvl="6" w:tentative="1" w:tplc="0409000F">
      <w:start w:val="1"/>
      <w:numFmt w:val="decimal"/>
      <w:lvlText w:val="%7."/>
      <w:lvlJc w:val="left"/>
      <w:pPr>
        <w:tabs>
          <w:tab w:pos="2940" w:val="num"/>
        </w:tabs>
        <w:ind w:hanging="420" w:left="2940"/>
      </w:pPr>
      <w:rPr>
        <w:rFonts w:cs="Times New Roman"/>
      </w:rPr>
    </w:lvl>
    <w:lvl w:ilvl="7" w:tentative="1" w:tplc="04090019">
      <w:start w:val="1"/>
      <w:numFmt w:val="lowerLetter"/>
      <w:lvlText w:val="%8)"/>
      <w:lvlJc w:val="left"/>
      <w:pPr>
        <w:tabs>
          <w:tab w:pos="3360" w:val="num"/>
        </w:tabs>
        <w:ind w:hanging="420" w:left="3360"/>
      </w:pPr>
      <w:rPr>
        <w:rFonts w:cs="Times New Roman"/>
      </w:rPr>
    </w:lvl>
    <w:lvl w:ilvl="8" w:tentative="1" w:tplc="0409001B">
      <w:start w:val="1"/>
      <w:numFmt w:val="lowerRoman"/>
      <w:lvlText w:val="%9."/>
      <w:lvlJc w:val="right"/>
      <w:pPr>
        <w:tabs>
          <w:tab w:pos="3780" w:val="num"/>
        </w:tabs>
        <w:ind w:hanging="420" w:left="378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pos="1107" w:val="num"/>
          </w:tabs>
          <w:ind w:hanging="567" w:left="110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pos="992" w:val="num"/>
          </w:tabs>
          <w:ind w:hanging="567" w:left="992"/>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mc:Ignorable="w14">
  <w:zoom w:percent="100"/>
  <w:printPostScriptOverText/>
  <w:bordersDoNotSurroundHeader/>
  <w:bordersDoNotSurroundFooter/>
  <w:hideSpellingErrors/>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4C92"/>
    <w:rsid w:val="00005172"/>
    <w:rsid w:val="0000551D"/>
    <w:rsid w:val="00005911"/>
    <w:rsid w:val="000102A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813"/>
    <w:rsid w:val="00021DD4"/>
    <w:rsid w:val="000221FE"/>
    <w:rsid w:val="00023A1C"/>
    <w:rsid w:val="00023BE7"/>
    <w:rsid w:val="00024200"/>
    <w:rsid w:val="0002453B"/>
    <w:rsid w:val="00024C15"/>
    <w:rsid w:val="00024C62"/>
    <w:rsid w:val="00024CA0"/>
    <w:rsid w:val="000254D2"/>
    <w:rsid w:val="00026C9C"/>
    <w:rsid w:val="000274FE"/>
    <w:rsid w:val="000276C9"/>
    <w:rsid w:val="00032164"/>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08E"/>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59F"/>
    <w:rsid w:val="00070CD1"/>
    <w:rsid w:val="00071022"/>
    <w:rsid w:val="0007171B"/>
    <w:rsid w:val="000717A1"/>
    <w:rsid w:val="00072DE0"/>
    <w:rsid w:val="00073907"/>
    <w:rsid w:val="00073DB1"/>
    <w:rsid w:val="00073EA5"/>
    <w:rsid w:val="00073F87"/>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2A55"/>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2B48"/>
    <w:rsid w:val="000A3022"/>
    <w:rsid w:val="000A335B"/>
    <w:rsid w:val="000A38DE"/>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CC0"/>
    <w:rsid w:val="000C01F9"/>
    <w:rsid w:val="000C05AB"/>
    <w:rsid w:val="000C0871"/>
    <w:rsid w:val="000C0CA5"/>
    <w:rsid w:val="000C0F55"/>
    <w:rsid w:val="000C127D"/>
    <w:rsid w:val="000C15BE"/>
    <w:rsid w:val="000C1723"/>
    <w:rsid w:val="000C1774"/>
    <w:rsid w:val="000C1B20"/>
    <w:rsid w:val="000C224F"/>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E7FAF"/>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02D"/>
    <w:rsid w:val="00100C12"/>
    <w:rsid w:val="001013A8"/>
    <w:rsid w:val="00101C35"/>
    <w:rsid w:val="00102903"/>
    <w:rsid w:val="00102CC8"/>
    <w:rsid w:val="001030B5"/>
    <w:rsid w:val="0010352B"/>
    <w:rsid w:val="001049B6"/>
    <w:rsid w:val="00104DE3"/>
    <w:rsid w:val="001051C6"/>
    <w:rsid w:val="0010577B"/>
    <w:rsid w:val="00105C9C"/>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295F"/>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2DC6"/>
    <w:rsid w:val="001535AE"/>
    <w:rsid w:val="00153B40"/>
    <w:rsid w:val="00153BCF"/>
    <w:rsid w:val="00154ADA"/>
    <w:rsid w:val="00154B08"/>
    <w:rsid w:val="00154C47"/>
    <w:rsid w:val="0015531A"/>
    <w:rsid w:val="00157155"/>
    <w:rsid w:val="00157418"/>
    <w:rsid w:val="00157B5A"/>
    <w:rsid w:val="0016050B"/>
    <w:rsid w:val="00162C6F"/>
    <w:rsid w:val="00163123"/>
    <w:rsid w:val="0016380C"/>
    <w:rsid w:val="00163816"/>
    <w:rsid w:val="00163B27"/>
    <w:rsid w:val="0016425E"/>
    <w:rsid w:val="001643D9"/>
    <w:rsid w:val="00164BF7"/>
    <w:rsid w:val="00165317"/>
    <w:rsid w:val="001657AB"/>
    <w:rsid w:val="001663FB"/>
    <w:rsid w:val="0016724C"/>
    <w:rsid w:val="0017073D"/>
    <w:rsid w:val="00170D38"/>
    <w:rsid w:val="00171484"/>
    <w:rsid w:val="00171BAD"/>
    <w:rsid w:val="00171F2C"/>
    <w:rsid w:val="00173AF1"/>
    <w:rsid w:val="001744B4"/>
    <w:rsid w:val="001751EF"/>
    <w:rsid w:val="001756A1"/>
    <w:rsid w:val="001761EE"/>
    <w:rsid w:val="00176EAA"/>
    <w:rsid w:val="00177030"/>
    <w:rsid w:val="0017725A"/>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3182"/>
    <w:rsid w:val="00193575"/>
    <w:rsid w:val="0019389D"/>
    <w:rsid w:val="00193B62"/>
    <w:rsid w:val="00194537"/>
    <w:rsid w:val="0019563C"/>
    <w:rsid w:val="001956CA"/>
    <w:rsid w:val="00195781"/>
    <w:rsid w:val="00195B79"/>
    <w:rsid w:val="00197402"/>
    <w:rsid w:val="00197C86"/>
    <w:rsid w:val="00197E15"/>
    <w:rsid w:val="001A088E"/>
    <w:rsid w:val="001A0F4A"/>
    <w:rsid w:val="001A1B13"/>
    <w:rsid w:val="001A1D38"/>
    <w:rsid w:val="001A21A9"/>
    <w:rsid w:val="001A2A97"/>
    <w:rsid w:val="001A364F"/>
    <w:rsid w:val="001A39B7"/>
    <w:rsid w:val="001A42FA"/>
    <w:rsid w:val="001A46F4"/>
    <w:rsid w:val="001A4AEC"/>
    <w:rsid w:val="001A59D8"/>
    <w:rsid w:val="001A59F9"/>
    <w:rsid w:val="001A5FA6"/>
    <w:rsid w:val="001A6685"/>
    <w:rsid w:val="001A668F"/>
    <w:rsid w:val="001A71CC"/>
    <w:rsid w:val="001A7F30"/>
    <w:rsid w:val="001B0A5D"/>
    <w:rsid w:val="001B1134"/>
    <w:rsid w:val="001B25CD"/>
    <w:rsid w:val="001B261A"/>
    <w:rsid w:val="001B2F0C"/>
    <w:rsid w:val="001B30CA"/>
    <w:rsid w:val="001B3513"/>
    <w:rsid w:val="001B353A"/>
    <w:rsid w:val="001B3D3E"/>
    <w:rsid w:val="001B50CD"/>
    <w:rsid w:val="001B52FE"/>
    <w:rsid w:val="001B7890"/>
    <w:rsid w:val="001C005A"/>
    <w:rsid w:val="001C00CF"/>
    <w:rsid w:val="001C0806"/>
    <w:rsid w:val="001C2F9C"/>
    <w:rsid w:val="001C3399"/>
    <w:rsid w:val="001C37F6"/>
    <w:rsid w:val="001C4D9F"/>
    <w:rsid w:val="001C5289"/>
    <w:rsid w:val="001C6288"/>
    <w:rsid w:val="001C67A1"/>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53A8"/>
    <w:rsid w:val="001E5488"/>
    <w:rsid w:val="001E56FF"/>
    <w:rsid w:val="001E5C6B"/>
    <w:rsid w:val="001E6CEE"/>
    <w:rsid w:val="001E6EBF"/>
    <w:rsid w:val="001F0307"/>
    <w:rsid w:val="001F03E1"/>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CB6"/>
    <w:rsid w:val="0020620D"/>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67B"/>
    <w:rsid w:val="00222B4E"/>
    <w:rsid w:val="00222DE3"/>
    <w:rsid w:val="002233F0"/>
    <w:rsid w:val="0022347C"/>
    <w:rsid w:val="0022498A"/>
    <w:rsid w:val="00225756"/>
    <w:rsid w:val="00225ADC"/>
    <w:rsid w:val="00225CEB"/>
    <w:rsid w:val="00225FC3"/>
    <w:rsid w:val="0022692D"/>
    <w:rsid w:val="00227F33"/>
    <w:rsid w:val="00230D58"/>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4C8D"/>
    <w:rsid w:val="00245012"/>
    <w:rsid w:val="0024504E"/>
    <w:rsid w:val="00245761"/>
    <w:rsid w:val="002462DE"/>
    <w:rsid w:val="0024651F"/>
    <w:rsid w:val="00246775"/>
    <w:rsid w:val="00247729"/>
    <w:rsid w:val="0025158D"/>
    <w:rsid w:val="00251A86"/>
    <w:rsid w:val="00251C7E"/>
    <w:rsid w:val="00252697"/>
    <w:rsid w:val="0025281A"/>
    <w:rsid w:val="00253D3C"/>
    <w:rsid w:val="002544D7"/>
    <w:rsid w:val="00255292"/>
    <w:rsid w:val="00255A23"/>
    <w:rsid w:val="00257578"/>
    <w:rsid w:val="00260200"/>
    <w:rsid w:val="00260B06"/>
    <w:rsid w:val="00261D93"/>
    <w:rsid w:val="00262029"/>
    <w:rsid w:val="002627A1"/>
    <w:rsid w:val="00262C73"/>
    <w:rsid w:val="002637E8"/>
    <w:rsid w:val="00263BBD"/>
    <w:rsid w:val="00264345"/>
    <w:rsid w:val="002648D8"/>
    <w:rsid w:val="00265AFB"/>
    <w:rsid w:val="00265B8A"/>
    <w:rsid w:val="00267133"/>
    <w:rsid w:val="0026715A"/>
    <w:rsid w:val="00267EE3"/>
    <w:rsid w:val="00267F59"/>
    <w:rsid w:val="002700E9"/>
    <w:rsid w:val="00270CE9"/>
    <w:rsid w:val="00271DCB"/>
    <w:rsid w:val="0027235A"/>
    <w:rsid w:val="002738EF"/>
    <w:rsid w:val="00273F86"/>
    <w:rsid w:val="002741BE"/>
    <w:rsid w:val="002752EA"/>
    <w:rsid w:val="00275EAD"/>
    <w:rsid w:val="00276B03"/>
    <w:rsid w:val="002773FB"/>
    <w:rsid w:val="002774F0"/>
    <w:rsid w:val="00277722"/>
    <w:rsid w:val="00280DB6"/>
    <w:rsid w:val="002813C5"/>
    <w:rsid w:val="00282C23"/>
    <w:rsid w:val="0028315D"/>
    <w:rsid w:val="00283885"/>
    <w:rsid w:val="002839A4"/>
    <w:rsid w:val="0028459B"/>
    <w:rsid w:val="00284C5F"/>
    <w:rsid w:val="0028507E"/>
    <w:rsid w:val="00286183"/>
    <w:rsid w:val="002873F0"/>
    <w:rsid w:val="00287762"/>
    <w:rsid w:val="00290793"/>
    <w:rsid w:val="00291097"/>
    <w:rsid w:val="002916E3"/>
    <w:rsid w:val="00291A70"/>
    <w:rsid w:val="00291F6F"/>
    <w:rsid w:val="0029379A"/>
    <w:rsid w:val="00293C97"/>
    <w:rsid w:val="002942CB"/>
    <w:rsid w:val="00294D8F"/>
    <w:rsid w:val="00295D5A"/>
    <w:rsid w:val="00295DF6"/>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1A0F"/>
    <w:rsid w:val="002D22BF"/>
    <w:rsid w:val="002D237C"/>
    <w:rsid w:val="002D32E3"/>
    <w:rsid w:val="002D33F1"/>
    <w:rsid w:val="002D344B"/>
    <w:rsid w:val="002D353D"/>
    <w:rsid w:val="002D5076"/>
    <w:rsid w:val="002D52AD"/>
    <w:rsid w:val="002D58D8"/>
    <w:rsid w:val="002D5EB1"/>
    <w:rsid w:val="002D786B"/>
    <w:rsid w:val="002E0245"/>
    <w:rsid w:val="002E0394"/>
    <w:rsid w:val="002E0644"/>
    <w:rsid w:val="002E0FEB"/>
    <w:rsid w:val="002E171B"/>
    <w:rsid w:val="002E2E3E"/>
    <w:rsid w:val="002E319D"/>
    <w:rsid w:val="002E4AD5"/>
    <w:rsid w:val="002E4C2D"/>
    <w:rsid w:val="002E63B8"/>
    <w:rsid w:val="002F0F79"/>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3C9"/>
    <w:rsid w:val="00302CA8"/>
    <w:rsid w:val="00302DE9"/>
    <w:rsid w:val="00304860"/>
    <w:rsid w:val="00304E23"/>
    <w:rsid w:val="00305084"/>
    <w:rsid w:val="00306408"/>
    <w:rsid w:val="00307249"/>
    <w:rsid w:val="0031007A"/>
    <w:rsid w:val="00310315"/>
    <w:rsid w:val="003104B9"/>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4619"/>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109C"/>
    <w:rsid w:val="00351752"/>
    <w:rsid w:val="00351F0A"/>
    <w:rsid w:val="00352648"/>
    <w:rsid w:val="00352EBB"/>
    <w:rsid w:val="00353AC6"/>
    <w:rsid w:val="003542B7"/>
    <w:rsid w:val="0035432B"/>
    <w:rsid w:val="00354765"/>
    <w:rsid w:val="00354BCC"/>
    <w:rsid w:val="00354E10"/>
    <w:rsid w:val="00355CDA"/>
    <w:rsid w:val="00357B15"/>
    <w:rsid w:val="00357BA8"/>
    <w:rsid w:val="00357BB3"/>
    <w:rsid w:val="003602EA"/>
    <w:rsid w:val="0036068B"/>
    <w:rsid w:val="00360905"/>
    <w:rsid w:val="00360F81"/>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CC4"/>
    <w:rsid w:val="00376103"/>
    <w:rsid w:val="0037647D"/>
    <w:rsid w:val="003767B3"/>
    <w:rsid w:val="00376B49"/>
    <w:rsid w:val="00376FC5"/>
    <w:rsid w:val="00377520"/>
    <w:rsid w:val="00377D2E"/>
    <w:rsid w:val="00380D36"/>
    <w:rsid w:val="00380F49"/>
    <w:rsid w:val="003822D3"/>
    <w:rsid w:val="0038480C"/>
    <w:rsid w:val="00384DC9"/>
    <w:rsid w:val="0038566E"/>
    <w:rsid w:val="00385C66"/>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C0892"/>
    <w:rsid w:val="003C08E3"/>
    <w:rsid w:val="003C08FB"/>
    <w:rsid w:val="003C09B5"/>
    <w:rsid w:val="003C0AF8"/>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9FF"/>
    <w:rsid w:val="003E244F"/>
    <w:rsid w:val="003E37AE"/>
    <w:rsid w:val="003E5165"/>
    <w:rsid w:val="003E5DCB"/>
    <w:rsid w:val="003E62A6"/>
    <w:rsid w:val="003E695F"/>
    <w:rsid w:val="003E6C9B"/>
    <w:rsid w:val="003E6D39"/>
    <w:rsid w:val="003E709C"/>
    <w:rsid w:val="003E712E"/>
    <w:rsid w:val="003E726D"/>
    <w:rsid w:val="003E73C3"/>
    <w:rsid w:val="003E7B89"/>
    <w:rsid w:val="003F0B30"/>
    <w:rsid w:val="003F0C3A"/>
    <w:rsid w:val="003F0FA3"/>
    <w:rsid w:val="003F276B"/>
    <w:rsid w:val="003F3B08"/>
    <w:rsid w:val="003F4241"/>
    <w:rsid w:val="003F4B8A"/>
    <w:rsid w:val="003F62BB"/>
    <w:rsid w:val="003F6FEC"/>
    <w:rsid w:val="003F7C45"/>
    <w:rsid w:val="00400241"/>
    <w:rsid w:val="00401314"/>
    <w:rsid w:val="0040132C"/>
    <w:rsid w:val="0040141B"/>
    <w:rsid w:val="0040231A"/>
    <w:rsid w:val="004036C3"/>
    <w:rsid w:val="00403C4E"/>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3EED"/>
    <w:rsid w:val="004345BA"/>
    <w:rsid w:val="00435BF3"/>
    <w:rsid w:val="00437C96"/>
    <w:rsid w:val="00437F46"/>
    <w:rsid w:val="004408EC"/>
    <w:rsid w:val="004416A4"/>
    <w:rsid w:val="00441E6A"/>
    <w:rsid w:val="00442AEE"/>
    <w:rsid w:val="00442C53"/>
    <w:rsid w:val="00443C8F"/>
    <w:rsid w:val="00444936"/>
    <w:rsid w:val="00444C60"/>
    <w:rsid w:val="00444E35"/>
    <w:rsid w:val="0044502D"/>
    <w:rsid w:val="00445E49"/>
    <w:rsid w:val="00445F6B"/>
    <w:rsid w:val="00447CEF"/>
    <w:rsid w:val="00447E28"/>
    <w:rsid w:val="00450BA9"/>
    <w:rsid w:val="00450CE5"/>
    <w:rsid w:val="00452481"/>
    <w:rsid w:val="004528FA"/>
    <w:rsid w:val="00453DC8"/>
    <w:rsid w:val="00455165"/>
    <w:rsid w:val="00455821"/>
    <w:rsid w:val="00456EFD"/>
    <w:rsid w:val="00457804"/>
    <w:rsid w:val="00460304"/>
    <w:rsid w:val="00460AEF"/>
    <w:rsid w:val="00460C52"/>
    <w:rsid w:val="00461001"/>
    <w:rsid w:val="00461238"/>
    <w:rsid w:val="00462279"/>
    <w:rsid w:val="004627CC"/>
    <w:rsid w:val="00462B36"/>
    <w:rsid w:val="00463035"/>
    <w:rsid w:val="0046389C"/>
    <w:rsid w:val="004646BF"/>
    <w:rsid w:val="00464744"/>
    <w:rsid w:val="00465368"/>
    <w:rsid w:val="004665E3"/>
    <w:rsid w:val="0046760F"/>
    <w:rsid w:val="0047237D"/>
    <w:rsid w:val="00472561"/>
    <w:rsid w:val="004731F1"/>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E8"/>
    <w:rsid w:val="004A1A9B"/>
    <w:rsid w:val="004A1BBA"/>
    <w:rsid w:val="004A23C2"/>
    <w:rsid w:val="004A2CB1"/>
    <w:rsid w:val="004A3336"/>
    <w:rsid w:val="004A3470"/>
    <w:rsid w:val="004A3E3C"/>
    <w:rsid w:val="004A3EBB"/>
    <w:rsid w:val="004A4069"/>
    <w:rsid w:val="004A484E"/>
    <w:rsid w:val="004A4FB6"/>
    <w:rsid w:val="004A6513"/>
    <w:rsid w:val="004B0E6D"/>
    <w:rsid w:val="004B16E8"/>
    <w:rsid w:val="004B1CEE"/>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7F7"/>
    <w:rsid w:val="004C2836"/>
    <w:rsid w:val="004C2A69"/>
    <w:rsid w:val="004C2C35"/>
    <w:rsid w:val="004C2C46"/>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5BD"/>
    <w:rsid w:val="004D5316"/>
    <w:rsid w:val="004D575C"/>
    <w:rsid w:val="004D650F"/>
    <w:rsid w:val="004D7269"/>
    <w:rsid w:val="004D74EE"/>
    <w:rsid w:val="004D753E"/>
    <w:rsid w:val="004D7F01"/>
    <w:rsid w:val="004E08FC"/>
    <w:rsid w:val="004E0A8C"/>
    <w:rsid w:val="004E0ADE"/>
    <w:rsid w:val="004E0B6E"/>
    <w:rsid w:val="004E2133"/>
    <w:rsid w:val="004E2BD2"/>
    <w:rsid w:val="004E395B"/>
    <w:rsid w:val="004E3CB2"/>
    <w:rsid w:val="004E3D3E"/>
    <w:rsid w:val="004E5EDB"/>
    <w:rsid w:val="004E60FB"/>
    <w:rsid w:val="004E73A5"/>
    <w:rsid w:val="004E758A"/>
    <w:rsid w:val="004E7BA7"/>
    <w:rsid w:val="004F17B3"/>
    <w:rsid w:val="004F1C42"/>
    <w:rsid w:val="004F2340"/>
    <w:rsid w:val="004F23CE"/>
    <w:rsid w:val="004F2C5A"/>
    <w:rsid w:val="004F31EA"/>
    <w:rsid w:val="004F4601"/>
    <w:rsid w:val="004F69D2"/>
    <w:rsid w:val="004F6AA8"/>
    <w:rsid w:val="004F70DB"/>
    <w:rsid w:val="004F779C"/>
    <w:rsid w:val="004F7846"/>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78B"/>
    <w:rsid w:val="00514C1C"/>
    <w:rsid w:val="0051524F"/>
    <w:rsid w:val="0051566A"/>
    <w:rsid w:val="00515D7B"/>
    <w:rsid w:val="00515DD8"/>
    <w:rsid w:val="005166E9"/>
    <w:rsid w:val="00516E67"/>
    <w:rsid w:val="00517917"/>
    <w:rsid w:val="0052009E"/>
    <w:rsid w:val="005200F7"/>
    <w:rsid w:val="00520AB5"/>
    <w:rsid w:val="00521568"/>
    <w:rsid w:val="00521596"/>
    <w:rsid w:val="00522066"/>
    <w:rsid w:val="00522213"/>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87"/>
    <w:rsid w:val="0053659B"/>
    <w:rsid w:val="005368A0"/>
    <w:rsid w:val="005374BC"/>
    <w:rsid w:val="00537B12"/>
    <w:rsid w:val="0054097B"/>
    <w:rsid w:val="005427DC"/>
    <w:rsid w:val="00543188"/>
    <w:rsid w:val="005432F0"/>
    <w:rsid w:val="00543367"/>
    <w:rsid w:val="0054384E"/>
    <w:rsid w:val="00543BFA"/>
    <w:rsid w:val="0054655E"/>
    <w:rsid w:val="00546601"/>
    <w:rsid w:val="00547D9C"/>
    <w:rsid w:val="00547DA1"/>
    <w:rsid w:val="00547DA4"/>
    <w:rsid w:val="005501BC"/>
    <w:rsid w:val="0055068D"/>
    <w:rsid w:val="00550853"/>
    <w:rsid w:val="00551BAB"/>
    <w:rsid w:val="00551C53"/>
    <w:rsid w:val="0055221B"/>
    <w:rsid w:val="005526DC"/>
    <w:rsid w:val="005535B7"/>
    <w:rsid w:val="00554CAC"/>
    <w:rsid w:val="0055513C"/>
    <w:rsid w:val="0055637C"/>
    <w:rsid w:val="00556B00"/>
    <w:rsid w:val="005573FE"/>
    <w:rsid w:val="0055753F"/>
    <w:rsid w:val="00557618"/>
    <w:rsid w:val="00557782"/>
    <w:rsid w:val="00560C94"/>
    <w:rsid w:val="00560FD5"/>
    <w:rsid w:val="00561C0A"/>
    <w:rsid w:val="005624E5"/>
    <w:rsid w:val="00562765"/>
    <w:rsid w:val="0056283B"/>
    <w:rsid w:val="0056291C"/>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15C"/>
    <w:rsid w:val="00575259"/>
    <w:rsid w:val="00575B68"/>
    <w:rsid w:val="00575DA6"/>
    <w:rsid w:val="00576FEE"/>
    <w:rsid w:val="0057733C"/>
    <w:rsid w:val="0057737F"/>
    <w:rsid w:val="00577C32"/>
    <w:rsid w:val="00577E00"/>
    <w:rsid w:val="005800A9"/>
    <w:rsid w:val="00580488"/>
    <w:rsid w:val="0058074D"/>
    <w:rsid w:val="00580FD1"/>
    <w:rsid w:val="00582FAD"/>
    <w:rsid w:val="00583489"/>
    <w:rsid w:val="0058391F"/>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31C9"/>
    <w:rsid w:val="005A3295"/>
    <w:rsid w:val="005A46FF"/>
    <w:rsid w:val="005A49A4"/>
    <w:rsid w:val="005A4AFF"/>
    <w:rsid w:val="005A4BA9"/>
    <w:rsid w:val="005A65F0"/>
    <w:rsid w:val="005A70C8"/>
    <w:rsid w:val="005A7758"/>
    <w:rsid w:val="005B011E"/>
    <w:rsid w:val="005B028B"/>
    <w:rsid w:val="005B1208"/>
    <w:rsid w:val="005B17ED"/>
    <w:rsid w:val="005B1BAD"/>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DFA"/>
    <w:rsid w:val="005C0FF0"/>
    <w:rsid w:val="005C1282"/>
    <w:rsid w:val="005C219B"/>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76A0"/>
    <w:rsid w:val="006704F3"/>
    <w:rsid w:val="00670857"/>
    <w:rsid w:val="00671124"/>
    <w:rsid w:val="006717AE"/>
    <w:rsid w:val="0067271C"/>
    <w:rsid w:val="006727B0"/>
    <w:rsid w:val="0067307E"/>
    <w:rsid w:val="00673979"/>
    <w:rsid w:val="006739C0"/>
    <w:rsid w:val="00673F6D"/>
    <w:rsid w:val="00674850"/>
    <w:rsid w:val="00675116"/>
    <w:rsid w:val="00675D03"/>
    <w:rsid w:val="00676016"/>
    <w:rsid w:val="00676EA7"/>
    <w:rsid w:val="006823F9"/>
    <w:rsid w:val="00682EFD"/>
    <w:rsid w:val="00683F61"/>
    <w:rsid w:val="00686A36"/>
    <w:rsid w:val="00687AD5"/>
    <w:rsid w:val="0069211A"/>
    <w:rsid w:val="00692B81"/>
    <w:rsid w:val="00692C4F"/>
    <w:rsid w:val="006936C6"/>
    <w:rsid w:val="006949D2"/>
    <w:rsid w:val="00694C5F"/>
    <w:rsid w:val="00695027"/>
    <w:rsid w:val="00695251"/>
    <w:rsid w:val="006953EF"/>
    <w:rsid w:val="00695689"/>
    <w:rsid w:val="00695ADE"/>
    <w:rsid w:val="00695C0D"/>
    <w:rsid w:val="00695CAE"/>
    <w:rsid w:val="00696356"/>
    <w:rsid w:val="006968EA"/>
    <w:rsid w:val="006A015D"/>
    <w:rsid w:val="006A1BBA"/>
    <w:rsid w:val="006A2EA3"/>
    <w:rsid w:val="006A3CC1"/>
    <w:rsid w:val="006A4899"/>
    <w:rsid w:val="006A4E56"/>
    <w:rsid w:val="006A62E1"/>
    <w:rsid w:val="006A6566"/>
    <w:rsid w:val="006A72C6"/>
    <w:rsid w:val="006A7310"/>
    <w:rsid w:val="006A74F4"/>
    <w:rsid w:val="006A7E68"/>
    <w:rsid w:val="006B02DA"/>
    <w:rsid w:val="006B05F1"/>
    <w:rsid w:val="006B08FB"/>
    <w:rsid w:val="006B2065"/>
    <w:rsid w:val="006B275B"/>
    <w:rsid w:val="006B30BF"/>
    <w:rsid w:val="006B38C6"/>
    <w:rsid w:val="006B3940"/>
    <w:rsid w:val="006B39E7"/>
    <w:rsid w:val="006B45A6"/>
    <w:rsid w:val="006B62F0"/>
    <w:rsid w:val="006B6C6B"/>
    <w:rsid w:val="006C013C"/>
    <w:rsid w:val="006C09B6"/>
    <w:rsid w:val="006C168D"/>
    <w:rsid w:val="006C2116"/>
    <w:rsid w:val="006C2BF5"/>
    <w:rsid w:val="006C2EB9"/>
    <w:rsid w:val="006C3415"/>
    <w:rsid w:val="006C4A40"/>
    <w:rsid w:val="006C4E56"/>
    <w:rsid w:val="006C5487"/>
    <w:rsid w:val="006C61CD"/>
    <w:rsid w:val="006C642C"/>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780C"/>
    <w:rsid w:val="006F0BA7"/>
    <w:rsid w:val="006F0F01"/>
    <w:rsid w:val="006F174D"/>
    <w:rsid w:val="006F1F41"/>
    <w:rsid w:val="006F32EF"/>
    <w:rsid w:val="006F3615"/>
    <w:rsid w:val="006F3C54"/>
    <w:rsid w:val="006F4CD8"/>
    <w:rsid w:val="006F53D9"/>
    <w:rsid w:val="006F5812"/>
    <w:rsid w:val="006F609A"/>
    <w:rsid w:val="006F6E14"/>
    <w:rsid w:val="007004DC"/>
    <w:rsid w:val="00701093"/>
    <w:rsid w:val="007013D9"/>
    <w:rsid w:val="00701A59"/>
    <w:rsid w:val="007022C4"/>
    <w:rsid w:val="007026E9"/>
    <w:rsid w:val="00703495"/>
    <w:rsid w:val="00703C8B"/>
    <w:rsid w:val="00703E8A"/>
    <w:rsid w:val="00704F60"/>
    <w:rsid w:val="00705A55"/>
    <w:rsid w:val="00706EA3"/>
    <w:rsid w:val="007078BE"/>
    <w:rsid w:val="00707A3C"/>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200E5"/>
    <w:rsid w:val="00720C17"/>
    <w:rsid w:val="0072139B"/>
    <w:rsid w:val="00721752"/>
    <w:rsid w:val="00721AF1"/>
    <w:rsid w:val="0072280F"/>
    <w:rsid w:val="00722B5E"/>
    <w:rsid w:val="00722E05"/>
    <w:rsid w:val="00723440"/>
    <w:rsid w:val="007235F5"/>
    <w:rsid w:val="007236F8"/>
    <w:rsid w:val="00723B2C"/>
    <w:rsid w:val="007253CC"/>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4CE"/>
    <w:rsid w:val="00747598"/>
    <w:rsid w:val="00750358"/>
    <w:rsid w:val="007520A3"/>
    <w:rsid w:val="007526F5"/>
    <w:rsid w:val="00752A63"/>
    <w:rsid w:val="00754717"/>
    <w:rsid w:val="00754836"/>
    <w:rsid w:val="00754FB9"/>
    <w:rsid w:val="00755CDF"/>
    <w:rsid w:val="00756AD3"/>
    <w:rsid w:val="00757042"/>
    <w:rsid w:val="007578C3"/>
    <w:rsid w:val="00757A4C"/>
    <w:rsid w:val="00760895"/>
    <w:rsid w:val="00761B4C"/>
    <w:rsid w:val="00761D02"/>
    <w:rsid w:val="00762ABF"/>
    <w:rsid w:val="00764241"/>
    <w:rsid w:val="00764A94"/>
    <w:rsid w:val="00764B26"/>
    <w:rsid w:val="00764EA6"/>
    <w:rsid w:val="007651A9"/>
    <w:rsid w:val="007651E5"/>
    <w:rsid w:val="0076524F"/>
    <w:rsid w:val="00765584"/>
    <w:rsid w:val="007665B2"/>
    <w:rsid w:val="007670DC"/>
    <w:rsid w:val="00767356"/>
    <w:rsid w:val="00767EA9"/>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F9E"/>
    <w:rsid w:val="0078533C"/>
    <w:rsid w:val="007857FB"/>
    <w:rsid w:val="007870FC"/>
    <w:rsid w:val="00787CD0"/>
    <w:rsid w:val="007905A2"/>
    <w:rsid w:val="00791053"/>
    <w:rsid w:val="00791261"/>
    <w:rsid w:val="007918FE"/>
    <w:rsid w:val="00791A3A"/>
    <w:rsid w:val="0079262D"/>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CCC"/>
    <w:rsid w:val="007E2D69"/>
    <w:rsid w:val="007E3B9A"/>
    <w:rsid w:val="007E3EEF"/>
    <w:rsid w:val="007E46E8"/>
    <w:rsid w:val="007E470F"/>
    <w:rsid w:val="007E4C1F"/>
    <w:rsid w:val="007E5E29"/>
    <w:rsid w:val="007F01DE"/>
    <w:rsid w:val="007F0759"/>
    <w:rsid w:val="007F0BCC"/>
    <w:rsid w:val="007F1154"/>
    <w:rsid w:val="007F156E"/>
    <w:rsid w:val="007F1CF3"/>
    <w:rsid w:val="007F25C0"/>
    <w:rsid w:val="007F2664"/>
    <w:rsid w:val="007F30BB"/>
    <w:rsid w:val="007F33B4"/>
    <w:rsid w:val="007F35DC"/>
    <w:rsid w:val="007F3A22"/>
    <w:rsid w:val="007F3BC1"/>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5303"/>
    <w:rsid w:val="00806461"/>
    <w:rsid w:val="008064C1"/>
    <w:rsid w:val="00806F89"/>
    <w:rsid w:val="0081096D"/>
    <w:rsid w:val="00810EAD"/>
    <w:rsid w:val="00811833"/>
    <w:rsid w:val="00811D57"/>
    <w:rsid w:val="00814BDE"/>
    <w:rsid w:val="00814DBC"/>
    <w:rsid w:val="00815EFD"/>
    <w:rsid w:val="008169CA"/>
    <w:rsid w:val="00816CD8"/>
    <w:rsid w:val="008174D4"/>
    <w:rsid w:val="0081797B"/>
    <w:rsid w:val="0082002E"/>
    <w:rsid w:val="0082083C"/>
    <w:rsid w:val="008209AC"/>
    <w:rsid w:val="00820C54"/>
    <w:rsid w:val="00820F37"/>
    <w:rsid w:val="00820FE6"/>
    <w:rsid w:val="00821A66"/>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53D5"/>
    <w:rsid w:val="00835408"/>
    <w:rsid w:val="008358A2"/>
    <w:rsid w:val="008359DA"/>
    <w:rsid w:val="00836E93"/>
    <w:rsid w:val="00837CEF"/>
    <w:rsid w:val="00837E2F"/>
    <w:rsid w:val="00840035"/>
    <w:rsid w:val="0084074A"/>
    <w:rsid w:val="00842661"/>
    <w:rsid w:val="008428A9"/>
    <w:rsid w:val="00842925"/>
    <w:rsid w:val="00844112"/>
    <w:rsid w:val="008456C9"/>
    <w:rsid w:val="0084611D"/>
    <w:rsid w:val="00846177"/>
    <w:rsid w:val="0084654D"/>
    <w:rsid w:val="00846C9F"/>
    <w:rsid w:val="00847BD6"/>
    <w:rsid w:val="00850137"/>
    <w:rsid w:val="00850C62"/>
    <w:rsid w:val="00852116"/>
    <w:rsid w:val="00852B48"/>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5F"/>
    <w:rsid w:val="0086748F"/>
    <w:rsid w:val="00872757"/>
    <w:rsid w:val="00872BA6"/>
    <w:rsid w:val="00872CE4"/>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27F"/>
    <w:rsid w:val="008A64C4"/>
    <w:rsid w:val="008A6BF7"/>
    <w:rsid w:val="008A6CC1"/>
    <w:rsid w:val="008A72FB"/>
    <w:rsid w:val="008A7F03"/>
    <w:rsid w:val="008B0CA2"/>
    <w:rsid w:val="008B1823"/>
    <w:rsid w:val="008B1B4E"/>
    <w:rsid w:val="008B2AA9"/>
    <w:rsid w:val="008B2BDF"/>
    <w:rsid w:val="008B2C7A"/>
    <w:rsid w:val="008B2D72"/>
    <w:rsid w:val="008B4198"/>
    <w:rsid w:val="008B4C9F"/>
    <w:rsid w:val="008B586A"/>
    <w:rsid w:val="008B6651"/>
    <w:rsid w:val="008B6E16"/>
    <w:rsid w:val="008B7110"/>
    <w:rsid w:val="008B7A20"/>
    <w:rsid w:val="008C0DF9"/>
    <w:rsid w:val="008C1ED0"/>
    <w:rsid w:val="008C2029"/>
    <w:rsid w:val="008C255B"/>
    <w:rsid w:val="008C267C"/>
    <w:rsid w:val="008C2E44"/>
    <w:rsid w:val="008C3427"/>
    <w:rsid w:val="008C3B7F"/>
    <w:rsid w:val="008C3BC2"/>
    <w:rsid w:val="008C4F76"/>
    <w:rsid w:val="008C55AD"/>
    <w:rsid w:val="008C596C"/>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CAE"/>
    <w:rsid w:val="008E7D8A"/>
    <w:rsid w:val="008F0A9B"/>
    <w:rsid w:val="008F14C7"/>
    <w:rsid w:val="008F1E9E"/>
    <w:rsid w:val="008F2165"/>
    <w:rsid w:val="008F2356"/>
    <w:rsid w:val="008F2477"/>
    <w:rsid w:val="008F3879"/>
    <w:rsid w:val="008F5442"/>
    <w:rsid w:val="008F653E"/>
    <w:rsid w:val="008F66B8"/>
    <w:rsid w:val="008F66C0"/>
    <w:rsid w:val="008F7769"/>
    <w:rsid w:val="008F7C15"/>
    <w:rsid w:val="009004FE"/>
    <w:rsid w:val="00901014"/>
    <w:rsid w:val="009010F0"/>
    <w:rsid w:val="00901162"/>
    <w:rsid w:val="00901247"/>
    <w:rsid w:val="00901B53"/>
    <w:rsid w:val="0090223A"/>
    <w:rsid w:val="009028E2"/>
    <w:rsid w:val="00902D6A"/>
    <w:rsid w:val="009039FE"/>
    <w:rsid w:val="00903E9A"/>
    <w:rsid w:val="009048A5"/>
    <w:rsid w:val="00905404"/>
    <w:rsid w:val="00905E2F"/>
    <w:rsid w:val="00906478"/>
    <w:rsid w:val="00906753"/>
    <w:rsid w:val="00907264"/>
    <w:rsid w:val="0090765F"/>
    <w:rsid w:val="00907748"/>
    <w:rsid w:val="00911305"/>
    <w:rsid w:val="00912590"/>
    <w:rsid w:val="00913200"/>
    <w:rsid w:val="009136A4"/>
    <w:rsid w:val="00914EAB"/>
    <w:rsid w:val="009152D8"/>
    <w:rsid w:val="009153A3"/>
    <w:rsid w:val="0091586C"/>
    <w:rsid w:val="00915A1D"/>
    <w:rsid w:val="00917994"/>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D22"/>
    <w:rsid w:val="00932CC7"/>
    <w:rsid w:val="0093355C"/>
    <w:rsid w:val="00934604"/>
    <w:rsid w:val="00935306"/>
    <w:rsid w:val="0093629F"/>
    <w:rsid w:val="0093640D"/>
    <w:rsid w:val="00936688"/>
    <w:rsid w:val="00937683"/>
    <w:rsid w:val="00937AC9"/>
    <w:rsid w:val="00937CFA"/>
    <w:rsid w:val="00940291"/>
    <w:rsid w:val="009406B3"/>
    <w:rsid w:val="00942286"/>
    <w:rsid w:val="00943748"/>
    <w:rsid w:val="00943CEE"/>
    <w:rsid w:val="009444F4"/>
    <w:rsid w:val="00944674"/>
    <w:rsid w:val="00944F2F"/>
    <w:rsid w:val="00945CC4"/>
    <w:rsid w:val="00945CF5"/>
    <w:rsid w:val="00946437"/>
    <w:rsid w:val="0094691C"/>
    <w:rsid w:val="00947C95"/>
    <w:rsid w:val="00947EED"/>
    <w:rsid w:val="009500A1"/>
    <w:rsid w:val="0095037E"/>
    <w:rsid w:val="00951D97"/>
    <w:rsid w:val="00952230"/>
    <w:rsid w:val="00952266"/>
    <w:rsid w:val="00952AAD"/>
    <w:rsid w:val="00953B2B"/>
    <w:rsid w:val="00954567"/>
    <w:rsid w:val="009547B3"/>
    <w:rsid w:val="00954A89"/>
    <w:rsid w:val="00955CB7"/>
    <w:rsid w:val="00956671"/>
    <w:rsid w:val="00956A26"/>
    <w:rsid w:val="00957466"/>
    <w:rsid w:val="009576F7"/>
    <w:rsid w:val="00957C4C"/>
    <w:rsid w:val="00960722"/>
    <w:rsid w:val="00961356"/>
    <w:rsid w:val="00962401"/>
    <w:rsid w:val="00962510"/>
    <w:rsid w:val="0096260B"/>
    <w:rsid w:val="0096275C"/>
    <w:rsid w:val="009627FF"/>
    <w:rsid w:val="00962A27"/>
    <w:rsid w:val="00962B9D"/>
    <w:rsid w:val="00962EDC"/>
    <w:rsid w:val="00964E3D"/>
    <w:rsid w:val="009664D5"/>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466B"/>
    <w:rsid w:val="0098545C"/>
    <w:rsid w:val="00985506"/>
    <w:rsid w:val="009862F1"/>
    <w:rsid w:val="009864D0"/>
    <w:rsid w:val="009871EA"/>
    <w:rsid w:val="009902A2"/>
    <w:rsid w:val="00991675"/>
    <w:rsid w:val="00992188"/>
    <w:rsid w:val="00992BA2"/>
    <w:rsid w:val="00992F83"/>
    <w:rsid w:val="0099344F"/>
    <w:rsid w:val="00993A3C"/>
    <w:rsid w:val="0099449B"/>
    <w:rsid w:val="0099508A"/>
    <w:rsid w:val="009953BC"/>
    <w:rsid w:val="00995B74"/>
    <w:rsid w:val="00995E53"/>
    <w:rsid w:val="00996BAA"/>
    <w:rsid w:val="009974EB"/>
    <w:rsid w:val="009978D5"/>
    <w:rsid w:val="00997A12"/>
    <w:rsid w:val="00997E2A"/>
    <w:rsid w:val="009A1126"/>
    <w:rsid w:val="009A2B2E"/>
    <w:rsid w:val="009A5564"/>
    <w:rsid w:val="009A7469"/>
    <w:rsid w:val="009B07EE"/>
    <w:rsid w:val="009B1584"/>
    <w:rsid w:val="009B1B32"/>
    <w:rsid w:val="009B21CA"/>
    <w:rsid w:val="009B2648"/>
    <w:rsid w:val="009B2886"/>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C27"/>
    <w:rsid w:val="009D6ED2"/>
    <w:rsid w:val="009E08B3"/>
    <w:rsid w:val="009E0A6A"/>
    <w:rsid w:val="009E0F1A"/>
    <w:rsid w:val="009E140D"/>
    <w:rsid w:val="009E1A86"/>
    <w:rsid w:val="009E43DD"/>
    <w:rsid w:val="009E4465"/>
    <w:rsid w:val="009E5318"/>
    <w:rsid w:val="009E6401"/>
    <w:rsid w:val="009E6841"/>
    <w:rsid w:val="009E6C54"/>
    <w:rsid w:val="009F04C8"/>
    <w:rsid w:val="009F0812"/>
    <w:rsid w:val="009F0E02"/>
    <w:rsid w:val="009F248B"/>
    <w:rsid w:val="009F2A25"/>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385"/>
    <w:rsid w:val="00A0585B"/>
    <w:rsid w:val="00A05ACE"/>
    <w:rsid w:val="00A0744C"/>
    <w:rsid w:val="00A114B9"/>
    <w:rsid w:val="00A12107"/>
    <w:rsid w:val="00A13A65"/>
    <w:rsid w:val="00A14589"/>
    <w:rsid w:val="00A14AE3"/>
    <w:rsid w:val="00A16675"/>
    <w:rsid w:val="00A17957"/>
    <w:rsid w:val="00A20404"/>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53D8"/>
    <w:rsid w:val="00A8661E"/>
    <w:rsid w:val="00A8695A"/>
    <w:rsid w:val="00A86ACF"/>
    <w:rsid w:val="00A8708E"/>
    <w:rsid w:val="00A87FE7"/>
    <w:rsid w:val="00A903B6"/>
    <w:rsid w:val="00A90F4F"/>
    <w:rsid w:val="00A92579"/>
    <w:rsid w:val="00A936F9"/>
    <w:rsid w:val="00A943D0"/>
    <w:rsid w:val="00A947AA"/>
    <w:rsid w:val="00A94888"/>
    <w:rsid w:val="00A9681C"/>
    <w:rsid w:val="00A96867"/>
    <w:rsid w:val="00A96B3D"/>
    <w:rsid w:val="00A96FC2"/>
    <w:rsid w:val="00A978B4"/>
    <w:rsid w:val="00AA18AB"/>
    <w:rsid w:val="00AA1B53"/>
    <w:rsid w:val="00AA1DEA"/>
    <w:rsid w:val="00AA256D"/>
    <w:rsid w:val="00AA2B76"/>
    <w:rsid w:val="00AA311D"/>
    <w:rsid w:val="00AA3556"/>
    <w:rsid w:val="00AA35FD"/>
    <w:rsid w:val="00AA3DB7"/>
    <w:rsid w:val="00AA41D3"/>
    <w:rsid w:val="00AB0039"/>
    <w:rsid w:val="00AB0D96"/>
    <w:rsid w:val="00AB15A3"/>
    <w:rsid w:val="00AB177A"/>
    <w:rsid w:val="00AB216D"/>
    <w:rsid w:val="00AB24C5"/>
    <w:rsid w:val="00AB3012"/>
    <w:rsid w:val="00AB321C"/>
    <w:rsid w:val="00AB37D2"/>
    <w:rsid w:val="00AB473F"/>
    <w:rsid w:val="00AB4C91"/>
    <w:rsid w:val="00AB4E3B"/>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1644"/>
    <w:rsid w:val="00AE2FA5"/>
    <w:rsid w:val="00AE3486"/>
    <w:rsid w:val="00AE3A4F"/>
    <w:rsid w:val="00AE4518"/>
    <w:rsid w:val="00AE5D7F"/>
    <w:rsid w:val="00AE79F0"/>
    <w:rsid w:val="00AF07B0"/>
    <w:rsid w:val="00AF109C"/>
    <w:rsid w:val="00AF1701"/>
    <w:rsid w:val="00AF1752"/>
    <w:rsid w:val="00AF42FC"/>
    <w:rsid w:val="00AF4AC5"/>
    <w:rsid w:val="00AF4C2C"/>
    <w:rsid w:val="00AF597D"/>
    <w:rsid w:val="00AF6915"/>
    <w:rsid w:val="00AF6EC1"/>
    <w:rsid w:val="00AF784D"/>
    <w:rsid w:val="00AF7BCD"/>
    <w:rsid w:val="00AF7CE9"/>
    <w:rsid w:val="00B00331"/>
    <w:rsid w:val="00B0117E"/>
    <w:rsid w:val="00B014A1"/>
    <w:rsid w:val="00B01A80"/>
    <w:rsid w:val="00B046AF"/>
    <w:rsid w:val="00B06036"/>
    <w:rsid w:val="00B061F1"/>
    <w:rsid w:val="00B06615"/>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AB3"/>
    <w:rsid w:val="00B32DAE"/>
    <w:rsid w:val="00B3322B"/>
    <w:rsid w:val="00B336EB"/>
    <w:rsid w:val="00B33825"/>
    <w:rsid w:val="00B34BB2"/>
    <w:rsid w:val="00B34E7C"/>
    <w:rsid w:val="00B35AF6"/>
    <w:rsid w:val="00B36228"/>
    <w:rsid w:val="00B366A3"/>
    <w:rsid w:val="00B368EA"/>
    <w:rsid w:val="00B37EEF"/>
    <w:rsid w:val="00B418AD"/>
    <w:rsid w:val="00B41C2D"/>
    <w:rsid w:val="00B42F1A"/>
    <w:rsid w:val="00B43790"/>
    <w:rsid w:val="00B443D9"/>
    <w:rsid w:val="00B44531"/>
    <w:rsid w:val="00B44DBC"/>
    <w:rsid w:val="00B46521"/>
    <w:rsid w:val="00B46587"/>
    <w:rsid w:val="00B47AD2"/>
    <w:rsid w:val="00B47CF7"/>
    <w:rsid w:val="00B50686"/>
    <w:rsid w:val="00B50C50"/>
    <w:rsid w:val="00B513C0"/>
    <w:rsid w:val="00B53708"/>
    <w:rsid w:val="00B53DCB"/>
    <w:rsid w:val="00B5428F"/>
    <w:rsid w:val="00B54370"/>
    <w:rsid w:val="00B54460"/>
    <w:rsid w:val="00B54DEA"/>
    <w:rsid w:val="00B55185"/>
    <w:rsid w:val="00B55C03"/>
    <w:rsid w:val="00B55F0B"/>
    <w:rsid w:val="00B56670"/>
    <w:rsid w:val="00B56A70"/>
    <w:rsid w:val="00B60638"/>
    <w:rsid w:val="00B606F8"/>
    <w:rsid w:val="00B615C7"/>
    <w:rsid w:val="00B61923"/>
    <w:rsid w:val="00B621D6"/>
    <w:rsid w:val="00B63AF2"/>
    <w:rsid w:val="00B65747"/>
    <w:rsid w:val="00B65D6F"/>
    <w:rsid w:val="00B65FAD"/>
    <w:rsid w:val="00B66174"/>
    <w:rsid w:val="00B67021"/>
    <w:rsid w:val="00B673C9"/>
    <w:rsid w:val="00B67B37"/>
    <w:rsid w:val="00B67C23"/>
    <w:rsid w:val="00B7079B"/>
    <w:rsid w:val="00B70DC7"/>
    <w:rsid w:val="00B71057"/>
    <w:rsid w:val="00B721A4"/>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C29"/>
    <w:rsid w:val="00B90780"/>
    <w:rsid w:val="00B90968"/>
    <w:rsid w:val="00B9188B"/>
    <w:rsid w:val="00B91BC2"/>
    <w:rsid w:val="00B9240D"/>
    <w:rsid w:val="00B92CB7"/>
    <w:rsid w:val="00B94960"/>
    <w:rsid w:val="00B94AF7"/>
    <w:rsid w:val="00B95C23"/>
    <w:rsid w:val="00B96F6E"/>
    <w:rsid w:val="00BA22A8"/>
    <w:rsid w:val="00BA309F"/>
    <w:rsid w:val="00BA3E48"/>
    <w:rsid w:val="00BA4905"/>
    <w:rsid w:val="00BA4BD3"/>
    <w:rsid w:val="00BA535D"/>
    <w:rsid w:val="00BA5C43"/>
    <w:rsid w:val="00BA6E49"/>
    <w:rsid w:val="00BB0187"/>
    <w:rsid w:val="00BB06E7"/>
    <w:rsid w:val="00BB0E56"/>
    <w:rsid w:val="00BB1EB3"/>
    <w:rsid w:val="00BB2678"/>
    <w:rsid w:val="00BB3077"/>
    <w:rsid w:val="00BB33A8"/>
    <w:rsid w:val="00BB35D1"/>
    <w:rsid w:val="00BB3927"/>
    <w:rsid w:val="00BB3D8C"/>
    <w:rsid w:val="00BB4B39"/>
    <w:rsid w:val="00BB53AF"/>
    <w:rsid w:val="00BB5883"/>
    <w:rsid w:val="00BB5C26"/>
    <w:rsid w:val="00BB6A40"/>
    <w:rsid w:val="00BC013A"/>
    <w:rsid w:val="00BC162A"/>
    <w:rsid w:val="00BC1826"/>
    <w:rsid w:val="00BC2343"/>
    <w:rsid w:val="00BC5824"/>
    <w:rsid w:val="00BC584D"/>
    <w:rsid w:val="00BC702F"/>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6D0"/>
    <w:rsid w:val="00C00A6C"/>
    <w:rsid w:val="00C00B8B"/>
    <w:rsid w:val="00C013E1"/>
    <w:rsid w:val="00C01611"/>
    <w:rsid w:val="00C02BDB"/>
    <w:rsid w:val="00C02D59"/>
    <w:rsid w:val="00C02E26"/>
    <w:rsid w:val="00C02FE3"/>
    <w:rsid w:val="00C030B6"/>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63C9"/>
    <w:rsid w:val="00C47648"/>
    <w:rsid w:val="00C47852"/>
    <w:rsid w:val="00C50011"/>
    <w:rsid w:val="00C5254B"/>
    <w:rsid w:val="00C54F7F"/>
    <w:rsid w:val="00C556E8"/>
    <w:rsid w:val="00C55D39"/>
    <w:rsid w:val="00C55FBF"/>
    <w:rsid w:val="00C56295"/>
    <w:rsid w:val="00C5718C"/>
    <w:rsid w:val="00C57E68"/>
    <w:rsid w:val="00C601C9"/>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DB6"/>
    <w:rsid w:val="00C915A6"/>
    <w:rsid w:val="00C92603"/>
    <w:rsid w:val="00C92652"/>
    <w:rsid w:val="00C92A7B"/>
    <w:rsid w:val="00C9394F"/>
    <w:rsid w:val="00C93B1A"/>
    <w:rsid w:val="00C9444E"/>
    <w:rsid w:val="00C94E60"/>
    <w:rsid w:val="00C96F5F"/>
    <w:rsid w:val="00C97055"/>
    <w:rsid w:val="00CA194C"/>
    <w:rsid w:val="00CA2A5B"/>
    <w:rsid w:val="00CA2B4F"/>
    <w:rsid w:val="00CA30C3"/>
    <w:rsid w:val="00CA5927"/>
    <w:rsid w:val="00CA635E"/>
    <w:rsid w:val="00CA6BB0"/>
    <w:rsid w:val="00CA70CE"/>
    <w:rsid w:val="00CA79EC"/>
    <w:rsid w:val="00CB002C"/>
    <w:rsid w:val="00CB19D3"/>
    <w:rsid w:val="00CB1E4B"/>
    <w:rsid w:val="00CB259F"/>
    <w:rsid w:val="00CB39C2"/>
    <w:rsid w:val="00CB3E38"/>
    <w:rsid w:val="00CB4C8C"/>
    <w:rsid w:val="00CB4E90"/>
    <w:rsid w:val="00CB5850"/>
    <w:rsid w:val="00CB5C99"/>
    <w:rsid w:val="00CB633B"/>
    <w:rsid w:val="00CB6782"/>
    <w:rsid w:val="00CB6E3E"/>
    <w:rsid w:val="00CC080A"/>
    <w:rsid w:val="00CC0D0F"/>
    <w:rsid w:val="00CC0DB1"/>
    <w:rsid w:val="00CC1275"/>
    <w:rsid w:val="00CC12EE"/>
    <w:rsid w:val="00CC1442"/>
    <w:rsid w:val="00CC19FD"/>
    <w:rsid w:val="00CC3767"/>
    <w:rsid w:val="00CC5767"/>
    <w:rsid w:val="00CC5D2F"/>
    <w:rsid w:val="00CC68CC"/>
    <w:rsid w:val="00CC701E"/>
    <w:rsid w:val="00CC7735"/>
    <w:rsid w:val="00CD0310"/>
    <w:rsid w:val="00CD1A1C"/>
    <w:rsid w:val="00CD2E48"/>
    <w:rsid w:val="00CD4826"/>
    <w:rsid w:val="00CD4E19"/>
    <w:rsid w:val="00CD5A17"/>
    <w:rsid w:val="00CD5DE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F1B70"/>
    <w:rsid w:val="00CF1C07"/>
    <w:rsid w:val="00CF1DD1"/>
    <w:rsid w:val="00CF2161"/>
    <w:rsid w:val="00CF2307"/>
    <w:rsid w:val="00CF26AE"/>
    <w:rsid w:val="00CF2D54"/>
    <w:rsid w:val="00CF311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2B0"/>
    <w:rsid w:val="00D37343"/>
    <w:rsid w:val="00D376D6"/>
    <w:rsid w:val="00D41EA8"/>
    <w:rsid w:val="00D4205E"/>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7D12"/>
    <w:rsid w:val="00D705FF"/>
    <w:rsid w:val="00D70B0C"/>
    <w:rsid w:val="00D7145C"/>
    <w:rsid w:val="00D722A5"/>
    <w:rsid w:val="00D7352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D3E"/>
    <w:rsid w:val="00D935B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EE7"/>
    <w:rsid w:val="00DB521D"/>
    <w:rsid w:val="00DB5971"/>
    <w:rsid w:val="00DB5D51"/>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4F9"/>
    <w:rsid w:val="00DD26EC"/>
    <w:rsid w:val="00DD2DFB"/>
    <w:rsid w:val="00DD3604"/>
    <w:rsid w:val="00DD3F4D"/>
    <w:rsid w:val="00DD4311"/>
    <w:rsid w:val="00DD481D"/>
    <w:rsid w:val="00DD6F2E"/>
    <w:rsid w:val="00DD72E1"/>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7AE"/>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523"/>
    <w:rsid w:val="00E14972"/>
    <w:rsid w:val="00E14CB9"/>
    <w:rsid w:val="00E151F2"/>
    <w:rsid w:val="00E15383"/>
    <w:rsid w:val="00E15C82"/>
    <w:rsid w:val="00E1738C"/>
    <w:rsid w:val="00E201C0"/>
    <w:rsid w:val="00E21484"/>
    <w:rsid w:val="00E21ABD"/>
    <w:rsid w:val="00E22775"/>
    <w:rsid w:val="00E22D28"/>
    <w:rsid w:val="00E22F81"/>
    <w:rsid w:val="00E22F87"/>
    <w:rsid w:val="00E230E3"/>
    <w:rsid w:val="00E23C97"/>
    <w:rsid w:val="00E24727"/>
    <w:rsid w:val="00E265A7"/>
    <w:rsid w:val="00E2765F"/>
    <w:rsid w:val="00E27B80"/>
    <w:rsid w:val="00E27FCE"/>
    <w:rsid w:val="00E30EDF"/>
    <w:rsid w:val="00E31B43"/>
    <w:rsid w:val="00E31FBA"/>
    <w:rsid w:val="00E3222F"/>
    <w:rsid w:val="00E327A7"/>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60B6"/>
    <w:rsid w:val="00E46BD2"/>
    <w:rsid w:val="00E473D4"/>
    <w:rsid w:val="00E474CF"/>
    <w:rsid w:val="00E513F6"/>
    <w:rsid w:val="00E51EC6"/>
    <w:rsid w:val="00E52F3B"/>
    <w:rsid w:val="00E52F80"/>
    <w:rsid w:val="00E530C3"/>
    <w:rsid w:val="00E53225"/>
    <w:rsid w:val="00E5367C"/>
    <w:rsid w:val="00E536E1"/>
    <w:rsid w:val="00E53D94"/>
    <w:rsid w:val="00E53DEA"/>
    <w:rsid w:val="00E5424B"/>
    <w:rsid w:val="00E54270"/>
    <w:rsid w:val="00E544BA"/>
    <w:rsid w:val="00E55B64"/>
    <w:rsid w:val="00E56759"/>
    <w:rsid w:val="00E6137C"/>
    <w:rsid w:val="00E616DB"/>
    <w:rsid w:val="00E623FB"/>
    <w:rsid w:val="00E62442"/>
    <w:rsid w:val="00E627A4"/>
    <w:rsid w:val="00E630ED"/>
    <w:rsid w:val="00E63CFB"/>
    <w:rsid w:val="00E6437C"/>
    <w:rsid w:val="00E65237"/>
    <w:rsid w:val="00E67862"/>
    <w:rsid w:val="00E70ACF"/>
    <w:rsid w:val="00E70D46"/>
    <w:rsid w:val="00E712A9"/>
    <w:rsid w:val="00E713BC"/>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682"/>
    <w:rsid w:val="00E86E79"/>
    <w:rsid w:val="00E906B4"/>
    <w:rsid w:val="00E9095B"/>
    <w:rsid w:val="00E9145E"/>
    <w:rsid w:val="00E9152D"/>
    <w:rsid w:val="00E91B24"/>
    <w:rsid w:val="00E926B8"/>
    <w:rsid w:val="00E927BF"/>
    <w:rsid w:val="00E936DA"/>
    <w:rsid w:val="00E9399B"/>
    <w:rsid w:val="00E939A7"/>
    <w:rsid w:val="00E94008"/>
    <w:rsid w:val="00E9467B"/>
    <w:rsid w:val="00E94762"/>
    <w:rsid w:val="00E94CAF"/>
    <w:rsid w:val="00E956BA"/>
    <w:rsid w:val="00E95FBD"/>
    <w:rsid w:val="00E96B52"/>
    <w:rsid w:val="00E97D31"/>
    <w:rsid w:val="00EA0018"/>
    <w:rsid w:val="00EA08BE"/>
    <w:rsid w:val="00EA0A85"/>
    <w:rsid w:val="00EA14B0"/>
    <w:rsid w:val="00EA2244"/>
    <w:rsid w:val="00EA2EC5"/>
    <w:rsid w:val="00EA4DDC"/>
    <w:rsid w:val="00EA5EFF"/>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D05"/>
    <w:rsid w:val="00EF42CF"/>
    <w:rsid w:val="00EF5403"/>
    <w:rsid w:val="00EF567D"/>
    <w:rsid w:val="00EF5F11"/>
    <w:rsid w:val="00EF6111"/>
    <w:rsid w:val="00F005A0"/>
    <w:rsid w:val="00F006A5"/>
    <w:rsid w:val="00F01835"/>
    <w:rsid w:val="00F01DE9"/>
    <w:rsid w:val="00F0229D"/>
    <w:rsid w:val="00F02B1B"/>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CE8"/>
    <w:rsid w:val="00F51361"/>
    <w:rsid w:val="00F52330"/>
    <w:rsid w:val="00F523C2"/>
    <w:rsid w:val="00F52407"/>
    <w:rsid w:val="00F54603"/>
    <w:rsid w:val="00F54772"/>
    <w:rsid w:val="00F54869"/>
    <w:rsid w:val="00F556B2"/>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564C"/>
    <w:rsid w:val="00F76220"/>
    <w:rsid w:val="00F769BE"/>
    <w:rsid w:val="00F7735C"/>
    <w:rsid w:val="00F77BD5"/>
    <w:rsid w:val="00F77E24"/>
    <w:rsid w:val="00F8216D"/>
    <w:rsid w:val="00F82E6B"/>
    <w:rsid w:val="00F83662"/>
    <w:rsid w:val="00F838C0"/>
    <w:rsid w:val="00F85F83"/>
    <w:rsid w:val="00F86F3C"/>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B0B38"/>
    <w:rsid w:val="00FB0D68"/>
    <w:rsid w:val="00FB232C"/>
    <w:rsid w:val="00FB2D17"/>
    <w:rsid w:val="00FB2F69"/>
    <w:rsid w:val="00FB3215"/>
    <w:rsid w:val="00FB368B"/>
    <w:rsid w:val="00FB3A3A"/>
    <w:rsid w:val="00FB4217"/>
    <w:rsid w:val="00FB4379"/>
    <w:rsid w:val="00FB45FF"/>
    <w:rsid w:val="00FB5D97"/>
    <w:rsid w:val="00FB61EA"/>
    <w:rsid w:val="00FB6C7A"/>
    <w:rsid w:val="00FB72AB"/>
    <w:rsid w:val="00FB732E"/>
    <w:rsid w:val="00FB79F7"/>
    <w:rsid w:val="00FC09E7"/>
    <w:rsid w:val="00FC0E7B"/>
    <w:rsid w:val="00FC1CA5"/>
    <w:rsid w:val="00FC1D8E"/>
    <w:rsid w:val="00FC2733"/>
    <w:rsid w:val="00FC2979"/>
    <w:rsid w:val="00FC54B2"/>
    <w:rsid w:val="00FC6D6C"/>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doNotAutoCompressPictures/>
  <w:shapeDefaults>
    <o:shapedefaults spidmax="2049"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cs="Times New Roman" w:eastAsia="宋体" w:hAnsi="Times New Roman"/>
        <w:lang w:bidi="ar-SA" w:eastAsia="zh-CN" w:val="en-US"/>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nhideWhenUsed="0"/>
    <w:lsdException w:locked="1" w:name="heading 2" w:qFormat="1" w:semiHidden="0" w:unhideWhenUsed="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header" w:semiHidden="0" w:unhideWhenUsed="0"/>
    <w:lsdException w:locked="1" w:name="caption" w:qFormat="1" w:uiPriority="0"/>
    <w:lsdException w:locked="1" w:name="Title" w:qFormat="1" w:semiHidden="0" w:uiPriority="0" w:unhideWhenUsed="0"/>
    <w:lsdException w:name="Default Paragraph Font" w:uiPriority="1"/>
    <w:lsdException w:locked="1" w:name="Subtitle" w:qFormat="1" w:semiHidden="0" w:uiPriority="0" w:unhideWhenUsed="0"/>
    <w:lsdException w:name="Body Text Indent 2" w:uiPriority="0"/>
    <w:lsdException w:locked="1" w:name="Strong" w:qFormat="1" w:semiHidden="0" w:uiPriority="22" w:unhideWhenUsed="0"/>
    <w:lsdException w:locked="1" w:name="Emphasis" w:qFormat="1" w:semiHidden="0" w:uiPriority="0" w:unhideWhenUsed="0"/>
    <w:lsdException w:name="Plain Text" w:uiPriority="0"/>
    <w:lsdException w:locked="1" w:name="No List" w:semiHidden="0" w:uiPriority="0" w:unhideWhenUsed="0"/>
    <w:lsdException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905404"/>
    <w:pPr>
      <w:widowControl w:val="0"/>
      <w:jc w:val="both"/>
    </w:pPr>
    <w:rPr>
      <w:kern w:val="2"/>
      <w:sz w:val="21"/>
      <w:szCs w:val="24"/>
    </w:rPr>
  </w:style>
  <w:style w:styleId="1" w:type="paragraph">
    <w:name w:val="heading 1"/>
    <w:basedOn w:val="a"/>
    <w:next w:val="a"/>
    <w:link w:val="1Char"/>
    <w:uiPriority w:val="99"/>
    <w:qFormat/>
    <w:rsid w:val="0089214A"/>
    <w:pPr>
      <w:widowControl/>
      <w:jc w:val="left"/>
      <w:outlineLvl w:val="0"/>
    </w:pPr>
    <w:rPr>
      <w:kern w:val="0"/>
      <w:sz w:val="24"/>
      <w:szCs w:val="20"/>
      <w:lang w:val="en-GB"/>
    </w:rPr>
  </w:style>
  <w:style w:styleId="20" w:type="paragraph">
    <w:name w:val="heading 2"/>
    <w:basedOn w:val="a"/>
    <w:next w:val="a0"/>
    <w:link w:val="2Char"/>
    <w:uiPriority w:val="99"/>
    <w:qFormat/>
    <w:rsid w:val="00FB732E"/>
    <w:pPr>
      <w:keepNext/>
      <w:keepLines/>
      <w:spacing w:after="260" w:before="260" w:line="360" w:lineRule="auto"/>
      <w:outlineLvl w:val="1"/>
    </w:pPr>
    <w:rPr>
      <w:rFonts w:ascii="Arial" w:hAnsi="Arial"/>
      <w:b/>
      <w:bCs/>
      <w:sz w:val="24"/>
      <w:szCs w:val="28"/>
    </w:rPr>
  </w:style>
  <w:style w:styleId="30" w:type="paragraph">
    <w:name w:val="heading 3"/>
    <w:basedOn w:val="a"/>
    <w:next w:val="a"/>
    <w:link w:val="3Char"/>
    <w:uiPriority w:val="99"/>
    <w:qFormat/>
    <w:rsid w:val="00F85F83"/>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link w:val="1"/>
    <w:uiPriority w:val="99"/>
    <w:locked/>
    <w:rsid w:val="0003228A"/>
    <w:rPr>
      <w:rFonts w:cs="Times New Roman"/>
      <w:sz w:val="24"/>
      <w:lang w:val="en-GB"/>
    </w:rPr>
  </w:style>
  <w:style w:customStyle="1" w:styleId="2Char" w:type="character">
    <w:name w:val="标题 2 Char"/>
    <w:link w:val="20"/>
    <w:uiPriority w:val="99"/>
    <w:locked/>
    <w:rsid w:val="00A3655D"/>
    <w:rPr>
      <w:rFonts w:ascii="Arial" w:hAnsi="Arial"/>
      <w:b/>
      <w:kern w:val="2"/>
      <w:sz w:val="28"/>
    </w:rPr>
  </w:style>
  <w:style w:customStyle="1" w:styleId="3Char" w:type="character">
    <w:name w:val="标题 3 Char"/>
    <w:link w:val="30"/>
    <w:uiPriority w:val="99"/>
    <w:locked/>
    <w:rsid w:val="006D141C"/>
    <w:rPr>
      <w:rFonts w:cs="Times New Roman"/>
      <w:b/>
      <w:bCs/>
      <w:kern w:val="2"/>
      <w:sz w:val="32"/>
      <w:szCs w:val="32"/>
    </w:rPr>
  </w:style>
  <w:style w:styleId="a4" w:type="paragraph">
    <w:name w:val="Balloon Text"/>
    <w:basedOn w:val="a"/>
    <w:link w:val="Char"/>
    <w:uiPriority w:val="99"/>
    <w:semiHidden/>
    <w:rsid w:val="00FB732E"/>
    <w:rPr>
      <w:sz w:val="18"/>
      <w:szCs w:val="18"/>
    </w:rPr>
  </w:style>
  <w:style w:customStyle="1" w:styleId="Char" w:type="character">
    <w:name w:val="批注框文本 Char"/>
    <w:link w:val="a4"/>
    <w:uiPriority w:val="99"/>
    <w:semiHidden/>
    <w:locked/>
    <w:rsid w:val="006D141C"/>
    <w:rPr>
      <w:rFonts w:cs="Times New Roman"/>
      <w:kern w:val="2"/>
      <w:sz w:val="18"/>
      <w:szCs w:val="18"/>
    </w:rPr>
  </w:style>
  <w:style w:styleId="a0" w:type="paragraph">
    <w:name w:val="Normal Indent"/>
    <w:basedOn w:val="a"/>
    <w:uiPriority w:val="99"/>
    <w:rsid w:val="00FB732E"/>
    <w:pPr>
      <w:ind w:firstLine="420" w:firstLineChars="200"/>
    </w:pPr>
  </w:style>
  <w:style w:styleId="a5" w:type="paragraph">
    <w:name w:val="Body Text Indent"/>
    <w:basedOn w:val="a"/>
    <w:link w:val="Char0"/>
    <w:uiPriority w:val="99"/>
    <w:rsid w:val="00FB732E"/>
    <w:pPr>
      <w:widowControl/>
      <w:spacing w:after="100" w:afterAutospacing="1" w:before="100" w:beforeAutospacing="1"/>
      <w:jc w:val="left"/>
    </w:pPr>
    <w:rPr>
      <w:rFonts w:ascii="Arial Unicode MS" w:cs="Arial Unicode MS" w:hAnsi="Arial Unicode MS"/>
      <w:kern w:val="0"/>
      <w:sz w:val="24"/>
    </w:rPr>
  </w:style>
  <w:style w:customStyle="1" w:styleId="Char0" w:type="character">
    <w:name w:val="正文文本缩进 Char"/>
    <w:link w:val="a5"/>
    <w:uiPriority w:val="99"/>
    <w:locked/>
    <w:rsid w:val="006D141C"/>
    <w:rPr>
      <w:rFonts w:ascii="Arial Unicode MS" w:cs="Arial Unicode MS" w:eastAsia="Times New Roman" w:hAnsi="Arial Unicode MS"/>
      <w:sz w:val="24"/>
      <w:szCs w:val="24"/>
    </w:rPr>
  </w:style>
  <w:style w:styleId="a6" w:type="paragraph">
    <w:name w:val="Plain Text"/>
    <w:basedOn w:val="a"/>
    <w:link w:val="Char1"/>
    <w:rsid w:val="00FB732E"/>
    <w:rPr>
      <w:rFonts w:ascii="宋体" w:hAnsi="Courier New"/>
      <w:szCs w:val="21"/>
    </w:rPr>
  </w:style>
  <w:style w:customStyle="1" w:styleId="Char1" w:type="character">
    <w:name w:val="纯文本 Char"/>
    <w:link w:val="a6"/>
    <w:locked/>
    <w:rsid w:val="00586E9A"/>
    <w:rPr>
      <w:rFonts w:ascii="宋体" w:hAnsi="Courier New"/>
      <w:kern w:val="2"/>
      <w:sz w:val="21"/>
    </w:rPr>
  </w:style>
  <w:style w:styleId="21" w:type="paragraph">
    <w:name w:val="Body Text Indent 2"/>
    <w:basedOn w:val="a"/>
    <w:link w:val="2Char0"/>
    <w:rsid w:val="00FB732E"/>
    <w:pPr>
      <w:spacing w:line="560" w:lineRule="exact"/>
      <w:ind w:firstLine="480" w:firstLineChars="200"/>
    </w:pPr>
    <w:rPr>
      <w:rFonts w:ascii="宋体" w:hAnsi="宋体"/>
      <w:color w:val="FF0000"/>
      <w:sz w:val="24"/>
    </w:rPr>
  </w:style>
  <w:style w:customStyle="1" w:styleId="2Char0" w:type="character">
    <w:name w:val="正文文本缩进 2 Char"/>
    <w:link w:val="21"/>
    <w:locked/>
    <w:rsid w:val="006D141C"/>
    <w:rPr>
      <w:rFonts w:ascii="宋体" w:cs="Times New Roman" w:eastAsia="宋体"/>
      <w:color w:val="FF0000"/>
      <w:kern w:val="2"/>
      <w:sz w:val="24"/>
      <w:szCs w:val="24"/>
    </w:rPr>
  </w:style>
  <w:style w:styleId="a7" w:type="paragraph">
    <w:name w:val="footer"/>
    <w:basedOn w:val="a"/>
    <w:link w:val="Char2"/>
    <w:uiPriority w:val="99"/>
    <w:rsid w:val="00FB732E"/>
    <w:pPr>
      <w:tabs>
        <w:tab w:pos="4153" w:val="center"/>
        <w:tab w:pos="8306" w:val="right"/>
      </w:tabs>
      <w:snapToGrid w:val="0"/>
      <w:jc w:val="left"/>
    </w:pPr>
    <w:rPr>
      <w:sz w:val="18"/>
      <w:szCs w:val="18"/>
    </w:rPr>
  </w:style>
  <w:style w:customStyle="1" w:styleId="Char2" w:type="character">
    <w:name w:val="页脚 Char"/>
    <w:link w:val="a7"/>
    <w:uiPriority w:val="99"/>
    <w:locked/>
    <w:rsid w:val="006D141C"/>
    <w:rPr>
      <w:rFonts w:cs="Times New Roman"/>
      <w:kern w:val="2"/>
      <w:sz w:val="18"/>
      <w:szCs w:val="18"/>
    </w:rPr>
  </w:style>
  <w:style w:styleId="a8" w:type="character">
    <w:name w:val="page number"/>
    <w:uiPriority w:val="99"/>
    <w:rsid w:val="00FB732E"/>
    <w:rPr>
      <w:rFonts w:cs="Times New Roman"/>
    </w:rPr>
  </w:style>
  <w:style w:styleId="a9" w:type="character">
    <w:name w:val="Hyperlink"/>
    <w:uiPriority w:val="99"/>
    <w:rsid w:val="00FB732E"/>
    <w:rPr>
      <w:rFonts w:cs="Times New Roman"/>
      <w:color w:val="0000FF"/>
      <w:u w:val="single"/>
    </w:rPr>
  </w:style>
  <w:style w:styleId="31" w:type="paragraph">
    <w:name w:val="Body Text Indent 3"/>
    <w:basedOn w:val="a"/>
    <w:link w:val="3Char0"/>
    <w:uiPriority w:val="99"/>
    <w:rsid w:val="00FB732E"/>
    <w:pPr>
      <w:spacing w:line="560" w:lineRule="exact"/>
      <w:ind w:firstLine="420" w:firstLineChars="200"/>
    </w:pPr>
    <w:rPr>
      <w:rFonts w:ascii="Arial" w:cs="Arial" w:hAnsi="Arial"/>
      <w:color w:val="FF0000"/>
    </w:rPr>
  </w:style>
  <w:style w:customStyle="1" w:styleId="3Char0" w:type="character">
    <w:name w:val="正文文本缩进 3 Char"/>
    <w:link w:val="31"/>
    <w:uiPriority w:val="99"/>
    <w:locked/>
    <w:rsid w:val="006D141C"/>
    <w:rPr>
      <w:rFonts w:ascii="Arial" w:cs="Arial" w:hAnsi="Arial"/>
      <w:color w:val="FF0000"/>
      <w:kern w:val="2"/>
      <w:sz w:val="24"/>
      <w:szCs w:val="24"/>
    </w:rPr>
  </w:style>
  <w:style w:styleId="aa" w:type="paragraph">
    <w:name w:val="header"/>
    <w:basedOn w:val="a"/>
    <w:link w:val="Char3"/>
    <w:uiPriority w:val="99"/>
    <w:rsid w:val="00FB732E"/>
    <w:pPr>
      <w:pBdr>
        <w:bottom w:color="auto" w:space="1" w:sz="6" w:val="single"/>
      </w:pBdr>
      <w:tabs>
        <w:tab w:pos="4153" w:val="center"/>
        <w:tab w:pos="8306" w:val="right"/>
      </w:tabs>
      <w:snapToGrid w:val="0"/>
      <w:jc w:val="center"/>
    </w:pPr>
    <w:rPr>
      <w:sz w:val="18"/>
      <w:szCs w:val="18"/>
    </w:rPr>
  </w:style>
  <w:style w:customStyle="1" w:styleId="Char3" w:type="character">
    <w:name w:val="页眉 Char"/>
    <w:link w:val="aa"/>
    <w:uiPriority w:val="99"/>
    <w:locked/>
    <w:rsid w:val="006D141C"/>
    <w:rPr>
      <w:rFonts w:cs="Times New Roman"/>
      <w:kern w:val="2"/>
      <w:sz w:val="18"/>
      <w:szCs w:val="18"/>
    </w:rPr>
  </w:style>
  <w:style w:styleId="ab" w:type="character">
    <w:name w:val="FollowedHyperlink"/>
    <w:uiPriority w:val="99"/>
    <w:rsid w:val="00FB732E"/>
    <w:rPr>
      <w:rFonts w:cs="Times New Roman"/>
      <w:color w:val="800080"/>
      <w:u w:val="single"/>
    </w:rPr>
  </w:style>
  <w:style w:styleId="ac" w:type="paragraph">
    <w:name w:val="List"/>
    <w:basedOn w:val="ad"/>
    <w:uiPriority w:val="99"/>
    <w:rsid w:val="00FB732E"/>
    <w:pPr>
      <w:spacing w:after="220" w:line="220" w:lineRule="atLeast"/>
      <w:ind w:hanging="360" w:left="1440"/>
    </w:pPr>
    <w:rPr>
      <w:szCs w:val="20"/>
    </w:rPr>
  </w:style>
  <w:style w:styleId="ad" w:type="paragraph">
    <w:name w:val="Body Text"/>
    <w:basedOn w:val="a"/>
    <w:link w:val="Char4"/>
    <w:uiPriority w:val="99"/>
    <w:rsid w:val="00FB732E"/>
    <w:pPr>
      <w:spacing w:after="120"/>
    </w:pPr>
  </w:style>
  <w:style w:customStyle="1" w:styleId="Char4" w:type="character">
    <w:name w:val="正文文本 Char"/>
    <w:link w:val="ad"/>
    <w:uiPriority w:val="99"/>
    <w:locked/>
    <w:rsid w:val="006D141C"/>
    <w:rPr>
      <w:rFonts w:cs="Times New Roman"/>
      <w:kern w:val="2"/>
      <w:sz w:val="24"/>
      <w:szCs w:val="24"/>
    </w:rPr>
  </w:style>
  <w:style w:styleId="ae" w:type="paragraph">
    <w:name w:val="Date"/>
    <w:basedOn w:val="a"/>
    <w:next w:val="a"/>
    <w:link w:val="Char5"/>
    <w:uiPriority w:val="99"/>
    <w:rsid w:val="00FB732E"/>
    <w:rPr>
      <w:sz w:val="24"/>
      <w:szCs w:val="20"/>
    </w:rPr>
  </w:style>
  <w:style w:customStyle="1" w:styleId="Char5" w:type="character">
    <w:name w:val="日期 Char"/>
    <w:link w:val="ae"/>
    <w:uiPriority w:val="99"/>
    <w:locked/>
    <w:rsid w:val="006D141C"/>
    <w:rPr>
      <w:rFonts w:cs="Times New Roman"/>
      <w:kern w:val="2"/>
      <w:sz w:val="24"/>
    </w:rPr>
  </w:style>
  <w:style w:customStyle="1" w:styleId="c1" w:type="character">
    <w:name w:val="c1"/>
    <w:uiPriority w:val="99"/>
    <w:rsid w:val="00FB732E"/>
    <w:rPr>
      <w:color w:val="000000"/>
      <w:spacing w:val="300"/>
      <w:sz w:val="18"/>
    </w:rPr>
  </w:style>
  <w:style w:styleId="10" w:type="paragraph">
    <w:name w:val="index 1"/>
    <w:basedOn w:val="a"/>
    <w:next w:val="a"/>
    <w:autoRedefine/>
    <w:uiPriority w:val="99"/>
    <w:semiHidden/>
    <w:rsid w:val="00FB732E"/>
    <w:pPr>
      <w:jc w:val="right"/>
    </w:pPr>
    <w:rPr>
      <w:color w:val="008000"/>
    </w:rPr>
  </w:style>
  <w:style w:customStyle="1" w:styleId="font5" w:type="paragraph">
    <w:name w:val="font5"/>
    <w:basedOn w:val="a"/>
    <w:uiPriority w:val="99"/>
    <w:rsid w:val="00FB732E"/>
    <w:pPr>
      <w:widowControl/>
      <w:spacing w:after="100" w:afterAutospacing="1" w:before="100" w:beforeAutospacing="1"/>
      <w:jc w:val="left"/>
    </w:pPr>
    <w:rPr>
      <w:rFonts w:ascii="宋体" w:cs="Arial Unicode MS" w:hAnsi="宋体"/>
      <w:kern w:val="0"/>
      <w:sz w:val="18"/>
      <w:szCs w:val="18"/>
    </w:rPr>
  </w:style>
  <w:style w:customStyle="1" w:styleId="xl24" w:type="paragraph">
    <w:name w:val="xl24"/>
    <w:basedOn w:val="a"/>
    <w:uiPriority w:val="99"/>
    <w:rsid w:val="00FB732E"/>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b/>
      <w:bCs/>
      <w:color w:val="0000FF"/>
      <w:kern w:val="0"/>
      <w:sz w:val="29"/>
      <w:szCs w:val="29"/>
    </w:rPr>
  </w:style>
  <w:style w:customStyle="1" w:styleId="xl25" w:type="paragraph">
    <w:name w:val="xl25"/>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hAnsi="Arial Unicode MS"/>
      <w:b/>
      <w:bCs/>
      <w:color w:val="000000"/>
      <w:kern w:val="0"/>
      <w:sz w:val="24"/>
    </w:rPr>
  </w:style>
  <w:style w:customStyle="1" w:styleId="xl26" w:type="paragraph">
    <w:name w:val="xl26"/>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27" w:type="paragraph">
    <w:name w:val="xl27"/>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12"/>
      <w:szCs w:val="12"/>
    </w:rPr>
  </w:style>
  <w:style w:customStyle="1" w:styleId="xl28" w:type="paragraph">
    <w:name w:val="xl28"/>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hAnsi="Arial Unicode MS"/>
      <w:b/>
      <w:bCs/>
      <w:color w:val="000000"/>
      <w:kern w:val="0"/>
      <w:sz w:val="24"/>
    </w:rPr>
  </w:style>
  <w:style w:customStyle="1" w:styleId="xl29" w:type="paragraph">
    <w:name w:val="xl29"/>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30" w:type="paragraph">
    <w:name w:val="xl30"/>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000000"/>
      <w:kern w:val="0"/>
      <w:sz w:val="24"/>
    </w:rPr>
  </w:style>
  <w:style w:customStyle="1" w:styleId="xl31" w:type="paragraph">
    <w:name w:val="xl31"/>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hAnsi="Arial Unicode MS"/>
      <w:color w:val="000000"/>
      <w:kern w:val="0"/>
      <w:sz w:val="22"/>
      <w:szCs w:val="22"/>
    </w:rPr>
  </w:style>
  <w:style w:customStyle="1" w:styleId="xl32" w:type="paragraph">
    <w:name w:val="xl32"/>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hAnsi="Arial Unicode MS"/>
      <w:color w:val="000000"/>
      <w:kern w:val="0"/>
      <w:sz w:val="22"/>
      <w:szCs w:val="22"/>
    </w:rPr>
  </w:style>
  <w:style w:customStyle="1" w:styleId="xl33" w:type="paragraph">
    <w:name w:val="xl33"/>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color w:val="000000"/>
      <w:kern w:val="0"/>
      <w:sz w:val="22"/>
      <w:szCs w:val="22"/>
    </w:rPr>
  </w:style>
  <w:style w:customStyle="1" w:styleId="xl34" w:type="paragraph">
    <w:name w:val="xl34"/>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color w:val="000000"/>
      <w:kern w:val="0"/>
      <w:sz w:val="22"/>
      <w:szCs w:val="22"/>
    </w:rPr>
  </w:style>
  <w:style w:customStyle="1" w:styleId="xl35" w:type="paragraph">
    <w:name w:val="xl35"/>
    <w:basedOn w:val="a"/>
    <w:uiPriority w:val="99"/>
    <w:rsid w:val="00FB732E"/>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hAnsi="Arial Unicode MS"/>
      <w:b/>
      <w:bCs/>
      <w:color w:val="000000"/>
      <w:kern w:val="0"/>
      <w:sz w:val="23"/>
      <w:szCs w:val="23"/>
    </w:rPr>
  </w:style>
  <w:style w:customStyle="1" w:styleId="xl36" w:type="paragraph">
    <w:name w:val="xl36"/>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hAnsi="Arial Unicode MS"/>
      <w:b/>
      <w:bCs/>
      <w:color w:val="FF0000"/>
      <w:kern w:val="0"/>
      <w:sz w:val="23"/>
      <w:szCs w:val="23"/>
    </w:rPr>
  </w:style>
  <w:style w:customStyle="1" w:styleId="xl37" w:type="paragraph">
    <w:name w:val="xl37"/>
    <w:basedOn w:val="a"/>
    <w:uiPriority w:val="99"/>
    <w:rsid w:val="00FB732E"/>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hAnsi="Arial Unicode MS"/>
      <w:b/>
      <w:bCs/>
      <w:color w:val="FF0000"/>
      <w:kern w:val="0"/>
      <w:sz w:val="23"/>
      <w:szCs w:val="23"/>
    </w:rPr>
  </w:style>
  <w:style w:customStyle="1" w:styleId="xl38" w:type="paragraph">
    <w:name w:val="xl38"/>
    <w:basedOn w:val="a"/>
    <w:uiPriority w:val="99"/>
    <w:rsid w:val="00FB732E"/>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hAnsi="Arial Unicode MS"/>
      <w:b/>
      <w:bCs/>
      <w:color w:val="FF0000"/>
      <w:kern w:val="0"/>
      <w:sz w:val="23"/>
      <w:szCs w:val="23"/>
    </w:rPr>
  </w:style>
  <w:style w:styleId="af" w:type="character">
    <w:name w:val="annotation reference"/>
    <w:uiPriority w:val="99"/>
    <w:semiHidden/>
    <w:rsid w:val="00FB732E"/>
    <w:rPr>
      <w:rFonts w:cs="Times New Roman"/>
      <w:sz w:val="21"/>
    </w:rPr>
  </w:style>
  <w:style w:styleId="af0" w:type="paragraph">
    <w:name w:val="annotation text"/>
    <w:basedOn w:val="a"/>
    <w:link w:val="Char6"/>
    <w:uiPriority w:val="99"/>
    <w:semiHidden/>
    <w:rsid w:val="00FB732E"/>
    <w:pPr>
      <w:jc w:val="left"/>
    </w:pPr>
  </w:style>
  <w:style w:customStyle="1" w:styleId="Char6" w:type="character">
    <w:name w:val="批注文字 Char"/>
    <w:link w:val="af0"/>
    <w:uiPriority w:val="99"/>
    <w:semiHidden/>
    <w:locked/>
    <w:rsid w:val="006D141C"/>
    <w:rPr>
      <w:rFonts w:cs="Times New Roman"/>
      <w:kern w:val="2"/>
      <w:sz w:val="24"/>
      <w:szCs w:val="24"/>
    </w:rPr>
  </w:style>
  <w:style w:styleId="af1" w:type="paragraph">
    <w:name w:val="annotation subject"/>
    <w:basedOn w:val="af0"/>
    <w:next w:val="af0"/>
    <w:link w:val="Char7"/>
    <w:uiPriority w:val="99"/>
    <w:semiHidden/>
    <w:rsid w:val="00FB732E"/>
    <w:rPr>
      <w:b/>
      <w:bCs/>
    </w:rPr>
  </w:style>
  <w:style w:customStyle="1" w:styleId="Char7" w:type="character">
    <w:name w:val="批注主题 Char"/>
    <w:link w:val="af1"/>
    <w:uiPriority w:val="99"/>
    <w:semiHidden/>
    <w:locked/>
    <w:rsid w:val="006D141C"/>
    <w:rPr>
      <w:rFonts w:cs="Times New Roman"/>
      <w:b/>
      <w:bCs/>
      <w:kern w:val="2"/>
      <w:sz w:val="24"/>
      <w:szCs w:val="24"/>
    </w:rPr>
  </w:style>
  <w:style w:customStyle="1" w:styleId="Char8" w:type="paragraph">
    <w:name w:val="Char"/>
    <w:basedOn w:val="a"/>
    <w:uiPriority w:val="99"/>
    <w:rsid w:val="00FB732E"/>
  </w:style>
  <w:style w:styleId="af2" w:type="paragraph">
    <w:name w:val="Document Map"/>
    <w:basedOn w:val="a"/>
    <w:link w:val="Char9"/>
    <w:uiPriority w:val="99"/>
    <w:semiHidden/>
    <w:rsid w:val="000A549A"/>
    <w:pPr>
      <w:shd w:color="auto" w:fill="000080" w:val="clear"/>
    </w:pPr>
  </w:style>
  <w:style w:customStyle="1" w:styleId="Char9" w:type="character">
    <w:name w:val="文档结构图 Char"/>
    <w:link w:val="af2"/>
    <w:uiPriority w:val="99"/>
    <w:semiHidden/>
    <w:locked/>
    <w:rsid w:val="006D141C"/>
    <w:rPr>
      <w:rFonts w:cs="Times New Roman"/>
      <w:kern w:val="2"/>
      <w:sz w:val="24"/>
      <w:szCs w:val="24"/>
      <w:shd w:color="auto" w:fill="000080" w:val="clear"/>
    </w:rPr>
  </w:style>
  <w:style w:customStyle="1" w:styleId="af3" w:type="paragraph">
    <w:name w:val="正文 + (符号) 宋体"/>
    <w:aliases w:val="小四,紧缩量  0.2 磅"/>
    <w:basedOn w:val="a"/>
    <w:uiPriority w:val="99"/>
    <w:rsid w:val="00C22CCE"/>
    <w:pPr>
      <w:autoSpaceDE w:val="0"/>
      <w:autoSpaceDN w:val="0"/>
      <w:adjustRightInd w:val="0"/>
      <w:ind w:firstLine="1229" w:firstLineChars="512" w:right="1409" w:rightChars="671"/>
      <w:jc w:val="distribute"/>
    </w:pPr>
    <w:rPr>
      <w:sz w:val="24"/>
    </w:rPr>
  </w:style>
  <w:style w:styleId="af4" w:type="paragraph">
    <w:name w:val="footnote text"/>
    <w:basedOn w:val="a"/>
    <w:link w:val="Chara"/>
    <w:uiPriority w:val="99"/>
    <w:semiHidden/>
    <w:rsid w:val="00547D9C"/>
    <w:pPr>
      <w:snapToGrid w:val="0"/>
      <w:jc w:val="left"/>
    </w:pPr>
    <w:rPr>
      <w:sz w:val="18"/>
      <w:szCs w:val="18"/>
    </w:rPr>
  </w:style>
  <w:style w:customStyle="1" w:styleId="Chara" w:type="character">
    <w:name w:val="脚注文本 Char"/>
    <w:link w:val="af4"/>
    <w:uiPriority w:val="99"/>
    <w:semiHidden/>
    <w:locked/>
    <w:rsid w:val="006D141C"/>
    <w:rPr>
      <w:rFonts w:cs="Times New Roman"/>
      <w:kern w:val="2"/>
      <w:sz w:val="18"/>
      <w:szCs w:val="18"/>
    </w:rPr>
  </w:style>
  <w:style w:styleId="af5" w:type="character">
    <w:name w:val="footnote reference"/>
    <w:uiPriority w:val="99"/>
    <w:semiHidden/>
    <w:rsid w:val="00547D9C"/>
    <w:rPr>
      <w:rFonts w:cs="Times New Roman"/>
      <w:vertAlign w:val="superscript"/>
    </w:rPr>
  </w:style>
  <w:style w:styleId="af6" w:type="paragraph">
    <w:name w:val="Normal (Web)"/>
    <w:basedOn w:val="a"/>
    <w:uiPriority w:val="99"/>
    <w:rsid w:val="005D45B3"/>
    <w:pPr>
      <w:widowControl/>
      <w:spacing w:after="100" w:afterAutospacing="1" w:before="100" w:beforeAutospacing="1"/>
      <w:jc w:val="left"/>
    </w:pPr>
    <w:rPr>
      <w:rFonts w:ascii="宋体" w:hAnsi="宋体"/>
      <w:kern w:val="0"/>
      <w:sz w:val="24"/>
    </w:rPr>
  </w:style>
  <w:style w:styleId="af7" w:type="table">
    <w:name w:val="Table Grid"/>
    <w:basedOn w:val="a2"/>
    <w:rsid w:val="002A5D31"/>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10" w:type="paragraph">
    <w:name w:val="Char1"/>
    <w:basedOn w:val="a"/>
    <w:uiPriority w:val="99"/>
    <w:rsid w:val="00043ABF"/>
  </w:style>
  <w:style w:customStyle="1" w:styleId="CharCharCharCharCharChar1CharCharChar" w:type="paragraph">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styleId="22" w:type="paragraph">
    <w:name w:val="toc 2"/>
    <w:basedOn w:val="a"/>
    <w:next w:val="a"/>
    <w:autoRedefine/>
    <w:uiPriority w:val="39"/>
    <w:rsid w:val="00D35D4A"/>
    <w:pPr>
      <w:tabs>
        <w:tab w:pos="1260" w:val="left"/>
        <w:tab w:leader="dot" w:pos="9072" w:val="right"/>
      </w:tabs>
      <w:ind w:left="420" w:leftChars="200"/>
    </w:pPr>
    <w:rPr>
      <w:kern w:val="0"/>
      <w:szCs w:val="21"/>
    </w:rPr>
  </w:style>
  <w:style w:customStyle="1" w:styleId="CharCharCharChar" w:type="paragraph">
    <w:name w:val="Char Char Char Char"/>
    <w:basedOn w:val="a"/>
    <w:autoRedefine/>
    <w:uiPriority w:val="99"/>
    <w:rsid w:val="005721D0"/>
    <w:pPr>
      <w:tabs>
        <w:tab w:pos="840" w:val="num"/>
      </w:tabs>
      <w:adjustRightInd w:val="0"/>
      <w:spacing w:line="360" w:lineRule="atLeast"/>
      <w:ind w:hanging="360" w:left="840"/>
      <w:textAlignment w:val="baseline"/>
    </w:pPr>
    <w:rPr>
      <w:sz w:val="24"/>
    </w:rPr>
  </w:style>
  <w:style w:styleId="11" w:type="paragraph">
    <w:name w:val="toc 1"/>
    <w:basedOn w:val="a"/>
    <w:next w:val="a"/>
    <w:autoRedefine/>
    <w:uiPriority w:val="39"/>
    <w:rsid w:val="00BE2A17"/>
    <w:pPr>
      <w:tabs>
        <w:tab w:leader="dot" w:pos="9072" w:val="right"/>
      </w:tabs>
    </w:pPr>
  </w:style>
  <w:style w:styleId="32" w:type="paragraph">
    <w:name w:val="toc 3"/>
    <w:basedOn w:val="a"/>
    <w:next w:val="a"/>
    <w:autoRedefine/>
    <w:uiPriority w:val="39"/>
    <w:rsid w:val="00954A89"/>
    <w:pPr>
      <w:ind w:left="840" w:leftChars="400"/>
    </w:pPr>
  </w:style>
  <w:style w:customStyle="1" w:styleId="CharCharCharCharCharChar1CharCharChar1" w:type="paragraph">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customStyle="1" w:styleId="5" w:type="numbering">
    <w:name w:val="样式5"/>
    <w:rsid w:val="004878C2"/>
    <w:pPr>
      <w:numPr>
        <w:numId w:val="8"/>
      </w:numPr>
    </w:pPr>
  </w:style>
  <w:style w:customStyle="1" w:styleId="3" w:type="numbering">
    <w:name w:val="样式3"/>
    <w:rsid w:val="004878C2"/>
    <w:pPr>
      <w:numPr>
        <w:numId w:val="7"/>
      </w:numPr>
    </w:pPr>
  </w:style>
  <w:style w:customStyle="1" w:styleId="4" w:type="numbering">
    <w:name w:val="样式4"/>
    <w:rsid w:val="004878C2"/>
    <w:pPr>
      <w:numPr>
        <w:numId w:val="9"/>
      </w:numPr>
    </w:pPr>
  </w:style>
  <w:style w:customStyle="1" w:styleId="2" w:type="numbering">
    <w:name w:val="样式2"/>
    <w:rsid w:val="004878C2"/>
    <w:pPr>
      <w:numPr>
        <w:numId w:val="16"/>
      </w:numPr>
    </w:pPr>
  </w:style>
  <w:style w:customStyle="1" w:styleId="Default" w:type="paragraph">
    <w:name w:val="Default"/>
    <w:rsid w:val="005D072B"/>
    <w:pPr>
      <w:widowControl w:val="0"/>
      <w:autoSpaceDE w:val="0"/>
      <w:autoSpaceDN w:val="0"/>
      <w:adjustRightInd w:val="0"/>
    </w:pPr>
    <w:rPr>
      <w:rFonts w:ascii="FangSong" w:cs="FangSong" w:hAnsi="FangSong"/>
      <w:color w:val="000000"/>
      <w:sz w:val="24"/>
      <w:szCs w:val="24"/>
    </w:rPr>
  </w:style>
  <w:style w:styleId="af8" w:type="paragraph">
    <w:name w:val="List Paragraph"/>
    <w:basedOn w:val="a"/>
    <w:uiPriority w:val="34"/>
    <w:qFormat/>
    <w:rsid w:val="00752A63"/>
    <w:pPr>
      <w:widowControl/>
      <w:ind w:firstLine="420"/>
    </w:pPr>
    <w:rPr>
      <w:rFonts w:ascii="Calibri" w:cs="Calibri" w:hAnsi="Calibri"/>
      <w:kern w:val="0"/>
      <w:szCs w:val="21"/>
    </w:rPr>
  </w:style>
  <w:style w:styleId="af9" w:type="character">
    <w:name w:val="Strong"/>
    <w:basedOn w:val="a1"/>
    <w:uiPriority w:val="22"/>
    <w:qFormat/>
    <w:locked/>
    <w:rsid w:val="001000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edia/image2.jpeg" Type="http://schemas.openxmlformats.org/officeDocument/2006/relationships/image"/>
<Relationship Id="rId11" Target="media/image3.jpeg" Type="http://schemas.openxmlformats.org/officeDocument/2006/relationships/image"/>
<Relationship Id="rId12" Target="media/image4.jpeg" Type="http://schemas.openxmlformats.org/officeDocument/2006/relationships/image"/>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41</Pages>
  <Words>12920</Words>
  <Characters>73644</Characters>
  <Application>Microsoft Office Word</Application>
  <DocSecurity>0</DocSecurity>
  <Lines>613</Lines>
  <Paragraphs>172</Paragraphs>
  <ScaleCrop>false</ScaleCrop>
  <Company/>
  <LinksUpToDate>false</LinksUpToDate>
  <CharactersWithSpaces>86392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2013-08-19T02:39:00Z</dcterms:created>
  <dc:creator>bonnieliu</dc:creator>
  <cp:lastModifiedBy>mengbin</cp:lastModifiedBy>
  <cp:lastPrinted>2007-07-19T00:46:00Z</cp:lastPrinted>
  <dcterms:modified xsi:type="dcterms:W3CDTF">2019-01-23T14:58:00Z</dcterms:modified>
  <cp:revision>271</cp:revision>
</cp:coreProperties>
</file>