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44ABC" w:rsidRDefault="00884A48" w:rsidP="00DC3D8C">
      <w:pPr>
        <w:widowControl/>
        <w:spacing w:beforeLines="50" w:afterLines="50" w:line="360" w:lineRule="atLeast"/>
        <w:jc w:val="center"/>
        <w:rPr>
          <w:rFonts w:asciiTheme="minorEastAsia" w:hAnsiTheme="minorEastAsia" w:cs="Arial"/>
          <w:kern w:val="0"/>
          <w:sz w:val="24"/>
          <w:szCs w:val="24"/>
        </w:rPr>
      </w:pPr>
      <w:r>
        <w:rPr>
          <w:rFonts w:ascii="黑体" w:eastAsia="黑体" w:hAnsi="黑体" w:hint="eastAsia"/>
          <w:sz w:val="32"/>
          <w:szCs w:val="32"/>
        </w:rPr>
        <w:t>宝盈</w:t>
      </w:r>
      <w:r>
        <w:rPr>
          <w:rFonts w:ascii="黑体" w:eastAsia="黑体" w:hAnsi="黑体"/>
          <w:sz w:val="32"/>
          <w:szCs w:val="32"/>
        </w:rPr>
        <w:t>基金管理有限公司</w:t>
      </w:r>
      <w:r w:rsidR="001C7355">
        <w:rPr>
          <w:rFonts w:ascii="黑体" w:eastAsia="黑体" w:hAnsi="黑体" w:hint="eastAsia"/>
          <w:sz w:val="32"/>
          <w:szCs w:val="32"/>
        </w:rPr>
        <w:t>关于旗下基金参加交通银行股份有限公司</w:t>
      </w:r>
      <w:r w:rsidR="001C7355">
        <w:rPr>
          <w:rFonts w:ascii="黑体" w:eastAsia="黑体" w:hAnsi="黑体" w:cs="Arial" w:hint="eastAsia"/>
          <w:kern w:val="0"/>
          <w:sz w:val="32"/>
          <w:szCs w:val="32"/>
        </w:rPr>
        <w:t>手机银行渠道基金申购及定期定额投资手续费率优惠活动的公告</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为答谢广大客户长期以来给予的信任与支持，宝盈基金管理有限公司（以下简称“本</w:t>
      </w:r>
      <w:bookmarkStart w:id="0" w:name="_GoBack"/>
      <w:bookmarkEnd w:id="0"/>
      <w:r>
        <w:rPr>
          <w:rFonts w:asciiTheme="minorEastAsia" w:hAnsiTheme="minorEastAsia" w:cs="Arial" w:hint="eastAsia"/>
          <w:kern w:val="0"/>
          <w:sz w:val="24"/>
          <w:szCs w:val="24"/>
        </w:rPr>
        <w:t>公司”）决定配合交通银行股份有限公司（以下简称“交通银行”）开展手机银行渠道基金申购及定期定额投资手续费率优惠活动，以回报广大投资人。</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一、 活动时间</w:t>
      </w:r>
    </w:p>
    <w:p w:rsidR="00B44ABC" w:rsidRDefault="001C7355">
      <w:pPr>
        <w:widowControl/>
        <w:spacing w:line="336" w:lineRule="auto"/>
        <w:ind w:firstLine="480"/>
        <w:rPr>
          <w:rFonts w:asciiTheme="minorEastAsia" w:hAnsiTheme="minorEastAsia" w:cs="Arial"/>
          <w:kern w:val="0"/>
          <w:sz w:val="24"/>
          <w:szCs w:val="24"/>
        </w:rPr>
      </w:pPr>
      <w:r w:rsidRPr="001C7355">
        <w:rPr>
          <w:rFonts w:asciiTheme="minorEastAsia" w:hAnsiTheme="minorEastAsia" w:cs="Arial" w:hint="eastAsia"/>
          <w:kern w:val="0"/>
          <w:sz w:val="24"/>
          <w:szCs w:val="24"/>
        </w:rPr>
        <w:t>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w:t>
      </w:r>
      <w:r w:rsidR="00CD634C">
        <w:rPr>
          <w:rFonts w:asciiTheme="minorEastAsia" w:hAnsiTheme="minorEastAsia" w:cs="Arial"/>
          <w:kern w:val="0"/>
          <w:sz w:val="24"/>
          <w:szCs w:val="24"/>
        </w:rPr>
        <w:t>1</w:t>
      </w:r>
      <w:r w:rsidRPr="001C7355">
        <w:rPr>
          <w:rFonts w:asciiTheme="minorEastAsia" w:hAnsiTheme="minorEastAsia" w:cs="Arial" w:hint="eastAsia"/>
          <w:kern w:val="0"/>
          <w:sz w:val="24"/>
          <w:szCs w:val="24"/>
        </w:rPr>
        <w:t>月1日00:00至20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年6月30日24:00</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二、适用基金</w:t>
      </w:r>
    </w:p>
    <w:tbl>
      <w:tblPr>
        <w:tblW w:w="8374"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405"/>
        <w:gridCol w:w="2410"/>
        <w:gridCol w:w="1559"/>
      </w:tblGrid>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091CC3">
            <w:pPr>
              <w:widowControl/>
              <w:ind w:firstLine="75"/>
              <w:jc w:val="center"/>
              <w:rPr>
                <w:rFonts w:asciiTheme="minorEastAsia" w:hAnsiTheme="minorEastAsia" w:cs="Arial"/>
                <w:kern w:val="0"/>
                <w:szCs w:val="21"/>
              </w:rPr>
            </w:pPr>
            <w:r w:rsidRPr="00CD634C">
              <w:rPr>
                <w:rFonts w:asciiTheme="minorEastAsia" w:hAnsiTheme="minorEastAsia" w:cs="Arial" w:hint="eastAsia"/>
                <w:kern w:val="0"/>
                <w:szCs w:val="21"/>
              </w:rPr>
              <w:t>基金名称</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091CC3">
            <w:pPr>
              <w:widowControl/>
              <w:ind w:firstLine="75"/>
              <w:jc w:val="center"/>
              <w:rPr>
                <w:rFonts w:asciiTheme="minorEastAsia" w:hAnsiTheme="minorEastAsia" w:cs="Arial"/>
                <w:kern w:val="0"/>
                <w:szCs w:val="21"/>
              </w:rPr>
            </w:pPr>
            <w:r w:rsidRPr="00CD634C">
              <w:rPr>
                <w:rFonts w:asciiTheme="minorEastAsia" w:hAnsiTheme="minorEastAsia" w:cs="Arial" w:hint="eastAsia"/>
                <w:kern w:val="0"/>
                <w:szCs w:val="21"/>
              </w:rPr>
              <w:t>基金简称</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091CC3">
            <w:pPr>
              <w:widowControl/>
              <w:ind w:firstLine="75"/>
              <w:jc w:val="center"/>
              <w:rPr>
                <w:rFonts w:asciiTheme="minorEastAsia" w:hAnsiTheme="minorEastAsia" w:cs="Arial"/>
                <w:kern w:val="0"/>
                <w:szCs w:val="21"/>
              </w:rPr>
            </w:pPr>
            <w:r w:rsidRPr="00CD634C">
              <w:rPr>
                <w:rFonts w:asciiTheme="minorEastAsia" w:hAnsiTheme="minorEastAsia" w:cs="Arial" w:hint="eastAsia"/>
                <w:kern w:val="0"/>
                <w:szCs w:val="21"/>
              </w:rPr>
              <w:t>基金代码</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宝盈鸿利收益灵活配置混合型证券投资基金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宝盈鸿利收益混合</w:t>
            </w:r>
            <w:r w:rsidR="00D751CF">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213001</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宝盈泛沿海区域增长混合型证券投资基金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宝盈泛沿海混合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213002</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宝盈策略增长混合型证券投资基金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宝盈策略增长混合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213003</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宝盈核心优势灵活配置混合型证券投资基金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宝盈核心优势混合A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213006</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宝盈增强收益债券型证券投资基金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宝盈增强收益债券A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213007</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宝盈资源优选混合型证券投资基金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宝盈资源优选混合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213008</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宝盈中证100指数增强型证券投资基金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宝盈中证100指数增强</w:t>
            </w:r>
            <w:r w:rsidR="000522AE">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213010</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宝盈新价值灵活配置混合型证券投资基金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宝盈新价值混合</w:t>
            </w:r>
            <w:r w:rsidR="00B42BAD" w:rsidRPr="00CD634C">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000574</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宝盈祥瑞混合型证券投资基金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宝盈祥瑞混合</w:t>
            </w:r>
            <w:r w:rsidR="00B42BAD" w:rsidRPr="00CD634C">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000639</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宝盈科技30灵活配置混合型证券投资基金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宝盈科技30混合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000698</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宝盈睿丰创新灵活配置混合型证券投资基金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宝盈睿丰创新混合A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000794</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宝盈先进制造灵活配置混合型证券投资基金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宝盈先进制造混合</w:t>
            </w:r>
            <w:r w:rsidR="00B42BAD" w:rsidRPr="00CD634C">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000924</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宝盈新兴产业灵活配置混合型证券投资基金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宝盈新兴产业混合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001128</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宝盈转型动力灵活配置混合型证券投资基金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宝盈转型动力混合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001075</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宝盈祥泰混合型证券投资基金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宝盈祥泰混合</w:t>
            </w:r>
            <w:r w:rsidR="00D751CF">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001358</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宝盈优势产业灵活配置混合型证券投资基金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宝盈优势产业混合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001487</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宝盈新锐灵活配置混合型证券投资基金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宝盈新锐混合</w:t>
            </w:r>
            <w:r w:rsidR="00D751CF">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001543</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宝盈医疗健康沪港深股票型证券投资基金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宝盈医疗健康沪港深股票</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001915</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宝盈国家安全战略沪港深股票型证券投资基金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宝盈国家安全沪港深股票</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001877</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宝盈互联网沪港深灵活配置混合型证券投资基金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宝盈互联网沪港深混合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002482</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宝盈消费主题灵活配置混合型证券投资基金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宝盈消费主题混合</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003715</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宝盈盈泰纯债债券型证券投资基金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宝盈盈泰纯债债券</w:t>
            </w:r>
            <w:r w:rsidR="00D751CF">
              <w:rPr>
                <w:rFonts w:asciiTheme="minorEastAsia" w:hAnsiTheme="minorEastAsia" w:cs="Arial" w:hint="eastAsia"/>
                <w:kern w:val="0"/>
                <w:szCs w:val="21"/>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005846</w:t>
            </w:r>
          </w:p>
        </w:tc>
      </w:tr>
      <w:tr w:rsidR="00CD634C"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lastRenderedPageBreak/>
              <w:t>宝盈人工智能主题股票型证券投资基金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宝盈人工智能股票A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CD634C" w:rsidRPr="00CD634C" w:rsidRDefault="00CD634C" w:rsidP="00DC2412">
            <w:pPr>
              <w:widowControl/>
              <w:ind w:firstLine="75"/>
              <w:jc w:val="left"/>
              <w:rPr>
                <w:rFonts w:asciiTheme="minorEastAsia" w:hAnsiTheme="minorEastAsia" w:cs="Arial"/>
                <w:kern w:val="0"/>
                <w:szCs w:val="21"/>
              </w:rPr>
            </w:pPr>
            <w:r w:rsidRPr="00CD634C">
              <w:rPr>
                <w:rFonts w:asciiTheme="minorEastAsia" w:hAnsiTheme="minorEastAsia" w:cs="Arial" w:hint="eastAsia"/>
                <w:kern w:val="0"/>
                <w:szCs w:val="21"/>
              </w:rPr>
              <w:t>0</w:t>
            </w:r>
            <w:r w:rsidRPr="00CD634C">
              <w:rPr>
                <w:rFonts w:asciiTheme="minorEastAsia" w:hAnsiTheme="minorEastAsia" w:cs="Arial"/>
                <w:kern w:val="0"/>
                <w:szCs w:val="21"/>
              </w:rPr>
              <w:t>05962</w:t>
            </w:r>
          </w:p>
        </w:tc>
      </w:tr>
      <w:tr w:rsidR="00D751CF"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Pr="00CD634C" w:rsidRDefault="00D751CF" w:rsidP="00DC2412">
            <w:pPr>
              <w:widowControl/>
              <w:ind w:firstLine="75"/>
              <w:jc w:val="left"/>
              <w:rPr>
                <w:rFonts w:asciiTheme="minorEastAsia" w:hAnsiTheme="minorEastAsia" w:cs="Arial"/>
                <w:kern w:val="0"/>
                <w:szCs w:val="21"/>
              </w:rPr>
            </w:pPr>
            <w:r>
              <w:rPr>
                <w:rFonts w:asciiTheme="minorEastAsia" w:hAnsiTheme="minorEastAsia" w:cs="Arial" w:hint="eastAsia"/>
                <w:kern w:val="0"/>
                <w:szCs w:val="21"/>
              </w:rPr>
              <w:t>宝盈</w:t>
            </w:r>
            <w:r>
              <w:rPr>
                <w:rFonts w:asciiTheme="minorEastAsia" w:hAnsiTheme="minorEastAsia" w:cs="Arial"/>
                <w:kern w:val="0"/>
                <w:szCs w:val="21"/>
              </w:rPr>
              <w:t>融源可转债</w:t>
            </w:r>
            <w:r w:rsidR="00E530A2">
              <w:rPr>
                <w:rFonts w:asciiTheme="minorEastAsia" w:hAnsiTheme="minorEastAsia" w:cs="Arial" w:hint="eastAsia"/>
                <w:kern w:val="0"/>
                <w:szCs w:val="21"/>
              </w:rPr>
              <w:t>债券</w:t>
            </w:r>
            <w:r w:rsidR="00E530A2">
              <w:rPr>
                <w:rFonts w:asciiTheme="minorEastAsia" w:hAnsiTheme="minorEastAsia" w:cs="Arial"/>
                <w:kern w:val="0"/>
                <w:szCs w:val="21"/>
              </w:rPr>
              <w:t>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Pr="00CD634C" w:rsidRDefault="00516F62" w:rsidP="00DC2412">
            <w:pPr>
              <w:widowControl/>
              <w:ind w:firstLine="75"/>
              <w:jc w:val="left"/>
              <w:rPr>
                <w:rFonts w:asciiTheme="minorEastAsia" w:hAnsiTheme="minorEastAsia" w:cs="Arial"/>
                <w:kern w:val="0"/>
                <w:szCs w:val="21"/>
              </w:rPr>
            </w:pPr>
            <w:r w:rsidRPr="00516F62">
              <w:rPr>
                <w:rFonts w:asciiTheme="minorEastAsia" w:hAnsiTheme="minorEastAsia" w:cs="Arial" w:hint="eastAsia"/>
                <w:kern w:val="0"/>
                <w:szCs w:val="21"/>
              </w:rPr>
              <w:t>宝盈融源可转债债券A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Pr="00CD634C" w:rsidRDefault="00D751CF" w:rsidP="00DC2412">
            <w:pPr>
              <w:widowControl/>
              <w:ind w:firstLine="75"/>
              <w:jc w:val="left"/>
              <w:rPr>
                <w:rFonts w:asciiTheme="minorEastAsia" w:hAnsiTheme="minorEastAsia" w:cs="Arial"/>
                <w:kern w:val="0"/>
                <w:szCs w:val="21"/>
              </w:rPr>
            </w:pPr>
            <w:r>
              <w:rPr>
                <w:rFonts w:asciiTheme="minorEastAsia" w:hAnsiTheme="minorEastAsia" w:cs="Arial" w:hint="eastAsia"/>
                <w:kern w:val="0"/>
                <w:szCs w:val="21"/>
              </w:rPr>
              <w:t>006147</w:t>
            </w:r>
          </w:p>
        </w:tc>
      </w:tr>
      <w:tr w:rsidR="00D751CF"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heme="minorEastAsia" w:hAnsiTheme="minorEastAsia" w:cs="Arial"/>
                <w:kern w:val="0"/>
                <w:szCs w:val="21"/>
              </w:rPr>
            </w:pPr>
            <w:r>
              <w:rPr>
                <w:rFonts w:ascii="Times New Roman" w:eastAsia="宋体" w:hAnsi="Times New Roman" w:cs="Times New Roman" w:hint="eastAsia"/>
                <w:szCs w:val="20"/>
              </w:rPr>
              <w:t>宝盈</w:t>
            </w:r>
            <w:r>
              <w:rPr>
                <w:rFonts w:ascii="Times New Roman" w:eastAsia="宋体" w:hAnsi="Times New Roman" w:cs="Times New Roman"/>
                <w:szCs w:val="20"/>
              </w:rPr>
              <w:t>安泰短债债券型证券投资基金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Pr="00CD634C" w:rsidRDefault="00D751CF" w:rsidP="00DC2412">
            <w:pPr>
              <w:widowControl/>
              <w:ind w:firstLine="75"/>
              <w:jc w:val="left"/>
              <w:rPr>
                <w:rFonts w:asciiTheme="minorEastAsia" w:hAnsiTheme="minorEastAsia" w:cs="Arial"/>
                <w:kern w:val="0"/>
                <w:szCs w:val="21"/>
              </w:rPr>
            </w:pPr>
            <w:r>
              <w:rPr>
                <w:rFonts w:ascii="Times New Roman" w:eastAsia="宋体" w:hAnsi="Times New Roman" w:cs="Times New Roman" w:hint="eastAsia"/>
                <w:szCs w:val="20"/>
              </w:rPr>
              <w:t>宝盈</w:t>
            </w:r>
            <w:r>
              <w:rPr>
                <w:rFonts w:ascii="Times New Roman" w:eastAsia="宋体" w:hAnsi="Times New Roman" w:cs="Times New Roman"/>
                <w:szCs w:val="20"/>
              </w:rPr>
              <w:t>安泰短债债券</w:t>
            </w:r>
            <w:r>
              <w:rPr>
                <w:rFonts w:ascii="Times New Roman" w:eastAsia="宋体" w:hAnsi="Times New Roman" w:cs="Times New Roman" w:hint="eastAsia"/>
                <w:szCs w:val="20"/>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heme="minorEastAsia" w:hAnsiTheme="minorEastAsia" w:cs="Arial"/>
                <w:kern w:val="0"/>
                <w:szCs w:val="21"/>
              </w:rPr>
            </w:pPr>
            <w:r>
              <w:rPr>
                <w:rFonts w:ascii="Times New Roman" w:eastAsia="宋体" w:hAnsi="Times New Roman" w:cs="Times New Roman" w:hint="eastAsia"/>
                <w:kern w:val="0"/>
                <w:szCs w:val="21"/>
              </w:rPr>
              <w:t>006387</w:t>
            </w:r>
          </w:p>
        </w:tc>
      </w:tr>
      <w:tr w:rsidR="00D751CF"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祥颐</w:t>
            </w:r>
            <w:r>
              <w:rPr>
                <w:rFonts w:ascii="Times New Roman" w:eastAsia="宋体" w:hAnsi="Times New Roman" w:cs="Times New Roman" w:hint="eastAsia"/>
                <w:szCs w:val="20"/>
              </w:rPr>
              <w:t>定期</w:t>
            </w:r>
            <w:r>
              <w:rPr>
                <w:rFonts w:ascii="Times New Roman" w:eastAsia="宋体" w:hAnsi="Times New Roman" w:cs="Times New Roman"/>
                <w:szCs w:val="20"/>
              </w:rPr>
              <w:t>开放混合型证券投资基金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祥颐</w:t>
            </w:r>
            <w:r>
              <w:rPr>
                <w:rFonts w:ascii="Times New Roman" w:eastAsia="宋体" w:hAnsi="Times New Roman" w:cs="Times New Roman" w:hint="eastAsia"/>
                <w:szCs w:val="20"/>
              </w:rPr>
              <w:t>定期</w:t>
            </w:r>
            <w:r>
              <w:rPr>
                <w:rFonts w:ascii="Times New Roman" w:eastAsia="宋体" w:hAnsi="Times New Roman" w:cs="Times New Roman"/>
                <w:szCs w:val="20"/>
              </w:rPr>
              <w:t>开放混合</w:t>
            </w:r>
            <w:r>
              <w:rPr>
                <w:rFonts w:ascii="Times New Roman" w:eastAsia="宋体" w:hAnsi="Times New Roman" w:cs="Times New Roman" w:hint="eastAsia"/>
                <w:szCs w:val="20"/>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006398</w:t>
            </w:r>
          </w:p>
        </w:tc>
      </w:tr>
      <w:tr w:rsidR="00D751CF"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品牌</w:t>
            </w:r>
            <w:r>
              <w:rPr>
                <w:rFonts w:ascii="Times New Roman" w:eastAsia="宋体" w:hAnsi="Times New Roman" w:cs="Times New Roman" w:hint="eastAsia"/>
                <w:szCs w:val="20"/>
              </w:rPr>
              <w:t>消费</w:t>
            </w:r>
            <w:r>
              <w:rPr>
                <w:rFonts w:ascii="Times New Roman" w:eastAsia="宋体" w:hAnsi="Times New Roman" w:cs="Times New Roman"/>
                <w:szCs w:val="20"/>
              </w:rPr>
              <w:t>股票型证券投资基金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品牌消费股票</w:t>
            </w:r>
            <w:r>
              <w:rPr>
                <w:rFonts w:ascii="Times New Roman" w:eastAsia="宋体" w:hAnsi="Times New Roman" w:cs="Times New Roman" w:hint="eastAsia"/>
                <w:szCs w:val="20"/>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D751CF" w:rsidRDefault="00D751CF" w:rsidP="00DC2412">
            <w:pPr>
              <w:widowControl/>
              <w:ind w:firstLine="75"/>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006675</w:t>
            </w:r>
          </w:p>
        </w:tc>
      </w:tr>
      <w:tr w:rsidR="002F531A" w:rsidRPr="00EA18C4" w:rsidTr="007811C8">
        <w:tc>
          <w:tcPr>
            <w:tcW w:w="4405"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2F531A" w:rsidRDefault="00B368F6" w:rsidP="00DC2412">
            <w:pPr>
              <w:widowControl/>
              <w:ind w:firstLine="75"/>
              <w:jc w:val="left"/>
              <w:rPr>
                <w:rFonts w:ascii="Times New Roman" w:eastAsia="宋体" w:hAnsi="Times New Roman" w:cs="Times New Roman"/>
                <w:szCs w:val="20"/>
              </w:rPr>
            </w:pPr>
            <w:r>
              <w:rPr>
                <w:rFonts w:ascii="Times New Roman" w:eastAsia="宋体" w:hAnsi="Times New Roman" w:cs="Times New Roman" w:hint="eastAsia"/>
                <w:szCs w:val="20"/>
              </w:rPr>
              <w:t>宝盈</w:t>
            </w:r>
            <w:r>
              <w:rPr>
                <w:rFonts w:ascii="Times New Roman" w:eastAsia="宋体" w:hAnsi="Times New Roman" w:cs="Times New Roman"/>
                <w:szCs w:val="20"/>
              </w:rPr>
              <w:t>研究精选混合型证券</w:t>
            </w:r>
            <w:r>
              <w:rPr>
                <w:rFonts w:ascii="Times New Roman" w:eastAsia="宋体" w:hAnsi="Times New Roman" w:cs="Times New Roman" w:hint="eastAsia"/>
                <w:szCs w:val="20"/>
              </w:rPr>
              <w:t>投资</w:t>
            </w:r>
            <w:r>
              <w:rPr>
                <w:rFonts w:ascii="Times New Roman" w:eastAsia="宋体" w:hAnsi="Times New Roman" w:cs="Times New Roman"/>
                <w:szCs w:val="20"/>
              </w:rPr>
              <w:t>基金</w:t>
            </w:r>
          </w:p>
        </w:tc>
        <w:tc>
          <w:tcPr>
            <w:tcW w:w="2410"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2F531A" w:rsidRDefault="00BE346C" w:rsidP="00DC2412">
            <w:pPr>
              <w:widowControl/>
              <w:ind w:firstLine="75"/>
              <w:jc w:val="left"/>
              <w:rPr>
                <w:rFonts w:ascii="Times New Roman" w:eastAsia="宋体" w:hAnsi="Times New Roman" w:cs="Times New Roman"/>
                <w:szCs w:val="20"/>
              </w:rPr>
            </w:pPr>
            <w:r w:rsidRPr="00BE346C">
              <w:rPr>
                <w:rFonts w:ascii="Times New Roman" w:eastAsia="宋体" w:hAnsi="Times New Roman" w:cs="Times New Roman" w:hint="eastAsia"/>
                <w:szCs w:val="20"/>
              </w:rPr>
              <w:t>宝盈研究精选混合</w:t>
            </w:r>
            <w:r w:rsidRPr="00BE346C">
              <w:rPr>
                <w:rFonts w:ascii="Times New Roman" w:eastAsia="宋体" w:hAnsi="Times New Roman" w:cs="Times New Roman" w:hint="eastAsia"/>
                <w:szCs w:val="20"/>
              </w:rPr>
              <w:t>A</w:t>
            </w:r>
          </w:p>
        </w:tc>
        <w:tc>
          <w:tcPr>
            <w:tcW w:w="1559" w:type="dxa"/>
            <w:tcBorders>
              <w:top w:val="single" w:sz="4" w:space="0" w:color="auto"/>
              <w:left w:val="single" w:sz="4" w:space="0" w:color="auto"/>
              <w:bottom w:val="single" w:sz="4" w:space="0" w:color="auto"/>
              <w:right w:val="single" w:sz="4" w:space="0" w:color="auto"/>
            </w:tcBorders>
            <w:tcMar>
              <w:top w:w="0" w:type="dxa"/>
              <w:left w:w="0" w:type="dxa"/>
              <w:bottom w:w="75" w:type="dxa"/>
              <w:right w:w="0" w:type="dxa"/>
            </w:tcMar>
            <w:vAlign w:val="center"/>
          </w:tcPr>
          <w:p w:rsidR="002F531A" w:rsidRPr="00B368F6" w:rsidRDefault="00B368F6" w:rsidP="00DC2412">
            <w:pPr>
              <w:widowControl/>
              <w:ind w:firstLine="75"/>
              <w:jc w:val="left"/>
              <w:rPr>
                <w:rFonts w:ascii="Times New Roman" w:eastAsia="宋体" w:hAnsi="Times New Roman" w:cs="Times New Roman"/>
                <w:kern w:val="0"/>
                <w:szCs w:val="21"/>
              </w:rPr>
            </w:pPr>
            <w:r>
              <w:rPr>
                <w:rFonts w:ascii="Times New Roman" w:eastAsia="宋体" w:hAnsi="Times New Roman" w:cs="Times New Roman"/>
                <w:kern w:val="0"/>
                <w:szCs w:val="21"/>
              </w:rPr>
              <w:t>008227</w:t>
            </w:r>
          </w:p>
        </w:tc>
      </w:tr>
    </w:tbl>
    <w:p w:rsidR="00B44ABC" w:rsidRDefault="00B44ABC">
      <w:pPr>
        <w:widowControl/>
        <w:spacing w:line="360" w:lineRule="auto"/>
        <w:rPr>
          <w:rFonts w:asciiTheme="minorEastAsia" w:hAnsiTheme="minorEastAsia" w:cs="Arial"/>
          <w:b/>
          <w:bCs/>
          <w:kern w:val="0"/>
          <w:sz w:val="24"/>
          <w:szCs w:val="24"/>
        </w:rPr>
      </w:pPr>
    </w:p>
    <w:p w:rsidR="00B44ABC" w:rsidRDefault="001C7355">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三、活动内容</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w:t>
      </w:r>
      <w:r>
        <w:rPr>
          <w:rFonts w:asciiTheme="minorEastAsia" w:hAnsiTheme="minorEastAsia" w:cs="Arial"/>
          <w:kern w:val="0"/>
          <w:sz w:val="24"/>
          <w:szCs w:val="24"/>
        </w:rPr>
        <w:t>自</w:t>
      </w:r>
      <w:r w:rsidRPr="001C7355">
        <w:rPr>
          <w:rFonts w:asciiTheme="minorEastAsia" w:hAnsiTheme="minorEastAsia" w:cs="Arial" w:hint="eastAsia"/>
          <w:kern w:val="0"/>
          <w:sz w:val="24"/>
          <w:szCs w:val="24"/>
        </w:rPr>
        <w:t>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w:t>
      </w:r>
      <w:r w:rsidR="00CD634C">
        <w:rPr>
          <w:rFonts w:asciiTheme="minorEastAsia" w:hAnsiTheme="minorEastAsia" w:cs="Arial"/>
          <w:kern w:val="0"/>
          <w:sz w:val="24"/>
          <w:szCs w:val="24"/>
        </w:rPr>
        <w:t>1</w:t>
      </w:r>
      <w:r w:rsidRPr="001C7355">
        <w:rPr>
          <w:rFonts w:asciiTheme="minorEastAsia" w:hAnsiTheme="minorEastAsia" w:cs="Arial" w:hint="eastAsia"/>
          <w:kern w:val="0"/>
          <w:sz w:val="24"/>
          <w:szCs w:val="24"/>
        </w:rPr>
        <w:t>月1日00:00至20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年6月30日24:00</w:t>
      </w:r>
      <w:r>
        <w:rPr>
          <w:rFonts w:asciiTheme="minorEastAsia" w:hAnsiTheme="minorEastAsia" w:cs="Arial" w:hint="eastAsia"/>
          <w:kern w:val="0"/>
          <w:sz w:val="24"/>
          <w:szCs w:val="24"/>
        </w:rPr>
        <w:t>费率</w:t>
      </w:r>
      <w:r>
        <w:rPr>
          <w:rFonts w:asciiTheme="minorEastAsia" w:hAnsiTheme="minorEastAsia" w:cs="Arial"/>
          <w:kern w:val="0"/>
          <w:sz w:val="24"/>
          <w:szCs w:val="24"/>
        </w:rPr>
        <w:t>优惠活动期间，凡通过交通银行手机银行</w:t>
      </w:r>
      <w:r>
        <w:rPr>
          <w:rFonts w:asciiTheme="minorEastAsia" w:hAnsiTheme="minorEastAsia" w:cs="Arial" w:hint="eastAsia"/>
          <w:kern w:val="0"/>
          <w:sz w:val="24"/>
          <w:szCs w:val="24"/>
        </w:rPr>
        <w:t>渠道</w:t>
      </w:r>
      <w:r>
        <w:rPr>
          <w:rFonts w:asciiTheme="minorEastAsia" w:hAnsiTheme="minorEastAsia" w:cs="Arial"/>
          <w:kern w:val="0"/>
          <w:sz w:val="24"/>
          <w:szCs w:val="24"/>
        </w:rPr>
        <w:t>申购上述开放式基金的个人</w:t>
      </w:r>
      <w:r>
        <w:rPr>
          <w:rFonts w:asciiTheme="minorEastAsia" w:hAnsiTheme="minorEastAsia" w:cs="Arial" w:hint="eastAsia"/>
          <w:kern w:val="0"/>
          <w:sz w:val="24"/>
          <w:szCs w:val="24"/>
        </w:rPr>
        <w:t>投资者</w:t>
      </w:r>
      <w:r>
        <w:rPr>
          <w:rFonts w:asciiTheme="minorEastAsia" w:hAnsiTheme="minorEastAsia" w:cs="Arial"/>
          <w:kern w:val="0"/>
          <w:sz w:val="24"/>
          <w:szCs w:val="24"/>
        </w:rPr>
        <w:t>，享受基金申购手续费率</w:t>
      </w:r>
      <w:r>
        <w:rPr>
          <w:rFonts w:asciiTheme="minorEastAsia" w:hAnsiTheme="minorEastAsia" w:cs="Arial" w:hint="eastAsia"/>
          <w:kern w:val="0"/>
          <w:sz w:val="24"/>
          <w:szCs w:val="24"/>
        </w:rPr>
        <w:t>1折优惠。</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2、通过交通银行手机银行渠道签约定期定额投资，并于</w:t>
      </w:r>
      <w:r w:rsidRPr="001C7355">
        <w:rPr>
          <w:rFonts w:asciiTheme="minorEastAsia" w:hAnsiTheme="minorEastAsia" w:cs="Arial" w:hint="eastAsia"/>
          <w:kern w:val="0"/>
          <w:sz w:val="24"/>
          <w:szCs w:val="24"/>
        </w:rPr>
        <w:t>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w:t>
      </w:r>
      <w:r w:rsidR="00CD634C">
        <w:rPr>
          <w:rFonts w:asciiTheme="minorEastAsia" w:hAnsiTheme="minorEastAsia" w:cs="Arial"/>
          <w:kern w:val="0"/>
          <w:sz w:val="24"/>
          <w:szCs w:val="24"/>
        </w:rPr>
        <w:t>1</w:t>
      </w:r>
      <w:r w:rsidRPr="001C7355">
        <w:rPr>
          <w:rFonts w:asciiTheme="minorEastAsia" w:hAnsiTheme="minorEastAsia" w:cs="Arial" w:hint="eastAsia"/>
          <w:kern w:val="0"/>
          <w:sz w:val="24"/>
          <w:szCs w:val="24"/>
        </w:rPr>
        <w:t>月1日00:00至20</w:t>
      </w:r>
      <w:r w:rsidR="00CD634C">
        <w:rPr>
          <w:rFonts w:asciiTheme="minorEastAsia" w:hAnsiTheme="minorEastAsia" w:cs="Arial"/>
          <w:kern w:val="0"/>
          <w:sz w:val="24"/>
          <w:szCs w:val="24"/>
        </w:rPr>
        <w:t>20</w:t>
      </w:r>
      <w:r w:rsidRPr="001C7355">
        <w:rPr>
          <w:rFonts w:asciiTheme="minorEastAsia" w:hAnsiTheme="minorEastAsia" w:cs="Arial" w:hint="eastAsia"/>
          <w:kern w:val="0"/>
          <w:sz w:val="24"/>
          <w:szCs w:val="24"/>
        </w:rPr>
        <w:t>年6月30日24:00</w:t>
      </w:r>
      <w:r>
        <w:rPr>
          <w:rFonts w:asciiTheme="minorEastAsia" w:hAnsiTheme="minorEastAsia" w:cs="Arial" w:hint="eastAsia"/>
          <w:kern w:val="0"/>
          <w:sz w:val="24"/>
          <w:szCs w:val="24"/>
        </w:rPr>
        <w:t>期间成功扣款的定期定额交易，享受定期定额投资1折费率优惠。</w:t>
      </w:r>
    </w:p>
    <w:p w:rsidR="00B44ABC" w:rsidRDefault="001C7355">
      <w:pPr>
        <w:widowControl/>
        <w:spacing w:line="336" w:lineRule="auto"/>
        <w:ind w:firstLine="480"/>
        <w:rPr>
          <w:rFonts w:asciiTheme="minorEastAsia" w:hAnsiTheme="minorEastAsia" w:cs="Arial"/>
          <w:b/>
          <w:bCs/>
          <w:kern w:val="0"/>
          <w:sz w:val="24"/>
          <w:szCs w:val="24"/>
        </w:rPr>
      </w:pPr>
      <w:r>
        <w:rPr>
          <w:rFonts w:asciiTheme="minorEastAsia" w:hAnsiTheme="minorEastAsia" w:cs="Arial" w:hint="eastAsia"/>
          <w:b/>
          <w:bCs/>
          <w:kern w:val="0"/>
          <w:sz w:val="24"/>
          <w:szCs w:val="24"/>
        </w:rPr>
        <w:t>四、重要提示</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交通银行手机银行基金申购及定期定额投资手续费率优惠仅针对处于正常申购期的指定开放式基金(前端模式)申购及定期定额投资手续费，不包括后端收费模式基金的申购及定期定额投资、处于基金募集期的开放式基金认购手续费。“前端模式申购”是指申购基金时就需要支付申购费的购买方式。</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投资人通过柜面、网银等非手机银行渠道签约的定期定额投资在手机银行渠道费率优惠活动期间内的扣款不享受1折费率优惠。</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2、参与上述费率优惠活动时，原基金申购费率为固定费用的，则按原费率执行，不再享有费率优惠。</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3、有关上述费率优惠活动的具体费率折扣及活动起止时间如有变化，敬请投资人留意交通银行的有关公告。</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b/>
          <w:bCs/>
          <w:kern w:val="0"/>
          <w:sz w:val="24"/>
          <w:szCs w:val="24"/>
        </w:rPr>
        <w:t>五、投资人可通过以下途径咨询详情</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1、宝盈基金管理有限公司</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网站：www.byfunds.com</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客户服务电话：400-8888-300（免长途话费）</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2、交通银行股份有限公司</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网站：www.bankcomm.com</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客户服务电话：95559</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投资人在交通银行办理业务应遵循交通银行的具体规定。 </w:t>
      </w:r>
    </w:p>
    <w:p w:rsidR="00871515" w:rsidRPr="00907D0F" w:rsidRDefault="00871515" w:rsidP="00871515">
      <w:pPr>
        <w:spacing w:line="360" w:lineRule="auto"/>
        <w:ind w:firstLineChars="200" w:firstLine="480"/>
        <w:textAlignment w:val="baseline"/>
        <w:rPr>
          <w:rFonts w:hAnsi="宋体"/>
          <w:color w:val="000000"/>
          <w:kern w:val="0"/>
          <w:sz w:val="24"/>
          <w:szCs w:val="24"/>
        </w:rPr>
      </w:pPr>
      <w:r w:rsidRPr="00907D0F">
        <w:rPr>
          <w:rFonts w:hAnsi="宋体"/>
          <w:color w:val="000000"/>
          <w:kern w:val="0"/>
          <w:sz w:val="24"/>
          <w:szCs w:val="24"/>
        </w:rPr>
        <w:lastRenderedPageBreak/>
        <w:t>风险提示：</w:t>
      </w:r>
      <w:r w:rsidRPr="00907D0F">
        <w:rPr>
          <w:rFonts w:hAnsi="宋体" w:hint="eastAsia"/>
          <w:color w:val="000000"/>
          <w:kern w:val="0"/>
          <w:sz w:val="24"/>
          <w:szCs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和《招募说明书》等基金法律文件，全面认识基金产品的风险收益特征，在了解产品情况及听取销售机构适当性意见的基础上，根据自身的风险承受能力、投资期限和投资目标，对基金投资作出独立决策，选择合适的基金产品。</w:t>
      </w:r>
    </w:p>
    <w:p w:rsidR="00B44ABC" w:rsidRPr="00A74A5F" w:rsidRDefault="00871515" w:rsidP="00A74A5F">
      <w:pPr>
        <w:spacing w:line="360" w:lineRule="auto"/>
        <w:ind w:firstLineChars="200" w:firstLine="480"/>
        <w:rPr>
          <w:rFonts w:hAnsi="宋体"/>
          <w:color w:val="000000"/>
          <w:kern w:val="0"/>
          <w:sz w:val="24"/>
          <w:szCs w:val="24"/>
        </w:rPr>
      </w:pPr>
      <w:r w:rsidRPr="00907D0F">
        <w:rPr>
          <w:rFonts w:hAnsi="宋体" w:hint="eastAsia"/>
          <w:color w:val="000000"/>
          <w:kern w:val="0"/>
          <w:sz w:val="24"/>
          <w:szCs w:val="24"/>
        </w:rPr>
        <w:t>本公司保留对该公告的最终解释权</w:t>
      </w:r>
      <w:r w:rsidRPr="005B604A">
        <w:rPr>
          <w:rFonts w:hAnsi="宋体"/>
          <w:color w:val="000000"/>
          <w:kern w:val="0"/>
          <w:sz w:val="24"/>
          <w:szCs w:val="24"/>
        </w:rPr>
        <w:t>。</w:t>
      </w:r>
    </w:p>
    <w:p w:rsidR="00B44ABC" w:rsidRDefault="001C7355">
      <w:pPr>
        <w:widowControl/>
        <w:spacing w:line="336" w:lineRule="auto"/>
        <w:ind w:firstLine="480"/>
        <w:rPr>
          <w:rFonts w:asciiTheme="minorEastAsia" w:hAnsiTheme="minorEastAsia" w:cs="Arial"/>
          <w:kern w:val="0"/>
          <w:sz w:val="24"/>
          <w:szCs w:val="24"/>
        </w:rPr>
      </w:pPr>
      <w:r>
        <w:rPr>
          <w:rFonts w:asciiTheme="minorEastAsia" w:hAnsiTheme="minorEastAsia" w:cs="Arial" w:hint="eastAsia"/>
          <w:kern w:val="0"/>
          <w:sz w:val="24"/>
          <w:szCs w:val="24"/>
        </w:rPr>
        <w:t xml:space="preserve">特此公告。 </w:t>
      </w:r>
    </w:p>
    <w:p w:rsidR="00B44ABC" w:rsidRDefault="001C7355">
      <w:pPr>
        <w:widowControl/>
        <w:spacing w:line="336" w:lineRule="auto"/>
        <w:ind w:firstLine="480"/>
        <w:jc w:val="right"/>
        <w:rPr>
          <w:rFonts w:asciiTheme="minorEastAsia" w:hAnsiTheme="minorEastAsia" w:cs="Arial"/>
          <w:kern w:val="0"/>
          <w:sz w:val="24"/>
          <w:szCs w:val="24"/>
        </w:rPr>
      </w:pPr>
      <w:r>
        <w:rPr>
          <w:rFonts w:asciiTheme="minorEastAsia" w:hAnsiTheme="minorEastAsia" w:cs="Arial" w:hint="eastAsia"/>
          <w:kern w:val="0"/>
          <w:sz w:val="24"/>
          <w:szCs w:val="24"/>
        </w:rPr>
        <w:t>宝盈基金管理有限公司</w:t>
      </w:r>
    </w:p>
    <w:p w:rsidR="00B44ABC" w:rsidRDefault="001C7355">
      <w:pPr>
        <w:widowControl/>
        <w:spacing w:line="360" w:lineRule="auto"/>
        <w:ind w:firstLine="480"/>
        <w:jc w:val="right"/>
        <w:rPr>
          <w:rFonts w:asciiTheme="minorEastAsia" w:hAnsiTheme="minorEastAsia" w:cs="Arial"/>
          <w:kern w:val="0"/>
          <w:sz w:val="24"/>
          <w:szCs w:val="24"/>
        </w:rPr>
      </w:pPr>
      <w:r>
        <w:rPr>
          <w:rFonts w:asciiTheme="minorEastAsia" w:hAnsiTheme="minorEastAsia" w:cs="Arial" w:hint="eastAsia"/>
          <w:kern w:val="0"/>
          <w:sz w:val="24"/>
          <w:szCs w:val="24"/>
        </w:rPr>
        <w:t>201</w:t>
      </w:r>
      <w:r w:rsidR="000E1DA7">
        <w:rPr>
          <w:rFonts w:asciiTheme="minorEastAsia" w:hAnsiTheme="minorEastAsia" w:cs="Arial"/>
          <w:kern w:val="0"/>
          <w:sz w:val="24"/>
          <w:szCs w:val="24"/>
        </w:rPr>
        <w:t>9</w:t>
      </w:r>
      <w:r>
        <w:rPr>
          <w:rFonts w:asciiTheme="minorEastAsia" w:hAnsiTheme="minorEastAsia" w:cs="Arial" w:hint="eastAsia"/>
          <w:kern w:val="0"/>
          <w:sz w:val="24"/>
          <w:szCs w:val="24"/>
        </w:rPr>
        <w:t>年</w:t>
      </w:r>
      <w:r w:rsidR="000E1DA7">
        <w:rPr>
          <w:rFonts w:asciiTheme="minorEastAsia" w:hAnsiTheme="minorEastAsia" w:cs="Arial"/>
          <w:kern w:val="0"/>
          <w:sz w:val="24"/>
          <w:szCs w:val="24"/>
        </w:rPr>
        <w:t>12</w:t>
      </w:r>
      <w:r>
        <w:rPr>
          <w:rFonts w:asciiTheme="minorEastAsia" w:hAnsiTheme="minorEastAsia" w:cs="Arial" w:hint="eastAsia"/>
          <w:kern w:val="0"/>
          <w:sz w:val="24"/>
          <w:szCs w:val="24"/>
        </w:rPr>
        <w:t>月31日</w:t>
      </w:r>
    </w:p>
    <w:sectPr w:rsidR="00B44ABC" w:rsidSect="00F47F20">
      <w:pgSz w:w="11906" w:h="16838"/>
      <w:pgMar w:top="1440" w:right="1361" w:bottom="1440" w:left="136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939" w:rsidRDefault="00E24939">
      <w:r>
        <w:separator/>
      </w:r>
    </w:p>
  </w:endnote>
  <w:endnote w:type="continuationSeparator" w:id="1">
    <w:p w:rsidR="00E24939" w:rsidRDefault="00E24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939" w:rsidRDefault="00E24939">
      <w:r>
        <w:separator/>
      </w:r>
    </w:p>
  </w:footnote>
  <w:footnote w:type="continuationSeparator" w:id="1">
    <w:p w:rsidR="00E24939" w:rsidRDefault="00E24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082012B"/>
    <w:rsid w:val="000522AE"/>
    <w:rsid w:val="000759FD"/>
    <w:rsid w:val="000E1DA7"/>
    <w:rsid w:val="000F48D7"/>
    <w:rsid w:val="0017351D"/>
    <w:rsid w:val="001909DB"/>
    <w:rsid w:val="001C24A8"/>
    <w:rsid w:val="001C7355"/>
    <w:rsid w:val="002A6536"/>
    <w:rsid w:val="002F531A"/>
    <w:rsid w:val="00365E00"/>
    <w:rsid w:val="003705A4"/>
    <w:rsid w:val="003C1557"/>
    <w:rsid w:val="003E1E72"/>
    <w:rsid w:val="004938C2"/>
    <w:rsid w:val="004E43A0"/>
    <w:rsid w:val="00516F62"/>
    <w:rsid w:val="005854EB"/>
    <w:rsid w:val="006343EF"/>
    <w:rsid w:val="0068150A"/>
    <w:rsid w:val="006A1A55"/>
    <w:rsid w:val="00701C0C"/>
    <w:rsid w:val="007811C8"/>
    <w:rsid w:val="007920FC"/>
    <w:rsid w:val="007D4FB2"/>
    <w:rsid w:val="007E2831"/>
    <w:rsid w:val="0082012B"/>
    <w:rsid w:val="008660A8"/>
    <w:rsid w:val="00871515"/>
    <w:rsid w:val="00884A48"/>
    <w:rsid w:val="008A4421"/>
    <w:rsid w:val="009C2727"/>
    <w:rsid w:val="00A4378D"/>
    <w:rsid w:val="00A74A5F"/>
    <w:rsid w:val="00B368F6"/>
    <w:rsid w:val="00B42BAD"/>
    <w:rsid w:val="00B44ABC"/>
    <w:rsid w:val="00BD3661"/>
    <w:rsid w:val="00BE346C"/>
    <w:rsid w:val="00CB496D"/>
    <w:rsid w:val="00CD634C"/>
    <w:rsid w:val="00D751CF"/>
    <w:rsid w:val="00DC2412"/>
    <w:rsid w:val="00DC3D8C"/>
    <w:rsid w:val="00E071D1"/>
    <w:rsid w:val="00E24939"/>
    <w:rsid w:val="00E530A2"/>
    <w:rsid w:val="00F47F20"/>
    <w:rsid w:val="00F94FF8"/>
    <w:rsid w:val="03855D46"/>
    <w:rsid w:val="103B5D63"/>
    <w:rsid w:val="106946FA"/>
    <w:rsid w:val="21B535DD"/>
    <w:rsid w:val="2DBE1C37"/>
    <w:rsid w:val="338F4F6B"/>
    <w:rsid w:val="3FA405AA"/>
    <w:rsid w:val="46E7339A"/>
    <w:rsid w:val="5A630C76"/>
    <w:rsid w:val="69075050"/>
    <w:rsid w:val="6CA071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F20"/>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F47F20"/>
    <w:pPr>
      <w:tabs>
        <w:tab w:val="center" w:pos="4153"/>
        <w:tab w:val="right" w:pos="8306"/>
      </w:tabs>
      <w:snapToGrid w:val="0"/>
      <w:jc w:val="left"/>
    </w:pPr>
    <w:rPr>
      <w:sz w:val="18"/>
    </w:rPr>
  </w:style>
  <w:style w:type="paragraph" w:styleId="a4">
    <w:name w:val="header"/>
    <w:basedOn w:val="a"/>
    <w:uiPriority w:val="99"/>
    <w:unhideWhenUsed/>
    <w:qFormat/>
    <w:rsid w:val="00F47F2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uiPriority w:val="99"/>
    <w:unhideWhenUsed/>
    <w:qFormat/>
    <w:rsid w:val="00F47F20"/>
    <w:pPr>
      <w:jc w:val="left"/>
    </w:pPr>
    <w:rPr>
      <w:rFonts w:ascii="Arial" w:hAnsi="Arial" w:cs="Times New Roman" w:hint="eastAsia"/>
      <w:color w:val="464646"/>
      <w:kern w:val="0"/>
      <w:sz w:val="18"/>
      <w:szCs w:val="18"/>
    </w:rPr>
  </w:style>
  <w:style w:type="character" w:styleId="a6">
    <w:name w:val="Strong"/>
    <w:basedOn w:val="a0"/>
    <w:uiPriority w:val="22"/>
    <w:qFormat/>
    <w:rsid w:val="00F47F20"/>
    <w:rPr>
      <w:b/>
      <w:bCs/>
    </w:rPr>
  </w:style>
  <w:style w:type="character" w:styleId="a7">
    <w:name w:val="FollowedHyperlink"/>
    <w:basedOn w:val="a0"/>
    <w:uiPriority w:val="99"/>
    <w:unhideWhenUsed/>
    <w:qFormat/>
    <w:rsid w:val="00F47F20"/>
    <w:rPr>
      <w:color w:val="464646"/>
      <w:u w:val="none"/>
    </w:rPr>
  </w:style>
  <w:style w:type="character" w:styleId="a8">
    <w:name w:val="Emphasis"/>
    <w:basedOn w:val="a0"/>
    <w:uiPriority w:val="20"/>
    <w:qFormat/>
    <w:rsid w:val="00F47F20"/>
  </w:style>
  <w:style w:type="character" w:styleId="a9">
    <w:name w:val="Hyperlink"/>
    <w:basedOn w:val="a0"/>
    <w:uiPriority w:val="99"/>
    <w:unhideWhenUsed/>
    <w:qFormat/>
    <w:rsid w:val="00F47F20"/>
    <w:rPr>
      <w:color w:val="464646"/>
      <w:u w:val="none"/>
    </w:rPr>
  </w:style>
  <w:style w:type="paragraph" w:styleId="aa">
    <w:name w:val="Balloon Text"/>
    <w:basedOn w:val="a"/>
    <w:link w:val="Char"/>
    <w:uiPriority w:val="99"/>
    <w:semiHidden/>
    <w:unhideWhenUsed/>
    <w:rsid w:val="001C7355"/>
    <w:rPr>
      <w:sz w:val="18"/>
      <w:szCs w:val="18"/>
    </w:rPr>
  </w:style>
  <w:style w:type="character" w:customStyle="1" w:styleId="Char">
    <w:name w:val="批注框文本 Char"/>
    <w:basedOn w:val="a0"/>
    <w:link w:val="aa"/>
    <w:uiPriority w:val="99"/>
    <w:semiHidden/>
    <w:rsid w:val="001C7355"/>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317</Words>
  <Characters>1809</Characters>
  <Application>Microsoft Office Word</Application>
  <DocSecurity>4</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yu2</dc:creator>
  <cp:lastModifiedBy>JonMMx 2000</cp:lastModifiedBy>
  <cp:revision>2</cp:revision>
  <cp:lastPrinted>2017-02-22T07:04:00Z</cp:lastPrinted>
  <dcterms:created xsi:type="dcterms:W3CDTF">2019-12-30T16:04:00Z</dcterms:created>
  <dcterms:modified xsi:type="dcterms:W3CDTF">2019-12-30T16:04:00Z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