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9B1827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泰康资产管理有限责任公司旗下部分基金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F916C9">
        <w:rPr>
          <w:rFonts w:asciiTheme="minorEastAsia" w:hAnsiTheme="minorEastAsia"/>
          <w:b/>
          <w:sz w:val="28"/>
          <w:szCs w:val="21"/>
        </w:rPr>
        <w:t>20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年非港股通交易日不开放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CF41E4" w:rsidRDefault="00F916C9" w:rsidP="006A2EE2">
      <w:pPr>
        <w:snapToGrid w:val="0"/>
        <w:spacing w:beforeLines="100" w:line="360" w:lineRule="auto"/>
        <w:ind w:firstLineChars="200" w:firstLine="420"/>
        <w:rPr>
          <w:rFonts w:asciiTheme="minorEastAsia" w:hAnsiTheme="minorEastAsia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>
        <w:rPr>
          <w:rFonts w:asciiTheme="minorEastAsia" w:hAnsiTheme="minorEastAsia" w:cs="Arial" w:hint="eastAsia"/>
          <w:kern w:val="0"/>
          <w:szCs w:val="21"/>
        </w:rPr>
        <w:t>根据</w:t>
      </w:r>
      <w:r w:rsidRPr="009B1827">
        <w:rPr>
          <w:rFonts w:asciiTheme="minorEastAsia" w:hAnsiTheme="minorEastAsia" w:hint="eastAsia"/>
          <w:szCs w:val="21"/>
        </w:rPr>
        <w:t>基金合同和招募说明书的相关规定</w:t>
      </w:r>
      <w:r>
        <w:rPr>
          <w:rFonts w:asciiTheme="minorEastAsia" w:hAnsiTheme="minorEastAsia" w:hint="eastAsia"/>
          <w:szCs w:val="21"/>
        </w:rPr>
        <w:t>，</w:t>
      </w:r>
      <w:r w:rsidR="00CF41E4">
        <w:rPr>
          <w:rFonts w:asciiTheme="minorEastAsia" w:hAnsiTheme="minorEastAsia" w:hint="eastAsia"/>
          <w:szCs w:val="21"/>
        </w:rPr>
        <w:t>泰康资产管理有限责任公司决定于</w:t>
      </w:r>
      <w:r w:rsidR="00CF41E4" w:rsidRPr="009B1827">
        <w:rPr>
          <w:rFonts w:asciiTheme="minorEastAsia" w:hAnsiTheme="minorEastAsia" w:hint="eastAsia"/>
          <w:szCs w:val="21"/>
        </w:rPr>
        <w:t>上海证券交易所和深圳证券交易所交易日的下列2</w:t>
      </w:r>
      <w:r w:rsidR="00CF41E4" w:rsidRPr="009B1827">
        <w:rPr>
          <w:rFonts w:asciiTheme="minorEastAsia" w:hAnsiTheme="minorEastAsia"/>
          <w:szCs w:val="21"/>
        </w:rPr>
        <w:t>0</w:t>
      </w:r>
      <w:r>
        <w:rPr>
          <w:rFonts w:asciiTheme="minorEastAsia" w:hAnsiTheme="minorEastAsia"/>
          <w:szCs w:val="21"/>
        </w:rPr>
        <w:t>20</w:t>
      </w:r>
      <w:r w:rsidR="00CF41E4" w:rsidRPr="009B1827">
        <w:rPr>
          <w:rFonts w:asciiTheme="minorEastAsia" w:hAnsiTheme="minorEastAsia" w:hint="eastAsia"/>
          <w:szCs w:val="21"/>
        </w:rPr>
        <w:t>年非港股通交易日，不开放</w:t>
      </w:r>
      <w:r w:rsidR="00CF41E4">
        <w:rPr>
          <w:rFonts w:asciiTheme="minorEastAsia" w:hAnsiTheme="minorEastAsia" w:hint="eastAsia"/>
          <w:szCs w:val="21"/>
        </w:rPr>
        <w:t>旗下部分</w:t>
      </w:r>
      <w:r w:rsidR="00CF41E4" w:rsidRPr="009B1827">
        <w:rPr>
          <w:rFonts w:asciiTheme="minorEastAsia" w:hAnsiTheme="minorEastAsia" w:hint="eastAsia"/>
          <w:szCs w:val="21"/>
        </w:rPr>
        <w:t>基金份额的申购、赎回</w:t>
      </w:r>
      <w:r w:rsidR="00CF41E4">
        <w:rPr>
          <w:rFonts w:asciiTheme="minorEastAsia" w:hAnsiTheme="minorEastAsia" w:hint="eastAsia"/>
          <w:szCs w:val="21"/>
        </w:rPr>
        <w:t>、转换</w:t>
      </w:r>
      <w:r w:rsidR="00CF41E4" w:rsidRPr="009B1827">
        <w:rPr>
          <w:rFonts w:asciiTheme="minorEastAsia" w:hAnsiTheme="minorEastAsia" w:hint="eastAsia"/>
          <w:szCs w:val="21"/>
        </w:rPr>
        <w:t>及定期定额投资等交易类业务。</w:t>
      </w:r>
    </w:p>
    <w:p w:rsidR="00CF41E4" w:rsidRDefault="00CF41E4" w:rsidP="008E68B8">
      <w:pPr>
        <w:pStyle w:val="aa"/>
        <w:numPr>
          <w:ilvl w:val="0"/>
          <w:numId w:val="2"/>
        </w:numPr>
        <w:snapToGrid w:val="0"/>
        <w:spacing w:before="240" w:line="360" w:lineRule="auto"/>
        <w:ind w:firstLineChars="0"/>
        <w:rPr>
          <w:rFonts w:asciiTheme="minorEastAsia" w:hAnsiTheme="minorEastAsia"/>
          <w:szCs w:val="21"/>
        </w:rPr>
      </w:pPr>
      <w:r w:rsidRPr="00CF41E4">
        <w:rPr>
          <w:rFonts w:asciiTheme="minorEastAsia" w:hAnsiTheme="minorEastAsia"/>
          <w:szCs w:val="21"/>
        </w:rPr>
        <w:t>适用基金范围</w:t>
      </w:r>
      <w:bookmarkStart w:id="0" w:name="_GoBack"/>
      <w:bookmarkEnd w:id="0"/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F916C9" w:rsidRPr="008E68B8" w:rsidTr="00AA7C74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F916C9" w:rsidTr="00AA7C74">
        <w:trPr>
          <w:trHeight w:val="199"/>
          <w:jc w:val="center"/>
        </w:trPr>
        <w:tc>
          <w:tcPr>
            <w:tcW w:w="704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F916C9" w:rsidTr="00AA7C74">
        <w:trPr>
          <w:trHeight w:val="240"/>
          <w:jc w:val="center"/>
        </w:trPr>
        <w:tc>
          <w:tcPr>
            <w:tcW w:w="704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F916C9" w:rsidTr="00AA7C74">
        <w:trPr>
          <w:jc w:val="center"/>
        </w:trPr>
        <w:tc>
          <w:tcPr>
            <w:tcW w:w="704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F916C9" w:rsidTr="00AA7C74">
        <w:trPr>
          <w:trHeight w:val="341"/>
          <w:jc w:val="center"/>
        </w:trPr>
        <w:tc>
          <w:tcPr>
            <w:tcW w:w="704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F916C9" w:rsidTr="00AA7C74">
        <w:trPr>
          <w:trHeight w:val="195"/>
          <w:jc w:val="center"/>
        </w:trPr>
        <w:tc>
          <w:tcPr>
            <w:tcW w:w="704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</w:tc>
      </w:tr>
      <w:tr w:rsidR="00F916C9" w:rsidTr="00AA7C74">
        <w:trPr>
          <w:jc w:val="center"/>
        </w:trPr>
        <w:tc>
          <w:tcPr>
            <w:tcW w:w="704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F916C9" w:rsidRPr="002942D4" w:rsidRDefault="00F916C9" w:rsidP="006A2E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F916C9" w:rsidRDefault="00F916C9" w:rsidP="006A2E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A类：005474</w:t>
            </w:r>
          </w:p>
          <w:p w:rsidR="00F916C9" w:rsidRPr="008E68B8" w:rsidRDefault="00F916C9" w:rsidP="006A2E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C类：005475</w:t>
            </w:r>
          </w:p>
        </w:tc>
      </w:tr>
      <w:tr w:rsidR="00F916C9" w:rsidTr="00AA7C74">
        <w:trPr>
          <w:trHeight w:val="615"/>
          <w:jc w:val="center"/>
        </w:trPr>
        <w:tc>
          <w:tcPr>
            <w:tcW w:w="704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F916C9" w:rsidRPr="002942D4" w:rsidRDefault="00F916C9" w:rsidP="006A2E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F916C9" w:rsidRDefault="00F916C9" w:rsidP="006A2E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A类：005523</w:t>
            </w:r>
          </w:p>
          <w:p w:rsidR="00F916C9" w:rsidRPr="008E68B8" w:rsidRDefault="00F916C9" w:rsidP="006A2E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C类：005524</w:t>
            </w:r>
          </w:p>
        </w:tc>
      </w:tr>
      <w:tr w:rsidR="00F916C9" w:rsidTr="00AA7C74">
        <w:trPr>
          <w:trHeight w:val="150"/>
          <w:jc w:val="center"/>
        </w:trPr>
        <w:tc>
          <w:tcPr>
            <w:tcW w:w="704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F916C9" w:rsidRPr="002942D4" w:rsidRDefault="00F916C9" w:rsidP="006A2E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F916C9" w:rsidRDefault="00F916C9" w:rsidP="006A2E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A类：005823</w:t>
            </w:r>
          </w:p>
          <w:p w:rsidR="00F916C9" w:rsidRPr="008E68B8" w:rsidRDefault="00F916C9" w:rsidP="006A2E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C类：005824</w:t>
            </w:r>
          </w:p>
        </w:tc>
      </w:tr>
      <w:tr w:rsidR="00F916C9" w:rsidTr="00AA7C74">
        <w:trPr>
          <w:trHeight w:val="630"/>
          <w:jc w:val="center"/>
        </w:trPr>
        <w:tc>
          <w:tcPr>
            <w:tcW w:w="704" w:type="dxa"/>
            <w:vAlign w:val="center"/>
          </w:tcPr>
          <w:p w:rsidR="00F916C9" w:rsidRPr="008E68B8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F916C9" w:rsidRPr="002942D4" w:rsidRDefault="00F916C9" w:rsidP="006A2E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765" w:type="dxa"/>
            <w:vAlign w:val="center"/>
          </w:tcPr>
          <w:p w:rsidR="00F916C9" w:rsidRDefault="00F916C9" w:rsidP="006A2E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A类：006578</w:t>
            </w:r>
          </w:p>
          <w:p w:rsidR="00F916C9" w:rsidRPr="008E68B8" w:rsidRDefault="00F916C9" w:rsidP="006A2E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C类：006579</w:t>
            </w:r>
          </w:p>
        </w:tc>
      </w:tr>
      <w:tr w:rsidR="00F916C9" w:rsidTr="00AA7C74">
        <w:trPr>
          <w:trHeight w:val="615"/>
          <w:jc w:val="center"/>
        </w:trPr>
        <w:tc>
          <w:tcPr>
            <w:tcW w:w="704" w:type="dxa"/>
            <w:vAlign w:val="center"/>
          </w:tcPr>
          <w:p w:rsidR="00F916C9" w:rsidRPr="008E68B8" w:rsidRDefault="00F916C9" w:rsidP="006A2EE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</w:t>
            </w:r>
          </w:p>
        </w:tc>
        <w:tc>
          <w:tcPr>
            <w:tcW w:w="5827" w:type="dxa"/>
            <w:vAlign w:val="center"/>
          </w:tcPr>
          <w:p w:rsidR="00F916C9" w:rsidRPr="006704FF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65" w:type="dxa"/>
            <w:vAlign w:val="center"/>
          </w:tcPr>
          <w:p w:rsidR="00F916C9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A类：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006816</w:t>
            </w:r>
          </w:p>
          <w:p w:rsidR="00F916C9" w:rsidRPr="002942D4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C类：006817</w:t>
            </w:r>
          </w:p>
        </w:tc>
      </w:tr>
      <w:tr w:rsidR="00F916C9" w:rsidTr="00AA7C74">
        <w:trPr>
          <w:trHeight w:val="227"/>
          <w:jc w:val="center"/>
        </w:trPr>
        <w:tc>
          <w:tcPr>
            <w:tcW w:w="704" w:type="dxa"/>
            <w:vAlign w:val="center"/>
          </w:tcPr>
          <w:p w:rsidR="00F916C9" w:rsidRPr="006704FF" w:rsidRDefault="00F916C9" w:rsidP="006A2EE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F916C9" w:rsidRPr="006704FF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65" w:type="dxa"/>
            <w:vAlign w:val="center"/>
          </w:tcPr>
          <w:p w:rsidR="00F916C9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：006930</w:t>
            </w:r>
          </w:p>
          <w:p w:rsidR="00F916C9" w:rsidRPr="006704FF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：006931</w:t>
            </w:r>
          </w:p>
        </w:tc>
      </w:tr>
      <w:tr w:rsidR="00F916C9" w:rsidTr="00AA7C74">
        <w:trPr>
          <w:trHeight w:val="227"/>
          <w:jc w:val="center"/>
        </w:trPr>
        <w:tc>
          <w:tcPr>
            <w:tcW w:w="704" w:type="dxa"/>
            <w:vAlign w:val="center"/>
          </w:tcPr>
          <w:p w:rsidR="00F916C9" w:rsidRPr="00B92AFE" w:rsidRDefault="00F916C9" w:rsidP="006A2EE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F916C9" w:rsidRPr="004C16AF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F916C9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F916C9" w:rsidRPr="006704FF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F916C9" w:rsidTr="00AA7C74">
        <w:trPr>
          <w:trHeight w:val="227"/>
          <w:jc w:val="center"/>
        </w:trPr>
        <w:tc>
          <w:tcPr>
            <w:tcW w:w="704" w:type="dxa"/>
            <w:vAlign w:val="center"/>
          </w:tcPr>
          <w:p w:rsidR="00F916C9" w:rsidRPr="00B92AFE" w:rsidRDefault="00F916C9" w:rsidP="006A2EE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F916C9" w:rsidRPr="004C16AF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F916C9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F916C9" w:rsidRPr="006704FF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  <w:tr w:rsidR="00F916C9" w:rsidTr="00AA7C74">
        <w:trPr>
          <w:trHeight w:val="227"/>
          <w:jc w:val="center"/>
        </w:trPr>
        <w:tc>
          <w:tcPr>
            <w:tcW w:w="704" w:type="dxa"/>
            <w:vAlign w:val="center"/>
          </w:tcPr>
          <w:p w:rsidR="00F916C9" w:rsidRPr="004C16AF" w:rsidRDefault="00F916C9" w:rsidP="006A2EE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lastRenderedPageBreak/>
              <w:t>1</w:t>
            </w:r>
            <w:r>
              <w:t>4</w:t>
            </w:r>
          </w:p>
        </w:tc>
        <w:tc>
          <w:tcPr>
            <w:tcW w:w="5827" w:type="dxa"/>
            <w:vAlign w:val="center"/>
          </w:tcPr>
          <w:p w:rsidR="00F916C9" w:rsidRPr="004C16AF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F916C9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F916C9" w:rsidRPr="004C16AF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F916C9" w:rsidTr="00AA7C74">
        <w:trPr>
          <w:trHeight w:val="227"/>
          <w:jc w:val="center"/>
        </w:trPr>
        <w:tc>
          <w:tcPr>
            <w:tcW w:w="704" w:type="dxa"/>
            <w:vAlign w:val="center"/>
          </w:tcPr>
          <w:p w:rsidR="00F916C9" w:rsidRPr="005C3C84" w:rsidRDefault="00F916C9" w:rsidP="006A2EE2"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827" w:type="dxa"/>
            <w:vAlign w:val="center"/>
          </w:tcPr>
          <w:p w:rsidR="00F916C9" w:rsidRPr="004C16AF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F916C9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F916C9" w:rsidRPr="004C16AF" w:rsidRDefault="00F916C9" w:rsidP="006A2E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</w:tbl>
    <w:p w:rsidR="00CF41E4" w:rsidRPr="00CF41E4" w:rsidRDefault="00CF41E4" w:rsidP="008E68B8">
      <w:pPr>
        <w:pStyle w:val="aa"/>
        <w:numPr>
          <w:ilvl w:val="0"/>
          <w:numId w:val="2"/>
        </w:numPr>
        <w:snapToGrid w:val="0"/>
        <w:spacing w:before="240" w:line="360" w:lineRule="auto"/>
        <w:ind w:firstLineChars="0"/>
        <w:rPr>
          <w:rFonts w:asciiTheme="minorEastAsia" w:hAnsiTheme="minorEastAsia"/>
          <w:szCs w:val="21"/>
        </w:rPr>
      </w:pPr>
      <w:r w:rsidRPr="00CF41E4">
        <w:rPr>
          <w:rFonts w:asciiTheme="minorEastAsia" w:hAnsiTheme="minorEastAsia" w:hint="eastAsia"/>
          <w:szCs w:val="21"/>
        </w:rPr>
        <w:t>20</w:t>
      </w:r>
      <w:r w:rsidR="00F916C9">
        <w:rPr>
          <w:rFonts w:asciiTheme="minorEastAsia" w:hAnsiTheme="minorEastAsia"/>
          <w:szCs w:val="21"/>
        </w:rPr>
        <w:t>20</w:t>
      </w:r>
      <w:r w:rsidRPr="00CF41E4">
        <w:rPr>
          <w:rFonts w:asciiTheme="minorEastAsia" w:hAnsiTheme="minorEastAsia" w:hint="eastAsia"/>
          <w:szCs w:val="21"/>
        </w:rPr>
        <w:t>年非港股通交易日时间安排</w:t>
      </w:r>
    </w:p>
    <w:p w:rsidR="00D54CE8" w:rsidRPr="00CF41E4" w:rsidRDefault="00E42167" w:rsidP="00CF41E4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根据</w:t>
      </w:r>
      <w:r w:rsidR="00F916C9" w:rsidRPr="00F916C9">
        <w:rPr>
          <w:rFonts w:asciiTheme="minorEastAsia" w:hAnsiTheme="minorEastAsia" w:hint="eastAsia"/>
          <w:szCs w:val="21"/>
        </w:rPr>
        <w:t>上海证券交易所《关于2019年岁末及2020年沪港通下港股通交易日安排的通知》、深圳证券交易所《关于2019年底及2020年深港通下的港股通交易日安排的通知》</w:t>
      </w:r>
      <w:r w:rsidR="0035034F" w:rsidRPr="009B1827">
        <w:rPr>
          <w:rFonts w:asciiTheme="minorEastAsia" w:hAnsiTheme="minorEastAsia" w:hint="eastAsia"/>
          <w:szCs w:val="21"/>
        </w:rPr>
        <w:t>，</w:t>
      </w:r>
      <w:r w:rsidR="00CF41E4">
        <w:rPr>
          <w:rFonts w:asciiTheme="minorEastAsia" w:hAnsiTheme="minorEastAsia" w:hint="eastAsia"/>
          <w:szCs w:val="21"/>
        </w:rPr>
        <w:t>下列</w:t>
      </w:r>
      <w:r w:rsidR="00DD4D66" w:rsidRPr="00DD4D66">
        <w:rPr>
          <w:rFonts w:asciiTheme="minorEastAsia" w:hAnsiTheme="minorEastAsia" w:hint="eastAsia"/>
          <w:szCs w:val="21"/>
        </w:rPr>
        <w:t>节假日期间</w:t>
      </w:r>
      <w:r w:rsidR="00F916C9" w:rsidRPr="00F916C9">
        <w:rPr>
          <w:rFonts w:ascii="宋体" w:hAnsi="宋体" w:hint="eastAsia"/>
          <w:szCs w:val="21"/>
        </w:rPr>
        <w:t>不提供港股通服务</w:t>
      </w:r>
      <w:r w:rsidR="00DD4D66">
        <w:rPr>
          <w:rFonts w:ascii="宋体" w:hAnsi="宋体" w:hint="eastAsia"/>
          <w:szCs w:val="21"/>
        </w:rPr>
        <w:t>。</w:t>
      </w:r>
    </w:p>
    <w:tbl>
      <w:tblPr>
        <w:tblStyle w:val="a9"/>
        <w:tblW w:w="0" w:type="auto"/>
        <w:tblInd w:w="-5" w:type="dxa"/>
        <w:tblLook w:val="04A0"/>
      </w:tblPr>
      <w:tblGrid>
        <w:gridCol w:w="3261"/>
        <w:gridCol w:w="5040"/>
      </w:tblGrid>
      <w:tr w:rsidR="009B1827" w:rsidRPr="009B1827" w:rsidTr="00421FE3">
        <w:tc>
          <w:tcPr>
            <w:tcW w:w="3261" w:type="dxa"/>
            <w:shd w:val="clear" w:color="auto" w:fill="808080" w:themeFill="background1" w:themeFillShade="80"/>
            <w:vAlign w:val="center"/>
          </w:tcPr>
          <w:p w:rsidR="009B1827" w:rsidRPr="009B1827" w:rsidRDefault="009B1827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9B1827"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  <w:t>节日名称</w:t>
            </w:r>
          </w:p>
        </w:tc>
        <w:tc>
          <w:tcPr>
            <w:tcW w:w="5040" w:type="dxa"/>
            <w:shd w:val="clear" w:color="auto" w:fill="808080" w:themeFill="background1" w:themeFillShade="80"/>
            <w:vAlign w:val="center"/>
          </w:tcPr>
          <w:p w:rsidR="009B1827" w:rsidRPr="009B1827" w:rsidRDefault="00421FE3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FFFFFF" w:themeColor="background1"/>
                <w:kern w:val="0"/>
                <w:szCs w:val="21"/>
              </w:rPr>
              <w:t>不提供港股通服务期间</w:t>
            </w:r>
          </w:p>
        </w:tc>
      </w:tr>
      <w:tr w:rsidR="00F916C9" w:rsidRPr="009B1827" w:rsidTr="00421FE3">
        <w:tc>
          <w:tcPr>
            <w:tcW w:w="3261" w:type="dxa"/>
            <w:vAlign w:val="center"/>
          </w:tcPr>
          <w:p w:rsidR="00F916C9" w:rsidRPr="009B1827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春节</w:t>
            </w:r>
          </w:p>
        </w:tc>
        <w:tc>
          <w:tcPr>
            <w:tcW w:w="5040" w:type="dxa"/>
            <w:vAlign w:val="center"/>
          </w:tcPr>
          <w:p w:rsidR="00F916C9" w:rsidRPr="009B1827" w:rsidRDefault="00F916C9" w:rsidP="006A2EE2">
            <w:pPr>
              <w:widowControl/>
              <w:snapToGrid w:val="0"/>
              <w:spacing w:beforeLines="50"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1月22日（星期三）至1月30日（星期四）</w:t>
            </w:r>
          </w:p>
        </w:tc>
      </w:tr>
      <w:tr w:rsidR="00F916C9" w:rsidRPr="009B1827" w:rsidTr="00421FE3">
        <w:tc>
          <w:tcPr>
            <w:tcW w:w="3261" w:type="dxa"/>
            <w:vAlign w:val="center"/>
          </w:tcPr>
          <w:p w:rsidR="00F916C9" w:rsidRPr="009B1827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清明节</w:t>
            </w:r>
          </w:p>
        </w:tc>
        <w:tc>
          <w:tcPr>
            <w:tcW w:w="5040" w:type="dxa"/>
            <w:vAlign w:val="center"/>
          </w:tcPr>
          <w:p w:rsidR="00F916C9" w:rsidRPr="009B1827" w:rsidRDefault="00F916C9" w:rsidP="006A2EE2">
            <w:pPr>
              <w:widowControl/>
              <w:snapToGrid w:val="0"/>
              <w:spacing w:beforeLines="50"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4月2日（星期四）至4月6日（星期一）</w:t>
            </w:r>
          </w:p>
        </w:tc>
      </w:tr>
      <w:tr w:rsidR="00F916C9" w:rsidRPr="009B1827" w:rsidTr="00421FE3">
        <w:tc>
          <w:tcPr>
            <w:tcW w:w="3261" w:type="dxa"/>
            <w:vAlign w:val="center"/>
          </w:tcPr>
          <w:p w:rsidR="00F916C9" w:rsidRPr="009B1827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香港耶稣受难节、复活节</w:t>
            </w:r>
          </w:p>
        </w:tc>
        <w:tc>
          <w:tcPr>
            <w:tcW w:w="5040" w:type="dxa"/>
            <w:vAlign w:val="center"/>
          </w:tcPr>
          <w:p w:rsidR="00F916C9" w:rsidRPr="009B1827" w:rsidRDefault="00F916C9" w:rsidP="006A2EE2">
            <w:pPr>
              <w:widowControl/>
              <w:snapToGrid w:val="0"/>
              <w:spacing w:beforeLines="50"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4月10日（星期五）至4月13日（星期一）</w:t>
            </w:r>
          </w:p>
        </w:tc>
      </w:tr>
      <w:tr w:rsidR="00F916C9" w:rsidRPr="009B1827" w:rsidTr="00421FE3">
        <w:tc>
          <w:tcPr>
            <w:tcW w:w="3261" w:type="dxa"/>
            <w:vAlign w:val="center"/>
          </w:tcPr>
          <w:p w:rsidR="00F916C9" w:rsidRPr="009B1827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香港佛诞日、劳动节</w:t>
            </w:r>
          </w:p>
        </w:tc>
        <w:tc>
          <w:tcPr>
            <w:tcW w:w="5040" w:type="dxa"/>
            <w:vAlign w:val="center"/>
          </w:tcPr>
          <w:p w:rsidR="00F916C9" w:rsidRPr="009B1827" w:rsidRDefault="00F916C9" w:rsidP="006A2EE2">
            <w:pPr>
              <w:widowControl/>
              <w:snapToGrid w:val="0"/>
              <w:spacing w:beforeLines="50"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4月28日（星期二）至5月5日（星期二）</w:t>
            </w:r>
          </w:p>
        </w:tc>
      </w:tr>
      <w:tr w:rsidR="00F916C9" w:rsidRPr="009B1827" w:rsidTr="00421FE3">
        <w:tc>
          <w:tcPr>
            <w:tcW w:w="3261" w:type="dxa"/>
            <w:vAlign w:val="center"/>
          </w:tcPr>
          <w:p w:rsidR="00F916C9" w:rsidRPr="009B1827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端午节</w:t>
            </w:r>
          </w:p>
        </w:tc>
        <w:tc>
          <w:tcPr>
            <w:tcW w:w="5040" w:type="dxa"/>
            <w:vAlign w:val="center"/>
          </w:tcPr>
          <w:p w:rsidR="00F916C9" w:rsidRPr="009B1827" w:rsidRDefault="00F916C9" w:rsidP="006A2EE2">
            <w:pPr>
              <w:widowControl/>
              <w:snapToGrid w:val="0"/>
              <w:spacing w:beforeLines="50"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6月23日（星期二）至6月27日（星期六）</w:t>
            </w:r>
          </w:p>
        </w:tc>
      </w:tr>
      <w:tr w:rsidR="00F916C9" w:rsidRPr="009B1827" w:rsidTr="00421FE3">
        <w:tc>
          <w:tcPr>
            <w:tcW w:w="3261" w:type="dxa"/>
            <w:vAlign w:val="center"/>
          </w:tcPr>
          <w:p w:rsidR="00F916C9" w:rsidRPr="009B1827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香港特别行政区成立纪念日</w:t>
            </w:r>
          </w:p>
        </w:tc>
        <w:tc>
          <w:tcPr>
            <w:tcW w:w="5040" w:type="dxa"/>
            <w:vAlign w:val="center"/>
          </w:tcPr>
          <w:p w:rsidR="00F916C9" w:rsidRPr="009B1827" w:rsidRDefault="00F916C9" w:rsidP="006A2EE2">
            <w:pPr>
              <w:widowControl/>
              <w:snapToGrid w:val="0"/>
              <w:spacing w:beforeLines="50"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7月1日（星期三）</w:t>
            </w:r>
          </w:p>
        </w:tc>
      </w:tr>
      <w:tr w:rsidR="00F916C9" w:rsidRPr="009B1827" w:rsidTr="00421FE3">
        <w:tc>
          <w:tcPr>
            <w:tcW w:w="3261" w:type="dxa"/>
            <w:vAlign w:val="center"/>
          </w:tcPr>
          <w:p w:rsidR="00F916C9" w:rsidRPr="00F916C9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国庆节、中秋节</w:t>
            </w:r>
          </w:p>
        </w:tc>
        <w:tc>
          <w:tcPr>
            <w:tcW w:w="5040" w:type="dxa"/>
            <w:vAlign w:val="center"/>
          </w:tcPr>
          <w:p w:rsidR="00F916C9" w:rsidRPr="00F916C9" w:rsidRDefault="00F916C9" w:rsidP="006A2EE2">
            <w:pPr>
              <w:widowControl/>
              <w:snapToGrid w:val="0"/>
              <w:spacing w:beforeLines="50"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9月29日（星期二）至10月8日（星期四）</w:t>
            </w:r>
          </w:p>
        </w:tc>
      </w:tr>
      <w:tr w:rsidR="00F916C9" w:rsidRPr="009B1827" w:rsidTr="00421FE3">
        <w:tc>
          <w:tcPr>
            <w:tcW w:w="3261" w:type="dxa"/>
            <w:vAlign w:val="center"/>
          </w:tcPr>
          <w:p w:rsidR="00F916C9" w:rsidRPr="00F916C9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香港重阳节翌日</w:t>
            </w:r>
          </w:p>
        </w:tc>
        <w:tc>
          <w:tcPr>
            <w:tcW w:w="5040" w:type="dxa"/>
            <w:vAlign w:val="center"/>
          </w:tcPr>
          <w:p w:rsidR="00F916C9" w:rsidRPr="00F916C9" w:rsidRDefault="00F916C9" w:rsidP="006A2EE2">
            <w:pPr>
              <w:widowControl/>
              <w:snapToGrid w:val="0"/>
              <w:spacing w:beforeLines="50"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10月26日（星期一）</w:t>
            </w:r>
          </w:p>
        </w:tc>
      </w:tr>
      <w:tr w:rsidR="00F916C9" w:rsidRPr="009B1827" w:rsidTr="00421FE3">
        <w:tc>
          <w:tcPr>
            <w:tcW w:w="3261" w:type="dxa"/>
            <w:vAlign w:val="center"/>
          </w:tcPr>
          <w:p w:rsidR="00F916C9" w:rsidRPr="009B1827" w:rsidRDefault="00F916C9" w:rsidP="006A2E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香港圣诞节</w:t>
            </w:r>
          </w:p>
        </w:tc>
        <w:tc>
          <w:tcPr>
            <w:tcW w:w="5040" w:type="dxa"/>
            <w:vAlign w:val="center"/>
          </w:tcPr>
          <w:p w:rsidR="00F916C9" w:rsidRPr="00F916C9" w:rsidRDefault="00F916C9" w:rsidP="006A2EE2">
            <w:pPr>
              <w:widowControl/>
              <w:snapToGrid w:val="0"/>
              <w:spacing w:beforeLines="50"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916C9">
              <w:rPr>
                <w:rFonts w:asciiTheme="minorEastAsia" w:hAnsiTheme="minorEastAsia" w:cs="Arial" w:hint="eastAsia"/>
                <w:kern w:val="0"/>
                <w:szCs w:val="21"/>
              </w:rPr>
              <w:t>12月24日（星期四）下午至12月27日（星期日）</w:t>
            </w:r>
          </w:p>
        </w:tc>
      </w:tr>
    </w:tbl>
    <w:p w:rsidR="00063817" w:rsidRDefault="00063817" w:rsidP="00A048F3">
      <w:pPr>
        <w:widowControl/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*</w:t>
      </w:r>
      <w:r>
        <w:rPr>
          <w:rFonts w:asciiTheme="minorEastAsia" w:hAnsiTheme="minorEastAsia" w:cs="Arial"/>
          <w:kern w:val="0"/>
          <w:szCs w:val="21"/>
        </w:rPr>
        <w:t>注</w:t>
      </w:r>
      <w:r>
        <w:rPr>
          <w:rFonts w:asciiTheme="minorEastAsia" w:hAnsiTheme="minorEastAsia" w:cs="Arial" w:hint="eastAsia"/>
          <w:kern w:val="0"/>
          <w:szCs w:val="21"/>
        </w:rPr>
        <w:t>：上述</w:t>
      </w:r>
      <w:r w:rsidR="009A2FFE">
        <w:rPr>
          <w:rFonts w:asciiTheme="minorEastAsia" w:hAnsiTheme="minorEastAsia" w:cs="Arial" w:hint="eastAsia"/>
          <w:kern w:val="0"/>
          <w:szCs w:val="21"/>
        </w:rPr>
        <w:t>节假日</w:t>
      </w:r>
      <w:r w:rsidRPr="00063817">
        <w:rPr>
          <w:rFonts w:asciiTheme="minorEastAsia" w:hAnsiTheme="minorEastAsia" w:cs="Arial" w:hint="eastAsia"/>
          <w:kern w:val="0"/>
          <w:szCs w:val="21"/>
        </w:rPr>
        <w:t>不提供港股通服务</w:t>
      </w:r>
      <w:r w:rsidR="00DE0442">
        <w:rPr>
          <w:rFonts w:asciiTheme="minorEastAsia" w:hAnsiTheme="minorEastAsia" w:cs="Arial" w:hint="eastAsia"/>
          <w:kern w:val="0"/>
          <w:szCs w:val="21"/>
        </w:rPr>
        <w:t>期间，当日</w:t>
      </w:r>
      <w:r w:rsidR="009A2FFE">
        <w:rPr>
          <w:rFonts w:asciiTheme="minorEastAsia" w:hAnsiTheme="minorEastAsia" w:cs="Arial" w:hint="eastAsia"/>
          <w:kern w:val="0"/>
          <w:szCs w:val="21"/>
        </w:rPr>
        <w:t>全天均将</w:t>
      </w:r>
      <w:r w:rsidR="009A2FFE" w:rsidRPr="009A2FFE">
        <w:rPr>
          <w:rFonts w:asciiTheme="minorEastAsia" w:hAnsiTheme="minorEastAsia" w:cs="Arial" w:hint="eastAsia"/>
          <w:kern w:val="0"/>
          <w:szCs w:val="21"/>
        </w:rPr>
        <w:t>不开放基金份额的申购、赎回、转换及定期定额投资等交易类业务</w:t>
      </w:r>
      <w:r w:rsidR="00957012" w:rsidRPr="00957012">
        <w:rPr>
          <w:rFonts w:asciiTheme="minorEastAsia" w:hAnsiTheme="minorEastAsia" w:cs="Arial" w:hint="eastAsia"/>
          <w:kern w:val="0"/>
          <w:szCs w:val="21"/>
        </w:rPr>
        <w:t>。</w:t>
      </w:r>
    </w:p>
    <w:p w:rsidR="00D54CE8" w:rsidRPr="009B1827" w:rsidRDefault="00D54CE8" w:rsidP="00A048F3">
      <w:pPr>
        <w:widowControl/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若</w:t>
      </w:r>
      <w:r w:rsidRPr="009B1827">
        <w:rPr>
          <w:rFonts w:asciiTheme="minorEastAsia" w:hAnsiTheme="minorEastAsia" w:cs="Arial" w:hint="eastAsia"/>
          <w:kern w:val="0"/>
          <w:szCs w:val="21"/>
        </w:rPr>
        <w:t>非港股通交易日</w:t>
      </w:r>
      <w:r w:rsidRPr="009B1827">
        <w:rPr>
          <w:rFonts w:asciiTheme="minorEastAsia" w:hAnsiTheme="minorEastAsia" w:cs="Arial"/>
          <w:kern w:val="0"/>
          <w:szCs w:val="21"/>
        </w:rPr>
        <w:t>安排发生变化，本基金管理人将进行相应调整并公告。若境外主要市场状况发生变化，或将来根据法律法规和基金合同的约定需要调整上述安排的，本基金管理人将另行调整并公告。</w:t>
      </w:r>
    </w:p>
    <w:p w:rsidR="009A2FFE" w:rsidRPr="009A2FFE" w:rsidRDefault="00D54CE8" w:rsidP="009A2FFE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敬请投资者及早做好交易安排，避免因</w:t>
      </w:r>
      <w:r w:rsidRPr="009B1827">
        <w:rPr>
          <w:rFonts w:asciiTheme="minorEastAsia" w:hAnsiTheme="minorEastAsia" w:cs="Arial" w:hint="eastAsia"/>
          <w:kern w:val="0"/>
          <w:szCs w:val="21"/>
        </w:rPr>
        <w:t>非港股通交易日</w:t>
      </w:r>
      <w:r w:rsidRPr="009B1827">
        <w:rPr>
          <w:rFonts w:asciiTheme="minorEastAsia" w:hAnsiTheme="minorEastAsia" w:cs="Arial"/>
          <w:kern w:val="0"/>
          <w:szCs w:val="21"/>
        </w:rPr>
        <w:t>带来不便。</w:t>
      </w:r>
      <w:r w:rsidR="009A2FFE" w:rsidRPr="009A2FFE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投资者可以登录本公司网站（www.tkfunds.com.cn）查询或者拨打本公司的客户服务电话（4001895522）垂询相关事宜。</w:t>
      </w:r>
    </w:p>
    <w:p w:rsidR="009A2FFE" w:rsidRDefault="009A2FFE" w:rsidP="009A2FFE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A2FFE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</w:t>
      </w:r>
      <w:r w:rsidRPr="009A2FFE">
        <w:rPr>
          <w:rFonts w:asciiTheme="minorEastAsia" w:hAnsiTheme="minorEastAsia" w:hint="eastAsia"/>
          <w:szCs w:val="21"/>
        </w:rPr>
        <w:lastRenderedPageBreak/>
        <w:t>保证基金一定盈利，也不保证最低收益。基金的过往业绩并不预示其未来表现。投资有风险，敬请投资人于投资前认真阅读本基金的基金合同和招募说明书（更新）等法律文件，并选择适合自己风险承受能力的投资品种进行投资。</w:t>
      </w:r>
    </w:p>
    <w:p w:rsidR="00B70E14" w:rsidRPr="009B1827" w:rsidRDefault="00B70E14" w:rsidP="009A2FFE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957012" w:rsidRDefault="00957012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957012" w:rsidRPr="009B1827" w:rsidRDefault="00957012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957012">
        <w:rPr>
          <w:rFonts w:asciiTheme="minorEastAsia" w:hAnsiTheme="minorEastAsia"/>
          <w:szCs w:val="21"/>
        </w:rPr>
        <w:t>19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957012">
        <w:rPr>
          <w:rFonts w:asciiTheme="minorEastAsia" w:hAnsiTheme="minorEastAsia"/>
          <w:szCs w:val="21"/>
        </w:rPr>
        <w:t>12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957012">
        <w:rPr>
          <w:rFonts w:asciiTheme="minorEastAsia" w:hAnsiTheme="minorEastAsia"/>
          <w:szCs w:val="21"/>
        </w:rPr>
        <w:t>31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FD1" w:rsidRDefault="00783FD1" w:rsidP="00DA2D94">
      <w:r>
        <w:separator/>
      </w:r>
    </w:p>
  </w:endnote>
  <w:endnote w:type="continuationSeparator" w:id="1">
    <w:p w:rsidR="00783FD1" w:rsidRDefault="00783FD1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FD1" w:rsidRDefault="00783FD1" w:rsidP="00DA2D94">
      <w:r>
        <w:separator/>
      </w:r>
    </w:p>
  </w:footnote>
  <w:footnote w:type="continuationSeparator" w:id="1">
    <w:p w:rsidR="00783FD1" w:rsidRDefault="00783FD1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42EBC"/>
    <w:rsid w:val="00063336"/>
    <w:rsid w:val="00063817"/>
    <w:rsid w:val="000837F3"/>
    <w:rsid w:val="000B2354"/>
    <w:rsid w:val="00114439"/>
    <w:rsid w:val="00124F71"/>
    <w:rsid w:val="002072A7"/>
    <w:rsid w:val="002219FE"/>
    <w:rsid w:val="00225C75"/>
    <w:rsid w:val="00261C28"/>
    <w:rsid w:val="00292020"/>
    <w:rsid w:val="002942D4"/>
    <w:rsid w:val="002969EF"/>
    <w:rsid w:val="002D2DBC"/>
    <w:rsid w:val="002E1F5C"/>
    <w:rsid w:val="0031043C"/>
    <w:rsid w:val="00343333"/>
    <w:rsid w:val="0035034F"/>
    <w:rsid w:val="003538C8"/>
    <w:rsid w:val="00374E79"/>
    <w:rsid w:val="00377250"/>
    <w:rsid w:val="003A553D"/>
    <w:rsid w:val="003D4B70"/>
    <w:rsid w:val="00421FE3"/>
    <w:rsid w:val="00464CCF"/>
    <w:rsid w:val="004A2AF5"/>
    <w:rsid w:val="004B5088"/>
    <w:rsid w:val="004E0B67"/>
    <w:rsid w:val="004F2196"/>
    <w:rsid w:val="005508FA"/>
    <w:rsid w:val="005607EF"/>
    <w:rsid w:val="00620646"/>
    <w:rsid w:val="00647948"/>
    <w:rsid w:val="006A2EE2"/>
    <w:rsid w:val="006A5F30"/>
    <w:rsid w:val="006D1251"/>
    <w:rsid w:val="00737630"/>
    <w:rsid w:val="00742E74"/>
    <w:rsid w:val="00743E57"/>
    <w:rsid w:val="00783FD1"/>
    <w:rsid w:val="007A0404"/>
    <w:rsid w:val="007A7E93"/>
    <w:rsid w:val="007D7774"/>
    <w:rsid w:val="00814501"/>
    <w:rsid w:val="00850B75"/>
    <w:rsid w:val="00895EB1"/>
    <w:rsid w:val="008B3A52"/>
    <w:rsid w:val="008E68B8"/>
    <w:rsid w:val="008F7EAC"/>
    <w:rsid w:val="009434B2"/>
    <w:rsid w:val="00954D79"/>
    <w:rsid w:val="00957012"/>
    <w:rsid w:val="009738E1"/>
    <w:rsid w:val="00977203"/>
    <w:rsid w:val="0097797D"/>
    <w:rsid w:val="009A2FFE"/>
    <w:rsid w:val="009B1827"/>
    <w:rsid w:val="009F6F8D"/>
    <w:rsid w:val="00A048F3"/>
    <w:rsid w:val="00A86214"/>
    <w:rsid w:val="00AE6C97"/>
    <w:rsid w:val="00AF47A1"/>
    <w:rsid w:val="00B05BA0"/>
    <w:rsid w:val="00B2194C"/>
    <w:rsid w:val="00B63FE4"/>
    <w:rsid w:val="00B70E14"/>
    <w:rsid w:val="00B93EDD"/>
    <w:rsid w:val="00BF021A"/>
    <w:rsid w:val="00C128C5"/>
    <w:rsid w:val="00C2106D"/>
    <w:rsid w:val="00C325D6"/>
    <w:rsid w:val="00CE3A7F"/>
    <w:rsid w:val="00CF41E4"/>
    <w:rsid w:val="00CF5B27"/>
    <w:rsid w:val="00D01994"/>
    <w:rsid w:val="00D178B8"/>
    <w:rsid w:val="00D37230"/>
    <w:rsid w:val="00D54CE8"/>
    <w:rsid w:val="00D56E10"/>
    <w:rsid w:val="00DA2D94"/>
    <w:rsid w:val="00DD4D66"/>
    <w:rsid w:val="00DE0442"/>
    <w:rsid w:val="00E336AC"/>
    <w:rsid w:val="00E42167"/>
    <w:rsid w:val="00E8088F"/>
    <w:rsid w:val="00E83DD9"/>
    <w:rsid w:val="00E87DC5"/>
    <w:rsid w:val="00ED52A6"/>
    <w:rsid w:val="00F052BD"/>
    <w:rsid w:val="00F1211B"/>
    <w:rsid w:val="00F3689B"/>
    <w:rsid w:val="00F9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F91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1352</Characters>
  <Application>Microsoft Office Word</Application>
  <DocSecurity>4</DocSecurity>
  <Lines>11</Lines>
  <Paragraphs>3</Paragraphs>
  <ScaleCrop>false</ScaleCrop>
  <Company>Tkamc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JonMMx 2000</cp:lastModifiedBy>
  <cp:revision>2</cp:revision>
  <dcterms:created xsi:type="dcterms:W3CDTF">2019-12-30T16:02:00Z</dcterms:created>
  <dcterms:modified xsi:type="dcterms:W3CDTF">2019-12-30T16:02:00Z</dcterms:modified>
</cp:coreProperties>
</file>