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98" w:rsidRPr="00DD40C5" w:rsidRDefault="00701E7D" w:rsidP="00D32C98">
      <w:pPr>
        <w:pStyle w:val="1"/>
        <w:spacing w:before="0" w:after="0" w:line="560" w:lineRule="exact"/>
        <w:jc w:val="center"/>
        <w:rPr>
          <w:rFonts w:eastAsia="方正大标宋简体"/>
          <w:b w:val="0"/>
          <w:sz w:val="36"/>
          <w:szCs w:val="36"/>
        </w:rPr>
      </w:pPr>
      <w:r w:rsidRPr="00DD40C5">
        <w:rPr>
          <w:rFonts w:eastAsia="方正大标宋简体" w:hint="eastAsia"/>
          <w:b w:val="0"/>
          <w:sz w:val="36"/>
          <w:szCs w:val="36"/>
        </w:rPr>
        <w:t>兴业</w:t>
      </w:r>
      <w:r w:rsidRPr="00DD40C5">
        <w:rPr>
          <w:rFonts w:eastAsia="方正大标宋简体"/>
          <w:b w:val="0"/>
          <w:sz w:val="36"/>
          <w:szCs w:val="36"/>
        </w:rPr>
        <w:t>基金管理有限公司</w:t>
      </w:r>
      <w:r w:rsidRPr="00DD40C5">
        <w:rPr>
          <w:rFonts w:eastAsia="方正大标宋简体" w:hint="eastAsia"/>
          <w:b w:val="0"/>
          <w:sz w:val="36"/>
          <w:szCs w:val="36"/>
        </w:rPr>
        <w:t>关于</w:t>
      </w:r>
      <w:r w:rsidRPr="00DD40C5">
        <w:rPr>
          <w:rFonts w:eastAsia="方正大标宋简体"/>
          <w:b w:val="0"/>
          <w:sz w:val="36"/>
          <w:szCs w:val="36"/>
        </w:rPr>
        <w:t>旗下</w:t>
      </w:r>
      <w:r w:rsidR="00D32C98" w:rsidRPr="00DD40C5">
        <w:rPr>
          <w:rFonts w:eastAsia="方正大标宋简体"/>
          <w:b w:val="0"/>
          <w:sz w:val="36"/>
          <w:szCs w:val="36"/>
        </w:rPr>
        <w:t>基金改聘会计师事务所</w:t>
      </w:r>
      <w:r w:rsidR="00451A86" w:rsidRPr="00DD40C5">
        <w:rPr>
          <w:rFonts w:eastAsia="方正大标宋简体" w:hint="eastAsia"/>
          <w:b w:val="0"/>
          <w:sz w:val="36"/>
          <w:szCs w:val="36"/>
        </w:rPr>
        <w:t>的</w:t>
      </w:r>
      <w:r w:rsidR="00D32C98" w:rsidRPr="00DD40C5">
        <w:rPr>
          <w:rFonts w:eastAsia="方正大标宋简体"/>
          <w:b w:val="0"/>
          <w:sz w:val="36"/>
          <w:szCs w:val="36"/>
        </w:rPr>
        <w:t>公告</w:t>
      </w:r>
    </w:p>
    <w:p w:rsidR="00D32C98" w:rsidRPr="00DD40C5" w:rsidRDefault="00D32C98" w:rsidP="00D32C98">
      <w:pPr>
        <w:spacing w:line="560" w:lineRule="exact"/>
        <w:jc w:val="center"/>
        <w:rPr>
          <w:sz w:val="24"/>
        </w:rPr>
      </w:pPr>
      <w:r w:rsidRPr="00DD40C5">
        <w:rPr>
          <w:sz w:val="24"/>
        </w:rPr>
        <w:t>公告送出日期：</w:t>
      </w:r>
      <w:r w:rsidRPr="00DD40C5">
        <w:rPr>
          <w:rFonts w:ascii="黑体" w:eastAsia="黑体" w:hAnsi="黑体" w:hint="eastAsia"/>
          <w:sz w:val="21"/>
          <w:szCs w:val="21"/>
        </w:rPr>
        <w:t>2019</w:t>
      </w:r>
      <w:r w:rsidRPr="00DD40C5">
        <w:rPr>
          <w:rFonts w:ascii="黑体" w:eastAsia="黑体" w:hAnsi="黑体"/>
          <w:sz w:val="21"/>
          <w:szCs w:val="21"/>
        </w:rPr>
        <w:t>年</w:t>
      </w:r>
      <w:r w:rsidRPr="00DD40C5">
        <w:rPr>
          <w:rFonts w:ascii="黑体" w:eastAsia="黑体" w:hAnsi="黑体" w:hint="eastAsia"/>
          <w:sz w:val="21"/>
          <w:szCs w:val="21"/>
        </w:rPr>
        <w:t>12</w:t>
      </w:r>
      <w:r w:rsidRPr="00DD40C5">
        <w:rPr>
          <w:rFonts w:ascii="黑体" w:eastAsia="黑体" w:hAnsi="黑体"/>
          <w:sz w:val="21"/>
          <w:szCs w:val="21"/>
        </w:rPr>
        <w:t>月</w:t>
      </w:r>
      <w:r w:rsidRPr="00DD40C5">
        <w:rPr>
          <w:rFonts w:ascii="黑体" w:eastAsia="黑体" w:hAnsi="黑体" w:hint="eastAsia"/>
          <w:sz w:val="21"/>
          <w:szCs w:val="21"/>
        </w:rPr>
        <w:t>28</w:t>
      </w:r>
      <w:r w:rsidRPr="00DD40C5">
        <w:rPr>
          <w:rFonts w:ascii="黑体" w:eastAsia="黑体" w:hAnsi="黑体"/>
          <w:sz w:val="21"/>
          <w:szCs w:val="21"/>
        </w:rPr>
        <w:t>日</w:t>
      </w:r>
    </w:p>
    <w:p w:rsidR="00D32C98" w:rsidRPr="00DD40C5" w:rsidRDefault="00D32C98" w:rsidP="00D32C98">
      <w:pPr>
        <w:spacing w:line="560" w:lineRule="exact"/>
        <w:jc w:val="center"/>
        <w:rPr>
          <w:sz w:val="24"/>
        </w:rPr>
      </w:pPr>
    </w:p>
    <w:p w:rsidR="00D32C98" w:rsidRPr="00DD40C5" w:rsidRDefault="00D32C98" w:rsidP="00D32C98">
      <w:pPr>
        <w:pStyle w:val="2"/>
        <w:spacing w:line="560" w:lineRule="exact"/>
        <w:rPr>
          <w:rFonts w:ascii="Times New Roman" w:eastAsia="方正仿宋简体" w:hAnsi="Times New Roman"/>
          <w:bCs w:val="0"/>
          <w:sz w:val="24"/>
          <w:szCs w:val="24"/>
        </w:rPr>
      </w:pPr>
      <w:bookmarkStart w:id="0" w:name="_Toc275961438"/>
      <w:r w:rsidRPr="00DD40C5">
        <w:rPr>
          <w:rFonts w:ascii="Times New Roman" w:eastAsia="方正仿宋简体" w:hAnsi="Times New Roman"/>
          <w:bCs w:val="0"/>
          <w:sz w:val="24"/>
          <w:szCs w:val="24"/>
        </w:rPr>
        <w:t xml:space="preserve">1 </w:t>
      </w:r>
      <w:r w:rsidRPr="00DD40C5">
        <w:rPr>
          <w:rFonts w:ascii="Times New Roman" w:eastAsia="方正仿宋简体" w:hAnsi="Times New Roman"/>
          <w:bCs w:val="0"/>
          <w:sz w:val="24"/>
          <w:szCs w:val="24"/>
        </w:rPr>
        <w:t>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3"/>
        <w:gridCol w:w="1984"/>
        <w:gridCol w:w="4151"/>
      </w:tblGrid>
      <w:tr w:rsidR="00D32C98" w:rsidRPr="00DD40C5" w:rsidTr="004D7571">
        <w:trPr>
          <w:jc w:val="center"/>
        </w:trPr>
        <w:tc>
          <w:tcPr>
            <w:tcW w:w="4777" w:type="dxa"/>
            <w:gridSpan w:val="2"/>
            <w:vAlign w:val="center"/>
          </w:tcPr>
          <w:p w:rsidR="00D32C98" w:rsidRPr="00DD40C5" w:rsidRDefault="00D32C98" w:rsidP="004D7571">
            <w:pPr>
              <w:adjustRightInd w:val="0"/>
              <w:snapToGrid w:val="0"/>
              <w:spacing w:line="360" w:lineRule="auto"/>
              <w:rPr>
                <w:sz w:val="24"/>
              </w:rPr>
            </w:pPr>
            <w:r w:rsidRPr="00DD40C5">
              <w:rPr>
                <w:sz w:val="24"/>
              </w:rPr>
              <w:t>基金管理人名称</w:t>
            </w:r>
          </w:p>
        </w:tc>
        <w:tc>
          <w:tcPr>
            <w:tcW w:w="4151" w:type="dxa"/>
            <w:vAlign w:val="center"/>
          </w:tcPr>
          <w:p w:rsidR="00D32C98" w:rsidRPr="00DD40C5" w:rsidRDefault="00D32C98" w:rsidP="004D7571">
            <w:pPr>
              <w:adjustRightInd w:val="0"/>
              <w:snapToGrid w:val="0"/>
              <w:spacing w:line="360" w:lineRule="auto"/>
              <w:rPr>
                <w:rFonts w:ascii="黑体" w:eastAsia="黑体" w:hAnsi="黑体"/>
                <w:kern w:val="0"/>
                <w:sz w:val="21"/>
                <w:szCs w:val="21"/>
              </w:rPr>
            </w:pPr>
            <w:r w:rsidRPr="00DD40C5">
              <w:rPr>
                <w:rFonts w:ascii="黑体" w:eastAsia="黑体" w:hAnsi="黑体"/>
                <w:kern w:val="0"/>
                <w:sz w:val="21"/>
                <w:szCs w:val="21"/>
              </w:rPr>
              <w:t>兴业基金管理有限公司</w:t>
            </w:r>
          </w:p>
        </w:tc>
      </w:tr>
      <w:tr w:rsidR="00D32C98" w:rsidRPr="00DD40C5" w:rsidTr="004D7571">
        <w:trPr>
          <w:jc w:val="center"/>
        </w:trPr>
        <w:tc>
          <w:tcPr>
            <w:tcW w:w="4777" w:type="dxa"/>
            <w:gridSpan w:val="2"/>
            <w:vAlign w:val="center"/>
          </w:tcPr>
          <w:p w:rsidR="00D32C98" w:rsidRPr="00DD40C5" w:rsidRDefault="00D32C98" w:rsidP="004D7571">
            <w:pPr>
              <w:adjustRightInd w:val="0"/>
              <w:snapToGrid w:val="0"/>
              <w:spacing w:line="360" w:lineRule="auto"/>
              <w:rPr>
                <w:sz w:val="24"/>
              </w:rPr>
            </w:pPr>
            <w:r w:rsidRPr="00DD40C5">
              <w:rPr>
                <w:sz w:val="24"/>
              </w:rPr>
              <w:t>公告依据</w:t>
            </w:r>
          </w:p>
        </w:tc>
        <w:tc>
          <w:tcPr>
            <w:tcW w:w="4151" w:type="dxa"/>
            <w:vAlign w:val="center"/>
          </w:tcPr>
          <w:p w:rsidR="00D32C98" w:rsidRPr="00DD40C5" w:rsidRDefault="00D32C98" w:rsidP="004D7571">
            <w:pPr>
              <w:adjustRightInd w:val="0"/>
              <w:snapToGrid w:val="0"/>
              <w:spacing w:line="360" w:lineRule="auto"/>
              <w:rPr>
                <w:rFonts w:ascii="黑体" w:eastAsia="黑体" w:hAnsi="黑体"/>
                <w:kern w:val="0"/>
                <w:sz w:val="21"/>
                <w:szCs w:val="21"/>
              </w:rPr>
            </w:pPr>
            <w:r w:rsidRPr="00DD40C5">
              <w:rPr>
                <w:rFonts w:ascii="黑体" w:eastAsia="黑体" w:hAnsi="黑体" w:hint="eastAsia"/>
                <w:sz w:val="21"/>
                <w:szCs w:val="21"/>
                <w:shd w:val="clear" w:color="auto" w:fill="FFFFFF"/>
              </w:rPr>
              <w:t>《公开募集证券投资基金信息披露管理办法》、各基金的《基金合同》及《招募说明书》等法律文件，</w:t>
            </w:r>
            <w:r w:rsidR="00AF32A4" w:rsidRPr="00DD40C5">
              <w:rPr>
                <w:rFonts w:ascii="黑体" w:eastAsia="黑体" w:hAnsi="黑体" w:hint="eastAsia"/>
                <w:sz w:val="21"/>
                <w:szCs w:val="21"/>
                <w:shd w:val="clear" w:color="auto" w:fill="FFFFFF"/>
              </w:rPr>
              <w:t>兴业基金管理有限公司第三届董事会第二次会议决议</w:t>
            </w:r>
          </w:p>
        </w:tc>
      </w:tr>
      <w:tr w:rsidR="00D32C98" w:rsidRPr="00DD40C5" w:rsidTr="004D7571">
        <w:trPr>
          <w:jc w:val="center"/>
        </w:trPr>
        <w:tc>
          <w:tcPr>
            <w:tcW w:w="4777" w:type="dxa"/>
            <w:gridSpan w:val="2"/>
            <w:vAlign w:val="center"/>
          </w:tcPr>
          <w:p w:rsidR="00D32C98" w:rsidRPr="00DD40C5" w:rsidRDefault="00D32C98" w:rsidP="004D7571">
            <w:pPr>
              <w:adjustRightInd w:val="0"/>
              <w:snapToGrid w:val="0"/>
              <w:spacing w:line="360" w:lineRule="auto"/>
              <w:rPr>
                <w:sz w:val="24"/>
              </w:rPr>
            </w:pPr>
            <w:r w:rsidRPr="00DD40C5">
              <w:rPr>
                <w:sz w:val="24"/>
              </w:rPr>
              <w:t>改聘日期</w:t>
            </w:r>
          </w:p>
        </w:tc>
        <w:tc>
          <w:tcPr>
            <w:tcW w:w="4151" w:type="dxa"/>
            <w:vAlign w:val="center"/>
          </w:tcPr>
          <w:p w:rsidR="00D32C98" w:rsidRPr="00DD40C5" w:rsidRDefault="00D32C98" w:rsidP="004D7571">
            <w:pPr>
              <w:adjustRightInd w:val="0"/>
              <w:snapToGrid w:val="0"/>
              <w:spacing w:line="360" w:lineRule="auto"/>
              <w:rPr>
                <w:kern w:val="0"/>
                <w:sz w:val="18"/>
              </w:rPr>
            </w:pPr>
            <w:r w:rsidRPr="00DD40C5">
              <w:rPr>
                <w:rFonts w:ascii="黑体" w:eastAsia="黑体" w:hAnsi="黑体" w:hint="eastAsia"/>
                <w:sz w:val="21"/>
                <w:szCs w:val="21"/>
              </w:rPr>
              <w:t>2019</w:t>
            </w:r>
            <w:r w:rsidRPr="00DD40C5">
              <w:rPr>
                <w:rFonts w:ascii="黑体" w:eastAsia="黑体" w:hAnsi="黑体"/>
                <w:sz w:val="21"/>
                <w:szCs w:val="21"/>
              </w:rPr>
              <w:t>年</w:t>
            </w:r>
            <w:r w:rsidRPr="00DD40C5">
              <w:rPr>
                <w:rFonts w:ascii="黑体" w:eastAsia="黑体" w:hAnsi="黑体" w:hint="eastAsia"/>
                <w:sz w:val="21"/>
                <w:szCs w:val="21"/>
              </w:rPr>
              <w:t>12</w:t>
            </w:r>
            <w:r w:rsidRPr="00DD40C5">
              <w:rPr>
                <w:rFonts w:ascii="黑体" w:eastAsia="黑体" w:hAnsi="黑体"/>
                <w:sz w:val="21"/>
                <w:szCs w:val="21"/>
              </w:rPr>
              <w:t>月</w:t>
            </w:r>
            <w:r w:rsidRPr="00DD40C5">
              <w:rPr>
                <w:rFonts w:ascii="黑体" w:eastAsia="黑体" w:hAnsi="黑体" w:hint="eastAsia"/>
                <w:sz w:val="21"/>
                <w:szCs w:val="21"/>
              </w:rPr>
              <w:t>27</w:t>
            </w:r>
            <w:r w:rsidRPr="00DD40C5">
              <w:rPr>
                <w:rFonts w:ascii="黑体" w:eastAsia="黑体" w:hAnsi="黑体"/>
                <w:sz w:val="21"/>
                <w:szCs w:val="21"/>
              </w:rPr>
              <w:t>日</w:t>
            </w:r>
          </w:p>
        </w:tc>
      </w:tr>
      <w:tr w:rsidR="00D32C98" w:rsidRPr="00DD40C5" w:rsidTr="004D7571">
        <w:trPr>
          <w:jc w:val="center"/>
        </w:trPr>
        <w:tc>
          <w:tcPr>
            <w:tcW w:w="4777" w:type="dxa"/>
            <w:gridSpan w:val="2"/>
            <w:vAlign w:val="center"/>
          </w:tcPr>
          <w:p w:rsidR="00D32C98" w:rsidRPr="00DD40C5" w:rsidRDefault="00D32C98" w:rsidP="004D7571">
            <w:pPr>
              <w:adjustRightInd w:val="0"/>
              <w:snapToGrid w:val="0"/>
              <w:spacing w:line="360" w:lineRule="auto"/>
              <w:rPr>
                <w:sz w:val="24"/>
              </w:rPr>
            </w:pPr>
            <w:r w:rsidRPr="00DD40C5">
              <w:rPr>
                <w:sz w:val="24"/>
              </w:rPr>
              <w:t>改聘前会计师事务所名称</w:t>
            </w:r>
          </w:p>
        </w:tc>
        <w:tc>
          <w:tcPr>
            <w:tcW w:w="4151" w:type="dxa"/>
            <w:vAlign w:val="center"/>
          </w:tcPr>
          <w:p w:rsidR="00D32C98" w:rsidRPr="00DD40C5" w:rsidRDefault="00D32C98" w:rsidP="004D7571">
            <w:pPr>
              <w:adjustRightInd w:val="0"/>
              <w:snapToGrid w:val="0"/>
              <w:spacing w:line="360" w:lineRule="auto"/>
              <w:rPr>
                <w:rFonts w:ascii="黑体" w:eastAsia="黑体" w:hAnsi="黑体"/>
                <w:kern w:val="0"/>
                <w:sz w:val="21"/>
                <w:szCs w:val="21"/>
              </w:rPr>
            </w:pPr>
            <w:r w:rsidRPr="00DD40C5">
              <w:rPr>
                <w:rFonts w:ascii="黑体" w:eastAsia="黑体" w:hAnsi="黑体" w:hint="eastAsia"/>
                <w:sz w:val="21"/>
                <w:szCs w:val="21"/>
                <w:shd w:val="clear" w:color="auto" w:fill="FFFFFF"/>
              </w:rPr>
              <w:t>德勤华永会计师事务所（特殊普通合伙）</w:t>
            </w:r>
          </w:p>
        </w:tc>
      </w:tr>
      <w:tr w:rsidR="00D32C98" w:rsidRPr="00DD40C5" w:rsidTr="004D7571">
        <w:trPr>
          <w:jc w:val="center"/>
        </w:trPr>
        <w:tc>
          <w:tcPr>
            <w:tcW w:w="4777" w:type="dxa"/>
            <w:gridSpan w:val="2"/>
            <w:vAlign w:val="center"/>
          </w:tcPr>
          <w:p w:rsidR="00D32C98" w:rsidRPr="00DD40C5" w:rsidRDefault="00D32C98" w:rsidP="004D7571">
            <w:pPr>
              <w:adjustRightInd w:val="0"/>
              <w:snapToGrid w:val="0"/>
              <w:spacing w:line="360" w:lineRule="auto"/>
              <w:rPr>
                <w:sz w:val="24"/>
              </w:rPr>
            </w:pPr>
            <w:r w:rsidRPr="00DD40C5">
              <w:rPr>
                <w:sz w:val="24"/>
              </w:rPr>
              <w:t>改聘后会计师事务所名称</w:t>
            </w:r>
          </w:p>
        </w:tc>
        <w:tc>
          <w:tcPr>
            <w:tcW w:w="4151" w:type="dxa"/>
            <w:vAlign w:val="center"/>
          </w:tcPr>
          <w:p w:rsidR="00D32C98" w:rsidRPr="00DD40C5" w:rsidRDefault="00D32C98" w:rsidP="004D7571">
            <w:pPr>
              <w:adjustRightInd w:val="0"/>
              <w:snapToGrid w:val="0"/>
              <w:spacing w:line="360" w:lineRule="auto"/>
              <w:rPr>
                <w:rFonts w:ascii="黑体" w:eastAsia="黑体" w:hAnsi="黑体"/>
                <w:kern w:val="0"/>
                <w:sz w:val="21"/>
                <w:szCs w:val="21"/>
              </w:rPr>
            </w:pPr>
            <w:r w:rsidRPr="00DD40C5">
              <w:rPr>
                <w:rFonts w:ascii="黑体" w:eastAsia="黑体" w:hAnsi="黑体" w:hint="eastAsia"/>
                <w:sz w:val="21"/>
                <w:szCs w:val="21"/>
                <w:shd w:val="clear" w:color="auto" w:fill="FFFFFF"/>
              </w:rPr>
              <w:t>毕马威华振会计师事务所（特殊普通合伙）</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sz w:val="24"/>
              </w:rPr>
            </w:pPr>
            <w:r w:rsidRPr="00DD40C5">
              <w:rPr>
                <w:sz w:val="24"/>
              </w:rPr>
              <w:t>基金名称</w:t>
            </w:r>
          </w:p>
        </w:tc>
        <w:tc>
          <w:tcPr>
            <w:tcW w:w="1984" w:type="dxa"/>
            <w:vAlign w:val="center"/>
          </w:tcPr>
          <w:p w:rsidR="00D32C98" w:rsidRPr="00DD40C5" w:rsidRDefault="00D32C98" w:rsidP="004D7571">
            <w:pPr>
              <w:adjustRightInd w:val="0"/>
              <w:snapToGrid w:val="0"/>
              <w:spacing w:line="360" w:lineRule="auto"/>
              <w:rPr>
                <w:sz w:val="24"/>
              </w:rPr>
            </w:pPr>
            <w:r w:rsidRPr="00DD40C5">
              <w:rPr>
                <w:sz w:val="24"/>
              </w:rPr>
              <w:t>基金简称</w:t>
            </w:r>
          </w:p>
        </w:tc>
        <w:tc>
          <w:tcPr>
            <w:tcW w:w="4151" w:type="dxa"/>
            <w:vAlign w:val="center"/>
          </w:tcPr>
          <w:p w:rsidR="00D32C98" w:rsidRPr="00DD40C5" w:rsidRDefault="00D32C98" w:rsidP="004D7571">
            <w:pPr>
              <w:adjustRightInd w:val="0"/>
              <w:snapToGrid w:val="0"/>
              <w:spacing w:line="360" w:lineRule="auto"/>
              <w:rPr>
                <w:kern w:val="0"/>
                <w:sz w:val="18"/>
              </w:rPr>
            </w:pPr>
            <w:r w:rsidRPr="00DD40C5">
              <w:rPr>
                <w:sz w:val="24"/>
              </w:rPr>
              <w:t>基金主代码</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兴业定开债券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000546</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兴业货币市场证券投资基金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兴业货币</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000721</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兴业多策略灵活配置混合型发起式证券投资基金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兴业多策略混合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000963</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兴业年年利定期开放债券</w:t>
            </w:r>
            <w:r w:rsidRPr="00DD40C5">
              <w:rPr>
                <w:rFonts w:hint="eastAsia"/>
                <w:sz w:val="22"/>
                <w:szCs w:val="22"/>
              </w:rPr>
              <w:lastRenderedPageBreak/>
              <w:t>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lastRenderedPageBreak/>
              <w:t>兴业年年利定开</w:t>
            </w:r>
            <w:r w:rsidRPr="00DD40C5">
              <w:rPr>
                <w:rFonts w:hint="eastAsia"/>
                <w:sz w:val="22"/>
                <w:szCs w:val="22"/>
              </w:rPr>
              <w:lastRenderedPageBreak/>
              <w:t>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lastRenderedPageBreak/>
              <w:t>001019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lastRenderedPageBreak/>
              <w:t>兴业收益增强债券型证券投资基金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兴业收益增强债券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001257</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兴业聚利灵活配置混合型证券投资基金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兴业聚利灵活配置混合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001272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兴业添利债券型证券投资基金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兴业添利债券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001299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兴业稳固收益一年理财债券型证券投资基金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兴业稳固收益一年理财债券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001368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兴业稳固收益两年理财债券型证券投资基金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兴业稳固收益两年理财债券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001369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兴业聚惠灵活配置混合型证券投资基金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兴业聚惠灵活配置混合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001547</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兴业国企改革灵活配置混合型证券投资基金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兴业国企改革混合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001623</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兴业添天盈货币市场基金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兴业添天盈货币</w:t>
            </w:r>
            <w:r w:rsidRPr="00DD40C5">
              <w:rPr>
                <w:rFonts w:hint="eastAsia"/>
                <w:sz w:val="22"/>
                <w:szCs w:val="22"/>
              </w:rPr>
              <w:t xml:space="preserve"> </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001624</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兴业鑫天盈货币市场基金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兴业鑫天盈货币</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001925</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兴业丰利债券型证券投资基金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兴业丰利债券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002268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兴业短债债券型证券投资基金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兴业短债债券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002301</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lastRenderedPageBreak/>
              <w:t>兴业聚宝灵活配置混合型证券投资基金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兴业聚宝灵活配置混合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002330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兴业奕祥混合型证券投资基金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兴业奕祥混合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002338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兴业丰泰债券型证券投资基金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兴业丰泰债券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002445</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兴业聚盈灵活配置混合型证券投资基金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兴业聚盈灵活配置混合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002494</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兴业聚鑫灵活配置混合型证券投资基金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兴业聚鑫灵活配置混合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002498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兴业福益债券型证券投资基金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兴业福益债券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002524</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兴业成长动力灵活配置混合型证券投资基金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兴业成长动力混合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002597</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兴业天融债券型证券投资基金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兴业天融债券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002638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兴业中债</w:t>
            </w:r>
            <w:r w:rsidRPr="00DD40C5">
              <w:rPr>
                <w:rFonts w:hint="eastAsia"/>
                <w:sz w:val="22"/>
                <w:szCs w:val="22"/>
              </w:rPr>
              <w:t>1-3</w:t>
            </w:r>
            <w:r w:rsidRPr="00DD40C5">
              <w:rPr>
                <w:rFonts w:hint="eastAsia"/>
                <w:sz w:val="22"/>
                <w:szCs w:val="22"/>
              </w:rPr>
              <w:t>年政策性金融债指数证券投资基金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兴业中债</w:t>
            </w:r>
            <w:r w:rsidRPr="00DD40C5">
              <w:rPr>
                <w:rFonts w:hint="eastAsia"/>
                <w:sz w:val="22"/>
                <w:szCs w:val="22"/>
              </w:rPr>
              <w:t>1-3</w:t>
            </w:r>
            <w:r w:rsidRPr="00DD40C5">
              <w:rPr>
                <w:rFonts w:hint="eastAsia"/>
                <w:sz w:val="22"/>
                <w:szCs w:val="22"/>
              </w:rPr>
              <w:t>年政策性金融债</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002659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兴业聚源灵活配置混合型证券投资基金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兴业聚源灵活配置混合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002660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兴业天禧债券型证券投资基金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兴业天禧债券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002661</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兴业聚丰灵活配置混合型证券投资基金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兴业聚丰灵活配置混合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002668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兴业增益五年定期开放债券型证券投资基金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兴业增益五年定开债券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002870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兴业稳天盈货币市场基金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兴业稳天盈货币</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002912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兴业启元一年定期开放债券型证券投资基金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兴业启元一年定开债券</w:t>
            </w:r>
            <w:r w:rsidRPr="00DD40C5">
              <w:rPr>
                <w:rFonts w:hint="eastAsia"/>
                <w:sz w:val="22"/>
                <w:szCs w:val="22"/>
              </w:rPr>
              <w:t xml:space="preserve"> </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003309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中证兴业中高等级信用债指数证券投资基金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中证兴业中高等级信用债指数</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003429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14</w:t>
            </w:r>
            <w:r w:rsidRPr="00DD40C5">
              <w:rPr>
                <w:rFonts w:hint="eastAsia"/>
                <w:sz w:val="22"/>
                <w:szCs w:val="22"/>
              </w:rPr>
              <w:t>天理财债券型证券投资基金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14</w:t>
            </w:r>
            <w:r w:rsidRPr="00DD40C5">
              <w:rPr>
                <w:rFonts w:hint="eastAsia"/>
                <w:sz w:val="22"/>
                <w:szCs w:val="22"/>
              </w:rPr>
              <w:t>天理财</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003430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兴业裕丰债券型证券投资基金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兴业裕丰债券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003640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兴业裕恒债券型证券投资基金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兴业裕恒债券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003671</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兴业裕华债券型证券投资基金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兴业裕华债券</w:t>
            </w:r>
            <w:r w:rsidRPr="00DD40C5">
              <w:rPr>
                <w:rFonts w:hint="eastAsia"/>
                <w:sz w:val="22"/>
                <w:szCs w:val="22"/>
              </w:rPr>
              <w:t xml:space="preserve"> </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003672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兴业嘉瑞</w:t>
            </w:r>
            <w:r w:rsidRPr="00DD40C5">
              <w:rPr>
                <w:rFonts w:hint="eastAsia"/>
                <w:sz w:val="22"/>
                <w:szCs w:val="22"/>
              </w:rPr>
              <w:t>6</w:t>
            </w:r>
            <w:r w:rsidRPr="00DD40C5">
              <w:rPr>
                <w:rFonts w:hint="eastAsia"/>
                <w:sz w:val="22"/>
                <w:szCs w:val="22"/>
              </w:rPr>
              <w:t>个月定期开放债券型证券投资基金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兴业嘉瑞</w:t>
            </w:r>
            <w:r w:rsidRPr="00DD40C5">
              <w:rPr>
                <w:rFonts w:hint="eastAsia"/>
                <w:sz w:val="22"/>
                <w:szCs w:val="22"/>
              </w:rPr>
              <w:t>6</w:t>
            </w:r>
            <w:r w:rsidRPr="00DD40C5">
              <w:rPr>
                <w:rFonts w:hint="eastAsia"/>
                <w:sz w:val="22"/>
                <w:szCs w:val="22"/>
              </w:rPr>
              <w:t>个月定开</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003952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兴业福鑫债券型证券投资基金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兴业福鑫债券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004140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兴业瑞丰</w:t>
            </w:r>
            <w:r w:rsidRPr="00DD40C5">
              <w:rPr>
                <w:rFonts w:hint="eastAsia"/>
                <w:sz w:val="22"/>
                <w:szCs w:val="22"/>
              </w:rPr>
              <w:t>6</w:t>
            </w:r>
            <w:r w:rsidRPr="00DD40C5">
              <w:rPr>
                <w:rFonts w:hint="eastAsia"/>
                <w:sz w:val="22"/>
                <w:szCs w:val="22"/>
              </w:rPr>
              <w:t>个月定期开放债券型证券投资基金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兴业瑞丰</w:t>
            </w:r>
            <w:r w:rsidRPr="00DD40C5">
              <w:rPr>
                <w:rFonts w:hint="eastAsia"/>
                <w:sz w:val="22"/>
                <w:szCs w:val="22"/>
              </w:rPr>
              <w:t>6</w:t>
            </w:r>
            <w:r w:rsidRPr="00DD40C5">
              <w:rPr>
                <w:rFonts w:hint="eastAsia"/>
                <w:sz w:val="22"/>
                <w:szCs w:val="22"/>
              </w:rPr>
              <w:t>个月定开债券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004141</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兴业安润货币市场基金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兴业安润货币</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004216</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兴业增益三年定期开放债券型证券投资基金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兴业增益三年定开债券</w:t>
            </w:r>
            <w:r w:rsidRPr="00DD40C5">
              <w:rPr>
                <w:rFonts w:hint="eastAsia"/>
                <w:sz w:val="22"/>
                <w:szCs w:val="22"/>
              </w:rPr>
              <w:t xml:space="preserve"> </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004242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兴业量化精选灵活配置混合型发起式证券投资基金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兴业量化混合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005133</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3</w:t>
            </w:r>
            <w:r w:rsidRPr="00DD40C5">
              <w:rPr>
                <w:rFonts w:hint="eastAsia"/>
                <w:sz w:val="22"/>
                <w:szCs w:val="22"/>
              </w:rPr>
              <w:t>个月定期开放债券型发起式证券投资基金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3</w:t>
            </w:r>
            <w:r w:rsidRPr="00DD40C5">
              <w:rPr>
                <w:rFonts w:hint="eastAsia"/>
                <w:sz w:val="22"/>
                <w:szCs w:val="22"/>
              </w:rPr>
              <w:t>个月定开债券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005338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兴业中证国有企业改革指数增强型证券投资基金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兴业中证国有企业改革指数增强</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005339</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6</w:t>
            </w:r>
            <w:r w:rsidRPr="00DD40C5">
              <w:rPr>
                <w:rFonts w:hint="eastAsia"/>
                <w:sz w:val="22"/>
                <w:szCs w:val="22"/>
              </w:rPr>
              <w:t>个月定期开放债券型发起式证券投资基金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w:t>
            </w:r>
            <w:r w:rsidRPr="00DD40C5">
              <w:rPr>
                <w:rFonts w:hint="eastAsia"/>
                <w:sz w:val="22"/>
                <w:szCs w:val="22"/>
              </w:rPr>
              <w:t>6</w:t>
            </w:r>
            <w:r w:rsidRPr="00DD40C5">
              <w:rPr>
                <w:rFonts w:hint="eastAsia"/>
                <w:sz w:val="22"/>
                <w:szCs w:val="22"/>
              </w:rPr>
              <w:t>个月定开债券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005340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兴业安弘</w:t>
            </w:r>
            <w:r w:rsidRPr="00DD40C5">
              <w:rPr>
                <w:rFonts w:hint="eastAsia"/>
                <w:sz w:val="22"/>
                <w:szCs w:val="22"/>
              </w:rPr>
              <w:t>3</w:t>
            </w:r>
            <w:r w:rsidRPr="00DD40C5">
              <w:rPr>
                <w:rFonts w:hint="eastAsia"/>
                <w:sz w:val="22"/>
                <w:szCs w:val="22"/>
              </w:rPr>
              <w:t>个月定期开放债券型发起式证券投资基金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兴业安弘</w:t>
            </w:r>
            <w:r w:rsidRPr="00DD40C5">
              <w:rPr>
                <w:rFonts w:hint="eastAsia"/>
                <w:sz w:val="22"/>
                <w:szCs w:val="22"/>
              </w:rPr>
              <w:t>3</w:t>
            </w:r>
            <w:r w:rsidRPr="00DD40C5">
              <w:rPr>
                <w:rFonts w:hint="eastAsia"/>
                <w:sz w:val="22"/>
                <w:szCs w:val="22"/>
              </w:rPr>
              <w:t>个月定开债券发起式</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005388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兴业安和</w:t>
            </w:r>
            <w:r w:rsidRPr="00DD40C5">
              <w:rPr>
                <w:rFonts w:hint="eastAsia"/>
                <w:sz w:val="22"/>
                <w:szCs w:val="22"/>
              </w:rPr>
              <w:t>6</w:t>
            </w:r>
            <w:r w:rsidRPr="00DD40C5">
              <w:rPr>
                <w:rFonts w:hint="eastAsia"/>
                <w:sz w:val="22"/>
                <w:szCs w:val="22"/>
              </w:rPr>
              <w:t>个月定期开放债券型发起式证券投资基金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兴业安和</w:t>
            </w:r>
            <w:r w:rsidRPr="00DD40C5">
              <w:rPr>
                <w:rFonts w:hint="eastAsia"/>
                <w:sz w:val="22"/>
                <w:szCs w:val="22"/>
              </w:rPr>
              <w:t>6</w:t>
            </w:r>
            <w:r w:rsidRPr="00DD40C5">
              <w:rPr>
                <w:rFonts w:hint="eastAsia"/>
                <w:sz w:val="22"/>
                <w:szCs w:val="22"/>
              </w:rPr>
              <w:t>个月定开债券发起式</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005442</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兴业龙腾双益平衡混合型证券投资基金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兴业龙腾双益平衡混合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005706</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兴业嘉润</w:t>
            </w:r>
            <w:r w:rsidRPr="00DD40C5">
              <w:rPr>
                <w:rFonts w:hint="eastAsia"/>
                <w:sz w:val="22"/>
                <w:szCs w:val="22"/>
              </w:rPr>
              <w:t>3</w:t>
            </w:r>
            <w:r w:rsidRPr="00DD40C5">
              <w:rPr>
                <w:rFonts w:hint="eastAsia"/>
                <w:sz w:val="22"/>
                <w:szCs w:val="22"/>
              </w:rPr>
              <w:t>个月定期开放债券型发起式证券投资基金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兴业嘉润</w:t>
            </w:r>
            <w:r w:rsidRPr="00DD40C5">
              <w:rPr>
                <w:rFonts w:hint="eastAsia"/>
                <w:sz w:val="22"/>
                <w:szCs w:val="22"/>
              </w:rPr>
              <w:t>3</w:t>
            </w:r>
            <w:r w:rsidRPr="00DD40C5">
              <w:rPr>
                <w:rFonts w:hint="eastAsia"/>
                <w:sz w:val="22"/>
                <w:szCs w:val="22"/>
              </w:rPr>
              <w:t>个月定开债券发起式</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005710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兴业机遇债券型证券投资基金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兴业机遇债券</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005717</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兴业纯债一年定期开放债券型证券投资基金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兴业纯债一年定开债券</w:t>
            </w:r>
            <w:r w:rsidRPr="00DD40C5">
              <w:rPr>
                <w:rFonts w:hint="eastAsia"/>
                <w:sz w:val="22"/>
                <w:szCs w:val="22"/>
              </w:rPr>
              <w:t xml:space="preserve"> </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005988</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兴业安保优选混合型证券投资基金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兴业安保优选混合</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006366</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兴业养老目标日期</w:t>
            </w:r>
            <w:r w:rsidRPr="00DD40C5">
              <w:rPr>
                <w:rFonts w:hint="eastAsia"/>
                <w:sz w:val="22"/>
                <w:szCs w:val="22"/>
              </w:rPr>
              <w:t>2035</w:t>
            </w:r>
            <w:r w:rsidRPr="00DD40C5">
              <w:rPr>
                <w:rFonts w:hint="eastAsia"/>
                <w:sz w:val="22"/>
                <w:szCs w:val="22"/>
              </w:rPr>
              <w:t>三年持有期混合型发起式基金中基金</w:t>
            </w:r>
            <w:r w:rsidRPr="00DD40C5">
              <w:rPr>
                <w:rFonts w:hint="eastAsia"/>
                <w:sz w:val="22"/>
                <w:szCs w:val="22"/>
              </w:rPr>
              <w:t>(FOF)</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兴业养老</w:t>
            </w:r>
            <w:r w:rsidRPr="00DD40C5">
              <w:rPr>
                <w:rFonts w:hint="eastAsia"/>
                <w:sz w:val="22"/>
                <w:szCs w:val="22"/>
              </w:rPr>
              <w:t>2035</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006894</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兴业上证红利低波动交易型开放式指数证券投资基金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红利低波</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510890</w:t>
            </w:r>
          </w:p>
        </w:tc>
      </w:tr>
      <w:tr w:rsidR="007F7F21" w:rsidRPr="00DD40C5" w:rsidTr="004D7571">
        <w:trPr>
          <w:jc w:val="center"/>
        </w:trPr>
        <w:tc>
          <w:tcPr>
            <w:tcW w:w="2793"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兴业中证银行</w:t>
            </w:r>
            <w:r w:rsidRPr="00DD40C5">
              <w:rPr>
                <w:rFonts w:hint="eastAsia"/>
                <w:sz w:val="22"/>
                <w:szCs w:val="22"/>
              </w:rPr>
              <w:t>50</w:t>
            </w:r>
            <w:r w:rsidRPr="00DD40C5">
              <w:rPr>
                <w:rFonts w:hint="eastAsia"/>
                <w:sz w:val="22"/>
                <w:szCs w:val="22"/>
              </w:rPr>
              <w:t>金融债指数证券投资基金</w:t>
            </w:r>
          </w:p>
        </w:tc>
        <w:tc>
          <w:tcPr>
            <w:tcW w:w="1984"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兴业中证银行</w:t>
            </w:r>
            <w:r w:rsidRPr="00DD40C5">
              <w:rPr>
                <w:rFonts w:hint="eastAsia"/>
                <w:sz w:val="22"/>
                <w:szCs w:val="22"/>
              </w:rPr>
              <w:t>50</w:t>
            </w:r>
            <w:r w:rsidRPr="00DD40C5">
              <w:rPr>
                <w:rFonts w:hint="eastAsia"/>
                <w:sz w:val="22"/>
                <w:szCs w:val="22"/>
              </w:rPr>
              <w:t>金融债指数</w:t>
            </w:r>
          </w:p>
        </w:tc>
        <w:tc>
          <w:tcPr>
            <w:tcW w:w="4151" w:type="dxa"/>
            <w:vAlign w:val="center"/>
          </w:tcPr>
          <w:p w:rsidR="00D32C98" w:rsidRPr="00DD40C5" w:rsidRDefault="00D32C98" w:rsidP="004D7571">
            <w:pPr>
              <w:adjustRightInd w:val="0"/>
              <w:snapToGrid w:val="0"/>
              <w:spacing w:line="360" w:lineRule="auto"/>
              <w:rPr>
                <w:rFonts w:ascii="宋体" w:eastAsia="宋体" w:hAnsi="宋体" w:cs="宋体"/>
                <w:sz w:val="22"/>
                <w:szCs w:val="22"/>
              </w:rPr>
            </w:pPr>
            <w:r w:rsidRPr="00DD40C5">
              <w:rPr>
                <w:rFonts w:hint="eastAsia"/>
                <w:sz w:val="22"/>
                <w:szCs w:val="22"/>
              </w:rPr>
              <w:t>008042</w:t>
            </w:r>
          </w:p>
        </w:tc>
      </w:tr>
    </w:tbl>
    <w:p w:rsidR="00D32C98" w:rsidRPr="00DD40C5" w:rsidRDefault="00D32C98" w:rsidP="00D32C98">
      <w:pPr>
        <w:spacing w:line="560" w:lineRule="exact"/>
        <w:rPr>
          <w:kern w:val="0"/>
          <w:sz w:val="18"/>
        </w:rPr>
      </w:pPr>
      <w:r w:rsidRPr="00DD40C5">
        <w:t>注：</w:t>
      </w:r>
      <w:r w:rsidRPr="00DD40C5">
        <w:rPr>
          <w:rFonts w:hint="eastAsia"/>
          <w:kern w:val="0"/>
          <w:sz w:val="18"/>
        </w:rPr>
        <w:t xml:space="preserve"> </w:t>
      </w:r>
    </w:p>
    <w:p w:rsidR="00AF32A4" w:rsidRPr="00DD40C5" w:rsidRDefault="00DE4C1E">
      <w:pPr>
        <w:pStyle w:val="a8"/>
        <w:numPr>
          <w:ilvl w:val="0"/>
          <w:numId w:val="1"/>
        </w:numPr>
        <w:spacing w:line="560" w:lineRule="exact"/>
        <w:ind w:firstLineChars="0"/>
        <w:rPr>
          <w:rFonts w:ascii="黑体" w:eastAsia="黑体" w:hAnsi="黑体" w:cs="FZFSJW--GB1-0"/>
          <w:kern w:val="0"/>
          <w:sz w:val="21"/>
          <w:szCs w:val="21"/>
        </w:rPr>
      </w:pPr>
      <w:r w:rsidRPr="00DD40C5">
        <w:rPr>
          <w:rFonts w:ascii="黑体" w:eastAsia="黑体" w:hAnsi="黑体" w:hint="eastAsia"/>
          <w:sz w:val="21"/>
          <w:szCs w:val="21"/>
        </w:rPr>
        <w:t>截至2019年1</w:t>
      </w:r>
      <w:r w:rsidRPr="00DD40C5">
        <w:rPr>
          <w:rFonts w:ascii="黑体" w:eastAsia="黑体" w:hAnsi="黑体"/>
          <w:sz w:val="21"/>
          <w:szCs w:val="21"/>
        </w:rPr>
        <w:t>2月31日</w:t>
      </w:r>
      <w:r w:rsidRPr="00DD40C5">
        <w:rPr>
          <w:rFonts w:ascii="黑体" w:eastAsia="黑体" w:hAnsi="黑体" w:hint="eastAsia"/>
          <w:sz w:val="21"/>
          <w:szCs w:val="21"/>
        </w:rPr>
        <w:t>，</w:t>
      </w:r>
      <w:r w:rsidR="00614BF7" w:rsidRPr="00DD40C5">
        <w:rPr>
          <w:rFonts w:ascii="黑体" w:eastAsia="黑体" w:hAnsi="黑体" w:hint="eastAsia"/>
          <w:sz w:val="21"/>
          <w:szCs w:val="21"/>
        </w:rPr>
        <w:t>兴业中证银行50金融债指数证券投资基金</w:t>
      </w:r>
      <w:r w:rsidR="00614BF7" w:rsidRPr="00DD40C5">
        <w:rPr>
          <w:rFonts w:ascii="黑体" w:eastAsia="黑体" w:hAnsi="黑体" w:cs="FZFSJW--GB1-0" w:hint="eastAsia"/>
          <w:kern w:val="0"/>
          <w:sz w:val="21"/>
          <w:szCs w:val="21"/>
        </w:rPr>
        <w:t>基金合同生效不足两个月，</w:t>
      </w:r>
      <w:r w:rsidRPr="00DD40C5">
        <w:rPr>
          <w:rFonts w:ascii="黑体" w:eastAsia="黑体" w:hAnsi="黑体" w:cs="FZFSJW--GB1-0" w:hint="eastAsia"/>
          <w:kern w:val="0"/>
          <w:sz w:val="21"/>
          <w:szCs w:val="21"/>
        </w:rPr>
        <w:t>按照</w:t>
      </w:r>
      <w:r w:rsidRPr="00DD40C5">
        <w:rPr>
          <w:rFonts w:ascii="黑体" w:eastAsia="黑体" w:hAnsi="黑体" w:hint="eastAsia"/>
          <w:sz w:val="21"/>
          <w:szCs w:val="21"/>
          <w:shd w:val="clear" w:color="auto" w:fill="FFFFFF"/>
        </w:rPr>
        <w:t>《公开募集证券投资基金信息披露管理办法》及</w:t>
      </w:r>
      <w:r w:rsidRPr="00DD40C5">
        <w:rPr>
          <w:rFonts w:ascii="黑体" w:eastAsia="黑体" w:hAnsi="黑体"/>
          <w:sz w:val="21"/>
          <w:szCs w:val="21"/>
          <w:shd w:val="clear" w:color="auto" w:fill="FFFFFF"/>
        </w:rPr>
        <w:t>本基金基金合同的约定，</w:t>
      </w:r>
      <w:r w:rsidRPr="00DD40C5">
        <w:rPr>
          <w:rFonts w:ascii="黑体" w:eastAsia="黑体" w:hAnsi="黑体" w:hint="eastAsia"/>
          <w:sz w:val="21"/>
          <w:szCs w:val="21"/>
          <w:shd w:val="clear" w:color="auto" w:fill="FFFFFF"/>
        </w:rPr>
        <w:t>基金管理人可以</w:t>
      </w:r>
      <w:r w:rsidR="00614BF7" w:rsidRPr="00DD40C5">
        <w:rPr>
          <w:rFonts w:ascii="黑体" w:eastAsia="黑体" w:hAnsi="黑体" w:cs="FZFSJW--GB1-0" w:hint="eastAsia"/>
          <w:kern w:val="0"/>
          <w:sz w:val="21"/>
          <w:szCs w:val="21"/>
        </w:rPr>
        <w:t>不编制</w:t>
      </w:r>
      <w:r w:rsidRPr="00DD40C5">
        <w:rPr>
          <w:rFonts w:ascii="黑体" w:eastAsia="黑体" w:hAnsi="黑体" w:cs="FZFSJW--GB1-0" w:hint="eastAsia"/>
          <w:kern w:val="0"/>
          <w:sz w:val="21"/>
          <w:szCs w:val="21"/>
        </w:rPr>
        <w:t>2</w:t>
      </w:r>
      <w:r w:rsidRPr="00DD40C5">
        <w:rPr>
          <w:rFonts w:ascii="黑体" w:eastAsia="黑体" w:hAnsi="黑体" w:cs="FZFSJW--GB1-0"/>
          <w:kern w:val="0"/>
          <w:sz w:val="21"/>
          <w:szCs w:val="21"/>
        </w:rPr>
        <w:t>019年</w:t>
      </w:r>
      <w:r w:rsidR="00614BF7" w:rsidRPr="00DD40C5">
        <w:rPr>
          <w:rFonts w:ascii="黑体" w:eastAsia="黑体" w:hAnsi="黑体" w:cs="FZFSJW--GB1-0" w:hint="eastAsia"/>
          <w:kern w:val="0"/>
          <w:sz w:val="21"/>
          <w:szCs w:val="21"/>
        </w:rPr>
        <w:t>年度报告，不执行2019年</w:t>
      </w:r>
      <w:r w:rsidRPr="00DD40C5">
        <w:rPr>
          <w:rFonts w:ascii="黑体" w:eastAsia="黑体" w:hAnsi="黑体" w:cs="FZFSJW--GB1-0" w:hint="eastAsia"/>
          <w:kern w:val="0"/>
          <w:sz w:val="21"/>
          <w:szCs w:val="21"/>
        </w:rPr>
        <w:t>年</w:t>
      </w:r>
      <w:r w:rsidR="00614BF7" w:rsidRPr="00DD40C5">
        <w:rPr>
          <w:rFonts w:ascii="黑体" w:eastAsia="黑体" w:hAnsi="黑体" w:cs="FZFSJW--GB1-0" w:hint="eastAsia"/>
          <w:kern w:val="0"/>
          <w:sz w:val="21"/>
          <w:szCs w:val="21"/>
        </w:rPr>
        <w:t>度报告审计。</w:t>
      </w:r>
    </w:p>
    <w:p w:rsidR="00AF32A4" w:rsidRPr="00DD40C5" w:rsidRDefault="00D32C98">
      <w:pPr>
        <w:pStyle w:val="a8"/>
        <w:numPr>
          <w:ilvl w:val="0"/>
          <w:numId w:val="1"/>
        </w:numPr>
        <w:spacing w:line="560" w:lineRule="exact"/>
        <w:ind w:firstLineChars="0"/>
        <w:rPr>
          <w:sz w:val="22"/>
          <w:szCs w:val="22"/>
        </w:rPr>
      </w:pPr>
      <w:r w:rsidRPr="00DD40C5">
        <w:rPr>
          <w:rFonts w:hint="eastAsia"/>
          <w:sz w:val="22"/>
          <w:szCs w:val="22"/>
        </w:rPr>
        <w:t>兴业养老目标日期</w:t>
      </w:r>
      <w:r w:rsidRPr="00DD40C5">
        <w:rPr>
          <w:rFonts w:hint="eastAsia"/>
          <w:sz w:val="22"/>
          <w:szCs w:val="22"/>
        </w:rPr>
        <w:t>2035</w:t>
      </w:r>
      <w:r w:rsidRPr="00DD40C5">
        <w:rPr>
          <w:rFonts w:hint="eastAsia"/>
          <w:sz w:val="22"/>
          <w:szCs w:val="22"/>
        </w:rPr>
        <w:t>三年持有期混合型发起式基金中基金</w:t>
      </w:r>
      <w:r w:rsidRPr="00DD40C5">
        <w:rPr>
          <w:rFonts w:hint="eastAsia"/>
          <w:sz w:val="22"/>
          <w:szCs w:val="22"/>
        </w:rPr>
        <w:t>(FOF)</w:t>
      </w:r>
      <w:r w:rsidRPr="00DD40C5">
        <w:rPr>
          <w:rFonts w:hint="eastAsia"/>
          <w:sz w:val="22"/>
          <w:szCs w:val="22"/>
        </w:rPr>
        <w:t>和兴业上证红利低波动交易型开放式指数证券投资基金</w:t>
      </w:r>
      <w:r w:rsidR="00DE4C1E" w:rsidRPr="00DD40C5">
        <w:rPr>
          <w:rFonts w:hint="eastAsia"/>
          <w:sz w:val="22"/>
          <w:szCs w:val="22"/>
        </w:rPr>
        <w:t>将</w:t>
      </w:r>
      <w:r w:rsidR="00614BF7" w:rsidRPr="00DD40C5">
        <w:rPr>
          <w:rFonts w:hint="eastAsia"/>
          <w:sz w:val="22"/>
          <w:szCs w:val="22"/>
        </w:rPr>
        <w:t>由毕马威华振会计师事务所（特殊普通合伙）执行</w:t>
      </w:r>
      <w:r w:rsidR="00614BF7" w:rsidRPr="00DD40C5">
        <w:rPr>
          <w:sz w:val="22"/>
          <w:szCs w:val="22"/>
        </w:rPr>
        <w:t>2019</w:t>
      </w:r>
      <w:r w:rsidR="00614BF7" w:rsidRPr="00DD40C5">
        <w:rPr>
          <w:rFonts w:hint="eastAsia"/>
          <w:sz w:val="22"/>
          <w:szCs w:val="22"/>
        </w:rPr>
        <w:t>年</w:t>
      </w:r>
      <w:r w:rsidR="00C76A5D" w:rsidRPr="00DD40C5">
        <w:rPr>
          <w:rFonts w:hint="eastAsia"/>
          <w:sz w:val="22"/>
          <w:szCs w:val="22"/>
        </w:rPr>
        <w:t>年</w:t>
      </w:r>
      <w:r w:rsidR="00614BF7" w:rsidRPr="00DD40C5">
        <w:rPr>
          <w:rFonts w:hint="eastAsia"/>
          <w:sz w:val="22"/>
          <w:szCs w:val="22"/>
        </w:rPr>
        <w:t>度报告审计。</w:t>
      </w:r>
    </w:p>
    <w:p w:rsidR="00AF32A4" w:rsidRPr="00DD40C5" w:rsidRDefault="00360786">
      <w:pPr>
        <w:pStyle w:val="a8"/>
        <w:numPr>
          <w:ilvl w:val="0"/>
          <w:numId w:val="1"/>
        </w:numPr>
        <w:spacing w:line="560" w:lineRule="exact"/>
        <w:ind w:firstLineChars="0"/>
        <w:rPr>
          <w:sz w:val="22"/>
          <w:szCs w:val="22"/>
        </w:rPr>
      </w:pPr>
      <w:r w:rsidRPr="00DD40C5">
        <w:rPr>
          <w:rFonts w:hint="eastAsia"/>
          <w:sz w:val="22"/>
          <w:szCs w:val="22"/>
        </w:rPr>
        <w:t>其他基金因此前已签订审计业务约定书，将由德勤华永会计师事务所（特殊普通合伙）继续执行</w:t>
      </w:r>
      <w:r w:rsidRPr="00DD40C5">
        <w:rPr>
          <w:rFonts w:hint="eastAsia"/>
          <w:sz w:val="22"/>
          <w:szCs w:val="22"/>
        </w:rPr>
        <w:t>2019</w:t>
      </w:r>
      <w:r w:rsidRPr="00DD40C5">
        <w:rPr>
          <w:rFonts w:hint="eastAsia"/>
          <w:sz w:val="22"/>
          <w:szCs w:val="22"/>
        </w:rPr>
        <w:t>年年度报告审计，</w:t>
      </w:r>
      <w:r w:rsidRPr="00DD40C5">
        <w:rPr>
          <w:rFonts w:hint="eastAsia"/>
          <w:sz w:val="22"/>
          <w:szCs w:val="22"/>
        </w:rPr>
        <w:t>2020</w:t>
      </w:r>
      <w:r w:rsidRPr="00DD40C5">
        <w:rPr>
          <w:rFonts w:hint="eastAsia"/>
          <w:sz w:val="22"/>
          <w:szCs w:val="22"/>
        </w:rPr>
        <w:t>年起由毕马威华振会计师事务所（特殊普通合伙）执行年度报告审计。</w:t>
      </w:r>
    </w:p>
    <w:p w:rsidR="00AF32A4" w:rsidRPr="00DD40C5" w:rsidRDefault="00614BF7">
      <w:pPr>
        <w:pStyle w:val="a8"/>
        <w:numPr>
          <w:ilvl w:val="0"/>
          <w:numId w:val="1"/>
        </w:numPr>
        <w:spacing w:line="560" w:lineRule="exact"/>
        <w:ind w:firstLineChars="0"/>
        <w:rPr>
          <w:sz w:val="22"/>
          <w:szCs w:val="22"/>
        </w:rPr>
      </w:pPr>
      <w:r w:rsidRPr="00DD40C5">
        <w:rPr>
          <w:rFonts w:hint="eastAsia"/>
          <w:sz w:val="22"/>
          <w:szCs w:val="22"/>
        </w:rPr>
        <w:t>根据《兴业基金管理有限公司关于兴业增益三年定期开放债券型证券投资基金基金份额持有人大会表决结果暨决议生效的公告》，自</w:t>
      </w:r>
      <w:r w:rsidRPr="00DD40C5">
        <w:rPr>
          <w:sz w:val="22"/>
          <w:szCs w:val="22"/>
        </w:rPr>
        <w:t>2020</w:t>
      </w:r>
      <w:r w:rsidRPr="00DD40C5">
        <w:rPr>
          <w:rFonts w:hint="eastAsia"/>
          <w:sz w:val="22"/>
          <w:szCs w:val="22"/>
        </w:rPr>
        <w:t>年</w:t>
      </w:r>
      <w:r w:rsidRPr="00DD40C5">
        <w:rPr>
          <w:sz w:val="22"/>
          <w:szCs w:val="22"/>
        </w:rPr>
        <w:t>1</w:t>
      </w:r>
      <w:r w:rsidRPr="00DD40C5">
        <w:rPr>
          <w:rFonts w:hint="eastAsia"/>
          <w:sz w:val="22"/>
          <w:szCs w:val="22"/>
        </w:rPr>
        <w:t>月</w:t>
      </w:r>
      <w:r w:rsidRPr="00DD40C5">
        <w:rPr>
          <w:sz w:val="22"/>
          <w:szCs w:val="22"/>
        </w:rPr>
        <w:t>10</w:t>
      </w:r>
      <w:r w:rsidRPr="00DD40C5">
        <w:rPr>
          <w:rFonts w:hint="eastAsia"/>
          <w:sz w:val="22"/>
          <w:szCs w:val="22"/>
        </w:rPr>
        <w:t>日起兴业增益三年定期开放债券型证券投资基金正式转型为兴业稳康三年定期开放债券型证券投资基金</w:t>
      </w:r>
      <w:r w:rsidR="00360786" w:rsidRPr="00DD40C5">
        <w:rPr>
          <w:rFonts w:hint="eastAsia"/>
          <w:sz w:val="22"/>
          <w:szCs w:val="22"/>
        </w:rPr>
        <w:t>，转型</w:t>
      </w:r>
      <w:r w:rsidR="00360786" w:rsidRPr="00DD40C5">
        <w:rPr>
          <w:sz w:val="22"/>
          <w:szCs w:val="22"/>
        </w:rPr>
        <w:t>后的</w:t>
      </w:r>
      <w:r w:rsidR="00360786" w:rsidRPr="00DD40C5">
        <w:rPr>
          <w:rFonts w:hint="eastAsia"/>
          <w:sz w:val="22"/>
          <w:szCs w:val="22"/>
        </w:rPr>
        <w:t>兴业稳康三年定期开放债券型证券投资基金将聘请毕马威华振会计师事务所（特殊普通合伙）提供服务。</w:t>
      </w:r>
    </w:p>
    <w:p w:rsidR="00AF32A4" w:rsidRPr="00DD40C5" w:rsidRDefault="00614BF7">
      <w:pPr>
        <w:pStyle w:val="a8"/>
        <w:numPr>
          <w:ilvl w:val="0"/>
          <w:numId w:val="1"/>
        </w:numPr>
        <w:spacing w:line="560" w:lineRule="exact"/>
        <w:ind w:firstLineChars="0"/>
        <w:rPr>
          <w:sz w:val="22"/>
          <w:szCs w:val="22"/>
        </w:rPr>
      </w:pPr>
      <w:r w:rsidRPr="00DD40C5">
        <w:rPr>
          <w:rFonts w:hint="eastAsia"/>
          <w:sz w:val="22"/>
          <w:szCs w:val="22"/>
        </w:rPr>
        <w:t>自本公告披露后，本公司旗下新成立基金</w:t>
      </w:r>
      <w:r w:rsidR="00360786" w:rsidRPr="00DD40C5">
        <w:rPr>
          <w:rFonts w:hint="eastAsia"/>
          <w:sz w:val="22"/>
          <w:szCs w:val="22"/>
        </w:rPr>
        <w:t>（含</w:t>
      </w:r>
      <w:r w:rsidR="00360786" w:rsidRPr="00DD40C5">
        <w:rPr>
          <w:sz w:val="22"/>
          <w:szCs w:val="22"/>
        </w:rPr>
        <w:t>转换运作方式基金）</w:t>
      </w:r>
      <w:r w:rsidRPr="00DD40C5">
        <w:rPr>
          <w:rFonts w:hint="eastAsia"/>
          <w:sz w:val="22"/>
          <w:szCs w:val="22"/>
        </w:rPr>
        <w:t>将聘请毕马威华振会计师事务所（特殊普通合伙）提供服务，由毕马威华振会计师事务所（特殊普通合伙）执行</w:t>
      </w:r>
      <w:r w:rsidRPr="00DD40C5">
        <w:rPr>
          <w:sz w:val="22"/>
          <w:szCs w:val="22"/>
        </w:rPr>
        <w:t>2020</w:t>
      </w:r>
      <w:r w:rsidRPr="00DD40C5">
        <w:rPr>
          <w:rFonts w:hint="eastAsia"/>
          <w:sz w:val="22"/>
          <w:szCs w:val="22"/>
        </w:rPr>
        <w:t>年度报告审计。</w:t>
      </w:r>
    </w:p>
    <w:p w:rsidR="00D32C98" w:rsidRPr="00DD40C5" w:rsidRDefault="00D32C98" w:rsidP="00D32C98">
      <w:pPr>
        <w:pStyle w:val="2"/>
        <w:spacing w:line="560" w:lineRule="exact"/>
        <w:rPr>
          <w:rFonts w:ascii="Times New Roman" w:eastAsia="方正仿宋简体" w:hAnsi="Times New Roman"/>
          <w:bCs w:val="0"/>
          <w:sz w:val="24"/>
          <w:szCs w:val="24"/>
        </w:rPr>
      </w:pPr>
      <w:bookmarkStart w:id="1" w:name="_Toc275961439"/>
      <w:r w:rsidRPr="00DD40C5">
        <w:rPr>
          <w:rFonts w:ascii="Times New Roman" w:eastAsia="方正仿宋简体" w:hAnsi="Times New Roman"/>
          <w:bCs w:val="0"/>
          <w:sz w:val="24"/>
          <w:szCs w:val="24"/>
        </w:rPr>
        <w:t xml:space="preserve">2 </w:t>
      </w:r>
      <w:r w:rsidRPr="00DD40C5">
        <w:rPr>
          <w:rFonts w:ascii="Times New Roman" w:eastAsia="方正仿宋简体" w:hAnsi="Times New Roman"/>
          <w:bCs w:val="0"/>
          <w:sz w:val="24"/>
          <w:szCs w:val="24"/>
        </w:rPr>
        <w:t>其他需要提示的事项</w:t>
      </w:r>
      <w:bookmarkEnd w:id="1"/>
    </w:p>
    <w:p w:rsidR="00AF32A4" w:rsidRPr="00DD40C5" w:rsidRDefault="00D32C98" w:rsidP="00914ED9">
      <w:pPr>
        <w:spacing w:line="560" w:lineRule="exact"/>
        <w:ind w:firstLineChars="200" w:firstLine="464"/>
        <w:rPr>
          <w:sz w:val="22"/>
          <w:szCs w:val="22"/>
        </w:rPr>
      </w:pPr>
      <w:r w:rsidRPr="00DD40C5">
        <w:rPr>
          <w:rFonts w:hint="eastAsia"/>
          <w:sz w:val="22"/>
          <w:szCs w:val="22"/>
        </w:rPr>
        <w:t>上述变更事项，已由兴业基金管理有限公司董事会审议通过，并</w:t>
      </w:r>
      <w:r w:rsidR="000B5F3E" w:rsidRPr="00DD40C5">
        <w:rPr>
          <w:rFonts w:hint="eastAsia"/>
          <w:sz w:val="22"/>
          <w:szCs w:val="22"/>
        </w:rPr>
        <w:t>将</w:t>
      </w:r>
      <w:r w:rsidRPr="00DD40C5">
        <w:rPr>
          <w:rFonts w:hint="eastAsia"/>
          <w:sz w:val="22"/>
          <w:szCs w:val="22"/>
        </w:rPr>
        <w:t>按照相关规定及基金合同约定通报基金托管人</w:t>
      </w:r>
      <w:r w:rsidR="00701E7D" w:rsidRPr="00DD40C5">
        <w:rPr>
          <w:rFonts w:hint="eastAsia"/>
          <w:sz w:val="22"/>
          <w:szCs w:val="22"/>
        </w:rPr>
        <w:t>。投资者可以通过基金管理人的全国统一客户服务电话</w:t>
      </w:r>
      <w:r w:rsidR="00701E7D" w:rsidRPr="00DD40C5">
        <w:rPr>
          <w:rFonts w:hint="eastAsia"/>
          <w:sz w:val="22"/>
          <w:szCs w:val="22"/>
        </w:rPr>
        <w:t>400-009-5561</w:t>
      </w:r>
      <w:r w:rsidR="00701E7D" w:rsidRPr="00DD40C5">
        <w:rPr>
          <w:rFonts w:hint="eastAsia"/>
          <w:sz w:val="22"/>
          <w:szCs w:val="22"/>
        </w:rPr>
        <w:t>或公司网站网址：</w:t>
      </w:r>
      <w:r w:rsidR="00701E7D" w:rsidRPr="00DD40C5">
        <w:rPr>
          <w:rFonts w:hint="eastAsia"/>
          <w:sz w:val="22"/>
          <w:szCs w:val="22"/>
        </w:rPr>
        <w:t>http://www.cib-fund.com.cn/</w:t>
      </w:r>
      <w:r w:rsidR="00701E7D" w:rsidRPr="00DD40C5">
        <w:rPr>
          <w:rFonts w:hint="eastAsia"/>
          <w:sz w:val="22"/>
          <w:szCs w:val="22"/>
        </w:rPr>
        <w:t>咨询了解有关情况。</w:t>
      </w:r>
    </w:p>
    <w:p w:rsidR="00701E7D" w:rsidRPr="00DD40C5" w:rsidRDefault="00701E7D" w:rsidP="00914ED9">
      <w:pPr>
        <w:pStyle w:val="a8"/>
        <w:spacing w:line="560" w:lineRule="exact"/>
        <w:ind w:left="360" w:firstLineChars="0" w:firstLine="0"/>
        <w:rPr>
          <w:sz w:val="22"/>
          <w:szCs w:val="22"/>
        </w:rPr>
      </w:pPr>
    </w:p>
    <w:p w:rsidR="00D32C98" w:rsidRPr="00DD40C5" w:rsidRDefault="00701E7D" w:rsidP="00914ED9">
      <w:pPr>
        <w:spacing w:line="560" w:lineRule="exact"/>
        <w:ind w:firstLineChars="200" w:firstLine="464"/>
        <w:rPr>
          <w:sz w:val="22"/>
          <w:szCs w:val="22"/>
        </w:rPr>
      </w:pPr>
      <w:r w:rsidRPr="00DD40C5">
        <w:rPr>
          <w:rFonts w:hint="eastAsia"/>
          <w:sz w:val="22"/>
          <w:szCs w:val="22"/>
        </w:rPr>
        <w:t>特此公告。</w:t>
      </w:r>
    </w:p>
    <w:p w:rsidR="00701E7D" w:rsidRPr="00DD40C5" w:rsidRDefault="00701E7D" w:rsidP="00914ED9">
      <w:pPr>
        <w:spacing w:line="560" w:lineRule="exact"/>
        <w:ind w:firstLineChars="200" w:firstLine="464"/>
        <w:jc w:val="right"/>
        <w:rPr>
          <w:sz w:val="22"/>
          <w:szCs w:val="22"/>
        </w:rPr>
      </w:pPr>
    </w:p>
    <w:p w:rsidR="00AF32A4" w:rsidRPr="00DD40C5" w:rsidRDefault="00614BF7" w:rsidP="00914ED9">
      <w:pPr>
        <w:spacing w:line="560" w:lineRule="exact"/>
        <w:ind w:firstLineChars="200" w:firstLine="464"/>
        <w:jc w:val="right"/>
        <w:rPr>
          <w:sz w:val="22"/>
          <w:szCs w:val="22"/>
        </w:rPr>
      </w:pPr>
      <w:r w:rsidRPr="00DD40C5">
        <w:rPr>
          <w:rFonts w:hint="eastAsia"/>
          <w:sz w:val="22"/>
          <w:szCs w:val="22"/>
        </w:rPr>
        <w:t>兴业基金管理有限公司</w:t>
      </w:r>
    </w:p>
    <w:p w:rsidR="00AF32A4" w:rsidRPr="00DD40C5" w:rsidRDefault="00614BF7" w:rsidP="00914ED9">
      <w:pPr>
        <w:spacing w:line="560" w:lineRule="exact"/>
        <w:ind w:right="232" w:firstLineChars="200" w:firstLine="464"/>
        <w:jc w:val="right"/>
        <w:rPr>
          <w:sz w:val="22"/>
          <w:szCs w:val="22"/>
        </w:rPr>
      </w:pPr>
      <w:bookmarkStart w:id="2" w:name="_GoBack"/>
      <w:bookmarkEnd w:id="2"/>
      <w:r w:rsidRPr="00DD40C5">
        <w:rPr>
          <w:sz w:val="22"/>
          <w:szCs w:val="22"/>
        </w:rPr>
        <w:t>2</w:t>
      </w:r>
      <w:r w:rsidRPr="00DD40C5">
        <w:rPr>
          <w:rFonts w:hint="eastAsia"/>
          <w:sz w:val="22"/>
          <w:szCs w:val="22"/>
        </w:rPr>
        <w:t>019</w:t>
      </w:r>
      <w:r w:rsidRPr="00DD40C5">
        <w:rPr>
          <w:rFonts w:hint="eastAsia"/>
          <w:sz w:val="22"/>
          <w:szCs w:val="22"/>
        </w:rPr>
        <w:t>年</w:t>
      </w:r>
      <w:r w:rsidRPr="00DD40C5">
        <w:rPr>
          <w:sz w:val="22"/>
          <w:szCs w:val="22"/>
        </w:rPr>
        <w:t>1</w:t>
      </w:r>
      <w:r w:rsidRPr="00DD40C5">
        <w:rPr>
          <w:rFonts w:hint="eastAsia"/>
          <w:sz w:val="22"/>
          <w:szCs w:val="22"/>
        </w:rPr>
        <w:t>2</w:t>
      </w:r>
      <w:r w:rsidRPr="00DD40C5">
        <w:rPr>
          <w:rFonts w:hint="eastAsia"/>
          <w:sz w:val="22"/>
          <w:szCs w:val="22"/>
        </w:rPr>
        <w:t>月</w:t>
      </w:r>
      <w:r w:rsidRPr="00DD40C5">
        <w:rPr>
          <w:rFonts w:hint="eastAsia"/>
          <w:sz w:val="22"/>
          <w:szCs w:val="22"/>
        </w:rPr>
        <w:t>28</w:t>
      </w:r>
      <w:r w:rsidRPr="00DD40C5">
        <w:rPr>
          <w:rFonts w:hint="eastAsia"/>
          <w:sz w:val="22"/>
          <w:szCs w:val="22"/>
        </w:rPr>
        <w:t>日</w:t>
      </w:r>
    </w:p>
    <w:p w:rsidR="00701E7D" w:rsidRPr="00DD40C5" w:rsidRDefault="00701E7D" w:rsidP="00D32C98">
      <w:pPr>
        <w:spacing w:line="560" w:lineRule="exact"/>
        <w:rPr>
          <w:sz w:val="28"/>
        </w:rPr>
      </w:pPr>
    </w:p>
    <w:p w:rsidR="00C018CC" w:rsidRPr="00DD40C5" w:rsidRDefault="00C018CC"/>
    <w:sectPr w:rsidR="00C018CC" w:rsidRPr="00DD40C5" w:rsidSect="00AF32A4">
      <w:footerReference w:type="default" r:id="rId7"/>
      <w:pgSz w:w="11907" w:h="16840" w:code="9"/>
      <w:pgMar w:top="2098" w:right="1588" w:bottom="2098" w:left="1588" w:header="851" w:footer="1440" w:gutter="0"/>
      <w:cols w:space="425"/>
      <w:docGrid w:type="linesAndChars" w:linePitch="574" w:charSpace="242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98D4F" w15:done="0"/>
  <w15:commentEx w15:paraId="30EEFF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1A" w:rsidRDefault="006F6E1A" w:rsidP="00D32C98">
      <w:r>
        <w:separator/>
      </w:r>
    </w:p>
  </w:endnote>
  <w:endnote w:type="continuationSeparator" w:id="1">
    <w:p w:rsidR="006F6E1A" w:rsidRDefault="006F6E1A" w:rsidP="00D3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1" w:usb1="080E0000" w:usb2="00000010" w:usb3="00000000" w:csb0="00040000" w:csb1="00000000"/>
  </w:font>
  <w:font w:name="FZFSJW--GB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A4" w:rsidRDefault="00AF32A4" w:rsidP="00AF32A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1A" w:rsidRDefault="006F6E1A" w:rsidP="00D32C98">
      <w:r>
        <w:separator/>
      </w:r>
    </w:p>
  </w:footnote>
  <w:footnote w:type="continuationSeparator" w:id="1">
    <w:p w:rsidR="006F6E1A" w:rsidRDefault="006F6E1A" w:rsidP="00D32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E15EB"/>
    <w:multiLevelType w:val="hybridMultilevel"/>
    <w:tmpl w:val="72387100"/>
    <w:lvl w:ilvl="0" w:tplc="A17C8C6C">
      <w:start w:val="1"/>
      <w:numFmt w:val="decimal"/>
      <w:lvlText w:val="%1、"/>
      <w:lvlJc w:val="left"/>
      <w:pPr>
        <w:ind w:left="360" w:hanging="360"/>
      </w:pPr>
      <w:rPr>
        <w:rFonts w:cs="Times New Roman"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昂思梦">
    <w15:presenceInfo w15:providerId="AD" w15:userId="S-1-5-21-436131826-2400641735-1340300142-2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C98"/>
    <w:rsid w:val="000B5F3E"/>
    <w:rsid w:val="00251B1C"/>
    <w:rsid w:val="00314844"/>
    <w:rsid w:val="00360786"/>
    <w:rsid w:val="003658F0"/>
    <w:rsid w:val="00391BC1"/>
    <w:rsid w:val="003A6AE4"/>
    <w:rsid w:val="00451A86"/>
    <w:rsid w:val="004D7571"/>
    <w:rsid w:val="00527DFE"/>
    <w:rsid w:val="00614BF7"/>
    <w:rsid w:val="006A2B1A"/>
    <w:rsid w:val="006E13A2"/>
    <w:rsid w:val="006F6E1A"/>
    <w:rsid w:val="00701E7D"/>
    <w:rsid w:val="007E7322"/>
    <w:rsid w:val="007F29D0"/>
    <w:rsid w:val="007F7F21"/>
    <w:rsid w:val="00914ED9"/>
    <w:rsid w:val="0092739C"/>
    <w:rsid w:val="009B2AC7"/>
    <w:rsid w:val="00AF32A4"/>
    <w:rsid w:val="00B063DF"/>
    <w:rsid w:val="00C018CC"/>
    <w:rsid w:val="00C268DA"/>
    <w:rsid w:val="00C4556D"/>
    <w:rsid w:val="00C76A5D"/>
    <w:rsid w:val="00CD6FE0"/>
    <w:rsid w:val="00D32C98"/>
    <w:rsid w:val="00DD24B4"/>
    <w:rsid w:val="00DD40C5"/>
    <w:rsid w:val="00DE4C1E"/>
    <w:rsid w:val="00E00733"/>
    <w:rsid w:val="00E65DBE"/>
    <w:rsid w:val="00ED6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98"/>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C98"/>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C9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C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2C98"/>
    <w:rPr>
      <w:sz w:val="18"/>
      <w:szCs w:val="18"/>
    </w:rPr>
  </w:style>
  <w:style w:type="paragraph" w:styleId="a4">
    <w:name w:val="footer"/>
    <w:basedOn w:val="a"/>
    <w:link w:val="Char0"/>
    <w:unhideWhenUsed/>
    <w:rsid w:val="00D32C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2C98"/>
    <w:rPr>
      <w:sz w:val="18"/>
      <w:szCs w:val="18"/>
    </w:rPr>
  </w:style>
  <w:style w:type="character" w:customStyle="1" w:styleId="1Char">
    <w:name w:val="标题 1 Char"/>
    <w:basedOn w:val="a0"/>
    <w:link w:val="1"/>
    <w:rsid w:val="00D32C98"/>
    <w:rPr>
      <w:rFonts w:ascii="Times New Roman" w:eastAsia="宋体" w:hAnsi="Times New Roman" w:cs="Times New Roman"/>
      <w:b/>
      <w:bCs/>
      <w:kern w:val="44"/>
      <w:sz w:val="44"/>
      <w:szCs w:val="44"/>
    </w:rPr>
  </w:style>
  <w:style w:type="character" w:customStyle="1" w:styleId="2Char">
    <w:name w:val="标题 2 Char"/>
    <w:basedOn w:val="a0"/>
    <w:link w:val="2"/>
    <w:rsid w:val="00D32C98"/>
    <w:rPr>
      <w:rFonts w:ascii="Arial" w:eastAsia="黑体" w:hAnsi="Arial" w:cs="Times New Roman"/>
      <w:b/>
      <w:bCs/>
      <w:sz w:val="32"/>
      <w:szCs w:val="32"/>
    </w:rPr>
  </w:style>
  <w:style w:type="character" w:styleId="a5">
    <w:name w:val="footnote reference"/>
    <w:rsid w:val="00D32C98"/>
    <w:rPr>
      <w:vertAlign w:val="superscript"/>
    </w:rPr>
  </w:style>
  <w:style w:type="paragraph" w:styleId="a6">
    <w:name w:val="footnote text"/>
    <w:basedOn w:val="a"/>
    <w:link w:val="Char1"/>
    <w:rsid w:val="00D32C98"/>
    <w:pPr>
      <w:snapToGrid w:val="0"/>
      <w:jc w:val="left"/>
    </w:pPr>
    <w:rPr>
      <w:rFonts w:eastAsia="宋体"/>
      <w:sz w:val="18"/>
    </w:rPr>
  </w:style>
  <w:style w:type="character" w:customStyle="1" w:styleId="Char1">
    <w:name w:val="脚注文本 Char"/>
    <w:basedOn w:val="a0"/>
    <w:link w:val="a6"/>
    <w:rsid w:val="00D32C98"/>
    <w:rPr>
      <w:rFonts w:ascii="Times New Roman" w:eastAsia="宋体" w:hAnsi="Times New Roman" w:cs="Times New Roman"/>
      <w:sz w:val="18"/>
      <w:szCs w:val="20"/>
    </w:rPr>
  </w:style>
  <w:style w:type="paragraph" w:styleId="a7">
    <w:name w:val="Balloon Text"/>
    <w:basedOn w:val="a"/>
    <w:link w:val="Char2"/>
    <w:uiPriority w:val="99"/>
    <w:semiHidden/>
    <w:unhideWhenUsed/>
    <w:rsid w:val="003658F0"/>
    <w:rPr>
      <w:sz w:val="18"/>
      <w:szCs w:val="18"/>
    </w:rPr>
  </w:style>
  <w:style w:type="character" w:customStyle="1" w:styleId="Char2">
    <w:name w:val="批注框文本 Char"/>
    <w:basedOn w:val="a0"/>
    <w:link w:val="a7"/>
    <w:uiPriority w:val="99"/>
    <w:semiHidden/>
    <w:rsid w:val="003658F0"/>
    <w:rPr>
      <w:rFonts w:ascii="Times New Roman" w:eastAsia="方正仿宋简体" w:hAnsi="Times New Roman" w:cs="Times New Roman"/>
      <w:sz w:val="18"/>
      <w:szCs w:val="18"/>
    </w:rPr>
  </w:style>
  <w:style w:type="paragraph" w:styleId="a8">
    <w:name w:val="List Paragraph"/>
    <w:basedOn w:val="a"/>
    <w:uiPriority w:val="34"/>
    <w:qFormat/>
    <w:rsid w:val="00E65DBE"/>
    <w:pPr>
      <w:ind w:firstLineChars="200" w:firstLine="420"/>
    </w:pPr>
  </w:style>
  <w:style w:type="character" w:styleId="a9">
    <w:name w:val="annotation reference"/>
    <w:basedOn w:val="a0"/>
    <w:uiPriority w:val="99"/>
    <w:semiHidden/>
    <w:unhideWhenUsed/>
    <w:rsid w:val="00DE4C1E"/>
    <w:rPr>
      <w:sz w:val="21"/>
      <w:szCs w:val="21"/>
    </w:rPr>
  </w:style>
  <w:style w:type="paragraph" w:styleId="aa">
    <w:name w:val="annotation text"/>
    <w:basedOn w:val="a"/>
    <w:link w:val="Char3"/>
    <w:uiPriority w:val="99"/>
    <w:semiHidden/>
    <w:unhideWhenUsed/>
    <w:rsid w:val="00DE4C1E"/>
    <w:pPr>
      <w:jc w:val="left"/>
    </w:pPr>
  </w:style>
  <w:style w:type="character" w:customStyle="1" w:styleId="Char3">
    <w:name w:val="批注文字 Char"/>
    <w:basedOn w:val="a0"/>
    <w:link w:val="aa"/>
    <w:uiPriority w:val="99"/>
    <w:semiHidden/>
    <w:rsid w:val="00DE4C1E"/>
    <w:rPr>
      <w:rFonts w:ascii="Times New Roman" w:eastAsia="方正仿宋简体" w:hAnsi="Times New Roman" w:cs="Times New Roman"/>
      <w:sz w:val="32"/>
      <w:szCs w:val="20"/>
    </w:rPr>
  </w:style>
  <w:style w:type="paragraph" w:styleId="ab">
    <w:name w:val="annotation subject"/>
    <w:basedOn w:val="aa"/>
    <w:next w:val="aa"/>
    <w:link w:val="Char4"/>
    <w:uiPriority w:val="99"/>
    <w:semiHidden/>
    <w:unhideWhenUsed/>
    <w:rsid w:val="00DE4C1E"/>
    <w:rPr>
      <w:b/>
      <w:bCs/>
    </w:rPr>
  </w:style>
  <w:style w:type="character" w:customStyle="1" w:styleId="Char4">
    <w:name w:val="批注主题 Char"/>
    <w:basedOn w:val="Char3"/>
    <w:link w:val="ab"/>
    <w:uiPriority w:val="99"/>
    <w:semiHidden/>
    <w:rsid w:val="00DE4C1E"/>
    <w:rPr>
      <w:rFonts w:ascii="Times New Roman" w:eastAsia="方正仿宋简体" w:hAnsi="Times New Roman" w:cs="Times New Roman"/>
      <w:b/>
      <w:bCs/>
      <w:sz w:val="32"/>
      <w:szCs w:val="20"/>
    </w:rPr>
  </w:style>
  <w:style w:type="paragraph" w:styleId="ac">
    <w:name w:val="Date"/>
    <w:basedOn w:val="a"/>
    <w:next w:val="a"/>
    <w:link w:val="Char5"/>
    <w:uiPriority w:val="99"/>
    <w:semiHidden/>
    <w:unhideWhenUsed/>
    <w:rsid w:val="00701E7D"/>
    <w:pPr>
      <w:ind w:leftChars="2500" w:left="100"/>
    </w:pPr>
  </w:style>
  <w:style w:type="character" w:customStyle="1" w:styleId="Char5">
    <w:name w:val="日期 Char"/>
    <w:basedOn w:val="a0"/>
    <w:link w:val="ac"/>
    <w:uiPriority w:val="99"/>
    <w:semiHidden/>
    <w:rsid w:val="00701E7D"/>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2481</Characters>
  <Application>Microsoft Office Word</Application>
  <DocSecurity>4</DocSecurity>
  <Lines>20</Lines>
  <Paragraphs>5</Paragraphs>
  <ScaleCrop>false</ScaleCrop>
  <Company>Microsoft</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sunjia</dc:creator>
  <cp:keywords/>
  <dc:description/>
  <cp:lastModifiedBy>JonMMx 2000</cp:lastModifiedBy>
  <cp:revision>2</cp:revision>
  <dcterms:created xsi:type="dcterms:W3CDTF">2019-12-27T16:01:00Z</dcterms:created>
  <dcterms:modified xsi:type="dcterms:W3CDTF">2019-12-27T16:01:00Z</dcterms:modified>
</cp:coreProperties>
</file>