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91" w:rsidRPr="000B0ECD" w:rsidRDefault="00F41791" w:rsidP="00F41791">
      <w:pPr>
        <w:spacing w:line="360" w:lineRule="auto"/>
        <w:jc w:val="center"/>
        <w:rPr>
          <w:rFonts w:ascii="微软雅黑" w:eastAsia="微软雅黑" w:hAnsi="微软雅黑" w:cs="宋体"/>
          <w:b/>
          <w:color w:val="333333"/>
          <w:kern w:val="0"/>
          <w:sz w:val="28"/>
          <w:szCs w:val="28"/>
        </w:rPr>
      </w:pPr>
      <w:r w:rsidRPr="000B0ECD">
        <w:rPr>
          <w:rFonts w:ascii="微软雅黑" w:eastAsia="微软雅黑" w:hAnsi="微软雅黑" w:cs="宋体" w:hint="eastAsia"/>
          <w:b/>
          <w:color w:val="333333"/>
          <w:kern w:val="0"/>
          <w:sz w:val="28"/>
          <w:szCs w:val="28"/>
        </w:rPr>
        <w:t>申万菱信基金管理有限公司</w:t>
      </w:r>
    </w:p>
    <w:p w:rsidR="00F41791" w:rsidRPr="000B0ECD" w:rsidRDefault="00F41791" w:rsidP="00F41791">
      <w:pPr>
        <w:spacing w:line="360" w:lineRule="auto"/>
        <w:jc w:val="center"/>
        <w:rPr>
          <w:rFonts w:ascii="微软雅黑" w:eastAsia="微软雅黑" w:hAnsi="微软雅黑" w:cs="宋体"/>
          <w:b/>
          <w:color w:val="333333"/>
          <w:kern w:val="0"/>
          <w:sz w:val="28"/>
          <w:szCs w:val="28"/>
        </w:rPr>
      </w:pPr>
      <w:r w:rsidRPr="000B0ECD">
        <w:rPr>
          <w:rFonts w:ascii="微软雅黑" w:eastAsia="微软雅黑" w:hAnsi="微软雅黑" w:cs="宋体"/>
          <w:b/>
          <w:color w:val="333333"/>
          <w:kern w:val="0"/>
          <w:sz w:val="28"/>
          <w:szCs w:val="28"/>
        </w:rPr>
        <w:t>关于</w:t>
      </w:r>
      <w:r w:rsidRPr="000B0ECD">
        <w:rPr>
          <w:rFonts w:ascii="微软雅黑" w:eastAsia="微软雅黑" w:hAnsi="微软雅黑" w:cs="宋体" w:hint="eastAsia"/>
          <w:b/>
          <w:color w:val="333333"/>
          <w:kern w:val="0"/>
          <w:sz w:val="28"/>
          <w:szCs w:val="28"/>
        </w:rPr>
        <w:t>修订公司旗下部分基金基金合同有关条款</w:t>
      </w:r>
      <w:r w:rsidRPr="000B0ECD">
        <w:rPr>
          <w:rFonts w:ascii="微软雅黑" w:eastAsia="微软雅黑" w:hAnsi="微软雅黑" w:cs="宋体"/>
          <w:b/>
          <w:color w:val="333333"/>
          <w:kern w:val="0"/>
          <w:sz w:val="28"/>
          <w:szCs w:val="28"/>
        </w:rPr>
        <w:t>的公告</w:t>
      </w:r>
    </w:p>
    <w:p w:rsidR="00F41791" w:rsidRPr="000B0ECD" w:rsidRDefault="00F41791" w:rsidP="00F41791">
      <w:pPr>
        <w:spacing w:line="360" w:lineRule="auto"/>
        <w:jc w:val="center"/>
        <w:rPr>
          <w:rFonts w:ascii="微软雅黑" w:eastAsia="微软雅黑" w:hAnsi="微软雅黑" w:cs="宋体"/>
          <w:color w:val="333333"/>
          <w:kern w:val="0"/>
          <w:sz w:val="24"/>
          <w:szCs w:val="24"/>
        </w:rPr>
      </w:pPr>
    </w:p>
    <w:p w:rsidR="00F41791" w:rsidRPr="000B0ECD" w:rsidRDefault="00F41791" w:rsidP="00F41791">
      <w:pPr>
        <w:spacing w:line="360" w:lineRule="auto"/>
        <w:ind w:firstLineChars="200" w:firstLine="480"/>
        <w:rPr>
          <w:rFonts w:ascii="微软雅黑" w:eastAsia="微软雅黑" w:hAnsi="微软雅黑" w:cs="宋体"/>
          <w:color w:val="333333"/>
          <w:kern w:val="0"/>
          <w:sz w:val="24"/>
          <w:szCs w:val="24"/>
        </w:rPr>
      </w:pPr>
      <w:r w:rsidRPr="000B0ECD">
        <w:rPr>
          <w:rFonts w:ascii="微软雅黑" w:eastAsia="微软雅黑" w:hAnsi="微软雅黑" w:cs="宋体" w:hint="eastAsia"/>
          <w:color w:val="333333"/>
          <w:kern w:val="0"/>
          <w:sz w:val="24"/>
          <w:szCs w:val="24"/>
        </w:rPr>
        <w:t>根据有关法律法规和基金合同的规定，经与公司旗下部分基金的基金托管人协商一致，申万菱信基金管理有限公司（以下简称“本公司”）对旗下部分基金的基金合同有关条款进行修订。现将有关修订内容说明如下：</w:t>
      </w:r>
    </w:p>
    <w:p w:rsidR="00F41791" w:rsidRPr="000B0ECD" w:rsidRDefault="00F41791" w:rsidP="00F41791">
      <w:pPr>
        <w:spacing w:line="360" w:lineRule="auto"/>
        <w:ind w:firstLineChars="200" w:firstLine="480"/>
        <w:rPr>
          <w:rFonts w:ascii="微软雅黑" w:eastAsia="微软雅黑" w:hAnsi="微软雅黑" w:cs="宋体"/>
          <w:color w:val="333333"/>
          <w:kern w:val="0"/>
          <w:sz w:val="24"/>
          <w:szCs w:val="24"/>
        </w:rPr>
      </w:pPr>
      <w:r w:rsidRPr="000B0ECD">
        <w:rPr>
          <w:rFonts w:ascii="微软雅黑" w:eastAsia="微软雅黑" w:hAnsi="微软雅黑" w:cs="宋体" w:hint="eastAsia"/>
          <w:color w:val="333333"/>
          <w:kern w:val="0"/>
          <w:sz w:val="24"/>
          <w:szCs w:val="24"/>
        </w:rPr>
        <w:t>1、</w:t>
      </w:r>
      <w:r w:rsidR="00B253AA">
        <w:rPr>
          <w:rFonts w:ascii="微软雅黑" w:eastAsia="微软雅黑" w:hAnsi="微软雅黑" w:cs="宋体" w:hint="eastAsia"/>
          <w:color w:val="333333"/>
          <w:kern w:val="0"/>
          <w:sz w:val="24"/>
          <w:szCs w:val="24"/>
        </w:rPr>
        <w:t>本次修订主要</w:t>
      </w:r>
      <w:r w:rsidRPr="000B0ECD">
        <w:rPr>
          <w:rFonts w:ascii="微软雅黑" w:eastAsia="微软雅黑" w:hAnsi="微软雅黑" w:cs="宋体" w:hint="eastAsia"/>
          <w:color w:val="333333"/>
          <w:kern w:val="0"/>
          <w:sz w:val="24"/>
          <w:szCs w:val="24"/>
        </w:rPr>
        <w:t>根据</w:t>
      </w:r>
      <w:r w:rsidRPr="000B0ECD">
        <w:rPr>
          <w:rFonts w:ascii="微软雅黑" w:eastAsia="微软雅黑" w:hAnsi="微软雅黑" w:cs="宋体"/>
          <w:color w:val="333333"/>
          <w:kern w:val="0"/>
          <w:sz w:val="24"/>
          <w:szCs w:val="24"/>
        </w:rPr>
        <w:t>《</w:t>
      </w:r>
      <w:r w:rsidRPr="000B0ECD">
        <w:rPr>
          <w:rFonts w:ascii="微软雅黑" w:eastAsia="微软雅黑" w:hAnsi="微软雅黑" w:cs="宋体" w:hint="eastAsia"/>
          <w:color w:val="333333"/>
          <w:kern w:val="0"/>
          <w:sz w:val="24"/>
          <w:szCs w:val="24"/>
        </w:rPr>
        <w:t>公开募集证券投资基金信息披露管理办法</w:t>
      </w:r>
      <w:r w:rsidRPr="000B0ECD">
        <w:rPr>
          <w:rFonts w:ascii="微软雅黑" w:eastAsia="微软雅黑" w:hAnsi="微软雅黑" w:cs="宋体"/>
          <w:color w:val="333333"/>
          <w:kern w:val="0"/>
          <w:sz w:val="24"/>
          <w:szCs w:val="24"/>
        </w:rPr>
        <w:t>》</w:t>
      </w:r>
      <w:r w:rsidRPr="000B0ECD">
        <w:rPr>
          <w:rFonts w:ascii="微软雅黑" w:eastAsia="微软雅黑" w:hAnsi="微软雅黑" w:cs="宋体" w:hint="eastAsia"/>
          <w:color w:val="333333"/>
          <w:kern w:val="0"/>
          <w:sz w:val="24"/>
          <w:szCs w:val="24"/>
        </w:rPr>
        <w:t>等法律法规，对旗下部分基金基金合同中的前言、释义、</w:t>
      </w:r>
      <w:r w:rsidR="00804735" w:rsidRPr="000B0ECD">
        <w:rPr>
          <w:rFonts w:ascii="微软雅黑" w:eastAsia="微软雅黑" w:hAnsi="微软雅黑" w:cs="宋体" w:hint="eastAsia"/>
          <w:color w:val="333333"/>
          <w:kern w:val="0"/>
          <w:sz w:val="24"/>
          <w:szCs w:val="24"/>
        </w:rPr>
        <w:t>基金份额的</w:t>
      </w:r>
      <w:r w:rsidRPr="000B0ECD">
        <w:rPr>
          <w:rFonts w:ascii="微软雅黑" w:eastAsia="微软雅黑" w:hAnsi="微软雅黑" w:cs="宋体" w:hint="eastAsia"/>
          <w:color w:val="333333"/>
          <w:kern w:val="0"/>
          <w:sz w:val="24"/>
          <w:szCs w:val="24"/>
        </w:rPr>
        <w:t>申购赎回、</w:t>
      </w:r>
      <w:r w:rsidR="00804735" w:rsidRPr="000B0ECD">
        <w:rPr>
          <w:rFonts w:ascii="微软雅黑" w:eastAsia="微软雅黑" w:hAnsi="微软雅黑" w:cs="宋体" w:hint="eastAsia"/>
          <w:color w:val="333333"/>
          <w:kern w:val="0"/>
          <w:sz w:val="24"/>
          <w:szCs w:val="24"/>
        </w:rPr>
        <w:t>基金合同当事人及权利义务、基金的收益与分配、基金的会计与审计、基金的</w:t>
      </w:r>
      <w:r w:rsidRPr="000B0ECD">
        <w:rPr>
          <w:rFonts w:ascii="微软雅黑" w:eastAsia="微软雅黑" w:hAnsi="微软雅黑" w:cs="宋体" w:hint="eastAsia"/>
          <w:color w:val="333333"/>
          <w:kern w:val="0"/>
          <w:sz w:val="24"/>
          <w:szCs w:val="24"/>
        </w:rPr>
        <w:t>信息披露等相关条款</w:t>
      </w:r>
      <w:r w:rsidR="00445F01">
        <w:rPr>
          <w:rFonts w:ascii="微软雅黑" w:eastAsia="微软雅黑" w:hAnsi="微软雅黑" w:cs="宋体" w:hint="eastAsia"/>
          <w:color w:val="333333"/>
          <w:kern w:val="0"/>
          <w:sz w:val="24"/>
          <w:szCs w:val="24"/>
        </w:rPr>
        <w:t>以及</w:t>
      </w:r>
      <w:r w:rsidR="00445F01" w:rsidRPr="00445F01">
        <w:rPr>
          <w:rFonts w:ascii="微软雅黑" w:eastAsia="微软雅黑" w:hAnsi="微软雅黑" w:cs="宋体" w:hint="eastAsia"/>
          <w:color w:val="333333"/>
          <w:kern w:val="0"/>
          <w:sz w:val="24"/>
          <w:szCs w:val="24"/>
        </w:rPr>
        <w:t>其他法律文件中的相应内容</w:t>
      </w:r>
      <w:r w:rsidRPr="000B0ECD">
        <w:rPr>
          <w:rFonts w:ascii="微软雅黑" w:eastAsia="微软雅黑" w:hAnsi="微软雅黑" w:cs="宋体" w:hint="eastAsia"/>
          <w:color w:val="333333"/>
          <w:kern w:val="0"/>
          <w:sz w:val="24"/>
          <w:szCs w:val="24"/>
        </w:rPr>
        <w:t>进行修订</w:t>
      </w:r>
      <w:r w:rsidR="00B253AA">
        <w:rPr>
          <w:rFonts w:ascii="微软雅黑" w:eastAsia="微软雅黑" w:hAnsi="微软雅黑" w:cs="宋体" w:hint="eastAsia"/>
          <w:color w:val="333333"/>
          <w:kern w:val="0"/>
          <w:sz w:val="24"/>
          <w:szCs w:val="24"/>
        </w:rPr>
        <w:t>，</w:t>
      </w:r>
      <w:r w:rsidRPr="000B0ECD">
        <w:rPr>
          <w:rFonts w:ascii="微软雅黑" w:eastAsia="微软雅黑" w:hAnsi="微软雅黑" w:cs="宋体" w:hint="eastAsia"/>
          <w:color w:val="333333"/>
          <w:kern w:val="0"/>
          <w:sz w:val="24"/>
          <w:szCs w:val="24"/>
        </w:rPr>
        <w:t>相关基金的名单参见附件。</w:t>
      </w:r>
    </w:p>
    <w:p w:rsidR="000B0ECD" w:rsidRDefault="000B0ECD" w:rsidP="000B0ECD">
      <w:pPr>
        <w:pStyle w:val="a3"/>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2、本次相关基金基金合同修订的内容和程序符合有关法律法规和基金合同的规定。本次修订后的基金合同自本公告发布之日起生效。</w:t>
      </w:r>
    </w:p>
    <w:p w:rsidR="000B0ECD" w:rsidRPr="000B0ECD" w:rsidRDefault="000B0ECD" w:rsidP="000B0ECD">
      <w:pPr>
        <w:pStyle w:val="a3"/>
        <w:shd w:val="clear" w:color="auto" w:fill="FFFFFF"/>
        <w:spacing w:before="150" w:beforeAutospacing="0" w:after="0" w:afterAutospacing="0" w:line="420" w:lineRule="atLeast"/>
        <w:ind w:firstLine="480"/>
        <w:rPr>
          <w:rFonts w:ascii="微软雅黑" w:eastAsia="微软雅黑" w:hAnsi="微软雅黑"/>
          <w:color w:val="333333"/>
        </w:rPr>
      </w:pPr>
      <w:r>
        <w:rPr>
          <w:rFonts w:ascii="微软雅黑" w:eastAsia="微软雅黑" w:hAnsi="微软雅黑" w:hint="eastAsia"/>
          <w:color w:val="333333"/>
        </w:rPr>
        <w:t>3、本基金管理人经与相关基金托管人协商一致，在本公司对基金的基金合同进行修订后，也对相关基金托管协议涉及的上述内容进行相应修订。同时上述基金基金合同和托管协议本次修订内容，将在相关基金招募说明书中作相应调整。投资人办理基金交易等相关业务前，应仔细阅读各基金的基金合同、招募说明书及其更新等相关法律文件。</w:t>
      </w:r>
    </w:p>
    <w:p w:rsidR="000B0ECD" w:rsidRDefault="009720ED" w:rsidP="000B0ECD">
      <w:pPr>
        <w:pStyle w:val="a3"/>
        <w:shd w:val="clear" w:color="auto" w:fill="FFFFFF"/>
        <w:spacing w:before="150" w:beforeAutospacing="0" w:after="0" w:afterAutospacing="0" w:line="420" w:lineRule="atLeast"/>
        <w:ind w:firstLine="480"/>
        <w:rPr>
          <w:rFonts w:ascii="微软雅黑" w:eastAsia="微软雅黑" w:hAnsi="微软雅黑"/>
          <w:color w:val="333333"/>
        </w:rPr>
      </w:pPr>
      <w:r w:rsidRPr="009720ED">
        <w:rPr>
          <w:rFonts w:ascii="微软雅黑" w:eastAsia="微软雅黑" w:hAnsi="微软雅黑" w:hint="eastAsia"/>
          <w:color w:val="333333"/>
        </w:rPr>
        <w:t>本公司将于公告当日，将修订后的基金合同、</w:t>
      </w:r>
      <w:r>
        <w:rPr>
          <w:rFonts w:ascii="微软雅黑" w:eastAsia="微软雅黑" w:hAnsi="微软雅黑" w:hint="eastAsia"/>
          <w:color w:val="333333"/>
        </w:rPr>
        <w:t>基金</w:t>
      </w:r>
      <w:r w:rsidRPr="009720ED">
        <w:rPr>
          <w:rFonts w:ascii="微软雅黑" w:eastAsia="微软雅黑" w:hAnsi="微软雅黑" w:hint="eastAsia"/>
          <w:color w:val="333333"/>
        </w:rPr>
        <w:t>托管协议以及更新的招募说明书及摘要登载于本公司网站（www.</w:t>
      </w:r>
      <w:r>
        <w:rPr>
          <w:rFonts w:ascii="微软雅黑" w:eastAsia="微软雅黑" w:hAnsi="微软雅黑" w:hint="eastAsia"/>
          <w:color w:val="333333"/>
        </w:rPr>
        <w:t>swsmu</w:t>
      </w:r>
      <w:r w:rsidRPr="009720ED">
        <w:rPr>
          <w:rFonts w:ascii="微软雅黑" w:eastAsia="微软雅黑" w:hAnsi="微软雅黑" w:hint="eastAsia"/>
          <w:color w:val="333333"/>
        </w:rPr>
        <w:t>.com）和中国证监会基金电子披露网站（http://eid.csrc.gov.cn/fund/）。投资者可登录查询详细信息或拨打本公司客户服务热线：400-88</w:t>
      </w:r>
      <w:r>
        <w:rPr>
          <w:rFonts w:ascii="微软雅黑" w:eastAsia="微软雅黑" w:hAnsi="微软雅黑" w:hint="eastAsia"/>
          <w:color w:val="333333"/>
        </w:rPr>
        <w:t>0</w:t>
      </w:r>
      <w:r w:rsidRPr="009720ED">
        <w:rPr>
          <w:rFonts w:ascii="微软雅黑" w:eastAsia="微软雅黑" w:hAnsi="微软雅黑" w:hint="eastAsia"/>
          <w:color w:val="333333"/>
        </w:rPr>
        <w:t>-8</w:t>
      </w:r>
      <w:r>
        <w:rPr>
          <w:rFonts w:ascii="微软雅黑" w:eastAsia="微软雅黑" w:hAnsi="微软雅黑" w:hint="eastAsia"/>
          <w:color w:val="333333"/>
        </w:rPr>
        <w:t>5</w:t>
      </w:r>
      <w:r w:rsidRPr="009720ED">
        <w:rPr>
          <w:rFonts w:ascii="微软雅黑" w:eastAsia="微软雅黑" w:hAnsi="微软雅黑" w:hint="eastAsia"/>
          <w:color w:val="333333"/>
        </w:rPr>
        <w:t>88（免长途话费）咨询相关情况。</w:t>
      </w:r>
    </w:p>
    <w:p w:rsidR="000B0ECD" w:rsidRDefault="000B0ECD" w:rsidP="000B0ECD">
      <w:pPr>
        <w:pStyle w:val="a3"/>
        <w:shd w:val="clear" w:color="auto" w:fill="FFFFFF"/>
        <w:spacing w:before="150" w:beforeAutospacing="0" w:after="0" w:afterAutospacing="0" w:line="420" w:lineRule="atLeast"/>
        <w:ind w:firstLine="480"/>
        <w:rPr>
          <w:rFonts w:ascii="微软雅黑" w:eastAsia="微软雅黑" w:hAnsi="微软雅黑"/>
          <w:color w:val="333333"/>
        </w:rPr>
      </w:pPr>
    </w:p>
    <w:p w:rsidR="00F41791" w:rsidRPr="000B0ECD" w:rsidRDefault="00F41791" w:rsidP="000B0ECD">
      <w:pPr>
        <w:spacing w:line="360" w:lineRule="auto"/>
        <w:ind w:firstLineChars="200" w:firstLine="480"/>
        <w:rPr>
          <w:rFonts w:ascii="微软雅黑" w:eastAsia="微软雅黑" w:hAnsi="微软雅黑" w:cs="宋体"/>
          <w:color w:val="333333"/>
          <w:kern w:val="0"/>
          <w:sz w:val="24"/>
          <w:szCs w:val="24"/>
        </w:rPr>
      </w:pPr>
      <w:r w:rsidRPr="000B0ECD">
        <w:rPr>
          <w:rFonts w:ascii="微软雅黑" w:eastAsia="微软雅黑" w:hAnsi="微软雅黑" w:cs="宋体" w:hint="eastAsia"/>
          <w:color w:val="333333"/>
          <w:kern w:val="0"/>
          <w:sz w:val="24"/>
          <w:szCs w:val="24"/>
        </w:rPr>
        <w:t>风险提示：</w:t>
      </w:r>
    </w:p>
    <w:p w:rsidR="00F41791" w:rsidRPr="000B0ECD" w:rsidRDefault="00F41791" w:rsidP="00F41791">
      <w:pPr>
        <w:spacing w:line="360" w:lineRule="auto"/>
        <w:ind w:firstLineChars="200" w:firstLine="480"/>
        <w:rPr>
          <w:rFonts w:ascii="微软雅黑" w:eastAsia="微软雅黑" w:hAnsi="微软雅黑" w:cs="宋体"/>
          <w:color w:val="333333"/>
          <w:kern w:val="0"/>
          <w:sz w:val="24"/>
          <w:szCs w:val="24"/>
        </w:rPr>
      </w:pPr>
      <w:r w:rsidRPr="000B0ECD">
        <w:rPr>
          <w:rFonts w:ascii="微软雅黑" w:eastAsia="微软雅黑" w:hAnsi="微软雅黑" w:cs="宋体" w:hint="eastAsia"/>
          <w:color w:val="333333"/>
          <w:kern w:val="0"/>
          <w:sz w:val="24"/>
          <w:szCs w:val="24"/>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F41791" w:rsidRPr="000B0ECD" w:rsidRDefault="00F41791" w:rsidP="00F41791">
      <w:pPr>
        <w:spacing w:line="360" w:lineRule="auto"/>
        <w:ind w:firstLineChars="200" w:firstLine="480"/>
        <w:rPr>
          <w:rFonts w:ascii="微软雅黑" w:eastAsia="微软雅黑" w:hAnsi="微软雅黑" w:cs="宋体"/>
          <w:color w:val="333333"/>
          <w:kern w:val="0"/>
          <w:sz w:val="24"/>
          <w:szCs w:val="24"/>
        </w:rPr>
      </w:pPr>
    </w:p>
    <w:p w:rsidR="00F41791" w:rsidRPr="000B0ECD" w:rsidRDefault="00F41791" w:rsidP="00F41791">
      <w:pPr>
        <w:spacing w:line="360" w:lineRule="auto"/>
        <w:ind w:firstLineChars="200" w:firstLine="480"/>
        <w:rPr>
          <w:rFonts w:ascii="微软雅黑" w:eastAsia="微软雅黑" w:hAnsi="微软雅黑" w:cs="宋体"/>
          <w:color w:val="333333"/>
          <w:kern w:val="0"/>
          <w:sz w:val="24"/>
          <w:szCs w:val="24"/>
        </w:rPr>
      </w:pPr>
      <w:r w:rsidRPr="000B0ECD">
        <w:rPr>
          <w:rFonts w:ascii="微软雅黑" w:eastAsia="微软雅黑" w:hAnsi="微软雅黑" w:cs="宋体" w:hint="eastAsia"/>
          <w:color w:val="333333"/>
          <w:kern w:val="0"/>
          <w:sz w:val="24"/>
          <w:szCs w:val="24"/>
        </w:rPr>
        <w:t>特此公告</w:t>
      </w:r>
    </w:p>
    <w:p w:rsidR="00F41791" w:rsidRPr="000B0ECD" w:rsidRDefault="00B253AA" w:rsidP="00B253AA">
      <w:pPr>
        <w:spacing w:line="360" w:lineRule="auto"/>
        <w:ind w:firstLineChars="2200" w:firstLine="52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申万菱信基金管理</w:t>
      </w:r>
      <w:r w:rsidR="00F41791" w:rsidRPr="000B0ECD">
        <w:rPr>
          <w:rFonts w:ascii="微软雅黑" w:eastAsia="微软雅黑" w:hAnsi="微软雅黑" w:cs="宋体" w:hint="eastAsia"/>
          <w:color w:val="333333"/>
          <w:kern w:val="0"/>
          <w:sz w:val="24"/>
          <w:szCs w:val="24"/>
        </w:rPr>
        <w:t>有限公司</w:t>
      </w:r>
    </w:p>
    <w:p w:rsidR="00B23F85" w:rsidRDefault="00F41791" w:rsidP="00B23F85">
      <w:pPr>
        <w:spacing w:line="360" w:lineRule="auto"/>
        <w:ind w:firstLineChars="2400" w:firstLine="5760"/>
        <w:rPr>
          <w:rFonts w:asciiTheme="minorEastAsia" w:hAnsiTheme="minorEastAsia"/>
          <w:sz w:val="24"/>
          <w:szCs w:val="24"/>
        </w:rPr>
      </w:pPr>
      <w:r w:rsidRPr="000B0ECD">
        <w:rPr>
          <w:rFonts w:ascii="微软雅黑" w:eastAsia="微软雅黑" w:hAnsi="微软雅黑" w:cs="宋体" w:hint="eastAsia"/>
          <w:color w:val="333333"/>
          <w:kern w:val="0"/>
          <w:sz w:val="24"/>
          <w:szCs w:val="24"/>
        </w:rPr>
        <w:t>201</w:t>
      </w:r>
      <w:r w:rsidRPr="000B0ECD">
        <w:rPr>
          <w:rFonts w:ascii="微软雅黑" w:eastAsia="微软雅黑" w:hAnsi="微软雅黑" w:cs="宋体"/>
          <w:color w:val="333333"/>
          <w:kern w:val="0"/>
          <w:sz w:val="24"/>
          <w:szCs w:val="24"/>
        </w:rPr>
        <w:t>9</w:t>
      </w:r>
      <w:r w:rsidRPr="000B0ECD">
        <w:rPr>
          <w:rFonts w:ascii="微软雅黑" w:eastAsia="微软雅黑" w:hAnsi="微软雅黑" w:cs="宋体" w:hint="eastAsia"/>
          <w:color w:val="333333"/>
          <w:kern w:val="0"/>
          <w:sz w:val="24"/>
          <w:szCs w:val="24"/>
        </w:rPr>
        <w:t>年</w:t>
      </w:r>
      <w:r w:rsidR="0031648C">
        <w:rPr>
          <w:rFonts w:ascii="微软雅黑" w:eastAsia="微软雅黑" w:hAnsi="微软雅黑" w:cs="宋体" w:hint="eastAsia"/>
          <w:color w:val="333333"/>
          <w:kern w:val="0"/>
          <w:sz w:val="24"/>
          <w:szCs w:val="24"/>
        </w:rPr>
        <w:t>1</w:t>
      </w:r>
      <w:r w:rsidR="00FC3AA9">
        <w:rPr>
          <w:rFonts w:ascii="微软雅黑" w:eastAsia="微软雅黑" w:hAnsi="微软雅黑" w:cs="宋体" w:hint="eastAsia"/>
          <w:color w:val="333333"/>
          <w:kern w:val="0"/>
          <w:sz w:val="24"/>
          <w:szCs w:val="24"/>
        </w:rPr>
        <w:t>2</w:t>
      </w:r>
      <w:r w:rsidRPr="000B0ECD">
        <w:rPr>
          <w:rFonts w:ascii="微软雅黑" w:eastAsia="微软雅黑" w:hAnsi="微软雅黑" w:cs="宋体" w:hint="eastAsia"/>
          <w:color w:val="333333"/>
          <w:kern w:val="0"/>
          <w:sz w:val="24"/>
          <w:szCs w:val="24"/>
        </w:rPr>
        <w:t>月</w:t>
      </w:r>
      <w:r w:rsidR="00FC3AA9">
        <w:rPr>
          <w:rFonts w:ascii="微软雅黑" w:eastAsia="微软雅黑" w:hAnsi="微软雅黑" w:cs="宋体" w:hint="eastAsia"/>
          <w:color w:val="333333"/>
          <w:kern w:val="0"/>
          <w:sz w:val="24"/>
          <w:szCs w:val="24"/>
        </w:rPr>
        <w:t>2</w:t>
      </w:r>
      <w:r w:rsidR="00043BD1">
        <w:rPr>
          <w:rFonts w:ascii="微软雅黑" w:eastAsia="微软雅黑" w:hAnsi="微软雅黑" w:cs="宋体" w:hint="eastAsia"/>
          <w:color w:val="333333"/>
          <w:kern w:val="0"/>
          <w:sz w:val="24"/>
          <w:szCs w:val="24"/>
        </w:rPr>
        <w:t>8</w:t>
      </w:r>
      <w:bookmarkStart w:id="0" w:name="_GoBack"/>
      <w:bookmarkEnd w:id="0"/>
      <w:r w:rsidR="00FC3AA9">
        <w:rPr>
          <w:rFonts w:ascii="微软雅黑" w:eastAsia="微软雅黑" w:hAnsi="微软雅黑" w:cs="宋体" w:hint="eastAsia"/>
          <w:color w:val="333333"/>
          <w:kern w:val="0"/>
          <w:sz w:val="24"/>
          <w:szCs w:val="24"/>
        </w:rPr>
        <w:t>日</w:t>
      </w:r>
    </w:p>
    <w:p w:rsidR="00B23F85" w:rsidRDefault="00B23F85" w:rsidP="00B23F85">
      <w:pPr>
        <w:spacing w:line="360" w:lineRule="auto"/>
        <w:rPr>
          <w:rFonts w:asciiTheme="minorEastAsia" w:hAnsiTheme="minorEastAsia"/>
          <w:sz w:val="24"/>
          <w:szCs w:val="24"/>
        </w:rPr>
      </w:pPr>
    </w:p>
    <w:p w:rsidR="0031648C" w:rsidRPr="00B23F85" w:rsidRDefault="00B23F85" w:rsidP="00B23F85">
      <w:pPr>
        <w:spacing w:line="360" w:lineRule="auto"/>
        <w:rPr>
          <w:rFonts w:ascii="微软雅黑" w:eastAsia="微软雅黑" w:hAnsi="微软雅黑" w:cs="宋体"/>
          <w:color w:val="333333"/>
          <w:kern w:val="0"/>
          <w:sz w:val="24"/>
          <w:szCs w:val="24"/>
        </w:rPr>
      </w:pPr>
      <w:r w:rsidRPr="00B23F85">
        <w:rPr>
          <w:rFonts w:ascii="微软雅黑" w:eastAsia="微软雅黑" w:hAnsi="微软雅黑" w:cs="宋体" w:hint="eastAsia"/>
          <w:color w:val="333333"/>
          <w:kern w:val="0"/>
          <w:sz w:val="24"/>
          <w:szCs w:val="24"/>
        </w:rPr>
        <w:t>附1：本次修订合同的相关基金名单</w:t>
      </w:r>
    </w:p>
    <w:tbl>
      <w:tblPr>
        <w:tblW w:w="8946" w:type="dxa"/>
        <w:tblCellMar>
          <w:left w:w="0" w:type="dxa"/>
          <w:right w:w="0" w:type="dxa"/>
        </w:tblCellMar>
        <w:tblLook w:val="04A0"/>
      </w:tblPr>
      <w:tblGrid>
        <w:gridCol w:w="866"/>
        <w:gridCol w:w="5528"/>
        <w:gridCol w:w="2552"/>
      </w:tblGrid>
      <w:tr w:rsidR="00B23F85" w:rsidTr="00E20A49">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3F85" w:rsidRPr="00E20A49" w:rsidRDefault="00B23F85">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序号</w:t>
            </w:r>
          </w:p>
        </w:tc>
        <w:tc>
          <w:tcPr>
            <w:tcW w:w="55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3F85" w:rsidRPr="00E20A49" w:rsidRDefault="00B23F85">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基金全称</w:t>
            </w:r>
          </w:p>
        </w:tc>
        <w:tc>
          <w:tcPr>
            <w:tcW w:w="25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23F85" w:rsidRPr="00E20A49" w:rsidRDefault="00B23F85">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基金托管人</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申万菱信盛利精选证券投资基金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申万菱信沪深300指数增强型证券投资基金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申万菱信新动力混合型证券投资基金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4</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申万菱信收益宝货币市场基金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5</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申万菱信新经济混合型证券投资基金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6</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申万菱信竞争优势混合型证券投资基金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7</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申万菱信消费增长混合型证券投资基金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8</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申万菱信深证成指分级证券投资基金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9</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申万菱信稳益宝债券型证券投资基金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华夏银行股份有限公司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10</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申万菱信量化小盘股票型证券投资基金(LOF)</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11</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申万菱信可转换债券债券型证券投资基金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12</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申万菱信中证申万证券行业指数分级证券投资基金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13</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申万菱信中证环保产业指数分级证券投资基金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14</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申万菱信中证军工指数分级证券投资基金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15</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申万菱信多策略灵活配置混合型证券投资基金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华夏银行股份有限公司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16</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申万菱信安鑫回报灵活配置混合型证券投资基金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华夏银行股份有限公司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17</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申万菱信新能源汽车主题灵活配置混合型证券投资基金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18</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申万菱信中证申万电子行业投资指数分级证券投资基金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广发银行股份有限公司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19</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申万菱信中证申万医药生物指数分级证券投资基金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lastRenderedPageBreak/>
              <w:t>20</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申万菱信中证500指数增强型证券投资基金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21</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申万菱信中证申万新兴健康产业主题投资指数证券投资基金(LOF)</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22</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申万菱信安鑫优选混合型证券投资基金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华夏银行股份有限公司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23</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申万菱信安鑫精选混合型证券投资基金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华夏银行股份有限公司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24</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申万菱信量化成长混合型证券投资基金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25</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申万菱信中小板指数证券投资基金(LOF)</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26</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申万菱信价值优利混合型证券投资基金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中国民生银行股份有限公司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27</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申万菱信行业轮动股票型证券投资基金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28</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申万菱信价值优先混合型证券投资基金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29</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申万菱信量化驱动混合型证券投资基金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30</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申万菱信智能驱动股票型证券投资基金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31</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申万菱信安泰惠利纯债债券型证券投资基金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32</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申万菱信上证50交易型开放式指数发起式证券投资基金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33</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申万菱信沪深300价值指数证券投资基金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中国工商银行股份有限公司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34</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申万菱信中证500指数优选增强型证券投资基金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35</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申万菱信安泰丰利债券型证券投资基金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270"/>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w:t>
            </w:r>
            <w:r w:rsidR="0031648C">
              <w:rPr>
                <w:rFonts w:ascii="微软雅黑" w:eastAsia="微软雅黑" w:hAnsi="微软雅黑" w:cs="宋体" w:hint="eastAsia"/>
                <w:color w:val="333333"/>
                <w:kern w:val="0"/>
                <w:sz w:val="18"/>
                <w:szCs w:val="18"/>
              </w:rPr>
              <w:t>6</w:t>
            </w:r>
          </w:p>
        </w:tc>
        <w:tc>
          <w:tcPr>
            <w:tcW w:w="55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申万菱信中证研发创新100交易型开放式指数证券投资基金</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r w:rsidR="00B23F85" w:rsidTr="00E20A49">
        <w:trPr>
          <w:trHeight w:val="345"/>
        </w:trPr>
        <w:tc>
          <w:tcPr>
            <w:tcW w:w="8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rsidP="00E20A49">
            <w:pPr>
              <w:jc w:val="cente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3</w:t>
            </w:r>
            <w:r w:rsidR="0031648C">
              <w:rPr>
                <w:rFonts w:ascii="微软雅黑" w:eastAsia="微软雅黑" w:hAnsi="微软雅黑" w:cs="宋体" w:hint="eastAsia"/>
                <w:color w:val="333333"/>
                <w:kern w:val="0"/>
                <w:sz w:val="18"/>
                <w:szCs w:val="18"/>
              </w:rPr>
              <w:t>7</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 xml:space="preserve">申万菱信中证研发创新100交易型开放式指数证券投资基金联接基金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23F85" w:rsidRPr="00E20A49" w:rsidRDefault="00B23F85">
            <w:pPr>
              <w:rPr>
                <w:rFonts w:ascii="微软雅黑" w:eastAsia="微软雅黑" w:hAnsi="微软雅黑" w:cs="宋体"/>
                <w:color w:val="333333"/>
                <w:kern w:val="0"/>
                <w:sz w:val="18"/>
                <w:szCs w:val="18"/>
              </w:rPr>
            </w:pPr>
            <w:r w:rsidRPr="00E20A49">
              <w:rPr>
                <w:rFonts w:ascii="微软雅黑" w:eastAsia="微软雅黑" w:hAnsi="微软雅黑" w:cs="宋体" w:hint="eastAsia"/>
                <w:color w:val="333333"/>
                <w:kern w:val="0"/>
                <w:sz w:val="18"/>
                <w:szCs w:val="18"/>
              </w:rPr>
              <w:t>中国农业银行股份有限公司</w:t>
            </w:r>
          </w:p>
        </w:tc>
      </w:tr>
    </w:tbl>
    <w:p w:rsidR="00410A2C" w:rsidRPr="00FC3AA9" w:rsidRDefault="00410A2C" w:rsidP="00FC3AA9">
      <w:pPr>
        <w:widowControl/>
        <w:jc w:val="left"/>
        <w:rPr>
          <w:rFonts w:asciiTheme="minorEastAsia" w:hAnsiTheme="minorEastAsia"/>
          <w:sz w:val="24"/>
          <w:szCs w:val="24"/>
        </w:rPr>
      </w:pPr>
    </w:p>
    <w:sectPr w:rsidR="00410A2C" w:rsidRPr="00FC3AA9" w:rsidSect="001C16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55" w:rsidRDefault="00AE7F55" w:rsidP="00AE7F55">
      <w:r>
        <w:separator/>
      </w:r>
    </w:p>
  </w:endnote>
  <w:endnote w:type="continuationSeparator" w:id="1">
    <w:p w:rsidR="00AE7F55" w:rsidRDefault="00AE7F55" w:rsidP="00AE7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55" w:rsidRDefault="00AE7F55" w:rsidP="00AE7F55">
      <w:r>
        <w:separator/>
      </w:r>
    </w:p>
  </w:footnote>
  <w:footnote w:type="continuationSeparator" w:id="1">
    <w:p w:rsidR="00AE7F55" w:rsidRDefault="00AE7F55" w:rsidP="00AE7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791"/>
    <w:rsid w:val="00043BD1"/>
    <w:rsid w:val="000B0ECD"/>
    <w:rsid w:val="001C1616"/>
    <w:rsid w:val="0031648C"/>
    <w:rsid w:val="00410A2C"/>
    <w:rsid w:val="00445F01"/>
    <w:rsid w:val="00804735"/>
    <w:rsid w:val="009720ED"/>
    <w:rsid w:val="00AE7F55"/>
    <w:rsid w:val="00B23F85"/>
    <w:rsid w:val="00B253AA"/>
    <w:rsid w:val="00E20A49"/>
    <w:rsid w:val="00F41791"/>
    <w:rsid w:val="00FC3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EC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E7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7F55"/>
    <w:rPr>
      <w:sz w:val="18"/>
      <w:szCs w:val="18"/>
    </w:rPr>
  </w:style>
  <w:style w:type="paragraph" w:styleId="a5">
    <w:name w:val="footer"/>
    <w:basedOn w:val="a"/>
    <w:link w:val="Char0"/>
    <w:uiPriority w:val="99"/>
    <w:semiHidden/>
    <w:unhideWhenUsed/>
    <w:rsid w:val="00AE7F5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7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E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8747524">
      <w:bodyDiv w:val="1"/>
      <w:marLeft w:val="0"/>
      <w:marRight w:val="0"/>
      <w:marTop w:val="0"/>
      <w:marBottom w:val="0"/>
      <w:divBdr>
        <w:top w:val="none" w:sz="0" w:space="0" w:color="auto"/>
        <w:left w:val="none" w:sz="0" w:space="0" w:color="auto"/>
        <w:bottom w:val="none" w:sz="0" w:space="0" w:color="auto"/>
        <w:right w:val="none" w:sz="0" w:space="0" w:color="auto"/>
      </w:divBdr>
    </w:div>
    <w:div w:id="14373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1874</Characters>
  <Application>Microsoft Office Word</Application>
  <DocSecurity>4</DocSecurity>
  <Lines>15</Lines>
  <Paragraphs>4</Paragraphs>
  <ScaleCrop>false</ScaleCrop>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JonMMx 2000</cp:lastModifiedBy>
  <cp:revision>2</cp:revision>
  <dcterms:created xsi:type="dcterms:W3CDTF">2019-12-27T16:01:00Z</dcterms:created>
  <dcterms:modified xsi:type="dcterms:W3CDTF">2019-12-27T16:01:00Z</dcterms:modified>
</cp:coreProperties>
</file>