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textAlignment w:val="baseline"/>
        <w:rPr>
          <w:rFonts w:ascii="Arial" w:hAnsi="Arial" w:cs="Arial"/>
          <w:i w:val="0"/>
          <w:caps w:val="0"/>
          <w:color w:val="3455A2"/>
          <w:spacing w:val="0"/>
          <w:sz w:val="27"/>
          <w:szCs w:val="27"/>
        </w:rPr>
      </w:pPr>
      <w:bookmarkStart w:id="0" w:name="_GoBack"/>
      <w:r>
        <w:rPr>
          <w:rFonts w:hint="default" w:ascii="Arial" w:hAnsi="Arial" w:cs="Arial"/>
          <w:i w:val="0"/>
          <w:caps w:val="0"/>
          <w:color w:val="3455A2"/>
          <w:spacing w:val="0"/>
          <w:sz w:val="27"/>
          <w:szCs w:val="27"/>
          <w:bdr w:val="none" w:color="auto" w:sz="0" w:space="0"/>
          <w:shd w:val="clear" w:fill="FFFFFF"/>
          <w:vertAlign w:val="baseline"/>
        </w:rPr>
        <w:t>华宝基金关于旗下部分开放式基金参加工商银行费率优惠活动的公告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baseline"/>
      </w:pPr>
      <w:r>
        <w:rPr>
          <w:rFonts w:ascii="微软雅黑" w:hAnsi="微软雅黑" w:eastAsia="微软雅黑" w:cs="微软雅黑"/>
          <w:i w:val="0"/>
          <w:caps w:val="0"/>
          <w:color w:val="959595"/>
          <w:spacing w:val="0"/>
          <w:sz w:val="18"/>
          <w:szCs w:val="18"/>
          <w:bdr w:val="none" w:color="auto" w:sz="0" w:space="0"/>
          <w:shd w:val="clear" w:fill="FFFFFF"/>
          <w:vertAlign w:val="baseline"/>
        </w:rPr>
        <w:t>2019-12-27</w:t>
      </w:r>
    </w:p>
    <w:p>
      <w:pPr>
        <w:pStyle w:val="2"/>
        <w:keepNext w:val="0"/>
        <w:keepLines w:val="0"/>
        <w:widowControl/>
        <w:suppressLineNumbers w:val="0"/>
        <w:pBdr>
          <w:top w:val="none" w:color="auto" w:sz="0" w:space="0"/>
          <w:left w:val="single" w:color="D6DAE6" w:sz="6" w:space="7"/>
          <w:bottom w:val="none" w:color="auto" w:sz="0" w:space="0"/>
          <w:right w:val="none" w:color="auto" w:sz="0" w:space="0"/>
        </w:pBdr>
        <w:spacing w:before="0" w:beforeAutospacing="0" w:after="0" w:afterAutospacing="0" w:line="240" w:lineRule="atLeast"/>
        <w:ind w:left="150" w:right="0"/>
        <w:textAlignment w:val="baseline"/>
      </w:pPr>
    </w:p>
    <w:tbl>
      <w:tblPr>
        <w:tblW w:w="94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nil"/>
              <w:bottom w:val="nil"/>
              <w:right w:val="nil"/>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为答谢广大客户长期以来给予的信任与支持，华宝基金管理有限公司(以下简称“本公司”) 经与中国工商银行股份有限公司（以下简称“工商银行”）协商一致，华宝基金旗下部分开放式基金将参加以下工商银行费率优惠活动：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活动一：继续对通过工商银行电子银行申购本公司开放式基金产品的申购费率实行费率优惠。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活动二：继续对通过工商银行融e行个人手机银行AI投服务申购本公司开放式基金产品的申购费率实行费率优惠。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活动三：工商银行“2020倾心回馈”基金定投优惠活动。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405"/>
              <w:jc w:val="left"/>
              <w:textAlignment w:val="baseline"/>
            </w:pPr>
            <w:r>
              <w:rPr>
                <w:rStyle w:val="5"/>
                <w:rFonts w:hint="eastAsia" w:ascii="宋体" w:hAnsi="宋体" w:eastAsia="宋体" w:cs="宋体"/>
                <w:sz w:val="19"/>
                <w:szCs w:val="19"/>
                <w:bdr w:val="none" w:color="auto" w:sz="0" w:space="0"/>
                <w:vertAlign w:val="baseline"/>
              </w:rPr>
              <w:t>一、适用投资者范围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活动一：通过工银融e行（个人网上银行、个人手机银行）和个人电话银行等电子银行渠道申购开放式基金的个人投资者。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活动二：通过工银融e行个人手机银行渠道AI投服务功能申购开放式基金的个人投资者。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活动三：通过工行基金定投业务申购开放式基金的个人投资者。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405"/>
              <w:jc w:val="left"/>
              <w:textAlignment w:val="baseline"/>
            </w:pPr>
            <w:r>
              <w:rPr>
                <w:rStyle w:val="5"/>
                <w:rFonts w:hint="eastAsia" w:ascii="宋体" w:hAnsi="宋体" w:eastAsia="宋体" w:cs="宋体"/>
                <w:sz w:val="19"/>
                <w:szCs w:val="19"/>
                <w:bdr w:val="none" w:color="auto" w:sz="0" w:space="0"/>
                <w:vertAlign w:val="baseline"/>
              </w:rPr>
              <w:t>二、适用基金及期限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2020年1月1日至2020年12月31日（截至当日法定交易时间），投资者参加工商银行上述费率优惠活动申购任一代销基金产品享有费率优惠。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405"/>
              <w:jc w:val="left"/>
              <w:textAlignment w:val="baseline"/>
            </w:pPr>
            <w:r>
              <w:rPr>
                <w:rStyle w:val="5"/>
                <w:rFonts w:hint="eastAsia" w:ascii="宋体" w:hAnsi="宋体" w:eastAsia="宋体" w:cs="宋体"/>
                <w:sz w:val="19"/>
                <w:szCs w:val="19"/>
                <w:bdr w:val="none" w:color="auto" w:sz="0" w:space="0"/>
                <w:vertAlign w:val="baseline"/>
              </w:rPr>
              <w:t>三、具体优惠费率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textAlignment w:val="baseline"/>
            </w:pPr>
            <w:r>
              <w:rPr>
                <w:rFonts w:hint="eastAsia" w:ascii="宋体" w:hAnsi="宋体" w:eastAsia="宋体" w:cs="宋体"/>
                <w:sz w:val="19"/>
                <w:szCs w:val="19"/>
                <w:bdr w:val="none" w:color="auto" w:sz="0" w:space="0"/>
                <w:vertAlign w:val="baseline"/>
              </w:rPr>
              <w:t>活动一：个人投资者通过工银融e行（个人网上银行、个人手机银行）和个人电话银行申购开放式基金，其申购费率均享有八折优惠。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textAlignment w:val="baseline"/>
            </w:pPr>
            <w:r>
              <w:rPr>
                <w:rFonts w:hint="eastAsia" w:ascii="宋体" w:hAnsi="宋体" w:eastAsia="宋体" w:cs="宋体"/>
                <w:sz w:val="19"/>
                <w:szCs w:val="19"/>
                <w:bdr w:val="none" w:color="auto" w:sz="0" w:space="0"/>
                <w:vertAlign w:val="baseline"/>
              </w:rPr>
              <w:t>活动二：个人投资者通过工银融e行个人手机银行AI投服务功能申购任一组合基金产品申购开放式基金，其申购费率均享有八折优惠。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textAlignment w:val="baseline"/>
            </w:pPr>
            <w:r>
              <w:rPr>
                <w:rFonts w:hint="eastAsia" w:ascii="宋体" w:hAnsi="宋体" w:eastAsia="宋体" w:cs="宋体"/>
                <w:sz w:val="19"/>
                <w:szCs w:val="19"/>
                <w:bdr w:val="none" w:color="auto" w:sz="0" w:space="0"/>
                <w:vertAlign w:val="baseline"/>
              </w:rPr>
              <w:t>活动三：投资人通过工行基金定投业务进行的基金定投申购均享有申购费率八折优惠。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各基金费率请详见各基金相关法律文件及各基金管理公司发布的最新业务公告。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405"/>
              <w:jc w:val="left"/>
              <w:textAlignment w:val="baseline"/>
            </w:pPr>
            <w:r>
              <w:rPr>
                <w:rStyle w:val="5"/>
                <w:rFonts w:hint="eastAsia" w:ascii="宋体" w:hAnsi="宋体" w:eastAsia="宋体" w:cs="宋体"/>
                <w:sz w:val="19"/>
                <w:szCs w:val="19"/>
                <w:bdr w:val="none" w:color="auto" w:sz="0" w:space="0"/>
                <w:vertAlign w:val="baseline"/>
              </w:rPr>
              <w:t>四、重要提示：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textAlignment w:val="baseline"/>
            </w:pPr>
            <w:r>
              <w:rPr>
                <w:rFonts w:hint="eastAsia" w:ascii="宋体" w:hAnsi="宋体" w:eastAsia="宋体" w:cs="宋体"/>
                <w:sz w:val="19"/>
                <w:szCs w:val="19"/>
                <w:bdr w:val="none" w:color="auto" w:sz="0" w:space="0"/>
                <w:vertAlign w:val="baseline"/>
              </w:rPr>
              <w:t>1. 投资者欲了解各基金产品的详细情况，请仔细阅读各基金的基金合同、招募说明书等法律文件。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textAlignment w:val="baseline"/>
            </w:pPr>
            <w:r>
              <w:rPr>
                <w:rFonts w:hint="eastAsia" w:ascii="宋体" w:hAnsi="宋体" w:eastAsia="宋体" w:cs="宋体"/>
                <w:sz w:val="19"/>
                <w:szCs w:val="19"/>
                <w:bdr w:val="none" w:color="auto" w:sz="0" w:space="0"/>
                <w:vertAlign w:val="baseline"/>
              </w:rPr>
              <w:t>2. 上述优惠活动仅适用于处于正常申购期的基金产品的前端收费模式的申购手续费，不包括固定费率、各基金的后端收费模式的的申购手续费以及处于基金募集期的基金认购费，转换业务等其他业务的基金手续费。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投资者可通过以下途径了解或咨询相关情况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80" w:right="0" w:hanging="360"/>
              <w:textAlignment w:val="baseline"/>
            </w:pPr>
            <w:r>
              <w:rPr>
                <w:rFonts w:hint="eastAsia" w:ascii="宋体" w:hAnsi="宋体" w:eastAsia="宋体" w:cs="宋体"/>
                <w:sz w:val="19"/>
                <w:szCs w:val="19"/>
                <w:bdr w:val="none" w:color="auto" w:sz="0" w:space="0"/>
                <w:vertAlign w:val="baseline"/>
              </w:rPr>
              <w:t>1.</w:t>
            </w:r>
            <w:r>
              <w:rPr>
                <w:rFonts w:ascii="Times New Roman" w:hAnsi="Times New Roman" w:eastAsia="宋体" w:cs="Times New Roman"/>
                <w:b w:val="0"/>
                <w:i w:val="0"/>
                <w:sz w:val="13"/>
                <w:szCs w:val="13"/>
                <w:bdr w:val="none" w:color="auto" w:sz="0" w:space="0"/>
                <w:vertAlign w:val="baseline"/>
              </w:rPr>
              <w:t> </w:t>
            </w:r>
            <w:r>
              <w:rPr>
                <w:rFonts w:hint="default" w:ascii="Times New Roman" w:hAnsi="Times New Roman" w:eastAsia="宋体" w:cs="Times New Roman"/>
                <w:b w:val="0"/>
                <w:i w:val="0"/>
                <w:sz w:val="13"/>
                <w:szCs w:val="13"/>
                <w:bdr w:val="none" w:color="auto" w:sz="0" w:space="0"/>
                <w:vertAlign w:val="baseline"/>
              </w:rPr>
              <w:t> </w:t>
            </w:r>
            <w:r>
              <w:rPr>
                <w:rFonts w:hint="eastAsia" w:ascii="宋体" w:hAnsi="宋体" w:eastAsia="宋体" w:cs="宋体"/>
                <w:sz w:val="19"/>
                <w:szCs w:val="19"/>
                <w:bdr w:val="none" w:color="auto" w:sz="0" w:space="0"/>
                <w:vertAlign w:val="baseline"/>
              </w:rPr>
              <w:t>中国工商银行股份有限公司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客户服务电话：95588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公司网址：www.icbc.com.cn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80" w:right="0" w:hanging="360"/>
              <w:textAlignment w:val="baseline"/>
            </w:pPr>
            <w:r>
              <w:rPr>
                <w:rFonts w:hint="eastAsia" w:ascii="宋体" w:hAnsi="宋体" w:eastAsia="宋体" w:cs="宋体"/>
                <w:sz w:val="19"/>
                <w:szCs w:val="19"/>
                <w:bdr w:val="none" w:color="auto" w:sz="0" w:space="0"/>
                <w:vertAlign w:val="baseline"/>
              </w:rPr>
              <w:t>2.</w:t>
            </w:r>
            <w:r>
              <w:rPr>
                <w:rFonts w:hint="default" w:ascii="Times New Roman" w:hAnsi="Times New Roman" w:eastAsia="宋体" w:cs="Times New Roman"/>
                <w:b w:val="0"/>
                <w:i w:val="0"/>
                <w:sz w:val="13"/>
                <w:szCs w:val="13"/>
                <w:bdr w:val="none" w:color="auto" w:sz="0" w:space="0"/>
                <w:vertAlign w:val="baseline"/>
              </w:rPr>
              <w:t>  </w:t>
            </w:r>
            <w:r>
              <w:rPr>
                <w:rFonts w:hint="eastAsia" w:ascii="宋体" w:hAnsi="宋体" w:eastAsia="宋体" w:cs="宋体"/>
                <w:sz w:val="19"/>
                <w:szCs w:val="19"/>
                <w:bdr w:val="none" w:color="auto" w:sz="0" w:space="0"/>
                <w:vertAlign w:val="baseline"/>
              </w:rPr>
              <w:t>华宝基金管理有限公司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客户服务电话：400-700-5588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公司网址：www.fsfund.com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风险提示：本基金管理人承诺以诚实信用、勤勉尽责的原则管理和运用基金资产，但不保证基金一定盈利，也不保证最低收益。投资者投资基金时应认真阅读基金的基金合同、招募说明书。敬请投资者留意投资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textAlignment w:val="baseline"/>
            </w:pPr>
            <w:r>
              <w:rPr>
                <w:rFonts w:hint="eastAsia" w:ascii="宋体" w:hAnsi="宋体" w:eastAsia="宋体" w:cs="宋体"/>
                <w:sz w:val="19"/>
                <w:szCs w:val="19"/>
                <w:bdr w:val="none" w:color="auto" w:sz="0" w:space="0"/>
                <w:vertAlign w:val="baseline"/>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firstLine="405"/>
              <w:jc w:val="right"/>
              <w:textAlignment w:val="baseline"/>
            </w:pPr>
            <w:r>
              <w:rPr>
                <w:rFonts w:hint="eastAsia" w:ascii="宋体" w:hAnsi="宋体" w:eastAsia="宋体" w:cs="宋体"/>
                <w:sz w:val="19"/>
                <w:szCs w:val="19"/>
                <w:bdr w:val="none" w:color="auto" w:sz="0" w:space="0"/>
                <w:vertAlign w:val="baseline"/>
              </w:rPr>
              <w:t>华宝基金管理有限公司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firstLine="405"/>
              <w:jc w:val="right"/>
              <w:textAlignment w:val="baseline"/>
            </w:pPr>
            <w:r>
              <w:rPr>
                <w:rFonts w:hint="eastAsia" w:ascii="宋体" w:hAnsi="宋体" w:eastAsia="宋体" w:cs="宋体"/>
                <w:sz w:val="19"/>
                <w:szCs w:val="19"/>
                <w:bdr w:val="none" w:color="auto" w:sz="0" w:space="0"/>
                <w:vertAlign w:val="baseline"/>
              </w:rPr>
              <w:t>2019年12月27日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5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dingmt</dc:creator>
  <cp:lastModifiedBy>dingmt</cp:lastModifiedBy>
  <dcterms:modified xsi:type="dcterms:W3CDTF">2020-03-11T06:43:19Z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