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65" w:rsidRPr="00F23E62" w:rsidRDefault="00BE6D65" w:rsidP="00124178">
      <w:pPr>
        <w:jc w:val="center"/>
        <w:rPr>
          <w:b/>
        </w:rPr>
      </w:pPr>
      <w:r w:rsidRPr="00F23E62">
        <w:rPr>
          <w:rFonts w:hint="eastAsia"/>
          <w:b/>
        </w:rPr>
        <w:t>关于工银瑞信中证</w:t>
      </w:r>
      <w:r w:rsidR="003C433B">
        <w:rPr>
          <w:rFonts w:hint="eastAsia"/>
          <w:b/>
        </w:rPr>
        <w:t>传媒</w:t>
      </w:r>
      <w:r w:rsidRPr="00F23E62">
        <w:rPr>
          <w:rFonts w:hint="eastAsia"/>
          <w:b/>
        </w:rPr>
        <w:t>指数分级证券投资基金办理定期份额折算业务的公告</w:t>
      </w:r>
    </w:p>
    <w:p w:rsidR="00BE6D65" w:rsidRDefault="00BE6D65" w:rsidP="00124178">
      <w:pPr>
        <w:jc w:val="center"/>
      </w:pPr>
    </w:p>
    <w:p w:rsidR="00BE6D65" w:rsidRDefault="00BE6D65" w:rsidP="00BE6D65">
      <w:r>
        <w:t xml:space="preserve"> </w:t>
      </w:r>
    </w:p>
    <w:p w:rsidR="00BE6D65" w:rsidRPr="003C433B" w:rsidRDefault="00BE6D65" w:rsidP="00BE6D65"/>
    <w:p w:rsidR="00BE6D65" w:rsidRDefault="00BE6D65" w:rsidP="00124178">
      <w:pPr>
        <w:ind w:firstLineChars="200" w:firstLine="420"/>
      </w:pPr>
      <w:r>
        <w:rPr>
          <w:rFonts w:hint="eastAsia"/>
        </w:rPr>
        <w:t>根据</w:t>
      </w:r>
      <w:r w:rsidR="003C433B">
        <w:rPr>
          <w:rFonts w:hint="eastAsia"/>
        </w:rPr>
        <w:t>《工银瑞信中证传媒指数分级证券投资基金基金合同》</w:t>
      </w:r>
      <w:r>
        <w:rPr>
          <w:rFonts w:hint="eastAsia"/>
        </w:rPr>
        <w:t>（简称“基金合同”），及深圳证券交易所和中国证券登记结算有限责任公司的相关业务规定，工银瑞信</w:t>
      </w:r>
      <w:r w:rsidR="003C433B">
        <w:rPr>
          <w:rFonts w:hint="eastAsia"/>
        </w:rPr>
        <w:t>中证传媒</w:t>
      </w:r>
      <w:r>
        <w:rPr>
          <w:rFonts w:hint="eastAsia"/>
        </w:rPr>
        <w:t>指数分级证券投资基金（以下简称“本基金”）将在</w:t>
      </w:r>
      <w:r w:rsidR="00194ACA">
        <w:rPr>
          <w:rFonts w:hint="eastAsia"/>
        </w:rPr>
        <w:t>20</w:t>
      </w:r>
      <w:r w:rsidR="00516719">
        <w:rPr>
          <w:rFonts w:hint="eastAsia"/>
        </w:rPr>
        <w:t>20</w:t>
      </w:r>
      <w:r>
        <w:rPr>
          <w:rFonts w:hint="eastAsia"/>
        </w:rPr>
        <w:t>年</w:t>
      </w:r>
      <w:r>
        <w:rPr>
          <w:rFonts w:hint="eastAsia"/>
        </w:rPr>
        <w:t>1</w:t>
      </w:r>
      <w:r>
        <w:rPr>
          <w:rFonts w:hint="eastAsia"/>
        </w:rPr>
        <w:t>月</w:t>
      </w:r>
      <w:r w:rsidR="00E122D7">
        <w:t>2</w:t>
      </w:r>
      <w:r>
        <w:rPr>
          <w:rFonts w:hint="eastAsia"/>
        </w:rPr>
        <w:t>日办理定期份额折算业务。相关事项公告如下：</w:t>
      </w:r>
    </w:p>
    <w:p w:rsidR="00BE6D65" w:rsidRDefault="00BE6D65" w:rsidP="00BE6D65">
      <w:r>
        <w:rPr>
          <w:rFonts w:hint="eastAsia"/>
        </w:rPr>
        <w:t>一、基金份额折算基准日</w:t>
      </w:r>
    </w:p>
    <w:p w:rsidR="005F051D" w:rsidRDefault="00BE6D65" w:rsidP="00801B80">
      <w:pPr>
        <w:ind w:firstLine="420"/>
      </w:pPr>
      <w:r>
        <w:rPr>
          <w:rFonts w:hint="eastAsia"/>
        </w:rPr>
        <w:t>根据基金合同的规定，定期份额折算基准日为每个会计年度第一个工作日。本次定期份额折算的基准日为</w:t>
      </w:r>
      <w:r w:rsidR="00957055">
        <w:rPr>
          <w:rFonts w:hint="eastAsia"/>
        </w:rPr>
        <w:t>20</w:t>
      </w:r>
      <w:r w:rsidR="00516719">
        <w:rPr>
          <w:rFonts w:hint="eastAsia"/>
        </w:rPr>
        <w:t>20</w:t>
      </w:r>
      <w:r>
        <w:rPr>
          <w:rFonts w:hint="eastAsia"/>
        </w:rPr>
        <w:t>年</w:t>
      </w:r>
      <w:r>
        <w:rPr>
          <w:rFonts w:hint="eastAsia"/>
        </w:rPr>
        <w:t>1</w:t>
      </w:r>
      <w:r>
        <w:rPr>
          <w:rFonts w:hint="eastAsia"/>
        </w:rPr>
        <w:t>月</w:t>
      </w:r>
      <w:r w:rsidR="00E122D7">
        <w:t>2</w:t>
      </w:r>
      <w:r>
        <w:rPr>
          <w:rFonts w:hint="eastAsia"/>
        </w:rPr>
        <w:t>日。</w:t>
      </w:r>
    </w:p>
    <w:p w:rsidR="002C6CA1" w:rsidRDefault="002C6CA1" w:rsidP="00BE6D65"/>
    <w:p w:rsidR="00BE6D65" w:rsidRDefault="00BE6D65" w:rsidP="00BE6D65">
      <w:r>
        <w:rPr>
          <w:rFonts w:hint="eastAsia"/>
        </w:rPr>
        <w:t>二、基金份额折算对象</w:t>
      </w:r>
    </w:p>
    <w:p w:rsidR="005F051D" w:rsidRDefault="00BE6D65" w:rsidP="00801B80">
      <w:pPr>
        <w:ind w:firstLine="420"/>
      </w:pPr>
      <w:r>
        <w:rPr>
          <w:rFonts w:hint="eastAsia"/>
        </w:rPr>
        <w:t>基金份额折算基准日登记在册的工银瑞信</w:t>
      </w:r>
      <w:r w:rsidR="003C433B">
        <w:rPr>
          <w:rFonts w:hint="eastAsia"/>
        </w:rPr>
        <w:t>中证传媒</w:t>
      </w:r>
      <w:r>
        <w:rPr>
          <w:rFonts w:hint="eastAsia"/>
        </w:rPr>
        <w:t>指数</w:t>
      </w:r>
      <w:r w:rsidR="00445234">
        <w:rPr>
          <w:rFonts w:hint="eastAsia"/>
        </w:rPr>
        <w:t>分级</w:t>
      </w:r>
      <w:r>
        <w:rPr>
          <w:rFonts w:hint="eastAsia"/>
        </w:rPr>
        <w:t>证券投资基金之基础份额（以下简称</w:t>
      </w:r>
      <w:r w:rsidR="00445234">
        <w:rPr>
          <w:rFonts w:hint="eastAsia"/>
        </w:rPr>
        <w:t>“传媒母基”</w:t>
      </w:r>
      <w:r>
        <w:rPr>
          <w:rFonts w:hint="eastAsia"/>
        </w:rPr>
        <w:t>，交易代码：</w:t>
      </w:r>
      <w:r w:rsidR="00445234">
        <w:rPr>
          <w:rFonts w:hint="eastAsia"/>
        </w:rPr>
        <w:t>164818</w:t>
      </w:r>
      <w:r>
        <w:rPr>
          <w:rFonts w:hint="eastAsia"/>
        </w:rPr>
        <w:t>）和工银瑞信</w:t>
      </w:r>
      <w:r w:rsidR="00445234">
        <w:rPr>
          <w:rFonts w:hint="eastAsia"/>
        </w:rPr>
        <w:t>中证传媒</w:t>
      </w:r>
      <w:r>
        <w:rPr>
          <w:rFonts w:hint="eastAsia"/>
        </w:rPr>
        <w:t>指数</w:t>
      </w:r>
      <w:r w:rsidR="00445234">
        <w:rPr>
          <w:rFonts w:hint="eastAsia"/>
        </w:rPr>
        <w:t>分级</w:t>
      </w:r>
      <w:r>
        <w:rPr>
          <w:rFonts w:hint="eastAsia"/>
        </w:rPr>
        <w:t>证券投资基金之</w:t>
      </w:r>
      <w:r>
        <w:rPr>
          <w:rFonts w:hint="eastAsia"/>
        </w:rPr>
        <w:t>A</w:t>
      </w:r>
      <w:r>
        <w:rPr>
          <w:rFonts w:hint="eastAsia"/>
        </w:rPr>
        <w:t>份额（以下简称“</w:t>
      </w:r>
      <w:r w:rsidR="00445234">
        <w:rPr>
          <w:rFonts w:hint="eastAsia"/>
        </w:rPr>
        <w:t>传媒</w:t>
      </w:r>
      <w:r w:rsidR="00445234">
        <w:rPr>
          <w:rFonts w:hint="eastAsia"/>
        </w:rPr>
        <w:t>A</w:t>
      </w:r>
      <w:r w:rsidR="00445234">
        <w:rPr>
          <w:rFonts w:hint="eastAsia"/>
        </w:rPr>
        <w:t>级</w:t>
      </w:r>
      <w:r>
        <w:rPr>
          <w:rFonts w:hint="eastAsia"/>
        </w:rPr>
        <w:t>”，交易代码：</w:t>
      </w:r>
      <w:r w:rsidR="00445234">
        <w:rPr>
          <w:rFonts w:hint="eastAsia"/>
        </w:rPr>
        <w:t>150247</w:t>
      </w:r>
      <w:r>
        <w:rPr>
          <w:rFonts w:hint="eastAsia"/>
        </w:rPr>
        <w:t>）。</w:t>
      </w:r>
    </w:p>
    <w:p w:rsidR="002C6CA1" w:rsidRDefault="002C6CA1" w:rsidP="00BE6D65"/>
    <w:p w:rsidR="00BE6D65" w:rsidRDefault="00BE6D65" w:rsidP="00BE6D65">
      <w:r>
        <w:rPr>
          <w:rFonts w:hint="eastAsia"/>
        </w:rPr>
        <w:t>三、基金份额折算方式</w:t>
      </w:r>
    </w:p>
    <w:p w:rsidR="00572F16" w:rsidRDefault="00572F16" w:rsidP="00801B80">
      <w:pPr>
        <w:ind w:firstLine="420"/>
        <w:rPr>
          <w:rFonts w:hint="eastAsia"/>
        </w:rPr>
      </w:pPr>
      <w:r w:rsidRPr="00572F16">
        <w:rPr>
          <w:rFonts w:hint="eastAsia"/>
        </w:rPr>
        <w:t>工银传媒</w:t>
      </w:r>
      <w:r w:rsidR="00E00B10">
        <w:t>A</w:t>
      </w:r>
      <w:r w:rsidR="00E00B10">
        <w:rPr>
          <w:rFonts w:hint="eastAsia"/>
        </w:rPr>
        <w:t>级</w:t>
      </w:r>
      <w:r w:rsidRPr="00572F16">
        <w:rPr>
          <w:rFonts w:hint="eastAsia"/>
        </w:rPr>
        <w:t>份额和工银传媒</w:t>
      </w:r>
      <w:r w:rsidRPr="00572F16">
        <w:t>B</w:t>
      </w:r>
      <w:r w:rsidR="00E00B10">
        <w:rPr>
          <w:rFonts w:hint="eastAsia"/>
        </w:rPr>
        <w:t>级</w:t>
      </w:r>
      <w:r w:rsidRPr="00572F16">
        <w:rPr>
          <w:rFonts w:hint="eastAsia"/>
        </w:rPr>
        <w:t>份额按照基金合同规定的参考净值计算规则进行计算，对工银传媒</w:t>
      </w:r>
      <w:r w:rsidRPr="00572F16">
        <w:t>A</w:t>
      </w:r>
      <w:r w:rsidR="00E00B10">
        <w:rPr>
          <w:rFonts w:hint="eastAsia"/>
        </w:rPr>
        <w:t>级</w:t>
      </w:r>
      <w:r w:rsidRPr="00572F16">
        <w:rPr>
          <w:rFonts w:hint="eastAsia"/>
        </w:rPr>
        <w:t>份额的应得收益进行定期份额折算，每</w:t>
      </w:r>
      <w:r w:rsidRPr="00572F16">
        <w:t xml:space="preserve">2 </w:t>
      </w:r>
      <w:r w:rsidRPr="00572F16">
        <w:rPr>
          <w:rFonts w:hint="eastAsia"/>
        </w:rPr>
        <w:t>份工银传媒份额将按</w:t>
      </w:r>
      <w:r w:rsidRPr="00572F16">
        <w:t xml:space="preserve">1 </w:t>
      </w:r>
      <w:r w:rsidRPr="00572F16">
        <w:rPr>
          <w:rFonts w:hint="eastAsia"/>
        </w:rPr>
        <w:t>份工银传媒</w:t>
      </w:r>
      <w:r w:rsidR="00E00B10">
        <w:t>A</w:t>
      </w:r>
      <w:r w:rsidR="00E00B10">
        <w:rPr>
          <w:rFonts w:hint="eastAsia"/>
        </w:rPr>
        <w:t>级</w:t>
      </w:r>
      <w:r w:rsidRPr="00572F16">
        <w:rPr>
          <w:rFonts w:hint="eastAsia"/>
        </w:rPr>
        <w:t>份额获得约定应得收益的新增折算份额。</w:t>
      </w:r>
      <w:r w:rsidRPr="00572F16">
        <w:t xml:space="preserve"> </w:t>
      </w:r>
    </w:p>
    <w:p w:rsidR="00572F16" w:rsidRDefault="00572F16" w:rsidP="00801B80">
      <w:pPr>
        <w:ind w:firstLine="420"/>
        <w:rPr>
          <w:rFonts w:hint="eastAsia"/>
        </w:rPr>
      </w:pPr>
      <w:r w:rsidRPr="00572F16">
        <w:rPr>
          <w:rFonts w:hint="eastAsia"/>
        </w:rPr>
        <w:t>在基金份额折算前与折算后，工银传媒</w:t>
      </w:r>
      <w:r w:rsidR="00E00B10">
        <w:t>A</w:t>
      </w:r>
      <w:r w:rsidR="00E00B10">
        <w:rPr>
          <w:rFonts w:hint="eastAsia"/>
        </w:rPr>
        <w:t>级</w:t>
      </w:r>
      <w:r w:rsidRPr="00572F16">
        <w:rPr>
          <w:rFonts w:hint="eastAsia"/>
        </w:rPr>
        <w:t>份额和工银传媒</w:t>
      </w:r>
      <w:r w:rsidR="00E00B10">
        <w:t>B</w:t>
      </w:r>
      <w:r w:rsidR="00E00B10">
        <w:rPr>
          <w:rFonts w:hint="eastAsia"/>
        </w:rPr>
        <w:t>级</w:t>
      </w:r>
      <w:r w:rsidRPr="00572F16">
        <w:rPr>
          <w:rFonts w:hint="eastAsia"/>
        </w:rPr>
        <w:t>份额的份额配比保持</w:t>
      </w:r>
      <w:r w:rsidRPr="00572F16">
        <w:t xml:space="preserve">1:1 </w:t>
      </w:r>
      <w:r w:rsidRPr="00572F16">
        <w:rPr>
          <w:rFonts w:hint="eastAsia"/>
        </w:rPr>
        <w:t>的比例。</w:t>
      </w:r>
      <w:r w:rsidRPr="00572F16">
        <w:t xml:space="preserve"> </w:t>
      </w:r>
    </w:p>
    <w:p w:rsidR="00BE6D65" w:rsidRDefault="00572F16" w:rsidP="006D3A90">
      <w:pPr>
        <w:ind w:firstLineChars="200" w:firstLine="420"/>
      </w:pPr>
      <w:r w:rsidRPr="00572F16">
        <w:rPr>
          <w:rFonts w:hint="eastAsia"/>
        </w:rPr>
        <w:t>对于工银</w:t>
      </w:r>
      <w:r w:rsidR="00E33AFC" w:rsidRPr="00572F16">
        <w:rPr>
          <w:rFonts w:hint="eastAsia"/>
        </w:rPr>
        <w:t>传媒</w:t>
      </w:r>
      <w:r w:rsidR="00E33AFC">
        <w:t>A</w:t>
      </w:r>
      <w:r w:rsidR="00E00B10">
        <w:rPr>
          <w:rFonts w:hint="eastAsia"/>
        </w:rPr>
        <w:t>级</w:t>
      </w:r>
      <w:r w:rsidRPr="00572F16">
        <w:rPr>
          <w:rFonts w:hint="eastAsia"/>
        </w:rPr>
        <w:t>份额的约定年化应得收益，即除基金合同另有约定外，工银传媒</w:t>
      </w:r>
      <w:r w:rsidR="00E00B10">
        <w:t>A</w:t>
      </w:r>
      <w:r w:rsidR="00E00B10">
        <w:rPr>
          <w:rFonts w:hint="eastAsia"/>
        </w:rPr>
        <w:t>级</w:t>
      </w:r>
      <w:r w:rsidRPr="00572F16">
        <w:rPr>
          <w:rFonts w:hint="eastAsia"/>
        </w:rPr>
        <w:t>份额每个基金份额定期折算基准日份额参考净值超过</w:t>
      </w:r>
      <w:r w:rsidRPr="00572F16">
        <w:t xml:space="preserve">1.0000 </w:t>
      </w:r>
      <w:r w:rsidRPr="00572F16">
        <w:rPr>
          <w:rFonts w:hint="eastAsia"/>
        </w:rPr>
        <w:t>元的部分，将折算为场内工银传媒份额分配给工银传媒</w:t>
      </w:r>
      <w:r w:rsidR="00E00B10">
        <w:t>A</w:t>
      </w:r>
      <w:r w:rsidR="00E00B10">
        <w:rPr>
          <w:rFonts w:hint="eastAsia"/>
        </w:rPr>
        <w:t>级</w:t>
      </w:r>
      <w:r w:rsidRPr="00572F16">
        <w:rPr>
          <w:rFonts w:hint="eastAsia"/>
        </w:rPr>
        <w:t>份额持有人。工银传媒份额持有人持有的每</w:t>
      </w:r>
      <w:r w:rsidRPr="00572F16">
        <w:t xml:space="preserve">2 </w:t>
      </w:r>
      <w:r w:rsidRPr="00572F16">
        <w:rPr>
          <w:rFonts w:hint="eastAsia"/>
        </w:rPr>
        <w:t>份工银传媒份额将按</w:t>
      </w:r>
      <w:r w:rsidRPr="00572F16">
        <w:t xml:space="preserve">1 </w:t>
      </w:r>
      <w:r w:rsidRPr="00572F16">
        <w:rPr>
          <w:rFonts w:hint="eastAsia"/>
        </w:rPr>
        <w:t>份工银传媒</w:t>
      </w:r>
      <w:r w:rsidR="00E00B10">
        <w:t>A</w:t>
      </w:r>
      <w:r w:rsidR="00E00B10">
        <w:rPr>
          <w:rFonts w:hint="eastAsia"/>
        </w:rPr>
        <w:t>级</w:t>
      </w:r>
      <w:r w:rsidRPr="00572F16">
        <w:rPr>
          <w:rFonts w:hint="eastAsia"/>
        </w:rPr>
        <w:t>份额获得新增工银传媒份额的分配。持有场外工银传媒份额的基金份额持有人将按前述折算方式获得新增场外工银传媒份额的分配；持有场内工银传媒份额的基金份额持有人将按前述折算方式获得新增场内工银传媒份额的分配。经过上述份额折算，工银传媒</w:t>
      </w:r>
      <w:r w:rsidR="00E33AFC">
        <w:t>A</w:t>
      </w:r>
      <w:r w:rsidR="00E33AFC">
        <w:t>级</w:t>
      </w:r>
      <w:r w:rsidR="00E33AFC">
        <w:rPr>
          <w:rFonts w:hint="eastAsia"/>
        </w:rPr>
        <w:t>份额和工银</w:t>
      </w:r>
      <w:r w:rsidRPr="00572F16">
        <w:rPr>
          <w:rFonts w:hint="eastAsia"/>
        </w:rPr>
        <w:t>传媒份额的基金份额（参考）净值将相应调整。</w:t>
      </w:r>
      <w:r w:rsidR="00BE6D65">
        <w:rPr>
          <w:rFonts w:hint="eastAsia"/>
        </w:rPr>
        <w:t>有关计算公式如下：</w:t>
      </w:r>
    </w:p>
    <w:p w:rsidR="00BE6D65" w:rsidRDefault="00BE6D65" w:rsidP="00BE6D65">
      <w:r>
        <w:rPr>
          <w:rFonts w:hint="eastAsia"/>
        </w:rPr>
        <w:t>1</w:t>
      </w:r>
      <w:r>
        <w:rPr>
          <w:rFonts w:hint="eastAsia"/>
        </w:rPr>
        <w:t>、</w:t>
      </w:r>
      <w:r>
        <w:rPr>
          <w:rFonts w:hint="eastAsia"/>
        </w:rPr>
        <w:t xml:space="preserve"> </w:t>
      </w:r>
      <w:r w:rsidR="00752A11">
        <w:rPr>
          <w:rFonts w:hint="eastAsia"/>
        </w:rPr>
        <w:t>传媒母基</w:t>
      </w:r>
      <w:r>
        <w:rPr>
          <w:rFonts w:hint="eastAsia"/>
        </w:rPr>
        <w:t>份额折算</w:t>
      </w:r>
      <w:r w:rsidR="00B72D7B">
        <w:rPr>
          <w:rFonts w:hint="eastAsia"/>
        </w:rPr>
        <w:t>前后</w:t>
      </w:r>
    </w:p>
    <w:p w:rsidR="008E7C70" w:rsidRDefault="00B72D7B" w:rsidP="00BE6D65">
      <w:r w:rsidRPr="00095BFF">
        <w:rPr>
          <w:rFonts w:ascii="宋体" w:hAnsi="宋体"/>
          <w:color w:val="000000"/>
          <w:position w:val="-24"/>
          <w:szCs w:val="21"/>
        </w:rPr>
        <w:object w:dxaOrig="45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3pt" o:ole="">
            <v:imagedata r:id="rId7" o:title=""/>
          </v:shape>
          <o:OLEObject Type="Embed" ProgID="Equation.DSMT4" ShapeID="_x0000_i1025" DrawAspect="Content" ObjectID="_1638910046" r:id="rId8"/>
        </w:object>
      </w:r>
    </w:p>
    <w:p w:rsidR="00BE6D65" w:rsidRDefault="00B72D7B" w:rsidP="00BE6D65">
      <w:r>
        <w:rPr>
          <w:rFonts w:hint="eastAsia"/>
        </w:rPr>
        <w:t>传媒母基</w:t>
      </w:r>
      <w:r w:rsidR="00BE6D65">
        <w:rPr>
          <w:rFonts w:hint="eastAsia"/>
        </w:rPr>
        <w:t>份额持有人新增的</w:t>
      </w:r>
      <w:r>
        <w:rPr>
          <w:rFonts w:hint="eastAsia"/>
        </w:rPr>
        <w:t>传媒母基</w:t>
      </w:r>
      <w:r w:rsidR="00BE6D65">
        <w:rPr>
          <w:rFonts w:hint="eastAsia"/>
        </w:rPr>
        <w:t>份额</w:t>
      </w:r>
      <w:r w:rsidR="00BE6D65">
        <w:rPr>
          <w:rFonts w:hint="eastAsia"/>
        </w:rPr>
        <w:t xml:space="preserve">= </w:t>
      </w:r>
      <w:r w:rsidRPr="00B72D7B">
        <w:rPr>
          <w:position w:val="-32"/>
        </w:rPr>
        <w:object w:dxaOrig="3420" w:dyaOrig="760">
          <v:shape id="_x0000_i1026" type="#_x0000_t75" style="width:171pt;height:38.25pt" o:ole="">
            <v:imagedata r:id="rId9" o:title=""/>
          </v:shape>
          <o:OLEObject Type="Embed" ProgID="Equation.DSMT4" ShapeID="_x0000_i1026" DrawAspect="Content" ObjectID="_1638910047" r:id="rId10"/>
        </w:object>
      </w:r>
    </w:p>
    <w:p w:rsidR="00572F16" w:rsidRDefault="00572F16" w:rsidP="00572F16">
      <w:pPr>
        <w:ind w:firstLineChars="200" w:firstLine="420"/>
        <w:rPr>
          <w:rFonts w:hint="eastAsia"/>
        </w:rPr>
      </w:pPr>
      <w:r>
        <w:rPr>
          <w:rFonts w:hint="eastAsia"/>
          <w:szCs w:val="21"/>
        </w:rPr>
        <w:t>定期份额折算后传媒母基份额的份额数</w:t>
      </w:r>
      <w:r>
        <w:rPr>
          <w:szCs w:val="21"/>
        </w:rPr>
        <w:t>=</w:t>
      </w:r>
      <w:r>
        <w:rPr>
          <w:rFonts w:hint="eastAsia"/>
          <w:szCs w:val="21"/>
        </w:rPr>
        <w:t>定期份额折算前传媒母基份额的份额数</w:t>
      </w:r>
      <w:r>
        <w:rPr>
          <w:szCs w:val="21"/>
        </w:rPr>
        <w:t>+</w:t>
      </w:r>
      <w:r>
        <w:rPr>
          <w:rFonts w:hint="eastAsia"/>
          <w:szCs w:val="21"/>
        </w:rPr>
        <w:t>传媒母基份额持有人新增的传媒母基份额的份额数</w:t>
      </w:r>
    </w:p>
    <w:p w:rsidR="00BE6D65" w:rsidRDefault="00BE6D65" w:rsidP="00BE6D65">
      <w:r>
        <w:rPr>
          <w:rFonts w:hint="eastAsia"/>
        </w:rPr>
        <w:t>其中：</w:t>
      </w:r>
    </w:p>
    <w:p w:rsidR="00BE6D65" w:rsidRDefault="00B72D7B" w:rsidP="00BE6D65">
      <w:r w:rsidRPr="00B72D7B">
        <w:rPr>
          <w:rFonts w:ascii="宋体" w:hAnsi="宋体"/>
          <w:position w:val="-14"/>
          <w:szCs w:val="21"/>
        </w:rPr>
        <w:object w:dxaOrig="1080" w:dyaOrig="400">
          <v:shape id="_x0000_i1027" type="#_x0000_t75" style="width:54pt;height:20.25pt" o:ole="">
            <v:imagedata r:id="rId11" o:title=""/>
          </v:shape>
          <o:OLEObject Type="Embed" ProgID="Equation.DSMT4" ShapeID="_x0000_i1027" DrawAspect="Content" ObjectID="_1638910048" r:id="rId12"/>
        </w:object>
      </w:r>
      <w:r w:rsidR="00BE6D65">
        <w:rPr>
          <w:rFonts w:hint="eastAsia"/>
        </w:rPr>
        <w:t>：份额折算前</w:t>
      </w:r>
      <w:r>
        <w:rPr>
          <w:rFonts w:hint="eastAsia"/>
        </w:rPr>
        <w:t>传媒母基</w:t>
      </w:r>
      <w:r w:rsidR="00BE6D65">
        <w:rPr>
          <w:rFonts w:hint="eastAsia"/>
        </w:rPr>
        <w:t>份额的基金份额净值，下同</w:t>
      </w:r>
    </w:p>
    <w:p w:rsidR="00BE6D65" w:rsidRDefault="00B72D7B" w:rsidP="00BE6D65">
      <w:r w:rsidRPr="00B72D7B">
        <w:rPr>
          <w:rFonts w:ascii="宋体" w:hAnsi="宋体"/>
          <w:position w:val="-14"/>
          <w:szCs w:val="21"/>
        </w:rPr>
        <w:object w:dxaOrig="1080" w:dyaOrig="400">
          <v:shape id="_x0000_i1028" type="#_x0000_t75" style="width:54pt;height:20.25pt" o:ole="">
            <v:imagedata r:id="rId13" o:title=""/>
          </v:shape>
          <o:OLEObject Type="Embed" ProgID="Equation.DSMT4" ShapeID="_x0000_i1028" DrawAspect="Content" ObjectID="_1638910049" r:id="rId14"/>
        </w:object>
      </w:r>
      <w:r w:rsidR="00BE6D65">
        <w:rPr>
          <w:rFonts w:hint="eastAsia"/>
        </w:rPr>
        <w:t>：份额折算后</w:t>
      </w:r>
      <w:r>
        <w:rPr>
          <w:rFonts w:hint="eastAsia"/>
        </w:rPr>
        <w:t>传媒母基</w:t>
      </w:r>
      <w:r w:rsidR="00BE6D65">
        <w:rPr>
          <w:rFonts w:hint="eastAsia"/>
        </w:rPr>
        <w:t>份额的基金份额净值，下同</w:t>
      </w:r>
    </w:p>
    <w:p w:rsidR="00BE6D65" w:rsidRDefault="008E7C70" w:rsidP="00BE6D65">
      <w:r w:rsidRPr="00844C06">
        <w:rPr>
          <w:rFonts w:ascii="宋体" w:hAnsi="宋体"/>
          <w:position w:val="-12"/>
          <w:szCs w:val="21"/>
        </w:rPr>
        <w:object w:dxaOrig="720" w:dyaOrig="380">
          <v:shape id="_x0000_i1029" type="#_x0000_t75" style="width:36pt;height:18.75pt" o:ole="">
            <v:imagedata r:id="rId15" o:title=""/>
          </v:shape>
          <o:OLEObject Type="Embed" ProgID="Equation.DSMT4" ShapeID="_x0000_i1029" DrawAspect="Content" ObjectID="_1638910050" r:id="rId16"/>
        </w:object>
      </w:r>
      <w:r w:rsidR="00BE6D65">
        <w:rPr>
          <w:rFonts w:hint="eastAsia"/>
        </w:rPr>
        <w:t>：份额折算前</w:t>
      </w:r>
      <w:r w:rsidR="00B72D7B">
        <w:rPr>
          <w:rFonts w:hint="eastAsia"/>
        </w:rPr>
        <w:t>传媒</w:t>
      </w:r>
      <w:r w:rsidR="00BE6D65">
        <w:rPr>
          <w:rFonts w:hint="eastAsia"/>
        </w:rPr>
        <w:t>A</w:t>
      </w:r>
      <w:r w:rsidR="00B72D7B">
        <w:rPr>
          <w:rFonts w:hint="eastAsia"/>
        </w:rPr>
        <w:t>级</w:t>
      </w:r>
      <w:r w:rsidR="00BE6D65">
        <w:rPr>
          <w:rFonts w:hint="eastAsia"/>
        </w:rPr>
        <w:t>份额的基金份额净值，下同</w:t>
      </w:r>
    </w:p>
    <w:p w:rsidR="00BE6D65" w:rsidRDefault="00B72D7B" w:rsidP="00BE6D65">
      <w:r w:rsidRPr="00B72D7B">
        <w:rPr>
          <w:rFonts w:ascii="宋体" w:hAnsi="宋体"/>
          <w:position w:val="-14"/>
          <w:szCs w:val="21"/>
        </w:rPr>
        <w:object w:dxaOrig="1200" w:dyaOrig="400">
          <v:shape id="_x0000_i1030" type="#_x0000_t75" style="width:60pt;height:20.25pt" o:ole="">
            <v:imagedata r:id="rId17" o:title=""/>
          </v:shape>
          <o:OLEObject Type="Embed" ProgID="Equation.DSMT4" ShapeID="_x0000_i1030" DrawAspect="Content" ObjectID="_1638910051" r:id="rId18"/>
        </w:object>
      </w:r>
      <w:r w:rsidR="00BE6D65">
        <w:rPr>
          <w:rFonts w:hint="eastAsia"/>
        </w:rPr>
        <w:t>：份额折算前</w:t>
      </w:r>
      <w:r>
        <w:rPr>
          <w:rFonts w:hint="eastAsia"/>
        </w:rPr>
        <w:t>传媒母基</w:t>
      </w:r>
      <w:r w:rsidR="00BE6D65">
        <w:rPr>
          <w:rFonts w:hint="eastAsia"/>
        </w:rPr>
        <w:t>份额的份额数，下同</w:t>
      </w:r>
    </w:p>
    <w:p w:rsidR="00BE6D65" w:rsidRDefault="00BE6D65" w:rsidP="00BE6D65">
      <w:r>
        <w:rPr>
          <w:rFonts w:hint="eastAsia"/>
        </w:rPr>
        <w:t>2</w:t>
      </w:r>
      <w:r>
        <w:rPr>
          <w:rFonts w:hint="eastAsia"/>
        </w:rPr>
        <w:t>、</w:t>
      </w:r>
      <w:r>
        <w:rPr>
          <w:rFonts w:hint="eastAsia"/>
        </w:rPr>
        <w:t xml:space="preserve"> </w:t>
      </w:r>
      <w:r w:rsidR="00B72D7B">
        <w:rPr>
          <w:rFonts w:hint="eastAsia"/>
        </w:rPr>
        <w:t>传媒</w:t>
      </w:r>
      <w:r>
        <w:rPr>
          <w:rFonts w:hint="eastAsia"/>
        </w:rPr>
        <w:t>A</w:t>
      </w:r>
      <w:r w:rsidR="00B72D7B">
        <w:rPr>
          <w:rFonts w:hint="eastAsia"/>
        </w:rPr>
        <w:t>级</w:t>
      </w:r>
      <w:r>
        <w:rPr>
          <w:rFonts w:hint="eastAsia"/>
        </w:rPr>
        <w:t>份额折算</w:t>
      </w:r>
    </w:p>
    <w:p w:rsidR="00BE6D65" w:rsidRDefault="00BE6D65" w:rsidP="00BE6D65">
      <w:r>
        <w:rPr>
          <w:rFonts w:hint="eastAsia"/>
        </w:rPr>
        <w:t>定期份额折算后</w:t>
      </w:r>
      <w:r w:rsidR="00B72D7B">
        <w:rPr>
          <w:rFonts w:hint="eastAsia"/>
        </w:rPr>
        <w:t>传媒</w:t>
      </w:r>
      <w:r w:rsidR="00B72D7B">
        <w:rPr>
          <w:rFonts w:hint="eastAsia"/>
        </w:rPr>
        <w:t>A</w:t>
      </w:r>
      <w:r w:rsidR="00B72D7B">
        <w:rPr>
          <w:rFonts w:hint="eastAsia"/>
        </w:rPr>
        <w:t>级</w:t>
      </w:r>
      <w:r>
        <w:rPr>
          <w:rFonts w:hint="eastAsia"/>
        </w:rPr>
        <w:t>份额的基金份额参考净值</w:t>
      </w:r>
      <w:r>
        <w:rPr>
          <w:rFonts w:hint="eastAsia"/>
        </w:rPr>
        <w:t>=1.0000</w:t>
      </w:r>
    </w:p>
    <w:p w:rsidR="00BE6D65" w:rsidRDefault="00BE6D65" w:rsidP="00BE6D65">
      <w:r>
        <w:rPr>
          <w:rFonts w:hint="eastAsia"/>
        </w:rPr>
        <w:t>定期份额折算后</w:t>
      </w:r>
      <w:r w:rsidR="00A5398C">
        <w:rPr>
          <w:rFonts w:hint="eastAsia"/>
        </w:rPr>
        <w:t>传媒</w:t>
      </w:r>
      <w:r w:rsidR="00A5398C">
        <w:rPr>
          <w:rFonts w:hint="eastAsia"/>
        </w:rPr>
        <w:t>A</w:t>
      </w:r>
      <w:r w:rsidR="00A5398C">
        <w:rPr>
          <w:rFonts w:hint="eastAsia"/>
        </w:rPr>
        <w:t>级</w:t>
      </w:r>
      <w:r>
        <w:rPr>
          <w:rFonts w:hint="eastAsia"/>
        </w:rPr>
        <w:t>份额的份额数</w:t>
      </w:r>
      <w:r>
        <w:rPr>
          <w:rFonts w:hint="eastAsia"/>
        </w:rPr>
        <w:t xml:space="preserve"> = </w:t>
      </w:r>
      <w:r>
        <w:rPr>
          <w:rFonts w:hint="eastAsia"/>
        </w:rPr>
        <w:t>定期份额折算前</w:t>
      </w:r>
      <w:r w:rsidR="00A5398C">
        <w:rPr>
          <w:rFonts w:hint="eastAsia"/>
        </w:rPr>
        <w:t>传媒</w:t>
      </w:r>
      <w:r w:rsidR="00A5398C">
        <w:rPr>
          <w:rFonts w:hint="eastAsia"/>
        </w:rPr>
        <w:t>A</w:t>
      </w:r>
      <w:r w:rsidR="00A5398C">
        <w:rPr>
          <w:rFonts w:hint="eastAsia"/>
        </w:rPr>
        <w:t>级</w:t>
      </w:r>
      <w:r>
        <w:rPr>
          <w:rFonts w:hint="eastAsia"/>
        </w:rPr>
        <w:t>份额的份额数</w:t>
      </w:r>
    </w:p>
    <w:p w:rsidR="00BE6D65" w:rsidRDefault="00A5398C" w:rsidP="00BE6D65">
      <w:r>
        <w:rPr>
          <w:rFonts w:hint="eastAsia"/>
        </w:rPr>
        <w:t>传媒</w:t>
      </w:r>
      <w:r>
        <w:rPr>
          <w:rFonts w:hint="eastAsia"/>
        </w:rPr>
        <w:t>A</w:t>
      </w:r>
      <w:r>
        <w:rPr>
          <w:rFonts w:hint="eastAsia"/>
        </w:rPr>
        <w:t>级</w:t>
      </w:r>
      <w:r w:rsidR="00BE6D65">
        <w:rPr>
          <w:rFonts w:hint="eastAsia"/>
        </w:rPr>
        <w:t>份额持有人新增的</w:t>
      </w:r>
      <w:r>
        <w:rPr>
          <w:rFonts w:hint="eastAsia"/>
        </w:rPr>
        <w:t>传媒母基</w:t>
      </w:r>
      <w:r w:rsidR="00BE6D65">
        <w:rPr>
          <w:rFonts w:hint="eastAsia"/>
        </w:rPr>
        <w:t>份额</w:t>
      </w:r>
      <w:r w:rsidR="00BE6D65">
        <w:rPr>
          <w:rFonts w:hint="eastAsia"/>
        </w:rPr>
        <w:t>=</w:t>
      </w:r>
      <w:r w:rsidR="001C33D3" w:rsidRPr="001C33D3">
        <w:rPr>
          <w:position w:val="-32"/>
        </w:rPr>
        <w:object w:dxaOrig="2720" w:dyaOrig="740">
          <v:shape id="_x0000_i1031" type="#_x0000_t75" style="width:135.75pt;height:36.75pt" o:ole="">
            <v:imagedata r:id="rId19" o:title=""/>
          </v:shape>
          <o:OLEObject Type="Embed" ProgID="Equation.DSMT4" ShapeID="_x0000_i1031" DrawAspect="Content" ObjectID="_1638910052" r:id="rId20"/>
        </w:object>
      </w:r>
    </w:p>
    <w:p w:rsidR="00BE6D65" w:rsidRDefault="00BE6D65" w:rsidP="00BE6D65">
      <w:r>
        <w:rPr>
          <w:rFonts w:hint="eastAsia"/>
        </w:rPr>
        <w:t>其中：</w:t>
      </w:r>
    </w:p>
    <w:p w:rsidR="00BE6D65" w:rsidRDefault="008E7C70" w:rsidP="00BE6D65">
      <w:r w:rsidRPr="00844C06">
        <w:rPr>
          <w:rFonts w:ascii="宋体" w:hAnsi="宋体"/>
          <w:position w:val="-12"/>
          <w:szCs w:val="21"/>
        </w:rPr>
        <w:object w:dxaOrig="720" w:dyaOrig="380">
          <v:shape id="_x0000_i1032" type="#_x0000_t75" style="width:36pt;height:18.75pt" o:ole="">
            <v:imagedata r:id="rId21" o:title=""/>
          </v:shape>
          <o:OLEObject Type="Embed" ProgID="Equation.DSMT4" ShapeID="_x0000_i1032" DrawAspect="Content" ObjectID="_1638910053" r:id="rId22"/>
        </w:object>
      </w:r>
      <w:r w:rsidR="00BE6D65">
        <w:rPr>
          <w:rFonts w:hint="eastAsia"/>
        </w:rPr>
        <w:t>：份额折算后</w:t>
      </w:r>
      <w:r w:rsidR="00A5398C">
        <w:rPr>
          <w:rFonts w:hint="eastAsia"/>
        </w:rPr>
        <w:t>传媒</w:t>
      </w:r>
      <w:r w:rsidR="00A5398C">
        <w:rPr>
          <w:rFonts w:hint="eastAsia"/>
        </w:rPr>
        <w:t>A</w:t>
      </w:r>
      <w:r w:rsidR="00A5398C">
        <w:rPr>
          <w:rFonts w:hint="eastAsia"/>
        </w:rPr>
        <w:t>级</w:t>
      </w:r>
      <w:r w:rsidR="00BE6D65">
        <w:rPr>
          <w:rFonts w:hint="eastAsia"/>
        </w:rPr>
        <w:t>份额的基金份额净值，下同</w:t>
      </w:r>
    </w:p>
    <w:p w:rsidR="00BE6D65" w:rsidRDefault="008E7C70" w:rsidP="00BE6D65">
      <w:r w:rsidRPr="00844C06">
        <w:rPr>
          <w:rFonts w:ascii="宋体" w:hAnsi="宋体"/>
          <w:position w:val="-12"/>
          <w:szCs w:val="21"/>
        </w:rPr>
        <w:object w:dxaOrig="780" w:dyaOrig="380">
          <v:shape id="_x0000_i1033" type="#_x0000_t75" style="width:39pt;height:18.75pt" o:ole="">
            <v:imagedata r:id="rId23" o:title=""/>
          </v:shape>
          <o:OLEObject Type="Embed" ProgID="Equation.DSMT4" ShapeID="_x0000_i1033" DrawAspect="Content" ObjectID="_1638910054" r:id="rId24"/>
        </w:object>
      </w:r>
      <w:r w:rsidR="00BE6D65">
        <w:rPr>
          <w:rFonts w:hint="eastAsia"/>
        </w:rPr>
        <w:t>：份额折算前</w:t>
      </w:r>
      <w:r w:rsidR="00A5398C">
        <w:rPr>
          <w:rFonts w:hint="eastAsia"/>
        </w:rPr>
        <w:t>传媒</w:t>
      </w:r>
      <w:r w:rsidR="00A5398C">
        <w:rPr>
          <w:rFonts w:hint="eastAsia"/>
        </w:rPr>
        <w:t>A</w:t>
      </w:r>
      <w:r w:rsidR="00A5398C">
        <w:rPr>
          <w:rFonts w:hint="eastAsia"/>
        </w:rPr>
        <w:t>级</w:t>
      </w:r>
      <w:r w:rsidR="00BE6D65">
        <w:rPr>
          <w:rFonts w:hint="eastAsia"/>
        </w:rPr>
        <w:t>份额的份额数，下同</w:t>
      </w:r>
    </w:p>
    <w:p w:rsidR="00BE6D65" w:rsidRDefault="00BE6D65" w:rsidP="00BE6D65">
      <w:r>
        <w:rPr>
          <w:rFonts w:hint="eastAsia"/>
        </w:rPr>
        <w:t>3</w:t>
      </w:r>
      <w:r>
        <w:rPr>
          <w:rFonts w:hint="eastAsia"/>
        </w:rPr>
        <w:t>、</w:t>
      </w:r>
      <w:r>
        <w:rPr>
          <w:rFonts w:hint="eastAsia"/>
        </w:rPr>
        <w:t xml:space="preserve"> </w:t>
      </w:r>
      <w:r w:rsidR="00A5398C">
        <w:rPr>
          <w:rFonts w:hint="eastAsia"/>
        </w:rPr>
        <w:t>传媒</w:t>
      </w:r>
      <w:r w:rsidR="00A5398C">
        <w:rPr>
          <w:rFonts w:hint="eastAsia"/>
        </w:rPr>
        <w:t>B</w:t>
      </w:r>
      <w:r w:rsidR="00A5398C">
        <w:rPr>
          <w:rFonts w:hint="eastAsia"/>
        </w:rPr>
        <w:t>级</w:t>
      </w:r>
      <w:r>
        <w:rPr>
          <w:rFonts w:hint="eastAsia"/>
        </w:rPr>
        <w:t>份额</w:t>
      </w:r>
    </w:p>
    <w:p w:rsidR="00BE6D65" w:rsidRDefault="00BE6D65" w:rsidP="00193E16">
      <w:pPr>
        <w:ind w:firstLineChars="200" w:firstLine="420"/>
      </w:pPr>
      <w:r>
        <w:rPr>
          <w:rFonts w:hint="eastAsia"/>
        </w:rPr>
        <w:t>每个会计年度不对</w:t>
      </w:r>
      <w:r w:rsidR="00A5398C">
        <w:rPr>
          <w:rFonts w:hint="eastAsia"/>
        </w:rPr>
        <w:t>传媒</w:t>
      </w:r>
      <w:r w:rsidR="00A5398C">
        <w:rPr>
          <w:rFonts w:hint="eastAsia"/>
        </w:rPr>
        <w:t>B</w:t>
      </w:r>
      <w:r w:rsidR="00A5398C">
        <w:rPr>
          <w:rFonts w:hint="eastAsia"/>
        </w:rPr>
        <w:t>级</w:t>
      </w:r>
      <w:r>
        <w:rPr>
          <w:rFonts w:hint="eastAsia"/>
        </w:rPr>
        <w:t>进行定期份额折算，不改变其份额参考净值及其份额数。</w:t>
      </w:r>
      <w:r>
        <w:rPr>
          <w:rFonts w:hint="eastAsia"/>
        </w:rPr>
        <w:t xml:space="preserve"> </w:t>
      </w:r>
    </w:p>
    <w:p w:rsidR="00C666D8" w:rsidRDefault="008A2B59" w:rsidP="00801B80">
      <w:pPr>
        <w:ind w:firstLine="420"/>
      </w:pPr>
      <w:r>
        <w:rPr>
          <w:rFonts w:hint="eastAsia"/>
        </w:rPr>
        <w:t>传媒母基</w:t>
      </w:r>
      <w:r w:rsidR="00BE6D65">
        <w:rPr>
          <w:rFonts w:hint="eastAsia"/>
        </w:rPr>
        <w:t>份额的场外份额经折算后的份额数采用四舍五入的方式保留到小数点后两位，由此产生的误差计入基金财产；</w:t>
      </w:r>
      <w:r>
        <w:rPr>
          <w:rFonts w:hint="eastAsia"/>
        </w:rPr>
        <w:t>传媒母基</w:t>
      </w:r>
      <w:r w:rsidR="00BE6D65">
        <w:rPr>
          <w:rFonts w:hint="eastAsia"/>
        </w:rPr>
        <w:t>份额的场内份额经折算后的份额数取整计算（最小单位为</w:t>
      </w:r>
      <w:r w:rsidR="00BE6D65">
        <w:rPr>
          <w:rFonts w:hint="eastAsia"/>
        </w:rPr>
        <w:t>1</w:t>
      </w:r>
      <w:r w:rsidR="00BE6D65">
        <w:rPr>
          <w:rFonts w:hint="eastAsia"/>
        </w:rPr>
        <w:t>份），余额计入基金财产。</w:t>
      </w:r>
    </w:p>
    <w:p w:rsidR="00BE6D65" w:rsidRDefault="00A5398C" w:rsidP="00193E16">
      <w:pPr>
        <w:ind w:firstLineChars="200" w:firstLine="420"/>
      </w:pPr>
      <w:r>
        <w:rPr>
          <w:rFonts w:hint="eastAsia"/>
        </w:rPr>
        <w:t>传媒</w:t>
      </w:r>
      <w:r>
        <w:rPr>
          <w:rFonts w:hint="eastAsia"/>
        </w:rPr>
        <w:t>A</w:t>
      </w:r>
      <w:r>
        <w:rPr>
          <w:rFonts w:hint="eastAsia"/>
        </w:rPr>
        <w:t>级</w:t>
      </w:r>
      <w:r w:rsidR="00BE6D65">
        <w:rPr>
          <w:rFonts w:hint="eastAsia"/>
        </w:rPr>
        <w:t>的新增</w:t>
      </w:r>
      <w:r w:rsidR="008A2B59">
        <w:rPr>
          <w:rFonts w:hint="eastAsia"/>
        </w:rPr>
        <w:t>传媒母基</w:t>
      </w:r>
      <w:r w:rsidR="00BE6D65">
        <w:rPr>
          <w:rFonts w:hint="eastAsia"/>
        </w:rPr>
        <w:t>场内份额取整计算（最小单位为</w:t>
      </w:r>
      <w:r w:rsidR="00BE6D65">
        <w:rPr>
          <w:rFonts w:hint="eastAsia"/>
        </w:rPr>
        <w:t>1</w:t>
      </w:r>
      <w:r w:rsidR="00BE6D65">
        <w:rPr>
          <w:rFonts w:hint="eastAsia"/>
        </w:rPr>
        <w:t>份），余额计入基金财产。</w:t>
      </w:r>
    </w:p>
    <w:p w:rsidR="00BE6D65" w:rsidRDefault="00BE6D65" w:rsidP="00BE6D65">
      <w:r>
        <w:rPr>
          <w:rFonts w:hint="eastAsia"/>
        </w:rPr>
        <w:t>4</w:t>
      </w:r>
      <w:r>
        <w:rPr>
          <w:rFonts w:hint="eastAsia"/>
        </w:rPr>
        <w:t>、</w:t>
      </w:r>
      <w:r>
        <w:rPr>
          <w:rFonts w:hint="eastAsia"/>
        </w:rPr>
        <w:t xml:space="preserve"> </w:t>
      </w:r>
      <w:r>
        <w:rPr>
          <w:rFonts w:hint="eastAsia"/>
        </w:rPr>
        <w:t>举例：</w:t>
      </w:r>
    </w:p>
    <w:p w:rsidR="00935F98" w:rsidRDefault="00935F98" w:rsidP="00935F98">
      <w:pPr>
        <w:ind w:firstLineChars="200" w:firstLine="420"/>
      </w:pPr>
      <w:r>
        <w:rPr>
          <w:rFonts w:hint="eastAsia"/>
        </w:rPr>
        <w:t>假设</w:t>
      </w:r>
      <w:r>
        <w:t>20</w:t>
      </w:r>
      <w:r w:rsidR="00516719">
        <w:rPr>
          <w:rFonts w:hint="eastAsia"/>
        </w:rPr>
        <w:t>20</w:t>
      </w:r>
      <w:r>
        <w:rPr>
          <w:rFonts w:hint="eastAsia"/>
        </w:rPr>
        <w:t>年</w:t>
      </w:r>
      <w:r>
        <w:rPr>
          <w:rFonts w:hint="eastAsia"/>
        </w:rPr>
        <w:t>1</w:t>
      </w:r>
      <w:r>
        <w:rPr>
          <w:rFonts w:hint="eastAsia"/>
        </w:rPr>
        <w:t>月</w:t>
      </w:r>
      <w:r>
        <w:rPr>
          <w:rFonts w:hint="eastAsia"/>
        </w:rPr>
        <w:t>2</w:t>
      </w:r>
      <w:r>
        <w:rPr>
          <w:rFonts w:hint="eastAsia"/>
        </w:rPr>
        <w:t>日为定期份额折算日，当日折算前传媒母基份额的基金份额净值为</w:t>
      </w:r>
      <w:r>
        <w:rPr>
          <w:rFonts w:hint="eastAsia"/>
        </w:rPr>
        <w:t>0.9000</w:t>
      </w:r>
      <w:r>
        <w:rPr>
          <w:rFonts w:hint="eastAsia"/>
        </w:rPr>
        <w:t>元，传媒</w:t>
      </w:r>
      <w:r>
        <w:rPr>
          <w:rFonts w:hint="eastAsia"/>
        </w:rPr>
        <w:t>A</w:t>
      </w:r>
      <w:r>
        <w:rPr>
          <w:rFonts w:hint="eastAsia"/>
        </w:rPr>
        <w:t>级份额的基金份额净值为</w:t>
      </w:r>
      <w:r>
        <w:rPr>
          <w:rFonts w:hint="eastAsia"/>
        </w:rPr>
        <w:t>1.0640</w:t>
      </w:r>
      <w:r>
        <w:rPr>
          <w:rFonts w:hint="eastAsia"/>
        </w:rPr>
        <w:t>元，传媒</w:t>
      </w:r>
      <w:r>
        <w:rPr>
          <w:rFonts w:hint="eastAsia"/>
        </w:rPr>
        <w:t>B</w:t>
      </w:r>
      <w:r>
        <w:rPr>
          <w:rFonts w:hint="eastAsia"/>
        </w:rPr>
        <w:t>级份额的基金份额净值为</w:t>
      </w:r>
      <w:r>
        <w:rPr>
          <w:rFonts w:hint="eastAsia"/>
        </w:rPr>
        <w:t>0.7360</w:t>
      </w:r>
      <w:r>
        <w:rPr>
          <w:rFonts w:hint="eastAsia"/>
        </w:rPr>
        <w:t>元，投资人甲持有传媒母基份额的场内份额</w:t>
      </w:r>
      <w:r>
        <w:rPr>
          <w:rFonts w:hint="eastAsia"/>
        </w:rPr>
        <w:t>10000</w:t>
      </w:r>
      <w:r>
        <w:rPr>
          <w:rFonts w:hint="eastAsia"/>
        </w:rPr>
        <w:t>份，投资人乙持有传媒</w:t>
      </w:r>
      <w:r>
        <w:rPr>
          <w:rFonts w:hint="eastAsia"/>
        </w:rPr>
        <w:t>A</w:t>
      </w:r>
      <w:r>
        <w:rPr>
          <w:rFonts w:hint="eastAsia"/>
        </w:rPr>
        <w:t>级份额</w:t>
      </w:r>
      <w:r>
        <w:rPr>
          <w:rFonts w:hint="eastAsia"/>
        </w:rPr>
        <w:t>5000</w:t>
      </w:r>
      <w:r>
        <w:rPr>
          <w:rFonts w:hint="eastAsia"/>
        </w:rPr>
        <w:t>份，投资人丙持有传媒母基份额的场外份额</w:t>
      </w:r>
      <w:r>
        <w:rPr>
          <w:rFonts w:hint="eastAsia"/>
        </w:rPr>
        <w:t>10000</w:t>
      </w:r>
      <w:r>
        <w:rPr>
          <w:rFonts w:hint="eastAsia"/>
        </w:rPr>
        <w:t>份，投资人丁持有传媒</w:t>
      </w:r>
      <w:r>
        <w:rPr>
          <w:rFonts w:hint="eastAsia"/>
        </w:rPr>
        <w:t>B</w:t>
      </w:r>
      <w:r>
        <w:rPr>
          <w:rFonts w:hint="eastAsia"/>
        </w:rPr>
        <w:t>级份额</w:t>
      </w:r>
      <w:r>
        <w:rPr>
          <w:rFonts w:hint="eastAsia"/>
        </w:rPr>
        <w:t>8000</w:t>
      </w:r>
      <w:r>
        <w:rPr>
          <w:rFonts w:hint="eastAsia"/>
        </w:rPr>
        <w:t>份，则：</w:t>
      </w:r>
      <w:r>
        <w:rPr>
          <w:rFonts w:hint="eastAsia"/>
        </w:rPr>
        <w:t xml:space="preserve"> </w:t>
      </w:r>
    </w:p>
    <w:p w:rsidR="00935F98" w:rsidRDefault="00935F98" w:rsidP="00935F98">
      <w:pPr>
        <w:ind w:firstLineChars="200" w:firstLine="420"/>
      </w:pPr>
      <w:r>
        <w:rPr>
          <w:rFonts w:hint="eastAsia"/>
        </w:rPr>
        <w:t>份额折算日份额折算后传媒母基份额的基金份额净值＝</w:t>
      </w:r>
      <w:r>
        <w:rPr>
          <w:rFonts w:hint="eastAsia"/>
        </w:rPr>
        <w:t>0.9000-0.5</w:t>
      </w:r>
      <w:r>
        <w:rPr>
          <w:rFonts w:hint="eastAsia"/>
        </w:rPr>
        <w:t>×</w:t>
      </w:r>
      <w:r>
        <w:rPr>
          <w:rFonts w:hint="eastAsia"/>
        </w:rPr>
        <w:t>(1.0640-1.0000)</w:t>
      </w:r>
      <w:r>
        <w:rPr>
          <w:rFonts w:hint="eastAsia"/>
        </w:rPr>
        <w:t>＝</w:t>
      </w:r>
      <w:r>
        <w:rPr>
          <w:rFonts w:hint="eastAsia"/>
        </w:rPr>
        <w:t>0.8680</w:t>
      </w:r>
      <w:r>
        <w:rPr>
          <w:rFonts w:hint="eastAsia"/>
        </w:rPr>
        <w:t>元，传媒</w:t>
      </w:r>
      <w:r>
        <w:rPr>
          <w:rFonts w:hint="eastAsia"/>
        </w:rPr>
        <w:t>A</w:t>
      </w:r>
      <w:r>
        <w:rPr>
          <w:rFonts w:hint="eastAsia"/>
        </w:rPr>
        <w:t>级份额的基金份额净值＝</w:t>
      </w:r>
      <w:r>
        <w:rPr>
          <w:rFonts w:hint="eastAsia"/>
        </w:rPr>
        <w:t>1.0000</w:t>
      </w:r>
      <w:r>
        <w:rPr>
          <w:rFonts w:hint="eastAsia"/>
        </w:rPr>
        <w:t>元，传媒</w:t>
      </w:r>
      <w:r>
        <w:rPr>
          <w:rFonts w:hint="eastAsia"/>
        </w:rPr>
        <w:t>B</w:t>
      </w:r>
      <w:r>
        <w:rPr>
          <w:rFonts w:hint="eastAsia"/>
        </w:rPr>
        <w:t>级份额的基金份额净值</w:t>
      </w:r>
      <w:r>
        <w:rPr>
          <w:rFonts w:hint="eastAsia"/>
        </w:rPr>
        <w:t>=0.7360</w:t>
      </w:r>
      <w:r>
        <w:rPr>
          <w:rFonts w:hint="eastAsia"/>
        </w:rPr>
        <w:t>元。</w:t>
      </w:r>
      <w:r>
        <w:rPr>
          <w:rFonts w:hint="eastAsia"/>
        </w:rPr>
        <w:t xml:space="preserve"> </w:t>
      </w:r>
    </w:p>
    <w:p w:rsidR="00935F98" w:rsidRDefault="00935F98" w:rsidP="00935F98">
      <w:pPr>
        <w:ind w:firstLineChars="200" w:firstLine="420"/>
      </w:pPr>
      <w:r>
        <w:rPr>
          <w:rFonts w:hint="eastAsia"/>
        </w:rPr>
        <w:t>投资人甲新增的传媒母基份额数＝</w:t>
      </w:r>
      <w:r>
        <w:rPr>
          <w:rFonts w:hint="eastAsia"/>
        </w:rPr>
        <w:t>[0.5</w:t>
      </w:r>
      <w:r>
        <w:rPr>
          <w:rFonts w:hint="eastAsia"/>
        </w:rPr>
        <w:t>×</w:t>
      </w:r>
      <w:r>
        <w:rPr>
          <w:rFonts w:hint="eastAsia"/>
        </w:rPr>
        <w:t>10000</w:t>
      </w:r>
      <w:r>
        <w:rPr>
          <w:rFonts w:hint="eastAsia"/>
        </w:rPr>
        <w:t>×</w:t>
      </w:r>
      <w:r>
        <w:rPr>
          <w:rFonts w:hint="eastAsia"/>
        </w:rPr>
        <w:t>(1.0640-1.0000)]</w:t>
      </w:r>
      <w:r>
        <w:rPr>
          <w:rFonts w:hint="eastAsia"/>
        </w:rPr>
        <w:t>／</w:t>
      </w:r>
      <w:r>
        <w:rPr>
          <w:rFonts w:hint="eastAsia"/>
        </w:rPr>
        <w:t>0.8680</w:t>
      </w:r>
      <w:r>
        <w:rPr>
          <w:rFonts w:hint="eastAsia"/>
        </w:rPr>
        <w:t>＝</w:t>
      </w:r>
      <w:r>
        <w:rPr>
          <w:rFonts w:hint="eastAsia"/>
        </w:rPr>
        <w:t>368</w:t>
      </w:r>
      <w:r>
        <w:rPr>
          <w:rFonts w:hint="eastAsia"/>
        </w:rPr>
        <w:t>份（场内份额截位取整计算，最小单位为</w:t>
      </w:r>
      <w:r>
        <w:rPr>
          <w:rFonts w:hint="eastAsia"/>
        </w:rPr>
        <w:t>1</w:t>
      </w:r>
      <w:r>
        <w:rPr>
          <w:rFonts w:hint="eastAsia"/>
        </w:rPr>
        <w:t>份，余额计入基金财产）</w:t>
      </w:r>
      <w:r>
        <w:rPr>
          <w:rFonts w:hint="eastAsia"/>
        </w:rPr>
        <w:t xml:space="preserve"> </w:t>
      </w:r>
    </w:p>
    <w:p w:rsidR="00935F98" w:rsidRDefault="00935F98" w:rsidP="00935F98">
      <w:pPr>
        <w:ind w:firstLine="420"/>
      </w:pPr>
      <w:r>
        <w:rPr>
          <w:rFonts w:hint="eastAsia"/>
        </w:rPr>
        <w:t>投资人乙新增的传媒母基份额数＝</w:t>
      </w:r>
      <w:r>
        <w:rPr>
          <w:rFonts w:hint="eastAsia"/>
        </w:rPr>
        <w:t>[5000</w:t>
      </w:r>
      <w:r>
        <w:rPr>
          <w:rFonts w:hint="eastAsia"/>
        </w:rPr>
        <w:t>×</w:t>
      </w:r>
      <w:r>
        <w:rPr>
          <w:rFonts w:hint="eastAsia"/>
        </w:rPr>
        <w:t>(1.0640-1.0000)]</w:t>
      </w:r>
      <w:r>
        <w:rPr>
          <w:rFonts w:hint="eastAsia"/>
        </w:rPr>
        <w:t>／</w:t>
      </w:r>
      <w:r>
        <w:rPr>
          <w:rFonts w:hint="eastAsia"/>
        </w:rPr>
        <w:t>0.8680</w:t>
      </w:r>
      <w:r>
        <w:rPr>
          <w:rFonts w:hint="eastAsia"/>
        </w:rPr>
        <w:t>＝</w:t>
      </w:r>
      <w:r>
        <w:rPr>
          <w:rFonts w:hint="eastAsia"/>
        </w:rPr>
        <w:t>368</w:t>
      </w:r>
      <w:r>
        <w:rPr>
          <w:rFonts w:hint="eastAsia"/>
        </w:rPr>
        <w:t>份（场内份额截位取整计算，最小单位为</w:t>
      </w:r>
      <w:r>
        <w:rPr>
          <w:rFonts w:hint="eastAsia"/>
        </w:rPr>
        <w:t>1</w:t>
      </w:r>
      <w:r>
        <w:rPr>
          <w:rFonts w:hint="eastAsia"/>
        </w:rPr>
        <w:t>份，余额计入基金财产）</w:t>
      </w:r>
      <w:r>
        <w:rPr>
          <w:rFonts w:hint="eastAsia"/>
        </w:rPr>
        <w:t xml:space="preserve"> </w:t>
      </w:r>
    </w:p>
    <w:p w:rsidR="00935F98" w:rsidRDefault="00935F98" w:rsidP="00935F98">
      <w:pPr>
        <w:ind w:firstLineChars="200" w:firstLine="420"/>
      </w:pPr>
      <w:r>
        <w:rPr>
          <w:rFonts w:hint="eastAsia"/>
        </w:rPr>
        <w:t>投资人丙新增的传媒母基份额数＝</w:t>
      </w:r>
      <w:r>
        <w:rPr>
          <w:rFonts w:hint="eastAsia"/>
        </w:rPr>
        <w:t>[0.5</w:t>
      </w:r>
      <w:r>
        <w:rPr>
          <w:rFonts w:hint="eastAsia"/>
        </w:rPr>
        <w:t>×</w:t>
      </w:r>
      <w:r>
        <w:rPr>
          <w:rFonts w:hint="eastAsia"/>
        </w:rPr>
        <w:t>10000</w:t>
      </w:r>
      <w:r>
        <w:rPr>
          <w:rFonts w:hint="eastAsia"/>
        </w:rPr>
        <w:t>×</w:t>
      </w:r>
      <w:r>
        <w:rPr>
          <w:rFonts w:hint="eastAsia"/>
        </w:rPr>
        <w:t>(1.0640-1.0000)]</w:t>
      </w:r>
      <w:r>
        <w:rPr>
          <w:rFonts w:hint="eastAsia"/>
        </w:rPr>
        <w:t>／</w:t>
      </w:r>
      <w:r>
        <w:rPr>
          <w:rFonts w:hint="eastAsia"/>
        </w:rPr>
        <w:t>0.8680</w:t>
      </w:r>
      <w:r>
        <w:rPr>
          <w:rFonts w:hint="eastAsia"/>
        </w:rPr>
        <w:t>＝</w:t>
      </w:r>
      <w:r>
        <w:rPr>
          <w:rFonts w:hint="eastAsia"/>
        </w:rPr>
        <w:t>368.66</w:t>
      </w:r>
      <w:r>
        <w:rPr>
          <w:rFonts w:hint="eastAsia"/>
        </w:rPr>
        <w:t>份（场外新增份额数采用四舍五入的方式保留到小数点后两位，由此产生的误差计入基金财产）</w:t>
      </w:r>
      <w:r>
        <w:rPr>
          <w:rFonts w:hint="eastAsia"/>
        </w:rPr>
        <w:t xml:space="preserve"> </w:t>
      </w:r>
    </w:p>
    <w:p w:rsidR="00BE6D65" w:rsidRDefault="00935F98" w:rsidP="00935F98">
      <w:pPr>
        <w:ind w:firstLineChars="200" w:firstLine="420"/>
      </w:pPr>
      <w:r>
        <w:rPr>
          <w:rFonts w:hint="eastAsia"/>
        </w:rPr>
        <w:t>即：份额折算日份额折算后，投资人甲共持有传媒母基份额的场内份额</w:t>
      </w:r>
      <w:r>
        <w:rPr>
          <w:rFonts w:hint="eastAsia"/>
        </w:rPr>
        <w:t>10368</w:t>
      </w:r>
      <w:r>
        <w:rPr>
          <w:rFonts w:hint="eastAsia"/>
        </w:rPr>
        <w:t>份，投资人乙共持有传媒</w:t>
      </w:r>
      <w:r>
        <w:rPr>
          <w:rFonts w:hint="eastAsia"/>
        </w:rPr>
        <w:t>A</w:t>
      </w:r>
      <w:r>
        <w:rPr>
          <w:rFonts w:hint="eastAsia"/>
        </w:rPr>
        <w:t>级份额</w:t>
      </w:r>
      <w:r>
        <w:rPr>
          <w:rFonts w:hint="eastAsia"/>
        </w:rPr>
        <w:t>5000</w:t>
      </w:r>
      <w:r>
        <w:rPr>
          <w:rFonts w:hint="eastAsia"/>
        </w:rPr>
        <w:t>份及传媒母基份额的场内份额</w:t>
      </w:r>
      <w:r>
        <w:rPr>
          <w:rFonts w:hint="eastAsia"/>
        </w:rPr>
        <w:t>368</w:t>
      </w:r>
      <w:r>
        <w:rPr>
          <w:rFonts w:hint="eastAsia"/>
        </w:rPr>
        <w:t>份，投资人丙共持有传媒母基份额的场外份额</w:t>
      </w:r>
      <w:r>
        <w:rPr>
          <w:rFonts w:hint="eastAsia"/>
        </w:rPr>
        <w:t>10368.66</w:t>
      </w:r>
      <w:r>
        <w:rPr>
          <w:rFonts w:hint="eastAsia"/>
        </w:rPr>
        <w:t>份，投资人丁仍持有传媒</w:t>
      </w:r>
      <w:r>
        <w:rPr>
          <w:rFonts w:hint="eastAsia"/>
        </w:rPr>
        <w:t>B</w:t>
      </w:r>
      <w:r>
        <w:rPr>
          <w:rFonts w:hint="eastAsia"/>
        </w:rPr>
        <w:t>级份额</w:t>
      </w:r>
      <w:r>
        <w:rPr>
          <w:rFonts w:hint="eastAsia"/>
        </w:rPr>
        <w:t>8000</w:t>
      </w:r>
      <w:r>
        <w:rPr>
          <w:rFonts w:hint="eastAsia"/>
        </w:rPr>
        <w:t>份。</w:t>
      </w:r>
    </w:p>
    <w:p w:rsidR="006D3A90" w:rsidRDefault="006D3A90" w:rsidP="00193E16">
      <w:pPr>
        <w:ind w:firstLineChars="200" w:firstLine="420"/>
        <w:rPr>
          <w:rFonts w:hint="eastAsia"/>
        </w:rPr>
      </w:pPr>
    </w:p>
    <w:p w:rsidR="00BE6D65" w:rsidRDefault="00BE6D65" w:rsidP="00BE6D65">
      <w:r>
        <w:rPr>
          <w:rFonts w:hint="eastAsia"/>
        </w:rPr>
        <w:t>四、基金份额折算期间的基金业务办理</w:t>
      </w:r>
    </w:p>
    <w:p w:rsidR="005F051D" w:rsidRDefault="00BE6D65" w:rsidP="00801B80">
      <w:pPr>
        <w:ind w:firstLine="420"/>
      </w:pPr>
      <w:r>
        <w:rPr>
          <w:rFonts w:hint="eastAsia"/>
        </w:rPr>
        <w:t>（一）定期份额折算基准日（即</w:t>
      </w:r>
      <w:r w:rsidR="00957055">
        <w:rPr>
          <w:rFonts w:hint="eastAsia"/>
        </w:rPr>
        <w:t>20</w:t>
      </w:r>
      <w:r w:rsidR="00516719">
        <w:rPr>
          <w:rFonts w:hint="eastAsia"/>
        </w:rPr>
        <w:t>20</w:t>
      </w:r>
      <w:r>
        <w:rPr>
          <w:rFonts w:hint="eastAsia"/>
        </w:rPr>
        <w:t>年</w:t>
      </w:r>
      <w:r>
        <w:rPr>
          <w:rFonts w:hint="eastAsia"/>
        </w:rPr>
        <w:t>1</w:t>
      </w:r>
      <w:r>
        <w:rPr>
          <w:rFonts w:hint="eastAsia"/>
        </w:rPr>
        <w:t>月</w:t>
      </w:r>
      <w:r w:rsidR="00865D69">
        <w:t>2</w:t>
      </w:r>
      <w:r>
        <w:rPr>
          <w:rFonts w:hint="eastAsia"/>
        </w:rPr>
        <w:t>日），本基金暂停办理申购、赎回、转托管（包括场外转托管、跨系统转托管，下同）业务、</w:t>
      </w:r>
      <w:r w:rsidR="00511EFA">
        <w:rPr>
          <w:rFonts w:hint="eastAsia"/>
        </w:rPr>
        <w:t>合并业务（本基金已于</w:t>
      </w:r>
      <w:r w:rsidR="00511EFA">
        <w:rPr>
          <w:rFonts w:hint="eastAsia"/>
        </w:rPr>
        <w:t>2019</w:t>
      </w:r>
      <w:r w:rsidR="00511EFA">
        <w:rPr>
          <w:rFonts w:hint="eastAsia"/>
        </w:rPr>
        <w:t>年</w:t>
      </w:r>
      <w:r w:rsidR="00511EFA">
        <w:rPr>
          <w:rFonts w:hint="eastAsia"/>
        </w:rPr>
        <w:t>2</w:t>
      </w:r>
      <w:r w:rsidR="00511EFA">
        <w:rPr>
          <w:rFonts w:hint="eastAsia"/>
        </w:rPr>
        <w:t>月</w:t>
      </w:r>
      <w:r w:rsidR="00511EFA">
        <w:rPr>
          <w:rFonts w:hint="eastAsia"/>
        </w:rPr>
        <w:t>22</w:t>
      </w:r>
      <w:r w:rsidR="00511EFA">
        <w:rPr>
          <w:rFonts w:hint="eastAsia"/>
        </w:rPr>
        <w:t>日公告暂停</w:t>
      </w:r>
      <w:r w:rsidR="00511EFA" w:rsidRPr="00A51AA9">
        <w:rPr>
          <w:rFonts w:hint="eastAsia"/>
        </w:rPr>
        <w:t>办理传媒母基份额的分拆业务</w:t>
      </w:r>
      <w:r w:rsidR="00511EFA">
        <w:rPr>
          <w:rFonts w:hint="eastAsia"/>
        </w:rPr>
        <w:t>）</w:t>
      </w:r>
      <w:r>
        <w:rPr>
          <w:rFonts w:hint="eastAsia"/>
        </w:rPr>
        <w:t>；</w:t>
      </w:r>
      <w:r w:rsidR="00A5398C">
        <w:rPr>
          <w:rFonts w:hint="eastAsia"/>
        </w:rPr>
        <w:t>传媒</w:t>
      </w:r>
      <w:r w:rsidR="00A5398C">
        <w:rPr>
          <w:rFonts w:hint="eastAsia"/>
        </w:rPr>
        <w:t>A</w:t>
      </w:r>
      <w:r w:rsidR="00A5398C">
        <w:rPr>
          <w:rFonts w:hint="eastAsia"/>
        </w:rPr>
        <w:t>级</w:t>
      </w:r>
      <w:r>
        <w:rPr>
          <w:rFonts w:hint="eastAsia"/>
        </w:rPr>
        <w:t>、</w:t>
      </w:r>
      <w:r w:rsidR="00A5398C">
        <w:rPr>
          <w:rFonts w:hint="eastAsia"/>
        </w:rPr>
        <w:t>传媒</w:t>
      </w:r>
      <w:r w:rsidR="00A5398C">
        <w:rPr>
          <w:rFonts w:hint="eastAsia"/>
        </w:rPr>
        <w:t>B</w:t>
      </w:r>
      <w:r w:rsidR="00A5398C">
        <w:rPr>
          <w:rFonts w:hint="eastAsia"/>
        </w:rPr>
        <w:t>级</w:t>
      </w:r>
      <w:r>
        <w:rPr>
          <w:rFonts w:hint="eastAsia"/>
        </w:rPr>
        <w:t>正常交易。当日晚间，基</w:t>
      </w:r>
      <w:r>
        <w:rPr>
          <w:rFonts w:hint="eastAsia"/>
        </w:rPr>
        <w:lastRenderedPageBreak/>
        <w:t>金管理人计算当日基金份额净值及份额折算比例。</w:t>
      </w:r>
    </w:p>
    <w:p w:rsidR="005F051D" w:rsidRDefault="00BE6D65" w:rsidP="00801B80">
      <w:pPr>
        <w:ind w:firstLine="420"/>
      </w:pPr>
      <w:r>
        <w:rPr>
          <w:rFonts w:hint="eastAsia"/>
        </w:rPr>
        <w:t>（二）定期份额折算基准日后的第一个工作日（即</w:t>
      </w:r>
      <w:r w:rsidR="00957055">
        <w:rPr>
          <w:rFonts w:hint="eastAsia"/>
        </w:rPr>
        <w:t>20</w:t>
      </w:r>
      <w:r w:rsidR="006B0815">
        <w:rPr>
          <w:rFonts w:hint="eastAsia"/>
        </w:rPr>
        <w:t>20</w:t>
      </w:r>
      <w:r>
        <w:rPr>
          <w:rFonts w:hint="eastAsia"/>
        </w:rPr>
        <w:t>年</w:t>
      </w:r>
      <w:r>
        <w:rPr>
          <w:rFonts w:hint="eastAsia"/>
        </w:rPr>
        <w:t>1</w:t>
      </w:r>
      <w:r>
        <w:rPr>
          <w:rFonts w:hint="eastAsia"/>
        </w:rPr>
        <w:t>月</w:t>
      </w:r>
      <w:r w:rsidR="00865D69">
        <w:t>3</w:t>
      </w:r>
      <w:r>
        <w:rPr>
          <w:rFonts w:hint="eastAsia"/>
        </w:rPr>
        <w:t>日），本基金暂停办理申购、赎回、转托管、</w:t>
      </w:r>
      <w:r w:rsidR="0022773B">
        <w:rPr>
          <w:rFonts w:hint="eastAsia"/>
        </w:rPr>
        <w:t>合并</w:t>
      </w:r>
      <w:r>
        <w:rPr>
          <w:rFonts w:hint="eastAsia"/>
        </w:rPr>
        <w:t>业务</w:t>
      </w:r>
      <w:r>
        <w:rPr>
          <w:rFonts w:hint="eastAsia"/>
        </w:rPr>
        <w:t xml:space="preserve">, </w:t>
      </w:r>
      <w:r w:rsidR="00A5398C">
        <w:rPr>
          <w:rFonts w:hint="eastAsia"/>
        </w:rPr>
        <w:t>传媒</w:t>
      </w:r>
      <w:r w:rsidR="00A5398C">
        <w:rPr>
          <w:rFonts w:hint="eastAsia"/>
        </w:rPr>
        <w:t>A</w:t>
      </w:r>
      <w:r w:rsidR="00A5398C">
        <w:rPr>
          <w:rFonts w:hint="eastAsia"/>
        </w:rPr>
        <w:t>级</w:t>
      </w:r>
      <w:r>
        <w:rPr>
          <w:rFonts w:hint="eastAsia"/>
        </w:rPr>
        <w:t>暂停交易，</w:t>
      </w:r>
      <w:r w:rsidR="00A5398C">
        <w:rPr>
          <w:rFonts w:hint="eastAsia"/>
        </w:rPr>
        <w:t>传媒</w:t>
      </w:r>
      <w:r w:rsidR="00A5398C">
        <w:rPr>
          <w:rFonts w:hint="eastAsia"/>
        </w:rPr>
        <w:t>B</w:t>
      </w:r>
      <w:r w:rsidR="00A5398C">
        <w:rPr>
          <w:rFonts w:hint="eastAsia"/>
        </w:rPr>
        <w:t>级</w:t>
      </w:r>
      <w:r>
        <w:rPr>
          <w:rFonts w:hint="eastAsia"/>
        </w:rPr>
        <w:t>正常交易。当日，本基金注册登记人及基金管理人为持有人办理份额登记确认。</w:t>
      </w:r>
    </w:p>
    <w:p w:rsidR="005F051D" w:rsidRDefault="00BE6D65" w:rsidP="00801B80">
      <w:pPr>
        <w:ind w:firstLine="420"/>
      </w:pPr>
      <w:r>
        <w:rPr>
          <w:rFonts w:hint="eastAsia"/>
        </w:rPr>
        <w:t>（三）定期份额折算基准日后的第二个工作日（即</w:t>
      </w:r>
      <w:r w:rsidR="00957055">
        <w:rPr>
          <w:rFonts w:hint="eastAsia"/>
        </w:rPr>
        <w:t>20</w:t>
      </w:r>
      <w:r w:rsidR="006B0815">
        <w:rPr>
          <w:rFonts w:hint="eastAsia"/>
        </w:rPr>
        <w:t>20</w:t>
      </w:r>
      <w:r>
        <w:rPr>
          <w:rFonts w:hint="eastAsia"/>
        </w:rPr>
        <w:t>年</w:t>
      </w:r>
      <w:r>
        <w:rPr>
          <w:rFonts w:hint="eastAsia"/>
        </w:rPr>
        <w:t>1</w:t>
      </w:r>
      <w:r>
        <w:rPr>
          <w:rFonts w:hint="eastAsia"/>
        </w:rPr>
        <w:t>月</w:t>
      </w:r>
      <w:r w:rsidR="006B0815">
        <w:rPr>
          <w:rFonts w:hint="eastAsia"/>
        </w:rPr>
        <w:t>6</w:t>
      </w:r>
      <w:r>
        <w:rPr>
          <w:rFonts w:hint="eastAsia"/>
        </w:rPr>
        <w:t>日），基金管理人将公告份额折算确认结果，持有人可以查询其账户内的基金份额。当日，本基金恢复办理申购、赎回、转托管、</w:t>
      </w:r>
      <w:r w:rsidR="0022773B">
        <w:rPr>
          <w:rFonts w:hint="eastAsia"/>
        </w:rPr>
        <w:t>合并</w:t>
      </w:r>
      <w:r>
        <w:rPr>
          <w:rFonts w:hint="eastAsia"/>
        </w:rPr>
        <w:t>业务，</w:t>
      </w:r>
      <w:r w:rsidR="00A5398C">
        <w:rPr>
          <w:rFonts w:hint="eastAsia"/>
        </w:rPr>
        <w:t>传媒</w:t>
      </w:r>
      <w:r w:rsidR="00A5398C">
        <w:rPr>
          <w:rFonts w:hint="eastAsia"/>
        </w:rPr>
        <w:t>A</w:t>
      </w:r>
      <w:r w:rsidR="00A5398C">
        <w:rPr>
          <w:rFonts w:hint="eastAsia"/>
        </w:rPr>
        <w:t>级</w:t>
      </w:r>
      <w:r>
        <w:rPr>
          <w:rFonts w:hint="eastAsia"/>
        </w:rPr>
        <w:t>恢复交易，</w:t>
      </w:r>
      <w:r w:rsidR="00A5398C">
        <w:rPr>
          <w:rFonts w:hint="eastAsia"/>
        </w:rPr>
        <w:t>传媒</w:t>
      </w:r>
      <w:r w:rsidR="00A5398C">
        <w:rPr>
          <w:rFonts w:hint="eastAsia"/>
        </w:rPr>
        <w:t>B</w:t>
      </w:r>
      <w:r w:rsidR="00A5398C">
        <w:rPr>
          <w:rFonts w:hint="eastAsia"/>
        </w:rPr>
        <w:t>级</w:t>
      </w:r>
      <w:r>
        <w:rPr>
          <w:rFonts w:hint="eastAsia"/>
        </w:rPr>
        <w:t>正常交易。</w:t>
      </w:r>
    </w:p>
    <w:p w:rsidR="005F051D" w:rsidRDefault="00BE6D65" w:rsidP="00801B80">
      <w:pPr>
        <w:ind w:firstLine="420"/>
      </w:pPr>
      <w:r>
        <w:rPr>
          <w:rFonts w:hint="eastAsia"/>
        </w:rPr>
        <w:t>（四）根据《</w:t>
      </w:r>
      <w:r w:rsidR="00D73ECA">
        <w:rPr>
          <w:rFonts w:ascii="宋体" w:hAnsi="宋体" w:cs="宋体" w:hint="eastAsia"/>
          <w:kern w:val="0"/>
          <w:szCs w:val="21"/>
        </w:rPr>
        <w:t>深圳证券交易所证券投资基金交易和申购赎回实施细则</w:t>
      </w:r>
      <w:r>
        <w:rPr>
          <w:rFonts w:hint="eastAsia"/>
        </w:rPr>
        <w:t>》，</w:t>
      </w:r>
      <w:r w:rsidR="00957055">
        <w:rPr>
          <w:rFonts w:hint="eastAsia"/>
        </w:rPr>
        <w:t>20</w:t>
      </w:r>
      <w:r w:rsidR="006B0815">
        <w:rPr>
          <w:rFonts w:hint="eastAsia"/>
        </w:rPr>
        <w:t>20</w:t>
      </w:r>
      <w:r>
        <w:rPr>
          <w:rFonts w:hint="eastAsia"/>
        </w:rPr>
        <w:t>年</w:t>
      </w:r>
      <w:r>
        <w:rPr>
          <w:rFonts w:hint="eastAsia"/>
        </w:rPr>
        <w:t>1</w:t>
      </w:r>
      <w:r>
        <w:rPr>
          <w:rFonts w:hint="eastAsia"/>
        </w:rPr>
        <w:t>月</w:t>
      </w:r>
      <w:r w:rsidR="006B0815">
        <w:rPr>
          <w:rFonts w:hint="eastAsia"/>
        </w:rPr>
        <w:t>6</w:t>
      </w:r>
      <w:r>
        <w:rPr>
          <w:rFonts w:hint="eastAsia"/>
        </w:rPr>
        <w:t>日</w:t>
      </w:r>
      <w:r w:rsidR="00A5398C">
        <w:rPr>
          <w:rFonts w:hint="eastAsia"/>
        </w:rPr>
        <w:t>传媒</w:t>
      </w:r>
      <w:r w:rsidR="00A5398C">
        <w:rPr>
          <w:rFonts w:hint="eastAsia"/>
        </w:rPr>
        <w:t>A</w:t>
      </w:r>
      <w:r w:rsidR="00A5398C">
        <w:rPr>
          <w:rFonts w:hint="eastAsia"/>
        </w:rPr>
        <w:t>级</w:t>
      </w:r>
      <w:r>
        <w:rPr>
          <w:rFonts w:hint="eastAsia"/>
        </w:rPr>
        <w:t>复牌首日即时行情显示的前收盘价为</w:t>
      </w:r>
      <w:r w:rsidR="00957055">
        <w:rPr>
          <w:rFonts w:hint="eastAsia"/>
        </w:rPr>
        <w:t>20</w:t>
      </w:r>
      <w:r w:rsidR="006B0815">
        <w:rPr>
          <w:rFonts w:hint="eastAsia"/>
        </w:rPr>
        <w:t>20</w:t>
      </w:r>
      <w:r>
        <w:rPr>
          <w:rFonts w:hint="eastAsia"/>
        </w:rPr>
        <w:t>年</w:t>
      </w:r>
      <w:r>
        <w:rPr>
          <w:rFonts w:hint="eastAsia"/>
        </w:rPr>
        <w:t>1</w:t>
      </w:r>
      <w:r>
        <w:rPr>
          <w:rFonts w:hint="eastAsia"/>
        </w:rPr>
        <w:t>月</w:t>
      </w:r>
      <w:r w:rsidR="00865D69">
        <w:t>3</w:t>
      </w:r>
      <w:r>
        <w:rPr>
          <w:rFonts w:hint="eastAsia"/>
        </w:rPr>
        <w:t>日的</w:t>
      </w:r>
      <w:r w:rsidR="00A5398C">
        <w:rPr>
          <w:rFonts w:hint="eastAsia"/>
        </w:rPr>
        <w:t>传媒</w:t>
      </w:r>
      <w:r w:rsidR="00A5398C">
        <w:rPr>
          <w:rFonts w:hint="eastAsia"/>
        </w:rPr>
        <w:t>A</w:t>
      </w:r>
      <w:r w:rsidR="00A5398C">
        <w:rPr>
          <w:rFonts w:hint="eastAsia"/>
        </w:rPr>
        <w:t>级</w:t>
      </w:r>
      <w:r>
        <w:rPr>
          <w:rFonts w:hint="eastAsia"/>
        </w:rPr>
        <w:t>的份额净值（四舍五入至</w:t>
      </w:r>
      <w:r>
        <w:rPr>
          <w:rFonts w:hint="eastAsia"/>
        </w:rPr>
        <w:t>0.001</w:t>
      </w:r>
      <w:r>
        <w:rPr>
          <w:rFonts w:hint="eastAsia"/>
        </w:rPr>
        <w:t>元）。由于</w:t>
      </w:r>
      <w:r w:rsidR="00A5398C">
        <w:rPr>
          <w:rFonts w:hint="eastAsia"/>
        </w:rPr>
        <w:t>传媒</w:t>
      </w:r>
      <w:r w:rsidR="00A5398C">
        <w:rPr>
          <w:rFonts w:hint="eastAsia"/>
        </w:rPr>
        <w:t>A</w:t>
      </w:r>
      <w:r w:rsidR="00A5398C">
        <w:rPr>
          <w:rFonts w:hint="eastAsia"/>
        </w:rPr>
        <w:t>级</w:t>
      </w:r>
      <w:r>
        <w:rPr>
          <w:rFonts w:hint="eastAsia"/>
        </w:rPr>
        <w:t>折算前可能存在折溢价交易情形，折算前的收盘价扣除</w:t>
      </w:r>
      <w:r w:rsidR="00194ACA">
        <w:rPr>
          <w:rFonts w:hint="eastAsia"/>
        </w:rPr>
        <w:t>201</w:t>
      </w:r>
      <w:r w:rsidR="006B0815">
        <w:rPr>
          <w:rFonts w:hint="eastAsia"/>
        </w:rPr>
        <w:t>9</w:t>
      </w:r>
      <w:r>
        <w:rPr>
          <w:rFonts w:hint="eastAsia"/>
        </w:rPr>
        <w:t>年约定收益后与</w:t>
      </w:r>
      <w:r w:rsidR="00957055">
        <w:rPr>
          <w:rFonts w:hint="eastAsia"/>
        </w:rPr>
        <w:t>20</w:t>
      </w:r>
      <w:r w:rsidR="006B0815">
        <w:rPr>
          <w:rFonts w:hint="eastAsia"/>
        </w:rPr>
        <w:t>20</w:t>
      </w:r>
      <w:r>
        <w:rPr>
          <w:rFonts w:hint="eastAsia"/>
        </w:rPr>
        <w:t>年</w:t>
      </w:r>
      <w:r>
        <w:rPr>
          <w:rFonts w:hint="eastAsia"/>
        </w:rPr>
        <w:t>1</w:t>
      </w:r>
      <w:r>
        <w:rPr>
          <w:rFonts w:hint="eastAsia"/>
        </w:rPr>
        <w:t>月</w:t>
      </w:r>
      <w:r w:rsidR="006B0815">
        <w:rPr>
          <w:rFonts w:hint="eastAsia"/>
        </w:rPr>
        <w:t>6</w:t>
      </w:r>
      <w:r>
        <w:rPr>
          <w:rFonts w:hint="eastAsia"/>
        </w:rPr>
        <w:t>日的前收盘价可能有较大差异，</w:t>
      </w:r>
      <w:r w:rsidR="00865D69">
        <w:rPr>
          <w:rFonts w:hint="eastAsia"/>
        </w:rPr>
        <w:t>1</w:t>
      </w:r>
      <w:r w:rsidR="00865D69">
        <w:rPr>
          <w:rFonts w:hint="eastAsia"/>
        </w:rPr>
        <w:t>月</w:t>
      </w:r>
      <w:r w:rsidR="006B0815">
        <w:rPr>
          <w:rFonts w:hint="eastAsia"/>
        </w:rPr>
        <w:t>6</w:t>
      </w:r>
      <w:r>
        <w:rPr>
          <w:rFonts w:hint="eastAsia"/>
        </w:rPr>
        <w:t>日当日可能出现交易价格大幅波动的情形。</w:t>
      </w:r>
    </w:p>
    <w:p w:rsidR="00F23E62" w:rsidRPr="005C7939" w:rsidRDefault="00F23E62" w:rsidP="00BE6D65"/>
    <w:p w:rsidR="00BE6D65" w:rsidRDefault="00BE6D65" w:rsidP="00BE6D65">
      <w:r>
        <w:rPr>
          <w:rFonts w:hint="eastAsia"/>
        </w:rPr>
        <w:t>五、重要提示</w:t>
      </w:r>
    </w:p>
    <w:p w:rsidR="00F23E62" w:rsidRPr="00F23E62" w:rsidRDefault="00F23E62" w:rsidP="00F23E62">
      <w:pPr>
        <w:ind w:firstLineChars="200" w:firstLine="420"/>
      </w:pPr>
      <w:r w:rsidRPr="00F23E62">
        <w:rPr>
          <w:rFonts w:hint="eastAsia"/>
        </w:rPr>
        <w:t>根据《</w:t>
      </w:r>
      <w:r w:rsidR="00D73ECA">
        <w:rPr>
          <w:rFonts w:ascii="宋体" w:hAnsi="宋体" w:cs="宋体" w:hint="eastAsia"/>
          <w:kern w:val="0"/>
          <w:szCs w:val="21"/>
        </w:rPr>
        <w:t>深圳证券交易所证券投资基金交易和申购赎回实施细则</w:t>
      </w:r>
      <w:r w:rsidRPr="00F23E62">
        <w:rPr>
          <w:rFonts w:hint="eastAsia"/>
        </w:rPr>
        <w:t>》，</w:t>
      </w:r>
      <w:r w:rsidR="00957055">
        <w:rPr>
          <w:rFonts w:hint="eastAsia"/>
        </w:rPr>
        <w:t>20</w:t>
      </w:r>
      <w:r w:rsidR="006B0815">
        <w:rPr>
          <w:rFonts w:hint="eastAsia"/>
        </w:rPr>
        <w:t>20</w:t>
      </w:r>
      <w:r w:rsidRPr="00F23E62">
        <w:rPr>
          <w:rFonts w:hint="eastAsia"/>
        </w:rPr>
        <w:t>年</w:t>
      </w:r>
      <w:r w:rsidRPr="00F23E62">
        <w:rPr>
          <w:rFonts w:hint="eastAsia"/>
        </w:rPr>
        <w:t>1</w:t>
      </w:r>
      <w:r w:rsidRPr="00F23E62">
        <w:rPr>
          <w:rFonts w:hint="eastAsia"/>
        </w:rPr>
        <w:t>月</w:t>
      </w:r>
      <w:r w:rsidR="006B0815">
        <w:rPr>
          <w:rFonts w:hint="eastAsia"/>
        </w:rPr>
        <w:t>6</w:t>
      </w:r>
      <w:r w:rsidRPr="00F23E62">
        <w:rPr>
          <w:rFonts w:hint="eastAsia"/>
        </w:rPr>
        <w:t>日</w:t>
      </w:r>
      <w:r w:rsidR="00A5398C">
        <w:rPr>
          <w:rFonts w:hint="eastAsia"/>
        </w:rPr>
        <w:t>传媒</w:t>
      </w:r>
      <w:r w:rsidR="00A5398C">
        <w:rPr>
          <w:rFonts w:hint="eastAsia"/>
        </w:rPr>
        <w:t>A</w:t>
      </w:r>
      <w:r w:rsidR="00A5398C">
        <w:rPr>
          <w:rFonts w:hint="eastAsia"/>
        </w:rPr>
        <w:t>级</w:t>
      </w:r>
      <w:r w:rsidRPr="00F23E62">
        <w:rPr>
          <w:rFonts w:hint="eastAsia"/>
        </w:rPr>
        <w:t>复牌首日即时行情显示的前收盘价为</w:t>
      </w:r>
      <w:r w:rsidR="00957055">
        <w:rPr>
          <w:rFonts w:hint="eastAsia"/>
        </w:rPr>
        <w:t>20</w:t>
      </w:r>
      <w:r w:rsidR="006B0815">
        <w:rPr>
          <w:rFonts w:hint="eastAsia"/>
        </w:rPr>
        <w:t>20</w:t>
      </w:r>
      <w:r w:rsidR="00801B80" w:rsidRPr="00F23E62">
        <w:rPr>
          <w:rFonts w:hint="eastAsia"/>
        </w:rPr>
        <w:t>年</w:t>
      </w:r>
      <w:r w:rsidR="00801B80" w:rsidRPr="00F23E62">
        <w:rPr>
          <w:rFonts w:hint="eastAsia"/>
        </w:rPr>
        <w:t>1</w:t>
      </w:r>
      <w:r w:rsidR="00801B80" w:rsidRPr="00F23E62">
        <w:rPr>
          <w:rFonts w:hint="eastAsia"/>
        </w:rPr>
        <w:t>月</w:t>
      </w:r>
      <w:r w:rsidR="00C6705A">
        <w:rPr>
          <w:rFonts w:hint="eastAsia"/>
        </w:rPr>
        <w:t>3</w:t>
      </w:r>
      <w:r w:rsidRPr="00F23E62">
        <w:rPr>
          <w:rFonts w:hint="eastAsia"/>
        </w:rPr>
        <w:t>日的</w:t>
      </w:r>
      <w:r w:rsidR="00A5398C">
        <w:rPr>
          <w:rFonts w:hint="eastAsia"/>
        </w:rPr>
        <w:t>传媒</w:t>
      </w:r>
      <w:r w:rsidR="00A5398C">
        <w:rPr>
          <w:rFonts w:hint="eastAsia"/>
        </w:rPr>
        <w:t>A</w:t>
      </w:r>
      <w:r w:rsidR="00A5398C">
        <w:rPr>
          <w:rFonts w:hint="eastAsia"/>
        </w:rPr>
        <w:t>级</w:t>
      </w:r>
      <w:r w:rsidRPr="00F23E62">
        <w:rPr>
          <w:rFonts w:hint="eastAsia"/>
        </w:rPr>
        <w:t>份额净值（四舍五入至</w:t>
      </w:r>
      <w:r w:rsidRPr="00F23E62">
        <w:rPr>
          <w:rFonts w:hint="eastAsia"/>
        </w:rPr>
        <w:t>0.001</w:t>
      </w:r>
      <w:r w:rsidRPr="00F23E62">
        <w:rPr>
          <w:rFonts w:hint="eastAsia"/>
        </w:rPr>
        <w:t>元）。由于</w:t>
      </w:r>
      <w:r w:rsidR="00A5398C">
        <w:rPr>
          <w:rFonts w:hint="eastAsia"/>
        </w:rPr>
        <w:t>传媒</w:t>
      </w:r>
      <w:r w:rsidR="00A5398C">
        <w:rPr>
          <w:rFonts w:hint="eastAsia"/>
        </w:rPr>
        <w:t>A</w:t>
      </w:r>
      <w:r w:rsidR="00A5398C">
        <w:rPr>
          <w:rFonts w:hint="eastAsia"/>
        </w:rPr>
        <w:t>级</w:t>
      </w:r>
      <w:r w:rsidRPr="00F23E62">
        <w:rPr>
          <w:rFonts w:hint="eastAsia"/>
        </w:rPr>
        <w:t>折算前可能存在折</w:t>
      </w:r>
      <w:r w:rsidRPr="00F23E62">
        <w:rPr>
          <w:rFonts w:hint="eastAsia"/>
        </w:rPr>
        <w:t>/</w:t>
      </w:r>
      <w:r w:rsidRPr="00F23E62">
        <w:rPr>
          <w:rFonts w:hint="eastAsia"/>
        </w:rPr>
        <w:t>溢价交易情形，折算前的收盘价扣除</w:t>
      </w:r>
      <w:r w:rsidR="00194ACA">
        <w:rPr>
          <w:rFonts w:hint="eastAsia"/>
        </w:rPr>
        <w:t>201</w:t>
      </w:r>
      <w:r w:rsidR="006B0815">
        <w:rPr>
          <w:rFonts w:hint="eastAsia"/>
        </w:rPr>
        <w:t>9</w:t>
      </w:r>
      <w:r w:rsidRPr="00F23E62">
        <w:rPr>
          <w:rFonts w:hint="eastAsia"/>
        </w:rPr>
        <w:t>年约定收益后与</w:t>
      </w:r>
      <w:r w:rsidR="00957055">
        <w:rPr>
          <w:rFonts w:hint="eastAsia"/>
        </w:rPr>
        <w:t>20</w:t>
      </w:r>
      <w:r w:rsidR="006B0815">
        <w:rPr>
          <w:rFonts w:hint="eastAsia"/>
        </w:rPr>
        <w:t>20</w:t>
      </w:r>
      <w:r w:rsidRPr="00F23E62">
        <w:rPr>
          <w:rFonts w:hint="eastAsia"/>
        </w:rPr>
        <w:t>年</w:t>
      </w:r>
      <w:r w:rsidRPr="00F23E62">
        <w:rPr>
          <w:rFonts w:hint="eastAsia"/>
        </w:rPr>
        <w:t>1</w:t>
      </w:r>
      <w:r w:rsidRPr="00F23E62">
        <w:rPr>
          <w:rFonts w:hint="eastAsia"/>
        </w:rPr>
        <w:t>月</w:t>
      </w:r>
      <w:r w:rsidR="006B0815">
        <w:rPr>
          <w:rFonts w:hint="eastAsia"/>
        </w:rPr>
        <w:t>6</w:t>
      </w:r>
      <w:r w:rsidRPr="00F23E62">
        <w:rPr>
          <w:rFonts w:hint="eastAsia"/>
        </w:rPr>
        <w:t>日的前收盘价可能有较大差异，</w:t>
      </w:r>
      <w:r w:rsidR="00865D69" w:rsidRPr="00F23E62">
        <w:rPr>
          <w:rFonts w:hint="eastAsia"/>
        </w:rPr>
        <w:t>1</w:t>
      </w:r>
      <w:r w:rsidR="00865D69" w:rsidRPr="00F23E62">
        <w:rPr>
          <w:rFonts w:hint="eastAsia"/>
        </w:rPr>
        <w:t>月</w:t>
      </w:r>
      <w:r w:rsidR="006B0815">
        <w:rPr>
          <w:rFonts w:hint="eastAsia"/>
        </w:rPr>
        <w:t>6</w:t>
      </w:r>
      <w:r w:rsidRPr="00F23E62">
        <w:rPr>
          <w:rFonts w:hint="eastAsia"/>
        </w:rPr>
        <w:t>日当日可能出现交易价格大幅波动的情形。敬请投资者留意投资风险。</w:t>
      </w:r>
    </w:p>
    <w:p w:rsidR="00BE6D65" w:rsidRDefault="00BE6D65" w:rsidP="00F23E62">
      <w:pPr>
        <w:ind w:firstLineChars="200" w:firstLine="420"/>
      </w:pPr>
      <w:r>
        <w:rPr>
          <w:rFonts w:hint="eastAsia"/>
        </w:rPr>
        <w:t>由于</w:t>
      </w:r>
      <w:r w:rsidR="00A5398C">
        <w:rPr>
          <w:rFonts w:hint="eastAsia"/>
        </w:rPr>
        <w:t>传媒</w:t>
      </w:r>
      <w:r w:rsidR="00A5398C">
        <w:rPr>
          <w:rFonts w:hint="eastAsia"/>
        </w:rPr>
        <w:t>A</w:t>
      </w:r>
      <w:r w:rsidR="00A5398C">
        <w:rPr>
          <w:rFonts w:hint="eastAsia"/>
        </w:rPr>
        <w:t>级</w:t>
      </w:r>
      <w:r>
        <w:rPr>
          <w:rFonts w:hint="eastAsia"/>
        </w:rPr>
        <w:t>份额新增份额折算成</w:t>
      </w:r>
      <w:r w:rsidR="001C33D3">
        <w:rPr>
          <w:rFonts w:hint="eastAsia"/>
        </w:rPr>
        <w:t>传媒母基</w:t>
      </w:r>
      <w:r>
        <w:rPr>
          <w:rFonts w:hint="eastAsia"/>
        </w:rPr>
        <w:t>份额的场内份额数和</w:t>
      </w:r>
      <w:r w:rsidR="008A2B59">
        <w:rPr>
          <w:rFonts w:hint="eastAsia"/>
        </w:rPr>
        <w:t>传媒母基</w:t>
      </w:r>
      <w:r>
        <w:rPr>
          <w:rFonts w:hint="eastAsia"/>
        </w:rPr>
        <w:t>份额的场内份额经折算后的份额数取整计算（最小单位为</w:t>
      </w:r>
      <w:r>
        <w:rPr>
          <w:rFonts w:hint="eastAsia"/>
        </w:rPr>
        <w:t>1</w:t>
      </w:r>
      <w:r>
        <w:rPr>
          <w:rFonts w:hint="eastAsia"/>
        </w:rPr>
        <w:t>份），舍去部分计入基金财产，持有较少</w:t>
      </w:r>
      <w:r w:rsidR="00A5398C">
        <w:rPr>
          <w:rFonts w:hint="eastAsia"/>
        </w:rPr>
        <w:t>传媒</w:t>
      </w:r>
      <w:r w:rsidR="00A5398C">
        <w:rPr>
          <w:rFonts w:hint="eastAsia"/>
        </w:rPr>
        <w:t>A</w:t>
      </w:r>
      <w:r w:rsidR="00A5398C">
        <w:rPr>
          <w:rFonts w:hint="eastAsia"/>
        </w:rPr>
        <w:t>级</w:t>
      </w:r>
      <w:r>
        <w:rPr>
          <w:rFonts w:hint="eastAsia"/>
        </w:rPr>
        <w:t>份额数或场内</w:t>
      </w:r>
      <w:r w:rsidR="008A2B59">
        <w:rPr>
          <w:rFonts w:hint="eastAsia"/>
        </w:rPr>
        <w:t>传媒母基</w:t>
      </w:r>
      <w:r>
        <w:rPr>
          <w:rFonts w:hint="eastAsia"/>
        </w:rPr>
        <w:t>份额数的份额持有人存在无法获得新增场内</w:t>
      </w:r>
      <w:r w:rsidR="008A2B59">
        <w:rPr>
          <w:rFonts w:hint="eastAsia"/>
        </w:rPr>
        <w:t>传媒母基</w:t>
      </w:r>
      <w:r>
        <w:rPr>
          <w:rFonts w:hint="eastAsia"/>
        </w:rPr>
        <w:t>份额的可能性。</w:t>
      </w:r>
    </w:p>
    <w:p w:rsidR="00BE6D65" w:rsidRDefault="00BE6D65" w:rsidP="00F23E62">
      <w:pPr>
        <w:ind w:firstLineChars="200" w:firstLine="420"/>
      </w:pPr>
      <w:r>
        <w:rPr>
          <w:rFonts w:hint="eastAsia"/>
        </w:rPr>
        <w:t>投资者若希望了解基金定期份额折算业务详情</w:t>
      </w:r>
      <w:r>
        <w:rPr>
          <w:rFonts w:hint="eastAsia"/>
        </w:rPr>
        <w:t>,</w:t>
      </w:r>
      <w:r>
        <w:rPr>
          <w:rFonts w:hint="eastAsia"/>
        </w:rPr>
        <w:t>请登陆本公司网站：</w:t>
      </w:r>
      <w:r>
        <w:rPr>
          <w:rFonts w:hint="eastAsia"/>
        </w:rPr>
        <w:t>www.icbccs.com.cn</w:t>
      </w:r>
      <w:r>
        <w:rPr>
          <w:rFonts w:hint="eastAsia"/>
        </w:rPr>
        <w:t>或者拨打本公司客服电话：</w:t>
      </w:r>
      <w:r>
        <w:rPr>
          <w:rFonts w:hint="eastAsia"/>
        </w:rPr>
        <w:t>400</w:t>
      </w:r>
      <w:r>
        <w:rPr>
          <w:rFonts w:hint="eastAsia"/>
        </w:rPr>
        <w:t>－</w:t>
      </w:r>
      <w:r>
        <w:rPr>
          <w:rFonts w:hint="eastAsia"/>
        </w:rPr>
        <w:t>811</w:t>
      </w:r>
      <w:r>
        <w:rPr>
          <w:rFonts w:hint="eastAsia"/>
        </w:rPr>
        <w:t>－</w:t>
      </w:r>
      <w:r>
        <w:rPr>
          <w:rFonts w:hint="eastAsia"/>
        </w:rPr>
        <w:t>9999(</w:t>
      </w:r>
      <w:r>
        <w:rPr>
          <w:rFonts w:hint="eastAsia"/>
        </w:rPr>
        <w:t>免长途话费</w:t>
      </w:r>
      <w:r>
        <w:rPr>
          <w:rFonts w:hint="eastAsia"/>
        </w:rPr>
        <w:t>)</w:t>
      </w:r>
      <w:r>
        <w:rPr>
          <w:rFonts w:hint="eastAsia"/>
        </w:rPr>
        <w:t>。</w:t>
      </w:r>
    </w:p>
    <w:p w:rsidR="00BE6D65" w:rsidRDefault="00BE6D65" w:rsidP="00F23E62">
      <w:pPr>
        <w:ind w:firstLineChars="200" w:firstLine="420"/>
      </w:pPr>
      <w:r>
        <w:rPr>
          <w:rFonts w:hint="eastAsia"/>
        </w:rPr>
        <w:t>本公司承诺以诚实信用、勤勉尽责的原则管理和运用基金资产</w:t>
      </w:r>
      <w:r>
        <w:rPr>
          <w:rFonts w:hint="eastAsia"/>
        </w:rPr>
        <w:t>,</w:t>
      </w:r>
      <w:r>
        <w:rPr>
          <w:rFonts w:hint="eastAsia"/>
        </w:rPr>
        <w:t>但不保证基金一定盈利</w:t>
      </w:r>
      <w:r>
        <w:rPr>
          <w:rFonts w:hint="eastAsia"/>
        </w:rPr>
        <w:t>,</w:t>
      </w:r>
      <w:r>
        <w:rPr>
          <w:rFonts w:hint="eastAsia"/>
        </w:rPr>
        <w:t>也不保证最低收益。投资者投资于基金前应认真阅读基金的基金合同、招募说明书等文件。敬请投资者注意投资风险。</w:t>
      </w:r>
    </w:p>
    <w:p w:rsidR="00BE6D65" w:rsidRDefault="00BE6D65" w:rsidP="00F23E62">
      <w:pPr>
        <w:ind w:firstLineChars="200" w:firstLine="420"/>
      </w:pPr>
      <w:r>
        <w:rPr>
          <w:rFonts w:hint="eastAsia"/>
        </w:rPr>
        <w:t>特此公告。</w:t>
      </w:r>
      <w:bookmarkStart w:id="0" w:name="_GoBack"/>
      <w:bookmarkEnd w:id="0"/>
    </w:p>
    <w:p w:rsidR="00BE6D65" w:rsidRDefault="00BE6D65" w:rsidP="002C6CA1">
      <w:pPr>
        <w:jc w:val="right"/>
      </w:pPr>
      <w:r>
        <w:t xml:space="preserve"> </w:t>
      </w:r>
    </w:p>
    <w:p w:rsidR="00BE6D65" w:rsidRDefault="00BE6D65" w:rsidP="002C6CA1">
      <w:pPr>
        <w:jc w:val="right"/>
      </w:pPr>
      <w:r>
        <w:rPr>
          <w:rFonts w:hint="eastAsia"/>
        </w:rPr>
        <w:t>工银瑞信基金管理有限公司</w:t>
      </w:r>
    </w:p>
    <w:p w:rsidR="003D59C6" w:rsidRDefault="00194ACA" w:rsidP="002C6CA1">
      <w:pPr>
        <w:jc w:val="right"/>
      </w:pPr>
      <w:r>
        <w:rPr>
          <w:rFonts w:hint="eastAsia"/>
        </w:rPr>
        <w:t>201</w:t>
      </w:r>
      <w:r w:rsidR="006B0815">
        <w:rPr>
          <w:rFonts w:hint="eastAsia"/>
        </w:rPr>
        <w:t>9</w:t>
      </w:r>
      <w:r w:rsidR="00BE6D65">
        <w:rPr>
          <w:rFonts w:hint="eastAsia"/>
        </w:rPr>
        <w:t>年</w:t>
      </w:r>
      <w:r>
        <w:rPr>
          <w:rFonts w:hint="eastAsia"/>
        </w:rPr>
        <w:t>12</w:t>
      </w:r>
      <w:r>
        <w:rPr>
          <w:rFonts w:hint="eastAsia"/>
        </w:rPr>
        <w:t>月</w:t>
      </w:r>
      <w:r>
        <w:rPr>
          <w:rFonts w:hint="eastAsia"/>
        </w:rPr>
        <w:t>2</w:t>
      </w:r>
      <w:r w:rsidR="006B0815">
        <w:rPr>
          <w:rFonts w:hint="eastAsia"/>
        </w:rPr>
        <w:t>7</w:t>
      </w:r>
      <w:r>
        <w:rPr>
          <w:rFonts w:hint="eastAsia"/>
        </w:rPr>
        <w:t>日</w:t>
      </w:r>
    </w:p>
    <w:sectPr w:rsidR="003D59C6" w:rsidSect="00B65F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E8" w:rsidRDefault="00FB03E8" w:rsidP="00BE6D65">
      <w:r>
        <w:separator/>
      </w:r>
    </w:p>
  </w:endnote>
  <w:endnote w:type="continuationSeparator" w:id="1">
    <w:p w:rsidR="00FB03E8" w:rsidRDefault="00FB03E8" w:rsidP="00BE6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E8" w:rsidRDefault="00FB03E8" w:rsidP="00BE6D65">
      <w:r>
        <w:separator/>
      </w:r>
    </w:p>
  </w:footnote>
  <w:footnote w:type="continuationSeparator" w:id="1">
    <w:p w:rsidR="00FB03E8" w:rsidRDefault="00FB03E8" w:rsidP="00BE6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ocumentProtection w:edit="trackedChanges" w:enforcement="1" w:cryptProviderType="rsaFull" w:cryptAlgorithmClass="hash" w:cryptAlgorithmType="typeAny" w:cryptAlgorithmSid="4" w:cryptSpinCount="50000" w:hash="7EiNr+XJLtGtUi9nCvOU1fx9IzI=" w:salt="FgxPZzJCohk7zFjmgpdbfg=="/>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ztFileName" w:val="132215615054942177NP"/>
    <w:docVar w:name="aztPrintName" w:val="000000ESAOAPRINT"/>
    <w:docVar w:name="aztPrintType" w:val="2"/>
  </w:docVars>
  <w:rsids>
    <w:rsidRoot w:val="00BE6D65"/>
    <w:rsid w:val="00003CDA"/>
    <w:rsid w:val="00040B37"/>
    <w:rsid w:val="00083E58"/>
    <w:rsid w:val="000A61EA"/>
    <w:rsid w:val="000C7803"/>
    <w:rsid w:val="00124178"/>
    <w:rsid w:val="00193E16"/>
    <w:rsid w:val="00194ACA"/>
    <w:rsid w:val="0019730E"/>
    <w:rsid w:val="001A7A2C"/>
    <w:rsid w:val="001C33D3"/>
    <w:rsid w:val="001D53CD"/>
    <w:rsid w:val="0022773B"/>
    <w:rsid w:val="002522F4"/>
    <w:rsid w:val="002629D0"/>
    <w:rsid w:val="00263333"/>
    <w:rsid w:val="00264655"/>
    <w:rsid w:val="002C6CA1"/>
    <w:rsid w:val="002D2A55"/>
    <w:rsid w:val="00312077"/>
    <w:rsid w:val="003303B2"/>
    <w:rsid w:val="00355396"/>
    <w:rsid w:val="00355F34"/>
    <w:rsid w:val="003C2DB0"/>
    <w:rsid w:val="003C433B"/>
    <w:rsid w:val="003D59C6"/>
    <w:rsid w:val="0040417E"/>
    <w:rsid w:val="00405EE6"/>
    <w:rsid w:val="00420285"/>
    <w:rsid w:val="00445234"/>
    <w:rsid w:val="004618AF"/>
    <w:rsid w:val="00511EFA"/>
    <w:rsid w:val="00516719"/>
    <w:rsid w:val="00522F7B"/>
    <w:rsid w:val="00572F16"/>
    <w:rsid w:val="005C4F96"/>
    <w:rsid w:val="005C7939"/>
    <w:rsid w:val="005F051D"/>
    <w:rsid w:val="0060029F"/>
    <w:rsid w:val="00606A0E"/>
    <w:rsid w:val="00614C2D"/>
    <w:rsid w:val="00672135"/>
    <w:rsid w:val="006B0815"/>
    <w:rsid w:val="006B0DA7"/>
    <w:rsid w:val="006B1528"/>
    <w:rsid w:val="006D3501"/>
    <w:rsid w:val="006D3A90"/>
    <w:rsid w:val="00714307"/>
    <w:rsid w:val="00752A11"/>
    <w:rsid w:val="0079223D"/>
    <w:rsid w:val="007B1A93"/>
    <w:rsid w:val="00801B80"/>
    <w:rsid w:val="008112B5"/>
    <w:rsid w:val="00847BF5"/>
    <w:rsid w:val="00865D69"/>
    <w:rsid w:val="008A2B59"/>
    <w:rsid w:val="008E5573"/>
    <w:rsid w:val="008E7C70"/>
    <w:rsid w:val="00910BF8"/>
    <w:rsid w:val="00935C19"/>
    <w:rsid w:val="00935F98"/>
    <w:rsid w:val="00957055"/>
    <w:rsid w:val="00977552"/>
    <w:rsid w:val="009B5694"/>
    <w:rsid w:val="009F7881"/>
    <w:rsid w:val="00A37356"/>
    <w:rsid w:val="00A510B0"/>
    <w:rsid w:val="00A5398C"/>
    <w:rsid w:val="00A57F2F"/>
    <w:rsid w:val="00A739B8"/>
    <w:rsid w:val="00A9526C"/>
    <w:rsid w:val="00B2329D"/>
    <w:rsid w:val="00B3078D"/>
    <w:rsid w:val="00B65FB1"/>
    <w:rsid w:val="00B72D7B"/>
    <w:rsid w:val="00B8116B"/>
    <w:rsid w:val="00B922ED"/>
    <w:rsid w:val="00B93766"/>
    <w:rsid w:val="00B96B8F"/>
    <w:rsid w:val="00BC56F6"/>
    <w:rsid w:val="00BE41F2"/>
    <w:rsid w:val="00BE6D65"/>
    <w:rsid w:val="00BF7F24"/>
    <w:rsid w:val="00C666D8"/>
    <w:rsid w:val="00C6705A"/>
    <w:rsid w:val="00C727F2"/>
    <w:rsid w:val="00CD73F2"/>
    <w:rsid w:val="00CF58E4"/>
    <w:rsid w:val="00D22511"/>
    <w:rsid w:val="00D447A6"/>
    <w:rsid w:val="00D73ECA"/>
    <w:rsid w:val="00D86C96"/>
    <w:rsid w:val="00DA44E7"/>
    <w:rsid w:val="00E00B10"/>
    <w:rsid w:val="00E122D7"/>
    <w:rsid w:val="00E33AFC"/>
    <w:rsid w:val="00E3752B"/>
    <w:rsid w:val="00E71AB7"/>
    <w:rsid w:val="00EE1B05"/>
    <w:rsid w:val="00F23E62"/>
    <w:rsid w:val="00F80B3A"/>
    <w:rsid w:val="00FB03E8"/>
    <w:rsid w:val="00FC1F4C"/>
    <w:rsid w:val="00FD05ED"/>
    <w:rsid w:val="00FF22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B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D65"/>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BE6D65"/>
    <w:rPr>
      <w:sz w:val="18"/>
      <w:szCs w:val="18"/>
    </w:rPr>
  </w:style>
  <w:style w:type="paragraph" w:styleId="a4">
    <w:name w:val="footer"/>
    <w:basedOn w:val="a"/>
    <w:link w:val="Char0"/>
    <w:uiPriority w:val="99"/>
    <w:unhideWhenUsed/>
    <w:rsid w:val="00BE6D65"/>
    <w:pPr>
      <w:tabs>
        <w:tab w:val="center" w:pos="4153"/>
        <w:tab w:val="right" w:pos="8306"/>
      </w:tabs>
      <w:snapToGrid w:val="0"/>
      <w:jc w:val="left"/>
    </w:pPr>
    <w:rPr>
      <w:kern w:val="0"/>
      <w:sz w:val="18"/>
      <w:szCs w:val="18"/>
      <w:lang/>
    </w:rPr>
  </w:style>
  <w:style w:type="character" w:customStyle="1" w:styleId="Char0">
    <w:name w:val="页脚 Char"/>
    <w:link w:val="a4"/>
    <w:uiPriority w:val="99"/>
    <w:rsid w:val="00BE6D65"/>
    <w:rPr>
      <w:sz w:val="18"/>
      <w:szCs w:val="18"/>
    </w:rPr>
  </w:style>
  <w:style w:type="paragraph" w:styleId="a5">
    <w:name w:val="Balloon Text"/>
    <w:basedOn w:val="a"/>
    <w:link w:val="Char1"/>
    <w:uiPriority w:val="99"/>
    <w:semiHidden/>
    <w:unhideWhenUsed/>
    <w:rsid w:val="00124178"/>
    <w:rPr>
      <w:kern w:val="0"/>
      <w:sz w:val="18"/>
      <w:szCs w:val="18"/>
      <w:lang/>
    </w:rPr>
  </w:style>
  <w:style w:type="character" w:customStyle="1" w:styleId="Char1">
    <w:name w:val="批注框文本 Char"/>
    <w:link w:val="a5"/>
    <w:uiPriority w:val="99"/>
    <w:semiHidden/>
    <w:rsid w:val="00124178"/>
    <w:rPr>
      <w:sz w:val="18"/>
      <w:szCs w:val="18"/>
    </w:rPr>
  </w:style>
  <w:style w:type="character" w:styleId="a6">
    <w:name w:val="annotation reference"/>
    <w:uiPriority w:val="99"/>
    <w:semiHidden/>
    <w:unhideWhenUsed/>
    <w:rsid w:val="00D73ECA"/>
    <w:rPr>
      <w:sz w:val="21"/>
      <w:szCs w:val="21"/>
    </w:rPr>
  </w:style>
  <w:style w:type="paragraph" w:styleId="a7">
    <w:name w:val="annotation text"/>
    <w:basedOn w:val="a"/>
    <w:link w:val="Char2"/>
    <w:uiPriority w:val="99"/>
    <w:semiHidden/>
    <w:unhideWhenUsed/>
    <w:rsid w:val="00D73ECA"/>
    <w:pPr>
      <w:jc w:val="left"/>
    </w:pPr>
    <w:rPr>
      <w:lang/>
    </w:rPr>
  </w:style>
  <w:style w:type="character" w:customStyle="1" w:styleId="Char2">
    <w:name w:val="批注文字 Char"/>
    <w:link w:val="a7"/>
    <w:uiPriority w:val="99"/>
    <w:semiHidden/>
    <w:rsid w:val="00D73ECA"/>
    <w:rPr>
      <w:kern w:val="2"/>
      <w:sz w:val="21"/>
      <w:szCs w:val="22"/>
    </w:rPr>
  </w:style>
  <w:style w:type="paragraph" w:styleId="a8">
    <w:name w:val="annotation subject"/>
    <w:basedOn w:val="a7"/>
    <w:next w:val="a7"/>
    <w:link w:val="Char3"/>
    <w:uiPriority w:val="99"/>
    <w:semiHidden/>
    <w:unhideWhenUsed/>
    <w:rsid w:val="00D73ECA"/>
    <w:rPr>
      <w:b/>
      <w:bCs/>
    </w:rPr>
  </w:style>
  <w:style w:type="character" w:customStyle="1" w:styleId="Char3">
    <w:name w:val="批注主题 Char"/>
    <w:link w:val="a8"/>
    <w:uiPriority w:val="99"/>
    <w:semiHidden/>
    <w:rsid w:val="00D73ECA"/>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333340463">
      <w:bodyDiv w:val="1"/>
      <w:marLeft w:val="0"/>
      <w:marRight w:val="0"/>
      <w:marTop w:val="0"/>
      <w:marBottom w:val="0"/>
      <w:divBdr>
        <w:top w:val="none" w:sz="0" w:space="0" w:color="auto"/>
        <w:left w:val="none" w:sz="0" w:space="0" w:color="auto"/>
        <w:bottom w:val="none" w:sz="0" w:space="0" w:color="auto"/>
        <w:right w:val="none" w:sz="0" w:space="0" w:color="auto"/>
      </w:divBdr>
      <w:divsChild>
        <w:div w:id="1899239253">
          <w:marLeft w:val="0"/>
          <w:marRight w:val="0"/>
          <w:marTop w:val="0"/>
          <w:marBottom w:val="0"/>
          <w:divBdr>
            <w:top w:val="none" w:sz="0" w:space="0" w:color="auto"/>
            <w:left w:val="none" w:sz="0" w:space="0" w:color="auto"/>
            <w:bottom w:val="none" w:sz="0" w:space="0" w:color="auto"/>
            <w:right w:val="none" w:sz="0" w:space="0" w:color="auto"/>
          </w:divBdr>
          <w:divsChild>
            <w:div w:id="273252224">
              <w:marLeft w:val="0"/>
              <w:marRight w:val="0"/>
              <w:marTop w:val="100"/>
              <w:marBottom w:val="100"/>
              <w:divBdr>
                <w:top w:val="none" w:sz="0" w:space="0" w:color="auto"/>
                <w:left w:val="none" w:sz="0" w:space="0" w:color="auto"/>
                <w:bottom w:val="none" w:sz="0" w:space="0" w:color="auto"/>
                <w:right w:val="none" w:sz="0" w:space="0" w:color="auto"/>
              </w:divBdr>
              <w:divsChild>
                <w:div w:id="383412265">
                  <w:marLeft w:val="0"/>
                  <w:marRight w:val="0"/>
                  <w:marTop w:val="0"/>
                  <w:marBottom w:val="100"/>
                  <w:divBdr>
                    <w:top w:val="none" w:sz="0" w:space="0" w:color="auto"/>
                    <w:left w:val="none" w:sz="0" w:space="0" w:color="auto"/>
                    <w:bottom w:val="none" w:sz="0" w:space="0" w:color="auto"/>
                    <w:right w:val="none" w:sz="0" w:space="0" w:color="auto"/>
                  </w:divBdr>
                  <w:divsChild>
                    <w:div w:id="713770683">
                      <w:marLeft w:val="0"/>
                      <w:marRight w:val="0"/>
                      <w:marTop w:val="0"/>
                      <w:marBottom w:val="0"/>
                      <w:divBdr>
                        <w:top w:val="none" w:sz="0" w:space="0" w:color="auto"/>
                        <w:left w:val="none" w:sz="0" w:space="0" w:color="auto"/>
                        <w:bottom w:val="none" w:sz="0" w:space="0" w:color="auto"/>
                        <w:right w:val="none" w:sz="0" w:space="0" w:color="auto"/>
                      </w:divBdr>
                      <w:divsChild>
                        <w:div w:id="770204667">
                          <w:marLeft w:val="0"/>
                          <w:marRight w:val="0"/>
                          <w:marTop w:val="0"/>
                          <w:marBottom w:val="0"/>
                          <w:divBdr>
                            <w:top w:val="none" w:sz="0" w:space="0" w:color="auto"/>
                            <w:left w:val="none" w:sz="0" w:space="0" w:color="auto"/>
                            <w:bottom w:val="none" w:sz="0" w:space="0" w:color="auto"/>
                            <w:right w:val="none" w:sz="0" w:space="0" w:color="auto"/>
                          </w:divBdr>
                          <w:divsChild>
                            <w:div w:id="1405906609">
                              <w:marLeft w:val="0"/>
                              <w:marRight w:val="0"/>
                              <w:marTop w:val="0"/>
                              <w:marBottom w:val="0"/>
                              <w:divBdr>
                                <w:top w:val="none" w:sz="0" w:space="0" w:color="auto"/>
                                <w:left w:val="none" w:sz="0" w:space="0" w:color="auto"/>
                                <w:bottom w:val="none" w:sz="0" w:space="0" w:color="auto"/>
                                <w:right w:val="none" w:sz="0" w:space="0" w:color="auto"/>
                              </w:divBdr>
                              <w:divsChild>
                                <w:div w:id="538979066">
                                  <w:marLeft w:val="0"/>
                                  <w:marRight w:val="0"/>
                                  <w:marTop w:val="0"/>
                                  <w:marBottom w:val="0"/>
                                  <w:divBdr>
                                    <w:top w:val="none" w:sz="0" w:space="0" w:color="auto"/>
                                    <w:left w:val="none" w:sz="0" w:space="0" w:color="auto"/>
                                    <w:bottom w:val="none" w:sz="0" w:space="0" w:color="auto"/>
                                    <w:right w:val="none" w:sz="0" w:space="0" w:color="auto"/>
                                  </w:divBdr>
                                  <w:divsChild>
                                    <w:div w:id="1348555582">
                                      <w:marLeft w:val="0"/>
                                      <w:marRight w:val="0"/>
                                      <w:marTop w:val="0"/>
                                      <w:marBottom w:val="0"/>
                                      <w:divBdr>
                                        <w:top w:val="none" w:sz="0" w:space="0" w:color="auto"/>
                                        <w:left w:val="none" w:sz="0" w:space="0" w:color="auto"/>
                                        <w:bottom w:val="none" w:sz="0" w:space="0" w:color="auto"/>
                                        <w:right w:val="none" w:sz="0" w:space="0" w:color="auto"/>
                                      </w:divBdr>
                                      <w:divsChild>
                                        <w:div w:id="688141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941084">
      <w:bodyDiv w:val="1"/>
      <w:marLeft w:val="0"/>
      <w:marRight w:val="0"/>
      <w:marTop w:val="0"/>
      <w:marBottom w:val="0"/>
      <w:divBdr>
        <w:top w:val="none" w:sz="0" w:space="0" w:color="auto"/>
        <w:left w:val="none" w:sz="0" w:space="0" w:color="auto"/>
        <w:bottom w:val="none" w:sz="0" w:space="0" w:color="auto"/>
        <w:right w:val="none" w:sz="0" w:space="0" w:color="auto"/>
      </w:divBdr>
      <w:divsChild>
        <w:div w:id="219942077">
          <w:marLeft w:val="0"/>
          <w:marRight w:val="0"/>
          <w:marTop w:val="0"/>
          <w:marBottom w:val="0"/>
          <w:divBdr>
            <w:top w:val="none" w:sz="0" w:space="0" w:color="auto"/>
            <w:left w:val="none" w:sz="0" w:space="0" w:color="auto"/>
            <w:bottom w:val="none" w:sz="0" w:space="0" w:color="auto"/>
            <w:right w:val="none" w:sz="0" w:space="0" w:color="auto"/>
          </w:divBdr>
          <w:divsChild>
            <w:div w:id="74059013">
              <w:marLeft w:val="0"/>
              <w:marRight w:val="0"/>
              <w:marTop w:val="150"/>
              <w:marBottom w:val="100"/>
              <w:divBdr>
                <w:top w:val="none" w:sz="0" w:space="0" w:color="auto"/>
                <w:left w:val="none" w:sz="0" w:space="0" w:color="auto"/>
                <w:bottom w:val="none" w:sz="0" w:space="0" w:color="auto"/>
                <w:right w:val="none" w:sz="0" w:space="0" w:color="auto"/>
              </w:divBdr>
              <w:divsChild>
                <w:div w:id="593974545">
                  <w:marLeft w:val="0"/>
                  <w:marRight w:val="0"/>
                  <w:marTop w:val="0"/>
                  <w:marBottom w:val="150"/>
                  <w:divBdr>
                    <w:top w:val="none" w:sz="0" w:space="0" w:color="auto"/>
                    <w:left w:val="none" w:sz="0" w:space="0" w:color="auto"/>
                    <w:bottom w:val="none" w:sz="0" w:space="0" w:color="auto"/>
                    <w:right w:val="none" w:sz="0" w:space="0" w:color="auto"/>
                  </w:divBdr>
                  <w:divsChild>
                    <w:div w:id="104421730">
                      <w:marLeft w:val="0"/>
                      <w:marRight w:val="0"/>
                      <w:marTop w:val="0"/>
                      <w:marBottom w:val="0"/>
                      <w:divBdr>
                        <w:top w:val="none" w:sz="0" w:space="0" w:color="auto"/>
                        <w:left w:val="none" w:sz="0" w:space="0" w:color="auto"/>
                        <w:bottom w:val="none" w:sz="0" w:space="0" w:color="auto"/>
                        <w:right w:val="none" w:sz="0" w:space="0" w:color="auto"/>
                      </w:divBdr>
                      <w:divsChild>
                        <w:div w:id="1803190241">
                          <w:marLeft w:val="0"/>
                          <w:marRight w:val="0"/>
                          <w:marTop w:val="0"/>
                          <w:marBottom w:val="0"/>
                          <w:divBdr>
                            <w:top w:val="none" w:sz="0" w:space="0" w:color="auto"/>
                            <w:left w:val="none" w:sz="0" w:space="0" w:color="auto"/>
                            <w:bottom w:val="none" w:sz="0" w:space="0" w:color="auto"/>
                            <w:right w:val="none" w:sz="0" w:space="0" w:color="auto"/>
                          </w:divBdr>
                          <w:divsChild>
                            <w:div w:id="1750270305">
                              <w:marLeft w:val="0"/>
                              <w:marRight w:val="0"/>
                              <w:marTop w:val="0"/>
                              <w:marBottom w:val="0"/>
                              <w:divBdr>
                                <w:top w:val="none" w:sz="0" w:space="0" w:color="auto"/>
                                <w:left w:val="none" w:sz="0" w:space="0" w:color="auto"/>
                                <w:bottom w:val="none" w:sz="0" w:space="0" w:color="auto"/>
                                <w:right w:val="none" w:sz="0" w:space="0" w:color="auto"/>
                              </w:divBdr>
                              <w:divsChild>
                                <w:div w:id="149517850">
                                  <w:marLeft w:val="0"/>
                                  <w:marRight w:val="0"/>
                                  <w:marTop w:val="0"/>
                                  <w:marBottom w:val="0"/>
                                  <w:divBdr>
                                    <w:top w:val="none" w:sz="0" w:space="0" w:color="auto"/>
                                    <w:left w:val="none" w:sz="0" w:space="0" w:color="auto"/>
                                    <w:bottom w:val="none" w:sz="0" w:space="0" w:color="auto"/>
                                    <w:right w:val="none" w:sz="0" w:space="0" w:color="auto"/>
                                  </w:divBdr>
                                  <w:divsChild>
                                    <w:div w:id="1149175702">
                                      <w:marLeft w:val="0"/>
                                      <w:marRight w:val="0"/>
                                      <w:marTop w:val="0"/>
                                      <w:marBottom w:val="0"/>
                                      <w:divBdr>
                                        <w:top w:val="none" w:sz="0" w:space="0" w:color="auto"/>
                                        <w:left w:val="none" w:sz="0" w:space="0" w:color="auto"/>
                                        <w:bottom w:val="none" w:sz="0" w:space="0" w:color="auto"/>
                                        <w:right w:val="none" w:sz="0" w:space="0" w:color="auto"/>
                                      </w:divBdr>
                                      <w:divsChild>
                                        <w:div w:id="638194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20853">
      <w:bodyDiv w:val="1"/>
      <w:marLeft w:val="0"/>
      <w:marRight w:val="0"/>
      <w:marTop w:val="0"/>
      <w:marBottom w:val="0"/>
      <w:divBdr>
        <w:top w:val="none" w:sz="0" w:space="0" w:color="auto"/>
        <w:left w:val="none" w:sz="0" w:space="0" w:color="auto"/>
        <w:bottom w:val="none" w:sz="0" w:space="0" w:color="auto"/>
        <w:right w:val="none" w:sz="0" w:space="0" w:color="auto"/>
      </w:divBdr>
      <w:divsChild>
        <w:div w:id="1146898493">
          <w:marLeft w:val="0"/>
          <w:marRight w:val="0"/>
          <w:marTop w:val="0"/>
          <w:marBottom w:val="0"/>
          <w:divBdr>
            <w:top w:val="none" w:sz="0" w:space="0" w:color="auto"/>
            <w:left w:val="none" w:sz="0" w:space="0" w:color="auto"/>
            <w:bottom w:val="none" w:sz="0" w:space="0" w:color="auto"/>
            <w:right w:val="none" w:sz="0" w:space="0" w:color="auto"/>
          </w:divBdr>
          <w:divsChild>
            <w:div w:id="1684939583">
              <w:marLeft w:val="0"/>
              <w:marRight w:val="0"/>
              <w:marTop w:val="100"/>
              <w:marBottom w:val="100"/>
              <w:divBdr>
                <w:top w:val="none" w:sz="0" w:space="0" w:color="auto"/>
                <w:left w:val="none" w:sz="0" w:space="0" w:color="auto"/>
                <w:bottom w:val="none" w:sz="0" w:space="0" w:color="auto"/>
                <w:right w:val="none" w:sz="0" w:space="0" w:color="auto"/>
              </w:divBdr>
              <w:divsChild>
                <w:div w:id="1877541814">
                  <w:marLeft w:val="0"/>
                  <w:marRight w:val="0"/>
                  <w:marTop w:val="0"/>
                  <w:marBottom w:val="100"/>
                  <w:divBdr>
                    <w:top w:val="none" w:sz="0" w:space="0" w:color="auto"/>
                    <w:left w:val="none" w:sz="0" w:space="0" w:color="auto"/>
                    <w:bottom w:val="none" w:sz="0" w:space="0" w:color="auto"/>
                    <w:right w:val="none" w:sz="0" w:space="0" w:color="auto"/>
                  </w:divBdr>
                  <w:divsChild>
                    <w:div w:id="1936401126">
                      <w:marLeft w:val="0"/>
                      <w:marRight w:val="0"/>
                      <w:marTop w:val="0"/>
                      <w:marBottom w:val="0"/>
                      <w:divBdr>
                        <w:top w:val="none" w:sz="0" w:space="0" w:color="auto"/>
                        <w:left w:val="none" w:sz="0" w:space="0" w:color="auto"/>
                        <w:bottom w:val="none" w:sz="0" w:space="0" w:color="auto"/>
                        <w:right w:val="none" w:sz="0" w:space="0" w:color="auto"/>
                      </w:divBdr>
                      <w:divsChild>
                        <w:div w:id="1886060740">
                          <w:marLeft w:val="0"/>
                          <w:marRight w:val="0"/>
                          <w:marTop w:val="0"/>
                          <w:marBottom w:val="0"/>
                          <w:divBdr>
                            <w:top w:val="none" w:sz="0" w:space="0" w:color="auto"/>
                            <w:left w:val="none" w:sz="0" w:space="0" w:color="auto"/>
                            <w:bottom w:val="none" w:sz="0" w:space="0" w:color="auto"/>
                            <w:right w:val="none" w:sz="0" w:space="0" w:color="auto"/>
                          </w:divBdr>
                          <w:divsChild>
                            <w:div w:id="1772356304">
                              <w:marLeft w:val="0"/>
                              <w:marRight w:val="0"/>
                              <w:marTop w:val="0"/>
                              <w:marBottom w:val="0"/>
                              <w:divBdr>
                                <w:top w:val="none" w:sz="0" w:space="0" w:color="auto"/>
                                <w:left w:val="none" w:sz="0" w:space="0" w:color="auto"/>
                                <w:bottom w:val="none" w:sz="0" w:space="0" w:color="auto"/>
                                <w:right w:val="none" w:sz="0" w:space="0" w:color="auto"/>
                              </w:divBdr>
                              <w:divsChild>
                                <w:div w:id="465393499">
                                  <w:marLeft w:val="0"/>
                                  <w:marRight w:val="0"/>
                                  <w:marTop w:val="0"/>
                                  <w:marBottom w:val="0"/>
                                  <w:divBdr>
                                    <w:top w:val="none" w:sz="0" w:space="0" w:color="auto"/>
                                    <w:left w:val="none" w:sz="0" w:space="0" w:color="auto"/>
                                    <w:bottom w:val="none" w:sz="0" w:space="0" w:color="auto"/>
                                    <w:right w:val="none" w:sz="0" w:space="0" w:color="auto"/>
                                  </w:divBdr>
                                  <w:divsChild>
                                    <w:div w:id="339897616">
                                      <w:marLeft w:val="0"/>
                                      <w:marRight w:val="0"/>
                                      <w:marTop w:val="0"/>
                                      <w:marBottom w:val="0"/>
                                      <w:divBdr>
                                        <w:top w:val="none" w:sz="0" w:space="0" w:color="auto"/>
                                        <w:left w:val="none" w:sz="0" w:space="0" w:color="auto"/>
                                        <w:bottom w:val="single" w:sz="4" w:space="5" w:color="CCCCCC"/>
                                        <w:right w:val="none" w:sz="0" w:space="0" w:color="auto"/>
                                      </w:divBdr>
                                    </w:div>
                                    <w:div w:id="1942492546">
                                      <w:marLeft w:val="0"/>
                                      <w:marRight w:val="0"/>
                                      <w:marTop w:val="0"/>
                                      <w:marBottom w:val="0"/>
                                      <w:divBdr>
                                        <w:top w:val="none" w:sz="0" w:space="0" w:color="auto"/>
                                        <w:left w:val="none" w:sz="0" w:space="0" w:color="auto"/>
                                        <w:bottom w:val="none" w:sz="0" w:space="0" w:color="auto"/>
                                        <w:right w:val="none" w:sz="0" w:space="0" w:color="auto"/>
                                      </w:divBdr>
                                      <w:divsChild>
                                        <w:div w:id="16735380">
                                          <w:marLeft w:val="780"/>
                                          <w:marRight w:val="0"/>
                                          <w:marTop w:val="0"/>
                                          <w:marBottom w:val="0"/>
                                          <w:divBdr>
                                            <w:top w:val="none" w:sz="0" w:space="0" w:color="auto"/>
                                            <w:left w:val="none" w:sz="0" w:space="0" w:color="auto"/>
                                            <w:bottom w:val="none" w:sz="0" w:space="0" w:color="auto"/>
                                            <w:right w:val="none" w:sz="0" w:space="0" w:color="auto"/>
                                          </w:divBdr>
                                        </w:div>
                                        <w:div w:id="35280416">
                                          <w:marLeft w:val="0"/>
                                          <w:marRight w:val="0"/>
                                          <w:marTop w:val="0"/>
                                          <w:marBottom w:val="0"/>
                                          <w:divBdr>
                                            <w:top w:val="none" w:sz="0" w:space="0" w:color="auto"/>
                                            <w:left w:val="none" w:sz="0" w:space="0" w:color="auto"/>
                                            <w:bottom w:val="none" w:sz="0" w:space="0" w:color="auto"/>
                                            <w:right w:val="none" w:sz="0" w:space="0" w:color="auto"/>
                                          </w:divBdr>
                                        </w:div>
                                        <w:div w:id="46683093">
                                          <w:marLeft w:val="0"/>
                                          <w:marRight w:val="0"/>
                                          <w:marTop w:val="0"/>
                                          <w:marBottom w:val="0"/>
                                          <w:divBdr>
                                            <w:top w:val="none" w:sz="0" w:space="0" w:color="auto"/>
                                            <w:left w:val="none" w:sz="0" w:space="0" w:color="auto"/>
                                            <w:bottom w:val="none" w:sz="0" w:space="0" w:color="auto"/>
                                            <w:right w:val="none" w:sz="0" w:space="0" w:color="auto"/>
                                          </w:divBdr>
                                        </w:div>
                                        <w:div w:id="92937961">
                                          <w:marLeft w:val="0"/>
                                          <w:marRight w:val="0"/>
                                          <w:marTop w:val="0"/>
                                          <w:marBottom w:val="0"/>
                                          <w:divBdr>
                                            <w:top w:val="none" w:sz="0" w:space="0" w:color="auto"/>
                                            <w:left w:val="none" w:sz="0" w:space="0" w:color="auto"/>
                                            <w:bottom w:val="none" w:sz="0" w:space="0" w:color="auto"/>
                                            <w:right w:val="none" w:sz="0" w:space="0" w:color="auto"/>
                                          </w:divBdr>
                                        </w:div>
                                        <w:div w:id="93282768">
                                          <w:marLeft w:val="0"/>
                                          <w:marRight w:val="0"/>
                                          <w:marTop w:val="0"/>
                                          <w:marBottom w:val="0"/>
                                          <w:divBdr>
                                            <w:top w:val="none" w:sz="0" w:space="0" w:color="auto"/>
                                            <w:left w:val="none" w:sz="0" w:space="0" w:color="auto"/>
                                            <w:bottom w:val="none" w:sz="0" w:space="0" w:color="auto"/>
                                            <w:right w:val="none" w:sz="0" w:space="0" w:color="auto"/>
                                          </w:divBdr>
                                        </w:div>
                                        <w:div w:id="169760705">
                                          <w:marLeft w:val="0"/>
                                          <w:marRight w:val="0"/>
                                          <w:marTop w:val="0"/>
                                          <w:marBottom w:val="0"/>
                                          <w:divBdr>
                                            <w:top w:val="none" w:sz="0" w:space="0" w:color="auto"/>
                                            <w:left w:val="none" w:sz="0" w:space="0" w:color="auto"/>
                                            <w:bottom w:val="none" w:sz="0" w:space="0" w:color="auto"/>
                                            <w:right w:val="none" w:sz="0" w:space="0" w:color="auto"/>
                                          </w:divBdr>
                                        </w:div>
                                        <w:div w:id="173228958">
                                          <w:marLeft w:val="0"/>
                                          <w:marRight w:val="0"/>
                                          <w:marTop w:val="0"/>
                                          <w:marBottom w:val="0"/>
                                          <w:divBdr>
                                            <w:top w:val="none" w:sz="0" w:space="0" w:color="auto"/>
                                            <w:left w:val="none" w:sz="0" w:space="0" w:color="auto"/>
                                            <w:bottom w:val="none" w:sz="0" w:space="0" w:color="auto"/>
                                            <w:right w:val="none" w:sz="0" w:space="0" w:color="auto"/>
                                          </w:divBdr>
                                        </w:div>
                                        <w:div w:id="177620828">
                                          <w:marLeft w:val="993"/>
                                          <w:marRight w:val="0"/>
                                          <w:marTop w:val="0"/>
                                          <w:marBottom w:val="0"/>
                                          <w:divBdr>
                                            <w:top w:val="none" w:sz="0" w:space="0" w:color="auto"/>
                                            <w:left w:val="none" w:sz="0" w:space="0" w:color="auto"/>
                                            <w:bottom w:val="none" w:sz="0" w:space="0" w:color="auto"/>
                                            <w:right w:val="none" w:sz="0" w:space="0" w:color="auto"/>
                                          </w:divBdr>
                                        </w:div>
                                        <w:div w:id="422072834">
                                          <w:marLeft w:val="993"/>
                                          <w:marRight w:val="0"/>
                                          <w:marTop w:val="0"/>
                                          <w:marBottom w:val="0"/>
                                          <w:divBdr>
                                            <w:top w:val="none" w:sz="0" w:space="0" w:color="auto"/>
                                            <w:left w:val="none" w:sz="0" w:space="0" w:color="auto"/>
                                            <w:bottom w:val="none" w:sz="0" w:space="0" w:color="auto"/>
                                            <w:right w:val="none" w:sz="0" w:space="0" w:color="auto"/>
                                          </w:divBdr>
                                        </w:div>
                                        <w:div w:id="426467462">
                                          <w:marLeft w:val="0"/>
                                          <w:marRight w:val="0"/>
                                          <w:marTop w:val="0"/>
                                          <w:marBottom w:val="0"/>
                                          <w:divBdr>
                                            <w:top w:val="none" w:sz="0" w:space="0" w:color="auto"/>
                                            <w:left w:val="none" w:sz="0" w:space="0" w:color="auto"/>
                                            <w:bottom w:val="none" w:sz="0" w:space="0" w:color="auto"/>
                                            <w:right w:val="none" w:sz="0" w:space="0" w:color="auto"/>
                                          </w:divBdr>
                                        </w:div>
                                        <w:div w:id="483158835">
                                          <w:marLeft w:val="0"/>
                                          <w:marRight w:val="0"/>
                                          <w:marTop w:val="0"/>
                                          <w:marBottom w:val="0"/>
                                          <w:divBdr>
                                            <w:top w:val="none" w:sz="0" w:space="0" w:color="auto"/>
                                            <w:left w:val="none" w:sz="0" w:space="0" w:color="auto"/>
                                            <w:bottom w:val="none" w:sz="0" w:space="0" w:color="auto"/>
                                            <w:right w:val="none" w:sz="0" w:space="0" w:color="auto"/>
                                          </w:divBdr>
                                        </w:div>
                                        <w:div w:id="503665580">
                                          <w:marLeft w:val="0"/>
                                          <w:marRight w:val="0"/>
                                          <w:marTop w:val="0"/>
                                          <w:marBottom w:val="0"/>
                                          <w:divBdr>
                                            <w:top w:val="none" w:sz="0" w:space="0" w:color="auto"/>
                                            <w:left w:val="none" w:sz="0" w:space="0" w:color="auto"/>
                                            <w:bottom w:val="none" w:sz="0" w:space="0" w:color="auto"/>
                                            <w:right w:val="none" w:sz="0" w:space="0" w:color="auto"/>
                                          </w:divBdr>
                                        </w:div>
                                        <w:div w:id="580215825">
                                          <w:marLeft w:val="993"/>
                                          <w:marRight w:val="0"/>
                                          <w:marTop w:val="0"/>
                                          <w:marBottom w:val="0"/>
                                          <w:divBdr>
                                            <w:top w:val="none" w:sz="0" w:space="0" w:color="auto"/>
                                            <w:left w:val="none" w:sz="0" w:space="0" w:color="auto"/>
                                            <w:bottom w:val="none" w:sz="0" w:space="0" w:color="auto"/>
                                            <w:right w:val="none" w:sz="0" w:space="0" w:color="auto"/>
                                          </w:divBdr>
                                        </w:div>
                                        <w:div w:id="609699175">
                                          <w:marLeft w:val="0"/>
                                          <w:marRight w:val="0"/>
                                          <w:marTop w:val="0"/>
                                          <w:marBottom w:val="0"/>
                                          <w:divBdr>
                                            <w:top w:val="none" w:sz="0" w:space="0" w:color="auto"/>
                                            <w:left w:val="none" w:sz="0" w:space="0" w:color="auto"/>
                                            <w:bottom w:val="none" w:sz="0" w:space="0" w:color="auto"/>
                                            <w:right w:val="none" w:sz="0" w:space="0" w:color="auto"/>
                                          </w:divBdr>
                                        </w:div>
                                        <w:div w:id="612441556">
                                          <w:marLeft w:val="0"/>
                                          <w:marRight w:val="0"/>
                                          <w:marTop w:val="0"/>
                                          <w:marBottom w:val="0"/>
                                          <w:divBdr>
                                            <w:top w:val="none" w:sz="0" w:space="0" w:color="auto"/>
                                            <w:left w:val="none" w:sz="0" w:space="0" w:color="auto"/>
                                            <w:bottom w:val="none" w:sz="0" w:space="0" w:color="auto"/>
                                            <w:right w:val="none" w:sz="0" w:space="0" w:color="auto"/>
                                          </w:divBdr>
                                        </w:div>
                                        <w:div w:id="647974478">
                                          <w:marLeft w:val="0"/>
                                          <w:marRight w:val="0"/>
                                          <w:marTop w:val="0"/>
                                          <w:marBottom w:val="0"/>
                                          <w:divBdr>
                                            <w:top w:val="none" w:sz="0" w:space="0" w:color="auto"/>
                                            <w:left w:val="none" w:sz="0" w:space="0" w:color="auto"/>
                                            <w:bottom w:val="none" w:sz="0" w:space="0" w:color="auto"/>
                                            <w:right w:val="none" w:sz="0" w:space="0" w:color="auto"/>
                                          </w:divBdr>
                                        </w:div>
                                        <w:div w:id="715423449">
                                          <w:marLeft w:val="0"/>
                                          <w:marRight w:val="0"/>
                                          <w:marTop w:val="0"/>
                                          <w:marBottom w:val="0"/>
                                          <w:divBdr>
                                            <w:top w:val="none" w:sz="0" w:space="0" w:color="auto"/>
                                            <w:left w:val="none" w:sz="0" w:space="0" w:color="auto"/>
                                            <w:bottom w:val="none" w:sz="0" w:space="0" w:color="auto"/>
                                            <w:right w:val="none" w:sz="0" w:space="0" w:color="auto"/>
                                          </w:divBdr>
                                        </w:div>
                                        <w:div w:id="728967192">
                                          <w:marLeft w:val="780"/>
                                          <w:marRight w:val="0"/>
                                          <w:marTop w:val="0"/>
                                          <w:marBottom w:val="0"/>
                                          <w:divBdr>
                                            <w:top w:val="none" w:sz="0" w:space="0" w:color="auto"/>
                                            <w:left w:val="none" w:sz="0" w:space="0" w:color="auto"/>
                                            <w:bottom w:val="none" w:sz="0" w:space="0" w:color="auto"/>
                                            <w:right w:val="none" w:sz="0" w:space="0" w:color="auto"/>
                                          </w:divBdr>
                                        </w:div>
                                        <w:div w:id="804153358">
                                          <w:marLeft w:val="0"/>
                                          <w:marRight w:val="0"/>
                                          <w:marTop w:val="0"/>
                                          <w:marBottom w:val="0"/>
                                          <w:divBdr>
                                            <w:top w:val="none" w:sz="0" w:space="0" w:color="auto"/>
                                            <w:left w:val="none" w:sz="0" w:space="0" w:color="auto"/>
                                            <w:bottom w:val="none" w:sz="0" w:space="0" w:color="auto"/>
                                            <w:right w:val="none" w:sz="0" w:space="0" w:color="auto"/>
                                          </w:divBdr>
                                        </w:div>
                                        <w:div w:id="826022119">
                                          <w:marLeft w:val="0"/>
                                          <w:marRight w:val="0"/>
                                          <w:marTop w:val="0"/>
                                          <w:marBottom w:val="0"/>
                                          <w:divBdr>
                                            <w:top w:val="none" w:sz="0" w:space="0" w:color="auto"/>
                                            <w:left w:val="none" w:sz="0" w:space="0" w:color="auto"/>
                                            <w:bottom w:val="none" w:sz="0" w:space="0" w:color="auto"/>
                                            <w:right w:val="none" w:sz="0" w:space="0" w:color="auto"/>
                                          </w:divBdr>
                                        </w:div>
                                        <w:div w:id="876115099">
                                          <w:marLeft w:val="0"/>
                                          <w:marRight w:val="0"/>
                                          <w:marTop w:val="0"/>
                                          <w:marBottom w:val="0"/>
                                          <w:divBdr>
                                            <w:top w:val="none" w:sz="0" w:space="0" w:color="auto"/>
                                            <w:left w:val="none" w:sz="0" w:space="0" w:color="auto"/>
                                            <w:bottom w:val="none" w:sz="0" w:space="0" w:color="auto"/>
                                            <w:right w:val="none" w:sz="0" w:space="0" w:color="auto"/>
                                          </w:divBdr>
                                        </w:div>
                                        <w:div w:id="907149410">
                                          <w:marLeft w:val="0"/>
                                          <w:marRight w:val="0"/>
                                          <w:marTop w:val="0"/>
                                          <w:marBottom w:val="0"/>
                                          <w:divBdr>
                                            <w:top w:val="none" w:sz="0" w:space="0" w:color="auto"/>
                                            <w:left w:val="none" w:sz="0" w:space="0" w:color="auto"/>
                                            <w:bottom w:val="none" w:sz="0" w:space="0" w:color="auto"/>
                                            <w:right w:val="none" w:sz="0" w:space="0" w:color="auto"/>
                                          </w:divBdr>
                                        </w:div>
                                        <w:div w:id="918028658">
                                          <w:marLeft w:val="993"/>
                                          <w:marRight w:val="0"/>
                                          <w:marTop w:val="0"/>
                                          <w:marBottom w:val="0"/>
                                          <w:divBdr>
                                            <w:top w:val="none" w:sz="0" w:space="0" w:color="auto"/>
                                            <w:left w:val="none" w:sz="0" w:space="0" w:color="auto"/>
                                            <w:bottom w:val="none" w:sz="0" w:space="0" w:color="auto"/>
                                            <w:right w:val="none" w:sz="0" w:space="0" w:color="auto"/>
                                          </w:divBdr>
                                        </w:div>
                                        <w:div w:id="936521282">
                                          <w:marLeft w:val="0"/>
                                          <w:marRight w:val="0"/>
                                          <w:marTop w:val="0"/>
                                          <w:marBottom w:val="0"/>
                                          <w:divBdr>
                                            <w:top w:val="none" w:sz="0" w:space="0" w:color="auto"/>
                                            <w:left w:val="none" w:sz="0" w:space="0" w:color="auto"/>
                                            <w:bottom w:val="none" w:sz="0" w:space="0" w:color="auto"/>
                                            <w:right w:val="none" w:sz="0" w:space="0" w:color="auto"/>
                                          </w:divBdr>
                                        </w:div>
                                        <w:div w:id="1025595967">
                                          <w:marLeft w:val="0"/>
                                          <w:marRight w:val="0"/>
                                          <w:marTop w:val="0"/>
                                          <w:marBottom w:val="0"/>
                                          <w:divBdr>
                                            <w:top w:val="none" w:sz="0" w:space="0" w:color="auto"/>
                                            <w:left w:val="none" w:sz="0" w:space="0" w:color="auto"/>
                                            <w:bottom w:val="none" w:sz="0" w:space="0" w:color="auto"/>
                                            <w:right w:val="none" w:sz="0" w:space="0" w:color="auto"/>
                                          </w:divBdr>
                                        </w:div>
                                        <w:div w:id="1074469209">
                                          <w:marLeft w:val="0"/>
                                          <w:marRight w:val="0"/>
                                          <w:marTop w:val="0"/>
                                          <w:marBottom w:val="0"/>
                                          <w:divBdr>
                                            <w:top w:val="none" w:sz="0" w:space="0" w:color="auto"/>
                                            <w:left w:val="none" w:sz="0" w:space="0" w:color="auto"/>
                                            <w:bottom w:val="none" w:sz="0" w:space="0" w:color="auto"/>
                                            <w:right w:val="none" w:sz="0" w:space="0" w:color="auto"/>
                                          </w:divBdr>
                                        </w:div>
                                        <w:div w:id="1096055806">
                                          <w:marLeft w:val="0"/>
                                          <w:marRight w:val="0"/>
                                          <w:marTop w:val="0"/>
                                          <w:marBottom w:val="0"/>
                                          <w:divBdr>
                                            <w:top w:val="none" w:sz="0" w:space="0" w:color="auto"/>
                                            <w:left w:val="none" w:sz="0" w:space="0" w:color="auto"/>
                                            <w:bottom w:val="none" w:sz="0" w:space="0" w:color="auto"/>
                                            <w:right w:val="none" w:sz="0" w:space="0" w:color="auto"/>
                                          </w:divBdr>
                                        </w:div>
                                        <w:div w:id="1115752290">
                                          <w:marLeft w:val="993"/>
                                          <w:marRight w:val="0"/>
                                          <w:marTop w:val="0"/>
                                          <w:marBottom w:val="0"/>
                                          <w:divBdr>
                                            <w:top w:val="none" w:sz="0" w:space="0" w:color="auto"/>
                                            <w:left w:val="none" w:sz="0" w:space="0" w:color="auto"/>
                                            <w:bottom w:val="none" w:sz="0" w:space="0" w:color="auto"/>
                                            <w:right w:val="none" w:sz="0" w:space="0" w:color="auto"/>
                                          </w:divBdr>
                                        </w:div>
                                        <w:div w:id="1178696699">
                                          <w:marLeft w:val="0"/>
                                          <w:marRight w:val="0"/>
                                          <w:marTop w:val="0"/>
                                          <w:marBottom w:val="0"/>
                                          <w:divBdr>
                                            <w:top w:val="none" w:sz="0" w:space="0" w:color="auto"/>
                                            <w:left w:val="none" w:sz="0" w:space="0" w:color="auto"/>
                                            <w:bottom w:val="none" w:sz="0" w:space="0" w:color="auto"/>
                                            <w:right w:val="none" w:sz="0" w:space="0" w:color="auto"/>
                                          </w:divBdr>
                                        </w:div>
                                        <w:div w:id="1235700953">
                                          <w:marLeft w:val="0"/>
                                          <w:marRight w:val="0"/>
                                          <w:marTop w:val="0"/>
                                          <w:marBottom w:val="0"/>
                                          <w:divBdr>
                                            <w:top w:val="none" w:sz="0" w:space="0" w:color="auto"/>
                                            <w:left w:val="none" w:sz="0" w:space="0" w:color="auto"/>
                                            <w:bottom w:val="none" w:sz="0" w:space="0" w:color="auto"/>
                                            <w:right w:val="none" w:sz="0" w:space="0" w:color="auto"/>
                                          </w:divBdr>
                                        </w:div>
                                        <w:div w:id="1275164710">
                                          <w:marLeft w:val="0"/>
                                          <w:marRight w:val="0"/>
                                          <w:marTop w:val="0"/>
                                          <w:marBottom w:val="0"/>
                                          <w:divBdr>
                                            <w:top w:val="none" w:sz="0" w:space="0" w:color="auto"/>
                                            <w:left w:val="none" w:sz="0" w:space="0" w:color="auto"/>
                                            <w:bottom w:val="none" w:sz="0" w:space="0" w:color="auto"/>
                                            <w:right w:val="none" w:sz="0" w:space="0" w:color="auto"/>
                                          </w:divBdr>
                                        </w:div>
                                        <w:div w:id="1336760865">
                                          <w:marLeft w:val="0"/>
                                          <w:marRight w:val="0"/>
                                          <w:marTop w:val="0"/>
                                          <w:marBottom w:val="0"/>
                                          <w:divBdr>
                                            <w:top w:val="none" w:sz="0" w:space="0" w:color="auto"/>
                                            <w:left w:val="none" w:sz="0" w:space="0" w:color="auto"/>
                                            <w:bottom w:val="none" w:sz="0" w:space="0" w:color="auto"/>
                                            <w:right w:val="none" w:sz="0" w:space="0" w:color="auto"/>
                                          </w:divBdr>
                                        </w:div>
                                        <w:div w:id="1344437308">
                                          <w:marLeft w:val="0"/>
                                          <w:marRight w:val="0"/>
                                          <w:marTop w:val="0"/>
                                          <w:marBottom w:val="0"/>
                                          <w:divBdr>
                                            <w:top w:val="none" w:sz="0" w:space="0" w:color="auto"/>
                                            <w:left w:val="none" w:sz="0" w:space="0" w:color="auto"/>
                                            <w:bottom w:val="none" w:sz="0" w:space="0" w:color="auto"/>
                                            <w:right w:val="none" w:sz="0" w:space="0" w:color="auto"/>
                                          </w:divBdr>
                                        </w:div>
                                        <w:div w:id="1345740734">
                                          <w:marLeft w:val="0"/>
                                          <w:marRight w:val="0"/>
                                          <w:marTop w:val="0"/>
                                          <w:marBottom w:val="0"/>
                                          <w:divBdr>
                                            <w:top w:val="none" w:sz="0" w:space="0" w:color="auto"/>
                                            <w:left w:val="none" w:sz="0" w:space="0" w:color="auto"/>
                                            <w:bottom w:val="none" w:sz="0" w:space="0" w:color="auto"/>
                                            <w:right w:val="none" w:sz="0" w:space="0" w:color="auto"/>
                                          </w:divBdr>
                                        </w:div>
                                        <w:div w:id="1387490763">
                                          <w:marLeft w:val="0"/>
                                          <w:marRight w:val="0"/>
                                          <w:marTop w:val="0"/>
                                          <w:marBottom w:val="0"/>
                                          <w:divBdr>
                                            <w:top w:val="none" w:sz="0" w:space="0" w:color="auto"/>
                                            <w:left w:val="none" w:sz="0" w:space="0" w:color="auto"/>
                                            <w:bottom w:val="none" w:sz="0" w:space="0" w:color="auto"/>
                                            <w:right w:val="none" w:sz="0" w:space="0" w:color="auto"/>
                                          </w:divBdr>
                                        </w:div>
                                        <w:div w:id="1388066568">
                                          <w:marLeft w:val="0"/>
                                          <w:marRight w:val="0"/>
                                          <w:marTop w:val="0"/>
                                          <w:marBottom w:val="0"/>
                                          <w:divBdr>
                                            <w:top w:val="none" w:sz="0" w:space="0" w:color="auto"/>
                                            <w:left w:val="none" w:sz="0" w:space="0" w:color="auto"/>
                                            <w:bottom w:val="none" w:sz="0" w:space="0" w:color="auto"/>
                                            <w:right w:val="none" w:sz="0" w:space="0" w:color="auto"/>
                                          </w:divBdr>
                                        </w:div>
                                        <w:div w:id="1390880105">
                                          <w:marLeft w:val="0"/>
                                          <w:marRight w:val="0"/>
                                          <w:marTop w:val="0"/>
                                          <w:marBottom w:val="0"/>
                                          <w:divBdr>
                                            <w:top w:val="none" w:sz="0" w:space="0" w:color="auto"/>
                                            <w:left w:val="none" w:sz="0" w:space="0" w:color="auto"/>
                                            <w:bottom w:val="none" w:sz="0" w:space="0" w:color="auto"/>
                                            <w:right w:val="none" w:sz="0" w:space="0" w:color="auto"/>
                                          </w:divBdr>
                                        </w:div>
                                        <w:div w:id="1419132394">
                                          <w:marLeft w:val="0"/>
                                          <w:marRight w:val="0"/>
                                          <w:marTop w:val="0"/>
                                          <w:marBottom w:val="0"/>
                                          <w:divBdr>
                                            <w:top w:val="none" w:sz="0" w:space="0" w:color="auto"/>
                                            <w:left w:val="none" w:sz="0" w:space="0" w:color="auto"/>
                                            <w:bottom w:val="none" w:sz="0" w:space="0" w:color="auto"/>
                                            <w:right w:val="none" w:sz="0" w:space="0" w:color="auto"/>
                                          </w:divBdr>
                                        </w:div>
                                        <w:div w:id="1645692284">
                                          <w:marLeft w:val="0"/>
                                          <w:marRight w:val="0"/>
                                          <w:marTop w:val="0"/>
                                          <w:marBottom w:val="0"/>
                                          <w:divBdr>
                                            <w:top w:val="none" w:sz="0" w:space="0" w:color="auto"/>
                                            <w:left w:val="none" w:sz="0" w:space="0" w:color="auto"/>
                                            <w:bottom w:val="none" w:sz="0" w:space="0" w:color="auto"/>
                                            <w:right w:val="none" w:sz="0" w:space="0" w:color="auto"/>
                                          </w:divBdr>
                                        </w:div>
                                        <w:div w:id="1682856835">
                                          <w:marLeft w:val="0"/>
                                          <w:marRight w:val="0"/>
                                          <w:marTop w:val="0"/>
                                          <w:marBottom w:val="0"/>
                                          <w:divBdr>
                                            <w:top w:val="none" w:sz="0" w:space="0" w:color="auto"/>
                                            <w:left w:val="none" w:sz="0" w:space="0" w:color="auto"/>
                                            <w:bottom w:val="none" w:sz="0" w:space="0" w:color="auto"/>
                                            <w:right w:val="none" w:sz="0" w:space="0" w:color="auto"/>
                                          </w:divBdr>
                                        </w:div>
                                        <w:div w:id="1689059698">
                                          <w:marLeft w:val="0"/>
                                          <w:marRight w:val="0"/>
                                          <w:marTop w:val="0"/>
                                          <w:marBottom w:val="0"/>
                                          <w:divBdr>
                                            <w:top w:val="none" w:sz="0" w:space="0" w:color="auto"/>
                                            <w:left w:val="none" w:sz="0" w:space="0" w:color="auto"/>
                                            <w:bottom w:val="none" w:sz="0" w:space="0" w:color="auto"/>
                                            <w:right w:val="none" w:sz="0" w:space="0" w:color="auto"/>
                                          </w:divBdr>
                                        </w:div>
                                        <w:div w:id="1985818702">
                                          <w:marLeft w:val="780"/>
                                          <w:marRight w:val="0"/>
                                          <w:marTop w:val="0"/>
                                          <w:marBottom w:val="0"/>
                                          <w:divBdr>
                                            <w:top w:val="none" w:sz="0" w:space="0" w:color="auto"/>
                                            <w:left w:val="none" w:sz="0" w:space="0" w:color="auto"/>
                                            <w:bottom w:val="none" w:sz="0" w:space="0" w:color="auto"/>
                                            <w:right w:val="none" w:sz="0" w:space="0" w:color="auto"/>
                                          </w:divBdr>
                                        </w:div>
                                        <w:div w:id="1999068232">
                                          <w:marLeft w:val="780"/>
                                          <w:marRight w:val="0"/>
                                          <w:marTop w:val="0"/>
                                          <w:marBottom w:val="0"/>
                                          <w:divBdr>
                                            <w:top w:val="none" w:sz="0" w:space="0" w:color="auto"/>
                                            <w:left w:val="none" w:sz="0" w:space="0" w:color="auto"/>
                                            <w:bottom w:val="none" w:sz="0" w:space="0" w:color="auto"/>
                                            <w:right w:val="none" w:sz="0" w:space="0" w:color="auto"/>
                                          </w:divBdr>
                                        </w:div>
                                        <w:div w:id="20749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6D2F-9A41-45FA-A496-59F21444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2822</Characters>
  <Application>Microsoft Office Word</Application>
  <DocSecurity>4</DocSecurity>
  <Lines>23</Lines>
  <Paragraphs>6</Paragraphs>
  <ScaleCrop>false</ScaleCrop>
  <Company>7200.All.Disk</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赵融达</dc:creator>
  <cp:keywords/>
  <cp:lastModifiedBy>JonMMx 2000</cp:lastModifiedBy>
  <cp:revision>2</cp:revision>
  <cp:lastPrinted>2019-12-23T07:56:00Z</cp:lastPrinted>
  <dcterms:created xsi:type="dcterms:W3CDTF">2019-12-26T16:01:00Z</dcterms:created>
  <dcterms:modified xsi:type="dcterms:W3CDTF">2019-12-26T16:01:00Z</dcterms:modified>
</cp:coreProperties>
</file>