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06" w:rsidRPr="00F34A04" w:rsidRDefault="00063D06" w:rsidP="00E22677">
      <w:pPr>
        <w:spacing w:line="360" w:lineRule="auto"/>
        <w:jc w:val="center"/>
        <w:rPr>
          <w:rFonts w:hAnsi="宋体"/>
          <w:b/>
          <w:kern w:val="0"/>
          <w:sz w:val="28"/>
          <w:szCs w:val="28"/>
        </w:rPr>
      </w:pPr>
      <w:r>
        <w:rPr>
          <w:rFonts w:hAnsi="宋体" w:hint="eastAsia"/>
          <w:b/>
          <w:kern w:val="0"/>
          <w:sz w:val="28"/>
          <w:szCs w:val="28"/>
        </w:rPr>
        <w:t>汇添富基金管理股份有限公司</w:t>
      </w:r>
      <w:r>
        <w:rPr>
          <w:rFonts w:hAnsi="宋体"/>
          <w:b/>
          <w:kern w:val="0"/>
          <w:sz w:val="28"/>
          <w:szCs w:val="28"/>
        </w:rPr>
        <w:t>关于旗下部分基金</w:t>
      </w:r>
      <w:r>
        <w:rPr>
          <w:rFonts w:hAnsi="宋体"/>
          <w:b/>
          <w:kern w:val="0"/>
          <w:sz w:val="28"/>
          <w:szCs w:val="28"/>
        </w:rPr>
        <w:t>2019</w:t>
      </w:r>
      <w:r>
        <w:rPr>
          <w:rFonts w:hAnsi="宋体" w:hint="eastAsia"/>
          <w:b/>
          <w:kern w:val="0"/>
          <w:sz w:val="28"/>
          <w:szCs w:val="28"/>
        </w:rPr>
        <w:t>年</w:t>
      </w:r>
      <w:r w:rsidR="003C367E">
        <w:rPr>
          <w:rFonts w:hAnsi="宋体" w:hint="eastAsia"/>
          <w:b/>
          <w:kern w:val="0"/>
          <w:sz w:val="28"/>
          <w:szCs w:val="28"/>
        </w:rPr>
        <w:t>底和</w:t>
      </w:r>
      <w:r w:rsidR="003C367E">
        <w:rPr>
          <w:rFonts w:hAnsi="宋体" w:hint="eastAsia"/>
          <w:b/>
          <w:kern w:val="0"/>
          <w:sz w:val="28"/>
          <w:szCs w:val="28"/>
        </w:rPr>
        <w:t>2020</w:t>
      </w:r>
      <w:r w:rsidR="003C367E">
        <w:rPr>
          <w:rFonts w:hAnsi="宋体" w:hint="eastAsia"/>
          <w:b/>
          <w:kern w:val="0"/>
          <w:sz w:val="28"/>
          <w:szCs w:val="28"/>
        </w:rPr>
        <w:t>年</w:t>
      </w:r>
      <w:r w:rsidRPr="002D5909">
        <w:rPr>
          <w:rFonts w:hAnsi="宋体" w:hint="eastAsia"/>
          <w:b/>
          <w:kern w:val="0"/>
          <w:sz w:val="28"/>
          <w:szCs w:val="28"/>
        </w:rPr>
        <w:t>非港股通交易日</w:t>
      </w:r>
      <w:r w:rsidRPr="00F34A04">
        <w:rPr>
          <w:rFonts w:hAnsi="宋体"/>
          <w:b/>
          <w:kern w:val="0"/>
          <w:sz w:val="28"/>
          <w:szCs w:val="28"/>
        </w:rPr>
        <w:t>暂停申购、赎回</w:t>
      </w:r>
      <w:r>
        <w:rPr>
          <w:rFonts w:hAnsi="宋体" w:hint="eastAsia"/>
          <w:b/>
          <w:kern w:val="0"/>
          <w:sz w:val="28"/>
          <w:szCs w:val="28"/>
        </w:rPr>
        <w:t>等</w:t>
      </w:r>
      <w:r w:rsidRPr="00F34A04">
        <w:rPr>
          <w:rFonts w:hAnsi="宋体"/>
          <w:b/>
          <w:kern w:val="0"/>
          <w:sz w:val="28"/>
          <w:szCs w:val="28"/>
        </w:rPr>
        <w:t>业务的公告</w:t>
      </w:r>
    </w:p>
    <w:p w:rsidR="00063D06" w:rsidRDefault="00063D06" w:rsidP="00D66832">
      <w:pPr>
        <w:spacing w:line="360" w:lineRule="auto"/>
        <w:ind w:firstLineChars="200" w:firstLine="480"/>
        <w:rPr>
          <w:kern w:val="0"/>
          <w:sz w:val="24"/>
        </w:rPr>
      </w:pPr>
      <w:r w:rsidRPr="00464B22">
        <w:rPr>
          <w:kern w:val="0"/>
          <w:sz w:val="24"/>
        </w:rPr>
        <w:t>为了保障基金平稳运作，</w:t>
      </w:r>
      <w:r>
        <w:rPr>
          <w:rFonts w:hint="eastAsia"/>
          <w:kern w:val="0"/>
          <w:sz w:val="24"/>
        </w:rPr>
        <w:t>保护持有人利益，</w:t>
      </w:r>
      <w:r w:rsidRPr="002D5909">
        <w:rPr>
          <w:rFonts w:hint="eastAsia"/>
          <w:kern w:val="0"/>
          <w:sz w:val="24"/>
        </w:rPr>
        <w:t>根据</w:t>
      </w:r>
      <w:r>
        <w:rPr>
          <w:rFonts w:hint="eastAsia"/>
          <w:kern w:val="0"/>
          <w:sz w:val="24"/>
        </w:rPr>
        <w:t>下述基金基金合同的约定，以及</w:t>
      </w:r>
      <w:r w:rsidRPr="002D5909">
        <w:rPr>
          <w:rFonts w:hint="eastAsia"/>
          <w:kern w:val="0"/>
          <w:sz w:val="24"/>
        </w:rPr>
        <w:t>上海证券交易所</w:t>
      </w:r>
      <w:r>
        <w:rPr>
          <w:rFonts w:hint="eastAsia"/>
          <w:kern w:val="0"/>
          <w:sz w:val="24"/>
        </w:rPr>
        <w:t>和</w:t>
      </w:r>
      <w:r w:rsidRPr="002D5909">
        <w:rPr>
          <w:rFonts w:hint="eastAsia"/>
          <w:kern w:val="0"/>
          <w:sz w:val="24"/>
        </w:rPr>
        <w:t>深圳证券交易所</w:t>
      </w:r>
      <w:r w:rsidR="003C367E" w:rsidRPr="003C367E">
        <w:rPr>
          <w:rFonts w:hint="eastAsia"/>
          <w:kern w:val="0"/>
          <w:sz w:val="24"/>
        </w:rPr>
        <w:t>关于</w:t>
      </w:r>
      <w:r w:rsidR="003C367E" w:rsidRPr="003C367E">
        <w:rPr>
          <w:rFonts w:hint="eastAsia"/>
          <w:kern w:val="0"/>
          <w:sz w:val="24"/>
        </w:rPr>
        <w:t>2019</w:t>
      </w:r>
      <w:r w:rsidR="003C367E" w:rsidRPr="003C367E">
        <w:rPr>
          <w:rFonts w:hint="eastAsia"/>
          <w:kern w:val="0"/>
          <w:sz w:val="24"/>
        </w:rPr>
        <w:t>年底及</w:t>
      </w:r>
      <w:r w:rsidR="003C367E" w:rsidRPr="003C367E">
        <w:rPr>
          <w:rFonts w:hint="eastAsia"/>
          <w:kern w:val="0"/>
          <w:sz w:val="24"/>
        </w:rPr>
        <w:t>2020</w:t>
      </w:r>
      <w:r w:rsidR="003C367E" w:rsidRPr="003C367E">
        <w:rPr>
          <w:rFonts w:hint="eastAsia"/>
          <w:kern w:val="0"/>
          <w:sz w:val="24"/>
        </w:rPr>
        <w:t>年</w:t>
      </w:r>
      <w:r w:rsidRPr="00FC32BA">
        <w:rPr>
          <w:rFonts w:hint="eastAsia"/>
          <w:kern w:val="0"/>
          <w:sz w:val="24"/>
        </w:rPr>
        <w:t>港股通交易日</w:t>
      </w:r>
      <w:r w:rsidRPr="00CC5931">
        <w:rPr>
          <w:rFonts w:hint="eastAsia"/>
          <w:kern w:val="0"/>
          <w:sz w:val="24"/>
        </w:rPr>
        <w:t>安排的通知</w:t>
      </w:r>
      <w:r>
        <w:rPr>
          <w:rFonts w:hint="eastAsia"/>
          <w:kern w:val="0"/>
          <w:sz w:val="24"/>
        </w:rPr>
        <w:t>，</w:t>
      </w:r>
      <w:r>
        <w:rPr>
          <w:kern w:val="0"/>
          <w:sz w:val="24"/>
        </w:rPr>
        <w:t>汇添富基金管理股份有限公司</w:t>
      </w:r>
      <w:r>
        <w:rPr>
          <w:rFonts w:hint="eastAsia"/>
          <w:kern w:val="0"/>
          <w:sz w:val="24"/>
        </w:rPr>
        <w:t>（以下简称“本公司”）</w:t>
      </w:r>
      <w:r w:rsidRPr="00464B22">
        <w:rPr>
          <w:kern w:val="0"/>
          <w:sz w:val="24"/>
        </w:rPr>
        <w:t>决定，除上海</w:t>
      </w:r>
      <w:r w:rsidR="003C367E" w:rsidRPr="00464B22">
        <w:rPr>
          <w:kern w:val="0"/>
          <w:sz w:val="24"/>
        </w:rPr>
        <w:t>证券交易</w:t>
      </w:r>
      <w:r w:rsidRPr="00464B22">
        <w:rPr>
          <w:kern w:val="0"/>
          <w:sz w:val="24"/>
        </w:rPr>
        <w:t>和深圳证券交易所因国内节假日休市外，</w:t>
      </w:r>
      <w:r>
        <w:rPr>
          <w:kern w:val="0"/>
          <w:sz w:val="24"/>
        </w:rPr>
        <w:t>下述基金在</w:t>
      </w:r>
      <w:r w:rsidRPr="00464B22">
        <w:rPr>
          <w:kern w:val="0"/>
          <w:sz w:val="24"/>
        </w:rPr>
        <w:t>下列</w:t>
      </w:r>
      <w:r w:rsidRPr="002D5909">
        <w:rPr>
          <w:rFonts w:hAnsi="宋体" w:hint="eastAsia"/>
          <w:color w:val="000000"/>
          <w:sz w:val="24"/>
        </w:rPr>
        <w:t>上海证券交易所和深圳证券交易所的</w:t>
      </w:r>
      <w:r w:rsidR="003C367E" w:rsidRPr="003C367E">
        <w:rPr>
          <w:rFonts w:hint="eastAsia"/>
          <w:kern w:val="0"/>
          <w:sz w:val="24"/>
        </w:rPr>
        <w:t>2019</w:t>
      </w:r>
      <w:r w:rsidR="003C367E" w:rsidRPr="003C367E">
        <w:rPr>
          <w:rFonts w:hint="eastAsia"/>
          <w:kern w:val="0"/>
          <w:sz w:val="24"/>
        </w:rPr>
        <w:t>年底及</w:t>
      </w:r>
      <w:r w:rsidR="003C367E" w:rsidRPr="003C367E">
        <w:rPr>
          <w:rFonts w:hint="eastAsia"/>
          <w:kern w:val="0"/>
          <w:sz w:val="24"/>
        </w:rPr>
        <w:t>2020</w:t>
      </w:r>
      <w:r w:rsidR="003C367E" w:rsidRPr="003C367E">
        <w:rPr>
          <w:rFonts w:hint="eastAsia"/>
          <w:kern w:val="0"/>
          <w:sz w:val="24"/>
        </w:rPr>
        <w:t>年</w:t>
      </w:r>
      <w:r w:rsidRPr="002D5909">
        <w:rPr>
          <w:rFonts w:hAnsi="宋体" w:hint="eastAsia"/>
          <w:color w:val="000000"/>
          <w:sz w:val="24"/>
        </w:rPr>
        <w:t>非港股通交易日</w:t>
      </w:r>
      <w:r w:rsidRPr="00464B22">
        <w:rPr>
          <w:kern w:val="0"/>
          <w:sz w:val="24"/>
        </w:rPr>
        <w:t>将暂停日常申购、赎回等业务，</w:t>
      </w:r>
      <w:r w:rsidRPr="002D5909">
        <w:rPr>
          <w:rFonts w:hint="eastAsia"/>
          <w:kern w:val="0"/>
          <w:sz w:val="24"/>
        </w:rPr>
        <w:t>并自下列非港股通交易日结束后的首个开放日恢复</w:t>
      </w:r>
      <w:r>
        <w:rPr>
          <w:rFonts w:hint="eastAsia"/>
          <w:kern w:val="0"/>
          <w:sz w:val="24"/>
        </w:rPr>
        <w:t>下述</w:t>
      </w:r>
      <w:r w:rsidRPr="002D5909">
        <w:rPr>
          <w:rFonts w:hint="eastAsia"/>
          <w:kern w:val="0"/>
          <w:sz w:val="24"/>
        </w:rPr>
        <w:t>基</w:t>
      </w:r>
      <w:r>
        <w:rPr>
          <w:rFonts w:hint="eastAsia"/>
          <w:kern w:val="0"/>
          <w:sz w:val="24"/>
        </w:rPr>
        <w:t>金的日常申购、赎回</w:t>
      </w:r>
      <w:r w:rsidRPr="002D5909">
        <w:rPr>
          <w:rFonts w:hint="eastAsia"/>
          <w:kern w:val="0"/>
          <w:sz w:val="24"/>
        </w:rPr>
        <w:t>等业务，届时不再另行公告。</w:t>
      </w:r>
      <w:r>
        <w:rPr>
          <w:rFonts w:hint="eastAsia"/>
          <w:kern w:val="0"/>
          <w:sz w:val="24"/>
        </w:rPr>
        <w:t>现将相关事项公告如下：</w:t>
      </w:r>
    </w:p>
    <w:p w:rsidR="00063D06" w:rsidRPr="006E1E9D" w:rsidRDefault="00063D06" w:rsidP="006E1E9D">
      <w:pPr>
        <w:pStyle w:val="a5"/>
        <w:widowControl/>
        <w:numPr>
          <w:ilvl w:val="0"/>
          <w:numId w:val="1"/>
        </w:numPr>
        <w:snapToGrid w:val="0"/>
        <w:spacing w:line="360" w:lineRule="auto"/>
        <w:ind w:firstLineChars="0"/>
        <w:jc w:val="left"/>
        <w:rPr>
          <w:kern w:val="0"/>
          <w:sz w:val="24"/>
        </w:rPr>
      </w:pPr>
      <w:r>
        <w:rPr>
          <w:rFonts w:hint="eastAsia"/>
          <w:kern w:val="0"/>
          <w:sz w:val="24"/>
        </w:rPr>
        <w:t>适用基金</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1"/>
        <w:gridCol w:w="1276"/>
        <w:gridCol w:w="3685"/>
        <w:gridCol w:w="1701"/>
        <w:gridCol w:w="1134"/>
      </w:tblGrid>
      <w:tr w:rsidR="00063D06" w:rsidTr="006E1E9D">
        <w:trPr>
          <w:cantSplit/>
        </w:trPr>
        <w:tc>
          <w:tcPr>
            <w:tcW w:w="701" w:type="dxa"/>
            <w:shd w:val="clear" w:color="auto" w:fill="auto"/>
            <w:vAlign w:val="center"/>
          </w:tcPr>
          <w:p w:rsidR="00063D06" w:rsidRPr="00C33C7A" w:rsidRDefault="00063D06" w:rsidP="00C33C7A">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序号</w:t>
            </w:r>
          </w:p>
        </w:tc>
        <w:tc>
          <w:tcPr>
            <w:tcW w:w="1276" w:type="dxa"/>
            <w:shd w:val="clear" w:color="auto" w:fill="auto"/>
            <w:vAlign w:val="center"/>
          </w:tcPr>
          <w:p w:rsidR="00063D06" w:rsidRPr="00C33C7A" w:rsidRDefault="00063D06" w:rsidP="00C33C7A">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基金代码</w:t>
            </w:r>
          </w:p>
        </w:tc>
        <w:tc>
          <w:tcPr>
            <w:tcW w:w="3685" w:type="dxa"/>
            <w:shd w:val="clear" w:color="auto" w:fill="auto"/>
            <w:vAlign w:val="center"/>
          </w:tcPr>
          <w:p w:rsidR="00063D06" w:rsidRPr="00C33C7A" w:rsidRDefault="00063D06" w:rsidP="00C33C7A">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基金</w:t>
            </w:r>
            <w:r w:rsidR="001366C9">
              <w:rPr>
                <w:rFonts w:ascii="宋体" w:hAnsi="宋体" w:hint="eastAsia"/>
                <w:kern w:val="0"/>
                <w:sz w:val="24"/>
              </w:rPr>
              <w:t>全</w:t>
            </w:r>
            <w:r w:rsidRPr="00C33C7A">
              <w:rPr>
                <w:rFonts w:ascii="宋体" w:hAnsi="宋体" w:hint="eastAsia"/>
                <w:kern w:val="0"/>
                <w:sz w:val="24"/>
              </w:rPr>
              <w:t>称</w:t>
            </w:r>
          </w:p>
        </w:tc>
        <w:tc>
          <w:tcPr>
            <w:tcW w:w="1701" w:type="dxa"/>
            <w:shd w:val="clear" w:color="auto" w:fill="auto"/>
            <w:vAlign w:val="center"/>
          </w:tcPr>
          <w:p w:rsidR="00063D06" w:rsidRPr="00C33C7A" w:rsidRDefault="00063D06" w:rsidP="00C33C7A">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定期定额投资</w:t>
            </w:r>
          </w:p>
        </w:tc>
        <w:tc>
          <w:tcPr>
            <w:tcW w:w="1134" w:type="dxa"/>
            <w:shd w:val="clear" w:color="auto" w:fill="auto"/>
            <w:vAlign w:val="center"/>
          </w:tcPr>
          <w:p w:rsidR="00063D06" w:rsidRPr="00C33C7A" w:rsidRDefault="00063D06" w:rsidP="00C33C7A">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转换</w:t>
            </w:r>
          </w:p>
        </w:tc>
      </w:tr>
      <w:tr w:rsidR="00063D06" w:rsidTr="006E1E9D">
        <w:trPr>
          <w:cantSplit/>
        </w:trPr>
        <w:tc>
          <w:tcPr>
            <w:tcW w:w="701"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kern w:val="0"/>
                <w:sz w:val="24"/>
              </w:rPr>
              <w:t>1</w:t>
            </w:r>
          </w:p>
        </w:tc>
        <w:tc>
          <w:tcPr>
            <w:tcW w:w="1276"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kern w:val="0"/>
                <w:sz w:val="24"/>
              </w:rPr>
              <w:t>470888</w:t>
            </w:r>
          </w:p>
        </w:tc>
        <w:tc>
          <w:tcPr>
            <w:tcW w:w="3685" w:type="dxa"/>
            <w:shd w:val="clear" w:color="auto" w:fill="auto"/>
            <w:vAlign w:val="center"/>
          </w:tcPr>
          <w:p w:rsidR="00063D06" w:rsidRPr="006E1E9D" w:rsidRDefault="00EB7897" w:rsidP="00E22677">
            <w:pPr>
              <w:pStyle w:val="a5"/>
              <w:widowControl/>
              <w:snapToGrid w:val="0"/>
              <w:spacing w:line="360" w:lineRule="auto"/>
              <w:ind w:firstLineChars="0" w:firstLine="0"/>
              <w:jc w:val="left"/>
              <w:rPr>
                <w:rFonts w:ascii="宋体" w:hAnsi="宋体"/>
                <w:kern w:val="0"/>
                <w:sz w:val="24"/>
                <w:highlight w:val="yellow"/>
              </w:rPr>
            </w:pPr>
            <w:r w:rsidRPr="00EB7897">
              <w:rPr>
                <w:rFonts w:ascii="宋体" w:hAnsi="宋体" w:hint="eastAsia"/>
                <w:kern w:val="0"/>
                <w:sz w:val="24"/>
              </w:rPr>
              <w:t>汇添富香港优势精选混合型证券投资基金</w:t>
            </w:r>
          </w:p>
        </w:tc>
        <w:tc>
          <w:tcPr>
            <w:tcW w:w="1701"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暂停</w:t>
            </w:r>
          </w:p>
        </w:tc>
        <w:tc>
          <w:tcPr>
            <w:tcW w:w="1134"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hint="eastAsia"/>
                <w:kern w:val="0"/>
                <w:sz w:val="24"/>
              </w:rPr>
              <w:t>未开通</w:t>
            </w:r>
          </w:p>
        </w:tc>
        <w:bookmarkStart w:id="0" w:name="_GoBack"/>
        <w:bookmarkEnd w:id="0"/>
      </w:tr>
      <w:tr w:rsidR="00063D06" w:rsidTr="006E1E9D">
        <w:trPr>
          <w:cantSplit/>
        </w:trPr>
        <w:tc>
          <w:tcPr>
            <w:tcW w:w="701"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kern w:val="0"/>
                <w:sz w:val="24"/>
              </w:rPr>
              <w:t>2</w:t>
            </w:r>
          </w:p>
        </w:tc>
        <w:tc>
          <w:tcPr>
            <w:tcW w:w="1276" w:type="dxa"/>
            <w:shd w:val="clear" w:color="auto" w:fill="auto"/>
            <w:vAlign w:val="center"/>
          </w:tcPr>
          <w:p w:rsidR="00063D06" w:rsidRPr="00C33C7A" w:rsidRDefault="00EB7897" w:rsidP="00F57510">
            <w:pPr>
              <w:pStyle w:val="a5"/>
              <w:widowControl/>
              <w:snapToGrid w:val="0"/>
              <w:spacing w:line="360" w:lineRule="auto"/>
              <w:ind w:firstLineChars="0" w:firstLine="0"/>
              <w:jc w:val="center"/>
              <w:rPr>
                <w:rFonts w:ascii="宋体" w:hAnsi="宋体"/>
                <w:kern w:val="0"/>
                <w:sz w:val="24"/>
              </w:rPr>
            </w:pPr>
            <w:r w:rsidRPr="00EB7897">
              <w:rPr>
                <w:rFonts w:ascii="宋体" w:hAnsi="宋体"/>
                <w:kern w:val="0"/>
                <w:sz w:val="24"/>
              </w:rPr>
              <w:t>006308</w:t>
            </w:r>
          </w:p>
        </w:tc>
        <w:tc>
          <w:tcPr>
            <w:tcW w:w="3685" w:type="dxa"/>
            <w:shd w:val="clear" w:color="auto" w:fill="auto"/>
            <w:vAlign w:val="center"/>
          </w:tcPr>
          <w:p w:rsidR="00063D06" w:rsidRPr="006E1E9D" w:rsidRDefault="00EB7897" w:rsidP="00E22677">
            <w:pPr>
              <w:pStyle w:val="a5"/>
              <w:widowControl/>
              <w:snapToGrid w:val="0"/>
              <w:spacing w:line="360" w:lineRule="auto"/>
              <w:ind w:firstLineChars="0" w:firstLine="0"/>
              <w:jc w:val="left"/>
              <w:rPr>
                <w:rFonts w:ascii="宋体" w:hAnsi="宋体"/>
                <w:kern w:val="0"/>
                <w:sz w:val="24"/>
                <w:highlight w:val="yellow"/>
              </w:rPr>
            </w:pPr>
            <w:r w:rsidRPr="00EB7897">
              <w:rPr>
                <w:rFonts w:ascii="宋体" w:hAnsi="宋体" w:hint="eastAsia"/>
                <w:kern w:val="0"/>
                <w:sz w:val="24"/>
              </w:rPr>
              <w:t>汇添富全球消费行业混合型证券投资基金</w:t>
            </w:r>
          </w:p>
        </w:tc>
        <w:tc>
          <w:tcPr>
            <w:tcW w:w="1701"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未开通</w:t>
            </w:r>
          </w:p>
        </w:tc>
      </w:tr>
      <w:tr w:rsidR="00063D06" w:rsidTr="006E1E9D">
        <w:trPr>
          <w:cantSplit/>
        </w:trPr>
        <w:tc>
          <w:tcPr>
            <w:tcW w:w="701"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kern w:val="0"/>
                <w:sz w:val="24"/>
              </w:rPr>
              <w:t>3</w:t>
            </w:r>
          </w:p>
        </w:tc>
        <w:tc>
          <w:tcPr>
            <w:tcW w:w="1276" w:type="dxa"/>
            <w:shd w:val="clear" w:color="auto" w:fill="auto"/>
            <w:vAlign w:val="center"/>
          </w:tcPr>
          <w:p w:rsidR="00063D06" w:rsidRPr="00C33C7A" w:rsidRDefault="00EB7897" w:rsidP="00F57510">
            <w:pPr>
              <w:pStyle w:val="a5"/>
              <w:widowControl/>
              <w:snapToGrid w:val="0"/>
              <w:spacing w:line="360" w:lineRule="auto"/>
              <w:ind w:firstLineChars="0" w:firstLine="0"/>
              <w:jc w:val="center"/>
              <w:rPr>
                <w:rFonts w:ascii="宋体" w:hAnsi="宋体"/>
                <w:kern w:val="0"/>
                <w:sz w:val="24"/>
              </w:rPr>
            </w:pPr>
            <w:r w:rsidRPr="00EB7897">
              <w:rPr>
                <w:rFonts w:ascii="宋体" w:hAnsi="宋体"/>
                <w:kern w:val="0"/>
                <w:sz w:val="24"/>
              </w:rPr>
              <w:t>001685</w:t>
            </w:r>
          </w:p>
        </w:tc>
        <w:tc>
          <w:tcPr>
            <w:tcW w:w="3685" w:type="dxa"/>
            <w:shd w:val="clear" w:color="auto" w:fill="auto"/>
            <w:vAlign w:val="center"/>
          </w:tcPr>
          <w:p w:rsidR="00063D06" w:rsidRPr="006E1E9D" w:rsidRDefault="00EB7897" w:rsidP="00E22677">
            <w:pPr>
              <w:pStyle w:val="a5"/>
              <w:widowControl/>
              <w:snapToGrid w:val="0"/>
              <w:spacing w:line="360" w:lineRule="auto"/>
              <w:ind w:firstLineChars="0" w:firstLine="0"/>
              <w:jc w:val="left"/>
              <w:rPr>
                <w:rFonts w:ascii="宋体" w:hAnsi="宋体"/>
                <w:kern w:val="0"/>
                <w:sz w:val="24"/>
                <w:highlight w:val="yellow"/>
              </w:rPr>
            </w:pPr>
            <w:r w:rsidRPr="00EB7897">
              <w:rPr>
                <w:rFonts w:ascii="宋体" w:hAnsi="宋体" w:hint="eastAsia"/>
                <w:kern w:val="0"/>
                <w:sz w:val="24"/>
              </w:rPr>
              <w:t>汇添富沪港深新价值股票型证券投资基金</w:t>
            </w:r>
          </w:p>
        </w:tc>
        <w:tc>
          <w:tcPr>
            <w:tcW w:w="1701"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r w:rsidR="00063D06" w:rsidTr="006E1E9D">
        <w:trPr>
          <w:cantSplit/>
        </w:trPr>
        <w:tc>
          <w:tcPr>
            <w:tcW w:w="701" w:type="dxa"/>
            <w:shd w:val="clear" w:color="auto" w:fill="auto"/>
            <w:vAlign w:val="center"/>
          </w:tcPr>
          <w:p w:rsidR="00063D06" w:rsidRPr="00C33C7A" w:rsidRDefault="00063D06" w:rsidP="00F57510">
            <w:pPr>
              <w:pStyle w:val="a5"/>
              <w:widowControl/>
              <w:snapToGrid w:val="0"/>
              <w:spacing w:line="360" w:lineRule="auto"/>
              <w:ind w:firstLineChars="0" w:firstLine="0"/>
              <w:jc w:val="center"/>
              <w:rPr>
                <w:rFonts w:ascii="宋体" w:hAnsi="宋体"/>
                <w:kern w:val="0"/>
                <w:sz w:val="24"/>
              </w:rPr>
            </w:pPr>
            <w:r w:rsidRPr="00C33C7A">
              <w:rPr>
                <w:rFonts w:ascii="宋体" w:hAnsi="宋体"/>
                <w:kern w:val="0"/>
                <w:sz w:val="24"/>
              </w:rPr>
              <w:t>4</w:t>
            </w:r>
          </w:p>
        </w:tc>
        <w:tc>
          <w:tcPr>
            <w:tcW w:w="1276" w:type="dxa"/>
            <w:shd w:val="clear" w:color="auto" w:fill="auto"/>
            <w:vAlign w:val="center"/>
          </w:tcPr>
          <w:p w:rsidR="00063D06" w:rsidRPr="00C33C7A" w:rsidRDefault="00EB7897" w:rsidP="00F57510">
            <w:pPr>
              <w:pStyle w:val="a5"/>
              <w:widowControl/>
              <w:snapToGrid w:val="0"/>
              <w:spacing w:line="360" w:lineRule="auto"/>
              <w:ind w:firstLineChars="0" w:firstLine="0"/>
              <w:jc w:val="center"/>
              <w:rPr>
                <w:rFonts w:ascii="宋体" w:hAnsi="宋体"/>
                <w:kern w:val="0"/>
                <w:sz w:val="24"/>
              </w:rPr>
            </w:pPr>
            <w:r w:rsidRPr="00EB7897">
              <w:rPr>
                <w:rFonts w:ascii="宋体" w:hAnsi="宋体"/>
                <w:kern w:val="0"/>
                <w:sz w:val="24"/>
              </w:rPr>
              <w:t>005228</w:t>
            </w:r>
          </w:p>
        </w:tc>
        <w:tc>
          <w:tcPr>
            <w:tcW w:w="3685" w:type="dxa"/>
            <w:shd w:val="clear" w:color="auto" w:fill="auto"/>
            <w:vAlign w:val="center"/>
          </w:tcPr>
          <w:p w:rsidR="00063D06" w:rsidRPr="006E1E9D" w:rsidRDefault="00EB7897" w:rsidP="00E22677">
            <w:pPr>
              <w:pStyle w:val="a5"/>
              <w:widowControl/>
              <w:snapToGrid w:val="0"/>
              <w:spacing w:line="360" w:lineRule="auto"/>
              <w:ind w:firstLineChars="0" w:firstLine="0"/>
              <w:jc w:val="left"/>
              <w:rPr>
                <w:rFonts w:ascii="宋体" w:hAnsi="宋体"/>
                <w:kern w:val="0"/>
                <w:sz w:val="24"/>
                <w:highlight w:val="yellow"/>
              </w:rPr>
            </w:pPr>
            <w:r w:rsidRPr="00EB7897">
              <w:rPr>
                <w:rFonts w:ascii="宋体" w:hAnsi="宋体" w:hint="eastAsia"/>
                <w:kern w:val="0"/>
                <w:sz w:val="24"/>
              </w:rPr>
              <w:t>汇添富港股通专注成长混合型证券投资基金</w:t>
            </w:r>
          </w:p>
        </w:tc>
        <w:tc>
          <w:tcPr>
            <w:tcW w:w="1701"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063D06"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r w:rsidR="001366C9" w:rsidTr="003C367E">
        <w:trPr>
          <w:cantSplit/>
        </w:trPr>
        <w:tc>
          <w:tcPr>
            <w:tcW w:w="701" w:type="dxa"/>
            <w:shd w:val="clear" w:color="auto" w:fill="auto"/>
            <w:vAlign w:val="center"/>
          </w:tcPr>
          <w:p w:rsidR="001366C9" w:rsidRPr="00C33C7A" w:rsidRDefault="00EB7897"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5</w:t>
            </w:r>
          </w:p>
        </w:tc>
        <w:tc>
          <w:tcPr>
            <w:tcW w:w="1276" w:type="dxa"/>
            <w:shd w:val="clear" w:color="auto" w:fill="auto"/>
            <w:vAlign w:val="center"/>
          </w:tcPr>
          <w:p w:rsidR="001366C9" w:rsidRPr="00C33C7A" w:rsidRDefault="00EB7897" w:rsidP="00F57510">
            <w:pPr>
              <w:pStyle w:val="a5"/>
              <w:widowControl/>
              <w:snapToGrid w:val="0"/>
              <w:spacing w:line="360" w:lineRule="auto"/>
              <w:ind w:firstLineChars="0" w:firstLine="0"/>
              <w:jc w:val="center"/>
              <w:rPr>
                <w:rFonts w:ascii="宋体" w:hAnsi="宋体"/>
                <w:kern w:val="0"/>
                <w:sz w:val="24"/>
              </w:rPr>
            </w:pPr>
            <w:r w:rsidRPr="00EB7897">
              <w:rPr>
                <w:rFonts w:ascii="宋体" w:hAnsi="宋体"/>
                <w:kern w:val="0"/>
                <w:sz w:val="24"/>
              </w:rPr>
              <w:t>005504</w:t>
            </w:r>
          </w:p>
        </w:tc>
        <w:tc>
          <w:tcPr>
            <w:tcW w:w="3685" w:type="dxa"/>
            <w:shd w:val="clear" w:color="auto" w:fill="auto"/>
            <w:vAlign w:val="center"/>
          </w:tcPr>
          <w:p w:rsidR="001366C9" w:rsidRPr="00C33C7A" w:rsidRDefault="00EB7897" w:rsidP="00E22677">
            <w:pPr>
              <w:pStyle w:val="a5"/>
              <w:widowControl/>
              <w:snapToGrid w:val="0"/>
              <w:spacing w:line="360" w:lineRule="auto"/>
              <w:ind w:firstLineChars="0" w:firstLine="0"/>
              <w:jc w:val="left"/>
              <w:rPr>
                <w:rFonts w:ascii="宋体" w:hAnsi="宋体"/>
                <w:kern w:val="0"/>
                <w:sz w:val="24"/>
              </w:rPr>
            </w:pPr>
            <w:r w:rsidRPr="00EB7897">
              <w:rPr>
                <w:rFonts w:ascii="宋体" w:hAnsi="宋体" w:hint="eastAsia"/>
                <w:kern w:val="0"/>
                <w:sz w:val="24"/>
              </w:rPr>
              <w:t>汇添富沪港深大盘价值混合型证券投资基金</w:t>
            </w:r>
          </w:p>
        </w:tc>
        <w:tc>
          <w:tcPr>
            <w:tcW w:w="1701" w:type="dxa"/>
            <w:shd w:val="clear" w:color="auto" w:fill="auto"/>
            <w:vAlign w:val="center"/>
          </w:tcPr>
          <w:p w:rsidR="001366C9"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1366C9"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r w:rsidR="001366C9" w:rsidTr="003C367E">
        <w:trPr>
          <w:cantSplit/>
        </w:trPr>
        <w:tc>
          <w:tcPr>
            <w:tcW w:w="701" w:type="dxa"/>
            <w:shd w:val="clear" w:color="auto" w:fill="auto"/>
            <w:vAlign w:val="center"/>
          </w:tcPr>
          <w:p w:rsidR="001366C9" w:rsidRPr="00C33C7A" w:rsidRDefault="00EB7897"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6</w:t>
            </w:r>
          </w:p>
        </w:tc>
        <w:tc>
          <w:tcPr>
            <w:tcW w:w="1276" w:type="dxa"/>
            <w:shd w:val="clear" w:color="auto" w:fill="auto"/>
            <w:vAlign w:val="center"/>
          </w:tcPr>
          <w:p w:rsidR="001366C9" w:rsidRPr="00C33C7A" w:rsidRDefault="00EB7897" w:rsidP="00F57510">
            <w:pPr>
              <w:pStyle w:val="a5"/>
              <w:widowControl/>
              <w:snapToGrid w:val="0"/>
              <w:spacing w:line="360" w:lineRule="auto"/>
              <w:ind w:firstLineChars="0" w:firstLine="0"/>
              <w:jc w:val="center"/>
              <w:rPr>
                <w:rFonts w:ascii="宋体" w:hAnsi="宋体"/>
                <w:kern w:val="0"/>
                <w:sz w:val="24"/>
              </w:rPr>
            </w:pPr>
            <w:r w:rsidRPr="00EB7897">
              <w:rPr>
                <w:rFonts w:ascii="宋体" w:hAnsi="宋体"/>
                <w:kern w:val="0"/>
                <w:sz w:val="24"/>
              </w:rPr>
              <w:t>006408</w:t>
            </w:r>
          </w:p>
        </w:tc>
        <w:tc>
          <w:tcPr>
            <w:tcW w:w="3685" w:type="dxa"/>
            <w:shd w:val="clear" w:color="auto" w:fill="auto"/>
            <w:vAlign w:val="center"/>
          </w:tcPr>
          <w:p w:rsidR="001366C9" w:rsidRPr="00C33C7A" w:rsidRDefault="00EB7897" w:rsidP="00E22677">
            <w:pPr>
              <w:pStyle w:val="a5"/>
              <w:widowControl/>
              <w:snapToGrid w:val="0"/>
              <w:spacing w:line="360" w:lineRule="auto"/>
              <w:ind w:firstLineChars="0" w:firstLine="0"/>
              <w:jc w:val="left"/>
              <w:rPr>
                <w:rFonts w:ascii="宋体" w:hAnsi="宋体"/>
                <w:kern w:val="0"/>
                <w:sz w:val="24"/>
              </w:rPr>
            </w:pPr>
            <w:r w:rsidRPr="00EB7897">
              <w:rPr>
                <w:rFonts w:ascii="宋体" w:hAnsi="宋体" w:hint="eastAsia"/>
                <w:kern w:val="0"/>
                <w:sz w:val="24"/>
              </w:rPr>
              <w:t>汇添富消费升级混合型证券投资基金</w:t>
            </w:r>
          </w:p>
        </w:tc>
        <w:tc>
          <w:tcPr>
            <w:tcW w:w="1701" w:type="dxa"/>
            <w:shd w:val="clear" w:color="auto" w:fill="auto"/>
            <w:vAlign w:val="center"/>
          </w:tcPr>
          <w:p w:rsidR="001366C9"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1366C9" w:rsidRPr="00C33C7A" w:rsidRDefault="002370AE"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r w:rsidR="001366C9" w:rsidTr="003C367E">
        <w:trPr>
          <w:cantSplit/>
        </w:trPr>
        <w:tc>
          <w:tcPr>
            <w:tcW w:w="701" w:type="dxa"/>
            <w:shd w:val="clear" w:color="auto" w:fill="auto"/>
            <w:vAlign w:val="center"/>
          </w:tcPr>
          <w:p w:rsidR="001366C9" w:rsidRPr="00C33C7A" w:rsidRDefault="002D76E3"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7</w:t>
            </w:r>
          </w:p>
        </w:tc>
        <w:tc>
          <w:tcPr>
            <w:tcW w:w="1276"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sidRPr="00F9009F">
              <w:rPr>
                <w:rFonts w:ascii="宋体" w:hAnsi="宋体"/>
                <w:kern w:val="0"/>
                <w:sz w:val="24"/>
              </w:rPr>
              <w:t>004877</w:t>
            </w:r>
          </w:p>
        </w:tc>
        <w:tc>
          <w:tcPr>
            <w:tcW w:w="3685" w:type="dxa"/>
            <w:shd w:val="clear" w:color="auto" w:fill="auto"/>
            <w:vAlign w:val="center"/>
          </w:tcPr>
          <w:p w:rsidR="001366C9" w:rsidRPr="00C33C7A" w:rsidRDefault="00F9009F" w:rsidP="00E22677">
            <w:pPr>
              <w:pStyle w:val="a5"/>
              <w:widowControl/>
              <w:snapToGrid w:val="0"/>
              <w:spacing w:line="360" w:lineRule="auto"/>
              <w:ind w:firstLineChars="0" w:firstLine="0"/>
              <w:jc w:val="left"/>
              <w:rPr>
                <w:rFonts w:ascii="宋体" w:hAnsi="宋体"/>
                <w:kern w:val="0"/>
                <w:sz w:val="24"/>
              </w:rPr>
            </w:pPr>
            <w:r w:rsidRPr="00F9009F">
              <w:rPr>
                <w:rFonts w:ascii="宋体" w:hAnsi="宋体" w:hint="eastAsia"/>
                <w:kern w:val="0"/>
                <w:sz w:val="24"/>
              </w:rPr>
              <w:t>汇添富全球医疗保健混合型证券投资基金</w:t>
            </w:r>
          </w:p>
        </w:tc>
        <w:tc>
          <w:tcPr>
            <w:tcW w:w="1701"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未开通</w:t>
            </w:r>
          </w:p>
        </w:tc>
      </w:tr>
      <w:tr w:rsidR="001366C9" w:rsidTr="003C367E">
        <w:trPr>
          <w:cantSplit/>
        </w:trPr>
        <w:tc>
          <w:tcPr>
            <w:tcW w:w="701" w:type="dxa"/>
            <w:shd w:val="clear" w:color="auto" w:fill="auto"/>
            <w:vAlign w:val="center"/>
          </w:tcPr>
          <w:p w:rsidR="001366C9" w:rsidRPr="00C33C7A" w:rsidRDefault="002D76E3"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8</w:t>
            </w:r>
          </w:p>
        </w:tc>
        <w:tc>
          <w:tcPr>
            <w:tcW w:w="1276"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sidRPr="00F9009F">
              <w:rPr>
                <w:rFonts w:ascii="宋体" w:hAnsi="宋体"/>
                <w:kern w:val="0"/>
                <w:sz w:val="24"/>
              </w:rPr>
              <w:t>006113</w:t>
            </w:r>
          </w:p>
        </w:tc>
        <w:tc>
          <w:tcPr>
            <w:tcW w:w="3685" w:type="dxa"/>
            <w:shd w:val="clear" w:color="auto" w:fill="auto"/>
            <w:vAlign w:val="center"/>
          </w:tcPr>
          <w:p w:rsidR="001366C9" w:rsidRPr="00C33C7A" w:rsidRDefault="00F9009F" w:rsidP="00E22677">
            <w:pPr>
              <w:pStyle w:val="a5"/>
              <w:widowControl/>
              <w:snapToGrid w:val="0"/>
              <w:spacing w:line="360" w:lineRule="auto"/>
              <w:ind w:firstLineChars="0" w:firstLine="0"/>
              <w:jc w:val="left"/>
              <w:rPr>
                <w:rFonts w:ascii="宋体" w:hAnsi="宋体"/>
                <w:kern w:val="0"/>
                <w:sz w:val="24"/>
              </w:rPr>
            </w:pPr>
            <w:r w:rsidRPr="00F9009F">
              <w:rPr>
                <w:rFonts w:ascii="宋体" w:hAnsi="宋体" w:hint="eastAsia"/>
                <w:kern w:val="0"/>
                <w:sz w:val="24"/>
              </w:rPr>
              <w:t>汇添富创新医药主题混合型证券投资基金</w:t>
            </w:r>
          </w:p>
        </w:tc>
        <w:tc>
          <w:tcPr>
            <w:tcW w:w="1701"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r w:rsidR="001366C9" w:rsidTr="003C367E">
        <w:trPr>
          <w:cantSplit/>
        </w:trPr>
        <w:tc>
          <w:tcPr>
            <w:tcW w:w="701" w:type="dxa"/>
            <w:shd w:val="clear" w:color="auto" w:fill="auto"/>
            <w:vAlign w:val="center"/>
          </w:tcPr>
          <w:p w:rsidR="001366C9" w:rsidRPr="00C33C7A" w:rsidRDefault="002D76E3"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lastRenderedPageBreak/>
              <w:t>9</w:t>
            </w:r>
          </w:p>
        </w:tc>
        <w:tc>
          <w:tcPr>
            <w:tcW w:w="1276"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sidRPr="00F9009F">
              <w:rPr>
                <w:rFonts w:ascii="宋体" w:hAnsi="宋体"/>
                <w:kern w:val="0"/>
                <w:sz w:val="24"/>
              </w:rPr>
              <w:t>007355</w:t>
            </w:r>
          </w:p>
        </w:tc>
        <w:tc>
          <w:tcPr>
            <w:tcW w:w="3685" w:type="dxa"/>
            <w:shd w:val="clear" w:color="auto" w:fill="auto"/>
            <w:vAlign w:val="center"/>
          </w:tcPr>
          <w:p w:rsidR="001366C9" w:rsidRPr="00C33C7A" w:rsidRDefault="00F9009F" w:rsidP="00E22677">
            <w:pPr>
              <w:pStyle w:val="a5"/>
              <w:widowControl/>
              <w:snapToGrid w:val="0"/>
              <w:spacing w:line="360" w:lineRule="auto"/>
              <w:ind w:firstLineChars="0" w:firstLine="0"/>
              <w:jc w:val="left"/>
              <w:rPr>
                <w:rFonts w:ascii="宋体" w:hAnsi="宋体"/>
                <w:kern w:val="0"/>
                <w:sz w:val="24"/>
              </w:rPr>
            </w:pPr>
            <w:r w:rsidRPr="00F9009F">
              <w:rPr>
                <w:rFonts w:ascii="宋体" w:hAnsi="宋体" w:hint="eastAsia"/>
                <w:kern w:val="0"/>
                <w:sz w:val="24"/>
              </w:rPr>
              <w:t>汇添富科技创新灵活配置混合型证券投资基金</w:t>
            </w:r>
          </w:p>
        </w:tc>
        <w:tc>
          <w:tcPr>
            <w:tcW w:w="1701"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未开通</w:t>
            </w:r>
          </w:p>
        </w:tc>
        <w:tc>
          <w:tcPr>
            <w:tcW w:w="1134" w:type="dxa"/>
            <w:shd w:val="clear" w:color="auto" w:fill="auto"/>
            <w:vAlign w:val="center"/>
          </w:tcPr>
          <w:p w:rsidR="001366C9" w:rsidRPr="00C33C7A" w:rsidRDefault="00F9009F"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未开通</w:t>
            </w:r>
          </w:p>
        </w:tc>
      </w:tr>
      <w:tr w:rsidR="00D67F69" w:rsidTr="003C367E">
        <w:trPr>
          <w:cantSplit/>
        </w:trPr>
        <w:tc>
          <w:tcPr>
            <w:tcW w:w="701" w:type="dxa"/>
            <w:shd w:val="clear" w:color="auto" w:fill="auto"/>
            <w:vAlign w:val="center"/>
          </w:tcPr>
          <w:p w:rsidR="00D67F69" w:rsidRDefault="00D67F69"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10</w:t>
            </w:r>
          </w:p>
        </w:tc>
        <w:tc>
          <w:tcPr>
            <w:tcW w:w="1276" w:type="dxa"/>
            <w:shd w:val="clear" w:color="auto" w:fill="auto"/>
            <w:vAlign w:val="center"/>
          </w:tcPr>
          <w:p w:rsidR="00D67F69" w:rsidRPr="00F9009F" w:rsidRDefault="00D67F69" w:rsidP="00F57510">
            <w:pPr>
              <w:pStyle w:val="a5"/>
              <w:widowControl/>
              <w:snapToGrid w:val="0"/>
              <w:spacing w:line="360" w:lineRule="auto"/>
              <w:ind w:firstLineChars="0" w:firstLine="0"/>
              <w:jc w:val="center"/>
              <w:rPr>
                <w:rFonts w:ascii="宋体" w:hAnsi="宋体"/>
                <w:kern w:val="0"/>
                <w:sz w:val="24"/>
              </w:rPr>
            </w:pPr>
            <w:r w:rsidRPr="00D67F69">
              <w:rPr>
                <w:rFonts w:ascii="宋体" w:hAnsi="宋体"/>
                <w:kern w:val="0"/>
                <w:sz w:val="24"/>
              </w:rPr>
              <w:t>005351</w:t>
            </w:r>
          </w:p>
        </w:tc>
        <w:tc>
          <w:tcPr>
            <w:tcW w:w="3685" w:type="dxa"/>
            <w:shd w:val="clear" w:color="auto" w:fill="auto"/>
            <w:vAlign w:val="center"/>
          </w:tcPr>
          <w:p w:rsidR="00D67F69" w:rsidRPr="00F9009F" w:rsidRDefault="00D67F69" w:rsidP="00E22677">
            <w:pPr>
              <w:pStyle w:val="a5"/>
              <w:widowControl/>
              <w:snapToGrid w:val="0"/>
              <w:spacing w:line="360" w:lineRule="auto"/>
              <w:ind w:firstLineChars="0" w:firstLine="0"/>
              <w:jc w:val="left"/>
              <w:rPr>
                <w:rFonts w:ascii="宋体" w:hAnsi="宋体"/>
                <w:kern w:val="0"/>
                <w:sz w:val="24"/>
              </w:rPr>
            </w:pPr>
            <w:r w:rsidRPr="00D67F69">
              <w:rPr>
                <w:rFonts w:ascii="宋体" w:hAnsi="宋体" w:hint="eastAsia"/>
                <w:kern w:val="0"/>
                <w:sz w:val="24"/>
              </w:rPr>
              <w:t>汇添富行业整合主题混合型证券投资基金</w:t>
            </w:r>
          </w:p>
        </w:tc>
        <w:tc>
          <w:tcPr>
            <w:tcW w:w="1701" w:type="dxa"/>
            <w:shd w:val="clear" w:color="auto" w:fill="auto"/>
            <w:vAlign w:val="center"/>
          </w:tcPr>
          <w:p w:rsidR="00D67F69" w:rsidRDefault="00D67F69"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c>
          <w:tcPr>
            <w:tcW w:w="1134" w:type="dxa"/>
            <w:shd w:val="clear" w:color="auto" w:fill="auto"/>
            <w:vAlign w:val="center"/>
          </w:tcPr>
          <w:p w:rsidR="00D67F69" w:rsidRDefault="00D67F69" w:rsidP="00F57510">
            <w:pPr>
              <w:pStyle w:val="a5"/>
              <w:widowControl/>
              <w:snapToGrid w:val="0"/>
              <w:spacing w:line="360" w:lineRule="auto"/>
              <w:ind w:firstLineChars="0" w:firstLine="0"/>
              <w:jc w:val="center"/>
              <w:rPr>
                <w:rFonts w:ascii="宋体" w:hAnsi="宋体"/>
                <w:kern w:val="0"/>
                <w:sz w:val="24"/>
              </w:rPr>
            </w:pPr>
            <w:r>
              <w:rPr>
                <w:rFonts w:ascii="宋体" w:hAnsi="宋体" w:hint="eastAsia"/>
                <w:kern w:val="0"/>
                <w:sz w:val="24"/>
              </w:rPr>
              <w:t>暂停</w:t>
            </w:r>
          </w:p>
        </w:tc>
      </w:tr>
    </w:tbl>
    <w:p w:rsidR="00063D06" w:rsidRDefault="00063D06" w:rsidP="00E22677">
      <w:pPr>
        <w:pStyle w:val="a5"/>
        <w:widowControl/>
        <w:snapToGrid w:val="0"/>
        <w:spacing w:line="360" w:lineRule="auto"/>
        <w:ind w:left="420" w:firstLineChars="0" w:firstLine="0"/>
        <w:jc w:val="left"/>
        <w:rPr>
          <w:kern w:val="0"/>
          <w:sz w:val="24"/>
        </w:rPr>
      </w:pPr>
    </w:p>
    <w:p w:rsidR="00063D06" w:rsidRPr="006E1E9D" w:rsidRDefault="00063D06" w:rsidP="006E1E9D">
      <w:pPr>
        <w:pStyle w:val="a5"/>
        <w:widowControl/>
        <w:numPr>
          <w:ilvl w:val="0"/>
          <w:numId w:val="1"/>
        </w:numPr>
        <w:snapToGrid w:val="0"/>
        <w:spacing w:line="360" w:lineRule="auto"/>
        <w:ind w:firstLineChars="0"/>
        <w:jc w:val="left"/>
        <w:rPr>
          <w:kern w:val="0"/>
          <w:sz w:val="24"/>
        </w:rPr>
      </w:pPr>
      <w:r>
        <w:rPr>
          <w:rFonts w:hint="eastAsia"/>
          <w:kern w:val="0"/>
          <w:sz w:val="24"/>
        </w:rPr>
        <w:t>暂停时间安排</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1"/>
        <w:gridCol w:w="4261"/>
      </w:tblGrid>
      <w:tr w:rsidR="003C367E" w:rsidTr="005A53FC">
        <w:trPr>
          <w:cantSplit/>
        </w:trPr>
        <w:tc>
          <w:tcPr>
            <w:tcW w:w="5000" w:type="pct"/>
            <w:gridSpan w:val="2"/>
            <w:shd w:val="clear" w:color="auto" w:fill="auto"/>
            <w:vAlign w:val="center"/>
          </w:tcPr>
          <w:p w:rsidR="003C367E" w:rsidRPr="00C33C7A" w:rsidRDefault="003C367E" w:rsidP="005A53FC">
            <w:pPr>
              <w:widowControl/>
              <w:snapToGrid w:val="0"/>
              <w:spacing w:line="360" w:lineRule="auto"/>
              <w:jc w:val="center"/>
              <w:rPr>
                <w:rFonts w:ascii="宋体" w:hAnsi="宋体"/>
                <w:kern w:val="0"/>
                <w:sz w:val="24"/>
              </w:rPr>
            </w:pPr>
            <w:r w:rsidRPr="00C33C7A">
              <w:rPr>
                <w:rFonts w:ascii="宋体" w:hAnsi="宋体" w:hint="eastAsia"/>
                <w:kern w:val="0"/>
                <w:sz w:val="24"/>
              </w:rPr>
              <w:t>日期</w:t>
            </w:r>
          </w:p>
        </w:tc>
      </w:tr>
      <w:tr w:rsidR="003C367E" w:rsidTr="005A53FC">
        <w:trPr>
          <w:cantSplit/>
        </w:trPr>
        <w:tc>
          <w:tcPr>
            <w:tcW w:w="2500" w:type="pct"/>
            <w:shd w:val="clear" w:color="auto" w:fill="auto"/>
            <w:vAlign w:val="center"/>
          </w:tcPr>
          <w:p w:rsidR="003C367E" w:rsidRPr="00C33C7A" w:rsidRDefault="003C367E" w:rsidP="005A53FC">
            <w:pPr>
              <w:widowControl/>
              <w:snapToGrid w:val="0"/>
              <w:spacing w:line="360" w:lineRule="auto"/>
              <w:rPr>
                <w:rFonts w:ascii="宋体" w:hAnsi="宋体"/>
                <w:kern w:val="0"/>
                <w:sz w:val="24"/>
              </w:rPr>
            </w:pPr>
            <w:r w:rsidRPr="00C33C7A">
              <w:rPr>
                <w:rFonts w:ascii="宋体" w:hAnsi="宋体" w:hint="eastAsia"/>
                <w:kern w:val="0"/>
                <w:sz w:val="24"/>
              </w:rPr>
              <w:t>2019年12月24日</w:t>
            </w:r>
          </w:p>
        </w:tc>
        <w:tc>
          <w:tcPr>
            <w:tcW w:w="2500" w:type="pct"/>
            <w:vAlign w:val="center"/>
          </w:tcPr>
          <w:p w:rsidR="003C367E" w:rsidRPr="00C33C7A"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2019年12月25日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6E1E9D" w:rsidRDefault="003C367E" w:rsidP="005A53FC">
            <w:pPr>
              <w:widowControl/>
              <w:snapToGrid w:val="0"/>
              <w:spacing w:line="360" w:lineRule="auto"/>
              <w:rPr>
                <w:rFonts w:ascii="宋体" w:hAnsi="宋体"/>
                <w:b/>
                <w:kern w:val="0"/>
                <w:sz w:val="24"/>
              </w:rPr>
            </w:pPr>
            <w:r w:rsidRPr="003C367E">
              <w:rPr>
                <w:rFonts w:ascii="宋体" w:hAnsi="宋体" w:hint="eastAsia"/>
                <w:kern w:val="0"/>
                <w:sz w:val="24"/>
              </w:rPr>
              <w:t>2019年12月26日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2019年12月31日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2020年1月22日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2020年1月23日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2020年4月2日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2020年4月3日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2020年4月10日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2020年4月13日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2020年4月28日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2020年4月29日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2020年4月30日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2020年6月23日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2020年6月24日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2020年7月1日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2020年9月29日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2020年9月30日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2020年10月26日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2020年12月24日</w:t>
            </w:r>
          </w:p>
        </w:tc>
      </w:tr>
      <w:tr w:rsidR="003C367E" w:rsidTr="005A53FC">
        <w:trPr>
          <w:cantSplit/>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rsidR="003C367E" w:rsidRPr="003C367E" w:rsidRDefault="003C367E" w:rsidP="005A53FC">
            <w:pPr>
              <w:widowControl/>
              <w:snapToGrid w:val="0"/>
              <w:spacing w:line="360" w:lineRule="auto"/>
              <w:rPr>
                <w:rFonts w:ascii="宋体" w:hAnsi="宋体"/>
                <w:kern w:val="0"/>
                <w:sz w:val="24"/>
              </w:rPr>
            </w:pPr>
            <w:r w:rsidRPr="003C367E">
              <w:rPr>
                <w:rFonts w:ascii="宋体" w:hAnsi="宋体" w:hint="eastAsia"/>
                <w:kern w:val="0"/>
                <w:sz w:val="24"/>
              </w:rPr>
              <w:t>2020年12月25日</w:t>
            </w:r>
          </w:p>
        </w:tc>
        <w:tc>
          <w:tcPr>
            <w:tcW w:w="2500" w:type="pct"/>
            <w:tcBorders>
              <w:top w:val="single" w:sz="6" w:space="0" w:color="auto"/>
              <w:left w:val="single" w:sz="6" w:space="0" w:color="auto"/>
              <w:bottom w:val="single" w:sz="6" w:space="0" w:color="auto"/>
              <w:right w:val="single" w:sz="6" w:space="0" w:color="auto"/>
            </w:tcBorders>
            <w:vAlign w:val="center"/>
          </w:tcPr>
          <w:p w:rsidR="003C367E" w:rsidRPr="003C367E" w:rsidRDefault="003C367E" w:rsidP="005A53FC">
            <w:pPr>
              <w:widowControl/>
              <w:snapToGrid w:val="0"/>
              <w:spacing w:line="360" w:lineRule="auto"/>
              <w:rPr>
                <w:rFonts w:ascii="宋体" w:hAnsi="宋体"/>
                <w:kern w:val="0"/>
                <w:sz w:val="24"/>
              </w:rPr>
            </w:pPr>
          </w:p>
        </w:tc>
      </w:tr>
    </w:tbl>
    <w:p w:rsidR="00063D06" w:rsidRDefault="00063D06" w:rsidP="006E1E9D">
      <w:pPr>
        <w:widowControl/>
        <w:snapToGrid w:val="0"/>
        <w:spacing w:line="360" w:lineRule="auto"/>
        <w:rPr>
          <w:kern w:val="0"/>
          <w:sz w:val="24"/>
        </w:rPr>
      </w:pPr>
      <w:r>
        <w:rPr>
          <w:rFonts w:hint="eastAsia"/>
          <w:kern w:val="0"/>
          <w:sz w:val="24"/>
        </w:rPr>
        <w:t>注：</w:t>
      </w:r>
      <w:r>
        <w:rPr>
          <w:rFonts w:hint="eastAsia"/>
          <w:kern w:val="0"/>
          <w:sz w:val="24"/>
        </w:rPr>
        <w:t>1</w:t>
      </w:r>
      <w:r>
        <w:rPr>
          <w:rFonts w:hint="eastAsia"/>
          <w:kern w:val="0"/>
          <w:sz w:val="24"/>
        </w:rPr>
        <w:t>、上述日期已剔除和国内公休假和法定休假日重合的日期。</w:t>
      </w:r>
    </w:p>
    <w:p w:rsidR="00063D06" w:rsidRDefault="00063D06" w:rsidP="006E1E9D">
      <w:pPr>
        <w:widowControl/>
        <w:snapToGrid w:val="0"/>
        <w:spacing w:line="360" w:lineRule="auto"/>
        <w:rPr>
          <w:kern w:val="0"/>
          <w:sz w:val="24"/>
        </w:rPr>
      </w:pPr>
      <w:r>
        <w:rPr>
          <w:rFonts w:hint="eastAsia"/>
          <w:kern w:val="0"/>
          <w:sz w:val="24"/>
        </w:rPr>
        <w:t xml:space="preserve">    2</w:t>
      </w:r>
      <w:r>
        <w:rPr>
          <w:rFonts w:hint="eastAsia"/>
          <w:kern w:val="0"/>
          <w:sz w:val="24"/>
        </w:rPr>
        <w:t>、</w:t>
      </w:r>
      <w:r w:rsidR="003C367E" w:rsidRPr="003C367E">
        <w:rPr>
          <w:rFonts w:hint="eastAsia"/>
          <w:kern w:val="0"/>
          <w:sz w:val="24"/>
        </w:rPr>
        <w:t>2020</w:t>
      </w:r>
      <w:r w:rsidR="003C367E" w:rsidRPr="003C367E">
        <w:rPr>
          <w:rFonts w:hint="eastAsia"/>
          <w:kern w:val="0"/>
          <w:sz w:val="24"/>
        </w:rPr>
        <w:t>年</w:t>
      </w:r>
      <w:r w:rsidR="003C367E" w:rsidRPr="003C367E">
        <w:rPr>
          <w:rFonts w:hint="eastAsia"/>
          <w:kern w:val="0"/>
          <w:sz w:val="24"/>
        </w:rPr>
        <w:t>12</w:t>
      </w:r>
      <w:r w:rsidR="003C367E" w:rsidRPr="003C367E">
        <w:rPr>
          <w:rFonts w:hint="eastAsia"/>
          <w:kern w:val="0"/>
          <w:sz w:val="24"/>
        </w:rPr>
        <w:t>月</w:t>
      </w:r>
      <w:r w:rsidR="003C367E" w:rsidRPr="003C367E">
        <w:rPr>
          <w:rFonts w:hint="eastAsia"/>
          <w:kern w:val="0"/>
          <w:sz w:val="24"/>
        </w:rPr>
        <w:t>28</w:t>
      </w:r>
      <w:r w:rsidR="003C367E" w:rsidRPr="003C367E">
        <w:rPr>
          <w:rFonts w:hint="eastAsia"/>
          <w:kern w:val="0"/>
          <w:sz w:val="24"/>
        </w:rPr>
        <w:t>日（星期一）至</w:t>
      </w:r>
      <w:r w:rsidR="003C367E" w:rsidRPr="003C367E">
        <w:rPr>
          <w:rFonts w:hint="eastAsia"/>
          <w:kern w:val="0"/>
          <w:sz w:val="24"/>
        </w:rPr>
        <w:t>12</w:t>
      </w:r>
      <w:r w:rsidR="003C367E" w:rsidRPr="003C367E">
        <w:rPr>
          <w:rFonts w:hint="eastAsia"/>
          <w:kern w:val="0"/>
          <w:sz w:val="24"/>
        </w:rPr>
        <w:t>月</w:t>
      </w:r>
      <w:r w:rsidR="003C367E" w:rsidRPr="003C367E">
        <w:rPr>
          <w:rFonts w:hint="eastAsia"/>
          <w:kern w:val="0"/>
          <w:sz w:val="24"/>
        </w:rPr>
        <w:t>31</w:t>
      </w:r>
      <w:r w:rsidR="003C367E" w:rsidRPr="003C367E">
        <w:rPr>
          <w:rFonts w:hint="eastAsia"/>
          <w:kern w:val="0"/>
          <w:sz w:val="24"/>
        </w:rPr>
        <w:t>日（星期四）</w:t>
      </w:r>
      <w:r>
        <w:rPr>
          <w:rFonts w:hint="eastAsia"/>
          <w:kern w:val="0"/>
          <w:sz w:val="24"/>
        </w:rPr>
        <w:t>是否暂停上述基金的日常申购、赎回、转换和定投等业务，待中国证监会关于</w:t>
      </w:r>
      <w:r w:rsidR="003C367E">
        <w:rPr>
          <w:rFonts w:hint="eastAsia"/>
          <w:kern w:val="0"/>
          <w:sz w:val="24"/>
        </w:rPr>
        <w:t>202</w:t>
      </w:r>
      <w:r w:rsidR="003C367E">
        <w:rPr>
          <w:kern w:val="0"/>
          <w:sz w:val="24"/>
        </w:rPr>
        <w:t>1</w:t>
      </w:r>
      <w:r>
        <w:rPr>
          <w:rFonts w:hint="eastAsia"/>
          <w:kern w:val="0"/>
          <w:sz w:val="24"/>
        </w:rPr>
        <w:t>年节假日放假和休市安排确定后，本公司将另行公告。</w:t>
      </w:r>
    </w:p>
    <w:p w:rsidR="0030714F" w:rsidRPr="003C367E" w:rsidRDefault="0030714F" w:rsidP="006E1E9D">
      <w:pPr>
        <w:widowControl/>
        <w:snapToGrid w:val="0"/>
        <w:spacing w:line="360" w:lineRule="auto"/>
        <w:rPr>
          <w:kern w:val="0"/>
          <w:sz w:val="24"/>
        </w:rPr>
      </w:pPr>
    </w:p>
    <w:p w:rsidR="0030714F" w:rsidRDefault="00063D06" w:rsidP="006E1E9D">
      <w:pPr>
        <w:widowControl/>
        <w:snapToGrid w:val="0"/>
        <w:spacing w:line="360" w:lineRule="auto"/>
        <w:ind w:firstLineChars="200" w:firstLine="480"/>
        <w:rPr>
          <w:kern w:val="0"/>
          <w:sz w:val="24"/>
        </w:rPr>
      </w:pPr>
      <w:r>
        <w:rPr>
          <w:rFonts w:hint="eastAsia"/>
          <w:kern w:val="0"/>
          <w:sz w:val="24"/>
        </w:rPr>
        <w:t>若非港股通交易日安排发生变化或将来根据法律法规和上述基金基金合同的约定，需要调整上述安排的，本公司将另行公告。</w:t>
      </w:r>
    </w:p>
    <w:p w:rsidR="00063D06" w:rsidRDefault="00063D06" w:rsidP="006E1E9D">
      <w:pPr>
        <w:widowControl/>
        <w:snapToGrid w:val="0"/>
        <w:spacing w:line="360" w:lineRule="auto"/>
        <w:ind w:firstLineChars="200" w:firstLine="480"/>
        <w:rPr>
          <w:kern w:val="0"/>
          <w:sz w:val="24"/>
        </w:rPr>
      </w:pPr>
      <w:r>
        <w:rPr>
          <w:rFonts w:hint="eastAsia"/>
          <w:kern w:val="0"/>
          <w:sz w:val="24"/>
        </w:rPr>
        <w:t>投资者可登录本公司网站</w:t>
      </w:r>
      <w:r>
        <w:rPr>
          <w:rFonts w:hint="eastAsia"/>
          <w:kern w:val="0"/>
          <w:sz w:val="24"/>
        </w:rPr>
        <w:t>(www.htffund.com)</w:t>
      </w:r>
      <w:r>
        <w:rPr>
          <w:rFonts w:hint="eastAsia"/>
          <w:kern w:val="0"/>
          <w:sz w:val="24"/>
        </w:rPr>
        <w:t>或拨打本公司客服热线（</w:t>
      </w:r>
      <w:r>
        <w:rPr>
          <w:rFonts w:hint="eastAsia"/>
          <w:kern w:val="0"/>
          <w:sz w:val="24"/>
        </w:rPr>
        <w:t>400</w:t>
      </w:r>
      <w:r>
        <w:rPr>
          <w:rFonts w:hint="eastAsia"/>
          <w:kern w:val="0"/>
          <w:sz w:val="24"/>
        </w:rPr>
        <w:t>－</w:t>
      </w:r>
      <w:r>
        <w:rPr>
          <w:rFonts w:hint="eastAsia"/>
          <w:kern w:val="0"/>
          <w:sz w:val="24"/>
        </w:rPr>
        <w:t>888</w:t>
      </w:r>
      <w:r>
        <w:rPr>
          <w:rFonts w:hint="eastAsia"/>
          <w:kern w:val="0"/>
          <w:sz w:val="24"/>
        </w:rPr>
        <w:t>－</w:t>
      </w:r>
      <w:r>
        <w:rPr>
          <w:rFonts w:hint="eastAsia"/>
          <w:kern w:val="0"/>
          <w:sz w:val="24"/>
        </w:rPr>
        <w:t>9918</w:t>
      </w:r>
      <w:r>
        <w:rPr>
          <w:rFonts w:hint="eastAsia"/>
          <w:kern w:val="0"/>
          <w:sz w:val="24"/>
        </w:rPr>
        <w:t>）咨询相关情况。</w:t>
      </w:r>
    </w:p>
    <w:p w:rsidR="00063D06" w:rsidRDefault="00063D06" w:rsidP="006E1E9D">
      <w:pPr>
        <w:widowControl/>
        <w:snapToGrid w:val="0"/>
        <w:spacing w:line="360" w:lineRule="auto"/>
        <w:ind w:firstLineChars="200" w:firstLine="480"/>
        <w:rPr>
          <w:kern w:val="0"/>
          <w:sz w:val="24"/>
        </w:rPr>
      </w:pPr>
      <w:r>
        <w:rPr>
          <w:rFonts w:hint="eastAsia"/>
          <w:kern w:val="0"/>
          <w:sz w:val="24"/>
        </w:rPr>
        <w:lastRenderedPageBreak/>
        <w:t>汇添富基金高度重视投资者服务和投资者教育，特此提醒投资者需正确认知基金投资的风险和长期收益，做理性的基金投资人，做明白的基金投资人，享受长期投资的快乐！</w:t>
      </w:r>
    </w:p>
    <w:p w:rsidR="00063D06" w:rsidRDefault="00063D06" w:rsidP="006E1E9D">
      <w:pPr>
        <w:widowControl/>
        <w:snapToGrid w:val="0"/>
        <w:spacing w:line="360" w:lineRule="auto"/>
        <w:rPr>
          <w:kern w:val="0"/>
          <w:sz w:val="24"/>
        </w:rPr>
      </w:pPr>
      <w:r>
        <w:rPr>
          <w:rFonts w:hint="eastAsia"/>
          <w:kern w:val="0"/>
          <w:sz w:val="24"/>
        </w:rPr>
        <w:t>特此公告。</w:t>
      </w:r>
    </w:p>
    <w:p w:rsidR="00063D06" w:rsidRDefault="00063D06" w:rsidP="008E5727">
      <w:pPr>
        <w:widowControl/>
        <w:snapToGrid w:val="0"/>
        <w:spacing w:line="360" w:lineRule="auto"/>
        <w:jc w:val="left"/>
        <w:rPr>
          <w:kern w:val="0"/>
          <w:sz w:val="24"/>
        </w:rPr>
      </w:pPr>
    </w:p>
    <w:p w:rsidR="00063D06" w:rsidRPr="008E5727" w:rsidRDefault="00063D06" w:rsidP="008E5727">
      <w:pPr>
        <w:widowControl/>
        <w:snapToGrid w:val="0"/>
        <w:spacing w:line="360" w:lineRule="auto"/>
        <w:jc w:val="left"/>
        <w:rPr>
          <w:kern w:val="0"/>
          <w:sz w:val="24"/>
        </w:rPr>
      </w:pPr>
    </w:p>
    <w:p w:rsidR="00063D06" w:rsidRPr="008E5727" w:rsidRDefault="00063D06" w:rsidP="008E5727">
      <w:pPr>
        <w:spacing w:line="360" w:lineRule="auto"/>
        <w:ind w:firstLineChars="200" w:firstLine="480"/>
        <w:jc w:val="right"/>
        <w:rPr>
          <w:sz w:val="24"/>
        </w:rPr>
      </w:pPr>
      <w:r w:rsidRPr="008E5727">
        <w:rPr>
          <w:rFonts w:hAnsi="宋体" w:hint="eastAsia"/>
          <w:sz w:val="24"/>
        </w:rPr>
        <w:t>汇添富基金管理股份有限公司</w:t>
      </w:r>
    </w:p>
    <w:p w:rsidR="00063D06" w:rsidRPr="008E5727" w:rsidRDefault="00063D06" w:rsidP="008E5727">
      <w:pPr>
        <w:jc w:val="right"/>
        <w:rPr>
          <w:sz w:val="24"/>
        </w:rPr>
      </w:pPr>
      <w:r>
        <w:rPr>
          <w:rFonts w:hint="eastAsia"/>
          <w:sz w:val="24"/>
        </w:rPr>
        <w:t>2019</w:t>
      </w:r>
      <w:r>
        <w:rPr>
          <w:rFonts w:hint="eastAsia"/>
          <w:sz w:val="24"/>
        </w:rPr>
        <w:t>年</w:t>
      </w:r>
      <w:r>
        <w:rPr>
          <w:rFonts w:hint="eastAsia"/>
          <w:sz w:val="24"/>
        </w:rPr>
        <w:t>12</w:t>
      </w:r>
      <w:r>
        <w:rPr>
          <w:rFonts w:hint="eastAsia"/>
          <w:sz w:val="24"/>
        </w:rPr>
        <w:t>月</w:t>
      </w:r>
      <w:r>
        <w:rPr>
          <w:rFonts w:hint="eastAsia"/>
          <w:sz w:val="24"/>
        </w:rPr>
        <w:t>24</w:t>
      </w:r>
      <w:r>
        <w:rPr>
          <w:rFonts w:hint="eastAsia"/>
          <w:sz w:val="24"/>
        </w:rPr>
        <w:t>日</w:t>
      </w:r>
    </w:p>
    <w:p w:rsidR="002763A1" w:rsidRDefault="002763A1"/>
    <w:sectPr w:rsidR="002763A1" w:rsidSect="004E28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BF" w:rsidRDefault="003451BF" w:rsidP="00063D06">
      <w:r>
        <w:separator/>
      </w:r>
    </w:p>
  </w:endnote>
  <w:endnote w:type="continuationSeparator" w:id="1">
    <w:p w:rsidR="003451BF" w:rsidRDefault="003451BF" w:rsidP="00063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BF" w:rsidRDefault="003451BF" w:rsidP="00063D06">
      <w:r>
        <w:separator/>
      </w:r>
    </w:p>
  </w:footnote>
  <w:footnote w:type="continuationSeparator" w:id="1">
    <w:p w:rsidR="003451BF" w:rsidRDefault="003451BF" w:rsidP="00063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0BC6"/>
    <w:multiLevelType w:val="hybridMultilevel"/>
    <w:tmpl w:val="BE1230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FE7"/>
    <w:rsid w:val="00063D06"/>
    <w:rsid w:val="001366C9"/>
    <w:rsid w:val="002370AE"/>
    <w:rsid w:val="002763A1"/>
    <w:rsid w:val="002D76E3"/>
    <w:rsid w:val="0030714F"/>
    <w:rsid w:val="003451BF"/>
    <w:rsid w:val="00396540"/>
    <w:rsid w:val="003C367E"/>
    <w:rsid w:val="004E28E8"/>
    <w:rsid w:val="00565A32"/>
    <w:rsid w:val="005A53FC"/>
    <w:rsid w:val="006B1243"/>
    <w:rsid w:val="006E1E9D"/>
    <w:rsid w:val="007B5A21"/>
    <w:rsid w:val="008D0FDF"/>
    <w:rsid w:val="00906D7F"/>
    <w:rsid w:val="00972ED0"/>
    <w:rsid w:val="009A7310"/>
    <w:rsid w:val="00BA4F50"/>
    <w:rsid w:val="00CC3EEB"/>
    <w:rsid w:val="00D300FA"/>
    <w:rsid w:val="00D67F69"/>
    <w:rsid w:val="00EB7897"/>
    <w:rsid w:val="00F13FE7"/>
    <w:rsid w:val="00F57510"/>
    <w:rsid w:val="00F90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D06"/>
    <w:rPr>
      <w:sz w:val="18"/>
      <w:szCs w:val="18"/>
    </w:rPr>
  </w:style>
  <w:style w:type="paragraph" w:styleId="a4">
    <w:name w:val="footer"/>
    <w:basedOn w:val="a"/>
    <w:link w:val="Char0"/>
    <w:uiPriority w:val="99"/>
    <w:unhideWhenUsed/>
    <w:rsid w:val="00063D06"/>
    <w:pPr>
      <w:tabs>
        <w:tab w:val="center" w:pos="4153"/>
        <w:tab w:val="right" w:pos="8306"/>
      </w:tabs>
      <w:snapToGrid w:val="0"/>
      <w:jc w:val="left"/>
    </w:pPr>
    <w:rPr>
      <w:sz w:val="18"/>
      <w:szCs w:val="18"/>
    </w:rPr>
  </w:style>
  <w:style w:type="character" w:customStyle="1" w:styleId="Char0">
    <w:name w:val="页脚 Char"/>
    <w:basedOn w:val="a0"/>
    <w:link w:val="a4"/>
    <w:uiPriority w:val="99"/>
    <w:rsid w:val="00063D06"/>
    <w:rPr>
      <w:sz w:val="18"/>
      <w:szCs w:val="18"/>
    </w:rPr>
  </w:style>
  <w:style w:type="paragraph" w:styleId="a5">
    <w:name w:val="List Paragraph"/>
    <w:basedOn w:val="a"/>
    <w:uiPriority w:val="34"/>
    <w:qFormat/>
    <w:rsid w:val="00063D06"/>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3C367E"/>
    <w:rPr>
      <w:sz w:val="18"/>
      <w:szCs w:val="18"/>
    </w:rPr>
  </w:style>
  <w:style w:type="character" w:customStyle="1" w:styleId="Char1">
    <w:name w:val="批注框文本 Char"/>
    <w:basedOn w:val="a0"/>
    <w:link w:val="a6"/>
    <w:uiPriority w:val="99"/>
    <w:semiHidden/>
    <w:rsid w:val="003C367E"/>
    <w:rPr>
      <w:sz w:val="18"/>
      <w:szCs w:val="18"/>
    </w:rPr>
  </w:style>
</w:styles>
</file>

<file path=word/webSettings.xml><?xml version="1.0" encoding="utf-8"?>
<w:webSettings xmlns:r="http://schemas.openxmlformats.org/officeDocument/2006/relationships" xmlns:w="http://schemas.openxmlformats.org/wordprocessingml/2006/main">
  <w:divs>
    <w:div w:id="8631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4</DocSecurity>
  <Lines>9</Lines>
  <Paragraphs>2</Paragraphs>
  <ScaleCrop>false</ScaleCrop>
  <Company>ccb</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JonMMx 2000</cp:lastModifiedBy>
  <cp:revision>2</cp:revision>
  <dcterms:created xsi:type="dcterms:W3CDTF">2019-12-23T16:01:00Z</dcterms:created>
  <dcterms:modified xsi:type="dcterms:W3CDTF">2019-12-23T16:01:00Z</dcterms:modified>
</cp:coreProperties>
</file>