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AE8" w:rsidRDefault="00BD0199" w:rsidP="007B7CE4">
      <w:pPr>
        <w:widowControl/>
        <w:spacing w:line="360" w:lineRule="auto"/>
        <w:jc w:val="center"/>
        <w:rPr>
          <w:rFonts w:ascii="宋体" w:hAnsi="宋体" w:cs="宋体"/>
          <w:kern w:val="0"/>
          <w:sz w:val="28"/>
          <w:szCs w:val="28"/>
        </w:rPr>
      </w:pPr>
      <w:r w:rsidRPr="006C1507">
        <w:rPr>
          <w:rFonts w:ascii="宋体" w:hAnsi="宋体" w:cs="宋体" w:hint="eastAsia"/>
          <w:kern w:val="0"/>
          <w:sz w:val="28"/>
          <w:szCs w:val="28"/>
        </w:rPr>
        <w:t>工银瑞信基金管理有限公司关于旗下基金</w:t>
      </w:r>
    </w:p>
    <w:p w:rsidR="00BD0199" w:rsidRPr="00E26272" w:rsidRDefault="00C313C5" w:rsidP="00E26272">
      <w:pPr>
        <w:widowControl/>
        <w:spacing w:line="360" w:lineRule="auto"/>
        <w:jc w:val="center"/>
        <w:rPr>
          <w:rFonts w:ascii="宋体" w:hAnsi="宋体" w:cs="宋体"/>
          <w:kern w:val="0"/>
          <w:sz w:val="28"/>
          <w:szCs w:val="28"/>
        </w:rPr>
      </w:pPr>
      <w:r>
        <w:rPr>
          <w:rFonts w:ascii="宋体" w:hAnsi="宋体" w:cs="宋体" w:hint="eastAsia"/>
          <w:kern w:val="0"/>
          <w:sz w:val="28"/>
          <w:szCs w:val="28"/>
        </w:rPr>
        <w:t>投资</w:t>
      </w:r>
      <w:r w:rsidR="00E54FE7">
        <w:rPr>
          <w:rFonts w:ascii="宋体" w:hAnsi="宋体" w:cs="宋体" w:hint="eastAsia"/>
          <w:kern w:val="0"/>
          <w:sz w:val="28"/>
          <w:szCs w:val="28"/>
        </w:rPr>
        <w:t>闻泰科技</w:t>
      </w:r>
      <w:r w:rsidR="00BD0199" w:rsidRPr="000B01E1">
        <w:rPr>
          <w:rFonts w:ascii="宋体" w:hAnsi="宋体" w:cs="宋体" w:hint="eastAsia"/>
          <w:kern w:val="0"/>
          <w:sz w:val="28"/>
          <w:szCs w:val="28"/>
        </w:rPr>
        <w:t>非公开发</w:t>
      </w:r>
      <w:r w:rsidR="00BD0199" w:rsidRPr="006C1507">
        <w:rPr>
          <w:rFonts w:ascii="宋体" w:hAnsi="宋体" w:cs="宋体" w:hint="eastAsia"/>
          <w:kern w:val="0"/>
          <w:sz w:val="28"/>
          <w:szCs w:val="28"/>
        </w:rPr>
        <w:t>行股票的公告</w:t>
      </w:r>
    </w:p>
    <w:p w:rsidR="00E26272" w:rsidRPr="00E26272" w:rsidRDefault="00BD0199" w:rsidP="00F4298A">
      <w:pPr>
        <w:tabs>
          <w:tab w:val="left" w:pos="630"/>
          <w:tab w:val="left" w:pos="735"/>
        </w:tabs>
        <w:spacing w:beforeLines="50" w:afterLines="50" w:line="360" w:lineRule="auto"/>
        <w:ind w:firstLineChars="200" w:firstLine="480"/>
        <w:jc w:val="left"/>
        <w:rPr>
          <w:rFonts w:ascii="宋体" w:hAnsi="宋体" w:cs="宋体"/>
          <w:kern w:val="0"/>
          <w:sz w:val="24"/>
          <w:szCs w:val="24"/>
        </w:rPr>
      </w:pPr>
      <w:r w:rsidRPr="009F69CE">
        <w:rPr>
          <w:rFonts w:ascii="宋体" w:hAnsi="宋体" w:cs="宋体" w:hint="eastAsia"/>
          <w:kern w:val="0"/>
          <w:sz w:val="24"/>
          <w:szCs w:val="24"/>
        </w:rPr>
        <w:t>工银瑞信基金管理有限公司（以下简称</w:t>
      </w:r>
      <w:r w:rsidRPr="000B01E1">
        <w:rPr>
          <w:rFonts w:ascii="宋体" w:hAnsi="宋体" w:cs="宋体" w:hint="eastAsia"/>
          <w:kern w:val="0"/>
          <w:sz w:val="24"/>
          <w:szCs w:val="24"/>
        </w:rPr>
        <w:t>“</w:t>
      </w:r>
      <w:r w:rsidRPr="009F69CE">
        <w:rPr>
          <w:rFonts w:ascii="宋体" w:hAnsi="宋体" w:cs="宋体" w:hint="eastAsia"/>
          <w:kern w:val="0"/>
          <w:sz w:val="24"/>
          <w:szCs w:val="24"/>
        </w:rPr>
        <w:t>本公司</w:t>
      </w:r>
      <w:r w:rsidRPr="000B01E1">
        <w:rPr>
          <w:rFonts w:ascii="宋体" w:hAnsi="宋体" w:cs="宋体" w:hint="eastAsia"/>
          <w:kern w:val="0"/>
          <w:sz w:val="24"/>
          <w:szCs w:val="24"/>
        </w:rPr>
        <w:t>”</w:t>
      </w:r>
      <w:r w:rsidRPr="009F69CE">
        <w:rPr>
          <w:rFonts w:ascii="宋体" w:hAnsi="宋体" w:cs="宋体" w:hint="eastAsia"/>
          <w:kern w:val="0"/>
          <w:sz w:val="24"/>
          <w:szCs w:val="24"/>
        </w:rPr>
        <w:t>）旗下</w:t>
      </w:r>
      <w:r w:rsidR="00C313C5">
        <w:rPr>
          <w:rFonts w:ascii="宋体" w:hAnsi="宋体" w:cs="宋体" w:hint="eastAsia"/>
          <w:kern w:val="0"/>
          <w:sz w:val="24"/>
          <w:szCs w:val="24"/>
        </w:rPr>
        <w:t>基金</w:t>
      </w:r>
      <w:r w:rsidRPr="009F69CE">
        <w:rPr>
          <w:rFonts w:ascii="宋体" w:hAnsi="宋体" w:cs="宋体" w:hint="eastAsia"/>
          <w:kern w:val="0"/>
          <w:sz w:val="24"/>
          <w:szCs w:val="24"/>
        </w:rPr>
        <w:t>参加了</w:t>
      </w:r>
      <w:r w:rsidR="00E54FE7">
        <w:rPr>
          <w:rFonts w:ascii="宋体" w:hAnsi="宋体" w:cs="宋体" w:hint="eastAsia"/>
          <w:kern w:val="0"/>
          <w:sz w:val="24"/>
          <w:szCs w:val="24"/>
        </w:rPr>
        <w:t>闻泰科技</w:t>
      </w:r>
      <w:r w:rsidR="00E54FE7">
        <w:rPr>
          <w:rFonts w:ascii="宋体" w:hAnsi="宋体" w:cs="宋体"/>
          <w:kern w:val="0"/>
          <w:sz w:val="24"/>
          <w:szCs w:val="24"/>
        </w:rPr>
        <w:t>股份有限公司</w:t>
      </w:r>
      <w:r w:rsidR="00C313C5">
        <w:rPr>
          <w:rFonts w:ascii="宋体" w:hAnsi="宋体" w:cs="宋体" w:hint="eastAsia"/>
          <w:kern w:val="0"/>
          <w:sz w:val="24"/>
          <w:szCs w:val="24"/>
        </w:rPr>
        <w:t>（</w:t>
      </w:r>
      <w:r w:rsidR="00E54FE7">
        <w:rPr>
          <w:rFonts w:ascii="宋体" w:hAnsi="宋体" w:cs="宋体" w:hint="eastAsia"/>
          <w:kern w:val="0"/>
          <w:sz w:val="24"/>
          <w:szCs w:val="24"/>
        </w:rPr>
        <w:t>闻泰科技</w:t>
      </w:r>
      <w:r w:rsidR="00C313C5">
        <w:rPr>
          <w:rFonts w:ascii="宋体" w:hAnsi="宋体" w:cs="宋体" w:hint="eastAsia"/>
          <w:kern w:val="0"/>
          <w:sz w:val="24"/>
          <w:szCs w:val="24"/>
        </w:rPr>
        <w:t>，代码</w:t>
      </w:r>
      <w:r w:rsidR="00E54FE7">
        <w:rPr>
          <w:rFonts w:ascii="宋体" w:hAnsi="宋体" w:cs="宋体"/>
          <w:kern w:val="0"/>
          <w:sz w:val="24"/>
          <w:szCs w:val="24"/>
        </w:rPr>
        <w:t>600745</w:t>
      </w:r>
      <w:r w:rsidRPr="009F69CE">
        <w:rPr>
          <w:rFonts w:ascii="宋体" w:hAnsi="宋体" w:cs="宋体"/>
          <w:kern w:val="0"/>
          <w:sz w:val="24"/>
          <w:szCs w:val="24"/>
        </w:rPr>
        <w:t>)</w:t>
      </w:r>
      <w:r w:rsidRPr="009F69CE">
        <w:rPr>
          <w:rFonts w:ascii="宋体" w:hAnsi="宋体" w:cs="宋体" w:hint="eastAsia"/>
          <w:kern w:val="0"/>
          <w:sz w:val="24"/>
          <w:szCs w:val="24"/>
        </w:rPr>
        <w:t>非公开发行股票的认购。根据中国证监会《关于基金投资非公开发行股票等流通受限证券有关问题的通知》等有关规定，本公</w:t>
      </w:r>
      <w:bookmarkStart w:id="0" w:name="_GoBack"/>
      <w:bookmarkEnd w:id="0"/>
      <w:r w:rsidRPr="009F69CE">
        <w:rPr>
          <w:rFonts w:ascii="宋体" w:hAnsi="宋体" w:cs="宋体" w:hint="eastAsia"/>
          <w:kern w:val="0"/>
          <w:sz w:val="24"/>
          <w:szCs w:val="24"/>
        </w:rPr>
        <w:t>司现将</w:t>
      </w:r>
      <w:r w:rsidR="00C313C5">
        <w:rPr>
          <w:rFonts w:ascii="宋体" w:hAnsi="宋体" w:cs="宋体" w:hint="eastAsia"/>
          <w:kern w:val="0"/>
          <w:sz w:val="24"/>
          <w:szCs w:val="24"/>
        </w:rPr>
        <w:t>旗下基金</w:t>
      </w:r>
      <w:r w:rsidRPr="009F69CE">
        <w:rPr>
          <w:rFonts w:ascii="宋体" w:hAnsi="宋体" w:cs="宋体" w:hint="eastAsia"/>
          <w:kern w:val="0"/>
          <w:sz w:val="24"/>
          <w:szCs w:val="24"/>
        </w:rPr>
        <w:t>投资</w:t>
      </w:r>
      <w:r w:rsidR="00E54FE7">
        <w:rPr>
          <w:rFonts w:ascii="宋体" w:hAnsi="宋体" w:cs="宋体" w:hint="eastAsia"/>
          <w:kern w:val="0"/>
          <w:sz w:val="24"/>
          <w:szCs w:val="24"/>
        </w:rPr>
        <w:t>闻泰科技</w:t>
      </w:r>
      <w:r w:rsidR="00E54FE7">
        <w:rPr>
          <w:rFonts w:ascii="宋体" w:hAnsi="宋体" w:cs="宋体"/>
          <w:kern w:val="0"/>
          <w:sz w:val="24"/>
          <w:szCs w:val="24"/>
        </w:rPr>
        <w:t>股份有限公司</w:t>
      </w:r>
      <w:r w:rsidRPr="009F69CE">
        <w:rPr>
          <w:rFonts w:ascii="宋体" w:hAnsi="宋体" w:cs="宋体" w:hint="eastAsia"/>
          <w:kern w:val="0"/>
          <w:sz w:val="24"/>
          <w:szCs w:val="24"/>
        </w:rPr>
        <w:t>非公开发行股票的情况披露如下：</w:t>
      </w:r>
    </w:p>
    <w:tbl>
      <w:tblPr>
        <w:tblW w:w="11340" w:type="dxa"/>
        <w:tblInd w:w="-572" w:type="dxa"/>
        <w:tblLook w:val="04A0"/>
      </w:tblPr>
      <w:tblGrid>
        <w:gridCol w:w="2552"/>
        <w:gridCol w:w="1276"/>
        <w:gridCol w:w="1984"/>
        <w:gridCol w:w="1418"/>
        <w:gridCol w:w="1768"/>
        <w:gridCol w:w="1300"/>
        <w:gridCol w:w="1042"/>
      </w:tblGrid>
      <w:tr w:rsidR="007453A9" w:rsidRPr="007453A9" w:rsidTr="00CA7CAF">
        <w:trPr>
          <w:trHeight w:val="81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3A9" w:rsidRPr="007453A9" w:rsidRDefault="007453A9" w:rsidP="007453A9">
            <w:pPr>
              <w:widowControl/>
              <w:jc w:val="center"/>
              <w:rPr>
                <w:rFonts w:ascii="宋体" w:hAnsi="宋体" w:cs="宋体"/>
                <w:color w:val="000000"/>
                <w:kern w:val="0"/>
                <w:sz w:val="22"/>
                <w:szCs w:val="22"/>
              </w:rPr>
            </w:pPr>
            <w:r w:rsidRPr="007453A9">
              <w:rPr>
                <w:rFonts w:ascii="宋体" w:hAnsi="宋体" w:cs="宋体" w:hint="eastAsia"/>
                <w:color w:val="000000"/>
                <w:kern w:val="0"/>
                <w:sz w:val="22"/>
                <w:szCs w:val="22"/>
              </w:rPr>
              <w:t>基金名称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453A9" w:rsidRPr="007453A9" w:rsidRDefault="007453A9" w:rsidP="007453A9">
            <w:pPr>
              <w:widowControl/>
              <w:jc w:val="center"/>
              <w:rPr>
                <w:rFonts w:ascii="宋体" w:hAnsi="宋体" w:cs="宋体"/>
                <w:color w:val="000000"/>
                <w:kern w:val="0"/>
                <w:sz w:val="22"/>
                <w:szCs w:val="22"/>
              </w:rPr>
            </w:pPr>
            <w:r w:rsidRPr="007453A9">
              <w:rPr>
                <w:rFonts w:ascii="宋体" w:hAnsi="宋体" w:cs="宋体" w:hint="eastAsia"/>
                <w:color w:val="000000"/>
                <w:kern w:val="0"/>
                <w:sz w:val="22"/>
                <w:szCs w:val="22"/>
              </w:rPr>
              <w:t>认购数量（股）</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7453A9" w:rsidRPr="007453A9" w:rsidRDefault="007453A9" w:rsidP="007453A9">
            <w:pPr>
              <w:widowControl/>
              <w:jc w:val="center"/>
              <w:rPr>
                <w:rFonts w:ascii="宋体" w:hAnsi="宋体" w:cs="宋体"/>
                <w:color w:val="000000"/>
                <w:kern w:val="0"/>
                <w:sz w:val="22"/>
                <w:szCs w:val="22"/>
              </w:rPr>
            </w:pPr>
            <w:r w:rsidRPr="007453A9">
              <w:rPr>
                <w:rFonts w:ascii="宋体" w:hAnsi="宋体" w:cs="宋体" w:hint="eastAsia"/>
                <w:color w:val="000000"/>
                <w:kern w:val="0"/>
                <w:sz w:val="22"/>
                <w:szCs w:val="22"/>
              </w:rPr>
              <w:t>总成本（元）</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453A9" w:rsidRPr="007453A9" w:rsidRDefault="007453A9" w:rsidP="007453A9">
            <w:pPr>
              <w:widowControl/>
              <w:jc w:val="center"/>
              <w:rPr>
                <w:rFonts w:ascii="宋体" w:hAnsi="宋体" w:cs="宋体"/>
                <w:color w:val="000000"/>
                <w:kern w:val="0"/>
                <w:sz w:val="22"/>
                <w:szCs w:val="22"/>
              </w:rPr>
            </w:pPr>
            <w:r w:rsidRPr="007453A9">
              <w:rPr>
                <w:rFonts w:ascii="宋体" w:hAnsi="宋体" w:cs="宋体" w:hint="eastAsia"/>
                <w:color w:val="000000"/>
                <w:kern w:val="0"/>
                <w:sz w:val="22"/>
                <w:szCs w:val="22"/>
              </w:rPr>
              <w:t>总成本占基金资产净值比例</w:t>
            </w:r>
          </w:p>
        </w:tc>
        <w:tc>
          <w:tcPr>
            <w:tcW w:w="1768" w:type="dxa"/>
            <w:tcBorders>
              <w:top w:val="single" w:sz="4" w:space="0" w:color="auto"/>
              <w:left w:val="nil"/>
              <w:bottom w:val="single" w:sz="4" w:space="0" w:color="auto"/>
              <w:right w:val="single" w:sz="4" w:space="0" w:color="auto"/>
            </w:tcBorders>
            <w:shd w:val="clear" w:color="auto" w:fill="auto"/>
            <w:vAlign w:val="center"/>
            <w:hideMark/>
          </w:tcPr>
          <w:p w:rsidR="007453A9" w:rsidRPr="007453A9" w:rsidRDefault="007453A9" w:rsidP="007453A9">
            <w:pPr>
              <w:widowControl/>
              <w:jc w:val="center"/>
              <w:rPr>
                <w:rFonts w:ascii="宋体" w:hAnsi="宋体" w:cs="宋体"/>
                <w:color w:val="000000"/>
                <w:kern w:val="0"/>
                <w:sz w:val="22"/>
                <w:szCs w:val="22"/>
              </w:rPr>
            </w:pPr>
            <w:r w:rsidRPr="007453A9">
              <w:rPr>
                <w:rFonts w:ascii="宋体" w:hAnsi="宋体" w:cs="宋体" w:hint="eastAsia"/>
                <w:color w:val="000000"/>
                <w:kern w:val="0"/>
                <w:sz w:val="22"/>
                <w:szCs w:val="22"/>
              </w:rPr>
              <w:t>账面价值（元）</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7453A9" w:rsidRPr="007453A9" w:rsidRDefault="007453A9" w:rsidP="007453A9">
            <w:pPr>
              <w:widowControl/>
              <w:jc w:val="center"/>
              <w:rPr>
                <w:rFonts w:ascii="宋体" w:hAnsi="宋体" w:cs="宋体"/>
                <w:color w:val="000000"/>
                <w:kern w:val="0"/>
                <w:sz w:val="22"/>
                <w:szCs w:val="22"/>
              </w:rPr>
            </w:pPr>
            <w:r w:rsidRPr="007453A9">
              <w:rPr>
                <w:rFonts w:ascii="宋体" w:hAnsi="宋体" w:cs="宋体" w:hint="eastAsia"/>
                <w:color w:val="000000"/>
                <w:kern w:val="0"/>
                <w:sz w:val="22"/>
                <w:szCs w:val="22"/>
              </w:rPr>
              <w:t>账面价值占基金资金净值的比例</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7453A9" w:rsidRPr="007453A9" w:rsidRDefault="007453A9" w:rsidP="007453A9">
            <w:pPr>
              <w:widowControl/>
              <w:jc w:val="center"/>
              <w:rPr>
                <w:rFonts w:ascii="宋体" w:hAnsi="宋体" w:cs="宋体"/>
                <w:color w:val="000000"/>
                <w:kern w:val="0"/>
                <w:sz w:val="22"/>
                <w:szCs w:val="22"/>
              </w:rPr>
            </w:pPr>
            <w:r w:rsidRPr="007453A9">
              <w:rPr>
                <w:rFonts w:ascii="宋体" w:hAnsi="宋体" w:cs="宋体" w:hint="eastAsia"/>
                <w:color w:val="000000"/>
                <w:kern w:val="0"/>
                <w:sz w:val="22"/>
                <w:szCs w:val="22"/>
              </w:rPr>
              <w:t>限售期</w:t>
            </w:r>
          </w:p>
        </w:tc>
      </w:tr>
      <w:tr w:rsidR="00B96B16" w:rsidRPr="007453A9" w:rsidTr="00CA7CAF">
        <w:trPr>
          <w:trHeight w:val="270"/>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B96B16" w:rsidRPr="007453A9" w:rsidRDefault="00B96B16" w:rsidP="00B96B16">
            <w:pPr>
              <w:widowControl/>
              <w:jc w:val="left"/>
              <w:rPr>
                <w:rFonts w:ascii="宋体" w:hAnsi="宋体" w:cs="宋体"/>
                <w:color w:val="000000"/>
                <w:kern w:val="0"/>
                <w:sz w:val="22"/>
                <w:szCs w:val="22"/>
              </w:rPr>
            </w:pPr>
            <w:r w:rsidRPr="007453A9">
              <w:rPr>
                <w:rFonts w:ascii="宋体" w:hAnsi="宋体" w:cs="宋体" w:hint="eastAsia"/>
                <w:color w:val="000000"/>
                <w:kern w:val="0"/>
                <w:sz w:val="22"/>
                <w:szCs w:val="22"/>
              </w:rPr>
              <w:t>工银瑞信互联网加股票型证券投资基金</w:t>
            </w:r>
          </w:p>
        </w:tc>
        <w:tc>
          <w:tcPr>
            <w:tcW w:w="1276" w:type="dxa"/>
            <w:tcBorders>
              <w:top w:val="nil"/>
              <w:left w:val="nil"/>
              <w:bottom w:val="single" w:sz="4" w:space="0" w:color="auto"/>
              <w:right w:val="single" w:sz="4" w:space="0" w:color="auto"/>
            </w:tcBorders>
            <w:shd w:val="clear" w:color="auto" w:fill="auto"/>
            <w:noWrap/>
            <w:vAlign w:val="center"/>
            <w:hideMark/>
          </w:tcPr>
          <w:p w:rsidR="00B96B16" w:rsidRPr="007453A9" w:rsidRDefault="00B96B16" w:rsidP="00B96B16">
            <w:pPr>
              <w:widowControl/>
              <w:jc w:val="right"/>
              <w:rPr>
                <w:rFonts w:ascii="宋体" w:hAnsi="宋体" w:cs="宋体"/>
                <w:color w:val="000000"/>
                <w:kern w:val="0"/>
                <w:sz w:val="22"/>
                <w:szCs w:val="22"/>
              </w:rPr>
            </w:pPr>
            <w:r w:rsidRPr="007453A9">
              <w:rPr>
                <w:rFonts w:ascii="宋体" w:hAnsi="宋体" w:cs="宋体" w:hint="eastAsia"/>
                <w:color w:val="000000"/>
                <w:kern w:val="0"/>
                <w:sz w:val="22"/>
                <w:szCs w:val="22"/>
              </w:rPr>
              <w:t xml:space="preserve">300,013 </w:t>
            </w:r>
          </w:p>
        </w:tc>
        <w:tc>
          <w:tcPr>
            <w:tcW w:w="1984" w:type="dxa"/>
            <w:tcBorders>
              <w:top w:val="nil"/>
              <w:left w:val="nil"/>
              <w:bottom w:val="single" w:sz="4" w:space="0" w:color="auto"/>
              <w:right w:val="single" w:sz="4" w:space="0" w:color="auto"/>
            </w:tcBorders>
            <w:shd w:val="clear" w:color="auto" w:fill="auto"/>
            <w:noWrap/>
            <w:vAlign w:val="center"/>
            <w:hideMark/>
          </w:tcPr>
          <w:p w:rsidR="00B96B16" w:rsidRPr="00B96B16" w:rsidRDefault="00B96B16" w:rsidP="00B96B16">
            <w:pPr>
              <w:widowControl/>
              <w:jc w:val="right"/>
              <w:rPr>
                <w:rFonts w:ascii="宋体" w:hAnsi="宋体"/>
                <w:color w:val="000000"/>
                <w:kern w:val="0"/>
                <w:sz w:val="22"/>
                <w:szCs w:val="22"/>
              </w:rPr>
            </w:pPr>
            <w:r w:rsidRPr="00B96B16">
              <w:rPr>
                <w:rFonts w:ascii="宋体" w:hAnsi="宋体" w:hint="eastAsia"/>
                <w:color w:val="000000"/>
                <w:sz w:val="22"/>
                <w:szCs w:val="22"/>
              </w:rPr>
              <w:t xml:space="preserve">23,380,013.09 </w:t>
            </w:r>
          </w:p>
        </w:tc>
        <w:tc>
          <w:tcPr>
            <w:tcW w:w="1418" w:type="dxa"/>
            <w:tcBorders>
              <w:top w:val="nil"/>
              <w:left w:val="nil"/>
              <w:bottom w:val="single" w:sz="4" w:space="0" w:color="auto"/>
              <w:right w:val="single" w:sz="4" w:space="0" w:color="auto"/>
            </w:tcBorders>
            <w:shd w:val="clear" w:color="auto" w:fill="auto"/>
            <w:vAlign w:val="center"/>
            <w:hideMark/>
          </w:tcPr>
          <w:p w:rsidR="00B96B16" w:rsidRPr="00227A5E" w:rsidRDefault="00B96B16" w:rsidP="00B96B16">
            <w:pPr>
              <w:widowControl/>
              <w:jc w:val="right"/>
              <w:rPr>
                <w:rFonts w:ascii="宋体" w:hAnsi="宋体"/>
                <w:color w:val="000000"/>
                <w:kern w:val="0"/>
                <w:sz w:val="22"/>
                <w:szCs w:val="22"/>
              </w:rPr>
            </w:pPr>
            <w:r w:rsidRPr="00227A5E">
              <w:rPr>
                <w:rFonts w:ascii="宋体" w:hAnsi="宋体" w:hint="eastAsia"/>
                <w:color w:val="000000"/>
                <w:sz w:val="22"/>
                <w:szCs w:val="22"/>
              </w:rPr>
              <w:t>0.63%</w:t>
            </w:r>
          </w:p>
        </w:tc>
        <w:tc>
          <w:tcPr>
            <w:tcW w:w="1768" w:type="dxa"/>
            <w:tcBorders>
              <w:top w:val="nil"/>
              <w:left w:val="nil"/>
              <w:bottom w:val="single" w:sz="4" w:space="0" w:color="auto"/>
              <w:right w:val="single" w:sz="4" w:space="0" w:color="auto"/>
            </w:tcBorders>
            <w:shd w:val="clear" w:color="auto" w:fill="auto"/>
            <w:vAlign w:val="center"/>
            <w:hideMark/>
          </w:tcPr>
          <w:p w:rsidR="00B96B16" w:rsidRPr="00227A5E" w:rsidRDefault="00B96B16" w:rsidP="00B96B16">
            <w:pPr>
              <w:jc w:val="right"/>
              <w:rPr>
                <w:rFonts w:ascii="宋体" w:hAnsi="宋体"/>
                <w:color w:val="000000"/>
                <w:sz w:val="22"/>
                <w:szCs w:val="22"/>
              </w:rPr>
            </w:pPr>
            <w:r w:rsidRPr="00227A5E">
              <w:rPr>
                <w:rFonts w:ascii="宋体" w:hAnsi="宋体" w:hint="eastAsia"/>
                <w:color w:val="000000"/>
                <w:sz w:val="22"/>
                <w:szCs w:val="22"/>
              </w:rPr>
              <w:t xml:space="preserve">25,612,108.58 </w:t>
            </w:r>
          </w:p>
        </w:tc>
        <w:tc>
          <w:tcPr>
            <w:tcW w:w="1300" w:type="dxa"/>
            <w:tcBorders>
              <w:top w:val="nil"/>
              <w:left w:val="nil"/>
              <w:bottom w:val="single" w:sz="4" w:space="0" w:color="auto"/>
              <w:right w:val="single" w:sz="4" w:space="0" w:color="auto"/>
            </w:tcBorders>
            <w:shd w:val="clear" w:color="auto" w:fill="auto"/>
            <w:vAlign w:val="center"/>
            <w:hideMark/>
          </w:tcPr>
          <w:p w:rsidR="00B96B16" w:rsidRPr="00227A5E" w:rsidRDefault="00B96B16" w:rsidP="00B96B16">
            <w:pPr>
              <w:jc w:val="right"/>
              <w:rPr>
                <w:rFonts w:ascii="宋体" w:hAnsi="宋体"/>
                <w:color w:val="000000"/>
                <w:sz w:val="22"/>
                <w:szCs w:val="22"/>
              </w:rPr>
            </w:pPr>
            <w:r w:rsidRPr="00227A5E">
              <w:rPr>
                <w:rFonts w:ascii="宋体" w:hAnsi="宋体" w:hint="eastAsia"/>
                <w:color w:val="000000"/>
                <w:sz w:val="22"/>
                <w:szCs w:val="22"/>
              </w:rPr>
              <w:t>0.69%</w:t>
            </w:r>
          </w:p>
        </w:tc>
        <w:tc>
          <w:tcPr>
            <w:tcW w:w="1042" w:type="dxa"/>
            <w:tcBorders>
              <w:top w:val="nil"/>
              <w:left w:val="nil"/>
              <w:bottom w:val="single" w:sz="4" w:space="0" w:color="auto"/>
              <w:right w:val="single" w:sz="4" w:space="0" w:color="auto"/>
            </w:tcBorders>
            <w:shd w:val="clear" w:color="auto" w:fill="auto"/>
            <w:vAlign w:val="center"/>
            <w:hideMark/>
          </w:tcPr>
          <w:p w:rsidR="00B96B16" w:rsidRPr="007453A9" w:rsidRDefault="00B96B16" w:rsidP="00B96B16">
            <w:pPr>
              <w:widowControl/>
              <w:jc w:val="center"/>
              <w:rPr>
                <w:rFonts w:ascii="宋体" w:hAnsi="宋体" w:cs="宋体"/>
                <w:color w:val="000000"/>
                <w:kern w:val="0"/>
                <w:sz w:val="22"/>
                <w:szCs w:val="22"/>
              </w:rPr>
            </w:pPr>
            <w:r w:rsidRPr="007453A9">
              <w:rPr>
                <w:rFonts w:ascii="宋体" w:hAnsi="宋体" w:cs="宋体" w:hint="eastAsia"/>
                <w:color w:val="000000"/>
                <w:kern w:val="0"/>
                <w:sz w:val="22"/>
                <w:szCs w:val="22"/>
              </w:rPr>
              <w:t>12个月</w:t>
            </w:r>
          </w:p>
        </w:tc>
      </w:tr>
      <w:tr w:rsidR="00B96B16" w:rsidRPr="007453A9" w:rsidTr="00CA7CAF">
        <w:trPr>
          <w:trHeight w:val="270"/>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B96B16" w:rsidRPr="007453A9" w:rsidRDefault="00B96B16" w:rsidP="00B96B16">
            <w:pPr>
              <w:widowControl/>
              <w:jc w:val="left"/>
              <w:rPr>
                <w:rFonts w:ascii="宋体" w:hAnsi="宋体" w:cs="宋体"/>
                <w:color w:val="000000"/>
                <w:kern w:val="0"/>
                <w:sz w:val="22"/>
                <w:szCs w:val="22"/>
              </w:rPr>
            </w:pPr>
            <w:r w:rsidRPr="007453A9">
              <w:rPr>
                <w:rFonts w:ascii="宋体" w:hAnsi="宋体" w:cs="宋体" w:hint="eastAsia"/>
                <w:color w:val="000000"/>
                <w:kern w:val="0"/>
                <w:sz w:val="22"/>
                <w:szCs w:val="22"/>
              </w:rPr>
              <w:t>工银瑞信科技创新3年封闭运作混合型证券投资基金</w:t>
            </w:r>
          </w:p>
        </w:tc>
        <w:tc>
          <w:tcPr>
            <w:tcW w:w="1276" w:type="dxa"/>
            <w:tcBorders>
              <w:top w:val="nil"/>
              <w:left w:val="nil"/>
              <w:bottom w:val="single" w:sz="4" w:space="0" w:color="auto"/>
              <w:right w:val="single" w:sz="4" w:space="0" w:color="auto"/>
            </w:tcBorders>
            <w:shd w:val="clear" w:color="auto" w:fill="auto"/>
            <w:noWrap/>
            <w:vAlign w:val="center"/>
            <w:hideMark/>
          </w:tcPr>
          <w:p w:rsidR="00B96B16" w:rsidRPr="007453A9" w:rsidRDefault="00B96B16" w:rsidP="00B96B16">
            <w:pPr>
              <w:widowControl/>
              <w:jc w:val="right"/>
              <w:rPr>
                <w:rFonts w:ascii="宋体" w:hAnsi="宋体" w:cs="宋体"/>
                <w:color w:val="000000"/>
                <w:kern w:val="0"/>
                <w:sz w:val="22"/>
                <w:szCs w:val="22"/>
              </w:rPr>
            </w:pPr>
            <w:r w:rsidRPr="007453A9">
              <w:rPr>
                <w:rFonts w:ascii="宋体" w:hAnsi="宋体" w:cs="宋体" w:hint="eastAsia"/>
                <w:color w:val="000000"/>
                <w:kern w:val="0"/>
                <w:sz w:val="22"/>
                <w:szCs w:val="22"/>
              </w:rPr>
              <w:t xml:space="preserve">49,917 </w:t>
            </w:r>
          </w:p>
        </w:tc>
        <w:tc>
          <w:tcPr>
            <w:tcW w:w="1984" w:type="dxa"/>
            <w:tcBorders>
              <w:top w:val="nil"/>
              <w:left w:val="nil"/>
              <w:bottom w:val="single" w:sz="4" w:space="0" w:color="auto"/>
              <w:right w:val="single" w:sz="4" w:space="0" w:color="auto"/>
            </w:tcBorders>
            <w:shd w:val="clear" w:color="auto" w:fill="auto"/>
            <w:noWrap/>
            <w:vAlign w:val="center"/>
            <w:hideMark/>
          </w:tcPr>
          <w:p w:rsidR="00B96B16" w:rsidRPr="00B96B16" w:rsidRDefault="00B96B16" w:rsidP="00B96B16">
            <w:pPr>
              <w:jc w:val="right"/>
              <w:rPr>
                <w:rFonts w:ascii="宋体" w:hAnsi="宋体"/>
                <w:color w:val="000000"/>
                <w:sz w:val="22"/>
                <w:szCs w:val="22"/>
              </w:rPr>
            </w:pPr>
            <w:r w:rsidRPr="00B96B16">
              <w:rPr>
                <w:rFonts w:ascii="宋体" w:hAnsi="宋体" w:hint="eastAsia"/>
                <w:color w:val="000000"/>
                <w:sz w:val="22"/>
                <w:szCs w:val="22"/>
              </w:rPr>
              <w:t xml:space="preserve">3,890,031.81 </w:t>
            </w:r>
          </w:p>
        </w:tc>
        <w:tc>
          <w:tcPr>
            <w:tcW w:w="1418" w:type="dxa"/>
            <w:tcBorders>
              <w:top w:val="nil"/>
              <w:left w:val="nil"/>
              <w:bottom w:val="single" w:sz="4" w:space="0" w:color="auto"/>
              <w:right w:val="single" w:sz="4" w:space="0" w:color="auto"/>
            </w:tcBorders>
            <w:shd w:val="clear" w:color="auto" w:fill="auto"/>
            <w:vAlign w:val="center"/>
            <w:hideMark/>
          </w:tcPr>
          <w:p w:rsidR="00B96B16" w:rsidRPr="00227A5E" w:rsidRDefault="00B96B16" w:rsidP="00B96B16">
            <w:pPr>
              <w:jc w:val="right"/>
              <w:rPr>
                <w:rFonts w:ascii="宋体" w:hAnsi="宋体"/>
                <w:color w:val="000000"/>
                <w:sz w:val="22"/>
                <w:szCs w:val="22"/>
              </w:rPr>
            </w:pPr>
            <w:r w:rsidRPr="00227A5E">
              <w:rPr>
                <w:rFonts w:ascii="宋体" w:hAnsi="宋体" w:hint="eastAsia"/>
                <w:color w:val="000000"/>
                <w:sz w:val="22"/>
                <w:szCs w:val="22"/>
              </w:rPr>
              <w:t>0.31%</w:t>
            </w:r>
          </w:p>
        </w:tc>
        <w:tc>
          <w:tcPr>
            <w:tcW w:w="1768" w:type="dxa"/>
            <w:tcBorders>
              <w:top w:val="nil"/>
              <w:left w:val="nil"/>
              <w:bottom w:val="single" w:sz="4" w:space="0" w:color="auto"/>
              <w:right w:val="single" w:sz="4" w:space="0" w:color="auto"/>
            </w:tcBorders>
            <w:shd w:val="clear" w:color="auto" w:fill="auto"/>
            <w:vAlign w:val="center"/>
            <w:hideMark/>
          </w:tcPr>
          <w:p w:rsidR="00B96B16" w:rsidRPr="00227A5E" w:rsidRDefault="00B96B16" w:rsidP="00B96B16">
            <w:pPr>
              <w:jc w:val="right"/>
              <w:rPr>
                <w:rFonts w:ascii="宋体" w:hAnsi="宋体"/>
                <w:color w:val="000000"/>
                <w:sz w:val="22"/>
                <w:szCs w:val="22"/>
              </w:rPr>
            </w:pPr>
            <w:r w:rsidRPr="00227A5E">
              <w:rPr>
                <w:rFonts w:ascii="宋体" w:hAnsi="宋体" w:hint="eastAsia"/>
                <w:color w:val="000000"/>
                <w:sz w:val="22"/>
                <w:szCs w:val="22"/>
              </w:rPr>
              <w:t xml:space="preserve">4,261,413.06 </w:t>
            </w:r>
          </w:p>
        </w:tc>
        <w:tc>
          <w:tcPr>
            <w:tcW w:w="1300" w:type="dxa"/>
            <w:tcBorders>
              <w:top w:val="nil"/>
              <w:left w:val="nil"/>
              <w:bottom w:val="single" w:sz="4" w:space="0" w:color="auto"/>
              <w:right w:val="single" w:sz="4" w:space="0" w:color="auto"/>
            </w:tcBorders>
            <w:shd w:val="clear" w:color="auto" w:fill="auto"/>
            <w:vAlign w:val="center"/>
            <w:hideMark/>
          </w:tcPr>
          <w:p w:rsidR="00B96B16" w:rsidRPr="00227A5E" w:rsidRDefault="00B96B16" w:rsidP="00B96B16">
            <w:pPr>
              <w:jc w:val="right"/>
              <w:rPr>
                <w:rFonts w:ascii="宋体" w:hAnsi="宋体"/>
                <w:color w:val="000000"/>
                <w:sz w:val="22"/>
                <w:szCs w:val="22"/>
              </w:rPr>
            </w:pPr>
            <w:r w:rsidRPr="00227A5E">
              <w:rPr>
                <w:rFonts w:ascii="宋体" w:hAnsi="宋体" w:hint="eastAsia"/>
                <w:color w:val="000000"/>
                <w:sz w:val="22"/>
                <w:szCs w:val="22"/>
              </w:rPr>
              <w:t>0.34%</w:t>
            </w:r>
          </w:p>
        </w:tc>
        <w:tc>
          <w:tcPr>
            <w:tcW w:w="1042" w:type="dxa"/>
            <w:tcBorders>
              <w:top w:val="nil"/>
              <w:left w:val="nil"/>
              <w:bottom w:val="single" w:sz="4" w:space="0" w:color="auto"/>
              <w:right w:val="single" w:sz="4" w:space="0" w:color="auto"/>
            </w:tcBorders>
            <w:shd w:val="clear" w:color="auto" w:fill="auto"/>
            <w:vAlign w:val="center"/>
            <w:hideMark/>
          </w:tcPr>
          <w:p w:rsidR="00B96B16" w:rsidRPr="007453A9" w:rsidRDefault="00B96B16" w:rsidP="00B96B16">
            <w:pPr>
              <w:widowControl/>
              <w:jc w:val="center"/>
              <w:rPr>
                <w:rFonts w:ascii="宋体" w:hAnsi="宋体" w:cs="宋体"/>
                <w:color w:val="000000"/>
                <w:kern w:val="0"/>
                <w:sz w:val="22"/>
                <w:szCs w:val="22"/>
              </w:rPr>
            </w:pPr>
            <w:r w:rsidRPr="007453A9">
              <w:rPr>
                <w:rFonts w:ascii="宋体" w:hAnsi="宋体" w:cs="宋体" w:hint="eastAsia"/>
                <w:color w:val="000000"/>
                <w:kern w:val="0"/>
                <w:sz w:val="22"/>
                <w:szCs w:val="22"/>
              </w:rPr>
              <w:t>12个月</w:t>
            </w:r>
          </w:p>
        </w:tc>
      </w:tr>
      <w:tr w:rsidR="00B96B16" w:rsidRPr="007453A9" w:rsidTr="00CA7CAF">
        <w:trPr>
          <w:trHeight w:val="270"/>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B96B16" w:rsidRPr="007453A9" w:rsidRDefault="00B96B16" w:rsidP="00B96B16">
            <w:pPr>
              <w:widowControl/>
              <w:jc w:val="left"/>
              <w:rPr>
                <w:rFonts w:ascii="宋体" w:hAnsi="宋体" w:cs="宋体"/>
                <w:color w:val="000000"/>
                <w:kern w:val="0"/>
                <w:sz w:val="22"/>
                <w:szCs w:val="22"/>
              </w:rPr>
            </w:pPr>
            <w:r w:rsidRPr="007453A9">
              <w:rPr>
                <w:rFonts w:ascii="宋体" w:hAnsi="宋体" w:cs="宋体" w:hint="eastAsia"/>
                <w:color w:val="000000"/>
                <w:kern w:val="0"/>
                <w:sz w:val="22"/>
                <w:szCs w:val="22"/>
              </w:rPr>
              <w:t>工银瑞信稳健成长混合型证券投资基金</w:t>
            </w:r>
          </w:p>
        </w:tc>
        <w:tc>
          <w:tcPr>
            <w:tcW w:w="1276" w:type="dxa"/>
            <w:tcBorders>
              <w:top w:val="nil"/>
              <w:left w:val="nil"/>
              <w:bottom w:val="single" w:sz="4" w:space="0" w:color="auto"/>
              <w:right w:val="single" w:sz="4" w:space="0" w:color="auto"/>
            </w:tcBorders>
            <w:shd w:val="clear" w:color="auto" w:fill="auto"/>
            <w:noWrap/>
            <w:vAlign w:val="center"/>
            <w:hideMark/>
          </w:tcPr>
          <w:p w:rsidR="00B96B16" w:rsidRPr="007453A9" w:rsidRDefault="00B96B16" w:rsidP="00B96B16">
            <w:pPr>
              <w:widowControl/>
              <w:jc w:val="right"/>
              <w:rPr>
                <w:rFonts w:ascii="宋体" w:hAnsi="宋体" w:cs="宋体"/>
                <w:color w:val="000000"/>
                <w:kern w:val="0"/>
                <w:sz w:val="22"/>
                <w:szCs w:val="22"/>
              </w:rPr>
            </w:pPr>
            <w:r w:rsidRPr="007453A9">
              <w:rPr>
                <w:rFonts w:ascii="宋体" w:hAnsi="宋体" w:cs="宋体" w:hint="eastAsia"/>
                <w:color w:val="000000"/>
                <w:kern w:val="0"/>
                <w:sz w:val="22"/>
                <w:szCs w:val="22"/>
              </w:rPr>
              <w:t xml:space="preserve">128,320 </w:t>
            </w:r>
          </w:p>
        </w:tc>
        <w:tc>
          <w:tcPr>
            <w:tcW w:w="1984" w:type="dxa"/>
            <w:tcBorders>
              <w:top w:val="nil"/>
              <w:left w:val="nil"/>
              <w:bottom w:val="single" w:sz="4" w:space="0" w:color="auto"/>
              <w:right w:val="single" w:sz="4" w:space="0" w:color="auto"/>
            </w:tcBorders>
            <w:shd w:val="clear" w:color="auto" w:fill="auto"/>
            <w:noWrap/>
            <w:vAlign w:val="center"/>
            <w:hideMark/>
          </w:tcPr>
          <w:p w:rsidR="00B96B16" w:rsidRPr="00B96B16" w:rsidRDefault="00B96B16" w:rsidP="00B96B16">
            <w:pPr>
              <w:jc w:val="right"/>
              <w:rPr>
                <w:rFonts w:ascii="宋体" w:hAnsi="宋体"/>
                <w:color w:val="000000"/>
                <w:sz w:val="22"/>
                <w:szCs w:val="22"/>
              </w:rPr>
            </w:pPr>
            <w:r w:rsidRPr="00B96B16">
              <w:rPr>
                <w:rFonts w:ascii="宋体" w:hAnsi="宋体" w:hint="eastAsia"/>
                <w:color w:val="000000"/>
                <w:sz w:val="22"/>
                <w:szCs w:val="22"/>
              </w:rPr>
              <w:t xml:space="preserve">9,999,977.60 </w:t>
            </w:r>
          </w:p>
        </w:tc>
        <w:tc>
          <w:tcPr>
            <w:tcW w:w="1418" w:type="dxa"/>
            <w:tcBorders>
              <w:top w:val="nil"/>
              <w:left w:val="nil"/>
              <w:bottom w:val="single" w:sz="4" w:space="0" w:color="auto"/>
              <w:right w:val="single" w:sz="4" w:space="0" w:color="auto"/>
            </w:tcBorders>
            <w:shd w:val="clear" w:color="auto" w:fill="auto"/>
            <w:vAlign w:val="center"/>
            <w:hideMark/>
          </w:tcPr>
          <w:p w:rsidR="00B96B16" w:rsidRPr="00227A5E" w:rsidRDefault="00B96B16" w:rsidP="00B96B16">
            <w:pPr>
              <w:jc w:val="right"/>
              <w:rPr>
                <w:rFonts w:ascii="宋体" w:hAnsi="宋体"/>
                <w:color w:val="000000"/>
                <w:sz w:val="22"/>
                <w:szCs w:val="22"/>
              </w:rPr>
            </w:pPr>
            <w:r w:rsidRPr="00227A5E">
              <w:rPr>
                <w:rFonts w:ascii="宋体" w:hAnsi="宋体" w:hint="eastAsia"/>
                <w:color w:val="000000"/>
                <w:sz w:val="22"/>
                <w:szCs w:val="22"/>
              </w:rPr>
              <w:t>0.96%</w:t>
            </w:r>
          </w:p>
        </w:tc>
        <w:tc>
          <w:tcPr>
            <w:tcW w:w="1768" w:type="dxa"/>
            <w:tcBorders>
              <w:top w:val="nil"/>
              <w:left w:val="nil"/>
              <w:bottom w:val="single" w:sz="4" w:space="0" w:color="auto"/>
              <w:right w:val="single" w:sz="4" w:space="0" w:color="auto"/>
            </w:tcBorders>
            <w:shd w:val="clear" w:color="auto" w:fill="auto"/>
            <w:vAlign w:val="center"/>
            <w:hideMark/>
          </w:tcPr>
          <w:p w:rsidR="00B96B16" w:rsidRPr="00227A5E" w:rsidRDefault="00B96B16" w:rsidP="00B96B16">
            <w:pPr>
              <w:jc w:val="right"/>
              <w:rPr>
                <w:rFonts w:ascii="宋体" w:hAnsi="宋体"/>
                <w:color w:val="000000"/>
                <w:sz w:val="22"/>
                <w:szCs w:val="22"/>
              </w:rPr>
            </w:pPr>
            <w:r w:rsidRPr="00227A5E">
              <w:rPr>
                <w:rFonts w:ascii="宋体" w:hAnsi="宋体" w:hint="eastAsia"/>
                <w:color w:val="000000"/>
                <w:sz w:val="22"/>
                <w:szCs w:val="22"/>
              </w:rPr>
              <w:t xml:space="preserve">10,954,678.40 </w:t>
            </w:r>
          </w:p>
        </w:tc>
        <w:tc>
          <w:tcPr>
            <w:tcW w:w="1300" w:type="dxa"/>
            <w:tcBorders>
              <w:top w:val="nil"/>
              <w:left w:val="nil"/>
              <w:bottom w:val="single" w:sz="4" w:space="0" w:color="auto"/>
              <w:right w:val="single" w:sz="4" w:space="0" w:color="auto"/>
            </w:tcBorders>
            <w:shd w:val="clear" w:color="auto" w:fill="auto"/>
            <w:vAlign w:val="center"/>
            <w:hideMark/>
          </w:tcPr>
          <w:p w:rsidR="00B96B16" w:rsidRPr="00227A5E" w:rsidRDefault="00B96B16" w:rsidP="00B96B16">
            <w:pPr>
              <w:jc w:val="right"/>
              <w:rPr>
                <w:rFonts w:ascii="宋体" w:hAnsi="宋体"/>
                <w:color w:val="000000"/>
                <w:sz w:val="22"/>
                <w:szCs w:val="22"/>
              </w:rPr>
            </w:pPr>
            <w:r w:rsidRPr="00227A5E">
              <w:rPr>
                <w:rFonts w:ascii="宋体" w:hAnsi="宋体" w:hint="eastAsia"/>
                <w:color w:val="000000"/>
                <w:sz w:val="22"/>
                <w:szCs w:val="22"/>
              </w:rPr>
              <w:t>1.05%</w:t>
            </w:r>
          </w:p>
        </w:tc>
        <w:tc>
          <w:tcPr>
            <w:tcW w:w="1042" w:type="dxa"/>
            <w:tcBorders>
              <w:top w:val="nil"/>
              <w:left w:val="nil"/>
              <w:bottom w:val="single" w:sz="4" w:space="0" w:color="auto"/>
              <w:right w:val="single" w:sz="4" w:space="0" w:color="auto"/>
            </w:tcBorders>
            <w:shd w:val="clear" w:color="auto" w:fill="auto"/>
            <w:vAlign w:val="center"/>
            <w:hideMark/>
          </w:tcPr>
          <w:p w:rsidR="00B96B16" w:rsidRPr="007453A9" w:rsidRDefault="00B96B16" w:rsidP="00B96B16">
            <w:pPr>
              <w:widowControl/>
              <w:jc w:val="center"/>
              <w:rPr>
                <w:rFonts w:ascii="宋体" w:hAnsi="宋体" w:cs="宋体"/>
                <w:color w:val="000000"/>
                <w:kern w:val="0"/>
                <w:sz w:val="22"/>
                <w:szCs w:val="22"/>
              </w:rPr>
            </w:pPr>
            <w:r w:rsidRPr="007453A9">
              <w:rPr>
                <w:rFonts w:ascii="宋体" w:hAnsi="宋体" w:cs="宋体" w:hint="eastAsia"/>
                <w:color w:val="000000"/>
                <w:kern w:val="0"/>
                <w:sz w:val="22"/>
                <w:szCs w:val="22"/>
              </w:rPr>
              <w:t>12个月</w:t>
            </w:r>
          </w:p>
        </w:tc>
      </w:tr>
      <w:tr w:rsidR="00B96B16" w:rsidRPr="007453A9" w:rsidTr="00CA7CAF">
        <w:trPr>
          <w:trHeight w:val="270"/>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B96B16" w:rsidRPr="007453A9" w:rsidRDefault="00B96B16" w:rsidP="00B96B16">
            <w:pPr>
              <w:widowControl/>
              <w:jc w:val="left"/>
              <w:rPr>
                <w:rFonts w:ascii="宋体" w:hAnsi="宋体" w:cs="宋体"/>
                <w:color w:val="000000"/>
                <w:kern w:val="0"/>
                <w:sz w:val="22"/>
                <w:szCs w:val="22"/>
              </w:rPr>
            </w:pPr>
            <w:r w:rsidRPr="007453A9">
              <w:rPr>
                <w:rFonts w:ascii="宋体" w:hAnsi="宋体" w:cs="宋体" w:hint="eastAsia"/>
                <w:color w:val="000000"/>
                <w:kern w:val="0"/>
                <w:sz w:val="22"/>
                <w:szCs w:val="22"/>
              </w:rPr>
              <w:t>工银瑞信新金融股票型证券投资基金</w:t>
            </w:r>
          </w:p>
        </w:tc>
        <w:tc>
          <w:tcPr>
            <w:tcW w:w="1276" w:type="dxa"/>
            <w:tcBorders>
              <w:top w:val="nil"/>
              <w:left w:val="nil"/>
              <w:bottom w:val="single" w:sz="4" w:space="0" w:color="auto"/>
              <w:right w:val="single" w:sz="4" w:space="0" w:color="auto"/>
            </w:tcBorders>
            <w:shd w:val="clear" w:color="auto" w:fill="auto"/>
            <w:noWrap/>
            <w:vAlign w:val="center"/>
            <w:hideMark/>
          </w:tcPr>
          <w:p w:rsidR="00B96B16" w:rsidRPr="007453A9" w:rsidRDefault="00B96B16" w:rsidP="00B96B16">
            <w:pPr>
              <w:widowControl/>
              <w:jc w:val="right"/>
              <w:rPr>
                <w:rFonts w:ascii="宋体" w:hAnsi="宋体" w:cs="宋体"/>
                <w:color w:val="000000"/>
                <w:kern w:val="0"/>
                <w:sz w:val="22"/>
                <w:szCs w:val="22"/>
              </w:rPr>
            </w:pPr>
            <w:r w:rsidRPr="007453A9">
              <w:rPr>
                <w:rFonts w:ascii="宋体" w:hAnsi="宋体" w:cs="宋体" w:hint="eastAsia"/>
                <w:color w:val="000000"/>
                <w:kern w:val="0"/>
                <w:sz w:val="22"/>
                <w:szCs w:val="22"/>
              </w:rPr>
              <w:t xml:space="preserve">96,240 </w:t>
            </w:r>
          </w:p>
        </w:tc>
        <w:tc>
          <w:tcPr>
            <w:tcW w:w="1984" w:type="dxa"/>
            <w:tcBorders>
              <w:top w:val="nil"/>
              <w:left w:val="nil"/>
              <w:bottom w:val="single" w:sz="4" w:space="0" w:color="auto"/>
              <w:right w:val="single" w:sz="4" w:space="0" w:color="auto"/>
            </w:tcBorders>
            <w:shd w:val="clear" w:color="auto" w:fill="auto"/>
            <w:noWrap/>
            <w:vAlign w:val="center"/>
            <w:hideMark/>
          </w:tcPr>
          <w:p w:rsidR="00B96B16" w:rsidRPr="00B96B16" w:rsidRDefault="00B96B16" w:rsidP="00B96B16">
            <w:pPr>
              <w:jc w:val="right"/>
              <w:rPr>
                <w:rFonts w:ascii="宋体" w:hAnsi="宋体"/>
                <w:color w:val="000000"/>
                <w:sz w:val="22"/>
                <w:szCs w:val="22"/>
              </w:rPr>
            </w:pPr>
            <w:r w:rsidRPr="00B96B16">
              <w:rPr>
                <w:rFonts w:ascii="宋体" w:hAnsi="宋体" w:hint="eastAsia"/>
                <w:color w:val="000000"/>
                <w:sz w:val="22"/>
                <w:szCs w:val="22"/>
              </w:rPr>
              <w:t xml:space="preserve">7,499,983.20 </w:t>
            </w:r>
          </w:p>
        </w:tc>
        <w:tc>
          <w:tcPr>
            <w:tcW w:w="1418" w:type="dxa"/>
            <w:tcBorders>
              <w:top w:val="nil"/>
              <w:left w:val="nil"/>
              <w:bottom w:val="single" w:sz="4" w:space="0" w:color="auto"/>
              <w:right w:val="single" w:sz="4" w:space="0" w:color="auto"/>
            </w:tcBorders>
            <w:shd w:val="clear" w:color="auto" w:fill="auto"/>
            <w:vAlign w:val="center"/>
            <w:hideMark/>
          </w:tcPr>
          <w:p w:rsidR="00B96B16" w:rsidRPr="00227A5E" w:rsidRDefault="00B96B16" w:rsidP="00B96B16">
            <w:pPr>
              <w:jc w:val="right"/>
              <w:rPr>
                <w:rFonts w:ascii="宋体" w:hAnsi="宋体"/>
                <w:color w:val="000000"/>
                <w:sz w:val="22"/>
                <w:szCs w:val="22"/>
              </w:rPr>
            </w:pPr>
            <w:r w:rsidRPr="00227A5E">
              <w:rPr>
                <w:rFonts w:ascii="宋体" w:hAnsi="宋体" w:hint="eastAsia"/>
                <w:color w:val="000000"/>
                <w:sz w:val="22"/>
                <w:szCs w:val="22"/>
              </w:rPr>
              <w:t>0.96%</w:t>
            </w:r>
          </w:p>
        </w:tc>
        <w:tc>
          <w:tcPr>
            <w:tcW w:w="1768" w:type="dxa"/>
            <w:tcBorders>
              <w:top w:val="nil"/>
              <w:left w:val="nil"/>
              <w:bottom w:val="single" w:sz="4" w:space="0" w:color="auto"/>
              <w:right w:val="single" w:sz="4" w:space="0" w:color="auto"/>
            </w:tcBorders>
            <w:shd w:val="clear" w:color="auto" w:fill="auto"/>
            <w:vAlign w:val="center"/>
            <w:hideMark/>
          </w:tcPr>
          <w:p w:rsidR="00B96B16" w:rsidRPr="00227A5E" w:rsidRDefault="00B96B16" w:rsidP="00B96B16">
            <w:pPr>
              <w:jc w:val="right"/>
              <w:rPr>
                <w:rFonts w:ascii="宋体" w:hAnsi="宋体"/>
                <w:color w:val="000000"/>
                <w:sz w:val="22"/>
                <w:szCs w:val="22"/>
              </w:rPr>
            </w:pPr>
            <w:r w:rsidRPr="00227A5E">
              <w:rPr>
                <w:rFonts w:ascii="宋体" w:hAnsi="宋体" w:hint="eastAsia"/>
                <w:color w:val="000000"/>
                <w:sz w:val="22"/>
                <w:szCs w:val="22"/>
              </w:rPr>
              <w:t xml:space="preserve">8,216,008.80 </w:t>
            </w:r>
          </w:p>
        </w:tc>
        <w:tc>
          <w:tcPr>
            <w:tcW w:w="1300" w:type="dxa"/>
            <w:tcBorders>
              <w:top w:val="nil"/>
              <w:left w:val="nil"/>
              <w:bottom w:val="single" w:sz="4" w:space="0" w:color="auto"/>
              <w:right w:val="single" w:sz="4" w:space="0" w:color="auto"/>
            </w:tcBorders>
            <w:shd w:val="clear" w:color="auto" w:fill="auto"/>
            <w:vAlign w:val="center"/>
            <w:hideMark/>
          </w:tcPr>
          <w:p w:rsidR="00B96B16" w:rsidRPr="00227A5E" w:rsidRDefault="00B96B16" w:rsidP="00B96B16">
            <w:pPr>
              <w:jc w:val="right"/>
              <w:rPr>
                <w:rFonts w:ascii="宋体" w:hAnsi="宋体"/>
                <w:color w:val="000000"/>
                <w:sz w:val="22"/>
                <w:szCs w:val="22"/>
              </w:rPr>
            </w:pPr>
            <w:r w:rsidRPr="00227A5E">
              <w:rPr>
                <w:rFonts w:ascii="宋体" w:hAnsi="宋体" w:hint="eastAsia"/>
                <w:color w:val="000000"/>
                <w:sz w:val="22"/>
                <w:szCs w:val="22"/>
              </w:rPr>
              <w:t>1.05%</w:t>
            </w:r>
          </w:p>
        </w:tc>
        <w:tc>
          <w:tcPr>
            <w:tcW w:w="1042" w:type="dxa"/>
            <w:tcBorders>
              <w:top w:val="nil"/>
              <w:left w:val="nil"/>
              <w:bottom w:val="single" w:sz="4" w:space="0" w:color="auto"/>
              <w:right w:val="single" w:sz="4" w:space="0" w:color="auto"/>
            </w:tcBorders>
            <w:shd w:val="clear" w:color="auto" w:fill="auto"/>
            <w:vAlign w:val="center"/>
            <w:hideMark/>
          </w:tcPr>
          <w:p w:rsidR="00B96B16" w:rsidRPr="007453A9" w:rsidRDefault="00B96B16" w:rsidP="00B96B16">
            <w:pPr>
              <w:widowControl/>
              <w:jc w:val="center"/>
              <w:rPr>
                <w:rFonts w:ascii="宋体" w:hAnsi="宋体" w:cs="宋体"/>
                <w:color w:val="000000"/>
                <w:kern w:val="0"/>
                <w:sz w:val="22"/>
                <w:szCs w:val="22"/>
              </w:rPr>
            </w:pPr>
            <w:r w:rsidRPr="007453A9">
              <w:rPr>
                <w:rFonts w:ascii="宋体" w:hAnsi="宋体" w:cs="宋体" w:hint="eastAsia"/>
                <w:color w:val="000000"/>
                <w:kern w:val="0"/>
                <w:sz w:val="22"/>
                <w:szCs w:val="22"/>
              </w:rPr>
              <w:t>12个月</w:t>
            </w:r>
          </w:p>
        </w:tc>
      </w:tr>
      <w:tr w:rsidR="00B96B16" w:rsidRPr="007453A9" w:rsidTr="00CA7CAF">
        <w:trPr>
          <w:trHeight w:val="270"/>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B96B16" w:rsidRPr="007453A9" w:rsidRDefault="00B96B16" w:rsidP="00B96B16">
            <w:pPr>
              <w:widowControl/>
              <w:jc w:val="left"/>
              <w:rPr>
                <w:rFonts w:ascii="宋体" w:hAnsi="宋体" w:cs="宋体"/>
                <w:color w:val="000000"/>
                <w:kern w:val="0"/>
                <w:sz w:val="22"/>
                <w:szCs w:val="22"/>
              </w:rPr>
            </w:pPr>
            <w:r w:rsidRPr="007453A9">
              <w:rPr>
                <w:rFonts w:ascii="宋体" w:hAnsi="宋体" w:cs="宋体" w:hint="eastAsia"/>
                <w:color w:val="000000"/>
                <w:kern w:val="0"/>
                <w:sz w:val="22"/>
                <w:szCs w:val="22"/>
              </w:rPr>
              <w:t>工银瑞信总回报灵活配置混合型证券投资基金</w:t>
            </w:r>
          </w:p>
        </w:tc>
        <w:tc>
          <w:tcPr>
            <w:tcW w:w="1276" w:type="dxa"/>
            <w:tcBorders>
              <w:top w:val="nil"/>
              <w:left w:val="nil"/>
              <w:bottom w:val="single" w:sz="4" w:space="0" w:color="auto"/>
              <w:right w:val="single" w:sz="4" w:space="0" w:color="auto"/>
            </w:tcBorders>
            <w:shd w:val="clear" w:color="auto" w:fill="auto"/>
            <w:noWrap/>
            <w:vAlign w:val="center"/>
            <w:hideMark/>
          </w:tcPr>
          <w:p w:rsidR="00B96B16" w:rsidRPr="007453A9" w:rsidRDefault="00B96B16" w:rsidP="00B96B16">
            <w:pPr>
              <w:widowControl/>
              <w:jc w:val="right"/>
              <w:rPr>
                <w:rFonts w:ascii="宋体" w:hAnsi="宋体" w:cs="宋体"/>
                <w:color w:val="000000"/>
                <w:kern w:val="0"/>
                <w:sz w:val="22"/>
                <w:szCs w:val="22"/>
              </w:rPr>
            </w:pPr>
            <w:r w:rsidRPr="007453A9">
              <w:rPr>
                <w:rFonts w:ascii="宋体" w:hAnsi="宋体" w:cs="宋体" w:hint="eastAsia"/>
                <w:color w:val="000000"/>
                <w:kern w:val="0"/>
                <w:sz w:val="22"/>
                <w:szCs w:val="22"/>
              </w:rPr>
              <w:t xml:space="preserve">96,240 </w:t>
            </w:r>
          </w:p>
        </w:tc>
        <w:tc>
          <w:tcPr>
            <w:tcW w:w="1984" w:type="dxa"/>
            <w:tcBorders>
              <w:top w:val="nil"/>
              <w:left w:val="nil"/>
              <w:bottom w:val="single" w:sz="4" w:space="0" w:color="auto"/>
              <w:right w:val="single" w:sz="4" w:space="0" w:color="auto"/>
            </w:tcBorders>
            <w:shd w:val="clear" w:color="auto" w:fill="auto"/>
            <w:noWrap/>
            <w:vAlign w:val="center"/>
            <w:hideMark/>
          </w:tcPr>
          <w:p w:rsidR="00B96B16" w:rsidRPr="00B96B16" w:rsidRDefault="00B96B16" w:rsidP="00B96B16">
            <w:pPr>
              <w:jc w:val="right"/>
              <w:rPr>
                <w:rFonts w:ascii="宋体" w:hAnsi="宋体"/>
                <w:color w:val="000000"/>
                <w:sz w:val="22"/>
                <w:szCs w:val="22"/>
              </w:rPr>
            </w:pPr>
            <w:r w:rsidRPr="00B96B16">
              <w:rPr>
                <w:rFonts w:ascii="宋体" w:hAnsi="宋体" w:hint="eastAsia"/>
                <w:color w:val="000000"/>
                <w:sz w:val="22"/>
                <w:szCs w:val="22"/>
              </w:rPr>
              <w:t xml:space="preserve">7,499,983.20 </w:t>
            </w:r>
          </w:p>
        </w:tc>
        <w:tc>
          <w:tcPr>
            <w:tcW w:w="1418" w:type="dxa"/>
            <w:tcBorders>
              <w:top w:val="nil"/>
              <w:left w:val="nil"/>
              <w:bottom w:val="single" w:sz="4" w:space="0" w:color="auto"/>
              <w:right w:val="single" w:sz="4" w:space="0" w:color="auto"/>
            </w:tcBorders>
            <w:shd w:val="clear" w:color="auto" w:fill="auto"/>
            <w:noWrap/>
            <w:vAlign w:val="center"/>
            <w:hideMark/>
          </w:tcPr>
          <w:p w:rsidR="00B96B16" w:rsidRPr="00227A5E" w:rsidRDefault="00B96B16" w:rsidP="00B96B16">
            <w:pPr>
              <w:jc w:val="right"/>
              <w:rPr>
                <w:rFonts w:ascii="宋体" w:hAnsi="宋体"/>
                <w:color w:val="000000"/>
                <w:sz w:val="22"/>
                <w:szCs w:val="22"/>
              </w:rPr>
            </w:pPr>
            <w:r w:rsidRPr="00227A5E">
              <w:rPr>
                <w:rFonts w:ascii="宋体" w:hAnsi="宋体" w:hint="eastAsia"/>
                <w:color w:val="000000"/>
                <w:sz w:val="22"/>
                <w:szCs w:val="22"/>
              </w:rPr>
              <w:t>1.03%</w:t>
            </w:r>
          </w:p>
        </w:tc>
        <w:tc>
          <w:tcPr>
            <w:tcW w:w="1768" w:type="dxa"/>
            <w:tcBorders>
              <w:top w:val="nil"/>
              <w:left w:val="nil"/>
              <w:bottom w:val="single" w:sz="4" w:space="0" w:color="auto"/>
              <w:right w:val="single" w:sz="4" w:space="0" w:color="auto"/>
            </w:tcBorders>
            <w:shd w:val="clear" w:color="auto" w:fill="auto"/>
            <w:noWrap/>
            <w:vAlign w:val="center"/>
            <w:hideMark/>
          </w:tcPr>
          <w:p w:rsidR="00B96B16" w:rsidRPr="00227A5E" w:rsidRDefault="00B96B16" w:rsidP="00B96B16">
            <w:pPr>
              <w:jc w:val="right"/>
              <w:rPr>
                <w:rFonts w:ascii="宋体" w:hAnsi="宋体"/>
                <w:color w:val="000000"/>
                <w:sz w:val="22"/>
                <w:szCs w:val="22"/>
              </w:rPr>
            </w:pPr>
            <w:r w:rsidRPr="00227A5E">
              <w:rPr>
                <w:rFonts w:ascii="宋体" w:hAnsi="宋体" w:hint="eastAsia"/>
                <w:color w:val="000000"/>
                <w:sz w:val="22"/>
                <w:szCs w:val="22"/>
              </w:rPr>
              <w:t xml:space="preserve">8,216,008.80 </w:t>
            </w:r>
          </w:p>
        </w:tc>
        <w:tc>
          <w:tcPr>
            <w:tcW w:w="1300" w:type="dxa"/>
            <w:tcBorders>
              <w:top w:val="nil"/>
              <w:left w:val="nil"/>
              <w:bottom w:val="single" w:sz="4" w:space="0" w:color="auto"/>
              <w:right w:val="single" w:sz="4" w:space="0" w:color="auto"/>
            </w:tcBorders>
            <w:shd w:val="clear" w:color="auto" w:fill="auto"/>
            <w:noWrap/>
            <w:vAlign w:val="center"/>
            <w:hideMark/>
          </w:tcPr>
          <w:p w:rsidR="00B96B16" w:rsidRPr="00227A5E" w:rsidRDefault="00B96B16" w:rsidP="00B96B16">
            <w:pPr>
              <w:jc w:val="right"/>
              <w:rPr>
                <w:rFonts w:ascii="宋体" w:hAnsi="宋体"/>
                <w:color w:val="000000"/>
                <w:sz w:val="22"/>
                <w:szCs w:val="22"/>
              </w:rPr>
            </w:pPr>
            <w:r w:rsidRPr="00227A5E">
              <w:rPr>
                <w:rFonts w:ascii="宋体" w:hAnsi="宋体" w:hint="eastAsia"/>
                <w:color w:val="000000"/>
                <w:sz w:val="22"/>
                <w:szCs w:val="22"/>
              </w:rPr>
              <w:t>1.12%</w:t>
            </w:r>
          </w:p>
        </w:tc>
        <w:tc>
          <w:tcPr>
            <w:tcW w:w="1042" w:type="dxa"/>
            <w:tcBorders>
              <w:top w:val="nil"/>
              <w:left w:val="nil"/>
              <w:bottom w:val="single" w:sz="4" w:space="0" w:color="auto"/>
              <w:right w:val="single" w:sz="4" w:space="0" w:color="auto"/>
            </w:tcBorders>
            <w:shd w:val="clear" w:color="auto" w:fill="auto"/>
            <w:vAlign w:val="center"/>
            <w:hideMark/>
          </w:tcPr>
          <w:p w:rsidR="00B96B16" w:rsidRPr="007453A9" w:rsidRDefault="00B96B16" w:rsidP="00B96B16">
            <w:pPr>
              <w:widowControl/>
              <w:jc w:val="center"/>
              <w:rPr>
                <w:rFonts w:ascii="宋体" w:hAnsi="宋体" w:cs="宋体"/>
                <w:color w:val="000000"/>
                <w:kern w:val="0"/>
                <w:sz w:val="22"/>
                <w:szCs w:val="22"/>
              </w:rPr>
            </w:pPr>
            <w:r w:rsidRPr="007453A9">
              <w:rPr>
                <w:rFonts w:ascii="宋体" w:hAnsi="宋体" w:cs="宋体" w:hint="eastAsia"/>
                <w:color w:val="000000"/>
                <w:kern w:val="0"/>
                <w:sz w:val="22"/>
                <w:szCs w:val="22"/>
              </w:rPr>
              <w:t>12个月</w:t>
            </w:r>
          </w:p>
        </w:tc>
      </w:tr>
      <w:tr w:rsidR="00B96B16" w:rsidRPr="007453A9" w:rsidTr="00CA7CAF">
        <w:trPr>
          <w:trHeight w:val="270"/>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B96B16" w:rsidRPr="007453A9" w:rsidRDefault="00B96B16" w:rsidP="00B96B16">
            <w:pPr>
              <w:widowControl/>
              <w:jc w:val="left"/>
              <w:rPr>
                <w:rFonts w:ascii="宋体" w:hAnsi="宋体" w:cs="宋体"/>
                <w:color w:val="000000"/>
                <w:kern w:val="0"/>
                <w:sz w:val="22"/>
                <w:szCs w:val="22"/>
              </w:rPr>
            </w:pPr>
            <w:r w:rsidRPr="007453A9">
              <w:rPr>
                <w:rFonts w:ascii="宋体" w:hAnsi="宋体" w:cs="宋体" w:hint="eastAsia"/>
                <w:color w:val="000000"/>
                <w:kern w:val="0"/>
                <w:sz w:val="22"/>
                <w:szCs w:val="22"/>
              </w:rPr>
              <w:t>工银瑞信基本面量化策略混合型证券投资基金</w:t>
            </w:r>
          </w:p>
        </w:tc>
        <w:tc>
          <w:tcPr>
            <w:tcW w:w="1276" w:type="dxa"/>
            <w:tcBorders>
              <w:top w:val="nil"/>
              <w:left w:val="nil"/>
              <w:bottom w:val="single" w:sz="4" w:space="0" w:color="auto"/>
              <w:right w:val="single" w:sz="4" w:space="0" w:color="auto"/>
            </w:tcBorders>
            <w:shd w:val="clear" w:color="auto" w:fill="auto"/>
            <w:noWrap/>
            <w:vAlign w:val="center"/>
            <w:hideMark/>
          </w:tcPr>
          <w:p w:rsidR="00B96B16" w:rsidRPr="007453A9" w:rsidRDefault="00B96B16" w:rsidP="00B96B16">
            <w:pPr>
              <w:widowControl/>
              <w:jc w:val="right"/>
              <w:rPr>
                <w:rFonts w:ascii="宋体" w:hAnsi="宋体" w:cs="宋体"/>
                <w:color w:val="000000"/>
                <w:kern w:val="0"/>
                <w:sz w:val="22"/>
                <w:szCs w:val="22"/>
              </w:rPr>
            </w:pPr>
            <w:r w:rsidRPr="007453A9">
              <w:rPr>
                <w:rFonts w:ascii="宋体" w:hAnsi="宋体" w:cs="宋体" w:hint="eastAsia"/>
                <w:color w:val="000000"/>
                <w:kern w:val="0"/>
                <w:sz w:val="22"/>
                <w:szCs w:val="22"/>
              </w:rPr>
              <w:t xml:space="preserve">102,656 </w:t>
            </w:r>
          </w:p>
        </w:tc>
        <w:tc>
          <w:tcPr>
            <w:tcW w:w="1984" w:type="dxa"/>
            <w:tcBorders>
              <w:top w:val="nil"/>
              <w:left w:val="nil"/>
              <w:bottom w:val="single" w:sz="4" w:space="0" w:color="auto"/>
              <w:right w:val="single" w:sz="4" w:space="0" w:color="auto"/>
            </w:tcBorders>
            <w:shd w:val="clear" w:color="auto" w:fill="auto"/>
            <w:noWrap/>
            <w:vAlign w:val="center"/>
            <w:hideMark/>
          </w:tcPr>
          <w:p w:rsidR="00B96B16" w:rsidRPr="00B96B16" w:rsidRDefault="00B96B16" w:rsidP="00B96B16">
            <w:pPr>
              <w:jc w:val="right"/>
              <w:rPr>
                <w:rFonts w:ascii="宋体" w:hAnsi="宋体"/>
                <w:color w:val="000000"/>
                <w:sz w:val="22"/>
                <w:szCs w:val="22"/>
              </w:rPr>
            </w:pPr>
            <w:r w:rsidRPr="00B96B16">
              <w:rPr>
                <w:rFonts w:ascii="宋体" w:hAnsi="宋体" w:hint="eastAsia"/>
                <w:color w:val="000000"/>
                <w:sz w:val="22"/>
                <w:szCs w:val="22"/>
              </w:rPr>
              <w:t xml:space="preserve">7,999,982.08 </w:t>
            </w:r>
          </w:p>
        </w:tc>
        <w:tc>
          <w:tcPr>
            <w:tcW w:w="1418" w:type="dxa"/>
            <w:tcBorders>
              <w:top w:val="nil"/>
              <w:left w:val="nil"/>
              <w:bottom w:val="single" w:sz="4" w:space="0" w:color="auto"/>
              <w:right w:val="single" w:sz="4" w:space="0" w:color="auto"/>
            </w:tcBorders>
            <w:shd w:val="clear" w:color="auto" w:fill="auto"/>
            <w:noWrap/>
            <w:vAlign w:val="center"/>
            <w:hideMark/>
          </w:tcPr>
          <w:p w:rsidR="00B96B16" w:rsidRPr="00227A5E" w:rsidRDefault="00B96B16" w:rsidP="00B96B16">
            <w:pPr>
              <w:jc w:val="right"/>
              <w:rPr>
                <w:rFonts w:ascii="宋体" w:hAnsi="宋体"/>
                <w:color w:val="000000"/>
                <w:sz w:val="22"/>
                <w:szCs w:val="22"/>
              </w:rPr>
            </w:pPr>
            <w:r w:rsidRPr="00227A5E">
              <w:rPr>
                <w:rFonts w:ascii="宋体" w:hAnsi="宋体" w:hint="eastAsia"/>
                <w:color w:val="000000"/>
                <w:sz w:val="22"/>
                <w:szCs w:val="22"/>
              </w:rPr>
              <w:t>1.83%</w:t>
            </w:r>
          </w:p>
        </w:tc>
        <w:tc>
          <w:tcPr>
            <w:tcW w:w="1768" w:type="dxa"/>
            <w:tcBorders>
              <w:top w:val="nil"/>
              <w:left w:val="nil"/>
              <w:bottom w:val="single" w:sz="4" w:space="0" w:color="auto"/>
              <w:right w:val="single" w:sz="4" w:space="0" w:color="auto"/>
            </w:tcBorders>
            <w:shd w:val="clear" w:color="auto" w:fill="auto"/>
            <w:noWrap/>
            <w:vAlign w:val="center"/>
            <w:hideMark/>
          </w:tcPr>
          <w:p w:rsidR="00B96B16" w:rsidRPr="00227A5E" w:rsidRDefault="00B96B16" w:rsidP="00B96B16">
            <w:pPr>
              <w:jc w:val="right"/>
              <w:rPr>
                <w:rFonts w:ascii="宋体" w:hAnsi="宋体"/>
                <w:color w:val="000000"/>
                <w:sz w:val="22"/>
                <w:szCs w:val="22"/>
              </w:rPr>
            </w:pPr>
            <w:r w:rsidRPr="00227A5E">
              <w:rPr>
                <w:rFonts w:ascii="宋体" w:hAnsi="宋体" w:hint="eastAsia"/>
                <w:color w:val="000000"/>
                <w:sz w:val="22"/>
                <w:szCs w:val="22"/>
              </w:rPr>
              <w:t xml:space="preserve">8,763,742.72 </w:t>
            </w:r>
          </w:p>
        </w:tc>
        <w:tc>
          <w:tcPr>
            <w:tcW w:w="1300" w:type="dxa"/>
            <w:tcBorders>
              <w:top w:val="nil"/>
              <w:left w:val="nil"/>
              <w:bottom w:val="single" w:sz="4" w:space="0" w:color="auto"/>
              <w:right w:val="single" w:sz="4" w:space="0" w:color="auto"/>
            </w:tcBorders>
            <w:shd w:val="clear" w:color="auto" w:fill="auto"/>
            <w:noWrap/>
            <w:vAlign w:val="center"/>
            <w:hideMark/>
          </w:tcPr>
          <w:p w:rsidR="00B96B16" w:rsidRPr="00227A5E" w:rsidRDefault="00B96B16" w:rsidP="00B96B16">
            <w:pPr>
              <w:jc w:val="right"/>
              <w:rPr>
                <w:rFonts w:ascii="宋体" w:hAnsi="宋体"/>
                <w:color w:val="000000"/>
                <w:sz w:val="22"/>
                <w:szCs w:val="22"/>
              </w:rPr>
            </w:pPr>
            <w:r w:rsidRPr="00227A5E">
              <w:rPr>
                <w:rFonts w:ascii="宋体" w:hAnsi="宋体" w:hint="eastAsia"/>
                <w:color w:val="000000"/>
                <w:sz w:val="22"/>
                <w:szCs w:val="22"/>
              </w:rPr>
              <w:t>2.01%</w:t>
            </w:r>
          </w:p>
        </w:tc>
        <w:tc>
          <w:tcPr>
            <w:tcW w:w="1042" w:type="dxa"/>
            <w:tcBorders>
              <w:top w:val="nil"/>
              <w:left w:val="nil"/>
              <w:bottom w:val="single" w:sz="4" w:space="0" w:color="auto"/>
              <w:right w:val="single" w:sz="4" w:space="0" w:color="auto"/>
            </w:tcBorders>
            <w:shd w:val="clear" w:color="auto" w:fill="auto"/>
            <w:vAlign w:val="center"/>
            <w:hideMark/>
          </w:tcPr>
          <w:p w:rsidR="00B96B16" w:rsidRPr="007453A9" w:rsidRDefault="00B96B16" w:rsidP="00B96B16">
            <w:pPr>
              <w:widowControl/>
              <w:jc w:val="center"/>
              <w:rPr>
                <w:rFonts w:ascii="宋体" w:hAnsi="宋体" w:cs="宋体"/>
                <w:color w:val="000000"/>
                <w:kern w:val="0"/>
                <w:sz w:val="22"/>
                <w:szCs w:val="22"/>
              </w:rPr>
            </w:pPr>
            <w:r w:rsidRPr="007453A9">
              <w:rPr>
                <w:rFonts w:ascii="宋体" w:hAnsi="宋体" w:cs="宋体" w:hint="eastAsia"/>
                <w:color w:val="000000"/>
                <w:kern w:val="0"/>
                <w:sz w:val="22"/>
                <w:szCs w:val="22"/>
              </w:rPr>
              <w:t>12个月</w:t>
            </w:r>
          </w:p>
        </w:tc>
      </w:tr>
      <w:tr w:rsidR="00B96B16" w:rsidRPr="007453A9" w:rsidTr="00CA7CAF">
        <w:trPr>
          <w:trHeight w:val="270"/>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B96B16" w:rsidRPr="007453A9" w:rsidRDefault="00B96B16" w:rsidP="00B96B16">
            <w:pPr>
              <w:widowControl/>
              <w:jc w:val="left"/>
              <w:rPr>
                <w:rFonts w:ascii="宋体" w:hAnsi="宋体" w:cs="宋体"/>
                <w:color w:val="000000"/>
                <w:kern w:val="0"/>
                <w:sz w:val="22"/>
                <w:szCs w:val="22"/>
              </w:rPr>
            </w:pPr>
            <w:r w:rsidRPr="007453A9">
              <w:rPr>
                <w:rFonts w:ascii="宋体" w:hAnsi="宋体" w:cs="宋体" w:hint="eastAsia"/>
                <w:color w:val="000000"/>
                <w:kern w:val="0"/>
                <w:sz w:val="22"/>
                <w:szCs w:val="22"/>
              </w:rPr>
              <w:t>工银瑞信绝对收益策略混合型发起式证券投资基金</w:t>
            </w:r>
          </w:p>
        </w:tc>
        <w:tc>
          <w:tcPr>
            <w:tcW w:w="1276" w:type="dxa"/>
            <w:tcBorders>
              <w:top w:val="nil"/>
              <w:left w:val="nil"/>
              <w:bottom w:val="single" w:sz="4" w:space="0" w:color="auto"/>
              <w:right w:val="single" w:sz="4" w:space="0" w:color="auto"/>
            </w:tcBorders>
            <w:shd w:val="clear" w:color="auto" w:fill="auto"/>
            <w:noWrap/>
            <w:vAlign w:val="center"/>
            <w:hideMark/>
          </w:tcPr>
          <w:p w:rsidR="00B96B16" w:rsidRPr="007453A9" w:rsidRDefault="00B96B16" w:rsidP="00B96B16">
            <w:pPr>
              <w:widowControl/>
              <w:jc w:val="right"/>
              <w:rPr>
                <w:rFonts w:ascii="宋体" w:hAnsi="宋体" w:cs="宋体"/>
                <w:color w:val="000000"/>
                <w:kern w:val="0"/>
                <w:sz w:val="22"/>
                <w:szCs w:val="22"/>
              </w:rPr>
            </w:pPr>
            <w:r w:rsidRPr="007453A9">
              <w:rPr>
                <w:rFonts w:ascii="宋体" w:hAnsi="宋体" w:cs="宋体" w:hint="eastAsia"/>
                <w:color w:val="000000"/>
                <w:kern w:val="0"/>
                <w:sz w:val="22"/>
                <w:szCs w:val="22"/>
              </w:rPr>
              <w:t xml:space="preserve">25,664 </w:t>
            </w:r>
          </w:p>
        </w:tc>
        <w:tc>
          <w:tcPr>
            <w:tcW w:w="1984" w:type="dxa"/>
            <w:tcBorders>
              <w:top w:val="nil"/>
              <w:left w:val="nil"/>
              <w:bottom w:val="single" w:sz="4" w:space="0" w:color="auto"/>
              <w:right w:val="single" w:sz="4" w:space="0" w:color="auto"/>
            </w:tcBorders>
            <w:shd w:val="clear" w:color="auto" w:fill="auto"/>
            <w:noWrap/>
            <w:vAlign w:val="center"/>
            <w:hideMark/>
          </w:tcPr>
          <w:p w:rsidR="00B96B16" w:rsidRPr="00B96B16" w:rsidRDefault="00B96B16" w:rsidP="00B96B16">
            <w:pPr>
              <w:jc w:val="right"/>
              <w:rPr>
                <w:rFonts w:ascii="宋体" w:hAnsi="宋体"/>
                <w:color w:val="000000"/>
                <w:sz w:val="22"/>
                <w:szCs w:val="22"/>
              </w:rPr>
            </w:pPr>
            <w:r w:rsidRPr="00B96B16">
              <w:rPr>
                <w:rFonts w:ascii="宋体" w:hAnsi="宋体" w:hint="eastAsia"/>
                <w:color w:val="000000"/>
                <w:sz w:val="22"/>
                <w:szCs w:val="22"/>
              </w:rPr>
              <w:t xml:space="preserve">1,999,995.52 </w:t>
            </w:r>
          </w:p>
        </w:tc>
        <w:tc>
          <w:tcPr>
            <w:tcW w:w="1418" w:type="dxa"/>
            <w:tcBorders>
              <w:top w:val="nil"/>
              <w:left w:val="nil"/>
              <w:bottom w:val="single" w:sz="4" w:space="0" w:color="auto"/>
              <w:right w:val="single" w:sz="4" w:space="0" w:color="auto"/>
            </w:tcBorders>
            <w:shd w:val="clear" w:color="auto" w:fill="auto"/>
            <w:noWrap/>
            <w:vAlign w:val="center"/>
            <w:hideMark/>
          </w:tcPr>
          <w:p w:rsidR="00B96B16" w:rsidRPr="00227A5E" w:rsidRDefault="00B96B16" w:rsidP="00B96B16">
            <w:pPr>
              <w:jc w:val="right"/>
              <w:rPr>
                <w:rFonts w:ascii="宋体" w:hAnsi="宋体"/>
                <w:color w:val="000000"/>
                <w:sz w:val="22"/>
                <w:szCs w:val="22"/>
              </w:rPr>
            </w:pPr>
            <w:r w:rsidRPr="00227A5E">
              <w:rPr>
                <w:rFonts w:ascii="宋体" w:hAnsi="宋体" w:hint="eastAsia"/>
                <w:color w:val="000000"/>
                <w:sz w:val="22"/>
                <w:szCs w:val="22"/>
              </w:rPr>
              <w:t>0.92%</w:t>
            </w:r>
          </w:p>
        </w:tc>
        <w:tc>
          <w:tcPr>
            <w:tcW w:w="1768" w:type="dxa"/>
            <w:tcBorders>
              <w:top w:val="nil"/>
              <w:left w:val="nil"/>
              <w:bottom w:val="single" w:sz="4" w:space="0" w:color="auto"/>
              <w:right w:val="single" w:sz="4" w:space="0" w:color="auto"/>
            </w:tcBorders>
            <w:shd w:val="clear" w:color="auto" w:fill="auto"/>
            <w:noWrap/>
            <w:vAlign w:val="center"/>
            <w:hideMark/>
          </w:tcPr>
          <w:p w:rsidR="00B96B16" w:rsidRPr="00227A5E" w:rsidRDefault="00B96B16" w:rsidP="00B96B16">
            <w:pPr>
              <w:jc w:val="right"/>
              <w:rPr>
                <w:rFonts w:ascii="宋体" w:hAnsi="宋体"/>
                <w:color w:val="000000"/>
                <w:sz w:val="22"/>
                <w:szCs w:val="22"/>
              </w:rPr>
            </w:pPr>
            <w:r w:rsidRPr="00227A5E">
              <w:rPr>
                <w:rFonts w:ascii="宋体" w:hAnsi="宋体" w:hint="eastAsia"/>
                <w:color w:val="000000"/>
                <w:sz w:val="22"/>
                <w:szCs w:val="22"/>
              </w:rPr>
              <w:t xml:space="preserve">2,190,935.68 </w:t>
            </w:r>
          </w:p>
        </w:tc>
        <w:tc>
          <w:tcPr>
            <w:tcW w:w="1300" w:type="dxa"/>
            <w:tcBorders>
              <w:top w:val="nil"/>
              <w:left w:val="nil"/>
              <w:bottom w:val="single" w:sz="4" w:space="0" w:color="auto"/>
              <w:right w:val="single" w:sz="4" w:space="0" w:color="auto"/>
            </w:tcBorders>
            <w:shd w:val="clear" w:color="auto" w:fill="auto"/>
            <w:noWrap/>
            <w:vAlign w:val="center"/>
            <w:hideMark/>
          </w:tcPr>
          <w:p w:rsidR="00B96B16" w:rsidRPr="00227A5E" w:rsidRDefault="00B96B16" w:rsidP="00B96B16">
            <w:pPr>
              <w:jc w:val="right"/>
              <w:rPr>
                <w:rFonts w:ascii="宋体" w:hAnsi="宋体"/>
                <w:color w:val="000000"/>
                <w:sz w:val="22"/>
                <w:szCs w:val="22"/>
              </w:rPr>
            </w:pPr>
            <w:r w:rsidRPr="00227A5E">
              <w:rPr>
                <w:rFonts w:ascii="宋体" w:hAnsi="宋体" w:hint="eastAsia"/>
                <w:color w:val="000000"/>
                <w:sz w:val="22"/>
                <w:szCs w:val="22"/>
              </w:rPr>
              <w:t>1.00%</w:t>
            </w:r>
          </w:p>
        </w:tc>
        <w:tc>
          <w:tcPr>
            <w:tcW w:w="1042" w:type="dxa"/>
            <w:tcBorders>
              <w:top w:val="nil"/>
              <w:left w:val="nil"/>
              <w:bottom w:val="single" w:sz="4" w:space="0" w:color="auto"/>
              <w:right w:val="single" w:sz="4" w:space="0" w:color="auto"/>
            </w:tcBorders>
            <w:shd w:val="clear" w:color="auto" w:fill="auto"/>
            <w:vAlign w:val="center"/>
            <w:hideMark/>
          </w:tcPr>
          <w:p w:rsidR="00B96B16" w:rsidRPr="007453A9" w:rsidRDefault="00B96B16" w:rsidP="00B96B16">
            <w:pPr>
              <w:widowControl/>
              <w:jc w:val="center"/>
              <w:rPr>
                <w:rFonts w:ascii="宋体" w:hAnsi="宋体" w:cs="宋体"/>
                <w:color w:val="000000"/>
                <w:kern w:val="0"/>
                <w:sz w:val="22"/>
                <w:szCs w:val="22"/>
              </w:rPr>
            </w:pPr>
            <w:r w:rsidRPr="007453A9">
              <w:rPr>
                <w:rFonts w:ascii="宋体" w:hAnsi="宋体" w:cs="宋体" w:hint="eastAsia"/>
                <w:color w:val="000000"/>
                <w:kern w:val="0"/>
                <w:sz w:val="22"/>
                <w:szCs w:val="22"/>
              </w:rPr>
              <w:t>12个月</w:t>
            </w:r>
          </w:p>
        </w:tc>
      </w:tr>
      <w:tr w:rsidR="00B96B16" w:rsidRPr="007453A9" w:rsidTr="00CA7CAF">
        <w:trPr>
          <w:trHeight w:val="270"/>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B96B16" w:rsidRPr="007453A9" w:rsidRDefault="00B96B16" w:rsidP="00B96B16">
            <w:pPr>
              <w:widowControl/>
              <w:jc w:val="left"/>
              <w:rPr>
                <w:rFonts w:ascii="宋体" w:hAnsi="宋体" w:cs="宋体"/>
                <w:color w:val="000000"/>
                <w:kern w:val="0"/>
                <w:sz w:val="22"/>
                <w:szCs w:val="22"/>
              </w:rPr>
            </w:pPr>
            <w:r w:rsidRPr="007453A9">
              <w:rPr>
                <w:rFonts w:ascii="宋体" w:hAnsi="宋体" w:cs="宋体" w:hint="eastAsia"/>
                <w:color w:val="000000"/>
                <w:kern w:val="0"/>
                <w:sz w:val="22"/>
                <w:szCs w:val="22"/>
              </w:rPr>
              <w:t>工银瑞信新机遇灵活配置混合型证券投资基金</w:t>
            </w:r>
          </w:p>
        </w:tc>
        <w:tc>
          <w:tcPr>
            <w:tcW w:w="1276" w:type="dxa"/>
            <w:tcBorders>
              <w:top w:val="nil"/>
              <w:left w:val="nil"/>
              <w:bottom w:val="single" w:sz="4" w:space="0" w:color="auto"/>
              <w:right w:val="single" w:sz="4" w:space="0" w:color="auto"/>
            </w:tcBorders>
            <w:shd w:val="clear" w:color="auto" w:fill="auto"/>
            <w:noWrap/>
            <w:vAlign w:val="center"/>
            <w:hideMark/>
          </w:tcPr>
          <w:p w:rsidR="00B96B16" w:rsidRPr="007453A9" w:rsidRDefault="00B96B16" w:rsidP="00B96B16">
            <w:pPr>
              <w:widowControl/>
              <w:jc w:val="right"/>
              <w:rPr>
                <w:rFonts w:ascii="宋体" w:hAnsi="宋体" w:cs="宋体"/>
                <w:color w:val="000000"/>
                <w:kern w:val="0"/>
                <w:sz w:val="22"/>
                <w:szCs w:val="22"/>
              </w:rPr>
            </w:pPr>
            <w:r w:rsidRPr="007453A9">
              <w:rPr>
                <w:rFonts w:ascii="宋体" w:hAnsi="宋体" w:cs="宋体" w:hint="eastAsia"/>
                <w:color w:val="000000"/>
                <w:kern w:val="0"/>
                <w:sz w:val="22"/>
                <w:szCs w:val="22"/>
              </w:rPr>
              <w:t xml:space="preserve">12,832 </w:t>
            </w:r>
          </w:p>
        </w:tc>
        <w:tc>
          <w:tcPr>
            <w:tcW w:w="1984" w:type="dxa"/>
            <w:tcBorders>
              <w:top w:val="nil"/>
              <w:left w:val="nil"/>
              <w:bottom w:val="single" w:sz="4" w:space="0" w:color="auto"/>
              <w:right w:val="single" w:sz="4" w:space="0" w:color="auto"/>
            </w:tcBorders>
            <w:shd w:val="clear" w:color="auto" w:fill="auto"/>
            <w:noWrap/>
            <w:vAlign w:val="center"/>
            <w:hideMark/>
          </w:tcPr>
          <w:p w:rsidR="00B96B16" w:rsidRPr="00B96B16" w:rsidRDefault="00B96B16" w:rsidP="00B96B16">
            <w:pPr>
              <w:jc w:val="right"/>
              <w:rPr>
                <w:rFonts w:ascii="宋体" w:hAnsi="宋体"/>
                <w:color w:val="000000"/>
                <w:sz w:val="22"/>
                <w:szCs w:val="22"/>
              </w:rPr>
            </w:pPr>
            <w:r w:rsidRPr="00B96B16">
              <w:rPr>
                <w:rFonts w:ascii="宋体" w:hAnsi="宋体" w:hint="eastAsia"/>
                <w:color w:val="000000"/>
                <w:sz w:val="22"/>
                <w:szCs w:val="22"/>
              </w:rPr>
              <w:t xml:space="preserve">999,997.76 </w:t>
            </w:r>
          </w:p>
        </w:tc>
        <w:tc>
          <w:tcPr>
            <w:tcW w:w="1418" w:type="dxa"/>
            <w:tcBorders>
              <w:top w:val="nil"/>
              <w:left w:val="nil"/>
              <w:bottom w:val="single" w:sz="4" w:space="0" w:color="auto"/>
              <w:right w:val="single" w:sz="4" w:space="0" w:color="auto"/>
            </w:tcBorders>
            <w:shd w:val="clear" w:color="auto" w:fill="auto"/>
            <w:noWrap/>
            <w:vAlign w:val="center"/>
            <w:hideMark/>
          </w:tcPr>
          <w:p w:rsidR="00B96B16" w:rsidRPr="00227A5E" w:rsidRDefault="00B96B16" w:rsidP="00B96B16">
            <w:pPr>
              <w:jc w:val="right"/>
              <w:rPr>
                <w:rFonts w:ascii="宋体" w:hAnsi="宋体"/>
                <w:color w:val="000000"/>
                <w:sz w:val="22"/>
                <w:szCs w:val="22"/>
              </w:rPr>
            </w:pPr>
            <w:r w:rsidRPr="00227A5E">
              <w:rPr>
                <w:rFonts w:ascii="宋体" w:hAnsi="宋体" w:hint="eastAsia"/>
                <w:color w:val="000000"/>
                <w:sz w:val="22"/>
                <w:szCs w:val="22"/>
              </w:rPr>
              <w:t>0.72%</w:t>
            </w:r>
          </w:p>
        </w:tc>
        <w:tc>
          <w:tcPr>
            <w:tcW w:w="1768" w:type="dxa"/>
            <w:tcBorders>
              <w:top w:val="nil"/>
              <w:left w:val="nil"/>
              <w:bottom w:val="single" w:sz="4" w:space="0" w:color="auto"/>
              <w:right w:val="single" w:sz="4" w:space="0" w:color="auto"/>
            </w:tcBorders>
            <w:shd w:val="clear" w:color="auto" w:fill="auto"/>
            <w:noWrap/>
            <w:vAlign w:val="center"/>
            <w:hideMark/>
          </w:tcPr>
          <w:p w:rsidR="00B96B16" w:rsidRPr="00227A5E" w:rsidRDefault="00B96B16" w:rsidP="00B96B16">
            <w:pPr>
              <w:jc w:val="right"/>
              <w:rPr>
                <w:rFonts w:ascii="宋体" w:hAnsi="宋体"/>
                <w:color w:val="000000"/>
                <w:sz w:val="22"/>
                <w:szCs w:val="22"/>
              </w:rPr>
            </w:pPr>
            <w:r w:rsidRPr="00227A5E">
              <w:rPr>
                <w:rFonts w:ascii="宋体" w:hAnsi="宋体" w:hint="eastAsia"/>
                <w:color w:val="000000"/>
                <w:sz w:val="22"/>
                <w:szCs w:val="22"/>
              </w:rPr>
              <w:t xml:space="preserve">1,095,467.84 </w:t>
            </w:r>
          </w:p>
        </w:tc>
        <w:tc>
          <w:tcPr>
            <w:tcW w:w="1300" w:type="dxa"/>
            <w:tcBorders>
              <w:top w:val="nil"/>
              <w:left w:val="nil"/>
              <w:bottom w:val="single" w:sz="4" w:space="0" w:color="auto"/>
              <w:right w:val="single" w:sz="4" w:space="0" w:color="auto"/>
            </w:tcBorders>
            <w:shd w:val="clear" w:color="auto" w:fill="auto"/>
            <w:noWrap/>
            <w:vAlign w:val="center"/>
            <w:hideMark/>
          </w:tcPr>
          <w:p w:rsidR="00B96B16" w:rsidRPr="00227A5E" w:rsidRDefault="00B96B16" w:rsidP="00B96B16">
            <w:pPr>
              <w:jc w:val="right"/>
              <w:rPr>
                <w:rFonts w:ascii="宋体" w:hAnsi="宋体"/>
                <w:color w:val="000000"/>
                <w:sz w:val="22"/>
                <w:szCs w:val="22"/>
              </w:rPr>
            </w:pPr>
            <w:r w:rsidRPr="00227A5E">
              <w:rPr>
                <w:rFonts w:ascii="宋体" w:hAnsi="宋体" w:hint="eastAsia"/>
                <w:color w:val="000000"/>
                <w:sz w:val="22"/>
                <w:szCs w:val="22"/>
              </w:rPr>
              <w:t>0.79%</w:t>
            </w:r>
          </w:p>
        </w:tc>
        <w:tc>
          <w:tcPr>
            <w:tcW w:w="1042" w:type="dxa"/>
            <w:tcBorders>
              <w:top w:val="nil"/>
              <w:left w:val="nil"/>
              <w:bottom w:val="single" w:sz="4" w:space="0" w:color="auto"/>
              <w:right w:val="single" w:sz="4" w:space="0" w:color="auto"/>
            </w:tcBorders>
            <w:shd w:val="clear" w:color="auto" w:fill="auto"/>
            <w:vAlign w:val="center"/>
            <w:hideMark/>
          </w:tcPr>
          <w:p w:rsidR="00B96B16" w:rsidRPr="007453A9" w:rsidRDefault="00B96B16" w:rsidP="00B96B16">
            <w:pPr>
              <w:widowControl/>
              <w:jc w:val="center"/>
              <w:rPr>
                <w:rFonts w:ascii="宋体" w:hAnsi="宋体" w:cs="宋体"/>
                <w:color w:val="000000"/>
                <w:kern w:val="0"/>
                <w:sz w:val="22"/>
                <w:szCs w:val="22"/>
              </w:rPr>
            </w:pPr>
            <w:r w:rsidRPr="007453A9">
              <w:rPr>
                <w:rFonts w:ascii="宋体" w:hAnsi="宋体" w:cs="宋体" w:hint="eastAsia"/>
                <w:color w:val="000000"/>
                <w:kern w:val="0"/>
                <w:sz w:val="22"/>
                <w:szCs w:val="22"/>
              </w:rPr>
              <w:t>12个月</w:t>
            </w:r>
          </w:p>
        </w:tc>
      </w:tr>
      <w:tr w:rsidR="00B96B16" w:rsidRPr="007453A9" w:rsidTr="00CA7CAF">
        <w:trPr>
          <w:trHeight w:val="270"/>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B96B16" w:rsidRPr="007453A9" w:rsidRDefault="00B96B16" w:rsidP="00B96B16">
            <w:pPr>
              <w:widowControl/>
              <w:jc w:val="left"/>
              <w:rPr>
                <w:rFonts w:ascii="宋体" w:hAnsi="宋体" w:cs="宋体"/>
                <w:color w:val="000000"/>
                <w:kern w:val="0"/>
                <w:sz w:val="22"/>
                <w:szCs w:val="22"/>
              </w:rPr>
            </w:pPr>
            <w:r w:rsidRPr="007453A9">
              <w:rPr>
                <w:rFonts w:ascii="宋体" w:hAnsi="宋体" w:cs="宋体" w:hint="eastAsia"/>
                <w:color w:val="000000"/>
                <w:kern w:val="0"/>
                <w:sz w:val="22"/>
                <w:szCs w:val="22"/>
              </w:rPr>
              <w:t>工银瑞信新价值灵活配置混合型证券投资基金</w:t>
            </w:r>
          </w:p>
        </w:tc>
        <w:tc>
          <w:tcPr>
            <w:tcW w:w="1276" w:type="dxa"/>
            <w:tcBorders>
              <w:top w:val="nil"/>
              <w:left w:val="nil"/>
              <w:bottom w:val="single" w:sz="4" w:space="0" w:color="auto"/>
              <w:right w:val="single" w:sz="4" w:space="0" w:color="auto"/>
            </w:tcBorders>
            <w:shd w:val="clear" w:color="auto" w:fill="auto"/>
            <w:noWrap/>
            <w:vAlign w:val="center"/>
            <w:hideMark/>
          </w:tcPr>
          <w:p w:rsidR="00B96B16" w:rsidRPr="007453A9" w:rsidRDefault="00B96B16" w:rsidP="00B96B16">
            <w:pPr>
              <w:widowControl/>
              <w:jc w:val="right"/>
              <w:rPr>
                <w:rFonts w:ascii="宋体" w:hAnsi="宋体" w:cs="宋体"/>
                <w:color w:val="000000"/>
                <w:kern w:val="0"/>
                <w:sz w:val="22"/>
                <w:szCs w:val="22"/>
              </w:rPr>
            </w:pPr>
            <w:r w:rsidRPr="007453A9">
              <w:rPr>
                <w:rFonts w:ascii="宋体" w:hAnsi="宋体" w:cs="宋体" w:hint="eastAsia"/>
                <w:color w:val="000000"/>
                <w:kern w:val="0"/>
                <w:sz w:val="22"/>
                <w:szCs w:val="22"/>
              </w:rPr>
              <w:t xml:space="preserve">12,832 </w:t>
            </w:r>
          </w:p>
        </w:tc>
        <w:tc>
          <w:tcPr>
            <w:tcW w:w="1984" w:type="dxa"/>
            <w:tcBorders>
              <w:top w:val="nil"/>
              <w:left w:val="nil"/>
              <w:bottom w:val="single" w:sz="4" w:space="0" w:color="auto"/>
              <w:right w:val="single" w:sz="4" w:space="0" w:color="auto"/>
            </w:tcBorders>
            <w:shd w:val="clear" w:color="auto" w:fill="auto"/>
            <w:noWrap/>
            <w:vAlign w:val="center"/>
            <w:hideMark/>
          </w:tcPr>
          <w:p w:rsidR="00B96B16" w:rsidRPr="00B96B16" w:rsidRDefault="00B96B16" w:rsidP="00B96B16">
            <w:pPr>
              <w:jc w:val="right"/>
              <w:rPr>
                <w:rFonts w:ascii="宋体" w:hAnsi="宋体"/>
                <w:color w:val="000000"/>
                <w:sz w:val="22"/>
                <w:szCs w:val="22"/>
              </w:rPr>
            </w:pPr>
            <w:r w:rsidRPr="00B96B16">
              <w:rPr>
                <w:rFonts w:ascii="宋体" w:hAnsi="宋体" w:hint="eastAsia"/>
                <w:color w:val="000000"/>
                <w:sz w:val="22"/>
                <w:szCs w:val="22"/>
              </w:rPr>
              <w:t xml:space="preserve">999,997.76 </w:t>
            </w:r>
          </w:p>
        </w:tc>
        <w:tc>
          <w:tcPr>
            <w:tcW w:w="1418" w:type="dxa"/>
            <w:tcBorders>
              <w:top w:val="nil"/>
              <w:left w:val="nil"/>
              <w:bottom w:val="single" w:sz="4" w:space="0" w:color="auto"/>
              <w:right w:val="single" w:sz="4" w:space="0" w:color="auto"/>
            </w:tcBorders>
            <w:shd w:val="clear" w:color="auto" w:fill="auto"/>
            <w:noWrap/>
            <w:vAlign w:val="center"/>
            <w:hideMark/>
          </w:tcPr>
          <w:p w:rsidR="00B96B16" w:rsidRPr="00227A5E" w:rsidRDefault="00B96B16" w:rsidP="00B96B16">
            <w:pPr>
              <w:jc w:val="right"/>
              <w:rPr>
                <w:rFonts w:ascii="宋体" w:hAnsi="宋体"/>
                <w:color w:val="000000"/>
                <w:sz w:val="22"/>
                <w:szCs w:val="22"/>
              </w:rPr>
            </w:pPr>
            <w:r w:rsidRPr="00227A5E">
              <w:rPr>
                <w:rFonts w:ascii="宋体" w:hAnsi="宋体" w:hint="eastAsia"/>
                <w:color w:val="000000"/>
                <w:sz w:val="22"/>
                <w:szCs w:val="22"/>
              </w:rPr>
              <w:t>0.73%</w:t>
            </w:r>
          </w:p>
        </w:tc>
        <w:tc>
          <w:tcPr>
            <w:tcW w:w="1768" w:type="dxa"/>
            <w:tcBorders>
              <w:top w:val="nil"/>
              <w:left w:val="nil"/>
              <w:bottom w:val="single" w:sz="4" w:space="0" w:color="auto"/>
              <w:right w:val="single" w:sz="4" w:space="0" w:color="auto"/>
            </w:tcBorders>
            <w:shd w:val="clear" w:color="auto" w:fill="auto"/>
            <w:noWrap/>
            <w:vAlign w:val="center"/>
            <w:hideMark/>
          </w:tcPr>
          <w:p w:rsidR="00B96B16" w:rsidRPr="00227A5E" w:rsidRDefault="00B96B16" w:rsidP="00B96B16">
            <w:pPr>
              <w:jc w:val="right"/>
              <w:rPr>
                <w:rFonts w:ascii="宋体" w:hAnsi="宋体"/>
                <w:color w:val="000000"/>
                <w:sz w:val="22"/>
                <w:szCs w:val="22"/>
              </w:rPr>
            </w:pPr>
            <w:r w:rsidRPr="00227A5E">
              <w:rPr>
                <w:rFonts w:ascii="宋体" w:hAnsi="宋体" w:hint="eastAsia"/>
                <w:color w:val="000000"/>
                <w:sz w:val="22"/>
                <w:szCs w:val="22"/>
              </w:rPr>
              <w:t xml:space="preserve">1,095,467.84 </w:t>
            </w:r>
          </w:p>
        </w:tc>
        <w:tc>
          <w:tcPr>
            <w:tcW w:w="1300" w:type="dxa"/>
            <w:tcBorders>
              <w:top w:val="nil"/>
              <w:left w:val="nil"/>
              <w:bottom w:val="single" w:sz="4" w:space="0" w:color="auto"/>
              <w:right w:val="single" w:sz="4" w:space="0" w:color="auto"/>
            </w:tcBorders>
            <w:shd w:val="clear" w:color="auto" w:fill="auto"/>
            <w:noWrap/>
            <w:vAlign w:val="center"/>
            <w:hideMark/>
          </w:tcPr>
          <w:p w:rsidR="00B96B16" w:rsidRPr="00227A5E" w:rsidRDefault="00B96B16" w:rsidP="00B96B16">
            <w:pPr>
              <w:jc w:val="right"/>
              <w:rPr>
                <w:rFonts w:ascii="宋体" w:hAnsi="宋体"/>
                <w:color w:val="000000"/>
                <w:sz w:val="22"/>
                <w:szCs w:val="22"/>
              </w:rPr>
            </w:pPr>
            <w:r w:rsidRPr="00227A5E">
              <w:rPr>
                <w:rFonts w:ascii="宋体" w:hAnsi="宋体" w:hint="eastAsia"/>
                <w:color w:val="000000"/>
                <w:sz w:val="22"/>
                <w:szCs w:val="22"/>
              </w:rPr>
              <w:t>0.80%</w:t>
            </w:r>
          </w:p>
        </w:tc>
        <w:tc>
          <w:tcPr>
            <w:tcW w:w="1042" w:type="dxa"/>
            <w:tcBorders>
              <w:top w:val="nil"/>
              <w:left w:val="nil"/>
              <w:bottom w:val="single" w:sz="4" w:space="0" w:color="auto"/>
              <w:right w:val="single" w:sz="4" w:space="0" w:color="auto"/>
            </w:tcBorders>
            <w:shd w:val="clear" w:color="auto" w:fill="auto"/>
            <w:vAlign w:val="center"/>
            <w:hideMark/>
          </w:tcPr>
          <w:p w:rsidR="00B96B16" w:rsidRPr="007453A9" w:rsidRDefault="00B96B16" w:rsidP="00B96B16">
            <w:pPr>
              <w:widowControl/>
              <w:jc w:val="center"/>
              <w:rPr>
                <w:rFonts w:ascii="宋体" w:hAnsi="宋体" w:cs="宋体"/>
                <w:color w:val="000000"/>
                <w:kern w:val="0"/>
                <w:sz w:val="22"/>
                <w:szCs w:val="22"/>
              </w:rPr>
            </w:pPr>
            <w:r w:rsidRPr="007453A9">
              <w:rPr>
                <w:rFonts w:ascii="宋体" w:hAnsi="宋体" w:cs="宋体" w:hint="eastAsia"/>
                <w:color w:val="000000"/>
                <w:kern w:val="0"/>
                <w:sz w:val="22"/>
                <w:szCs w:val="22"/>
              </w:rPr>
              <w:t>12个月</w:t>
            </w:r>
          </w:p>
        </w:tc>
      </w:tr>
    </w:tbl>
    <w:p w:rsidR="00BD0199" w:rsidRPr="009F69CE" w:rsidRDefault="00BD0199" w:rsidP="00E26272">
      <w:pPr>
        <w:widowControl/>
        <w:spacing w:line="360" w:lineRule="auto"/>
        <w:jc w:val="left"/>
        <w:rPr>
          <w:rFonts w:ascii="宋体"/>
          <w:color w:val="000000"/>
          <w:kern w:val="0"/>
          <w:sz w:val="24"/>
          <w:szCs w:val="24"/>
        </w:rPr>
      </w:pPr>
    </w:p>
    <w:p w:rsidR="00BD0199" w:rsidRPr="00E97405" w:rsidRDefault="00290297" w:rsidP="009F69CE">
      <w:pPr>
        <w:widowControl/>
        <w:spacing w:line="360" w:lineRule="auto"/>
        <w:ind w:firstLineChars="200" w:firstLine="480"/>
        <w:jc w:val="left"/>
        <w:rPr>
          <w:rFonts w:ascii="宋体"/>
          <w:color w:val="000000"/>
          <w:kern w:val="0"/>
          <w:sz w:val="24"/>
          <w:szCs w:val="24"/>
        </w:rPr>
      </w:pPr>
      <w:r>
        <w:rPr>
          <w:rFonts w:ascii="宋体" w:hint="eastAsia"/>
          <w:color w:val="000000"/>
          <w:kern w:val="0"/>
          <w:sz w:val="24"/>
          <w:szCs w:val="24"/>
        </w:rPr>
        <w:t>注：基金资产净值、账面价值为2019年12月</w:t>
      </w:r>
      <w:r w:rsidR="00CA7CAF">
        <w:rPr>
          <w:rFonts w:ascii="宋体"/>
          <w:color w:val="000000"/>
          <w:kern w:val="0"/>
          <w:sz w:val="24"/>
          <w:szCs w:val="24"/>
        </w:rPr>
        <w:t>18</w:t>
      </w:r>
      <w:r>
        <w:rPr>
          <w:rFonts w:ascii="宋体" w:hint="eastAsia"/>
          <w:color w:val="000000"/>
          <w:kern w:val="0"/>
          <w:sz w:val="24"/>
          <w:szCs w:val="24"/>
        </w:rPr>
        <w:t>日数据。</w:t>
      </w:r>
    </w:p>
    <w:p w:rsidR="00BD0199" w:rsidRPr="009F69CE" w:rsidRDefault="00BD0199" w:rsidP="009F69CE">
      <w:pPr>
        <w:widowControl/>
        <w:spacing w:line="360" w:lineRule="auto"/>
        <w:ind w:firstLineChars="200" w:firstLine="480"/>
        <w:jc w:val="left"/>
        <w:rPr>
          <w:rFonts w:ascii="宋体"/>
          <w:kern w:val="0"/>
          <w:sz w:val="24"/>
          <w:szCs w:val="24"/>
        </w:rPr>
      </w:pPr>
      <w:r w:rsidRPr="009F69CE">
        <w:rPr>
          <w:rFonts w:ascii="宋体" w:hAnsi="宋体" w:cs="宋体" w:hint="eastAsia"/>
          <w:kern w:val="0"/>
          <w:sz w:val="24"/>
          <w:szCs w:val="24"/>
        </w:rPr>
        <w:t>特此公告。</w:t>
      </w:r>
    </w:p>
    <w:p w:rsidR="00BD0199" w:rsidRPr="009F69CE" w:rsidRDefault="00BD0199" w:rsidP="009F69CE">
      <w:pPr>
        <w:widowControl/>
        <w:spacing w:line="360" w:lineRule="auto"/>
        <w:ind w:firstLineChars="200" w:firstLine="480"/>
        <w:jc w:val="left"/>
        <w:rPr>
          <w:rFonts w:ascii="宋体"/>
          <w:kern w:val="0"/>
          <w:sz w:val="24"/>
          <w:szCs w:val="24"/>
        </w:rPr>
      </w:pPr>
    </w:p>
    <w:p w:rsidR="00BD0199" w:rsidRPr="009F69CE" w:rsidRDefault="00BD0199" w:rsidP="009F69CE">
      <w:pPr>
        <w:widowControl/>
        <w:spacing w:line="360" w:lineRule="auto"/>
        <w:jc w:val="right"/>
        <w:rPr>
          <w:rFonts w:ascii="宋体" w:hAnsi="宋体" w:cs="宋体"/>
          <w:kern w:val="0"/>
          <w:sz w:val="24"/>
          <w:szCs w:val="24"/>
        </w:rPr>
      </w:pPr>
      <w:r w:rsidRPr="009F69CE">
        <w:rPr>
          <w:rFonts w:ascii="宋体" w:hAnsi="宋体" w:cs="宋体" w:hint="eastAsia"/>
          <w:kern w:val="0"/>
          <w:sz w:val="24"/>
          <w:szCs w:val="24"/>
        </w:rPr>
        <w:t>工银瑞信基金管理有限公司</w:t>
      </w:r>
    </w:p>
    <w:p w:rsidR="000B01E1" w:rsidRDefault="002F0EB5" w:rsidP="00CA7CAF">
      <w:pPr>
        <w:widowControl/>
        <w:spacing w:line="360" w:lineRule="auto"/>
        <w:ind w:right="240"/>
        <w:jc w:val="right"/>
        <w:rPr>
          <w:rFonts w:ascii="宋体" w:hAnsi="宋体" w:cs="宋体"/>
          <w:kern w:val="0"/>
          <w:sz w:val="24"/>
          <w:szCs w:val="24"/>
        </w:rPr>
      </w:pPr>
      <w:r>
        <w:rPr>
          <w:rFonts w:ascii="宋体" w:hAnsi="宋体" w:cs="宋体" w:hint="eastAsia"/>
          <w:kern w:val="0"/>
          <w:sz w:val="24"/>
          <w:szCs w:val="24"/>
        </w:rPr>
        <w:t>二零一九</w:t>
      </w:r>
      <w:r w:rsidR="00BD0199" w:rsidRPr="009F69CE">
        <w:rPr>
          <w:rFonts w:ascii="宋体" w:hAnsi="宋体" w:cs="宋体" w:hint="eastAsia"/>
          <w:kern w:val="0"/>
          <w:sz w:val="24"/>
          <w:szCs w:val="24"/>
        </w:rPr>
        <w:t>年</w:t>
      </w:r>
      <w:r w:rsidR="00290297">
        <w:rPr>
          <w:rFonts w:ascii="宋体" w:hAnsi="宋体" w:cs="宋体" w:hint="eastAsia"/>
          <w:kern w:val="0"/>
          <w:sz w:val="24"/>
          <w:szCs w:val="24"/>
        </w:rPr>
        <w:t>十二</w:t>
      </w:r>
      <w:r w:rsidR="00005863">
        <w:rPr>
          <w:rFonts w:ascii="宋体" w:hAnsi="宋体" w:cs="宋体" w:hint="eastAsia"/>
          <w:kern w:val="0"/>
          <w:sz w:val="24"/>
          <w:szCs w:val="24"/>
        </w:rPr>
        <w:t>月</w:t>
      </w:r>
      <w:r w:rsidR="00CA7CAF">
        <w:rPr>
          <w:rFonts w:ascii="宋体" w:hAnsi="宋体" w:cs="宋体" w:hint="eastAsia"/>
          <w:kern w:val="0"/>
          <w:sz w:val="24"/>
          <w:szCs w:val="24"/>
        </w:rPr>
        <w:t>二十</w:t>
      </w:r>
      <w:r w:rsidR="00BD0199" w:rsidRPr="009F69CE">
        <w:rPr>
          <w:rFonts w:ascii="宋体" w:hAnsi="宋体" w:cs="宋体" w:hint="eastAsia"/>
          <w:kern w:val="0"/>
          <w:sz w:val="24"/>
          <w:szCs w:val="24"/>
        </w:rPr>
        <w:t>日</w:t>
      </w:r>
    </w:p>
    <w:sectPr w:rsidR="000B01E1" w:rsidSect="00E26272">
      <w:pgSz w:w="11906" w:h="16838"/>
      <w:pgMar w:top="1440" w:right="851" w:bottom="1440" w:left="85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43C2" w:rsidRDefault="000643C2" w:rsidP="00B15947">
      <w:r>
        <w:separator/>
      </w:r>
    </w:p>
  </w:endnote>
  <w:endnote w:type="continuationSeparator" w:id="1">
    <w:p w:rsidR="000643C2" w:rsidRDefault="000643C2" w:rsidP="00B159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43C2" w:rsidRDefault="000643C2" w:rsidP="00B15947">
      <w:r>
        <w:separator/>
      </w:r>
    </w:p>
  </w:footnote>
  <w:footnote w:type="continuationSeparator" w:id="1">
    <w:p w:rsidR="000643C2" w:rsidRDefault="000643C2" w:rsidP="00B1594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ctiveWritingStyle w:appName="MSWord" w:lang="en-US" w:vendorID="64" w:dllVersion="131078" w:nlCheck="1" w:checkStyle="0"/>
  <w:activeWritingStyle w:appName="MSWord" w:lang="zh-CN" w:vendorID="64" w:dllVersion="131077" w:nlCheck="1" w:checkStyle="1"/>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A0638"/>
    <w:rsid w:val="00005863"/>
    <w:rsid w:val="00033425"/>
    <w:rsid w:val="000643C2"/>
    <w:rsid w:val="000773B1"/>
    <w:rsid w:val="00090A18"/>
    <w:rsid w:val="00093C9C"/>
    <w:rsid w:val="000B01E1"/>
    <w:rsid w:val="000B48DF"/>
    <w:rsid w:val="000B49B1"/>
    <w:rsid w:val="00182B7E"/>
    <w:rsid w:val="00190B83"/>
    <w:rsid w:val="00191D58"/>
    <w:rsid w:val="001A1444"/>
    <w:rsid w:val="001C3AB6"/>
    <w:rsid w:val="001E055D"/>
    <w:rsid w:val="00227A5E"/>
    <w:rsid w:val="0023036E"/>
    <w:rsid w:val="0023356B"/>
    <w:rsid w:val="00256E1F"/>
    <w:rsid w:val="00267569"/>
    <w:rsid w:val="00272E75"/>
    <w:rsid w:val="00290297"/>
    <w:rsid w:val="002A0638"/>
    <w:rsid w:val="002F0EB5"/>
    <w:rsid w:val="002F135E"/>
    <w:rsid w:val="00302700"/>
    <w:rsid w:val="00315CC7"/>
    <w:rsid w:val="00324290"/>
    <w:rsid w:val="00325B26"/>
    <w:rsid w:val="003277BF"/>
    <w:rsid w:val="00327989"/>
    <w:rsid w:val="003415CF"/>
    <w:rsid w:val="003740DB"/>
    <w:rsid w:val="003B24CF"/>
    <w:rsid w:val="003C4BF4"/>
    <w:rsid w:val="00401347"/>
    <w:rsid w:val="0041169C"/>
    <w:rsid w:val="00447CC2"/>
    <w:rsid w:val="00481926"/>
    <w:rsid w:val="004C4B42"/>
    <w:rsid w:val="004E1FBF"/>
    <w:rsid w:val="00510F49"/>
    <w:rsid w:val="005119B2"/>
    <w:rsid w:val="00515111"/>
    <w:rsid w:val="0053390E"/>
    <w:rsid w:val="005379D9"/>
    <w:rsid w:val="0054025D"/>
    <w:rsid w:val="005478D8"/>
    <w:rsid w:val="00547DD7"/>
    <w:rsid w:val="0055222B"/>
    <w:rsid w:val="00555AE8"/>
    <w:rsid w:val="00563E30"/>
    <w:rsid w:val="0056450F"/>
    <w:rsid w:val="005B06D6"/>
    <w:rsid w:val="005B525E"/>
    <w:rsid w:val="005D578D"/>
    <w:rsid w:val="006157BF"/>
    <w:rsid w:val="0062787D"/>
    <w:rsid w:val="00634D56"/>
    <w:rsid w:val="006374C7"/>
    <w:rsid w:val="006401DC"/>
    <w:rsid w:val="00642E7B"/>
    <w:rsid w:val="006473B8"/>
    <w:rsid w:val="0066024B"/>
    <w:rsid w:val="006662BF"/>
    <w:rsid w:val="00677C0E"/>
    <w:rsid w:val="006963F6"/>
    <w:rsid w:val="006C1507"/>
    <w:rsid w:val="006D3803"/>
    <w:rsid w:val="006F133E"/>
    <w:rsid w:val="006F27C4"/>
    <w:rsid w:val="00713C74"/>
    <w:rsid w:val="007308B9"/>
    <w:rsid w:val="007453A9"/>
    <w:rsid w:val="00755CCB"/>
    <w:rsid w:val="007750B8"/>
    <w:rsid w:val="007B7CE4"/>
    <w:rsid w:val="007C54A6"/>
    <w:rsid w:val="007D41BE"/>
    <w:rsid w:val="00804C32"/>
    <w:rsid w:val="008146C5"/>
    <w:rsid w:val="00822540"/>
    <w:rsid w:val="00862E11"/>
    <w:rsid w:val="00892BD0"/>
    <w:rsid w:val="008A2E23"/>
    <w:rsid w:val="008A51A4"/>
    <w:rsid w:val="008A5D78"/>
    <w:rsid w:val="008C1083"/>
    <w:rsid w:val="008D1705"/>
    <w:rsid w:val="008D50DC"/>
    <w:rsid w:val="009161CD"/>
    <w:rsid w:val="00983436"/>
    <w:rsid w:val="00992DF1"/>
    <w:rsid w:val="009A05B5"/>
    <w:rsid w:val="009A744A"/>
    <w:rsid w:val="009C261A"/>
    <w:rsid w:val="009C58BA"/>
    <w:rsid w:val="009E2A0E"/>
    <w:rsid w:val="009F69CE"/>
    <w:rsid w:val="00A01A0E"/>
    <w:rsid w:val="00A10979"/>
    <w:rsid w:val="00A33DDF"/>
    <w:rsid w:val="00A34456"/>
    <w:rsid w:val="00A7033E"/>
    <w:rsid w:val="00A75B21"/>
    <w:rsid w:val="00AE64B4"/>
    <w:rsid w:val="00AF747A"/>
    <w:rsid w:val="00B15947"/>
    <w:rsid w:val="00B71ABC"/>
    <w:rsid w:val="00B96B16"/>
    <w:rsid w:val="00BB022A"/>
    <w:rsid w:val="00BD0199"/>
    <w:rsid w:val="00C12B71"/>
    <w:rsid w:val="00C20633"/>
    <w:rsid w:val="00C25EAD"/>
    <w:rsid w:val="00C313C5"/>
    <w:rsid w:val="00C31DA4"/>
    <w:rsid w:val="00C42CDE"/>
    <w:rsid w:val="00C71FAC"/>
    <w:rsid w:val="00C90D59"/>
    <w:rsid w:val="00CA7CAF"/>
    <w:rsid w:val="00D04230"/>
    <w:rsid w:val="00D70B53"/>
    <w:rsid w:val="00D95C27"/>
    <w:rsid w:val="00DA765F"/>
    <w:rsid w:val="00DB3AA1"/>
    <w:rsid w:val="00DD6AFF"/>
    <w:rsid w:val="00DD6F3C"/>
    <w:rsid w:val="00DE1F74"/>
    <w:rsid w:val="00E1019E"/>
    <w:rsid w:val="00E238E4"/>
    <w:rsid w:val="00E26272"/>
    <w:rsid w:val="00E264CE"/>
    <w:rsid w:val="00E51242"/>
    <w:rsid w:val="00E54FE7"/>
    <w:rsid w:val="00E56092"/>
    <w:rsid w:val="00E67D1A"/>
    <w:rsid w:val="00E7188C"/>
    <w:rsid w:val="00E97405"/>
    <w:rsid w:val="00EA3A4B"/>
    <w:rsid w:val="00EB7827"/>
    <w:rsid w:val="00EE1393"/>
    <w:rsid w:val="00F161CC"/>
    <w:rsid w:val="00F4298A"/>
    <w:rsid w:val="00F62366"/>
    <w:rsid w:val="00F905D3"/>
    <w:rsid w:val="00FB760B"/>
    <w:rsid w:val="00FB7C57"/>
    <w:rsid w:val="00FF14E6"/>
    <w:rsid w:val="00FF5C8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2366"/>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6C1507"/>
    <w:rPr>
      <w:color w:val="000000"/>
      <w:u w:val="none"/>
      <w:effect w:val="none"/>
    </w:rPr>
  </w:style>
  <w:style w:type="paragraph" w:styleId="a4">
    <w:name w:val="Normal (Web)"/>
    <w:basedOn w:val="a"/>
    <w:uiPriority w:val="99"/>
    <w:rsid w:val="006C1507"/>
    <w:pPr>
      <w:widowControl/>
      <w:spacing w:before="100" w:beforeAutospacing="1" w:after="100" w:afterAutospacing="1"/>
      <w:jc w:val="left"/>
    </w:pPr>
    <w:rPr>
      <w:rFonts w:ascii="宋体" w:hAnsi="宋体" w:cs="宋体"/>
      <w:kern w:val="0"/>
      <w:sz w:val="24"/>
      <w:szCs w:val="24"/>
    </w:rPr>
  </w:style>
  <w:style w:type="paragraph" w:styleId="a5">
    <w:name w:val="Balloon Text"/>
    <w:basedOn w:val="a"/>
    <w:link w:val="Char"/>
    <w:uiPriority w:val="99"/>
    <w:semiHidden/>
    <w:rsid w:val="00FF5C8E"/>
    <w:rPr>
      <w:sz w:val="18"/>
      <w:szCs w:val="18"/>
    </w:rPr>
  </w:style>
  <w:style w:type="character" w:customStyle="1" w:styleId="Char">
    <w:name w:val="批注框文本 Char"/>
    <w:basedOn w:val="a0"/>
    <w:link w:val="a5"/>
    <w:uiPriority w:val="99"/>
    <w:semiHidden/>
    <w:rsid w:val="00DE0523"/>
    <w:rPr>
      <w:sz w:val="0"/>
      <w:szCs w:val="0"/>
    </w:rPr>
  </w:style>
  <w:style w:type="paragraph" w:styleId="a6">
    <w:name w:val="header"/>
    <w:basedOn w:val="a"/>
    <w:link w:val="Char0"/>
    <w:uiPriority w:val="99"/>
    <w:rsid w:val="00B1594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locked/>
    <w:rsid w:val="00B15947"/>
    <w:rPr>
      <w:kern w:val="2"/>
      <w:sz w:val="18"/>
      <w:szCs w:val="18"/>
    </w:rPr>
  </w:style>
  <w:style w:type="paragraph" w:styleId="a7">
    <w:name w:val="footer"/>
    <w:basedOn w:val="a"/>
    <w:link w:val="Char1"/>
    <w:uiPriority w:val="99"/>
    <w:rsid w:val="00B15947"/>
    <w:pPr>
      <w:tabs>
        <w:tab w:val="center" w:pos="4153"/>
        <w:tab w:val="right" w:pos="8306"/>
      </w:tabs>
      <w:snapToGrid w:val="0"/>
      <w:jc w:val="left"/>
    </w:pPr>
    <w:rPr>
      <w:sz w:val="18"/>
      <w:szCs w:val="18"/>
    </w:rPr>
  </w:style>
  <w:style w:type="character" w:customStyle="1" w:styleId="Char1">
    <w:name w:val="页脚 Char"/>
    <w:basedOn w:val="a0"/>
    <w:link w:val="a7"/>
    <w:uiPriority w:val="99"/>
    <w:locked/>
    <w:rsid w:val="00B15947"/>
    <w:rPr>
      <w:kern w:val="2"/>
      <w:sz w:val="18"/>
      <w:szCs w:val="18"/>
    </w:rPr>
  </w:style>
  <w:style w:type="paragraph" w:styleId="a8">
    <w:name w:val="Date"/>
    <w:basedOn w:val="a"/>
    <w:next w:val="a"/>
    <w:link w:val="Char2"/>
    <w:uiPriority w:val="99"/>
    <w:semiHidden/>
    <w:unhideWhenUsed/>
    <w:rsid w:val="005478D8"/>
    <w:pPr>
      <w:ind w:leftChars="2500" w:left="100"/>
    </w:pPr>
  </w:style>
  <w:style w:type="character" w:customStyle="1" w:styleId="Char2">
    <w:name w:val="日期 Char"/>
    <w:basedOn w:val="a0"/>
    <w:link w:val="a8"/>
    <w:uiPriority w:val="99"/>
    <w:semiHidden/>
    <w:rsid w:val="005478D8"/>
    <w:rPr>
      <w:kern w:val="2"/>
      <w:sz w:val="21"/>
      <w:szCs w:val="21"/>
    </w:rPr>
  </w:style>
  <w:style w:type="paragraph" w:customStyle="1" w:styleId="Default">
    <w:name w:val="Default"/>
    <w:rsid w:val="003B24CF"/>
    <w:pPr>
      <w:widowControl w:val="0"/>
      <w:autoSpaceDE w:val="0"/>
      <w:autoSpaceDN w:val="0"/>
      <w:adjustRightInd w:val="0"/>
    </w:pPr>
    <w:rPr>
      <w:color w:val="000000"/>
      <w:sz w:val="24"/>
      <w:szCs w:val="24"/>
    </w:rPr>
  </w:style>
  <w:style w:type="table" w:styleId="a9">
    <w:name w:val="Table Grid"/>
    <w:basedOn w:val="a1"/>
    <w:uiPriority w:val="59"/>
    <w:rsid w:val="00E262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7585350">
      <w:bodyDiv w:val="1"/>
      <w:marLeft w:val="0"/>
      <w:marRight w:val="0"/>
      <w:marTop w:val="0"/>
      <w:marBottom w:val="0"/>
      <w:divBdr>
        <w:top w:val="none" w:sz="0" w:space="0" w:color="auto"/>
        <w:left w:val="none" w:sz="0" w:space="0" w:color="auto"/>
        <w:bottom w:val="none" w:sz="0" w:space="0" w:color="auto"/>
        <w:right w:val="none" w:sz="0" w:space="0" w:color="auto"/>
      </w:divBdr>
    </w:div>
    <w:div w:id="185169706">
      <w:bodyDiv w:val="1"/>
      <w:marLeft w:val="0"/>
      <w:marRight w:val="0"/>
      <w:marTop w:val="0"/>
      <w:marBottom w:val="0"/>
      <w:divBdr>
        <w:top w:val="none" w:sz="0" w:space="0" w:color="auto"/>
        <w:left w:val="none" w:sz="0" w:space="0" w:color="auto"/>
        <w:bottom w:val="none" w:sz="0" w:space="0" w:color="auto"/>
        <w:right w:val="none" w:sz="0" w:space="0" w:color="auto"/>
      </w:divBdr>
    </w:div>
    <w:div w:id="234781184">
      <w:bodyDiv w:val="1"/>
      <w:marLeft w:val="0"/>
      <w:marRight w:val="0"/>
      <w:marTop w:val="0"/>
      <w:marBottom w:val="0"/>
      <w:divBdr>
        <w:top w:val="none" w:sz="0" w:space="0" w:color="auto"/>
        <w:left w:val="none" w:sz="0" w:space="0" w:color="auto"/>
        <w:bottom w:val="none" w:sz="0" w:space="0" w:color="auto"/>
        <w:right w:val="none" w:sz="0" w:space="0" w:color="auto"/>
      </w:divBdr>
    </w:div>
    <w:div w:id="342706271">
      <w:bodyDiv w:val="1"/>
      <w:marLeft w:val="0"/>
      <w:marRight w:val="0"/>
      <w:marTop w:val="0"/>
      <w:marBottom w:val="0"/>
      <w:divBdr>
        <w:top w:val="none" w:sz="0" w:space="0" w:color="auto"/>
        <w:left w:val="none" w:sz="0" w:space="0" w:color="auto"/>
        <w:bottom w:val="none" w:sz="0" w:space="0" w:color="auto"/>
        <w:right w:val="none" w:sz="0" w:space="0" w:color="auto"/>
      </w:divBdr>
    </w:div>
    <w:div w:id="435835108">
      <w:bodyDiv w:val="1"/>
      <w:marLeft w:val="0"/>
      <w:marRight w:val="0"/>
      <w:marTop w:val="0"/>
      <w:marBottom w:val="0"/>
      <w:divBdr>
        <w:top w:val="none" w:sz="0" w:space="0" w:color="auto"/>
        <w:left w:val="none" w:sz="0" w:space="0" w:color="auto"/>
        <w:bottom w:val="none" w:sz="0" w:space="0" w:color="auto"/>
        <w:right w:val="none" w:sz="0" w:space="0" w:color="auto"/>
      </w:divBdr>
    </w:div>
    <w:div w:id="467206742">
      <w:bodyDiv w:val="1"/>
      <w:marLeft w:val="0"/>
      <w:marRight w:val="0"/>
      <w:marTop w:val="0"/>
      <w:marBottom w:val="0"/>
      <w:divBdr>
        <w:top w:val="none" w:sz="0" w:space="0" w:color="auto"/>
        <w:left w:val="none" w:sz="0" w:space="0" w:color="auto"/>
        <w:bottom w:val="none" w:sz="0" w:space="0" w:color="auto"/>
        <w:right w:val="none" w:sz="0" w:space="0" w:color="auto"/>
      </w:divBdr>
    </w:div>
    <w:div w:id="562058202">
      <w:bodyDiv w:val="1"/>
      <w:marLeft w:val="0"/>
      <w:marRight w:val="0"/>
      <w:marTop w:val="0"/>
      <w:marBottom w:val="0"/>
      <w:divBdr>
        <w:top w:val="none" w:sz="0" w:space="0" w:color="auto"/>
        <w:left w:val="none" w:sz="0" w:space="0" w:color="auto"/>
        <w:bottom w:val="none" w:sz="0" w:space="0" w:color="auto"/>
        <w:right w:val="none" w:sz="0" w:space="0" w:color="auto"/>
      </w:divBdr>
    </w:div>
    <w:div w:id="614093540">
      <w:bodyDiv w:val="1"/>
      <w:marLeft w:val="0"/>
      <w:marRight w:val="0"/>
      <w:marTop w:val="0"/>
      <w:marBottom w:val="0"/>
      <w:divBdr>
        <w:top w:val="none" w:sz="0" w:space="0" w:color="auto"/>
        <w:left w:val="none" w:sz="0" w:space="0" w:color="auto"/>
        <w:bottom w:val="none" w:sz="0" w:space="0" w:color="auto"/>
        <w:right w:val="none" w:sz="0" w:space="0" w:color="auto"/>
      </w:divBdr>
    </w:div>
    <w:div w:id="713428806">
      <w:bodyDiv w:val="1"/>
      <w:marLeft w:val="0"/>
      <w:marRight w:val="0"/>
      <w:marTop w:val="0"/>
      <w:marBottom w:val="0"/>
      <w:divBdr>
        <w:top w:val="none" w:sz="0" w:space="0" w:color="auto"/>
        <w:left w:val="none" w:sz="0" w:space="0" w:color="auto"/>
        <w:bottom w:val="none" w:sz="0" w:space="0" w:color="auto"/>
        <w:right w:val="none" w:sz="0" w:space="0" w:color="auto"/>
      </w:divBdr>
    </w:div>
    <w:div w:id="744955940">
      <w:bodyDiv w:val="1"/>
      <w:marLeft w:val="0"/>
      <w:marRight w:val="0"/>
      <w:marTop w:val="0"/>
      <w:marBottom w:val="0"/>
      <w:divBdr>
        <w:top w:val="none" w:sz="0" w:space="0" w:color="auto"/>
        <w:left w:val="none" w:sz="0" w:space="0" w:color="auto"/>
        <w:bottom w:val="none" w:sz="0" w:space="0" w:color="auto"/>
        <w:right w:val="none" w:sz="0" w:space="0" w:color="auto"/>
      </w:divBdr>
    </w:div>
    <w:div w:id="787240559">
      <w:bodyDiv w:val="1"/>
      <w:marLeft w:val="0"/>
      <w:marRight w:val="0"/>
      <w:marTop w:val="0"/>
      <w:marBottom w:val="0"/>
      <w:divBdr>
        <w:top w:val="none" w:sz="0" w:space="0" w:color="auto"/>
        <w:left w:val="none" w:sz="0" w:space="0" w:color="auto"/>
        <w:bottom w:val="none" w:sz="0" w:space="0" w:color="auto"/>
        <w:right w:val="none" w:sz="0" w:space="0" w:color="auto"/>
      </w:divBdr>
    </w:div>
    <w:div w:id="820854032">
      <w:bodyDiv w:val="1"/>
      <w:marLeft w:val="0"/>
      <w:marRight w:val="0"/>
      <w:marTop w:val="0"/>
      <w:marBottom w:val="0"/>
      <w:divBdr>
        <w:top w:val="none" w:sz="0" w:space="0" w:color="auto"/>
        <w:left w:val="none" w:sz="0" w:space="0" w:color="auto"/>
        <w:bottom w:val="none" w:sz="0" w:space="0" w:color="auto"/>
        <w:right w:val="none" w:sz="0" w:space="0" w:color="auto"/>
      </w:divBdr>
    </w:div>
    <w:div w:id="823862140">
      <w:bodyDiv w:val="1"/>
      <w:marLeft w:val="0"/>
      <w:marRight w:val="0"/>
      <w:marTop w:val="0"/>
      <w:marBottom w:val="0"/>
      <w:divBdr>
        <w:top w:val="none" w:sz="0" w:space="0" w:color="auto"/>
        <w:left w:val="none" w:sz="0" w:space="0" w:color="auto"/>
        <w:bottom w:val="none" w:sz="0" w:space="0" w:color="auto"/>
        <w:right w:val="none" w:sz="0" w:space="0" w:color="auto"/>
      </w:divBdr>
    </w:div>
    <w:div w:id="862401316">
      <w:bodyDiv w:val="1"/>
      <w:marLeft w:val="0"/>
      <w:marRight w:val="0"/>
      <w:marTop w:val="0"/>
      <w:marBottom w:val="0"/>
      <w:divBdr>
        <w:top w:val="none" w:sz="0" w:space="0" w:color="auto"/>
        <w:left w:val="none" w:sz="0" w:space="0" w:color="auto"/>
        <w:bottom w:val="none" w:sz="0" w:space="0" w:color="auto"/>
        <w:right w:val="none" w:sz="0" w:space="0" w:color="auto"/>
      </w:divBdr>
    </w:div>
    <w:div w:id="871766549">
      <w:bodyDiv w:val="1"/>
      <w:marLeft w:val="0"/>
      <w:marRight w:val="0"/>
      <w:marTop w:val="0"/>
      <w:marBottom w:val="0"/>
      <w:divBdr>
        <w:top w:val="none" w:sz="0" w:space="0" w:color="auto"/>
        <w:left w:val="none" w:sz="0" w:space="0" w:color="auto"/>
        <w:bottom w:val="none" w:sz="0" w:space="0" w:color="auto"/>
        <w:right w:val="none" w:sz="0" w:space="0" w:color="auto"/>
      </w:divBdr>
    </w:div>
    <w:div w:id="908080969">
      <w:bodyDiv w:val="1"/>
      <w:marLeft w:val="0"/>
      <w:marRight w:val="0"/>
      <w:marTop w:val="0"/>
      <w:marBottom w:val="0"/>
      <w:divBdr>
        <w:top w:val="none" w:sz="0" w:space="0" w:color="auto"/>
        <w:left w:val="none" w:sz="0" w:space="0" w:color="auto"/>
        <w:bottom w:val="none" w:sz="0" w:space="0" w:color="auto"/>
        <w:right w:val="none" w:sz="0" w:space="0" w:color="auto"/>
      </w:divBdr>
    </w:div>
    <w:div w:id="976566628">
      <w:bodyDiv w:val="1"/>
      <w:marLeft w:val="0"/>
      <w:marRight w:val="0"/>
      <w:marTop w:val="0"/>
      <w:marBottom w:val="0"/>
      <w:divBdr>
        <w:top w:val="none" w:sz="0" w:space="0" w:color="auto"/>
        <w:left w:val="none" w:sz="0" w:space="0" w:color="auto"/>
        <w:bottom w:val="none" w:sz="0" w:space="0" w:color="auto"/>
        <w:right w:val="none" w:sz="0" w:space="0" w:color="auto"/>
      </w:divBdr>
    </w:div>
    <w:div w:id="981426572">
      <w:bodyDiv w:val="1"/>
      <w:marLeft w:val="0"/>
      <w:marRight w:val="0"/>
      <w:marTop w:val="0"/>
      <w:marBottom w:val="0"/>
      <w:divBdr>
        <w:top w:val="none" w:sz="0" w:space="0" w:color="auto"/>
        <w:left w:val="none" w:sz="0" w:space="0" w:color="auto"/>
        <w:bottom w:val="none" w:sz="0" w:space="0" w:color="auto"/>
        <w:right w:val="none" w:sz="0" w:space="0" w:color="auto"/>
      </w:divBdr>
    </w:div>
    <w:div w:id="1112629616">
      <w:bodyDiv w:val="1"/>
      <w:marLeft w:val="0"/>
      <w:marRight w:val="0"/>
      <w:marTop w:val="0"/>
      <w:marBottom w:val="0"/>
      <w:divBdr>
        <w:top w:val="none" w:sz="0" w:space="0" w:color="auto"/>
        <w:left w:val="none" w:sz="0" w:space="0" w:color="auto"/>
        <w:bottom w:val="none" w:sz="0" w:space="0" w:color="auto"/>
        <w:right w:val="none" w:sz="0" w:space="0" w:color="auto"/>
      </w:divBdr>
    </w:div>
    <w:div w:id="1158427299">
      <w:bodyDiv w:val="1"/>
      <w:marLeft w:val="0"/>
      <w:marRight w:val="0"/>
      <w:marTop w:val="0"/>
      <w:marBottom w:val="0"/>
      <w:divBdr>
        <w:top w:val="none" w:sz="0" w:space="0" w:color="auto"/>
        <w:left w:val="none" w:sz="0" w:space="0" w:color="auto"/>
        <w:bottom w:val="none" w:sz="0" w:space="0" w:color="auto"/>
        <w:right w:val="none" w:sz="0" w:space="0" w:color="auto"/>
      </w:divBdr>
    </w:div>
    <w:div w:id="1229223154">
      <w:bodyDiv w:val="1"/>
      <w:marLeft w:val="0"/>
      <w:marRight w:val="0"/>
      <w:marTop w:val="0"/>
      <w:marBottom w:val="0"/>
      <w:divBdr>
        <w:top w:val="none" w:sz="0" w:space="0" w:color="auto"/>
        <w:left w:val="none" w:sz="0" w:space="0" w:color="auto"/>
        <w:bottom w:val="none" w:sz="0" w:space="0" w:color="auto"/>
        <w:right w:val="none" w:sz="0" w:space="0" w:color="auto"/>
      </w:divBdr>
    </w:div>
    <w:div w:id="1229918606">
      <w:marLeft w:val="0"/>
      <w:marRight w:val="0"/>
      <w:marTop w:val="0"/>
      <w:marBottom w:val="0"/>
      <w:divBdr>
        <w:top w:val="none" w:sz="0" w:space="0" w:color="auto"/>
        <w:left w:val="none" w:sz="0" w:space="0" w:color="auto"/>
        <w:bottom w:val="none" w:sz="0" w:space="0" w:color="auto"/>
        <w:right w:val="none" w:sz="0" w:space="0" w:color="auto"/>
      </w:divBdr>
      <w:divsChild>
        <w:div w:id="1229918608">
          <w:marLeft w:val="0"/>
          <w:marRight w:val="0"/>
          <w:marTop w:val="0"/>
          <w:marBottom w:val="0"/>
          <w:divBdr>
            <w:top w:val="none" w:sz="0" w:space="0" w:color="auto"/>
            <w:left w:val="none" w:sz="0" w:space="0" w:color="auto"/>
            <w:bottom w:val="none" w:sz="0" w:space="0" w:color="auto"/>
            <w:right w:val="none" w:sz="0" w:space="0" w:color="auto"/>
          </w:divBdr>
          <w:divsChild>
            <w:div w:id="1229918605">
              <w:marLeft w:val="0"/>
              <w:marRight w:val="0"/>
              <w:marTop w:val="0"/>
              <w:marBottom w:val="0"/>
              <w:divBdr>
                <w:top w:val="none" w:sz="0" w:space="0" w:color="auto"/>
                <w:left w:val="none" w:sz="0" w:space="0" w:color="auto"/>
                <w:bottom w:val="none" w:sz="0" w:space="0" w:color="auto"/>
                <w:right w:val="none" w:sz="0" w:space="0" w:color="auto"/>
              </w:divBdr>
              <w:divsChild>
                <w:div w:id="1229918609">
                  <w:marLeft w:val="0"/>
                  <w:marRight w:val="0"/>
                  <w:marTop w:val="150"/>
                  <w:marBottom w:val="150"/>
                  <w:divBdr>
                    <w:top w:val="none" w:sz="0" w:space="0" w:color="auto"/>
                    <w:left w:val="none" w:sz="0" w:space="0" w:color="auto"/>
                    <w:bottom w:val="none" w:sz="0" w:space="0" w:color="auto"/>
                    <w:right w:val="none" w:sz="0" w:space="0" w:color="auto"/>
                  </w:divBdr>
                </w:div>
              </w:divsChild>
            </w:div>
            <w:div w:id="1229918610">
              <w:marLeft w:val="0"/>
              <w:marRight w:val="0"/>
              <w:marTop w:val="0"/>
              <w:marBottom w:val="0"/>
              <w:divBdr>
                <w:top w:val="none" w:sz="0" w:space="0" w:color="auto"/>
                <w:left w:val="none" w:sz="0" w:space="0" w:color="auto"/>
                <w:bottom w:val="dashed" w:sz="6" w:space="8" w:color="8E8E8E"/>
                <w:right w:val="none" w:sz="0" w:space="0" w:color="auto"/>
              </w:divBdr>
            </w:div>
          </w:divsChild>
        </w:div>
      </w:divsChild>
    </w:div>
    <w:div w:id="1229918607">
      <w:marLeft w:val="0"/>
      <w:marRight w:val="0"/>
      <w:marTop w:val="0"/>
      <w:marBottom w:val="0"/>
      <w:divBdr>
        <w:top w:val="none" w:sz="0" w:space="0" w:color="auto"/>
        <w:left w:val="none" w:sz="0" w:space="0" w:color="auto"/>
        <w:bottom w:val="none" w:sz="0" w:space="0" w:color="auto"/>
        <w:right w:val="none" w:sz="0" w:space="0" w:color="auto"/>
      </w:divBdr>
    </w:div>
    <w:div w:id="1258519121">
      <w:bodyDiv w:val="1"/>
      <w:marLeft w:val="0"/>
      <w:marRight w:val="0"/>
      <w:marTop w:val="0"/>
      <w:marBottom w:val="0"/>
      <w:divBdr>
        <w:top w:val="none" w:sz="0" w:space="0" w:color="auto"/>
        <w:left w:val="none" w:sz="0" w:space="0" w:color="auto"/>
        <w:bottom w:val="none" w:sz="0" w:space="0" w:color="auto"/>
        <w:right w:val="none" w:sz="0" w:space="0" w:color="auto"/>
      </w:divBdr>
    </w:div>
    <w:div w:id="1265190566">
      <w:bodyDiv w:val="1"/>
      <w:marLeft w:val="0"/>
      <w:marRight w:val="0"/>
      <w:marTop w:val="0"/>
      <w:marBottom w:val="0"/>
      <w:divBdr>
        <w:top w:val="none" w:sz="0" w:space="0" w:color="auto"/>
        <w:left w:val="none" w:sz="0" w:space="0" w:color="auto"/>
        <w:bottom w:val="none" w:sz="0" w:space="0" w:color="auto"/>
        <w:right w:val="none" w:sz="0" w:space="0" w:color="auto"/>
      </w:divBdr>
    </w:div>
    <w:div w:id="1337221782">
      <w:bodyDiv w:val="1"/>
      <w:marLeft w:val="0"/>
      <w:marRight w:val="0"/>
      <w:marTop w:val="0"/>
      <w:marBottom w:val="0"/>
      <w:divBdr>
        <w:top w:val="none" w:sz="0" w:space="0" w:color="auto"/>
        <w:left w:val="none" w:sz="0" w:space="0" w:color="auto"/>
        <w:bottom w:val="none" w:sz="0" w:space="0" w:color="auto"/>
        <w:right w:val="none" w:sz="0" w:space="0" w:color="auto"/>
      </w:divBdr>
    </w:div>
    <w:div w:id="1455320116">
      <w:bodyDiv w:val="1"/>
      <w:marLeft w:val="0"/>
      <w:marRight w:val="0"/>
      <w:marTop w:val="0"/>
      <w:marBottom w:val="0"/>
      <w:divBdr>
        <w:top w:val="none" w:sz="0" w:space="0" w:color="auto"/>
        <w:left w:val="none" w:sz="0" w:space="0" w:color="auto"/>
        <w:bottom w:val="none" w:sz="0" w:space="0" w:color="auto"/>
        <w:right w:val="none" w:sz="0" w:space="0" w:color="auto"/>
      </w:divBdr>
    </w:div>
    <w:div w:id="1614361213">
      <w:bodyDiv w:val="1"/>
      <w:marLeft w:val="0"/>
      <w:marRight w:val="0"/>
      <w:marTop w:val="0"/>
      <w:marBottom w:val="0"/>
      <w:divBdr>
        <w:top w:val="none" w:sz="0" w:space="0" w:color="auto"/>
        <w:left w:val="none" w:sz="0" w:space="0" w:color="auto"/>
        <w:bottom w:val="none" w:sz="0" w:space="0" w:color="auto"/>
        <w:right w:val="none" w:sz="0" w:space="0" w:color="auto"/>
      </w:divBdr>
    </w:div>
    <w:div w:id="1691642185">
      <w:bodyDiv w:val="1"/>
      <w:marLeft w:val="0"/>
      <w:marRight w:val="0"/>
      <w:marTop w:val="0"/>
      <w:marBottom w:val="0"/>
      <w:divBdr>
        <w:top w:val="none" w:sz="0" w:space="0" w:color="auto"/>
        <w:left w:val="none" w:sz="0" w:space="0" w:color="auto"/>
        <w:bottom w:val="none" w:sz="0" w:space="0" w:color="auto"/>
        <w:right w:val="none" w:sz="0" w:space="0" w:color="auto"/>
      </w:divBdr>
    </w:div>
    <w:div w:id="1803573996">
      <w:bodyDiv w:val="1"/>
      <w:marLeft w:val="0"/>
      <w:marRight w:val="0"/>
      <w:marTop w:val="0"/>
      <w:marBottom w:val="0"/>
      <w:divBdr>
        <w:top w:val="none" w:sz="0" w:space="0" w:color="auto"/>
        <w:left w:val="none" w:sz="0" w:space="0" w:color="auto"/>
        <w:bottom w:val="none" w:sz="0" w:space="0" w:color="auto"/>
        <w:right w:val="none" w:sz="0" w:space="0" w:color="auto"/>
      </w:divBdr>
    </w:div>
    <w:div w:id="1818840906">
      <w:bodyDiv w:val="1"/>
      <w:marLeft w:val="0"/>
      <w:marRight w:val="0"/>
      <w:marTop w:val="0"/>
      <w:marBottom w:val="0"/>
      <w:divBdr>
        <w:top w:val="none" w:sz="0" w:space="0" w:color="auto"/>
        <w:left w:val="none" w:sz="0" w:space="0" w:color="auto"/>
        <w:bottom w:val="none" w:sz="0" w:space="0" w:color="auto"/>
        <w:right w:val="none" w:sz="0" w:space="0" w:color="auto"/>
      </w:divBdr>
    </w:div>
    <w:div w:id="1849905222">
      <w:bodyDiv w:val="1"/>
      <w:marLeft w:val="0"/>
      <w:marRight w:val="0"/>
      <w:marTop w:val="0"/>
      <w:marBottom w:val="0"/>
      <w:divBdr>
        <w:top w:val="none" w:sz="0" w:space="0" w:color="auto"/>
        <w:left w:val="none" w:sz="0" w:space="0" w:color="auto"/>
        <w:bottom w:val="none" w:sz="0" w:space="0" w:color="auto"/>
        <w:right w:val="none" w:sz="0" w:space="0" w:color="auto"/>
      </w:divBdr>
    </w:div>
    <w:div w:id="1914973681">
      <w:bodyDiv w:val="1"/>
      <w:marLeft w:val="0"/>
      <w:marRight w:val="0"/>
      <w:marTop w:val="0"/>
      <w:marBottom w:val="0"/>
      <w:divBdr>
        <w:top w:val="none" w:sz="0" w:space="0" w:color="auto"/>
        <w:left w:val="none" w:sz="0" w:space="0" w:color="auto"/>
        <w:bottom w:val="none" w:sz="0" w:space="0" w:color="auto"/>
        <w:right w:val="none" w:sz="0" w:space="0" w:color="auto"/>
      </w:divBdr>
    </w:div>
    <w:div w:id="2062244553">
      <w:bodyDiv w:val="1"/>
      <w:marLeft w:val="0"/>
      <w:marRight w:val="0"/>
      <w:marTop w:val="0"/>
      <w:marBottom w:val="0"/>
      <w:divBdr>
        <w:top w:val="none" w:sz="0" w:space="0" w:color="auto"/>
        <w:left w:val="none" w:sz="0" w:space="0" w:color="auto"/>
        <w:bottom w:val="none" w:sz="0" w:space="0" w:color="auto"/>
        <w:right w:val="none" w:sz="0" w:space="0" w:color="auto"/>
      </w:divBdr>
    </w:div>
    <w:div w:id="2097092850">
      <w:bodyDiv w:val="1"/>
      <w:marLeft w:val="0"/>
      <w:marRight w:val="0"/>
      <w:marTop w:val="0"/>
      <w:marBottom w:val="0"/>
      <w:divBdr>
        <w:top w:val="none" w:sz="0" w:space="0" w:color="auto"/>
        <w:left w:val="none" w:sz="0" w:space="0" w:color="auto"/>
        <w:bottom w:val="none" w:sz="0" w:space="0" w:color="auto"/>
        <w:right w:val="none" w:sz="0" w:space="0" w:color="auto"/>
      </w:divBdr>
    </w:div>
    <w:div w:id="2110074981">
      <w:bodyDiv w:val="1"/>
      <w:marLeft w:val="0"/>
      <w:marRight w:val="0"/>
      <w:marTop w:val="0"/>
      <w:marBottom w:val="0"/>
      <w:divBdr>
        <w:top w:val="none" w:sz="0" w:space="0" w:color="auto"/>
        <w:left w:val="none" w:sz="0" w:space="0" w:color="auto"/>
        <w:bottom w:val="none" w:sz="0" w:space="0" w:color="auto"/>
        <w:right w:val="none" w:sz="0" w:space="0" w:color="auto"/>
      </w:divBdr>
    </w:div>
    <w:div w:id="2113042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145</Words>
  <Characters>831</Characters>
  <Application>Microsoft Office Word</Application>
  <DocSecurity>4</DocSecurity>
  <Lines>6</Lines>
  <Paragraphs>1</Paragraphs>
  <ScaleCrop>false</ScaleCrop>
  <Company>ICBCOA</Company>
  <LinksUpToDate>false</LinksUpToDate>
  <CharactersWithSpaces>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工银瑞信基金管理有限公司关于旗下基金申购天音控股股份有限公司非公开发行股票的公告 </dc:title>
  <dc:creator>GYJJ</dc:creator>
  <cp:lastModifiedBy>JonMMx 2000</cp:lastModifiedBy>
  <cp:revision>2</cp:revision>
  <cp:lastPrinted>2015-11-16T03:13:00Z</cp:lastPrinted>
  <dcterms:created xsi:type="dcterms:W3CDTF">2019-12-19T16:01:00Z</dcterms:created>
  <dcterms:modified xsi:type="dcterms:W3CDTF">2019-12-19T16:01:00Z</dcterms:modified>
</cp:coreProperties>
</file>