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E1" w:rsidRPr="00971B82" w:rsidRDefault="009424D1" w:rsidP="00151A9C">
      <w:pPr>
        <w:spacing w:line="360" w:lineRule="auto"/>
        <w:jc w:val="center"/>
        <w:rPr>
          <w:b/>
          <w:spacing w:val="-2"/>
          <w:sz w:val="24"/>
          <w:szCs w:val="24"/>
        </w:rPr>
      </w:pPr>
      <w:r w:rsidRPr="00971B82">
        <w:rPr>
          <w:rFonts w:hint="eastAsia"/>
          <w:b/>
          <w:spacing w:val="-2"/>
          <w:sz w:val="24"/>
          <w:szCs w:val="24"/>
        </w:rPr>
        <w:t>诺安基金管理有限公司关于</w:t>
      </w:r>
      <w:r w:rsidR="008C08C0" w:rsidRPr="00971B82">
        <w:rPr>
          <w:rFonts w:hint="eastAsia"/>
          <w:b/>
          <w:spacing w:val="-2"/>
          <w:sz w:val="24"/>
          <w:szCs w:val="24"/>
        </w:rPr>
        <w:t>诺安永鑫收益一年定期开放债券型证券投资基金</w:t>
      </w:r>
      <w:r w:rsidR="00D366BC" w:rsidRPr="00971B82">
        <w:rPr>
          <w:rFonts w:hint="eastAsia"/>
          <w:b/>
          <w:spacing w:val="-2"/>
          <w:sz w:val="24"/>
          <w:szCs w:val="24"/>
        </w:rPr>
        <w:t>清算</w:t>
      </w:r>
      <w:r w:rsidR="00D366BC" w:rsidRPr="00971B82">
        <w:rPr>
          <w:b/>
          <w:spacing w:val="-2"/>
          <w:sz w:val="24"/>
          <w:szCs w:val="24"/>
        </w:rPr>
        <w:t>报告</w:t>
      </w:r>
    </w:p>
    <w:p w:rsidR="000639F4" w:rsidRPr="00151A9C" w:rsidRDefault="000639F4" w:rsidP="00151A9C">
      <w:pPr>
        <w:spacing w:line="360" w:lineRule="auto"/>
        <w:rPr>
          <w:b/>
          <w:spacing w:val="-2"/>
          <w:szCs w:val="21"/>
        </w:rPr>
      </w:pPr>
    </w:p>
    <w:p w:rsidR="000639F4" w:rsidRPr="00151A9C" w:rsidRDefault="000639F4" w:rsidP="00151A9C">
      <w:pPr>
        <w:spacing w:line="360" w:lineRule="auto"/>
        <w:ind w:firstLine="964"/>
        <w:jc w:val="left"/>
        <w:rPr>
          <w:rFonts w:ascii="宋体" w:eastAsiaTheme="minorEastAsia" w:hAnsi="宋体" w:cstheme="minorBidi"/>
          <w:b/>
          <w:szCs w:val="21"/>
        </w:rPr>
      </w:pPr>
      <w:r w:rsidRPr="00151A9C">
        <w:rPr>
          <w:rFonts w:ascii="宋体" w:eastAsiaTheme="minorEastAsia" w:hAnsi="宋体" w:cstheme="minorBidi" w:hint="eastAsia"/>
          <w:b/>
          <w:szCs w:val="21"/>
        </w:rPr>
        <w:t>基金管理人：诺安基金管理有限公司</w:t>
      </w:r>
    </w:p>
    <w:p w:rsidR="000639F4" w:rsidRPr="00151A9C" w:rsidRDefault="000639F4" w:rsidP="00151A9C">
      <w:pPr>
        <w:spacing w:line="360" w:lineRule="auto"/>
        <w:ind w:firstLine="964"/>
        <w:jc w:val="left"/>
        <w:rPr>
          <w:rFonts w:ascii="宋体" w:eastAsiaTheme="minorEastAsia" w:hAnsi="宋体" w:cstheme="minorBidi"/>
          <w:b/>
          <w:szCs w:val="21"/>
        </w:rPr>
      </w:pPr>
      <w:r w:rsidRPr="00151A9C">
        <w:rPr>
          <w:rFonts w:ascii="宋体" w:eastAsiaTheme="minorEastAsia" w:hAnsi="宋体" w:cstheme="minorBidi" w:hint="eastAsia"/>
          <w:b/>
          <w:szCs w:val="21"/>
        </w:rPr>
        <w:t>基金托管人：</w:t>
      </w:r>
      <w:r w:rsidR="008C08C0" w:rsidRPr="00151A9C">
        <w:rPr>
          <w:rFonts w:ascii="宋体" w:eastAsiaTheme="minorEastAsia" w:hAnsi="宋体" w:cstheme="minorBidi" w:hint="eastAsia"/>
          <w:b/>
          <w:szCs w:val="21"/>
        </w:rPr>
        <w:t>中国农业银行股份有限公司</w:t>
      </w:r>
    </w:p>
    <w:p w:rsidR="00D366BC" w:rsidRPr="00151A9C" w:rsidRDefault="000639F4" w:rsidP="00151A9C">
      <w:pPr>
        <w:spacing w:line="360" w:lineRule="auto"/>
        <w:ind w:firstLine="964"/>
        <w:jc w:val="left"/>
        <w:rPr>
          <w:rFonts w:ascii="宋体" w:eastAsiaTheme="minorEastAsia" w:hAnsi="宋体" w:cstheme="minorBidi"/>
          <w:b/>
          <w:szCs w:val="21"/>
        </w:rPr>
      </w:pPr>
      <w:r w:rsidRPr="00151A9C">
        <w:rPr>
          <w:rFonts w:ascii="宋体" w:eastAsiaTheme="minorEastAsia" w:hAnsi="宋体" w:cstheme="minorBidi" w:hint="eastAsia"/>
          <w:b/>
          <w:szCs w:val="21"/>
        </w:rPr>
        <w:t>清算报告出具日：</w:t>
      </w:r>
      <w:r w:rsidR="002D100B" w:rsidRPr="00151A9C">
        <w:rPr>
          <w:rFonts w:ascii="宋体" w:eastAsiaTheme="minorEastAsia" w:hAnsi="宋体" w:cstheme="minorBidi" w:hint="eastAsia"/>
          <w:b/>
          <w:szCs w:val="21"/>
        </w:rPr>
        <w:t>2</w:t>
      </w:r>
      <w:r w:rsidR="002D100B" w:rsidRPr="00151A9C">
        <w:rPr>
          <w:rFonts w:ascii="宋体" w:eastAsiaTheme="minorEastAsia" w:hAnsi="宋体" w:cstheme="minorBidi"/>
          <w:b/>
          <w:szCs w:val="21"/>
        </w:rPr>
        <w:t>01</w:t>
      </w:r>
      <w:r w:rsidR="002D100B" w:rsidRPr="00151A9C">
        <w:rPr>
          <w:rFonts w:ascii="宋体" w:eastAsiaTheme="minorEastAsia" w:hAnsi="宋体" w:cstheme="minorBidi" w:hint="eastAsia"/>
          <w:b/>
          <w:szCs w:val="21"/>
        </w:rPr>
        <w:t>9年</w:t>
      </w:r>
      <w:r w:rsidR="002623E8" w:rsidRPr="00151A9C">
        <w:rPr>
          <w:rFonts w:ascii="宋体" w:eastAsiaTheme="minorEastAsia" w:hAnsi="宋体" w:cstheme="minorBidi" w:hint="eastAsia"/>
          <w:b/>
          <w:szCs w:val="21"/>
        </w:rPr>
        <w:t>10</w:t>
      </w:r>
      <w:r w:rsidR="00D366BC" w:rsidRPr="00151A9C">
        <w:rPr>
          <w:rFonts w:ascii="宋体" w:eastAsiaTheme="minorEastAsia" w:hAnsi="宋体" w:cstheme="minorBidi" w:hint="eastAsia"/>
          <w:b/>
          <w:szCs w:val="21"/>
        </w:rPr>
        <w:t>月</w:t>
      </w:r>
      <w:r w:rsidR="008C08C0" w:rsidRPr="00151A9C">
        <w:rPr>
          <w:rFonts w:ascii="宋体" w:eastAsiaTheme="minorEastAsia" w:hAnsi="宋体" w:cstheme="minorBidi" w:hint="eastAsia"/>
          <w:b/>
          <w:szCs w:val="21"/>
        </w:rPr>
        <w:t>1</w:t>
      </w:r>
      <w:r w:rsidR="008C08C0" w:rsidRPr="00151A9C">
        <w:rPr>
          <w:rFonts w:ascii="宋体" w:eastAsiaTheme="minorEastAsia" w:hAnsi="宋体" w:cstheme="minorBidi"/>
          <w:b/>
          <w:szCs w:val="21"/>
        </w:rPr>
        <w:t>1</w:t>
      </w:r>
      <w:r w:rsidR="00D366BC" w:rsidRPr="00151A9C">
        <w:rPr>
          <w:rFonts w:ascii="宋体" w:eastAsiaTheme="minorEastAsia" w:hAnsi="宋体" w:cstheme="minorBidi" w:hint="eastAsia"/>
          <w:b/>
          <w:szCs w:val="21"/>
        </w:rPr>
        <w:t>日</w:t>
      </w:r>
    </w:p>
    <w:p w:rsidR="000639F4" w:rsidRPr="00151A9C" w:rsidRDefault="000639F4" w:rsidP="00151A9C">
      <w:pPr>
        <w:spacing w:line="360" w:lineRule="auto"/>
        <w:ind w:firstLine="964"/>
        <w:jc w:val="left"/>
        <w:rPr>
          <w:rFonts w:ascii="宋体" w:eastAsiaTheme="minorEastAsia" w:hAnsi="宋体" w:cstheme="minorBidi"/>
          <w:b/>
          <w:szCs w:val="21"/>
        </w:rPr>
      </w:pPr>
      <w:r w:rsidRPr="00151A9C">
        <w:rPr>
          <w:rFonts w:ascii="宋体" w:eastAsiaTheme="minorEastAsia" w:hAnsi="宋体" w:cstheme="minorBidi" w:hint="eastAsia"/>
          <w:b/>
          <w:szCs w:val="21"/>
        </w:rPr>
        <w:t>清算报告公告日：2019年12月</w:t>
      </w:r>
      <w:r w:rsidR="008C08C0" w:rsidRPr="00151A9C">
        <w:rPr>
          <w:rFonts w:ascii="宋体" w:eastAsiaTheme="minorEastAsia" w:hAnsi="宋体" w:cstheme="minorBidi"/>
          <w:b/>
          <w:szCs w:val="21"/>
        </w:rPr>
        <w:t>17</w:t>
      </w:r>
      <w:r w:rsidRPr="00151A9C">
        <w:rPr>
          <w:rFonts w:ascii="宋体" w:eastAsiaTheme="minorEastAsia" w:hAnsi="宋体" w:cstheme="minorBidi" w:hint="eastAsia"/>
          <w:b/>
          <w:szCs w:val="21"/>
        </w:rPr>
        <w:t>日</w:t>
      </w:r>
    </w:p>
    <w:p w:rsidR="00D366BC" w:rsidRPr="00151A9C" w:rsidRDefault="00D366BC" w:rsidP="00151A9C">
      <w:pPr>
        <w:spacing w:line="360" w:lineRule="auto"/>
        <w:jc w:val="center"/>
        <w:rPr>
          <w:b/>
          <w:spacing w:val="-2"/>
          <w:szCs w:val="21"/>
        </w:rPr>
      </w:pPr>
    </w:p>
    <w:p w:rsidR="0065647F" w:rsidRPr="00151A9C" w:rsidRDefault="00052983" w:rsidP="00151A9C">
      <w:pPr>
        <w:pStyle w:val="1"/>
        <w:spacing w:line="360" w:lineRule="auto"/>
        <w:rPr>
          <w:rFonts w:asciiTheme="minorEastAsia" w:eastAsiaTheme="minorEastAsia" w:hAnsiTheme="minorEastAsia"/>
          <w:spacing w:val="-2"/>
          <w:sz w:val="21"/>
          <w:szCs w:val="21"/>
        </w:rPr>
      </w:pPr>
      <w:bookmarkStart w:id="0" w:name="_Toc25326711"/>
      <w:r w:rsidRPr="00151A9C">
        <w:rPr>
          <w:rFonts w:asciiTheme="minorEastAsia" w:eastAsiaTheme="minorEastAsia" w:hAnsiTheme="minorEastAsia" w:hint="eastAsia"/>
          <w:spacing w:val="-2"/>
          <w:sz w:val="21"/>
          <w:szCs w:val="21"/>
        </w:rPr>
        <w:t>一</w:t>
      </w:r>
      <w:r w:rsidRPr="00151A9C">
        <w:rPr>
          <w:rFonts w:asciiTheme="minorEastAsia" w:eastAsiaTheme="minorEastAsia" w:hAnsiTheme="minorEastAsia"/>
          <w:spacing w:val="-2"/>
          <w:sz w:val="21"/>
          <w:szCs w:val="21"/>
        </w:rPr>
        <w:t>、</w:t>
      </w:r>
      <w:r w:rsidR="00015944" w:rsidRPr="00151A9C">
        <w:rPr>
          <w:rFonts w:asciiTheme="minorEastAsia" w:eastAsiaTheme="minorEastAsia" w:hAnsiTheme="minorEastAsia" w:hint="eastAsia"/>
          <w:spacing w:val="-2"/>
          <w:sz w:val="21"/>
          <w:szCs w:val="21"/>
        </w:rPr>
        <w:t>重要提示</w:t>
      </w:r>
      <w:bookmarkEnd w:id="0"/>
    </w:p>
    <w:p w:rsidR="00015944" w:rsidRPr="00151A9C" w:rsidRDefault="009459C5" w:rsidP="00151A9C">
      <w:pPr>
        <w:spacing w:line="360" w:lineRule="auto"/>
        <w:ind w:firstLineChars="200" w:firstLine="420"/>
        <w:rPr>
          <w:rFonts w:asciiTheme="minorEastAsia" w:eastAsiaTheme="minorEastAsia" w:hAnsiTheme="minorEastAsia"/>
          <w:spacing w:val="-2"/>
          <w:szCs w:val="21"/>
        </w:rPr>
      </w:pPr>
      <w:r w:rsidRPr="00151A9C">
        <w:rPr>
          <w:rFonts w:hint="eastAsia"/>
          <w:color w:val="000000"/>
          <w:szCs w:val="21"/>
        </w:rPr>
        <w:t>诺安永鑫收益一年定期开放债券型</w:t>
      </w:r>
      <w:r w:rsidRPr="00151A9C">
        <w:rPr>
          <w:rFonts w:hint="eastAsia"/>
          <w:szCs w:val="21"/>
        </w:rPr>
        <w:t>证券投资基金</w:t>
      </w:r>
      <w:r w:rsidR="00A608E4" w:rsidRPr="00151A9C">
        <w:rPr>
          <w:rFonts w:asciiTheme="minorEastAsia" w:eastAsiaTheme="minorEastAsia" w:hAnsiTheme="minorEastAsia" w:hint="eastAsia"/>
          <w:spacing w:val="-2"/>
          <w:szCs w:val="21"/>
        </w:rPr>
        <w:t>经中国证券监督管理委员会</w:t>
      </w:r>
      <w:r w:rsidR="00EB7932" w:rsidRPr="00151A9C">
        <w:rPr>
          <w:rFonts w:asciiTheme="minorEastAsia" w:eastAsiaTheme="minorEastAsia" w:hAnsiTheme="minorEastAsia" w:hint="eastAsia"/>
          <w:spacing w:val="-2"/>
          <w:szCs w:val="21"/>
        </w:rPr>
        <w:t xml:space="preserve">证监许可 </w:t>
      </w:r>
      <w:r w:rsidRPr="00151A9C">
        <w:rPr>
          <w:rFonts w:asciiTheme="minorEastAsia" w:eastAsiaTheme="minorEastAsia" w:hAnsiTheme="minorEastAsia" w:hint="eastAsia"/>
          <w:spacing w:val="-2"/>
          <w:szCs w:val="21"/>
        </w:rPr>
        <w:t>【2013】1613号</w:t>
      </w:r>
      <w:r w:rsidR="00A608E4" w:rsidRPr="00151A9C">
        <w:rPr>
          <w:rFonts w:asciiTheme="minorEastAsia" w:eastAsiaTheme="minorEastAsia" w:hAnsiTheme="minorEastAsia" w:hint="eastAsia"/>
          <w:spacing w:val="-2"/>
          <w:szCs w:val="21"/>
        </w:rPr>
        <w:t>文核准募集，于</w:t>
      </w:r>
      <w:r w:rsidRPr="00151A9C">
        <w:rPr>
          <w:rFonts w:asciiTheme="minorEastAsia" w:eastAsiaTheme="minorEastAsia" w:hAnsiTheme="minorEastAsia" w:hint="eastAsia"/>
          <w:spacing w:val="-2"/>
          <w:szCs w:val="21"/>
        </w:rPr>
        <w:t>2014年6月24日</w:t>
      </w:r>
      <w:r w:rsidR="00A608E4" w:rsidRPr="00151A9C">
        <w:rPr>
          <w:rFonts w:asciiTheme="minorEastAsia" w:eastAsiaTheme="minorEastAsia" w:hAnsiTheme="minorEastAsia" w:hint="eastAsia"/>
          <w:spacing w:val="-2"/>
          <w:szCs w:val="21"/>
        </w:rPr>
        <w:t>成立并正式运作，基金托管人为</w:t>
      </w:r>
      <w:r w:rsidRPr="00151A9C">
        <w:rPr>
          <w:rFonts w:asciiTheme="minorEastAsia" w:eastAsiaTheme="minorEastAsia" w:hAnsiTheme="minorEastAsia" w:hint="eastAsia"/>
          <w:spacing w:val="-2"/>
          <w:szCs w:val="21"/>
        </w:rPr>
        <w:t>中国农业银行股份有限公司</w:t>
      </w:r>
      <w:r w:rsidR="00A608E4" w:rsidRPr="00151A9C">
        <w:rPr>
          <w:rFonts w:asciiTheme="minorEastAsia" w:eastAsiaTheme="minorEastAsia" w:hAnsiTheme="minorEastAsia" w:hint="eastAsia"/>
          <w:spacing w:val="-2"/>
          <w:szCs w:val="21"/>
        </w:rPr>
        <w:t>。</w:t>
      </w:r>
    </w:p>
    <w:p w:rsidR="00B86F38" w:rsidRPr="00151A9C" w:rsidRDefault="00B86F38" w:rsidP="00151A9C">
      <w:pPr>
        <w:spacing w:line="360" w:lineRule="auto"/>
        <w:ind w:firstLineChars="200" w:firstLine="412"/>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根据《中华人民共和国证券投资基金法》、《公开募集证券投资基金运作管理办法》、《诺安永鑫收益一年定期开放债券型证券投资基金基金合同》（以下简称“《基金合同》”）等相关法律法规的有关规定，诺安基金管理有限公司（以下简称“本公司”）于2019年9月24日在《上海证券报》和指定网站披露了《诺安永鑫收益一年定期开放债券型证券投资基金基金合同终止及基金财产清算的公告》，诺安永鑫收益一年定期开放债券型证券投资基金（以下简称“本基金”）触发基金合同终止情形，本公司按照《基金合同》有关规定对本基金的基金财产进行清算。本基金于 2019年9月24日进入基金财产清算程序。</w:t>
      </w:r>
    </w:p>
    <w:p w:rsidR="00A6579B" w:rsidRPr="00151A9C" w:rsidRDefault="00B86F38" w:rsidP="00151A9C">
      <w:pPr>
        <w:spacing w:line="360" w:lineRule="auto"/>
        <w:ind w:firstLineChars="200" w:firstLine="412"/>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本基金清算期自 2019年9月24日至 2019年10月11日止。由基金管理人诺安基金管理有限公司、基金托管人中国农业银行股份有限公司、毕马威华振会计师事务所（特殊普通合伙）和上海源泰律师事务所于2019年9月24日组成基金财产清算小组履行基金财产清算程序，并由毕马威华振会计师事务所（特殊普通合伙）对清算报告进行审计，上海源泰律师事务所对清算报告出具法律意见。</w:t>
      </w:r>
    </w:p>
    <w:p w:rsidR="004A5B8E" w:rsidRPr="00151A9C" w:rsidRDefault="004A5B8E" w:rsidP="00151A9C">
      <w:pPr>
        <w:pStyle w:val="1"/>
        <w:spacing w:line="360" w:lineRule="auto"/>
        <w:rPr>
          <w:rFonts w:asciiTheme="minorEastAsia" w:eastAsiaTheme="minorEastAsia" w:hAnsiTheme="minorEastAsia"/>
          <w:spacing w:val="-2"/>
          <w:sz w:val="21"/>
          <w:szCs w:val="21"/>
        </w:rPr>
      </w:pPr>
      <w:bookmarkStart w:id="1" w:name="_Toc25326714"/>
      <w:r w:rsidRPr="00151A9C">
        <w:rPr>
          <w:rFonts w:asciiTheme="minorEastAsia" w:eastAsiaTheme="minorEastAsia" w:hAnsiTheme="minorEastAsia" w:hint="eastAsia"/>
          <w:spacing w:val="-2"/>
          <w:sz w:val="21"/>
          <w:szCs w:val="21"/>
        </w:rPr>
        <w:t>二、基金概况</w:t>
      </w:r>
      <w:bookmarkEnd w:id="1"/>
    </w:p>
    <w:p w:rsidR="00151A9C" w:rsidRPr="00151A9C" w:rsidRDefault="00151A9C" w:rsidP="00151A9C">
      <w:pPr>
        <w:spacing w:line="360" w:lineRule="auto"/>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287"/>
      </w:tblGrid>
      <w:tr w:rsidR="00151A9C" w:rsidRPr="00151A9C" w:rsidTr="00FA0719">
        <w:trPr>
          <w:jc w:val="center"/>
        </w:trPr>
        <w:tc>
          <w:tcPr>
            <w:tcW w:w="2235" w:type="dxa"/>
            <w:tcBorders>
              <w:top w:val="single" w:sz="4" w:space="0" w:color="auto"/>
              <w:left w:val="single" w:sz="4" w:space="0" w:color="auto"/>
              <w:bottom w:val="single" w:sz="4" w:space="0" w:color="auto"/>
              <w:right w:val="single" w:sz="4" w:space="0" w:color="auto"/>
            </w:tcBorders>
            <w:vAlign w:val="center"/>
          </w:tcPr>
          <w:p w:rsidR="00151A9C" w:rsidRPr="00151A9C" w:rsidRDefault="00151A9C" w:rsidP="00151A9C">
            <w:pPr>
              <w:spacing w:line="360" w:lineRule="auto"/>
              <w:jc w:val="left"/>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lastRenderedPageBreak/>
              <w:t>基金名称</w:t>
            </w:r>
          </w:p>
        </w:tc>
        <w:tc>
          <w:tcPr>
            <w:tcW w:w="6287" w:type="dxa"/>
            <w:tcBorders>
              <w:top w:val="single" w:sz="4" w:space="0" w:color="auto"/>
              <w:left w:val="single" w:sz="4" w:space="0" w:color="auto"/>
              <w:bottom w:val="single" w:sz="4" w:space="0" w:color="auto"/>
              <w:right w:val="single" w:sz="4" w:space="0" w:color="auto"/>
            </w:tcBorders>
            <w:vAlign w:val="center"/>
          </w:tcPr>
          <w:p w:rsidR="00151A9C" w:rsidRPr="00151A9C" w:rsidRDefault="00151A9C" w:rsidP="00151A9C">
            <w:pPr>
              <w:spacing w:line="360" w:lineRule="auto"/>
              <w:jc w:val="left"/>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诺安永鑫收益一年定期开放债券型证券投资基金</w:t>
            </w:r>
          </w:p>
        </w:tc>
      </w:tr>
      <w:tr w:rsidR="00151A9C" w:rsidRPr="00151A9C" w:rsidTr="00FA0719">
        <w:trPr>
          <w:jc w:val="center"/>
        </w:trPr>
        <w:tc>
          <w:tcPr>
            <w:tcW w:w="2235" w:type="dxa"/>
            <w:tcBorders>
              <w:top w:val="single" w:sz="4" w:space="0" w:color="auto"/>
              <w:left w:val="single" w:sz="4" w:space="0" w:color="auto"/>
              <w:bottom w:val="single" w:sz="4" w:space="0" w:color="auto"/>
              <w:right w:val="single" w:sz="4" w:space="0" w:color="auto"/>
            </w:tcBorders>
            <w:vAlign w:val="center"/>
          </w:tcPr>
          <w:p w:rsidR="00151A9C" w:rsidRPr="00151A9C" w:rsidRDefault="00151A9C" w:rsidP="00151A9C">
            <w:pPr>
              <w:spacing w:line="360" w:lineRule="auto"/>
              <w:jc w:val="left"/>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基金简称</w:t>
            </w:r>
          </w:p>
        </w:tc>
        <w:tc>
          <w:tcPr>
            <w:tcW w:w="6287" w:type="dxa"/>
            <w:tcBorders>
              <w:top w:val="single" w:sz="4" w:space="0" w:color="auto"/>
              <w:left w:val="single" w:sz="4" w:space="0" w:color="auto"/>
              <w:bottom w:val="single" w:sz="4" w:space="0" w:color="auto"/>
              <w:right w:val="single" w:sz="4" w:space="0" w:color="auto"/>
            </w:tcBorders>
            <w:vAlign w:val="center"/>
          </w:tcPr>
          <w:p w:rsidR="00151A9C" w:rsidRPr="00151A9C" w:rsidRDefault="00151A9C" w:rsidP="00151A9C">
            <w:pPr>
              <w:spacing w:line="360" w:lineRule="auto"/>
              <w:jc w:val="left"/>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诺安永鑫一年定期开放债券</w:t>
            </w:r>
          </w:p>
        </w:tc>
      </w:tr>
      <w:tr w:rsidR="00151A9C" w:rsidRPr="00151A9C" w:rsidTr="00FA0719">
        <w:trPr>
          <w:jc w:val="center"/>
        </w:trPr>
        <w:tc>
          <w:tcPr>
            <w:tcW w:w="2235" w:type="dxa"/>
            <w:tcBorders>
              <w:top w:val="single" w:sz="4" w:space="0" w:color="auto"/>
              <w:left w:val="single" w:sz="4" w:space="0" w:color="auto"/>
              <w:bottom w:val="single" w:sz="4" w:space="0" w:color="auto"/>
              <w:right w:val="single" w:sz="4" w:space="0" w:color="auto"/>
            </w:tcBorders>
            <w:vAlign w:val="center"/>
          </w:tcPr>
          <w:p w:rsidR="00151A9C" w:rsidRPr="00151A9C" w:rsidRDefault="00151A9C" w:rsidP="00151A9C">
            <w:pPr>
              <w:spacing w:line="360" w:lineRule="auto"/>
              <w:jc w:val="left"/>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基金主代码</w:t>
            </w:r>
          </w:p>
        </w:tc>
        <w:tc>
          <w:tcPr>
            <w:tcW w:w="6287" w:type="dxa"/>
            <w:tcBorders>
              <w:top w:val="single" w:sz="4" w:space="0" w:color="auto"/>
              <w:left w:val="single" w:sz="4" w:space="0" w:color="auto"/>
              <w:bottom w:val="single" w:sz="4" w:space="0" w:color="auto"/>
              <w:right w:val="single" w:sz="4" w:space="0" w:color="auto"/>
            </w:tcBorders>
            <w:vAlign w:val="center"/>
          </w:tcPr>
          <w:p w:rsidR="00151A9C" w:rsidRPr="00151A9C" w:rsidRDefault="00151A9C" w:rsidP="00151A9C">
            <w:pPr>
              <w:spacing w:line="360" w:lineRule="auto"/>
              <w:jc w:val="left"/>
              <w:rPr>
                <w:rFonts w:asciiTheme="minorEastAsia" w:eastAsiaTheme="minorEastAsia" w:hAnsiTheme="minorEastAsia"/>
                <w:spacing w:val="-2"/>
                <w:szCs w:val="21"/>
              </w:rPr>
            </w:pPr>
            <w:r w:rsidRPr="00151A9C">
              <w:rPr>
                <w:rFonts w:asciiTheme="minorEastAsia" w:eastAsiaTheme="minorEastAsia" w:hAnsiTheme="minorEastAsia"/>
                <w:spacing w:val="-2"/>
                <w:szCs w:val="21"/>
              </w:rPr>
              <w:t>000510</w:t>
            </w:r>
          </w:p>
        </w:tc>
      </w:tr>
      <w:tr w:rsidR="00151A9C" w:rsidRPr="00151A9C" w:rsidTr="00FA0719">
        <w:trPr>
          <w:jc w:val="center"/>
        </w:trPr>
        <w:tc>
          <w:tcPr>
            <w:tcW w:w="2235" w:type="dxa"/>
            <w:tcBorders>
              <w:top w:val="single" w:sz="4" w:space="0" w:color="auto"/>
              <w:left w:val="single" w:sz="4" w:space="0" w:color="auto"/>
              <w:bottom w:val="single" w:sz="4" w:space="0" w:color="auto"/>
              <w:right w:val="single" w:sz="4" w:space="0" w:color="auto"/>
            </w:tcBorders>
            <w:vAlign w:val="center"/>
          </w:tcPr>
          <w:p w:rsidR="00151A9C" w:rsidRPr="00151A9C" w:rsidRDefault="00151A9C" w:rsidP="00151A9C">
            <w:pPr>
              <w:spacing w:line="360" w:lineRule="auto"/>
              <w:jc w:val="left"/>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基金运作方式</w:t>
            </w:r>
          </w:p>
        </w:tc>
        <w:tc>
          <w:tcPr>
            <w:tcW w:w="6287" w:type="dxa"/>
            <w:tcBorders>
              <w:top w:val="single" w:sz="4" w:space="0" w:color="auto"/>
              <w:left w:val="single" w:sz="4" w:space="0" w:color="auto"/>
              <w:bottom w:val="single" w:sz="4" w:space="0" w:color="auto"/>
              <w:right w:val="single" w:sz="4" w:space="0" w:color="auto"/>
            </w:tcBorders>
            <w:vAlign w:val="center"/>
          </w:tcPr>
          <w:p w:rsidR="00151A9C" w:rsidRPr="00151A9C" w:rsidRDefault="00151A9C" w:rsidP="00151A9C">
            <w:pPr>
              <w:spacing w:line="360" w:lineRule="auto"/>
              <w:jc w:val="left"/>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契约型开放式</w:t>
            </w:r>
          </w:p>
        </w:tc>
      </w:tr>
      <w:tr w:rsidR="00151A9C" w:rsidRPr="00151A9C" w:rsidTr="00FA0719">
        <w:trPr>
          <w:jc w:val="center"/>
        </w:trPr>
        <w:tc>
          <w:tcPr>
            <w:tcW w:w="2235" w:type="dxa"/>
            <w:tcBorders>
              <w:top w:val="single" w:sz="4" w:space="0" w:color="auto"/>
              <w:left w:val="single" w:sz="4" w:space="0" w:color="auto"/>
              <w:bottom w:val="single" w:sz="4" w:space="0" w:color="auto"/>
              <w:right w:val="single" w:sz="4" w:space="0" w:color="auto"/>
            </w:tcBorders>
            <w:vAlign w:val="center"/>
          </w:tcPr>
          <w:p w:rsidR="00151A9C" w:rsidRPr="00151A9C" w:rsidRDefault="00151A9C" w:rsidP="00151A9C">
            <w:pPr>
              <w:spacing w:line="360" w:lineRule="auto"/>
              <w:jc w:val="left"/>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基金合同生效日</w:t>
            </w:r>
          </w:p>
        </w:tc>
        <w:tc>
          <w:tcPr>
            <w:tcW w:w="6287" w:type="dxa"/>
            <w:tcBorders>
              <w:top w:val="single" w:sz="4" w:space="0" w:color="auto"/>
              <w:left w:val="single" w:sz="4" w:space="0" w:color="auto"/>
              <w:bottom w:val="single" w:sz="4" w:space="0" w:color="auto"/>
              <w:right w:val="single" w:sz="4" w:space="0" w:color="auto"/>
            </w:tcBorders>
            <w:vAlign w:val="center"/>
          </w:tcPr>
          <w:p w:rsidR="00151A9C" w:rsidRPr="00151A9C" w:rsidRDefault="00151A9C" w:rsidP="00151A9C">
            <w:pPr>
              <w:spacing w:line="360" w:lineRule="auto"/>
              <w:jc w:val="left"/>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201</w:t>
            </w:r>
            <w:r w:rsidRPr="00151A9C">
              <w:rPr>
                <w:rFonts w:asciiTheme="minorEastAsia" w:eastAsiaTheme="minorEastAsia" w:hAnsiTheme="minorEastAsia"/>
                <w:spacing w:val="-2"/>
                <w:szCs w:val="21"/>
              </w:rPr>
              <w:t>4</w:t>
            </w:r>
            <w:r w:rsidRPr="00151A9C">
              <w:rPr>
                <w:rFonts w:asciiTheme="minorEastAsia" w:eastAsiaTheme="minorEastAsia" w:hAnsiTheme="minorEastAsia" w:hint="eastAsia"/>
                <w:spacing w:val="-2"/>
                <w:szCs w:val="21"/>
              </w:rPr>
              <w:t>年</w:t>
            </w:r>
            <w:r w:rsidRPr="00151A9C">
              <w:rPr>
                <w:rFonts w:asciiTheme="minorEastAsia" w:eastAsiaTheme="minorEastAsia" w:hAnsiTheme="minorEastAsia"/>
                <w:spacing w:val="-2"/>
                <w:szCs w:val="21"/>
              </w:rPr>
              <w:t>6</w:t>
            </w:r>
            <w:r w:rsidRPr="00151A9C">
              <w:rPr>
                <w:rFonts w:asciiTheme="minorEastAsia" w:eastAsiaTheme="minorEastAsia" w:hAnsiTheme="minorEastAsia" w:hint="eastAsia"/>
                <w:spacing w:val="-2"/>
                <w:szCs w:val="21"/>
              </w:rPr>
              <w:t>月</w:t>
            </w:r>
            <w:r w:rsidRPr="00151A9C">
              <w:rPr>
                <w:rFonts w:asciiTheme="minorEastAsia" w:eastAsiaTheme="minorEastAsia" w:hAnsiTheme="minorEastAsia"/>
                <w:spacing w:val="-2"/>
                <w:szCs w:val="21"/>
              </w:rPr>
              <w:t>24</w:t>
            </w:r>
            <w:r w:rsidRPr="00151A9C">
              <w:rPr>
                <w:rFonts w:asciiTheme="minorEastAsia" w:eastAsiaTheme="minorEastAsia" w:hAnsiTheme="minorEastAsia" w:hint="eastAsia"/>
                <w:spacing w:val="-2"/>
                <w:szCs w:val="21"/>
              </w:rPr>
              <w:t>日</w:t>
            </w:r>
          </w:p>
        </w:tc>
      </w:tr>
      <w:tr w:rsidR="00151A9C" w:rsidRPr="00151A9C" w:rsidTr="00FA0719">
        <w:trPr>
          <w:jc w:val="center"/>
        </w:trPr>
        <w:tc>
          <w:tcPr>
            <w:tcW w:w="2235" w:type="dxa"/>
            <w:tcBorders>
              <w:top w:val="single" w:sz="4" w:space="0" w:color="auto"/>
              <w:left w:val="single" w:sz="4" w:space="0" w:color="auto"/>
              <w:bottom w:val="single" w:sz="4" w:space="0" w:color="auto"/>
              <w:right w:val="single" w:sz="4" w:space="0" w:color="auto"/>
            </w:tcBorders>
            <w:vAlign w:val="center"/>
          </w:tcPr>
          <w:p w:rsidR="00151A9C" w:rsidRPr="00151A9C" w:rsidRDefault="00151A9C" w:rsidP="00151A9C">
            <w:pPr>
              <w:spacing w:line="360" w:lineRule="auto"/>
              <w:jc w:val="left"/>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基金管理人</w:t>
            </w:r>
          </w:p>
        </w:tc>
        <w:tc>
          <w:tcPr>
            <w:tcW w:w="6287" w:type="dxa"/>
            <w:tcBorders>
              <w:top w:val="single" w:sz="4" w:space="0" w:color="auto"/>
              <w:left w:val="single" w:sz="4" w:space="0" w:color="auto"/>
              <w:bottom w:val="single" w:sz="4" w:space="0" w:color="auto"/>
              <w:right w:val="single" w:sz="4" w:space="0" w:color="auto"/>
            </w:tcBorders>
            <w:vAlign w:val="center"/>
          </w:tcPr>
          <w:p w:rsidR="00151A9C" w:rsidRPr="00151A9C" w:rsidRDefault="00151A9C" w:rsidP="00151A9C">
            <w:pPr>
              <w:spacing w:line="360" w:lineRule="auto"/>
              <w:jc w:val="left"/>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诺安基金管理有限公司</w:t>
            </w:r>
          </w:p>
        </w:tc>
      </w:tr>
      <w:tr w:rsidR="00151A9C" w:rsidRPr="00151A9C" w:rsidTr="00FA0719">
        <w:trPr>
          <w:jc w:val="center"/>
        </w:trPr>
        <w:tc>
          <w:tcPr>
            <w:tcW w:w="2235" w:type="dxa"/>
            <w:tcBorders>
              <w:top w:val="single" w:sz="4" w:space="0" w:color="auto"/>
              <w:left w:val="single" w:sz="4" w:space="0" w:color="auto"/>
              <w:bottom w:val="single" w:sz="4" w:space="0" w:color="auto"/>
              <w:right w:val="single" w:sz="4" w:space="0" w:color="auto"/>
            </w:tcBorders>
            <w:vAlign w:val="center"/>
          </w:tcPr>
          <w:p w:rsidR="00151A9C" w:rsidRPr="00151A9C" w:rsidRDefault="00151A9C" w:rsidP="00151A9C">
            <w:pPr>
              <w:spacing w:line="360" w:lineRule="auto"/>
              <w:jc w:val="left"/>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基金托管人</w:t>
            </w:r>
          </w:p>
        </w:tc>
        <w:tc>
          <w:tcPr>
            <w:tcW w:w="6287" w:type="dxa"/>
            <w:tcBorders>
              <w:top w:val="single" w:sz="4" w:space="0" w:color="auto"/>
              <w:left w:val="single" w:sz="4" w:space="0" w:color="auto"/>
              <w:bottom w:val="single" w:sz="4" w:space="0" w:color="auto"/>
              <w:right w:val="single" w:sz="4" w:space="0" w:color="auto"/>
            </w:tcBorders>
            <w:vAlign w:val="center"/>
          </w:tcPr>
          <w:p w:rsidR="00151A9C" w:rsidRPr="00151A9C" w:rsidRDefault="00151A9C" w:rsidP="00151A9C">
            <w:pPr>
              <w:spacing w:line="360" w:lineRule="auto"/>
              <w:jc w:val="left"/>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中国农业银行股份有限公司</w:t>
            </w:r>
          </w:p>
        </w:tc>
      </w:tr>
      <w:tr w:rsidR="00151A9C" w:rsidRPr="00151A9C" w:rsidTr="00FA0719">
        <w:trPr>
          <w:jc w:val="center"/>
        </w:trPr>
        <w:tc>
          <w:tcPr>
            <w:tcW w:w="2235" w:type="dxa"/>
            <w:tcBorders>
              <w:top w:val="single" w:sz="4" w:space="0" w:color="auto"/>
              <w:left w:val="single" w:sz="4" w:space="0" w:color="auto"/>
              <w:bottom w:val="single" w:sz="4" w:space="0" w:color="auto"/>
              <w:right w:val="single" w:sz="4" w:space="0" w:color="auto"/>
            </w:tcBorders>
            <w:vAlign w:val="center"/>
          </w:tcPr>
          <w:p w:rsidR="00151A9C" w:rsidRPr="00151A9C" w:rsidRDefault="00151A9C" w:rsidP="00151A9C">
            <w:pPr>
              <w:spacing w:line="360" w:lineRule="auto"/>
              <w:jc w:val="left"/>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基金合同存续期</w:t>
            </w:r>
          </w:p>
        </w:tc>
        <w:tc>
          <w:tcPr>
            <w:tcW w:w="6287" w:type="dxa"/>
            <w:tcBorders>
              <w:top w:val="single" w:sz="4" w:space="0" w:color="auto"/>
              <w:left w:val="single" w:sz="4" w:space="0" w:color="auto"/>
              <w:bottom w:val="single" w:sz="4" w:space="0" w:color="auto"/>
              <w:right w:val="single" w:sz="4" w:space="0" w:color="auto"/>
            </w:tcBorders>
            <w:vAlign w:val="center"/>
          </w:tcPr>
          <w:p w:rsidR="00151A9C" w:rsidRPr="00151A9C" w:rsidRDefault="00151A9C" w:rsidP="00151A9C">
            <w:pPr>
              <w:spacing w:line="360" w:lineRule="auto"/>
              <w:jc w:val="left"/>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不定期</w:t>
            </w:r>
          </w:p>
        </w:tc>
      </w:tr>
      <w:tr w:rsidR="00151A9C" w:rsidRPr="00151A9C" w:rsidTr="00FA0719">
        <w:trPr>
          <w:jc w:val="center"/>
        </w:trPr>
        <w:tc>
          <w:tcPr>
            <w:tcW w:w="2235" w:type="dxa"/>
            <w:tcBorders>
              <w:top w:val="single" w:sz="4" w:space="0" w:color="auto"/>
              <w:left w:val="single" w:sz="4" w:space="0" w:color="auto"/>
              <w:bottom w:val="single" w:sz="4" w:space="0" w:color="auto"/>
              <w:right w:val="single" w:sz="4" w:space="0" w:color="auto"/>
            </w:tcBorders>
          </w:tcPr>
          <w:p w:rsidR="00151A9C" w:rsidRPr="00151A9C" w:rsidRDefault="00151A9C" w:rsidP="00151A9C">
            <w:pPr>
              <w:spacing w:line="360" w:lineRule="auto"/>
              <w:jc w:val="left"/>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投资目标</w:t>
            </w:r>
          </w:p>
        </w:tc>
        <w:tc>
          <w:tcPr>
            <w:tcW w:w="6287" w:type="dxa"/>
            <w:tcBorders>
              <w:top w:val="single" w:sz="4" w:space="0" w:color="auto"/>
              <w:left w:val="single" w:sz="4" w:space="0" w:color="auto"/>
              <w:bottom w:val="single" w:sz="4" w:space="0" w:color="auto"/>
              <w:right w:val="single" w:sz="4" w:space="0" w:color="auto"/>
            </w:tcBorders>
          </w:tcPr>
          <w:p w:rsidR="00151A9C" w:rsidRPr="00151A9C" w:rsidRDefault="00151A9C" w:rsidP="00151A9C">
            <w:pPr>
              <w:spacing w:line="360" w:lineRule="auto"/>
              <w:jc w:val="left"/>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本基金在追求本金安全、有效控制风险的前提下，力求资产持续稳妥地保值增值，为投资者提供较好的养老资产管理工具。</w:t>
            </w:r>
          </w:p>
        </w:tc>
      </w:tr>
      <w:tr w:rsidR="00151A9C" w:rsidRPr="00151A9C" w:rsidTr="00FA0719">
        <w:trPr>
          <w:jc w:val="center"/>
        </w:trPr>
        <w:tc>
          <w:tcPr>
            <w:tcW w:w="2235" w:type="dxa"/>
            <w:tcBorders>
              <w:top w:val="single" w:sz="4" w:space="0" w:color="auto"/>
              <w:left w:val="single" w:sz="4" w:space="0" w:color="auto"/>
              <w:bottom w:val="single" w:sz="4" w:space="0" w:color="auto"/>
              <w:right w:val="single" w:sz="4" w:space="0" w:color="auto"/>
            </w:tcBorders>
          </w:tcPr>
          <w:p w:rsidR="00151A9C" w:rsidRPr="00151A9C" w:rsidRDefault="00151A9C" w:rsidP="00151A9C">
            <w:pPr>
              <w:spacing w:line="360" w:lineRule="auto"/>
              <w:jc w:val="left"/>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投资策略</w:t>
            </w:r>
          </w:p>
        </w:tc>
        <w:tc>
          <w:tcPr>
            <w:tcW w:w="6287" w:type="dxa"/>
            <w:tcBorders>
              <w:top w:val="single" w:sz="4" w:space="0" w:color="auto"/>
              <w:left w:val="single" w:sz="4" w:space="0" w:color="auto"/>
              <w:bottom w:val="single" w:sz="4" w:space="0" w:color="auto"/>
              <w:right w:val="single" w:sz="4" w:space="0" w:color="auto"/>
            </w:tcBorders>
          </w:tcPr>
          <w:p w:rsidR="00151A9C" w:rsidRPr="00151A9C" w:rsidRDefault="00151A9C" w:rsidP="00151A9C">
            <w:pPr>
              <w:spacing w:line="360" w:lineRule="auto"/>
              <w:jc w:val="left"/>
              <w:rPr>
                <w:rFonts w:asciiTheme="minorEastAsia" w:eastAsiaTheme="minorEastAsia" w:hAnsiTheme="minorEastAsia"/>
                <w:spacing w:val="-2"/>
                <w:szCs w:val="21"/>
              </w:rPr>
            </w:pPr>
            <w:r w:rsidRPr="00151A9C">
              <w:rPr>
                <w:rFonts w:asciiTheme="minorEastAsia" w:eastAsiaTheme="minorEastAsia" w:hAnsiTheme="minorEastAsia"/>
                <w:spacing w:val="-2"/>
                <w:szCs w:val="21"/>
              </w:rPr>
              <w:t>1、封闭期投资策略</w:t>
            </w:r>
          </w:p>
          <w:p w:rsidR="00151A9C" w:rsidRPr="00151A9C" w:rsidRDefault="00151A9C" w:rsidP="00151A9C">
            <w:pPr>
              <w:spacing w:line="360" w:lineRule="auto"/>
              <w:jc w:val="left"/>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在封闭期内，为合理控制本基金开放期的流动性风险，并满足每次开放期的流动性需求，原则上本基金在投资管理中将持有债券的组合久期与封闭期进行适当的匹配。同时，在遵守本基金有关投资限制与投资比例的前提下，将主要投资于高流动性的投资品种，减小基金净值的波动。</w:t>
            </w:r>
          </w:p>
          <w:p w:rsidR="00151A9C" w:rsidRPr="00151A9C" w:rsidRDefault="00151A9C" w:rsidP="00151A9C">
            <w:pPr>
              <w:spacing w:line="360" w:lineRule="auto"/>
              <w:jc w:val="left"/>
              <w:rPr>
                <w:rFonts w:asciiTheme="minorEastAsia" w:eastAsiaTheme="minorEastAsia" w:hAnsiTheme="minorEastAsia"/>
                <w:spacing w:val="-2"/>
                <w:szCs w:val="21"/>
              </w:rPr>
            </w:pPr>
            <w:r w:rsidRPr="00151A9C">
              <w:rPr>
                <w:rFonts w:asciiTheme="minorEastAsia" w:eastAsiaTheme="minorEastAsia" w:hAnsiTheme="minorEastAsia"/>
                <w:spacing w:val="-2"/>
                <w:szCs w:val="21"/>
              </w:rPr>
              <w:t>2、开放期投资安排</w:t>
            </w:r>
          </w:p>
          <w:p w:rsidR="00151A9C" w:rsidRPr="00151A9C" w:rsidRDefault="00151A9C" w:rsidP="00151A9C">
            <w:pPr>
              <w:spacing w:line="360" w:lineRule="auto"/>
              <w:jc w:val="left"/>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在开放期，基金管理人将采取各种有效管理措施，保障基金运作安排，防范流动性风险，满足开放期流动性的需求。在开放期前根据市场情况，进行相应压力测试，制定开放期操作规范流程和应急预案，做好应付极端情况下巨额赎回的准备。</w:t>
            </w:r>
          </w:p>
        </w:tc>
      </w:tr>
      <w:tr w:rsidR="00151A9C" w:rsidRPr="00151A9C" w:rsidTr="00FA0719">
        <w:trPr>
          <w:jc w:val="center"/>
        </w:trPr>
        <w:tc>
          <w:tcPr>
            <w:tcW w:w="2235" w:type="dxa"/>
            <w:tcBorders>
              <w:top w:val="single" w:sz="4" w:space="0" w:color="auto"/>
              <w:left w:val="single" w:sz="4" w:space="0" w:color="auto"/>
              <w:bottom w:val="single" w:sz="4" w:space="0" w:color="auto"/>
              <w:right w:val="single" w:sz="4" w:space="0" w:color="auto"/>
            </w:tcBorders>
          </w:tcPr>
          <w:p w:rsidR="00151A9C" w:rsidRPr="00151A9C" w:rsidRDefault="00151A9C" w:rsidP="00151A9C">
            <w:pPr>
              <w:spacing w:line="360" w:lineRule="auto"/>
              <w:jc w:val="left"/>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业绩比较基准</w:t>
            </w:r>
          </w:p>
        </w:tc>
        <w:tc>
          <w:tcPr>
            <w:tcW w:w="6287" w:type="dxa"/>
            <w:tcBorders>
              <w:top w:val="single" w:sz="4" w:space="0" w:color="auto"/>
              <w:left w:val="single" w:sz="4" w:space="0" w:color="auto"/>
              <w:bottom w:val="single" w:sz="4" w:space="0" w:color="auto"/>
              <w:right w:val="single" w:sz="4" w:space="0" w:color="auto"/>
            </w:tcBorders>
          </w:tcPr>
          <w:p w:rsidR="00151A9C" w:rsidRPr="00151A9C" w:rsidRDefault="00151A9C" w:rsidP="00151A9C">
            <w:pPr>
              <w:spacing w:line="360" w:lineRule="auto"/>
              <w:jc w:val="left"/>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同期中国人民银行公布的一年期定期存款基准利率（税后）。</w:t>
            </w:r>
          </w:p>
        </w:tc>
      </w:tr>
      <w:tr w:rsidR="00151A9C" w:rsidRPr="00151A9C" w:rsidTr="00FA0719">
        <w:trPr>
          <w:jc w:val="center"/>
        </w:trPr>
        <w:tc>
          <w:tcPr>
            <w:tcW w:w="2235" w:type="dxa"/>
            <w:tcBorders>
              <w:top w:val="single" w:sz="4" w:space="0" w:color="auto"/>
              <w:left w:val="single" w:sz="4" w:space="0" w:color="auto"/>
              <w:bottom w:val="single" w:sz="4" w:space="0" w:color="auto"/>
              <w:right w:val="single" w:sz="4" w:space="0" w:color="auto"/>
            </w:tcBorders>
          </w:tcPr>
          <w:p w:rsidR="00151A9C" w:rsidRPr="00151A9C" w:rsidRDefault="00151A9C" w:rsidP="00151A9C">
            <w:pPr>
              <w:spacing w:line="360" w:lineRule="auto"/>
              <w:jc w:val="left"/>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风险收益特征</w:t>
            </w:r>
          </w:p>
        </w:tc>
        <w:tc>
          <w:tcPr>
            <w:tcW w:w="6287" w:type="dxa"/>
            <w:tcBorders>
              <w:top w:val="single" w:sz="4" w:space="0" w:color="auto"/>
              <w:left w:val="single" w:sz="4" w:space="0" w:color="auto"/>
              <w:bottom w:val="single" w:sz="4" w:space="0" w:color="auto"/>
              <w:right w:val="single" w:sz="4" w:space="0" w:color="auto"/>
            </w:tcBorders>
          </w:tcPr>
          <w:p w:rsidR="00151A9C" w:rsidRPr="00151A9C" w:rsidRDefault="00151A9C" w:rsidP="00151A9C">
            <w:pPr>
              <w:spacing w:line="360" w:lineRule="auto"/>
              <w:jc w:val="left"/>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本基金为债券型基金，其预期收益和风险水平高于货币市场基金，低于混合型基金和股票型基金。</w:t>
            </w:r>
          </w:p>
        </w:tc>
      </w:tr>
    </w:tbl>
    <w:p w:rsidR="00151A9C" w:rsidRPr="00151A9C" w:rsidRDefault="00151A9C" w:rsidP="00151A9C">
      <w:pPr>
        <w:spacing w:line="360" w:lineRule="auto"/>
        <w:rPr>
          <w:szCs w:val="21"/>
        </w:rPr>
      </w:pPr>
    </w:p>
    <w:p w:rsidR="00151A9C" w:rsidRPr="00151A9C" w:rsidRDefault="00A85836" w:rsidP="00151A9C">
      <w:pPr>
        <w:pStyle w:val="1"/>
        <w:spacing w:line="360" w:lineRule="auto"/>
        <w:rPr>
          <w:rFonts w:asciiTheme="minorEastAsia" w:eastAsiaTheme="minorEastAsia" w:hAnsiTheme="minorEastAsia"/>
          <w:spacing w:val="-2"/>
          <w:sz w:val="21"/>
          <w:szCs w:val="21"/>
        </w:rPr>
      </w:pPr>
      <w:bookmarkStart w:id="2" w:name="_Toc25326715"/>
      <w:r w:rsidRPr="00151A9C">
        <w:rPr>
          <w:rFonts w:asciiTheme="minorEastAsia" w:eastAsiaTheme="minorEastAsia" w:hAnsiTheme="minorEastAsia" w:hint="eastAsia"/>
          <w:spacing w:val="-2"/>
          <w:sz w:val="21"/>
          <w:szCs w:val="21"/>
        </w:rPr>
        <w:t>三</w:t>
      </w:r>
      <w:bookmarkStart w:id="3" w:name="_Toc25673887"/>
      <w:r w:rsidR="004B7A11">
        <w:rPr>
          <w:rFonts w:asciiTheme="minorEastAsia" w:eastAsiaTheme="minorEastAsia" w:hAnsiTheme="minorEastAsia" w:hint="eastAsia"/>
          <w:spacing w:val="-2"/>
          <w:sz w:val="21"/>
          <w:szCs w:val="21"/>
        </w:rPr>
        <w:t>、</w:t>
      </w:r>
      <w:r w:rsidR="00151A9C" w:rsidRPr="00151A9C">
        <w:rPr>
          <w:rFonts w:asciiTheme="minorEastAsia" w:eastAsiaTheme="minorEastAsia" w:hAnsiTheme="minorEastAsia" w:hint="eastAsia"/>
          <w:spacing w:val="-2"/>
          <w:sz w:val="21"/>
          <w:szCs w:val="21"/>
        </w:rPr>
        <w:t>财务会计报告</w:t>
      </w:r>
      <w:bookmarkEnd w:id="3"/>
    </w:p>
    <w:p w:rsidR="00151A9C" w:rsidRPr="00151A9C" w:rsidRDefault="00151A9C" w:rsidP="00151A9C">
      <w:pPr>
        <w:spacing w:line="360" w:lineRule="auto"/>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资产负债表（经审计）</w:t>
      </w:r>
    </w:p>
    <w:p w:rsidR="00151A9C" w:rsidRPr="00151A9C" w:rsidRDefault="00151A9C" w:rsidP="00151A9C">
      <w:pPr>
        <w:spacing w:line="360" w:lineRule="auto"/>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会计主体：诺安永鑫收益一年定期开放债券型证券投资基金</w:t>
      </w:r>
    </w:p>
    <w:p w:rsidR="00151A9C" w:rsidRPr="00151A9C" w:rsidRDefault="00151A9C" w:rsidP="00151A9C">
      <w:pPr>
        <w:spacing w:line="360" w:lineRule="auto"/>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lastRenderedPageBreak/>
        <w:t>报告截止日：20</w:t>
      </w:r>
      <w:r w:rsidRPr="00151A9C">
        <w:rPr>
          <w:rFonts w:asciiTheme="minorEastAsia" w:eastAsiaTheme="minorEastAsia" w:hAnsiTheme="minorEastAsia"/>
          <w:spacing w:val="-2"/>
          <w:szCs w:val="21"/>
        </w:rPr>
        <w:t>1</w:t>
      </w:r>
      <w:r w:rsidRPr="00151A9C">
        <w:rPr>
          <w:rFonts w:asciiTheme="minorEastAsia" w:eastAsiaTheme="minorEastAsia" w:hAnsiTheme="minorEastAsia" w:hint="eastAsia"/>
          <w:spacing w:val="-2"/>
          <w:szCs w:val="21"/>
        </w:rPr>
        <w:t>9年</w:t>
      </w:r>
      <w:r w:rsidRPr="00151A9C">
        <w:rPr>
          <w:rFonts w:asciiTheme="minorEastAsia" w:eastAsiaTheme="minorEastAsia" w:hAnsiTheme="minorEastAsia"/>
          <w:spacing w:val="-2"/>
          <w:szCs w:val="21"/>
        </w:rPr>
        <w:t>9</w:t>
      </w:r>
      <w:r w:rsidRPr="00151A9C">
        <w:rPr>
          <w:rFonts w:asciiTheme="minorEastAsia" w:eastAsiaTheme="minorEastAsia" w:hAnsiTheme="minorEastAsia" w:hint="eastAsia"/>
          <w:spacing w:val="-2"/>
          <w:szCs w:val="21"/>
        </w:rPr>
        <w:t>月</w:t>
      </w:r>
      <w:r w:rsidRPr="00151A9C">
        <w:rPr>
          <w:rFonts w:asciiTheme="minorEastAsia" w:eastAsiaTheme="minorEastAsia" w:hAnsiTheme="minorEastAsia"/>
          <w:spacing w:val="-2"/>
          <w:szCs w:val="21"/>
        </w:rPr>
        <w:t>23</w:t>
      </w:r>
      <w:r w:rsidRPr="00151A9C">
        <w:rPr>
          <w:rFonts w:asciiTheme="minorEastAsia" w:eastAsiaTheme="minorEastAsia" w:hAnsiTheme="minorEastAsia" w:hint="eastAsia"/>
          <w:spacing w:val="-2"/>
          <w:szCs w:val="21"/>
        </w:rPr>
        <w:t>日</w:t>
      </w:r>
    </w:p>
    <w:p w:rsidR="00151A9C" w:rsidRPr="00151A9C" w:rsidRDefault="00151A9C" w:rsidP="0074634B">
      <w:pPr>
        <w:spacing w:line="360" w:lineRule="auto"/>
        <w:ind w:firstLineChars="1700" w:firstLine="3502"/>
        <w:jc w:val="right"/>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单位：人民币元</w:t>
      </w:r>
    </w:p>
    <w:tbl>
      <w:tblPr>
        <w:tblW w:w="8556" w:type="dxa"/>
        <w:tblInd w:w="-34" w:type="dxa"/>
        <w:tblLook w:val="04A0"/>
      </w:tblPr>
      <w:tblGrid>
        <w:gridCol w:w="4979"/>
        <w:gridCol w:w="3577"/>
      </w:tblGrid>
      <w:tr w:rsidR="00151A9C" w:rsidRPr="00151A9C" w:rsidTr="00FA0719">
        <w:trPr>
          <w:trHeight w:val="270"/>
        </w:trPr>
        <w:tc>
          <w:tcPr>
            <w:tcW w:w="49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51A9C" w:rsidRPr="00151A9C" w:rsidRDefault="00151A9C" w:rsidP="00151A9C">
            <w:pPr>
              <w:widowControl/>
              <w:spacing w:line="360" w:lineRule="auto"/>
              <w:jc w:val="center"/>
              <w:rPr>
                <w:rFonts w:asciiTheme="minorEastAsia" w:eastAsiaTheme="minorEastAsia" w:hAnsiTheme="minorEastAsia" w:cs="宋体"/>
                <w:color w:val="000000"/>
                <w:spacing w:val="-2"/>
                <w:kern w:val="0"/>
                <w:szCs w:val="21"/>
              </w:rPr>
            </w:pPr>
          </w:p>
        </w:tc>
        <w:tc>
          <w:tcPr>
            <w:tcW w:w="3577" w:type="dxa"/>
            <w:tcBorders>
              <w:top w:val="single" w:sz="4" w:space="0" w:color="auto"/>
              <w:left w:val="nil"/>
              <w:bottom w:val="single" w:sz="4" w:space="0" w:color="auto"/>
              <w:right w:val="single" w:sz="4" w:space="0" w:color="auto"/>
            </w:tcBorders>
            <w:shd w:val="clear" w:color="auto" w:fill="auto"/>
            <w:noWrap/>
            <w:vAlign w:val="center"/>
          </w:tcPr>
          <w:p w:rsidR="00151A9C" w:rsidRPr="00151A9C" w:rsidRDefault="00151A9C" w:rsidP="00151A9C">
            <w:pPr>
              <w:widowControl/>
              <w:spacing w:line="360" w:lineRule="auto"/>
              <w:jc w:val="right"/>
              <w:rPr>
                <w:rFonts w:asciiTheme="minorEastAsia" w:eastAsiaTheme="minorEastAsia" w:hAnsiTheme="minorEastAsia" w:cs="宋体"/>
                <w:b/>
                <w:bCs/>
                <w:color w:val="000000"/>
                <w:spacing w:val="-2"/>
                <w:kern w:val="0"/>
                <w:szCs w:val="21"/>
              </w:rPr>
            </w:pPr>
            <w:r w:rsidRPr="00151A9C">
              <w:rPr>
                <w:rFonts w:asciiTheme="minorEastAsia" w:eastAsiaTheme="minorEastAsia" w:hAnsiTheme="minorEastAsia" w:cs="宋体" w:hint="eastAsia"/>
                <w:b/>
                <w:bCs/>
                <w:color w:val="000000"/>
                <w:spacing w:val="-2"/>
                <w:kern w:val="0"/>
                <w:szCs w:val="21"/>
              </w:rPr>
              <w:t>最后运作日</w:t>
            </w:r>
          </w:p>
        </w:tc>
      </w:tr>
      <w:tr w:rsidR="00151A9C" w:rsidRPr="00151A9C" w:rsidTr="00FA0719">
        <w:trPr>
          <w:trHeight w:val="270"/>
        </w:trPr>
        <w:tc>
          <w:tcPr>
            <w:tcW w:w="4979" w:type="dxa"/>
            <w:vMerge/>
            <w:tcBorders>
              <w:top w:val="single" w:sz="4" w:space="0" w:color="auto"/>
              <w:left w:val="single" w:sz="4" w:space="0" w:color="auto"/>
              <w:bottom w:val="single" w:sz="4" w:space="0" w:color="000000"/>
              <w:right w:val="single" w:sz="4" w:space="0" w:color="auto"/>
            </w:tcBorders>
            <w:vAlign w:val="center"/>
          </w:tcPr>
          <w:p w:rsidR="00151A9C" w:rsidRPr="00151A9C" w:rsidRDefault="00151A9C" w:rsidP="00151A9C">
            <w:pPr>
              <w:widowControl/>
              <w:spacing w:line="360" w:lineRule="auto"/>
              <w:jc w:val="left"/>
              <w:rPr>
                <w:rFonts w:asciiTheme="minorEastAsia" w:eastAsiaTheme="minorEastAsia" w:hAnsiTheme="minorEastAsia" w:cs="宋体"/>
                <w:color w:val="000000"/>
                <w:spacing w:val="-2"/>
                <w:kern w:val="0"/>
                <w:szCs w:val="21"/>
              </w:rPr>
            </w:pPr>
          </w:p>
        </w:tc>
        <w:tc>
          <w:tcPr>
            <w:tcW w:w="3577" w:type="dxa"/>
            <w:tcBorders>
              <w:top w:val="nil"/>
              <w:left w:val="nil"/>
              <w:bottom w:val="single" w:sz="4" w:space="0" w:color="auto"/>
              <w:right w:val="single" w:sz="4" w:space="0" w:color="auto"/>
            </w:tcBorders>
            <w:shd w:val="clear" w:color="auto" w:fill="auto"/>
            <w:noWrap/>
            <w:vAlign w:val="center"/>
          </w:tcPr>
          <w:p w:rsidR="00151A9C" w:rsidRPr="00151A9C" w:rsidRDefault="00151A9C" w:rsidP="00151A9C">
            <w:pPr>
              <w:widowControl/>
              <w:spacing w:line="360" w:lineRule="auto"/>
              <w:jc w:val="right"/>
              <w:rPr>
                <w:rFonts w:asciiTheme="minorEastAsia" w:eastAsiaTheme="minorEastAsia" w:hAnsiTheme="minorEastAsia" w:cs="宋体"/>
                <w:b/>
                <w:bCs/>
                <w:color w:val="000000"/>
                <w:spacing w:val="-2"/>
                <w:kern w:val="0"/>
                <w:szCs w:val="21"/>
              </w:rPr>
            </w:pPr>
            <w:r w:rsidRPr="00151A9C">
              <w:rPr>
                <w:rFonts w:asciiTheme="minorEastAsia" w:eastAsiaTheme="minorEastAsia" w:hAnsiTheme="minorEastAsia" w:cs="宋体" w:hint="eastAsia"/>
                <w:b/>
                <w:bCs/>
                <w:color w:val="000000"/>
                <w:spacing w:val="-2"/>
                <w:kern w:val="0"/>
                <w:szCs w:val="21"/>
              </w:rPr>
              <w:t>2019年9月23日</w:t>
            </w:r>
          </w:p>
        </w:tc>
      </w:tr>
      <w:tr w:rsidR="00151A9C" w:rsidRPr="00151A9C" w:rsidTr="00FA0719">
        <w:trPr>
          <w:trHeight w:val="270"/>
        </w:trPr>
        <w:tc>
          <w:tcPr>
            <w:tcW w:w="4979" w:type="dxa"/>
            <w:tcBorders>
              <w:top w:val="nil"/>
              <w:left w:val="single" w:sz="4" w:space="0" w:color="auto"/>
              <w:bottom w:val="single" w:sz="4" w:space="0" w:color="auto"/>
              <w:right w:val="single" w:sz="4" w:space="0" w:color="auto"/>
            </w:tcBorders>
            <w:shd w:val="clear" w:color="auto" w:fill="auto"/>
            <w:noWrap/>
            <w:vAlign w:val="center"/>
          </w:tcPr>
          <w:p w:rsidR="00151A9C" w:rsidRPr="00151A9C" w:rsidRDefault="00151A9C" w:rsidP="00151A9C">
            <w:pPr>
              <w:widowControl/>
              <w:spacing w:line="360" w:lineRule="auto"/>
              <w:jc w:val="left"/>
              <w:rPr>
                <w:rFonts w:asciiTheme="minorEastAsia" w:eastAsiaTheme="minorEastAsia" w:hAnsiTheme="minorEastAsia" w:cs="宋体"/>
                <w:b/>
                <w:bCs/>
                <w:color w:val="000000"/>
                <w:spacing w:val="-2"/>
                <w:kern w:val="0"/>
                <w:szCs w:val="21"/>
              </w:rPr>
            </w:pPr>
            <w:r w:rsidRPr="00151A9C">
              <w:rPr>
                <w:rFonts w:asciiTheme="minorEastAsia" w:eastAsiaTheme="minorEastAsia" w:hAnsiTheme="minorEastAsia" w:cs="宋体" w:hint="eastAsia"/>
                <w:b/>
                <w:bCs/>
                <w:color w:val="000000"/>
                <w:spacing w:val="-2"/>
                <w:kern w:val="0"/>
                <w:szCs w:val="21"/>
              </w:rPr>
              <w:t>资  产：</w:t>
            </w:r>
          </w:p>
        </w:tc>
        <w:tc>
          <w:tcPr>
            <w:tcW w:w="3577" w:type="dxa"/>
            <w:tcBorders>
              <w:top w:val="nil"/>
              <w:left w:val="nil"/>
              <w:bottom w:val="single" w:sz="4" w:space="0" w:color="auto"/>
              <w:right w:val="single" w:sz="4" w:space="0" w:color="auto"/>
            </w:tcBorders>
            <w:shd w:val="clear" w:color="auto" w:fill="auto"/>
            <w:noWrap/>
            <w:vAlign w:val="center"/>
          </w:tcPr>
          <w:p w:rsidR="00151A9C" w:rsidRPr="00151A9C" w:rsidRDefault="00151A9C" w:rsidP="00151A9C">
            <w:pPr>
              <w:widowControl/>
              <w:spacing w:line="360" w:lineRule="auto"/>
              <w:jc w:val="left"/>
              <w:rPr>
                <w:rFonts w:asciiTheme="minorEastAsia" w:eastAsiaTheme="minorEastAsia" w:hAnsiTheme="minorEastAsia" w:cs="宋体"/>
                <w:color w:val="000000"/>
                <w:spacing w:val="-2"/>
                <w:kern w:val="0"/>
                <w:szCs w:val="21"/>
              </w:rPr>
            </w:pPr>
          </w:p>
        </w:tc>
      </w:tr>
      <w:tr w:rsidR="00151A9C" w:rsidRPr="00151A9C" w:rsidTr="00FA0719">
        <w:trPr>
          <w:trHeight w:val="270"/>
        </w:trPr>
        <w:tc>
          <w:tcPr>
            <w:tcW w:w="4979" w:type="dxa"/>
            <w:tcBorders>
              <w:top w:val="nil"/>
              <w:left w:val="single" w:sz="4" w:space="0" w:color="auto"/>
              <w:bottom w:val="single" w:sz="4" w:space="0" w:color="auto"/>
              <w:right w:val="single" w:sz="4" w:space="0" w:color="auto"/>
            </w:tcBorders>
            <w:shd w:val="clear" w:color="auto" w:fill="auto"/>
            <w:noWrap/>
            <w:vAlign w:val="center"/>
          </w:tcPr>
          <w:p w:rsidR="00151A9C" w:rsidRPr="00151A9C" w:rsidRDefault="00151A9C" w:rsidP="00151A9C">
            <w:pPr>
              <w:widowControl/>
              <w:spacing w:line="360" w:lineRule="auto"/>
              <w:jc w:val="left"/>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hint="eastAsia"/>
                <w:color w:val="000000"/>
                <w:spacing w:val="-2"/>
                <w:kern w:val="0"/>
                <w:szCs w:val="21"/>
              </w:rPr>
              <w:t xml:space="preserve">银行存款 </w:t>
            </w:r>
          </w:p>
        </w:tc>
        <w:tc>
          <w:tcPr>
            <w:tcW w:w="3577" w:type="dxa"/>
            <w:tcBorders>
              <w:top w:val="nil"/>
              <w:left w:val="nil"/>
              <w:bottom w:val="single" w:sz="4" w:space="0" w:color="auto"/>
              <w:right w:val="single" w:sz="4" w:space="0" w:color="auto"/>
            </w:tcBorders>
            <w:shd w:val="clear" w:color="auto" w:fill="auto"/>
            <w:noWrap/>
            <w:vAlign w:val="center"/>
          </w:tcPr>
          <w:p w:rsidR="00151A9C" w:rsidRPr="00151A9C" w:rsidRDefault="00151A9C" w:rsidP="00151A9C">
            <w:pPr>
              <w:widowControl/>
              <w:spacing w:line="360" w:lineRule="auto"/>
              <w:jc w:val="right"/>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color w:val="000000"/>
                <w:spacing w:val="-2"/>
                <w:kern w:val="0"/>
                <w:szCs w:val="21"/>
              </w:rPr>
              <w:t>18,140,694.23</w:t>
            </w:r>
          </w:p>
        </w:tc>
      </w:tr>
      <w:tr w:rsidR="00151A9C" w:rsidRPr="00151A9C" w:rsidTr="00FA0719">
        <w:trPr>
          <w:trHeight w:val="270"/>
        </w:trPr>
        <w:tc>
          <w:tcPr>
            <w:tcW w:w="4979" w:type="dxa"/>
            <w:tcBorders>
              <w:top w:val="nil"/>
              <w:left w:val="single" w:sz="4" w:space="0" w:color="auto"/>
              <w:bottom w:val="single" w:sz="4" w:space="0" w:color="auto"/>
              <w:right w:val="single" w:sz="4" w:space="0" w:color="auto"/>
            </w:tcBorders>
            <w:shd w:val="clear" w:color="auto" w:fill="auto"/>
            <w:noWrap/>
            <w:vAlign w:val="center"/>
          </w:tcPr>
          <w:p w:rsidR="00151A9C" w:rsidRPr="00151A9C" w:rsidRDefault="00151A9C" w:rsidP="00151A9C">
            <w:pPr>
              <w:widowControl/>
              <w:spacing w:line="360" w:lineRule="auto"/>
              <w:jc w:val="left"/>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hint="eastAsia"/>
                <w:color w:val="000000"/>
                <w:spacing w:val="-2"/>
                <w:kern w:val="0"/>
                <w:szCs w:val="21"/>
              </w:rPr>
              <w:t>结算备付金</w:t>
            </w:r>
          </w:p>
        </w:tc>
        <w:tc>
          <w:tcPr>
            <w:tcW w:w="3577" w:type="dxa"/>
            <w:tcBorders>
              <w:top w:val="nil"/>
              <w:left w:val="nil"/>
              <w:bottom w:val="single" w:sz="4" w:space="0" w:color="auto"/>
              <w:right w:val="single" w:sz="4" w:space="0" w:color="auto"/>
            </w:tcBorders>
            <w:shd w:val="clear" w:color="auto" w:fill="auto"/>
            <w:noWrap/>
            <w:vAlign w:val="center"/>
          </w:tcPr>
          <w:p w:rsidR="00151A9C" w:rsidRPr="00151A9C" w:rsidRDefault="00151A9C" w:rsidP="00151A9C">
            <w:pPr>
              <w:widowControl/>
              <w:spacing w:line="360" w:lineRule="auto"/>
              <w:jc w:val="right"/>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color w:val="000000"/>
                <w:spacing w:val="-2"/>
                <w:kern w:val="0"/>
                <w:szCs w:val="21"/>
              </w:rPr>
              <w:t>2,390,909.09</w:t>
            </w:r>
          </w:p>
        </w:tc>
      </w:tr>
      <w:tr w:rsidR="00151A9C" w:rsidRPr="00151A9C" w:rsidTr="00FA0719">
        <w:trPr>
          <w:trHeight w:val="270"/>
        </w:trPr>
        <w:tc>
          <w:tcPr>
            <w:tcW w:w="4979" w:type="dxa"/>
            <w:tcBorders>
              <w:top w:val="nil"/>
              <w:left w:val="single" w:sz="4" w:space="0" w:color="auto"/>
              <w:bottom w:val="single" w:sz="4" w:space="0" w:color="auto"/>
              <w:right w:val="single" w:sz="4" w:space="0" w:color="auto"/>
            </w:tcBorders>
            <w:shd w:val="clear" w:color="auto" w:fill="auto"/>
            <w:noWrap/>
            <w:vAlign w:val="center"/>
          </w:tcPr>
          <w:p w:rsidR="00151A9C" w:rsidRPr="00151A9C" w:rsidRDefault="00151A9C" w:rsidP="00151A9C">
            <w:pPr>
              <w:widowControl/>
              <w:spacing w:line="360" w:lineRule="auto"/>
              <w:jc w:val="left"/>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hint="eastAsia"/>
                <w:color w:val="000000"/>
                <w:spacing w:val="-2"/>
                <w:kern w:val="0"/>
                <w:szCs w:val="21"/>
              </w:rPr>
              <w:t xml:space="preserve">存出保证金 </w:t>
            </w:r>
          </w:p>
        </w:tc>
        <w:tc>
          <w:tcPr>
            <w:tcW w:w="3577" w:type="dxa"/>
            <w:tcBorders>
              <w:top w:val="nil"/>
              <w:left w:val="nil"/>
              <w:bottom w:val="single" w:sz="4" w:space="0" w:color="auto"/>
              <w:right w:val="single" w:sz="4" w:space="0" w:color="auto"/>
            </w:tcBorders>
            <w:shd w:val="clear" w:color="auto" w:fill="auto"/>
            <w:noWrap/>
            <w:vAlign w:val="center"/>
          </w:tcPr>
          <w:p w:rsidR="00151A9C" w:rsidRPr="00151A9C" w:rsidRDefault="00151A9C" w:rsidP="00151A9C">
            <w:pPr>
              <w:widowControl/>
              <w:spacing w:line="360" w:lineRule="auto"/>
              <w:jc w:val="right"/>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color w:val="000000"/>
                <w:spacing w:val="-2"/>
                <w:kern w:val="0"/>
                <w:szCs w:val="21"/>
              </w:rPr>
              <w:t>836.05</w:t>
            </w:r>
          </w:p>
        </w:tc>
      </w:tr>
      <w:tr w:rsidR="00151A9C" w:rsidRPr="00151A9C" w:rsidTr="00FA0719">
        <w:trPr>
          <w:trHeight w:val="270"/>
        </w:trPr>
        <w:tc>
          <w:tcPr>
            <w:tcW w:w="4979" w:type="dxa"/>
            <w:tcBorders>
              <w:top w:val="nil"/>
              <w:left w:val="single" w:sz="4" w:space="0" w:color="auto"/>
              <w:bottom w:val="single" w:sz="4" w:space="0" w:color="auto"/>
              <w:right w:val="single" w:sz="4" w:space="0" w:color="auto"/>
            </w:tcBorders>
            <w:shd w:val="clear" w:color="auto" w:fill="auto"/>
            <w:noWrap/>
            <w:vAlign w:val="center"/>
          </w:tcPr>
          <w:p w:rsidR="00151A9C" w:rsidRPr="00151A9C" w:rsidRDefault="00151A9C" w:rsidP="00151A9C">
            <w:pPr>
              <w:widowControl/>
              <w:spacing w:line="360" w:lineRule="auto"/>
              <w:jc w:val="left"/>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hint="eastAsia"/>
                <w:color w:val="000000"/>
                <w:spacing w:val="-2"/>
                <w:kern w:val="0"/>
                <w:szCs w:val="21"/>
              </w:rPr>
              <w:t xml:space="preserve">应收利息 </w:t>
            </w:r>
          </w:p>
        </w:tc>
        <w:tc>
          <w:tcPr>
            <w:tcW w:w="3577" w:type="dxa"/>
            <w:tcBorders>
              <w:top w:val="nil"/>
              <w:left w:val="nil"/>
              <w:bottom w:val="single" w:sz="4" w:space="0" w:color="auto"/>
              <w:right w:val="single" w:sz="4" w:space="0" w:color="auto"/>
            </w:tcBorders>
            <w:shd w:val="clear" w:color="auto" w:fill="auto"/>
            <w:noWrap/>
            <w:vAlign w:val="center"/>
          </w:tcPr>
          <w:p w:rsidR="00151A9C" w:rsidRPr="00151A9C" w:rsidRDefault="00151A9C" w:rsidP="00151A9C">
            <w:pPr>
              <w:widowControl/>
              <w:spacing w:line="360" w:lineRule="auto"/>
              <w:jc w:val="right"/>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color w:val="000000"/>
                <w:spacing w:val="-2"/>
                <w:kern w:val="0"/>
                <w:szCs w:val="21"/>
              </w:rPr>
              <w:t>10,326.39</w:t>
            </w:r>
          </w:p>
        </w:tc>
      </w:tr>
      <w:tr w:rsidR="00151A9C" w:rsidRPr="00151A9C" w:rsidTr="00FA0719">
        <w:trPr>
          <w:trHeight w:val="270"/>
        </w:trPr>
        <w:tc>
          <w:tcPr>
            <w:tcW w:w="4979" w:type="dxa"/>
            <w:tcBorders>
              <w:top w:val="nil"/>
              <w:left w:val="single" w:sz="4" w:space="0" w:color="auto"/>
              <w:bottom w:val="single" w:sz="4" w:space="0" w:color="auto"/>
              <w:right w:val="single" w:sz="4" w:space="0" w:color="auto"/>
            </w:tcBorders>
            <w:shd w:val="clear" w:color="auto" w:fill="auto"/>
            <w:noWrap/>
            <w:vAlign w:val="center"/>
          </w:tcPr>
          <w:p w:rsidR="00151A9C" w:rsidRPr="00151A9C" w:rsidRDefault="00151A9C" w:rsidP="00151A9C">
            <w:pPr>
              <w:widowControl/>
              <w:spacing w:line="360" w:lineRule="auto"/>
              <w:jc w:val="left"/>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hint="eastAsia"/>
                <w:color w:val="000000"/>
                <w:spacing w:val="-2"/>
                <w:kern w:val="0"/>
                <w:szCs w:val="21"/>
              </w:rPr>
              <w:t xml:space="preserve">资产总计 </w:t>
            </w:r>
          </w:p>
        </w:tc>
        <w:tc>
          <w:tcPr>
            <w:tcW w:w="3577" w:type="dxa"/>
            <w:tcBorders>
              <w:top w:val="nil"/>
              <w:left w:val="nil"/>
              <w:bottom w:val="single" w:sz="4" w:space="0" w:color="auto"/>
              <w:right w:val="single" w:sz="4" w:space="0" w:color="auto"/>
            </w:tcBorders>
            <w:shd w:val="clear" w:color="auto" w:fill="auto"/>
            <w:noWrap/>
            <w:vAlign w:val="center"/>
          </w:tcPr>
          <w:p w:rsidR="00151A9C" w:rsidRPr="00151A9C" w:rsidRDefault="00151A9C" w:rsidP="00151A9C">
            <w:pPr>
              <w:widowControl/>
              <w:spacing w:line="360" w:lineRule="auto"/>
              <w:jc w:val="right"/>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color w:val="000000"/>
                <w:spacing w:val="-2"/>
                <w:kern w:val="0"/>
                <w:szCs w:val="21"/>
              </w:rPr>
              <w:t>20,542,765.76</w:t>
            </w:r>
          </w:p>
        </w:tc>
      </w:tr>
      <w:tr w:rsidR="00151A9C" w:rsidRPr="00151A9C" w:rsidTr="00FA0719">
        <w:trPr>
          <w:trHeight w:val="270"/>
        </w:trPr>
        <w:tc>
          <w:tcPr>
            <w:tcW w:w="4979" w:type="dxa"/>
            <w:tcBorders>
              <w:top w:val="nil"/>
              <w:left w:val="single" w:sz="4" w:space="0" w:color="auto"/>
              <w:bottom w:val="single" w:sz="4" w:space="0" w:color="auto"/>
              <w:right w:val="single" w:sz="4" w:space="0" w:color="auto"/>
            </w:tcBorders>
            <w:shd w:val="clear" w:color="auto" w:fill="auto"/>
            <w:noWrap/>
            <w:vAlign w:val="center"/>
          </w:tcPr>
          <w:p w:rsidR="00151A9C" w:rsidRPr="00151A9C" w:rsidRDefault="00151A9C" w:rsidP="00151A9C">
            <w:pPr>
              <w:widowControl/>
              <w:spacing w:line="360" w:lineRule="auto"/>
              <w:jc w:val="left"/>
              <w:rPr>
                <w:rFonts w:asciiTheme="minorEastAsia" w:eastAsiaTheme="minorEastAsia" w:hAnsiTheme="minorEastAsia" w:cs="宋体"/>
                <w:b/>
                <w:bCs/>
                <w:color w:val="000000"/>
                <w:spacing w:val="-2"/>
                <w:kern w:val="0"/>
                <w:szCs w:val="21"/>
              </w:rPr>
            </w:pPr>
            <w:r w:rsidRPr="00151A9C">
              <w:rPr>
                <w:rFonts w:asciiTheme="minorEastAsia" w:eastAsiaTheme="minorEastAsia" w:hAnsiTheme="minorEastAsia" w:cs="宋体" w:hint="eastAsia"/>
                <w:b/>
                <w:bCs/>
                <w:color w:val="000000"/>
                <w:spacing w:val="-2"/>
                <w:kern w:val="0"/>
                <w:szCs w:val="21"/>
              </w:rPr>
              <w:t>负  债：</w:t>
            </w:r>
          </w:p>
        </w:tc>
        <w:tc>
          <w:tcPr>
            <w:tcW w:w="3577" w:type="dxa"/>
            <w:tcBorders>
              <w:top w:val="nil"/>
              <w:left w:val="nil"/>
              <w:bottom w:val="single" w:sz="4" w:space="0" w:color="auto"/>
              <w:right w:val="single" w:sz="4" w:space="0" w:color="auto"/>
            </w:tcBorders>
            <w:shd w:val="clear" w:color="auto" w:fill="auto"/>
            <w:noWrap/>
            <w:vAlign w:val="center"/>
          </w:tcPr>
          <w:p w:rsidR="00151A9C" w:rsidRPr="00151A9C" w:rsidRDefault="00151A9C" w:rsidP="00151A9C">
            <w:pPr>
              <w:widowControl/>
              <w:spacing w:line="360" w:lineRule="auto"/>
              <w:jc w:val="right"/>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hint="eastAsia"/>
                <w:color w:val="000000"/>
                <w:spacing w:val="-2"/>
                <w:kern w:val="0"/>
                <w:szCs w:val="21"/>
              </w:rPr>
              <w:t xml:space="preserve">　</w:t>
            </w:r>
          </w:p>
        </w:tc>
      </w:tr>
      <w:tr w:rsidR="00151A9C" w:rsidRPr="00151A9C" w:rsidTr="00FA0719">
        <w:trPr>
          <w:trHeight w:val="270"/>
        </w:trPr>
        <w:tc>
          <w:tcPr>
            <w:tcW w:w="4979" w:type="dxa"/>
            <w:tcBorders>
              <w:top w:val="nil"/>
              <w:left w:val="single" w:sz="4" w:space="0" w:color="auto"/>
              <w:bottom w:val="single" w:sz="4" w:space="0" w:color="auto"/>
              <w:right w:val="single" w:sz="4" w:space="0" w:color="auto"/>
            </w:tcBorders>
            <w:shd w:val="clear" w:color="auto" w:fill="auto"/>
            <w:noWrap/>
            <w:vAlign w:val="center"/>
          </w:tcPr>
          <w:p w:rsidR="00151A9C" w:rsidRPr="00151A9C" w:rsidRDefault="00151A9C" w:rsidP="00151A9C">
            <w:pPr>
              <w:widowControl/>
              <w:spacing w:line="360" w:lineRule="auto"/>
              <w:jc w:val="left"/>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hint="eastAsia"/>
                <w:color w:val="000000"/>
                <w:spacing w:val="-2"/>
                <w:kern w:val="0"/>
                <w:szCs w:val="21"/>
              </w:rPr>
              <w:t>应付</w:t>
            </w:r>
            <w:r w:rsidRPr="00151A9C">
              <w:rPr>
                <w:rFonts w:asciiTheme="minorEastAsia" w:eastAsiaTheme="minorEastAsia" w:hAnsiTheme="minorEastAsia" w:cs="宋体"/>
                <w:color w:val="000000"/>
                <w:spacing w:val="-2"/>
                <w:kern w:val="0"/>
                <w:szCs w:val="21"/>
              </w:rPr>
              <w:t>赎回款</w:t>
            </w:r>
          </w:p>
        </w:tc>
        <w:tc>
          <w:tcPr>
            <w:tcW w:w="3577" w:type="dxa"/>
            <w:tcBorders>
              <w:top w:val="nil"/>
              <w:left w:val="nil"/>
              <w:bottom w:val="single" w:sz="4" w:space="0" w:color="auto"/>
              <w:right w:val="single" w:sz="4" w:space="0" w:color="auto"/>
            </w:tcBorders>
            <w:shd w:val="clear" w:color="auto" w:fill="auto"/>
            <w:noWrap/>
            <w:vAlign w:val="center"/>
          </w:tcPr>
          <w:p w:rsidR="00151A9C" w:rsidRPr="00151A9C" w:rsidRDefault="00151A9C" w:rsidP="00151A9C">
            <w:pPr>
              <w:widowControl/>
              <w:spacing w:line="360" w:lineRule="auto"/>
              <w:jc w:val="right"/>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color w:val="000000"/>
                <w:spacing w:val="-2"/>
                <w:kern w:val="0"/>
                <w:szCs w:val="21"/>
              </w:rPr>
              <w:t>802</w:t>
            </w:r>
            <w:r w:rsidRPr="00151A9C">
              <w:rPr>
                <w:rFonts w:asciiTheme="minorEastAsia" w:eastAsiaTheme="minorEastAsia" w:hAnsiTheme="minorEastAsia" w:cs="宋体" w:hint="eastAsia"/>
                <w:color w:val="000000"/>
                <w:spacing w:val="-2"/>
                <w:kern w:val="0"/>
                <w:szCs w:val="21"/>
              </w:rPr>
              <w:t>,</w:t>
            </w:r>
            <w:r w:rsidRPr="00151A9C">
              <w:rPr>
                <w:rFonts w:asciiTheme="minorEastAsia" w:eastAsiaTheme="minorEastAsia" w:hAnsiTheme="minorEastAsia" w:cs="宋体"/>
                <w:color w:val="000000"/>
                <w:spacing w:val="-2"/>
                <w:kern w:val="0"/>
                <w:szCs w:val="21"/>
              </w:rPr>
              <w:t>531.58</w:t>
            </w:r>
          </w:p>
        </w:tc>
      </w:tr>
      <w:tr w:rsidR="00151A9C" w:rsidRPr="00151A9C" w:rsidTr="00FA0719">
        <w:trPr>
          <w:trHeight w:val="270"/>
        </w:trPr>
        <w:tc>
          <w:tcPr>
            <w:tcW w:w="4979" w:type="dxa"/>
            <w:tcBorders>
              <w:top w:val="nil"/>
              <w:left w:val="single" w:sz="4" w:space="0" w:color="auto"/>
              <w:bottom w:val="single" w:sz="4" w:space="0" w:color="auto"/>
              <w:right w:val="single" w:sz="4" w:space="0" w:color="auto"/>
            </w:tcBorders>
            <w:shd w:val="clear" w:color="auto" w:fill="auto"/>
            <w:noWrap/>
            <w:vAlign w:val="center"/>
          </w:tcPr>
          <w:p w:rsidR="00151A9C" w:rsidRPr="00151A9C" w:rsidRDefault="00151A9C" w:rsidP="00151A9C">
            <w:pPr>
              <w:widowControl/>
              <w:spacing w:line="360" w:lineRule="auto"/>
              <w:jc w:val="left"/>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hint="eastAsia"/>
                <w:color w:val="000000"/>
                <w:spacing w:val="-2"/>
                <w:kern w:val="0"/>
                <w:szCs w:val="21"/>
              </w:rPr>
              <w:t>应付托管费</w:t>
            </w:r>
          </w:p>
        </w:tc>
        <w:tc>
          <w:tcPr>
            <w:tcW w:w="3577" w:type="dxa"/>
            <w:tcBorders>
              <w:top w:val="nil"/>
              <w:left w:val="nil"/>
              <w:bottom w:val="single" w:sz="4" w:space="0" w:color="auto"/>
              <w:right w:val="single" w:sz="4" w:space="0" w:color="auto"/>
            </w:tcBorders>
            <w:shd w:val="clear" w:color="auto" w:fill="auto"/>
            <w:noWrap/>
            <w:vAlign w:val="center"/>
          </w:tcPr>
          <w:p w:rsidR="00151A9C" w:rsidRPr="00151A9C" w:rsidRDefault="00151A9C" w:rsidP="00151A9C">
            <w:pPr>
              <w:widowControl/>
              <w:spacing w:line="360" w:lineRule="auto"/>
              <w:jc w:val="right"/>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color w:val="000000"/>
                <w:spacing w:val="-2"/>
                <w:kern w:val="0"/>
                <w:szCs w:val="21"/>
              </w:rPr>
              <w:t>3</w:t>
            </w:r>
            <w:r w:rsidRPr="00151A9C">
              <w:rPr>
                <w:rFonts w:asciiTheme="minorEastAsia" w:eastAsiaTheme="minorEastAsia" w:hAnsiTheme="minorEastAsia" w:cs="宋体" w:hint="eastAsia"/>
                <w:color w:val="000000"/>
                <w:spacing w:val="-2"/>
                <w:kern w:val="0"/>
                <w:szCs w:val="21"/>
              </w:rPr>
              <w:t>,</w:t>
            </w:r>
            <w:r w:rsidRPr="00151A9C">
              <w:rPr>
                <w:rFonts w:asciiTheme="minorEastAsia" w:eastAsiaTheme="minorEastAsia" w:hAnsiTheme="minorEastAsia" w:cs="宋体"/>
                <w:color w:val="000000"/>
                <w:spacing w:val="-2"/>
                <w:kern w:val="0"/>
                <w:szCs w:val="21"/>
              </w:rPr>
              <w:t>162.16</w:t>
            </w:r>
          </w:p>
        </w:tc>
      </w:tr>
      <w:tr w:rsidR="00151A9C" w:rsidRPr="00151A9C" w:rsidTr="00FA0719">
        <w:trPr>
          <w:trHeight w:val="270"/>
        </w:trPr>
        <w:tc>
          <w:tcPr>
            <w:tcW w:w="4979" w:type="dxa"/>
            <w:tcBorders>
              <w:top w:val="nil"/>
              <w:left w:val="single" w:sz="4" w:space="0" w:color="auto"/>
              <w:bottom w:val="single" w:sz="4" w:space="0" w:color="auto"/>
              <w:right w:val="single" w:sz="4" w:space="0" w:color="auto"/>
            </w:tcBorders>
            <w:shd w:val="clear" w:color="auto" w:fill="auto"/>
            <w:noWrap/>
            <w:vAlign w:val="center"/>
          </w:tcPr>
          <w:p w:rsidR="00151A9C" w:rsidRPr="00151A9C" w:rsidRDefault="00151A9C" w:rsidP="00151A9C">
            <w:pPr>
              <w:widowControl/>
              <w:spacing w:line="360" w:lineRule="auto"/>
              <w:jc w:val="left"/>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hint="eastAsia"/>
                <w:color w:val="000000"/>
                <w:spacing w:val="-2"/>
                <w:kern w:val="0"/>
                <w:szCs w:val="21"/>
              </w:rPr>
              <w:t>应付</w:t>
            </w:r>
            <w:r w:rsidRPr="00151A9C">
              <w:rPr>
                <w:rFonts w:asciiTheme="minorEastAsia" w:eastAsiaTheme="minorEastAsia" w:hAnsiTheme="minorEastAsia" w:cs="宋体"/>
                <w:color w:val="000000"/>
                <w:spacing w:val="-2"/>
                <w:kern w:val="0"/>
                <w:szCs w:val="21"/>
              </w:rPr>
              <w:t>销售服务费</w:t>
            </w:r>
          </w:p>
        </w:tc>
        <w:tc>
          <w:tcPr>
            <w:tcW w:w="3577" w:type="dxa"/>
            <w:tcBorders>
              <w:top w:val="nil"/>
              <w:left w:val="nil"/>
              <w:bottom w:val="single" w:sz="4" w:space="0" w:color="auto"/>
              <w:right w:val="single" w:sz="4" w:space="0" w:color="auto"/>
            </w:tcBorders>
            <w:shd w:val="clear" w:color="auto" w:fill="auto"/>
            <w:noWrap/>
            <w:vAlign w:val="center"/>
          </w:tcPr>
          <w:p w:rsidR="00151A9C" w:rsidRPr="00151A9C" w:rsidRDefault="00151A9C" w:rsidP="00151A9C">
            <w:pPr>
              <w:widowControl/>
              <w:spacing w:line="360" w:lineRule="auto"/>
              <w:jc w:val="right"/>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color w:val="000000"/>
                <w:spacing w:val="-2"/>
                <w:kern w:val="0"/>
                <w:szCs w:val="21"/>
              </w:rPr>
              <w:t>7</w:t>
            </w:r>
            <w:r w:rsidRPr="00151A9C">
              <w:rPr>
                <w:rFonts w:asciiTheme="minorEastAsia" w:eastAsiaTheme="minorEastAsia" w:hAnsiTheme="minorEastAsia" w:cs="宋体" w:hint="eastAsia"/>
                <w:color w:val="000000"/>
                <w:spacing w:val="-2"/>
                <w:kern w:val="0"/>
                <w:szCs w:val="21"/>
              </w:rPr>
              <w:t>,</w:t>
            </w:r>
            <w:r w:rsidRPr="00151A9C">
              <w:rPr>
                <w:rFonts w:asciiTheme="minorEastAsia" w:eastAsiaTheme="minorEastAsia" w:hAnsiTheme="minorEastAsia" w:cs="宋体"/>
                <w:color w:val="000000"/>
                <w:spacing w:val="-2"/>
                <w:kern w:val="0"/>
                <w:szCs w:val="21"/>
              </w:rPr>
              <w:t>905.35</w:t>
            </w:r>
          </w:p>
        </w:tc>
      </w:tr>
      <w:tr w:rsidR="00151A9C" w:rsidRPr="00151A9C" w:rsidTr="00FA0719">
        <w:trPr>
          <w:trHeight w:val="270"/>
        </w:trPr>
        <w:tc>
          <w:tcPr>
            <w:tcW w:w="4979" w:type="dxa"/>
            <w:tcBorders>
              <w:top w:val="nil"/>
              <w:left w:val="single" w:sz="4" w:space="0" w:color="auto"/>
              <w:bottom w:val="single" w:sz="4" w:space="0" w:color="auto"/>
              <w:right w:val="single" w:sz="4" w:space="0" w:color="auto"/>
            </w:tcBorders>
            <w:shd w:val="clear" w:color="auto" w:fill="auto"/>
            <w:noWrap/>
            <w:vAlign w:val="center"/>
          </w:tcPr>
          <w:p w:rsidR="00151A9C" w:rsidRPr="00151A9C" w:rsidRDefault="00151A9C" w:rsidP="00151A9C">
            <w:pPr>
              <w:widowControl/>
              <w:spacing w:line="360" w:lineRule="auto"/>
              <w:jc w:val="left"/>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hint="eastAsia"/>
                <w:color w:val="000000"/>
                <w:spacing w:val="-2"/>
                <w:kern w:val="0"/>
                <w:szCs w:val="21"/>
              </w:rPr>
              <w:t>应付交易费用</w:t>
            </w:r>
          </w:p>
        </w:tc>
        <w:tc>
          <w:tcPr>
            <w:tcW w:w="3577" w:type="dxa"/>
            <w:tcBorders>
              <w:top w:val="nil"/>
              <w:left w:val="nil"/>
              <w:bottom w:val="single" w:sz="4" w:space="0" w:color="auto"/>
              <w:right w:val="single" w:sz="4" w:space="0" w:color="auto"/>
            </w:tcBorders>
            <w:shd w:val="clear" w:color="auto" w:fill="auto"/>
            <w:noWrap/>
            <w:vAlign w:val="center"/>
          </w:tcPr>
          <w:p w:rsidR="00151A9C" w:rsidRPr="00151A9C" w:rsidRDefault="00151A9C" w:rsidP="00151A9C">
            <w:pPr>
              <w:widowControl/>
              <w:spacing w:line="360" w:lineRule="auto"/>
              <w:jc w:val="right"/>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color w:val="000000"/>
                <w:spacing w:val="-2"/>
                <w:kern w:val="0"/>
                <w:szCs w:val="21"/>
              </w:rPr>
              <w:t>6</w:t>
            </w:r>
            <w:r w:rsidRPr="00151A9C">
              <w:rPr>
                <w:rFonts w:asciiTheme="minorEastAsia" w:eastAsiaTheme="minorEastAsia" w:hAnsiTheme="minorEastAsia" w:cs="宋体" w:hint="eastAsia"/>
                <w:color w:val="000000"/>
                <w:spacing w:val="-2"/>
                <w:kern w:val="0"/>
                <w:szCs w:val="21"/>
              </w:rPr>
              <w:t>,</w:t>
            </w:r>
            <w:r w:rsidRPr="00151A9C">
              <w:rPr>
                <w:rFonts w:asciiTheme="minorEastAsia" w:eastAsiaTheme="minorEastAsia" w:hAnsiTheme="minorEastAsia" w:cs="宋体"/>
                <w:color w:val="000000"/>
                <w:spacing w:val="-2"/>
                <w:kern w:val="0"/>
                <w:szCs w:val="21"/>
              </w:rPr>
              <w:t>341.64</w:t>
            </w:r>
          </w:p>
        </w:tc>
      </w:tr>
      <w:tr w:rsidR="00151A9C" w:rsidRPr="00151A9C" w:rsidTr="00FA0719">
        <w:trPr>
          <w:trHeight w:val="270"/>
        </w:trPr>
        <w:tc>
          <w:tcPr>
            <w:tcW w:w="4979" w:type="dxa"/>
            <w:tcBorders>
              <w:top w:val="nil"/>
              <w:left w:val="single" w:sz="4" w:space="0" w:color="auto"/>
              <w:bottom w:val="single" w:sz="4" w:space="0" w:color="auto"/>
              <w:right w:val="single" w:sz="4" w:space="0" w:color="auto"/>
            </w:tcBorders>
            <w:shd w:val="clear" w:color="auto" w:fill="auto"/>
            <w:noWrap/>
            <w:vAlign w:val="center"/>
          </w:tcPr>
          <w:p w:rsidR="00151A9C" w:rsidRPr="00151A9C" w:rsidRDefault="00151A9C" w:rsidP="00151A9C">
            <w:pPr>
              <w:widowControl/>
              <w:spacing w:line="360" w:lineRule="auto"/>
              <w:jc w:val="left"/>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hint="eastAsia"/>
                <w:color w:val="000000"/>
                <w:spacing w:val="-2"/>
                <w:kern w:val="0"/>
                <w:szCs w:val="21"/>
              </w:rPr>
              <w:t>其他负债</w:t>
            </w:r>
          </w:p>
        </w:tc>
        <w:tc>
          <w:tcPr>
            <w:tcW w:w="3577" w:type="dxa"/>
            <w:tcBorders>
              <w:top w:val="nil"/>
              <w:left w:val="nil"/>
              <w:bottom w:val="single" w:sz="4" w:space="0" w:color="auto"/>
              <w:right w:val="single" w:sz="4" w:space="0" w:color="auto"/>
            </w:tcBorders>
            <w:shd w:val="clear" w:color="auto" w:fill="auto"/>
            <w:noWrap/>
          </w:tcPr>
          <w:p w:rsidR="00151A9C" w:rsidRPr="00151A9C" w:rsidRDefault="00151A9C" w:rsidP="00151A9C">
            <w:pPr>
              <w:widowControl/>
              <w:spacing w:line="360" w:lineRule="auto"/>
              <w:jc w:val="right"/>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color w:val="000000"/>
                <w:spacing w:val="-2"/>
                <w:kern w:val="0"/>
                <w:szCs w:val="21"/>
              </w:rPr>
              <w:t>67</w:t>
            </w:r>
            <w:r w:rsidRPr="00151A9C">
              <w:rPr>
                <w:rFonts w:asciiTheme="minorEastAsia" w:eastAsiaTheme="minorEastAsia" w:hAnsiTheme="minorEastAsia" w:cs="宋体" w:hint="eastAsia"/>
                <w:color w:val="000000"/>
                <w:spacing w:val="-2"/>
                <w:kern w:val="0"/>
                <w:szCs w:val="21"/>
              </w:rPr>
              <w:t>,</w:t>
            </w:r>
            <w:r w:rsidRPr="00151A9C">
              <w:rPr>
                <w:rFonts w:asciiTheme="minorEastAsia" w:eastAsiaTheme="minorEastAsia" w:hAnsiTheme="minorEastAsia" w:cs="宋体"/>
                <w:color w:val="000000"/>
                <w:spacing w:val="-2"/>
                <w:kern w:val="0"/>
                <w:szCs w:val="21"/>
              </w:rPr>
              <w:t>865.99</w:t>
            </w:r>
          </w:p>
        </w:tc>
      </w:tr>
      <w:tr w:rsidR="00151A9C" w:rsidRPr="00151A9C" w:rsidTr="00FA0719">
        <w:trPr>
          <w:trHeight w:val="270"/>
        </w:trPr>
        <w:tc>
          <w:tcPr>
            <w:tcW w:w="4979" w:type="dxa"/>
            <w:tcBorders>
              <w:top w:val="nil"/>
              <w:left w:val="single" w:sz="4" w:space="0" w:color="auto"/>
              <w:bottom w:val="single" w:sz="4" w:space="0" w:color="auto"/>
              <w:right w:val="single" w:sz="4" w:space="0" w:color="auto"/>
            </w:tcBorders>
            <w:shd w:val="clear" w:color="auto" w:fill="auto"/>
            <w:noWrap/>
            <w:vAlign w:val="center"/>
          </w:tcPr>
          <w:p w:rsidR="00151A9C" w:rsidRPr="00151A9C" w:rsidRDefault="00151A9C" w:rsidP="00151A9C">
            <w:pPr>
              <w:widowControl/>
              <w:spacing w:line="360" w:lineRule="auto"/>
              <w:jc w:val="left"/>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hint="eastAsia"/>
                <w:color w:val="000000"/>
                <w:spacing w:val="-2"/>
                <w:kern w:val="0"/>
                <w:szCs w:val="21"/>
              </w:rPr>
              <w:t xml:space="preserve">负债合计 </w:t>
            </w:r>
          </w:p>
        </w:tc>
        <w:tc>
          <w:tcPr>
            <w:tcW w:w="3577" w:type="dxa"/>
            <w:tcBorders>
              <w:top w:val="nil"/>
              <w:left w:val="nil"/>
              <w:bottom w:val="single" w:sz="4" w:space="0" w:color="auto"/>
              <w:right w:val="single" w:sz="4" w:space="0" w:color="auto"/>
            </w:tcBorders>
            <w:shd w:val="clear" w:color="auto" w:fill="auto"/>
            <w:noWrap/>
          </w:tcPr>
          <w:p w:rsidR="00151A9C" w:rsidRPr="00151A9C" w:rsidRDefault="00151A9C" w:rsidP="00151A9C">
            <w:pPr>
              <w:widowControl/>
              <w:spacing w:line="360" w:lineRule="auto"/>
              <w:jc w:val="right"/>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color w:val="000000"/>
                <w:spacing w:val="-2"/>
                <w:kern w:val="0"/>
                <w:szCs w:val="21"/>
              </w:rPr>
              <w:t>887</w:t>
            </w:r>
            <w:r w:rsidRPr="00151A9C">
              <w:rPr>
                <w:rFonts w:asciiTheme="minorEastAsia" w:eastAsiaTheme="minorEastAsia" w:hAnsiTheme="minorEastAsia" w:cs="宋体" w:hint="eastAsia"/>
                <w:color w:val="000000"/>
                <w:spacing w:val="-2"/>
                <w:kern w:val="0"/>
                <w:szCs w:val="21"/>
              </w:rPr>
              <w:t>,</w:t>
            </w:r>
            <w:r w:rsidRPr="00151A9C">
              <w:rPr>
                <w:rFonts w:asciiTheme="minorEastAsia" w:eastAsiaTheme="minorEastAsia" w:hAnsiTheme="minorEastAsia" w:cs="宋体"/>
                <w:color w:val="000000"/>
                <w:spacing w:val="-2"/>
                <w:kern w:val="0"/>
                <w:szCs w:val="21"/>
              </w:rPr>
              <w:t>806.72</w:t>
            </w:r>
          </w:p>
        </w:tc>
      </w:tr>
      <w:tr w:rsidR="00151A9C" w:rsidRPr="00151A9C" w:rsidTr="00FA0719">
        <w:trPr>
          <w:trHeight w:val="270"/>
        </w:trPr>
        <w:tc>
          <w:tcPr>
            <w:tcW w:w="4979" w:type="dxa"/>
            <w:tcBorders>
              <w:top w:val="nil"/>
              <w:left w:val="single" w:sz="4" w:space="0" w:color="auto"/>
              <w:bottom w:val="single" w:sz="4" w:space="0" w:color="auto"/>
              <w:right w:val="single" w:sz="4" w:space="0" w:color="auto"/>
            </w:tcBorders>
            <w:shd w:val="clear" w:color="auto" w:fill="auto"/>
            <w:noWrap/>
            <w:vAlign w:val="center"/>
          </w:tcPr>
          <w:p w:rsidR="00151A9C" w:rsidRPr="00151A9C" w:rsidRDefault="00151A9C" w:rsidP="00151A9C">
            <w:pPr>
              <w:widowControl/>
              <w:spacing w:line="360" w:lineRule="auto"/>
              <w:jc w:val="left"/>
              <w:rPr>
                <w:rFonts w:asciiTheme="minorEastAsia" w:eastAsiaTheme="minorEastAsia" w:hAnsiTheme="minorEastAsia" w:cs="宋体"/>
                <w:b/>
                <w:bCs/>
                <w:color w:val="000000"/>
                <w:spacing w:val="-2"/>
                <w:kern w:val="0"/>
                <w:szCs w:val="21"/>
              </w:rPr>
            </w:pPr>
            <w:r w:rsidRPr="00151A9C">
              <w:rPr>
                <w:rFonts w:asciiTheme="minorEastAsia" w:eastAsiaTheme="minorEastAsia" w:hAnsiTheme="minorEastAsia" w:cs="宋体" w:hint="eastAsia"/>
                <w:b/>
                <w:bCs/>
                <w:color w:val="000000"/>
                <w:spacing w:val="-2"/>
                <w:kern w:val="0"/>
                <w:szCs w:val="21"/>
              </w:rPr>
              <w:t>所有者权益：</w:t>
            </w:r>
          </w:p>
        </w:tc>
        <w:tc>
          <w:tcPr>
            <w:tcW w:w="3577" w:type="dxa"/>
            <w:tcBorders>
              <w:top w:val="nil"/>
              <w:left w:val="nil"/>
              <w:bottom w:val="single" w:sz="4" w:space="0" w:color="auto"/>
              <w:right w:val="single" w:sz="4" w:space="0" w:color="auto"/>
            </w:tcBorders>
            <w:shd w:val="clear" w:color="auto" w:fill="auto"/>
            <w:noWrap/>
            <w:vAlign w:val="center"/>
          </w:tcPr>
          <w:p w:rsidR="00151A9C" w:rsidRPr="00151A9C" w:rsidRDefault="00151A9C" w:rsidP="00151A9C">
            <w:pPr>
              <w:widowControl/>
              <w:spacing w:line="360" w:lineRule="auto"/>
              <w:jc w:val="right"/>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hint="eastAsia"/>
                <w:color w:val="000000"/>
                <w:spacing w:val="-2"/>
                <w:kern w:val="0"/>
                <w:szCs w:val="21"/>
              </w:rPr>
              <w:t xml:space="preserve">　</w:t>
            </w:r>
          </w:p>
        </w:tc>
      </w:tr>
      <w:tr w:rsidR="00151A9C" w:rsidRPr="00151A9C" w:rsidTr="00FA0719">
        <w:trPr>
          <w:trHeight w:val="270"/>
        </w:trPr>
        <w:tc>
          <w:tcPr>
            <w:tcW w:w="4979" w:type="dxa"/>
            <w:tcBorders>
              <w:top w:val="nil"/>
              <w:left w:val="single" w:sz="4" w:space="0" w:color="auto"/>
              <w:bottom w:val="single" w:sz="4" w:space="0" w:color="auto"/>
              <w:right w:val="single" w:sz="4" w:space="0" w:color="auto"/>
            </w:tcBorders>
            <w:shd w:val="clear" w:color="auto" w:fill="auto"/>
            <w:noWrap/>
            <w:vAlign w:val="center"/>
          </w:tcPr>
          <w:p w:rsidR="00151A9C" w:rsidRPr="00151A9C" w:rsidRDefault="00151A9C" w:rsidP="00151A9C">
            <w:pPr>
              <w:widowControl/>
              <w:spacing w:line="360" w:lineRule="auto"/>
              <w:jc w:val="left"/>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hint="eastAsia"/>
                <w:color w:val="000000"/>
                <w:spacing w:val="-2"/>
                <w:kern w:val="0"/>
                <w:szCs w:val="21"/>
              </w:rPr>
              <w:t xml:space="preserve">实收基金 </w:t>
            </w:r>
          </w:p>
        </w:tc>
        <w:tc>
          <w:tcPr>
            <w:tcW w:w="3577" w:type="dxa"/>
            <w:tcBorders>
              <w:top w:val="nil"/>
              <w:left w:val="nil"/>
              <w:bottom w:val="single" w:sz="4" w:space="0" w:color="auto"/>
              <w:right w:val="single" w:sz="4" w:space="0" w:color="auto"/>
            </w:tcBorders>
            <w:shd w:val="clear" w:color="auto" w:fill="auto"/>
            <w:noWrap/>
            <w:vAlign w:val="center"/>
          </w:tcPr>
          <w:p w:rsidR="00151A9C" w:rsidRPr="00151A9C" w:rsidRDefault="00151A9C" w:rsidP="00151A9C">
            <w:pPr>
              <w:widowControl/>
              <w:spacing w:line="360" w:lineRule="auto"/>
              <w:jc w:val="right"/>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color w:val="000000"/>
                <w:spacing w:val="-2"/>
                <w:kern w:val="0"/>
                <w:szCs w:val="21"/>
              </w:rPr>
              <w:t>15,402,866.11</w:t>
            </w:r>
          </w:p>
        </w:tc>
      </w:tr>
      <w:tr w:rsidR="00151A9C" w:rsidRPr="00151A9C" w:rsidTr="00FA0719">
        <w:trPr>
          <w:trHeight w:val="270"/>
        </w:trPr>
        <w:tc>
          <w:tcPr>
            <w:tcW w:w="4979" w:type="dxa"/>
            <w:tcBorders>
              <w:top w:val="nil"/>
              <w:left w:val="single" w:sz="4" w:space="0" w:color="auto"/>
              <w:bottom w:val="single" w:sz="4" w:space="0" w:color="auto"/>
              <w:right w:val="single" w:sz="4" w:space="0" w:color="auto"/>
            </w:tcBorders>
            <w:shd w:val="clear" w:color="auto" w:fill="auto"/>
            <w:noWrap/>
            <w:vAlign w:val="center"/>
          </w:tcPr>
          <w:p w:rsidR="00151A9C" w:rsidRPr="00151A9C" w:rsidRDefault="00151A9C" w:rsidP="00151A9C">
            <w:pPr>
              <w:widowControl/>
              <w:spacing w:line="360" w:lineRule="auto"/>
              <w:jc w:val="left"/>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hint="eastAsia"/>
                <w:color w:val="000000"/>
                <w:spacing w:val="-2"/>
                <w:kern w:val="0"/>
                <w:szCs w:val="21"/>
              </w:rPr>
              <w:t xml:space="preserve">未分配利润 </w:t>
            </w:r>
          </w:p>
        </w:tc>
        <w:tc>
          <w:tcPr>
            <w:tcW w:w="3577" w:type="dxa"/>
            <w:tcBorders>
              <w:top w:val="nil"/>
              <w:left w:val="nil"/>
              <w:bottom w:val="single" w:sz="4" w:space="0" w:color="auto"/>
              <w:right w:val="single" w:sz="4" w:space="0" w:color="auto"/>
            </w:tcBorders>
            <w:shd w:val="clear" w:color="auto" w:fill="auto"/>
            <w:noWrap/>
          </w:tcPr>
          <w:p w:rsidR="00151A9C" w:rsidRPr="00151A9C" w:rsidRDefault="00151A9C" w:rsidP="00151A9C">
            <w:pPr>
              <w:widowControl/>
              <w:spacing w:line="360" w:lineRule="auto"/>
              <w:jc w:val="right"/>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color w:val="000000"/>
                <w:spacing w:val="-2"/>
                <w:kern w:val="0"/>
                <w:szCs w:val="21"/>
              </w:rPr>
              <w:t>4,252,092.93</w:t>
            </w:r>
          </w:p>
        </w:tc>
      </w:tr>
      <w:tr w:rsidR="00151A9C" w:rsidRPr="00151A9C" w:rsidTr="00FA0719">
        <w:trPr>
          <w:trHeight w:val="270"/>
        </w:trPr>
        <w:tc>
          <w:tcPr>
            <w:tcW w:w="4979" w:type="dxa"/>
            <w:tcBorders>
              <w:top w:val="nil"/>
              <w:left w:val="single" w:sz="4" w:space="0" w:color="auto"/>
              <w:bottom w:val="single" w:sz="4" w:space="0" w:color="auto"/>
              <w:right w:val="single" w:sz="4" w:space="0" w:color="auto"/>
            </w:tcBorders>
            <w:shd w:val="clear" w:color="auto" w:fill="auto"/>
            <w:noWrap/>
            <w:vAlign w:val="center"/>
          </w:tcPr>
          <w:p w:rsidR="00151A9C" w:rsidRPr="00151A9C" w:rsidRDefault="00151A9C" w:rsidP="00151A9C">
            <w:pPr>
              <w:widowControl/>
              <w:spacing w:line="360" w:lineRule="auto"/>
              <w:jc w:val="left"/>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hint="eastAsia"/>
                <w:color w:val="000000"/>
                <w:spacing w:val="-2"/>
                <w:kern w:val="0"/>
                <w:szCs w:val="21"/>
              </w:rPr>
              <w:t>所有者权益合计</w:t>
            </w:r>
          </w:p>
        </w:tc>
        <w:tc>
          <w:tcPr>
            <w:tcW w:w="3577" w:type="dxa"/>
            <w:tcBorders>
              <w:top w:val="nil"/>
              <w:left w:val="nil"/>
              <w:bottom w:val="single" w:sz="4" w:space="0" w:color="auto"/>
              <w:right w:val="single" w:sz="4" w:space="0" w:color="auto"/>
            </w:tcBorders>
            <w:shd w:val="clear" w:color="auto" w:fill="auto"/>
            <w:noWrap/>
          </w:tcPr>
          <w:p w:rsidR="00151A9C" w:rsidRPr="00151A9C" w:rsidRDefault="00151A9C" w:rsidP="00151A9C">
            <w:pPr>
              <w:widowControl/>
              <w:spacing w:line="360" w:lineRule="auto"/>
              <w:jc w:val="right"/>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color w:val="000000"/>
                <w:spacing w:val="-2"/>
                <w:kern w:val="0"/>
                <w:szCs w:val="21"/>
              </w:rPr>
              <w:t>19,654,959.04</w:t>
            </w:r>
          </w:p>
        </w:tc>
      </w:tr>
      <w:tr w:rsidR="00151A9C" w:rsidRPr="00151A9C" w:rsidTr="00FA0719">
        <w:trPr>
          <w:trHeight w:val="270"/>
        </w:trPr>
        <w:tc>
          <w:tcPr>
            <w:tcW w:w="4979" w:type="dxa"/>
            <w:tcBorders>
              <w:top w:val="nil"/>
              <w:left w:val="single" w:sz="4" w:space="0" w:color="auto"/>
              <w:bottom w:val="single" w:sz="4" w:space="0" w:color="auto"/>
              <w:right w:val="single" w:sz="4" w:space="0" w:color="auto"/>
            </w:tcBorders>
            <w:shd w:val="clear" w:color="auto" w:fill="auto"/>
            <w:noWrap/>
            <w:vAlign w:val="center"/>
          </w:tcPr>
          <w:p w:rsidR="00151A9C" w:rsidRPr="00151A9C" w:rsidRDefault="00151A9C" w:rsidP="00151A9C">
            <w:pPr>
              <w:widowControl/>
              <w:spacing w:line="360" w:lineRule="auto"/>
              <w:jc w:val="left"/>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hint="eastAsia"/>
                <w:color w:val="000000"/>
                <w:spacing w:val="-2"/>
                <w:kern w:val="0"/>
                <w:szCs w:val="21"/>
              </w:rPr>
              <w:t xml:space="preserve">负债和所有者权益总计 </w:t>
            </w:r>
          </w:p>
        </w:tc>
        <w:tc>
          <w:tcPr>
            <w:tcW w:w="3577" w:type="dxa"/>
            <w:tcBorders>
              <w:top w:val="nil"/>
              <w:left w:val="nil"/>
              <w:bottom w:val="single" w:sz="4" w:space="0" w:color="auto"/>
              <w:right w:val="single" w:sz="4" w:space="0" w:color="auto"/>
            </w:tcBorders>
            <w:shd w:val="clear" w:color="auto" w:fill="auto"/>
            <w:noWrap/>
            <w:vAlign w:val="center"/>
          </w:tcPr>
          <w:p w:rsidR="00151A9C" w:rsidRPr="00151A9C" w:rsidRDefault="00151A9C" w:rsidP="00151A9C">
            <w:pPr>
              <w:widowControl/>
              <w:spacing w:line="360" w:lineRule="auto"/>
              <w:jc w:val="right"/>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color w:val="000000"/>
                <w:spacing w:val="-2"/>
                <w:kern w:val="0"/>
                <w:szCs w:val="21"/>
              </w:rPr>
              <w:t>20,542,765.76</w:t>
            </w:r>
          </w:p>
        </w:tc>
      </w:tr>
    </w:tbl>
    <w:p w:rsidR="00151A9C" w:rsidRPr="00151A9C" w:rsidRDefault="00151A9C" w:rsidP="00151A9C">
      <w:pPr>
        <w:pStyle w:val="1"/>
        <w:spacing w:line="360" w:lineRule="auto"/>
        <w:rPr>
          <w:rFonts w:asciiTheme="minorEastAsia" w:eastAsiaTheme="minorEastAsia" w:hAnsiTheme="minorEastAsia"/>
          <w:spacing w:val="-2"/>
          <w:sz w:val="21"/>
          <w:szCs w:val="21"/>
        </w:rPr>
      </w:pPr>
      <w:bookmarkStart w:id="4" w:name="_Toc25673888"/>
      <w:r w:rsidRPr="00151A9C">
        <w:rPr>
          <w:rFonts w:asciiTheme="minorEastAsia" w:eastAsiaTheme="minorEastAsia" w:hAnsiTheme="minorEastAsia" w:hint="eastAsia"/>
          <w:spacing w:val="-2"/>
          <w:sz w:val="21"/>
          <w:szCs w:val="21"/>
        </w:rPr>
        <w:t>四、清盘事项说明</w:t>
      </w:r>
      <w:bookmarkEnd w:id="4"/>
    </w:p>
    <w:p w:rsidR="00151A9C" w:rsidRPr="00151A9C" w:rsidRDefault="00151A9C" w:rsidP="00151A9C">
      <w:pPr>
        <w:pStyle w:val="2"/>
        <w:spacing w:line="360" w:lineRule="auto"/>
        <w:rPr>
          <w:rFonts w:asciiTheme="minorEastAsia" w:eastAsiaTheme="minorEastAsia" w:hAnsiTheme="minorEastAsia"/>
          <w:spacing w:val="-2"/>
          <w:sz w:val="21"/>
          <w:szCs w:val="21"/>
        </w:rPr>
      </w:pPr>
      <w:bookmarkStart w:id="5" w:name="_Toc25673889"/>
      <w:r w:rsidRPr="00151A9C">
        <w:rPr>
          <w:rFonts w:asciiTheme="minorEastAsia" w:eastAsiaTheme="minorEastAsia" w:hAnsiTheme="minorEastAsia" w:hint="eastAsia"/>
          <w:spacing w:val="-2"/>
          <w:sz w:val="21"/>
          <w:szCs w:val="21"/>
        </w:rPr>
        <w:t>1、基本情况</w:t>
      </w:r>
      <w:bookmarkEnd w:id="5"/>
    </w:p>
    <w:p w:rsidR="00151A9C" w:rsidRPr="00151A9C" w:rsidRDefault="00151A9C" w:rsidP="00151A9C">
      <w:pPr>
        <w:spacing w:line="360" w:lineRule="auto"/>
        <w:ind w:firstLineChars="200" w:firstLine="412"/>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诺安永鑫收益一年定期开放债券型证券投资基金</w:t>
      </w:r>
      <w:r w:rsidRPr="00151A9C">
        <w:rPr>
          <w:rFonts w:asciiTheme="minorEastAsia" w:eastAsiaTheme="minorEastAsia" w:hAnsiTheme="minorEastAsia"/>
          <w:spacing w:val="-2"/>
          <w:szCs w:val="21"/>
        </w:rPr>
        <w:t xml:space="preserve"> (以下简称“本基金”) 经中国证券监督管理委员会 (以下简称“中国证监会”)《关于核准诺安永鑫收益一年定期开放债券型证券投资基金募集的批复》(证监许可 [2013] 1613号) 批准，由诺安基金管理有限公司依照《中</w:t>
      </w:r>
      <w:r w:rsidRPr="00151A9C">
        <w:rPr>
          <w:rFonts w:asciiTheme="minorEastAsia" w:eastAsiaTheme="minorEastAsia" w:hAnsiTheme="minorEastAsia"/>
          <w:spacing w:val="-2"/>
          <w:szCs w:val="21"/>
        </w:rPr>
        <w:lastRenderedPageBreak/>
        <w:t>华人民共和国证券投资基金法》及其配套规则和《诺安永鑫收益一年定期开放债券型证券投资基金基金合同》发售，基金合同于2014年6月24日生效。本基金为契约型开放式，存续期限不定，首次设立募集规模为305,012,682.35份基金份额，其中认购资金利息折</w:t>
      </w:r>
      <w:r w:rsidRPr="00151A9C">
        <w:rPr>
          <w:rFonts w:asciiTheme="minorEastAsia" w:eastAsiaTheme="minorEastAsia" w:hAnsiTheme="minorEastAsia" w:hint="eastAsia"/>
          <w:spacing w:val="-2"/>
          <w:szCs w:val="21"/>
        </w:rPr>
        <w:t>合</w:t>
      </w:r>
      <w:r w:rsidRPr="00151A9C">
        <w:rPr>
          <w:rFonts w:asciiTheme="minorEastAsia" w:eastAsiaTheme="minorEastAsia" w:hAnsiTheme="minorEastAsia"/>
          <w:spacing w:val="-2"/>
          <w:szCs w:val="21"/>
        </w:rPr>
        <w:t>164,224.75份基金份额。本基金的基金管理人为诺安基金管理有限公司，基金托管人为中国农业银行股份有限公司。</w:t>
      </w:r>
    </w:p>
    <w:p w:rsidR="00151A9C" w:rsidRPr="00151A9C" w:rsidRDefault="00151A9C" w:rsidP="00151A9C">
      <w:pPr>
        <w:spacing w:line="360" w:lineRule="auto"/>
        <w:ind w:firstLineChars="200" w:firstLine="412"/>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根据《中华人民共和国证券投资基金法》及其配套规则、《诺安永鑫收益一年定期开放债券型证券投资基金基金合同》和《诺安永鑫收益一年定期开放债券型证券投资基金招募说明书》的有关规定，本基金的投资范围为具有良好流动性的金融工具，包括国债、央行票据、地方政府债、金融债、企业债、短期融资券、中期票据、公司债、资产支持证券、可转换债券</w:t>
      </w:r>
      <w:r w:rsidRPr="00151A9C">
        <w:rPr>
          <w:rFonts w:asciiTheme="minorEastAsia" w:eastAsiaTheme="minorEastAsia" w:hAnsiTheme="minorEastAsia"/>
          <w:spacing w:val="-2"/>
          <w:szCs w:val="21"/>
        </w:rPr>
        <w:t xml:space="preserve"> (含分离交易可转债) 、债券逆回购、银行存款等固定收益类资产以及股票等权</w:t>
      </w:r>
      <w:r w:rsidRPr="00151A9C">
        <w:rPr>
          <w:rFonts w:asciiTheme="minorEastAsia" w:eastAsiaTheme="minorEastAsia" w:hAnsiTheme="minorEastAsia" w:hint="eastAsia"/>
          <w:spacing w:val="-2"/>
          <w:szCs w:val="21"/>
        </w:rPr>
        <w:t>益类品种和法律法规或中国证监会允许基金投资的其他金融工具。如法律法规或监管机构以后允许基金投资其他品种，基金管理人在履行适当程序后，可以将其纳入投资范围。本基金各类资产的投资比例范围为：债券资产的比例不低于基金资产的</w:t>
      </w:r>
      <w:r w:rsidRPr="00151A9C">
        <w:rPr>
          <w:rFonts w:asciiTheme="minorEastAsia" w:eastAsiaTheme="minorEastAsia" w:hAnsiTheme="minorEastAsia"/>
          <w:spacing w:val="-2"/>
          <w:szCs w:val="21"/>
        </w:rPr>
        <w:t>80%，所投资的债券的信用评级均在AA</w:t>
      </w:r>
      <w:r w:rsidRPr="00151A9C">
        <w:rPr>
          <w:rFonts w:asciiTheme="minorEastAsia" w:eastAsiaTheme="minorEastAsia" w:hAnsiTheme="minorEastAsia" w:hint="eastAsia"/>
          <w:spacing w:val="-2"/>
          <w:szCs w:val="21"/>
        </w:rPr>
        <w:t>-</w:t>
      </w:r>
      <w:r w:rsidRPr="00151A9C">
        <w:rPr>
          <w:rFonts w:asciiTheme="minorEastAsia" w:eastAsiaTheme="minorEastAsia" w:hAnsiTheme="minorEastAsia"/>
          <w:spacing w:val="-2"/>
          <w:szCs w:val="21"/>
        </w:rPr>
        <w:t xml:space="preserve"> 以上。在开放期，本基金持有的现金或到期日在一年以内的政府债券的比例合计不低于基金资产净值的5% 。在非开放期，本基金不受上述5%的限制。其中，现金类资产不包括结算备付金、存出保证金、应收申购款。应开放期流动性需要，为保护持有人利益，本基金开放期开始前两个</w:t>
      </w:r>
      <w:r w:rsidRPr="00151A9C">
        <w:rPr>
          <w:rFonts w:asciiTheme="minorEastAsia" w:eastAsiaTheme="minorEastAsia" w:hAnsiTheme="minorEastAsia" w:hint="eastAsia"/>
          <w:spacing w:val="-2"/>
          <w:szCs w:val="21"/>
        </w:rPr>
        <w:t>月、开放期以及开放期结束后的两个月内，本基金的债券资产比例可不受上述限制。</w:t>
      </w:r>
    </w:p>
    <w:p w:rsidR="00151A9C" w:rsidRPr="00151A9C" w:rsidRDefault="00151A9C" w:rsidP="00151A9C">
      <w:pPr>
        <w:pStyle w:val="2"/>
        <w:spacing w:line="360" w:lineRule="auto"/>
        <w:rPr>
          <w:rFonts w:asciiTheme="minorEastAsia" w:eastAsiaTheme="minorEastAsia" w:hAnsiTheme="minorEastAsia"/>
          <w:spacing w:val="-2"/>
          <w:sz w:val="21"/>
          <w:szCs w:val="21"/>
        </w:rPr>
      </w:pPr>
      <w:bookmarkStart w:id="6" w:name="_Toc25673890"/>
      <w:r w:rsidRPr="00151A9C">
        <w:rPr>
          <w:rFonts w:asciiTheme="minorEastAsia" w:eastAsiaTheme="minorEastAsia" w:hAnsiTheme="minorEastAsia" w:hint="eastAsia"/>
          <w:spacing w:val="-2"/>
          <w:sz w:val="21"/>
          <w:szCs w:val="21"/>
        </w:rPr>
        <w:t>2、清算原因</w:t>
      </w:r>
      <w:bookmarkEnd w:id="6"/>
    </w:p>
    <w:p w:rsidR="00151A9C" w:rsidRPr="00151A9C" w:rsidRDefault="00151A9C" w:rsidP="00151A9C">
      <w:pPr>
        <w:spacing w:line="360" w:lineRule="auto"/>
        <w:ind w:firstLineChars="200" w:firstLine="412"/>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根据《基金合同》“第五部分 基金备案”的约定，基金合同生效后，在开放期的最后一日日终，如发生以下情形之一的，则无须召开持有人大会，基金将于该日次日终止运作并根据第二十部分的约定进行财产清算：1、基金资产净值低于5000万元。2、基金份额持有人人数少于200人。3、本基金前十名份额持有人持有的基金份额超过基金总份额的90%。</w:t>
      </w:r>
    </w:p>
    <w:p w:rsidR="00151A9C" w:rsidRPr="00151A9C" w:rsidRDefault="00151A9C" w:rsidP="00151A9C">
      <w:pPr>
        <w:spacing w:line="360" w:lineRule="auto"/>
        <w:ind w:firstLineChars="200" w:firstLine="412"/>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基金登记机构于2019年9月23日完成对本基金在本次开放期最后一日（即2019年9月20日）申购、赎回业务申请的确认，业务确认后本基金的基金资产净值为19,879,045.50元，已触发了《基金合同》中约定的本基金终止条款。为维护基金份额持有人的利益，根据《基金合同》有关规定，无须召开持有人大会，本基金将终止并依据基金财产清算程序进行财产清算。</w:t>
      </w:r>
    </w:p>
    <w:p w:rsidR="00151A9C" w:rsidRPr="00151A9C" w:rsidRDefault="00151A9C" w:rsidP="00151A9C">
      <w:pPr>
        <w:pStyle w:val="2"/>
        <w:spacing w:line="360" w:lineRule="auto"/>
        <w:rPr>
          <w:rFonts w:asciiTheme="minorEastAsia" w:eastAsiaTheme="minorEastAsia" w:hAnsiTheme="minorEastAsia"/>
          <w:spacing w:val="-2"/>
          <w:sz w:val="21"/>
          <w:szCs w:val="21"/>
        </w:rPr>
      </w:pPr>
      <w:bookmarkStart w:id="7" w:name="_Toc25673891"/>
      <w:r w:rsidRPr="00151A9C">
        <w:rPr>
          <w:rFonts w:asciiTheme="minorEastAsia" w:eastAsiaTheme="minorEastAsia" w:hAnsiTheme="minorEastAsia" w:hint="eastAsia"/>
          <w:spacing w:val="-2"/>
          <w:sz w:val="21"/>
          <w:szCs w:val="21"/>
        </w:rPr>
        <w:t>3、清算起始日</w:t>
      </w:r>
      <w:bookmarkEnd w:id="7"/>
    </w:p>
    <w:p w:rsidR="00151A9C" w:rsidRPr="00151A9C" w:rsidRDefault="00151A9C" w:rsidP="00151A9C">
      <w:pPr>
        <w:spacing w:line="360" w:lineRule="auto"/>
        <w:ind w:firstLineChars="200" w:firstLine="412"/>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根据基金合同的约定，本基金于2019年</w:t>
      </w:r>
      <w:r w:rsidRPr="00151A9C">
        <w:rPr>
          <w:rFonts w:asciiTheme="minorEastAsia" w:eastAsiaTheme="minorEastAsia" w:hAnsiTheme="minorEastAsia"/>
          <w:spacing w:val="-2"/>
          <w:szCs w:val="21"/>
        </w:rPr>
        <w:t>9</w:t>
      </w:r>
      <w:r w:rsidRPr="00151A9C">
        <w:rPr>
          <w:rFonts w:asciiTheme="minorEastAsia" w:eastAsiaTheme="minorEastAsia" w:hAnsiTheme="minorEastAsia" w:hint="eastAsia"/>
          <w:spacing w:val="-2"/>
          <w:szCs w:val="21"/>
        </w:rPr>
        <w:t>月</w:t>
      </w:r>
      <w:r w:rsidRPr="00151A9C">
        <w:rPr>
          <w:rFonts w:asciiTheme="minorEastAsia" w:eastAsiaTheme="minorEastAsia" w:hAnsiTheme="minorEastAsia"/>
          <w:spacing w:val="-2"/>
          <w:szCs w:val="21"/>
        </w:rPr>
        <w:t>24</w:t>
      </w:r>
      <w:r w:rsidRPr="00151A9C">
        <w:rPr>
          <w:rFonts w:asciiTheme="minorEastAsia" w:eastAsiaTheme="minorEastAsia" w:hAnsiTheme="minorEastAsia" w:hint="eastAsia"/>
          <w:spacing w:val="-2"/>
          <w:szCs w:val="21"/>
        </w:rPr>
        <w:t>日起进入清算期，故本基金清算起始日为2019年</w:t>
      </w:r>
      <w:r w:rsidRPr="00151A9C">
        <w:rPr>
          <w:rFonts w:asciiTheme="minorEastAsia" w:eastAsiaTheme="minorEastAsia" w:hAnsiTheme="minorEastAsia"/>
          <w:spacing w:val="-2"/>
          <w:szCs w:val="21"/>
        </w:rPr>
        <w:t>9</w:t>
      </w:r>
      <w:r w:rsidRPr="00151A9C">
        <w:rPr>
          <w:rFonts w:asciiTheme="minorEastAsia" w:eastAsiaTheme="minorEastAsia" w:hAnsiTheme="minorEastAsia" w:hint="eastAsia"/>
          <w:spacing w:val="-2"/>
          <w:szCs w:val="21"/>
        </w:rPr>
        <w:t>月</w:t>
      </w:r>
      <w:r w:rsidRPr="00151A9C">
        <w:rPr>
          <w:rFonts w:asciiTheme="minorEastAsia" w:eastAsiaTheme="minorEastAsia" w:hAnsiTheme="minorEastAsia"/>
          <w:spacing w:val="-2"/>
          <w:szCs w:val="21"/>
        </w:rPr>
        <w:t>24</w:t>
      </w:r>
      <w:r w:rsidRPr="00151A9C">
        <w:rPr>
          <w:rFonts w:asciiTheme="minorEastAsia" w:eastAsiaTheme="minorEastAsia" w:hAnsiTheme="minorEastAsia" w:hint="eastAsia"/>
          <w:spacing w:val="-2"/>
          <w:szCs w:val="21"/>
        </w:rPr>
        <w:t>日。</w:t>
      </w:r>
    </w:p>
    <w:p w:rsidR="00151A9C" w:rsidRPr="00151A9C" w:rsidRDefault="00151A9C" w:rsidP="00151A9C">
      <w:pPr>
        <w:pStyle w:val="2"/>
        <w:spacing w:line="360" w:lineRule="auto"/>
        <w:rPr>
          <w:rFonts w:asciiTheme="minorEastAsia" w:eastAsiaTheme="minorEastAsia" w:hAnsiTheme="minorEastAsia"/>
          <w:spacing w:val="-2"/>
          <w:sz w:val="21"/>
          <w:szCs w:val="21"/>
        </w:rPr>
      </w:pPr>
      <w:bookmarkStart w:id="8" w:name="_Toc25673892"/>
      <w:r w:rsidRPr="00151A9C">
        <w:rPr>
          <w:rFonts w:asciiTheme="minorEastAsia" w:eastAsiaTheme="minorEastAsia" w:hAnsiTheme="minorEastAsia" w:hint="eastAsia"/>
          <w:spacing w:val="-2"/>
          <w:sz w:val="21"/>
          <w:szCs w:val="21"/>
        </w:rPr>
        <w:t>4、清算报表编制基础</w:t>
      </w:r>
      <w:bookmarkEnd w:id="8"/>
    </w:p>
    <w:p w:rsidR="00151A9C" w:rsidRPr="00151A9C" w:rsidRDefault="00151A9C" w:rsidP="00151A9C">
      <w:pPr>
        <w:spacing w:line="360" w:lineRule="auto"/>
        <w:ind w:firstLineChars="200" w:firstLine="412"/>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本基金的清算报表是在非持续经营的前提下参考《企业会计准则》及《证券投资基金会计核算业务指引》的有关规定编制的。自本基金最后运作日起，资产负债按清算价格计价。由于报告性质所致，本清算报表并无比较期间的相关数据列示。</w:t>
      </w:r>
    </w:p>
    <w:p w:rsidR="00151A9C" w:rsidRPr="00151A9C" w:rsidRDefault="00151A9C" w:rsidP="00151A9C">
      <w:pPr>
        <w:pStyle w:val="1"/>
        <w:spacing w:line="360" w:lineRule="auto"/>
        <w:rPr>
          <w:rFonts w:asciiTheme="minorEastAsia" w:eastAsiaTheme="minorEastAsia" w:hAnsiTheme="minorEastAsia"/>
          <w:spacing w:val="-2"/>
          <w:sz w:val="21"/>
          <w:szCs w:val="21"/>
        </w:rPr>
      </w:pPr>
      <w:bookmarkStart w:id="9" w:name="_Toc25673893"/>
      <w:r w:rsidRPr="00151A9C">
        <w:rPr>
          <w:rFonts w:asciiTheme="minorEastAsia" w:eastAsiaTheme="minorEastAsia" w:hAnsiTheme="minorEastAsia" w:hint="eastAsia"/>
          <w:spacing w:val="-2"/>
          <w:sz w:val="21"/>
          <w:szCs w:val="21"/>
        </w:rPr>
        <w:t>五、清算情况</w:t>
      </w:r>
      <w:bookmarkEnd w:id="9"/>
    </w:p>
    <w:p w:rsidR="00151A9C" w:rsidRPr="00151A9C" w:rsidRDefault="00151A9C" w:rsidP="00151A9C">
      <w:pPr>
        <w:spacing w:line="360" w:lineRule="auto"/>
        <w:ind w:firstLineChars="200" w:firstLine="412"/>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自2019年</w:t>
      </w:r>
      <w:r w:rsidRPr="00151A9C">
        <w:rPr>
          <w:rFonts w:asciiTheme="minorEastAsia" w:eastAsiaTheme="minorEastAsia" w:hAnsiTheme="minorEastAsia"/>
          <w:spacing w:val="-2"/>
          <w:szCs w:val="21"/>
        </w:rPr>
        <w:t>9</w:t>
      </w:r>
      <w:r w:rsidRPr="00151A9C">
        <w:rPr>
          <w:rFonts w:asciiTheme="minorEastAsia" w:eastAsiaTheme="minorEastAsia" w:hAnsiTheme="minorEastAsia" w:hint="eastAsia"/>
          <w:spacing w:val="-2"/>
          <w:szCs w:val="21"/>
        </w:rPr>
        <w:t>月</w:t>
      </w:r>
      <w:r w:rsidRPr="00151A9C">
        <w:rPr>
          <w:rFonts w:asciiTheme="minorEastAsia" w:eastAsiaTheme="minorEastAsia" w:hAnsiTheme="minorEastAsia"/>
          <w:spacing w:val="-2"/>
          <w:szCs w:val="21"/>
        </w:rPr>
        <w:t>24</w:t>
      </w:r>
      <w:r w:rsidRPr="00151A9C">
        <w:rPr>
          <w:rFonts w:asciiTheme="minorEastAsia" w:eastAsiaTheme="minorEastAsia" w:hAnsiTheme="minorEastAsia" w:hint="eastAsia"/>
          <w:spacing w:val="-2"/>
          <w:szCs w:val="21"/>
        </w:rPr>
        <w:t>日至2019年</w:t>
      </w:r>
      <w:r w:rsidRPr="00151A9C">
        <w:rPr>
          <w:rFonts w:asciiTheme="minorEastAsia" w:eastAsiaTheme="minorEastAsia" w:hAnsiTheme="minorEastAsia"/>
          <w:spacing w:val="-2"/>
          <w:szCs w:val="21"/>
        </w:rPr>
        <w:t>10</w:t>
      </w:r>
      <w:r w:rsidRPr="00151A9C">
        <w:rPr>
          <w:rFonts w:asciiTheme="minorEastAsia" w:eastAsiaTheme="minorEastAsia" w:hAnsiTheme="minorEastAsia" w:hint="eastAsia"/>
          <w:spacing w:val="-2"/>
          <w:szCs w:val="21"/>
        </w:rPr>
        <w:t>月</w:t>
      </w:r>
      <w:r w:rsidRPr="00151A9C">
        <w:rPr>
          <w:rFonts w:asciiTheme="minorEastAsia" w:eastAsiaTheme="minorEastAsia" w:hAnsiTheme="minorEastAsia"/>
          <w:spacing w:val="-2"/>
          <w:szCs w:val="21"/>
        </w:rPr>
        <w:t>11</w:t>
      </w:r>
      <w:r w:rsidRPr="00151A9C">
        <w:rPr>
          <w:rFonts w:asciiTheme="minorEastAsia" w:eastAsiaTheme="minorEastAsia" w:hAnsiTheme="minorEastAsia" w:hint="eastAsia"/>
          <w:spacing w:val="-2"/>
          <w:szCs w:val="21"/>
        </w:rPr>
        <w:t>日止清算期间，基金财产清算小组对本基金的资产、负债进行清算，全部清算工作按清算原则和清算手续进行。具体清算情况如下：</w:t>
      </w:r>
    </w:p>
    <w:p w:rsidR="00151A9C" w:rsidRPr="00151A9C" w:rsidRDefault="00151A9C" w:rsidP="00151A9C">
      <w:pPr>
        <w:pStyle w:val="2"/>
        <w:spacing w:line="360" w:lineRule="auto"/>
        <w:rPr>
          <w:rFonts w:asciiTheme="minorEastAsia" w:eastAsiaTheme="minorEastAsia" w:hAnsiTheme="minorEastAsia"/>
          <w:spacing w:val="-2"/>
          <w:sz w:val="21"/>
          <w:szCs w:val="21"/>
        </w:rPr>
      </w:pPr>
      <w:bookmarkStart w:id="10" w:name="_Toc25673894"/>
      <w:r w:rsidRPr="00151A9C">
        <w:rPr>
          <w:rFonts w:asciiTheme="minorEastAsia" w:eastAsiaTheme="minorEastAsia" w:hAnsiTheme="minorEastAsia" w:hint="eastAsia"/>
          <w:spacing w:val="-2"/>
          <w:sz w:val="21"/>
          <w:szCs w:val="21"/>
        </w:rPr>
        <w:t>1、资产处置情况</w:t>
      </w:r>
      <w:bookmarkEnd w:id="10"/>
    </w:p>
    <w:p w:rsidR="00151A9C" w:rsidRPr="00151A9C" w:rsidRDefault="00151A9C" w:rsidP="00151A9C">
      <w:pPr>
        <w:spacing w:line="360" w:lineRule="auto"/>
        <w:ind w:firstLineChars="200" w:firstLine="412"/>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(1)本基金最后运作日应收利息余额为人民币</w:t>
      </w:r>
      <w:r w:rsidRPr="00151A9C">
        <w:rPr>
          <w:rFonts w:asciiTheme="minorEastAsia" w:eastAsiaTheme="minorEastAsia" w:hAnsiTheme="minorEastAsia"/>
          <w:spacing w:val="-2"/>
          <w:szCs w:val="21"/>
        </w:rPr>
        <w:t>10,326.39</w:t>
      </w:r>
      <w:r w:rsidRPr="00151A9C">
        <w:rPr>
          <w:rFonts w:asciiTheme="minorEastAsia" w:eastAsiaTheme="minorEastAsia" w:hAnsiTheme="minorEastAsia" w:hint="eastAsia"/>
          <w:spacing w:val="-2"/>
          <w:szCs w:val="21"/>
        </w:rPr>
        <w:t>元，清算期间结算</w:t>
      </w:r>
      <w:r w:rsidRPr="00151A9C">
        <w:rPr>
          <w:rFonts w:asciiTheme="minorEastAsia" w:eastAsiaTheme="minorEastAsia" w:hAnsiTheme="minorEastAsia"/>
          <w:spacing w:val="-2"/>
          <w:szCs w:val="21"/>
        </w:rPr>
        <w:t>备付金</w:t>
      </w:r>
      <w:r w:rsidRPr="00151A9C">
        <w:rPr>
          <w:rFonts w:asciiTheme="minorEastAsia" w:eastAsiaTheme="minorEastAsia" w:hAnsiTheme="minorEastAsia" w:hint="eastAsia"/>
          <w:spacing w:val="-2"/>
          <w:szCs w:val="21"/>
        </w:rPr>
        <w:t>结息人民币</w:t>
      </w:r>
      <w:r w:rsidRPr="00151A9C">
        <w:rPr>
          <w:rFonts w:asciiTheme="minorEastAsia" w:eastAsiaTheme="minorEastAsia" w:hAnsiTheme="minorEastAsia"/>
          <w:spacing w:val="-2"/>
          <w:szCs w:val="21"/>
        </w:rPr>
        <w:t>9,</w:t>
      </w:r>
      <w:r w:rsidRPr="00151A9C">
        <w:rPr>
          <w:rFonts w:asciiTheme="minorEastAsia" w:eastAsiaTheme="minorEastAsia" w:hAnsiTheme="minorEastAsia" w:hint="eastAsia"/>
          <w:spacing w:val="-2"/>
          <w:szCs w:val="21"/>
        </w:rPr>
        <w:t>385</w:t>
      </w:r>
      <w:r w:rsidRPr="00151A9C">
        <w:rPr>
          <w:rFonts w:asciiTheme="minorEastAsia" w:eastAsiaTheme="minorEastAsia" w:hAnsiTheme="minorEastAsia"/>
          <w:spacing w:val="-2"/>
          <w:szCs w:val="21"/>
        </w:rPr>
        <w:t>.</w:t>
      </w:r>
      <w:r w:rsidRPr="00151A9C">
        <w:rPr>
          <w:rFonts w:asciiTheme="minorEastAsia" w:eastAsiaTheme="minorEastAsia" w:hAnsiTheme="minorEastAsia" w:hint="eastAsia"/>
          <w:spacing w:val="-2"/>
          <w:szCs w:val="21"/>
        </w:rPr>
        <w:t>05元</w:t>
      </w:r>
      <w:r w:rsidRPr="00151A9C">
        <w:rPr>
          <w:rFonts w:asciiTheme="minorEastAsia" w:eastAsiaTheme="minorEastAsia" w:hAnsiTheme="minorEastAsia"/>
          <w:spacing w:val="-2"/>
          <w:szCs w:val="21"/>
        </w:rPr>
        <w:t>，</w:t>
      </w:r>
      <w:r w:rsidRPr="00151A9C">
        <w:rPr>
          <w:rFonts w:asciiTheme="minorEastAsia" w:eastAsiaTheme="minorEastAsia" w:hAnsiTheme="minorEastAsia" w:hint="eastAsia"/>
          <w:spacing w:val="-2"/>
          <w:szCs w:val="21"/>
        </w:rPr>
        <w:t>其中</w:t>
      </w:r>
      <w:r w:rsidRPr="00151A9C">
        <w:rPr>
          <w:rFonts w:asciiTheme="minorEastAsia" w:eastAsiaTheme="minorEastAsia" w:hAnsiTheme="minorEastAsia"/>
          <w:spacing w:val="-2"/>
          <w:szCs w:val="21"/>
        </w:rPr>
        <w:t>结息收入为</w:t>
      </w:r>
      <w:r w:rsidRPr="00151A9C">
        <w:rPr>
          <w:rFonts w:asciiTheme="minorEastAsia" w:eastAsiaTheme="minorEastAsia" w:hAnsiTheme="minorEastAsia" w:hint="eastAsia"/>
          <w:spacing w:val="-2"/>
          <w:szCs w:val="21"/>
        </w:rPr>
        <w:t>人民币1.26元</w:t>
      </w:r>
      <w:r w:rsidRPr="00151A9C">
        <w:rPr>
          <w:rFonts w:asciiTheme="minorEastAsia" w:eastAsiaTheme="minorEastAsia" w:hAnsiTheme="minorEastAsia"/>
          <w:spacing w:val="-2"/>
          <w:szCs w:val="21"/>
        </w:rPr>
        <w:t>；存出保证金结息</w:t>
      </w:r>
      <w:r w:rsidRPr="00151A9C">
        <w:rPr>
          <w:rFonts w:asciiTheme="minorEastAsia" w:eastAsiaTheme="minorEastAsia" w:hAnsiTheme="minorEastAsia" w:hint="eastAsia"/>
          <w:spacing w:val="-2"/>
          <w:szCs w:val="21"/>
        </w:rPr>
        <w:t>人民币0.97元，其中</w:t>
      </w:r>
      <w:r w:rsidRPr="00151A9C">
        <w:rPr>
          <w:rFonts w:asciiTheme="minorEastAsia" w:eastAsiaTheme="minorEastAsia" w:hAnsiTheme="minorEastAsia"/>
          <w:spacing w:val="-2"/>
          <w:szCs w:val="21"/>
        </w:rPr>
        <w:t>结息损失为</w:t>
      </w:r>
      <w:r w:rsidRPr="00151A9C">
        <w:rPr>
          <w:rFonts w:asciiTheme="minorEastAsia" w:eastAsiaTheme="minorEastAsia" w:hAnsiTheme="minorEastAsia" w:hint="eastAsia"/>
          <w:spacing w:val="-2"/>
          <w:szCs w:val="21"/>
        </w:rPr>
        <w:t>人民币0.07元</w:t>
      </w:r>
      <w:r w:rsidRPr="00151A9C">
        <w:rPr>
          <w:rFonts w:asciiTheme="minorEastAsia" w:eastAsiaTheme="minorEastAsia" w:hAnsiTheme="minorEastAsia"/>
          <w:spacing w:val="-2"/>
          <w:szCs w:val="21"/>
        </w:rPr>
        <w:t>；</w:t>
      </w:r>
      <w:r w:rsidRPr="00151A9C">
        <w:rPr>
          <w:rFonts w:asciiTheme="minorEastAsia" w:eastAsiaTheme="minorEastAsia" w:hAnsiTheme="minorEastAsia" w:hint="eastAsia"/>
          <w:spacing w:val="-2"/>
          <w:szCs w:val="21"/>
        </w:rPr>
        <w:t>计提应收银行存款利息人民币</w:t>
      </w:r>
      <w:r w:rsidRPr="00151A9C">
        <w:rPr>
          <w:rFonts w:asciiTheme="minorEastAsia" w:eastAsiaTheme="minorEastAsia" w:hAnsiTheme="minorEastAsia"/>
          <w:spacing w:val="-2"/>
          <w:szCs w:val="21"/>
        </w:rPr>
        <w:t>6,359.84</w:t>
      </w:r>
      <w:r w:rsidRPr="00151A9C">
        <w:rPr>
          <w:rFonts w:asciiTheme="minorEastAsia" w:eastAsiaTheme="minorEastAsia" w:hAnsiTheme="minorEastAsia" w:hint="eastAsia"/>
          <w:spacing w:val="-2"/>
          <w:szCs w:val="21"/>
        </w:rPr>
        <w:t>元，应收结算备付金利息人民币</w:t>
      </w:r>
      <w:r w:rsidRPr="00151A9C">
        <w:rPr>
          <w:rFonts w:asciiTheme="minorEastAsia" w:eastAsiaTheme="minorEastAsia" w:hAnsiTheme="minorEastAsia"/>
          <w:spacing w:val="-2"/>
          <w:szCs w:val="21"/>
        </w:rPr>
        <w:t>1,721.44</w:t>
      </w:r>
      <w:r w:rsidRPr="00151A9C">
        <w:rPr>
          <w:rFonts w:asciiTheme="minorEastAsia" w:eastAsiaTheme="minorEastAsia" w:hAnsiTheme="minorEastAsia" w:hint="eastAsia"/>
          <w:spacing w:val="-2"/>
          <w:szCs w:val="21"/>
        </w:rPr>
        <w:t>元,应收存出保证金利息人民币</w:t>
      </w:r>
      <w:r w:rsidRPr="00151A9C">
        <w:rPr>
          <w:rFonts w:asciiTheme="minorEastAsia" w:eastAsiaTheme="minorEastAsia" w:hAnsiTheme="minorEastAsia"/>
          <w:spacing w:val="-2"/>
          <w:szCs w:val="21"/>
        </w:rPr>
        <w:t>0.72</w:t>
      </w:r>
      <w:r w:rsidRPr="00151A9C">
        <w:rPr>
          <w:rFonts w:asciiTheme="minorEastAsia" w:eastAsiaTheme="minorEastAsia" w:hAnsiTheme="minorEastAsia" w:hint="eastAsia"/>
          <w:spacing w:val="-2"/>
          <w:szCs w:val="21"/>
        </w:rPr>
        <w:t>元，于清算</w:t>
      </w:r>
      <w:r w:rsidRPr="00151A9C">
        <w:rPr>
          <w:rFonts w:asciiTheme="minorEastAsia" w:eastAsiaTheme="minorEastAsia" w:hAnsiTheme="minorEastAsia"/>
          <w:spacing w:val="-2"/>
          <w:szCs w:val="21"/>
        </w:rPr>
        <w:t>结束日应收利息余额为</w:t>
      </w:r>
      <w:r w:rsidRPr="00151A9C">
        <w:rPr>
          <w:rFonts w:asciiTheme="minorEastAsia" w:eastAsiaTheme="minorEastAsia" w:hAnsiTheme="minorEastAsia" w:hint="eastAsia"/>
          <w:spacing w:val="-2"/>
          <w:szCs w:val="21"/>
        </w:rPr>
        <w:t>人民币</w:t>
      </w:r>
      <w:r w:rsidRPr="00151A9C">
        <w:rPr>
          <w:rFonts w:asciiTheme="minorEastAsia" w:eastAsiaTheme="minorEastAsia" w:hAnsiTheme="minorEastAsia"/>
          <w:spacing w:val="-2"/>
          <w:szCs w:val="21"/>
        </w:rPr>
        <w:t>9</w:t>
      </w:r>
      <w:r w:rsidRPr="00151A9C">
        <w:rPr>
          <w:rFonts w:asciiTheme="minorEastAsia" w:eastAsiaTheme="minorEastAsia" w:hAnsiTheme="minorEastAsia" w:hint="eastAsia"/>
          <w:spacing w:val="-2"/>
          <w:szCs w:val="21"/>
        </w:rPr>
        <w:t>,</w:t>
      </w:r>
      <w:r w:rsidRPr="00151A9C">
        <w:rPr>
          <w:rFonts w:asciiTheme="minorEastAsia" w:eastAsiaTheme="minorEastAsia" w:hAnsiTheme="minorEastAsia"/>
          <w:spacing w:val="-2"/>
          <w:szCs w:val="21"/>
        </w:rPr>
        <w:t>023</w:t>
      </w:r>
      <w:r w:rsidRPr="00151A9C">
        <w:rPr>
          <w:rFonts w:asciiTheme="minorEastAsia" w:eastAsiaTheme="minorEastAsia" w:hAnsiTheme="minorEastAsia" w:hint="eastAsia"/>
          <w:spacing w:val="-2"/>
          <w:szCs w:val="21"/>
        </w:rPr>
        <w:t>.</w:t>
      </w:r>
      <w:r w:rsidRPr="00151A9C">
        <w:rPr>
          <w:rFonts w:asciiTheme="minorEastAsia" w:eastAsiaTheme="minorEastAsia" w:hAnsiTheme="minorEastAsia"/>
          <w:spacing w:val="-2"/>
          <w:szCs w:val="21"/>
        </w:rPr>
        <w:t>56</w:t>
      </w:r>
      <w:r w:rsidRPr="00151A9C">
        <w:rPr>
          <w:rFonts w:asciiTheme="minorEastAsia" w:eastAsiaTheme="minorEastAsia" w:hAnsiTheme="minorEastAsia" w:hint="eastAsia"/>
          <w:spacing w:val="-2"/>
          <w:szCs w:val="21"/>
        </w:rPr>
        <w:t>元，该款项由基金管理人诺安基金管理有限公司以自有资金垫付，并已于2019年</w:t>
      </w:r>
      <w:r w:rsidRPr="00151A9C">
        <w:rPr>
          <w:rFonts w:asciiTheme="minorEastAsia" w:eastAsiaTheme="minorEastAsia" w:hAnsiTheme="minorEastAsia"/>
          <w:spacing w:val="-2"/>
          <w:szCs w:val="21"/>
        </w:rPr>
        <w:t>10</w:t>
      </w:r>
      <w:r w:rsidRPr="00151A9C">
        <w:rPr>
          <w:rFonts w:asciiTheme="minorEastAsia" w:eastAsiaTheme="minorEastAsia" w:hAnsiTheme="minorEastAsia" w:hint="eastAsia"/>
          <w:spacing w:val="-2"/>
          <w:szCs w:val="21"/>
        </w:rPr>
        <w:t>月</w:t>
      </w:r>
      <w:r w:rsidRPr="00151A9C">
        <w:rPr>
          <w:rFonts w:asciiTheme="minorEastAsia" w:eastAsiaTheme="minorEastAsia" w:hAnsiTheme="minorEastAsia"/>
          <w:spacing w:val="-2"/>
          <w:szCs w:val="21"/>
        </w:rPr>
        <w:t>11</w:t>
      </w:r>
      <w:r w:rsidRPr="00151A9C">
        <w:rPr>
          <w:rFonts w:asciiTheme="minorEastAsia" w:eastAsiaTheme="minorEastAsia" w:hAnsiTheme="minorEastAsia" w:hint="eastAsia"/>
          <w:spacing w:val="-2"/>
          <w:szCs w:val="21"/>
        </w:rPr>
        <w:t>日划入托管账户。</w:t>
      </w:r>
    </w:p>
    <w:p w:rsidR="00151A9C" w:rsidRPr="00151A9C" w:rsidRDefault="00151A9C" w:rsidP="00151A9C">
      <w:pPr>
        <w:spacing w:line="360" w:lineRule="auto"/>
        <w:ind w:firstLineChars="200" w:firstLine="412"/>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(2) 本基金最后运作日结算备付金余额为人民币</w:t>
      </w:r>
      <w:r w:rsidRPr="00151A9C">
        <w:rPr>
          <w:rFonts w:asciiTheme="minorEastAsia" w:eastAsiaTheme="minorEastAsia" w:hAnsiTheme="minorEastAsia"/>
          <w:spacing w:val="-2"/>
          <w:szCs w:val="21"/>
        </w:rPr>
        <w:t>2,390,909.09</w:t>
      </w:r>
      <w:r w:rsidRPr="00151A9C">
        <w:rPr>
          <w:rFonts w:asciiTheme="minorEastAsia" w:eastAsiaTheme="minorEastAsia" w:hAnsiTheme="minorEastAsia" w:hint="eastAsia"/>
          <w:spacing w:val="-2"/>
          <w:szCs w:val="21"/>
        </w:rPr>
        <w:t>元，清算期间结算备付金金净减少人民币</w:t>
      </w:r>
      <w:r w:rsidRPr="00151A9C">
        <w:rPr>
          <w:rFonts w:asciiTheme="minorEastAsia" w:eastAsiaTheme="minorEastAsia" w:hAnsiTheme="minorEastAsia"/>
          <w:spacing w:val="-2"/>
          <w:szCs w:val="21"/>
        </w:rPr>
        <w:t>2,390,909.09</w:t>
      </w:r>
      <w:r w:rsidRPr="00151A9C">
        <w:rPr>
          <w:rFonts w:asciiTheme="minorEastAsia" w:eastAsiaTheme="minorEastAsia" w:hAnsiTheme="minorEastAsia" w:hint="eastAsia"/>
          <w:spacing w:val="-2"/>
          <w:szCs w:val="21"/>
        </w:rPr>
        <w:t>元，清算结束日结算备付金余额为人民币</w:t>
      </w:r>
      <w:r w:rsidRPr="00151A9C">
        <w:rPr>
          <w:rFonts w:asciiTheme="minorEastAsia" w:eastAsiaTheme="minorEastAsia" w:hAnsiTheme="minorEastAsia"/>
          <w:spacing w:val="-2"/>
          <w:szCs w:val="21"/>
        </w:rPr>
        <w:t>0.00</w:t>
      </w:r>
      <w:r w:rsidRPr="00151A9C">
        <w:rPr>
          <w:rFonts w:asciiTheme="minorEastAsia" w:eastAsiaTheme="minorEastAsia" w:hAnsiTheme="minorEastAsia" w:hint="eastAsia"/>
          <w:spacing w:val="-2"/>
          <w:szCs w:val="21"/>
        </w:rPr>
        <w:t>元。</w:t>
      </w:r>
    </w:p>
    <w:p w:rsidR="00151A9C" w:rsidRPr="00151A9C" w:rsidRDefault="00151A9C" w:rsidP="00151A9C">
      <w:pPr>
        <w:spacing w:line="360" w:lineRule="auto"/>
        <w:ind w:firstLineChars="200" w:firstLine="412"/>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(3)本基金最后运作日存出保证金余额为人民币</w:t>
      </w:r>
      <w:r w:rsidRPr="00151A9C">
        <w:rPr>
          <w:rFonts w:asciiTheme="minorEastAsia" w:eastAsiaTheme="minorEastAsia" w:hAnsiTheme="minorEastAsia"/>
          <w:spacing w:val="-2"/>
          <w:szCs w:val="21"/>
        </w:rPr>
        <w:t>836.05</w:t>
      </w:r>
      <w:r w:rsidRPr="00151A9C">
        <w:rPr>
          <w:rFonts w:asciiTheme="minorEastAsia" w:eastAsiaTheme="minorEastAsia" w:hAnsiTheme="minorEastAsia" w:hint="eastAsia"/>
          <w:spacing w:val="-2"/>
          <w:szCs w:val="21"/>
        </w:rPr>
        <w:t>元，清算期间存出保证金净减少人民币</w:t>
      </w:r>
      <w:r w:rsidRPr="00151A9C">
        <w:rPr>
          <w:rFonts w:asciiTheme="minorEastAsia" w:eastAsiaTheme="minorEastAsia" w:hAnsiTheme="minorEastAsia"/>
          <w:spacing w:val="-2"/>
          <w:szCs w:val="21"/>
        </w:rPr>
        <w:t>6.44</w:t>
      </w:r>
      <w:r w:rsidRPr="00151A9C">
        <w:rPr>
          <w:rFonts w:asciiTheme="minorEastAsia" w:eastAsiaTheme="minorEastAsia" w:hAnsiTheme="minorEastAsia" w:hint="eastAsia"/>
          <w:spacing w:val="-2"/>
          <w:szCs w:val="21"/>
        </w:rPr>
        <w:t xml:space="preserve">元，清算结束日存出保证金余额为人民币 </w:t>
      </w:r>
      <w:r w:rsidRPr="00151A9C">
        <w:rPr>
          <w:rFonts w:asciiTheme="minorEastAsia" w:eastAsiaTheme="minorEastAsia" w:hAnsiTheme="minorEastAsia"/>
          <w:spacing w:val="-2"/>
          <w:szCs w:val="21"/>
        </w:rPr>
        <w:t>829.61</w:t>
      </w:r>
      <w:r w:rsidRPr="00151A9C">
        <w:rPr>
          <w:rFonts w:asciiTheme="minorEastAsia" w:eastAsiaTheme="minorEastAsia" w:hAnsiTheme="minorEastAsia" w:hint="eastAsia"/>
          <w:spacing w:val="-2"/>
          <w:szCs w:val="21"/>
        </w:rPr>
        <w:t>元，该款项由基金管理人诺安基金管理有限公司以自有资金垫付，并已于2019年</w:t>
      </w:r>
      <w:r w:rsidRPr="00151A9C">
        <w:rPr>
          <w:rFonts w:asciiTheme="minorEastAsia" w:eastAsiaTheme="minorEastAsia" w:hAnsiTheme="minorEastAsia"/>
          <w:spacing w:val="-2"/>
          <w:szCs w:val="21"/>
        </w:rPr>
        <w:t>10</w:t>
      </w:r>
      <w:r w:rsidRPr="00151A9C">
        <w:rPr>
          <w:rFonts w:asciiTheme="minorEastAsia" w:eastAsiaTheme="minorEastAsia" w:hAnsiTheme="minorEastAsia" w:hint="eastAsia"/>
          <w:spacing w:val="-2"/>
          <w:szCs w:val="21"/>
        </w:rPr>
        <w:t>月</w:t>
      </w:r>
      <w:r w:rsidRPr="00151A9C">
        <w:rPr>
          <w:rFonts w:asciiTheme="minorEastAsia" w:eastAsiaTheme="minorEastAsia" w:hAnsiTheme="minorEastAsia"/>
          <w:spacing w:val="-2"/>
          <w:szCs w:val="21"/>
        </w:rPr>
        <w:t>11</w:t>
      </w:r>
      <w:r w:rsidRPr="00151A9C">
        <w:rPr>
          <w:rFonts w:asciiTheme="minorEastAsia" w:eastAsiaTheme="minorEastAsia" w:hAnsiTheme="minorEastAsia" w:hint="eastAsia"/>
          <w:spacing w:val="-2"/>
          <w:szCs w:val="21"/>
        </w:rPr>
        <w:t>日划入托管账户。</w:t>
      </w:r>
    </w:p>
    <w:p w:rsidR="00151A9C" w:rsidRPr="00151A9C" w:rsidRDefault="00151A9C" w:rsidP="00151A9C">
      <w:pPr>
        <w:pStyle w:val="2"/>
        <w:spacing w:line="360" w:lineRule="auto"/>
        <w:rPr>
          <w:rFonts w:asciiTheme="minorEastAsia" w:eastAsiaTheme="minorEastAsia" w:hAnsiTheme="minorEastAsia"/>
          <w:spacing w:val="-2"/>
          <w:sz w:val="21"/>
          <w:szCs w:val="21"/>
        </w:rPr>
      </w:pPr>
      <w:bookmarkStart w:id="11" w:name="_Toc25673895"/>
      <w:r w:rsidRPr="00151A9C">
        <w:rPr>
          <w:rFonts w:asciiTheme="minorEastAsia" w:eastAsiaTheme="minorEastAsia" w:hAnsiTheme="minorEastAsia" w:hint="eastAsia"/>
          <w:spacing w:val="-2"/>
          <w:sz w:val="21"/>
          <w:szCs w:val="21"/>
        </w:rPr>
        <w:t>2 、负债清偿情况</w:t>
      </w:r>
      <w:bookmarkEnd w:id="11"/>
    </w:p>
    <w:p w:rsidR="00151A9C" w:rsidRPr="00151A9C" w:rsidRDefault="00151A9C" w:rsidP="00151A9C">
      <w:pPr>
        <w:spacing w:line="360" w:lineRule="auto"/>
        <w:ind w:firstLineChars="200" w:firstLine="412"/>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(1) 本基金最后运作日应付赎回款余额为人民币</w:t>
      </w:r>
      <w:r w:rsidRPr="00151A9C">
        <w:rPr>
          <w:rFonts w:asciiTheme="minorEastAsia" w:eastAsiaTheme="minorEastAsia" w:hAnsiTheme="minorEastAsia"/>
          <w:spacing w:val="-2"/>
          <w:szCs w:val="21"/>
        </w:rPr>
        <w:t>802</w:t>
      </w:r>
      <w:r w:rsidRPr="00151A9C">
        <w:rPr>
          <w:rFonts w:asciiTheme="minorEastAsia" w:eastAsiaTheme="minorEastAsia" w:hAnsiTheme="minorEastAsia" w:hint="eastAsia"/>
          <w:spacing w:val="-2"/>
          <w:szCs w:val="21"/>
        </w:rPr>
        <w:t>，</w:t>
      </w:r>
      <w:r w:rsidRPr="00151A9C">
        <w:rPr>
          <w:rFonts w:asciiTheme="minorEastAsia" w:eastAsiaTheme="minorEastAsia" w:hAnsiTheme="minorEastAsia"/>
          <w:spacing w:val="-2"/>
          <w:szCs w:val="21"/>
        </w:rPr>
        <w:t>531.58</w:t>
      </w:r>
      <w:r w:rsidRPr="00151A9C">
        <w:rPr>
          <w:rFonts w:asciiTheme="minorEastAsia" w:eastAsiaTheme="minorEastAsia" w:hAnsiTheme="minorEastAsia" w:hint="eastAsia"/>
          <w:spacing w:val="-2"/>
          <w:szCs w:val="21"/>
        </w:rPr>
        <w:t>元，该款项于2019年9月24日支付人民币563,284.35元，2019年9月25日支付人民币239,247.23元。</w:t>
      </w:r>
    </w:p>
    <w:p w:rsidR="00151A9C" w:rsidRPr="00151A9C" w:rsidRDefault="00151A9C" w:rsidP="00151A9C">
      <w:pPr>
        <w:spacing w:line="360" w:lineRule="auto"/>
        <w:ind w:firstLineChars="200" w:firstLine="412"/>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(2) 本基金最后运作日应付托管费余额为人民币</w:t>
      </w:r>
      <w:r w:rsidRPr="00151A9C">
        <w:rPr>
          <w:rFonts w:asciiTheme="minorEastAsia" w:eastAsiaTheme="minorEastAsia" w:hAnsiTheme="minorEastAsia"/>
          <w:spacing w:val="-2"/>
          <w:szCs w:val="21"/>
        </w:rPr>
        <w:t>3,162.16</w:t>
      </w:r>
      <w:r w:rsidRPr="00151A9C">
        <w:rPr>
          <w:rFonts w:asciiTheme="minorEastAsia" w:eastAsiaTheme="minorEastAsia" w:hAnsiTheme="minorEastAsia" w:hint="eastAsia"/>
          <w:spacing w:val="-2"/>
          <w:szCs w:val="21"/>
        </w:rPr>
        <w:t>元，该款项已于2019年</w:t>
      </w:r>
      <w:r w:rsidRPr="00151A9C">
        <w:rPr>
          <w:rFonts w:asciiTheme="minorEastAsia" w:eastAsiaTheme="minorEastAsia" w:hAnsiTheme="minorEastAsia"/>
          <w:spacing w:val="-2"/>
          <w:szCs w:val="21"/>
        </w:rPr>
        <w:t>10</w:t>
      </w:r>
      <w:r w:rsidRPr="00151A9C">
        <w:rPr>
          <w:rFonts w:asciiTheme="minorEastAsia" w:eastAsiaTheme="minorEastAsia" w:hAnsiTheme="minorEastAsia" w:hint="eastAsia"/>
          <w:spacing w:val="-2"/>
          <w:szCs w:val="21"/>
        </w:rPr>
        <w:t>月</w:t>
      </w:r>
      <w:r w:rsidRPr="00151A9C">
        <w:rPr>
          <w:rFonts w:asciiTheme="minorEastAsia" w:eastAsiaTheme="minorEastAsia" w:hAnsiTheme="minorEastAsia"/>
          <w:spacing w:val="-2"/>
          <w:szCs w:val="21"/>
        </w:rPr>
        <w:t>9</w:t>
      </w:r>
      <w:r w:rsidRPr="00151A9C">
        <w:rPr>
          <w:rFonts w:asciiTheme="minorEastAsia" w:eastAsiaTheme="minorEastAsia" w:hAnsiTheme="minorEastAsia" w:hint="eastAsia"/>
          <w:spacing w:val="-2"/>
          <w:szCs w:val="21"/>
        </w:rPr>
        <w:t>日支付。</w:t>
      </w:r>
    </w:p>
    <w:p w:rsidR="00151A9C" w:rsidRPr="00151A9C" w:rsidRDefault="00151A9C" w:rsidP="00151A9C">
      <w:pPr>
        <w:spacing w:line="360" w:lineRule="auto"/>
        <w:ind w:firstLineChars="200" w:firstLine="412"/>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(2) 本基金最后运作日应付销售</w:t>
      </w:r>
      <w:r w:rsidRPr="00151A9C">
        <w:rPr>
          <w:rFonts w:asciiTheme="minorEastAsia" w:eastAsiaTheme="minorEastAsia" w:hAnsiTheme="minorEastAsia"/>
          <w:spacing w:val="-2"/>
          <w:szCs w:val="21"/>
        </w:rPr>
        <w:t>服务费</w:t>
      </w:r>
      <w:r w:rsidRPr="00151A9C">
        <w:rPr>
          <w:rFonts w:asciiTheme="minorEastAsia" w:eastAsiaTheme="minorEastAsia" w:hAnsiTheme="minorEastAsia" w:hint="eastAsia"/>
          <w:spacing w:val="-2"/>
          <w:szCs w:val="21"/>
        </w:rPr>
        <w:t>余额</w:t>
      </w:r>
      <w:r w:rsidRPr="00151A9C">
        <w:rPr>
          <w:rFonts w:asciiTheme="minorEastAsia" w:eastAsiaTheme="minorEastAsia" w:hAnsiTheme="minorEastAsia"/>
          <w:spacing w:val="-2"/>
          <w:szCs w:val="21"/>
        </w:rPr>
        <w:t>为人民币</w:t>
      </w:r>
      <w:r w:rsidRPr="00151A9C">
        <w:rPr>
          <w:rFonts w:asciiTheme="minorEastAsia" w:eastAsiaTheme="minorEastAsia" w:hAnsiTheme="minorEastAsia" w:hint="eastAsia"/>
          <w:spacing w:val="-2"/>
          <w:szCs w:val="21"/>
        </w:rPr>
        <w:t>7,905.35元</w:t>
      </w:r>
      <w:r w:rsidRPr="00151A9C">
        <w:rPr>
          <w:rFonts w:asciiTheme="minorEastAsia" w:eastAsiaTheme="minorEastAsia" w:hAnsiTheme="minorEastAsia"/>
          <w:spacing w:val="-2"/>
          <w:szCs w:val="21"/>
        </w:rPr>
        <w:t>，</w:t>
      </w:r>
      <w:r w:rsidRPr="00151A9C">
        <w:rPr>
          <w:rFonts w:asciiTheme="minorEastAsia" w:eastAsiaTheme="minorEastAsia" w:hAnsiTheme="minorEastAsia" w:hint="eastAsia"/>
          <w:spacing w:val="-2"/>
          <w:szCs w:val="21"/>
        </w:rPr>
        <w:t>该款项已于2019年</w:t>
      </w:r>
      <w:r w:rsidRPr="00151A9C">
        <w:rPr>
          <w:rFonts w:asciiTheme="minorEastAsia" w:eastAsiaTheme="minorEastAsia" w:hAnsiTheme="minorEastAsia"/>
          <w:spacing w:val="-2"/>
          <w:szCs w:val="21"/>
        </w:rPr>
        <w:t>10</w:t>
      </w:r>
      <w:r w:rsidRPr="00151A9C">
        <w:rPr>
          <w:rFonts w:asciiTheme="minorEastAsia" w:eastAsiaTheme="minorEastAsia" w:hAnsiTheme="minorEastAsia" w:hint="eastAsia"/>
          <w:spacing w:val="-2"/>
          <w:szCs w:val="21"/>
        </w:rPr>
        <w:t>月</w:t>
      </w:r>
      <w:r w:rsidRPr="00151A9C">
        <w:rPr>
          <w:rFonts w:asciiTheme="minorEastAsia" w:eastAsiaTheme="minorEastAsia" w:hAnsiTheme="minorEastAsia"/>
          <w:spacing w:val="-2"/>
          <w:szCs w:val="21"/>
        </w:rPr>
        <w:t>9</w:t>
      </w:r>
      <w:r w:rsidRPr="00151A9C">
        <w:rPr>
          <w:rFonts w:asciiTheme="minorEastAsia" w:eastAsiaTheme="minorEastAsia" w:hAnsiTheme="minorEastAsia" w:hint="eastAsia"/>
          <w:spacing w:val="-2"/>
          <w:szCs w:val="21"/>
        </w:rPr>
        <w:t>日支付。</w:t>
      </w:r>
    </w:p>
    <w:p w:rsidR="00151A9C" w:rsidRPr="00151A9C" w:rsidRDefault="00151A9C" w:rsidP="00151A9C">
      <w:pPr>
        <w:spacing w:line="360" w:lineRule="auto"/>
        <w:ind w:firstLineChars="200" w:firstLine="412"/>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w:t>
      </w:r>
      <w:r w:rsidRPr="00151A9C">
        <w:rPr>
          <w:rFonts w:asciiTheme="minorEastAsia" w:eastAsiaTheme="minorEastAsia" w:hAnsiTheme="minorEastAsia"/>
          <w:spacing w:val="-2"/>
          <w:szCs w:val="21"/>
        </w:rPr>
        <w:t>4</w:t>
      </w:r>
      <w:r w:rsidRPr="00151A9C">
        <w:rPr>
          <w:rFonts w:asciiTheme="minorEastAsia" w:eastAsiaTheme="minorEastAsia" w:hAnsiTheme="minorEastAsia" w:hint="eastAsia"/>
          <w:spacing w:val="-2"/>
          <w:szCs w:val="21"/>
        </w:rPr>
        <w:t>) 本基金最后运作日应付交易费用余额为人民币</w:t>
      </w:r>
      <w:r w:rsidRPr="00151A9C">
        <w:rPr>
          <w:rFonts w:asciiTheme="minorEastAsia" w:eastAsiaTheme="minorEastAsia" w:hAnsiTheme="minorEastAsia"/>
          <w:spacing w:val="-2"/>
          <w:szCs w:val="21"/>
        </w:rPr>
        <w:t>6</w:t>
      </w:r>
      <w:r w:rsidRPr="00151A9C">
        <w:rPr>
          <w:rFonts w:asciiTheme="minorEastAsia" w:eastAsiaTheme="minorEastAsia" w:hAnsiTheme="minorEastAsia" w:hint="eastAsia"/>
          <w:spacing w:val="-2"/>
          <w:szCs w:val="21"/>
        </w:rPr>
        <w:t>,341.64元，清算期间</w:t>
      </w:r>
      <w:r w:rsidRPr="00151A9C">
        <w:rPr>
          <w:rFonts w:asciiTheme="minorEastAsia" w:eastAsiaTheme="minorEastAsia" w:hAnsiTheme="minorEastAsia"/>
          <w:spacing w:val="-2"/>
          <w:szCs w:val="21"/>
        </w:rPr>
        <w:t>支付交易费用</w:t>
      </w:r>
      <w:r w:rsidRPr="00151A9C">
        <w:rPr>
          <w:rFonts w:asciiTheme="minorEastAsia" w:eastAsiaTheme="minorEastAsia" w:hAnsiTheme="minorEastAsia" w:hint="eastAsia"/>
          <w:spacing w:val="-2"/>
          <w:szCs w:val="21"/>
        </w:rPr>
        <w:t>人民币5,650.00元</w:t>
      </w:r>
      <w:r w:rsidRPr="00151A9C">
        <w:rPr>
          <w:rFonts w:asciiTheme="minorEastAsia" w:eastAsiaTheme="minorEastAsia" w:hAnsiTheme="minorEastAsia"/>
          <w:spacing w:val="-2"/>
          <w:szCs w:val="21"/>
        </w:rPr>
        <w:t>，</w:t>
      </w:r>
      <w:r w:rsidRPr="00151A9C">
        <w:rPr>
          <w:rFonts w:asciiTheme="minorEastAsia" w:eastAsiaTheme="minorEastAsia" w:hAnsiTheme="minorEastAsia" w:hint="eastAsia"/>
          <w:spacing w:val="-2"/>
          <w:szCs w:val="21"/>
        </w:rPr>
        <w:t>清算结束日应付交易</w:t>
      </w:r>
      <w:r w:rsidRPr="00151A9C">
        <w:rPr>
          <w:rFonts w:asciiTheme="minorEastAsia" w:eastAsiaTheme="minorEastAsia" w:hAnsiTheme="minorEastAsia"/>
          <w:spacing w:val="-2"/>
          <w:szCs w:val="21"/>
        </w:rPr>
        <w:t>费用</w:t>
      </w:r>
      <w:r w:rsidRPr="00151A9C">
        <w:rPr>
          <w:rFonts w:asciiTheme="minorEastAsia" w:eastAsiaTheme="minorEastAsia" w:hAnsiTheme="minorEastAsia" w:hint="eastAsia"/>
          <w:spacing w:val="-2"/>
          <w:szCs w:val="21"/>
        </w:rPr>
        <w:t>余额为人民币</w:t>
      </w:r>
      <w:r w:rsidRPr="00151A9C">
        <w:rPr>
          <w:rFonts w:asciiTheme="minorEastAsia" w:eastAsiaTheme="minorEastAsia" w:hAnsiTheme="minorEastAsia"/>
          <w:spacing w:val="-2"/>
          <w:szCs w:val="21"/>
        </w:rPr>
        <w:t>691.64</w:t>
      </w:r>
      <w:r w:rsidRPr="00151A9C">
        <w:rPr>
          <w:rFonts w:asciiTheme="minorEastAsia" w:eastAsiaTheme="minorEastAsia" w:hAnsiTheme="minorEastAsia" w:hint="eastAsia"/>
          <w:spacing w:val="-2"/>
          <w:szCs w:val="21"/>
        </w:rPr>
        <w:t>元。</w:t>
      </w:r>
    </w:p>
    <w:p w:rsidR="00151A9C" w:rsidRPr="00151A9C" w:rsidRDefault="00151A9C" w:rsidP="00151A9C">
      <w:pPr>
        <w:spacing w:line="360" w:lineRule="auto"/>
        <w:ind w:firstLineChars="200" w:firstLine="412"/>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w:t>
      </w:r>
      <w:r w:rsidRPr="00151A9C">
        <w:rPr>
          <w:rFonts w:asciiTheme="minorEastAsia" w:eastAsiaTheme="minorEastAsia" w:hAnsiTheme="minorEastAsia"/>
          <w:spacing w:val="-2"/>
          <w:szCs w:val="21"/>
        </w:rPr>
        <w:t>5</w:t>
      </w:r>
      <w:r w:rsidRPr="00151A9C">
        <w:rPr>
          <w:rFonts w:asciiTheme="minorEastAsia" w:eastAsiaTheme="minorEastAsia" w:hAnsiTheme="minorEastAsia" w:hint="eastAsia"/>
          <w:spacing w:val="-2"/>
          <w:szCs w:val="21"/>
        </w:rPr>
        <w:t>)本基金最后运作日其他负债余额为人民币</w:t>
      </w:r>
      <w:r w:rsidRPr="00151A9C">
        <w:rPr>
          <w:rFonts w:asciiTheme="minorEastAsia" w:eastAsiaTheme="minorEastAsia" w:hAnsiTheme="minorEastAsia"/>
          <w:spacing w:val="-2"/>
          <w:szCs w:val="21"/>
        </w:rPr>
        <w:t>67,865.99</w:t>
      </w:r>
      <w:r w:rsidRPr="00151A9C">
        <w:rPr>
          <w:rFonts w:asciiTheme="minorEastAsia" w:eastAsiaTheme="minorEastAsia" w:hAnsiTheme="minorEastAsia" w:hint="eastAsia"/>
          <w:spacing w:val="-2"/>
          <w:szCs w:val="21"/>
        </w:rPr>
        <w:t>元，其中</w:t>
      </w:r>
      <w:r w:rsidRPr="00151A9C">
        <w:rPr>
          <w:rFonts w:asciiTheme="minorEastAsia" w:eastAsiaTheme="minorEastAsia" w:hAnsiTheme="minorEastAsia"/>
          <w:spacing w:val="-2"/>
          <w:szCs w:val="21"/>
        </w:rPr>
        <w:t>9,300.00</w:t>
      </w:r>
      <w:r w:rsidRPr="00151A9C">
        <w:rPr>
          <w:rFonts w:asciiTheme="minorEastAsia" w:eastAsiaTheme="minorEastAsia" w:hAnsiTheme="minorEastAsia" w:hint="eastAsia"/>
          <w:spacing w:val="-2"/>
          <w:szCs w:val="21"/>
        </w:rPr>
        <w:t>元为预提账户</w:t>
      </w:r>
      <w:r w:rsidRPr="00151A9C">
        <w:rPr>
          <w:rFonts w:asciiTheme="minorEastAsia" w:eastAsiaTheme="minorEastAsia" w:hAnsiTheme="minorEastAsia"/>
          <w:spacing w:val="-2"/>
          <w:szCs w:val="21"/>
        </w:rPr>
        <w:t>维护费</w:t>
      </w:r>
      <w:r w:rsidRPr="00151A9C">
        <w:rPr>
          <w:rFonts w:asciiTheme="minorEastAsia" w:eastAsiaTheme="minorEastAsia" w:hAnsiTheme="minorEastAsia" w:hint="eastAsia"/>
          <w:spacing w:val="-2"/>
          <w:szCs w:val="21"/>
        </w:rPr>
        <w:t>，该款项于2019年</w:t>
      </w:r>
      <w:r w:rsidRPr="00151A9C">
        <w:rPr>
          <w:rFonts w:asciiTheme="minorEastAsia" w:eastAsiaTheme="minorEastAsia" w:hAnsiTheme="minorEastAsia"/>
          <w:spacing w:val="-2"/>
          <w:szCs w:val="21"/>
        </w:rPr>
        <w:t>10</w:t>
      </w:r>
      <w:r w:rsidRPr="00151A9C">
        <w:rPr>
          <w:rFonts w:asciiTheme="minorEastAsia" w:eastAsiaTheme="minorEastAsia" w:hAnsiTheme="minorEastAsia" w:hint="eastAsia"/>
          <w:spacing w:val="-2"/>
          <w:szCs w:val="21"/>
        </w:rPr>
        <w:t>月8日支付人民币4,800.00元，于2019年10月9日支付人民币4,500.00元；其中</w:t>
      </w:r>
      <w:r w:rsidRPr="00151A9C">
        <w:rPr>
          <w:rFonts w:asciiTheme="minorEastAsia" w:eastAsiaTheme="minorEastAsia" w:hAnsiTheme="minorEastAsia"/>
          <w:spacing w:val="-2"/>
          <w:szCs w:val="21"/>
        </w:rPr>
        <w:t>58</w:t>
      </w:r>
      <w:r w:rsidRPr="00151A9C">
        <w:rPr>
          <w:rFonts w:asciiTheme="minorEastAsia" w:eastAsiaTheme="minorEastAsia" w:hAnsiTheme="minorEastAsia" w:hint="eastAsia"/>
          <w:spacing w:val="-2"/>
          <w:szCs w:val="21"/>
        </w:rPr>
        <w:t>,</w:t>
      </w:r>
      <w:r w:rsidRPr="00151A9C">
        <w:rPr>
          <w:rFonts w:asciiTheme="minorEastAsia" w:eastAsiaTheme="minorEastAsia" w:hAnsiTheme="minorEastAsia"/>
          <w:spacing w:val="-2"/>
          <w:szCs w:val="21"/>
        </w:rPr>
        <w:t>565.99</w:t>
      </w:r>
      <w:r w:rsidRPr="00151A9C">
        <w:rPr>
          <w:rFonts w:asciiTheme="minorEastAsia" w:eastAsiaTheme="minorEastAsia" w:hAnsiTheme="minorEastAsia" w:hint="eastAsia"/>
          <w:spacing w:val="-2"/>
          <w:szCs w:val="21"/>
        </w:rPr>
        <w:t>元为上海证券报信息披露</w:t>
      </w:r>
      <w:r w:rsidRPr="00151A9C">
        <w:rPr>
          <w:rFonts w:asciiTheme="minorEastAsia" w:eastAsiaTheme="minorEastAsia" w:hAnsiTheme="minorEastAsia"/>
          <w:spacing w:val="-2"/>
          <w:szCs w:val="21"/>
        </w:rPr>
        <w:t>费</w:t>
      </w:r>
      <w:r w:rsidRPr="00151A9C">
        <w:rPr>
          <w:rFonts w:asciiTheme="minorEastAsia" w:eastAsiaTheme="minorEastAsia" w:hAnsiTheme="minorEastAsia" w:hint="eastAsia"/>
          <w:spacing w:val="-2"/>
          <w:szCs w:val="21"/>
        </w:rPr>
        <w:t>，因上海证券报</w:t>
      </w:r>
      <w:r w:rsidRPr="00151A9C">
        <w:rPr>
          <w:rFonts w:asciiTheme="minorEastAsia" w:eastAsiaTheme="minorEastAsia" w:hAnsiTheme="minorEastAsia"/>
          <w:spacing w:val="-2"/>
          <w:szCs w:val="21"/>
        </w:rPr>
        <w:t>减免</w:t>
      </w:r>
      <w:r w:rsidRPr="00151A9C">
        <w:rPr>
          <w:rFonts w:asciiTheme="minorEastAsia" w:eastAsiaTheme="minorEastAsia" w:hAnsiTheme="minorEastAsia" w:hint="eastAsia"/>
          <w:spacing w:val="-2"/>
          <w:szCs w:val="21"/>
        </w:rPr>
        <w:t>诺安永鑫一年定期开放债券信息披露</w:t>
      </w:r>
      <w:r w:rsidRPr="00151A9C">
        <w:rPr>
          <w:rFonts w:asciiTheme="minorEastAsia" w:eastAsiaTheme="minorEastAsia" w:hAnsiTheme="minorEastAsia"/>
          <w:spacing w:val="-2"/>
          <w:szCs w:val="21"/>
        </w:rPr>
        <w:t>费，</w:t>
      </w:r>
      <w:r w:rsidRPr="00151A9C">
        <w:rPr>
          <w:rFonts w:asciiTheme="minorEastAsia" w:eastAsiaTheme="minorEastAsia" w:hAnsiTheme="minorEastAsia" w:hint="eastAsia"/>
          <w:spacing w:val="-2"/>
          <w:szCs w:val="21"/>
        </w:rPr>
        <w:t>该款项已于2019年</w:t>
      </w:r>
      <w:r w:rsidRPr="00151A9C">
        <w:rPr>
          <w:rFonts w:asciiTheme="minorEastAsia" w:eastAsiaTheme="minorEastAsia" w:hAnsiTheme="minorEastAsia"/>
          <w:spacing w:val="-2"/>
          <w:szCs w:val="21"/>
        </w:rPr>
        <w:t>10</w:t>
      </w:r>
      <w:r w:rsidRPr="00151A9C">
        <w:rPr>
          <w:rFonts w:asciiTheme="minorEastAsia" w:eastAsiaTheme="minorEastAsia" w:hAnsiTheme="minorEastAsia" w:hint="eastAsia"/>
          <w:spacing w:val="-2"/>
          <w:szCs w:val="21"/>
        </w:rPr>
        <w:t>月</w:t>
      </w:r>
      <w:r w:rsidRPr="00151A9C">
        <w:rPr>
          <w:rFonts w:asciiTheme="minorEastAsia" w:eastAsiaTheme="minorEastAsia" w:hAnsiTheme="minorEastAsia"/>
          <w:spacing w:val="-2"/>
          <w:szCs w:val="21"/>
        </w:rPr>
        <w:t>11</w:t>
      </w:r>
      <w:r w:rsidRPr="00151A9C">
        <w:rPr>
          <w:rFonts w:asciiTheme="minorEastAsia" w:eastAsiaTheme="minorEastAsia" w:hAnsiTheme="minorEastAsia" w:hint="eastAsia"/>
          <w:spacing w:val="-2"/>
          <w:szCs w:val="21"/>
        </w:rPr>
        <w:t>日冲销。</w:t>
      </w:r>
    </w:p>
    <w:p w:rsidR="00151A9C" w:rsidRPr="00151A9C" w:rsidRDefault="00151A9C" w:rsidP="00151A9C">
      <w:pPr>
        <w:pStyle w:val="2"/>
        <w:spacing w:line="360" w:lineRule="auto"/>
        <w:rPr>
          <w:rFonts w:asciiTheme="minorEastAsia" w:eastAsiaTheme="minorEastAsia" w:hAnsiTheme="minorEastAsia"/>
          <w:spacing w:val="-2"/>
          <w:sz w:val="21"/>
          <w:szCs w:val="21"/>
        </w:rPr>
      </w:pPr>
      <w:bookmarkStart w:id="12" w:name="_Toc25673896"/>
      <w:r w:rsidRPr="00151A9C">
        <w:rPr>
          <w:rFonts w:asciiTheme="minorEastAsia" w:eastAsiaTheme="minorEastAsia" w:hAnsiTheme="minorEastAsia" w:hint="eastAsia"/>
          <w:spacing w:val="-2"/>
          <w:sz w:val="21"/>
          <w:szCs w:val="21"/>
        </w:rPr>
        <w:t>3 、清算期间的清算损益情况</w:t>
      </w:r>
      <w:bookmarkEnd w:id="12"/>
    </w:p>
    <w:tbl>
      <w:tblPr>
        <w:tblStyle w:val="a7"/>
        <w:tblW w:w="0" w:type="auto"/>
        <w:tblLook w:val="04A0"/>
      </w:tblPr>
      <w:tblGrid>
        <w:gridCol w:w="5121"/>
        <w:gridCol w:w="3401"/>
      </w:tblGrid>
      <w:tr w:rsidR="00151A9C" w:rsidRPr="008140B5" w:rsidTr="00FA0719">
        <w:tc>
          <w:tcPr>
            <w:tcW w:w="5121" w:type="dxa"/>
            <w:vAlign w:val="center"/>
          </w:tcPr>
          <w:p w:rsidR="00151A9C" w:rsidRPr="008140B5" w:rsidRDefault="00151A9C" w:rsidP="00151A9C">
            <w:pPr>
              <w:spacing w:line="360" w:lineRule="auto"/>
              <w:jc w:val="center"/>
              <w:rPr>
                <w:rFonts w:asciiTheme="minorEastAsia" w:eastAsiaTheme="minorEastAsia" w:hAnsiTheme="minorEastAsia"/>
                <w:spacing w:val="-2"/>
                <w:szCs w:val="21"/>
              </w:rPr>
            </w:pPr>
            <w:r w:rsidRPr="008140B5">
              <w:rPr>
                <w:rFonts w:asciiTheme="minorEastAsia" w:eastAsiaTheme="minorEastAsia" w:hAnsiTheme="minorEastAsia" w:cs="宋体" w:hint="eastAsia"/>
                <w:color w:val="000000"/>
                <w:spacing w:val="-2"/>
                <w:kern w:val="0"/>
                <w:szCs w:val="21"/>
              </w:rPr>
              <w:t>项目</w:t>
            </w:r>
          </w:p>
        </w:tc>
        <w:tc>
          <w:tcPr>
            <w:tcW w:w="3401" w:type="dxa"/>
            <w:vAlign w:val="center"/>
          </w:tcPr>
          <w:p w:rsidR="00151A9C" w:rsidRPr="008140B5" w:rsidRDefault="00151A9C" w:rsidP="00151A9C">
            <w:pPr>
              <w:spacing w:line="360" w:lineRule="auto"/>
              <w:rPr>
                <w:rFonts w:asciiTheme="minorEastAsia" w:eastAsiaTheme="minorEastAsia" w:hAnsiTheme="minorEastAsia"/>
                <w:spacing w:val="-2"/>
                <w:szCs w:val="21"/>
              </w:rPr>
            </w:pPr>
            <w:r w:rsidRPr="008140B5">
              <w:rPr>
                <w:rFonts w:asciiTheme="minorEastAsia" w:eastAsiaTheme="minorEastAsia" w:hAnsiTheme="minorEastAsia" w:cs="宋体" w:hint="eastAsia"/>
                <w:color w:val="000000"/>
                <w:spacing w:val="-2"/>
                <w:kern w:val="0"/>
                <w:szCs w:val="21"/>
              </w:rPr>
              <w:t>自2019年</w:t>
            </w:r>
            <w:r w:rsidRPr="008140B5">
              <w:rPr>
                <w:rFonts w:asciiTheme="minorEastAsia" w:eastAsiaTheme="minorEastAsia" w:hAnsiTheme="minorEastAsia" w:cs="宋体"/>
                <w:color w:val="000000"/>
                <w:spacing w:val="-2"/>
                <w:kern w:val="0"/>
                <w:szCs w:val="21"/>
              </w:rPr>
              <w:t>9</w:t>
            </w:r>
            <w:bookmarkStart w:id="13" w:name="_GoBack"/>
            <w:bookmarkEnd w:id="13"/>
            <w:r w:rsidRPr="008140B5">
              <w:rPr>
                <w:rFonts w:asciiTheme="minorEastAsia" w:eastAsiaTheme="minorEastAsia" w:hAnsiTheme="minorEastAsia" w:cs="宋体" w:hint="eastAsia"/>
                <w:color w:val="000000"/>
                <w:spacing w:val="-2"/>
                <w:kern w:val="0"/>
                <w:szCs w:val="21"/>
              </w:rPr>
              <w:t>月</w:t>
            </w:r>
            <w:r w:rsidRPr="008140B5">
              <w:rPr>
                <w:rFonts w:asciiTheme="minorEastAsia" w:eastAsiaTheme="minorEastAsia" w:hAnsiTheme="minorEastAsia" w:cs="宋体"/>
                <w:color w:val="000000"/>
                <w:spacing w:val="-2"/>
                <w:kern w:val="0"/>
                <w:szCs w:val="21"/>
              </w:rPr>
              <w:t>24</w:t>
            </w:r>
            <w:r w:rsidRPr="008140B5">
              <w:rPr>
                <w:rFonts w:asciiTheme="minorEastAsia" w:eastAsiaTheme="minorEastAsia" w:hAnsiTheme="minorEastAsia" w:cs="宋体" w:hint="eastAsia"/>
                <w:color w:val="000000"/>
                <w:spacing w:val="-2"/>
                <w:kern w:val="0"/>
                <w:szCs w:val="21"/>
              </w:rPr>
              <w:t>日至2019年</w:t>
            </w:r>
            <w:r w:rsidRPr="008140B5">
              <w:rPr>
                <w:rFonts w:asciiTheme="minorEastAsia" w:eastAsiaTheme="minorEastAsia" w:hAnsiTheme="minorEastAsia" w:cs="宋体"/>
                <w:color w:val="000000"/>
                <w:spacing w:val="-2"/>
                <w:kern w:val="0"/>
                <w:szCs w:val="21"/>
              </w:rPr>
              <w:t>10</w:t>
            </w:r>
            <w:r w:rsidRPr="008140B5">
              <w:rPr>
                <w:rFonts w:asciiTheme="minorEastAsia" w:eastAsiaTheme="minorEastAsia" w:hAnsiTheme="minorEastAsia" w:cs="宋体" w:hint="eastAsia"/>
                <w:color w:val="000000"/>
                <w:spacing w:val="-2"/>
                <w:kern w:val="0"/>
                <w:szCs w:val="21"/>
              </w:rPr>
              <w:t>月1</w:t>
            </w:r>
            <w:r w:rsidRPr="008140B5">
              <w:rPr>
                <w:rFonts w:asciiTheme="minorEastAsia" w:eastAsiaTheme="minorEastAsia" w:hAnsiTheme="minorEastAsia"/>
                <w:spacing w:val="-2"/>
                <w:szCs w:val="21"/>
              </w:rPr>
              <w:t>1</w:t>
            </w:r>
            <w:r w:rsidRPr="008140B5">
              <w:rPr>
                <w:rFonts w:asciiTheme="minorEastAsia" w:eastAsiaTheme="minorEastAsia" w:hAnsiTheme="minorEastAsia" w:cs="宋体" w:hint="eastAsia"/>
                <w:color w:val="000000"/>
                <w:spacing w:val="-2"/>
                <w:kern w:val="0"/>
                <w:szCs w:val="21"/>
              </w:rPr>
              <w:t>日止清算期间</w:t>
            </w:r>
          </w:p>
        </w:tc>
      </w:tr>
      <w:tr w:rsidR="00151A9C" w:rsidRPr="008140B5" w:rsidTr="00FA0719">
        <w:tc>
          <w:tcPr>
            <w:tcW w:w="5121" w:type="dxa"/>
          </w:tcPr>
          <w:p w:rsidR="00151A9C" w:rsidRPr="008140B5" w:rsidRDefault="00151A9C" w:rsidP="00151A9C">
            <w:pPr>
              <w:spacing w:line="360" w:lineRule="auto"/>
              <w:rPr>
                <w:rFonts w:asciiTheme="minorEastAsia" w:eastAsiaTheme="minorEastAsia" w:hAnsiTheme="minorEastAsia"/>
                <w:spacing w:val="-2"/>
                <w:szCs w:val="21"/>
              </w:rPr>
            </w:pPr>
            <w:r w:rsidRPr="008140B5">
              <w:rPr>
                <w:rFonts w:asciiTheme="minorEastAsia" w:eastAsiaTheme="minorEastAsia" w:hAnsiTheme="minorEastAsia" w:cs="宋体" w:hint="eastAsia"/>
                <w:color w:val="000000"/>
                <w:spacing w:val="-2"/>
                <w:kern w:val="0"/>
                <w:szCs w:val="21"/>
              </w:rPr>
              <w:t>一、清算收益</w:t>
            </w:r>
          </w:p>
        </w:tc>
        <w:tc>
          <w:tcPr>
            <w:tcW w:w="3401" w:type="dxa"/>
            <w:vAlign w:val="center"/>
          </w:tcPr>
          <w:p w:rsidR="00151A9C" w:rsidRPr="008140B5" w:rsidRDefault="00151A9C" w:rsidP="00151A9C">
            <w:pPr>
              <w:spacing w:line="360" w:lineRule="auto"/>
              <w:rPr>
                <w:rFonts w:asciiTheme="minorEastAsia" w:eastAsiaTheme="minorEastAsia" w:hAnsiTheme="minorEastAsia"/>
                <w:spacing w:val="-2"/>
                <w:szCs w:val="21"/>
              </w:rPr>
            </w:pPr>
          </w:p>
        </w:tc>
      </w:tr>
      <w:tr w:rsidR="00151A9C" w:rsidRPr="008140B5" w:rsidTr="00FA0719">
        <w:tc>
          <w:tcPr>
            <w:tcW w:w="5121" w:type="dxa"/>
            <w:vAlign w:val="center"/>
          </w:tcPr>
          <w:p w:rsidR="00151A9C" w:rsidRPr="008140B5" w:rsidRDefault="00151A9C" w:rsidP="00151A9C">
            <w:pPr>
              <w:spacing w:line="360" w:lineRule="auto"/>
              <w:rPr>
                <w:rFonts w:asciiTheme="minorEastAsia" w:eastAsiaTheme="minorEastAsia" w:hAnsiTheme="minorEastAsia"/>
                <w:spacing w:val="-2"/>
                <w:szCs w:val="21"/>
              </w:rPr>
            </w:pPr>
            <w:r w:rsidRPr="008140B5">
              <w:rPr>
                <w:rFonts w:asciiTheme="minorEastAsia" w:eastAsiaTheme="minorEastAsia" w:hAnsiTheme="minorEastAsia" w:cs="宋体" w:hint="eastAsia"/>
                <w:color w:val="000000"/>
                <w:spacing w:val="-2"/>
                <w:kern w:val="0"/>
                <w:szCs w:val="21"/>
              </w:rPr>
              <w:t>1、利息收入-银行存款</w:t>
            </w:r>
            <w:r w:rsidRPr="008140B5">
              <w:rPr>
                <w:rFonts w:asciiTheme="minorEastAsia" w:eastAsiaTheme="minorEastAsia" w:hAnsiTheme="minorEastAsia" w:cs="宋体"/>
                <w:color w:val="000000"/>
                <w:spacing w:val="-2"/>
                <w:kern w:val="0"/>
                <w:szCs w:val="21"/>
              </w:rPr>
              <w:t>利息收入</w:t>
            </w:r>
            <w:r w:rsidRPr="008140B5">
              <w:rPr>
                <w:rFonts w:asciiTheme="minorEastAsia" w:eastAsiaTheme="minorEastAsia" w:hAnsiTheme="minorEastAsia" w:cs="宋体" w:hint="eastAsia"/>
                <w:color w:val="000000"/>
                <w:spacing w:val="-2"/>
                <w:kern w:val="0"/>
                <w:szCs w:val="21"/>
              </w:rPr>
              <w:t xml:space="preserve"> （注1）</w:t>
            </w:r>
          </w:p>
        </w:tc>
        <w:tc>
          <w:tcPr>
            <w:tcW w:w="3401" w:type="dxa"/>
            <w:vAlign w:val="center"/>
          </w:tcPr>
          <w:p w:rsidR="00151A9C" w:rsidRPr="008140B5" w:rsidRDefault="00151A9C" w:rsidP="00151A9C">
            <w:pPr>
              <w:spacing w:line="360" w:lineRule="auto"/>
              <w:jc w:val="right"/>
              <w:rPr>
                <w:rFonts w:asciiTheme="minorEastAsia" w:eastAsiaTheme="minorEastAsia" w:hAnsiTheme="minorEastAsia"/>
                <w:spacing w:val="-2"/>
                <w:szCs w:val="21"/>
              </w:rPr>
            </w:pPr>
            <w:r w:rsidRPr="008140B5">
              <w:rPr>
                <w:rFonts w:asciiTheme="minorEastAsia" w:eastAsiaTheme="minorEastAsia" w:hAnsiTheme="minorEastAsia"/>
                <w:spacing w:val="-2"/>
                <w:szCs w:val="21"/>
              </w:rPr>
              <w:t>8</w:t>
            </w:r>
            <w:r w:rsidRPr="008140B5">
              <w:rPr>
                <w:rFonts w:asciiTheme="minorEastAsia" w:eastAsiaTheme="minorEastAsia" w:hAnsiTheme="minorEastAsia" w:hint="eastAsia"/>
                <w:spacing w:val="-2"/>
                <w:szCs w:val="21"/>
              </w:rPr>
              <w:t>,</w:t>
            </w:r>
            <w:r w:rsidRPr="008140B5">
              <w:rPr>
                <w:rFonts w:asciiTheme="minorEastAsia" w:eastAsiaTheme="minorEastAsia" w:hAnsiTheme="minorEastAsia"/>
                <w:spacing w:val="-2"/>
                <w:szCs w:val="21"/>
              </w:rPr>
              <w:t>08</w:t>
            </w:r>
            <w:r w:rsidRPr="008140B5">
              <w:rPr>
                <w:rFonts w:asciiTheme="minorEastAsia" w:eastAsiaTheme="minorEastAsia" w:hAnsiTheme="minorEastAsia" w:hint="eastAsia"/>
                <w:spacing w:val="-2"/>
                <w:szCs w:val="21"/>
              </w:rPr>
              <w:t>3</w:t>
            </w:r>
            <w:r w:rsidRPr="008140B5">
              <w:rPr>
                <w:rFonts w:asciiTheme="minorEastAsia" w:eastAsiaTheme="minorEastAsia" w:hAnsiTheme="minorEastAsia"/>
                <w:spacing w:val="-2"/>
                <w:szCs w:val="21"/>
              </w:rPr>
              <w:t>.</w:t>
            </w:r>
            <w:r w:rsidRPr="008140B5">
              <w:rPr>
                <w:rFonts w:asciiTheme="minorEastAsia" w:eastAsiaTheme="minorEastAsia" w:hAnsiTheme="minorEastAsia" w:hint="eastAsia"/>
                <w:spacing w:val="-2"/>
                <w:szCs w:val="21"/>
              </w:rPr>
              <w:t>19</w:t>
            </w:r>
          </w:p>
        </w:tc>
      </w:tr>
      <w:tr w:rsidR="00151A9C" w:rsidRPr="008140B5" w:rsidTr="00FA0719">
        <w:tc>
          <w:tcPr>
            <w:tcW w:w="5121" w:type="dxa"/>
            <w:vAlign w:val="center"/>
          </w:tcPr>
          <w:p w:rsidR="00151A9C" w:rsidRPr="008140B5" w:rsidRDefault="00151A9C" w:rsidP="00151A9C">
            <w:pPr>
              <w:spacing w:line="360" w:lineRule="auto"/>
              <w:rPr>
                <w:rFonts w:asciiTheme="minorEastAsia" w:eastAsiaTheme="minorEastAsia" w:hAnsiTheme="minorEastAsia"/>
                <w:spacing w:val="-2"/>
                <w:szCs w:val="21"/>
              </w:rPr>
            </w:pPr>
            <w:r w:rsidRPr="008140B5">
              <w:rPr>
                <w:rFonts w:asciiTheme="minorEastAsia" w:eastAsiaTheme="minorEastAsia" w:hAnsiTheme="minorEastAsia" w:cs="宋体" w:hint="eastAsia"/>
                <w:color w:val="000000"/>
                <w:spacing w:val="-2"/>
                <w:kern w:val="0"/>
                <w:szCs w:val="21"/>
              </w:rPr>
              <w:t xml:space="preserve">清算收入小计 </w:t>
            </w:r>
          </w:p>
        </w:tc>
        <w:tc>
          <w:tcPr>
            <w:tcW w:w="3401" w:type="dxa"/>
            <w:vAlign w:val="center"/>
          </w:tcPr>
          <w:p w:rsidR="00151A9C" w:rsidRPr="008140B5" w:rsidRDefault="00151A9C" w:rsidP="00151A9C">
            <w:pPr>
              <w:spacing w:line="360" w:lineRule="auto"/>
              <w:jc w:val="right"/>
              <w:rPr>
                <w:rFonts w:asciiTheme="minorEastAsia" w:eastAsiaTheme="minorEastAsia" w:hAnsiTheme="minorEastAsia"/>
                <w:spacing w:val="-2"/>
                <w:szCs w:val="21"/>
              </w:rPr>
            </w:pPr>
            <w:r w:rsidRPr="008140B5">
              <w:rPr>
                <w:rFonts w:asciiTheme="minorEastAsia" w:eastAsiaTheme="minorEastAsia" w:hAnsiTheme="minorEastAsia"/>
                <w:spacing w:val="-2"/>
                <w:szCs w:val="21"/>
              </w:rPr>
              <w:t>8</w:t>
            </w:r>
            <w:r w:rsidRPr="008140B5">
              <w:rPr>
                <w:rFonts w:asciiTheme="minorEastAsia" w:eastAsiaTheme="minorEastAsia" w:hAnsiTheme="minorEastAsia" w:hint="eastAsia"/>
                <w:spacing w:val="-2"/>
                <w:szCs w:val="21"/>
              </w:rPr>
              <w:t>,</w:t>
            </w:r>
            <w:r w:rsidRPr="008140B5">
              <w:rPr>
                <w:rFonts w:asciiTheme="minorEastAsia" w:eastAsiaTheme="minorEastAsia" w:hAnsiTheme="minorEastAsia"/>
                <w:spacing w:val="-2"/>
                <w:szCs w:val="21"/>
              </w:rPr>
              <w:t>083.19</w:t>
            </w:r>
          </w:p>
        </w:tc>
      </w:tr>
      <w:tr w:rsidR="00151A9C" w:rsidRPr="008140B5" w:rsidTr="00FA0719">
        <w:tc>
          <w:tcPr>
            <w:tcW w:w="5121" w:type="dxa"/>
            <w:vAlign w:val="center"/>
          </w:tcPr>
          <w:p w:rsidR="00151A9C" w:rsidRPr="008140B5" w:rsidRDefault="00151A9C" w:rsidP="00151A9C">
            <w:pPr>
              <w:spacing w:line="360" w:lineRule="auto"/>
              <w:rPr>
                <w:rFonts w:asciiTheme="minorEastAsia" w:eastAsiaTheme="minorEastAsia" w:hAnsiTheme="minorEastAsia"/>
                <w:spacing w:val="-2"/>
                <w:szCs w:val="21"/>
              </w:rPr>
            </w:pPr>
            <w:r w:rsidRPr="008140B5">
              <w:rPr>
                <w:rFonts w:asciiTheme="minorEastAsia" w:eastAsiaTheme="minorEastAsia" w:hAnsiTheme="minorEastAsia" w:cs="宋体" w:hint="eastAsia"/>
                <w:color w:val="000000"/>
                <w:spacing w:val="-2"/>
                <w:kern w:val="0"/>
                <w:szCs w:val="21"/>
              </w:rPr>
              <w:t>二、清算费用</w:t>
            </w:r>
          </w:p>
        </w:tc>
        <w:tc>
          <w:tcPr>
            <w:tcW w:w="3401" w:type="dxa"/>
          </w:tcPr>
          <w:p w:rsidR="00151A9C" w:rsidRPr="008140B5" w:rsidRDefault="00151A9C" w:rsidP="00151A9C">
            <w:pPr>
              <w:spacing w:line="360" w:lineRule="auto"/>
              <w:rPr>
                <w:rFonts w:asciiTheme="minorEastAsia" w:eastAsiaTheme="minorEastAsia" w:hAnsiTheme="minorEastAsia"/>
                <w:spacing w:val="-2"/>
                <w:szCs w:val="21"/>
              </w:rPr>
            </w:pPr>
          </w:p>
        </w:tc>
      </w:tr>
      <w:tr w:rsidR="00151A9C" w:rsidRPr="008140B5" w:rsidTr="00FA0719">
        <w:tc>
          <w:tcPr>
            <w:tcW w:w="5121" w:type="dxa"/>
            <w:vAlign w:val="center"/>
          </w:tcPr>
          <w:p w:rsidR="00151A9C" w:rsidRPr="008140B5" w:rsidRDefault="00151A9C" w:rsidP="00151A9C">
            <w:pPr>
              <w:spacing w:line="360" w:lineRule="auto"/>
              <w:rPr>
                <w:rFonts w:asciiTheme="minorEastAsia" w:eastAsiaTheme="minorEastAsia" w:hAnsiTheme="minorEastAsia"/>
                <w:spacing w:val="-2"/>
                <w:szCs w:val="21"/>
              </w:rPr>
            </w:pPr>
            <w:r w:rsidRPr="008140B5">
              <w:rPr>
                <w:rFonts w:asciiTheme="minorEastAsia" w:eastAsiaTheme="minorEastAsia" w:hAnsiTheme="minorEastAsia" w:cs="宋体"/>
                <w:color w:val="000000"/>
                <w:spacing w:val="-2"/>
                <w:kern w:val="0"/>
                <w:szCs w:val="21"/>
              </w:rPr>
              <w:t>1</w:t>
            </w:r>
            <w:r w:rsidRPr="008140B5">
              <w:rPr>
                <w:rFonts w:asciiTheme="minorEastAsia" w:eastAsiaTheme="minorEastAsia" w:hAnsiTheme="minorEastAsia" w:cs="宋体" w:hint="eastAsia"/>
                <w:color w:val="000000"/>
                <w:spacing w:val="-2"/>
                <w:kern w:val="0"/>
                <w:szCs w:val="21"/>
              </w:rPr>
              <w:t xml:space="preserve">、律师费 </w:t>
            </w:r>
          </w:p>
        </w:tc>
        <w:tc>
          <w:tcPr>
            <w:tcW w:w="3401" w:type="dxa"/>
            <w:vAlign w:val="center"/>
          </w:tcPr>
          <w:p w:rsidR="00151A9C" w:rsidRPr="008140B5" w:rsidRDefault="00151A9C" w:rsidP="00151A9C">
            <w:pPr>
              <w:spacing w:line="360" w:lineRule="auto"/>
              <w:jc w:val="right"/>
              <w:rPr>
                <w:rFonts w:asciiTheme="minorEastAsia" w:eastAsiaTheme="minorEastAsia" w:hAnsiTheme="minorEastAsia"/>
                <w:spacing w:val="-2"/>
                <w:szCs w:val="21"/>
              </w:rPr>
            </w:pPr>
            <w:r w:rsidRPr="008140B5">
              <w:rPr>
                <w:rFonts w:asciiTheme="minorEastAsia" w:eastAsiaTheme="minorEastAsia" w:hAnsiTheme="minorEastAsia"/>
                <w:spacing w:val="-2"/>
                <w:szCs w:val="21"/>
              </w:rPr>
              <w:t>10</w:t>
            </w:r>
            <w:r w:rsidRPr="008140B5">
              <w:rPr>
                <w:rFonts w:asciiTheme="minorEastAsia" w:eastAsiaTheme="minorEastAsia" w:hAnsiTheme="minorEastAsia" w:hint="eastAsia"/>
                <w:spacing w:val="-2"/>
                <w:szCs w:val="21"/>
              </w:rPr>
              <w:t>,</w:t>
            </w:r>
            <w:r w:rsidRPr="008140B5">
              <w:rPr>
                <w:rFonts w:asciiTheme="minorEastAsia" w:eastAsiaTheme="minorEastAsia" w:hAnsiTheme="minorEastAsia"/>
                <w:spacing w:val="-2"/>
                <w:szCs w:val="21"/>
              </w:rPr>
              <w:t>000</w:t>
            </w:r>
            <w:r w:rsidRPr="008140B5">
              <w:rPr>
                <w:rFonts w:asciiTheme="minorEastAsia" w:eastAsiaTheme="minorEastAsia" w:hAnsiTheme="minorEastAsia" w:hint="eastAsia"/>
                <w:spacing w:val="-2"/>
                <w:szCs w:val="21"/>
              </w:rPr>
              <w:t>.00</w:t>
            </w:r>
          </w:p>
        </w:tc>
      </w:tr>
      <w:tr w:rsidR="00151A9C" w:rsidRPr="008140B5" w:rsidTr="00FA0719">
        <w:tc>
          <w:tcPr>
            <w:tcW w:w="5121" w:type="dxa"/>
            <w:vAlign w:val="center"/>
          </w:tcPr>
          <w:p w:rsidR="00151A9C" w:rsidRPr="008140B5" w:rsidRDefault="00151A9C" w:rsidP="00151A9C">
            <w:pPr>
              <w:spacing w:line="360" w:lineRule="auto"/>
              <w:rPr>
                <w:rFonts w:asciiTheme="minorEastAsia" w:eastAsiaTheme="minorEastAsia" w:hAnsiTheme="minorEastAsia"/>
                <w:spacing w:val="-2"/>
                <w:szCs w:val="21"/>
              </w:rPr>
            </w:pPr>
            <w:r w:rsidRPr="008140B5">
              <w:rPr>
                <w:rFonts w:asciiTheme="minorEastAsia" w:eastAsiaTheme="minorEastAsia" w:hAnsiTheme="minorEastAsia" w:cs="宋体"/>
                <w:color w:val="000000"/>
                <w:spacing w:val="-2"/>
                <w:kern w:val="0"/>
                <w:szCs w:val="21"/>
              </w:rPr>
              <w:t>2</w:t>
            </w:r>
            <w:r w:rsidRPr="008140B5">
              <w:rPr>
                <w:rFonts w:asciiTheme="minorEastAsia" w:eastAsiaTheme="minorEastAsia" w:hAnsiTheme="minorEastAsia" w:cs="宋体" w:hint="eastAsia"/>
                <w:color w:val="000000"/>
                <w:spacing w:val="-2"/>
                <w:kern w:val="0"/>
                <w:szCs w:val="21"/>
              </w:rPr>
              <w:t xml:space="preserve">、审计费 </w:t>
            </w:r>
          </w:p>
        </w:tc>
        <w:tc>
          <w:tcPr>
            <w:tcW w:w="3401" w:type="dxa"/>
            <w:vAlign w:val="center"/>
          </w:tcPr>
          <w:p w:rsidR="00151A9C" w:rsidRPr="008140B5" w:rsidRDefault="00151A9C" w:rsidP="00151A9C">
            <w:pPr>
              <w:spacing w:line="360" w:lineRule="auto"/>
              <w:jc w:val="right"/>
              <w:rPr>
                <w:rFonts w:asciiTheme="minorEastAsia" w:eastAsiaTheme="minorEastAsia" w:hAnsiTheme="minorEastAsia"/>
                <w:spacing w:val="-2"/>
                <w:szCs w:val="21"/>
              </w:rPr>
            </w:pPr>
            <w:r w:rsidRPr="008140B5">
              <w:rPr>
                <w:rFonts w:asciiTheme="minorEastAsia" w:eastAsiaTheme="minorEastAsia" w:hAnsiTheme="minorEastAsia"/>
                <w:spacing w:val="-2"/>
                <w:szCs w:val="21"/>
              </w:rPr>
              <w:t>30</w:t>
            </w:r>
            <w:r w:rsidRPr="008140B5">
              <w:rPr>
                <w:rFonts w:asciiTheme="minorEastAsia" w:eastAsiaTheme="minorEastAsia" w:hAnsiTheme="minorEastAsia" w:hint="eastAsia"/>
                <w:spacing w:val="-2"/>
                <w:szCs w:val="21"/>
              </w:rPr>
              <w:t>,</w:t>
            </w:r>
            <w:r w:rsidRPr="008140B5">
              <w:rPr>
                <w:rFonts w:asciiTheme="minorEastAsia" w:eastAsiaTheme="minorEastAsia" w:hAnsiTheme="minorEastAsia"/>
                <w:spacing w:val="-2"/>
                <w:szCs w:val="21"/>
              </w:rPr>
              <w:t>000</w:t>
            </w:r>
            <w:r w:rsidRPr="008140B5">
              <w:rPr>
                <w:rFonts w:asciiTheme="minorEastAsia" w:eastAsiaTheme="minorEastAsia" w:hAnsiTheme="minorEastAsia" w:hint="eastAsia"/>
                <w:spacing w:val="-2"/>
                <w:szCs w:val="21"/>
              </w:rPr>
              <w:t>.00</w:t>
            </w:r>
          </w:p>
        </w:tc>
      </w:tr>
      <w:tr w:rsidR="00151A9C" w:rsidRPr="008140B5" w:rsidTr="00FA0719">
        <w:tc>
          <w:tcPr>
            <w:tcW w:w="5121" w:type="dxa"/>
            <w:vAlign w:val="center"/>
          </w:tcPr>
          <w:p w:rsidR="00151A9C" w:rsidRPr="008140B5" w:rsidRDefault="00151A9C" w:rsidP="00151A9C">
            <w:pPr>
              <w:spacing w:line="360" w:lineRule="auto"/>
              <w:rPr>
                <w:rFonts w:asciiTheme="minorEastAsia" w:eastAsiaTheme="minorEastAsia" w:hAnsiTheme="minorEastAsia"/>
                <w:spacing w:val="-2"/>
                <w:szCs w:val="21"/>
              </w:rPr>
            </w:pPr>
            <w:r w:rsidRPr="008140B5">
              <w:rPr>
                <w:rFonts w:asciiTheme="minorEastAsia" w:eastAsiaTheme="minorEastAsia" w:hAnsiTheme="minorEastAsia" w:cs="宋体"/>
                <w:color w:val="000000"/>
                <w:spacing w:val="-2"/>
                <w:kern w:val="0"/>
                <w:szCs w:val="21"/>
              </w:rPr>
              <w:t>3</w:t>
            </w:r>
            <w:r w:rsidRPr="008140B5">
              <w:rPr>
                <w:rFonts w:asciiTheme="minorEastAsia" w:eastAsiaTheme="minorEastAsia" w:hAnsiTheme="minorEastAsia" w:cs="宋体" w:hint="eastAsia"/>
                <w:color w:val="000000"/>
                <w:spacing w:val="-2"/>
                <w:kern w:val="0"/>
                <w:szCs w:val="21"/>
              </w:rPr>
              <w:t xml:space="preserve">、银行汇划手续费 </w:t>
            </w:r>
          </w:p>
        </w:tc>
        <w:tc>
          <w:tcPr>
            <w:tcW w:w="3401" w:type="dxa"/>
            <w:vAlign w:val="center"/>
          </w:tcPr>
          <w:p w:rsidR="00151A9C" w:rsidRPr="008140B5" w:rsidRDefault="00151A9C" w:rsidP="00151A9C">
            <w:pPr>
              <w:spacing w:line="360" w:lineRule="auto"/>
              <w:jc w:val="right"/>
              <w:rPr>
                <w:rFonts w:asciiTheme="minorEastAsia" w:eastAsiaTheme="minorEastAsia" w:hAnsiTheme="minorEastAsia"/>
                <w:spacing w:val="-2"/>
                <w:szCs w:val="21"/>
              </w:rPr>
            </w:pPr>
            <w:r w:rsidRPr="008140B5">
              <w:rPr>
                <w:rFonts w:asciiTheme="minorEastAsia" w:eastAsiaTheme="minorEastAsia" w:hAnsiTheme="minorEastAsia"/>
                <w:spacing w:val="-2"/>
                <w:szCs w:val="21"/>
              </w:rPr>
              <w:t>1,090</w:t>
            </w:r>
            <w:r w:rsidRPr="008140B5">
              <w:rPr>
                <w:rFonts w:asciiTheme="minorEastAsia" w:eastAsiaTheme="minorEastAsia" w:hAnsiTheme="minorEastAsia" w:hint="eastAsia"/>
                <w:spacing w:val="-2"/>
                <w:szCs w:val="21"/>
              </w:rPr>
              <w:t>.</w:t>
            </w:r>
            <w:r w:rsidRPr="008140B5">
              <w:rPr>
                <w:rFonts w:asciiTheme="minorEastAsia" w:eastAsiaTheme="minorEastAsia" w:hAnsiTheme="minorEastAsia"/>
                <w:spacing w:val="-2"/>
                <w:szCs w:val="21"/>
              </w:rPr>
              <w:t>7</w:t>
            </w:r>
            <w:r w:rsidRPr="008140B5">
              <w:rPr>
                <w:rFonts w:asciiTheme="minorEastAsia" w:eastAsiaTheme="minorEastAsia" w:hAnsiTheme="minorEastAsia" w:hint="eastAsia"/>
                <w:spacing w:val="-2"/>
                <w:szCs w:val="21"/>
              </w:rPr>
              <w:t>0</w:t>
            </w:r>
          </w:p>
        </w:tc>
      </w:tr>
      <w:tr w:rsidR="00151A9C" w:rsidRPr="008140B5" w:rsidTr="00FA0719">
        <w:tc>
          <w:tcPr>
            <w:tcW w:w="5121" w:type="dxa"/>
            <w:vAlign w:val="center"/>
          </w:tcPr>
          <w:p w:rsidR="00151A9C" w:rsidRPr="008140B5" w:rsidRDefault="00151A9C" w:rsidP="00151A9C">
            <w:pPr>
              <w:spacing w:line="360" w:lineRule="auto"/>
              <w:rPr>
                <w:rFonts w:asciiTheme="minorEastAsia" w:eastAsiaTheme="minorEastAsia" w:hAnsiTheme="minorEastAsia" w:cs="宋体"/>
                <w:color w:val="000000"/>
                <w:spacing w:val="-2"/>
                <w:kern w:val="0"/>
                <w:szCs w:val="21"/>
              </w:rPr>
            </w:pPr>
            <w:r w:rsidRPr="008140B5">
              <w:rPr>
                <w:rFonts w:asciiTheme="minorEastAsia" w:eastAsiaTheme="minorEastAsia" w:hAnsiTheme="minorEastAsia" w:cs="宋体" w:hint="eastAsia"/>
                <w:color w:val="000000"/>
                <w:spacing w:val="-2"/>
                <w:kern w:val="0"/>
                <w:szCs w:val="21"/>
              </w:rPr>
              <w:t>4、</w:t>
            </w:r>
            <w:r w:rsidRPr="008140B5">
              <w:rPr>
                <w:rFonts w:asciiTheme="minorEastAsia" w:eastAsiaTheme="minorEastAsia" w:hAnsiTheme="minorEastAsia" w:hint="eastAsia"/>
                <w:spacing w:val="-2"/>
                <w:szCs w:val="21"/>
              </w:rPr>
              <w:t>上海证券报</w:t>
            </w:r>
            <w:r w:rsidRPr="008140B5">
              <w:rPr>
                <w:rFonts w:asciiTheme="minorEastAsia" w:eastAsiaTheme="minorEastAsia" w:hAnsiTheme="minorEastAsia" w:cs="宋体"/>
                <w:color w:val="000000"/>
                <w:spacing w:val="-2"/>
                <w:kern w:val="0"/>
                <w:szCs w:val="21"/>
              </w:rPr>
              <w:t>信息披露费</w:t>
            </w:r>
          </w:p>
        </w:tc>
        <w:tc>
          <w:tcPr>
            <w:tcW w:w="3401" w:type="dxa"/>
            <w:vAlign w:val="center"/>
          </w:tcPr>
          <w:p w:rsidR="00151A9C" w:rsidRPr="008140B5" w:rsidRDefault="00151A9C" w:rsidP="00151A9C">
            <w:pPr>
              <w:spacing w:line="360" w:lineRule="auto"/>
              <w:jc w:val="right"/>
              <w:rPr>
                <w:rFonts w:asciiTheme="minorEastAsia" w:eastAsiaTheme="minorEastAsia" w:hAnsiTheme="minorEastAsia"/>
                <w:spacing w:val="-2"/>
                <w:szCs w:val="21"/>
              </w:rPr>
            </w:pPr>
            <w:r w:rsidRPr="008140B5">
              <w:rPr>
                <w:rFonts w:asciiTheme="minorEastAsia" w:eastAsiaTheme="minorEastAsia" w:hAnsiTheme="minorEastAsia" w:hint="eastAsia"/>
                <w:spacing w:val="-2"/>
                <w:szCs w:val="21"/>
              </w:rPr>
              <w:t>-58,565.99</w:t>
            </w:r>
          </w:p>
        </w:tc>
      </w:tr>
      <w:tr w:rsidR="00151A9C" w:rsidRPr="008140B5" w:rsidTr="00FA0719">
        <w:tc>
          <w:tcPr>
            <w:tcW w:w="5121" w:type="dxa"/>
            <w:vAlign w:val="center"/>
          </w:tcPr>
          <w:p w:rsidR="00151A9C" w:rsidRPr="008140B5" w:rsidRDefault="00151A9C" w:rsidP="00151A9C">
            <w:pPr>
              <w:spacing w:line="360" w:lineRule="auto"/>
              <w:rPr>
                <w:rFonts w:asciiTheme="minorEastAsia" w:eastAsiaTheme="minorEastAsia" w:hAnsiTheme="minorEastAsia"/>
                <w:spacing w:val="-2"/>
                <w:szCs w:val="21"/>
              </w:rPr>
            </w:pPr>
            <w:r w:rsidRPr="008140B5">
              <w:rPr>
                <w:rFonts w:asciiTheme="minorEastAsia" w:eastAsiaTheme="minorEastAsia" w:hAnsiTheme="minorEastAsia" w:cs="宋体" w:hint="eastAsia"/>
                <w:color w:val="000000"/>
                <w:spacing w:val="-2"/>
                <w:kern w:val="0"/>
                <w:szCs w:val="21"/>
              </w:rPr>
              <w:t xml:space="preserve">清算费用小计 </w:t>
            </w:r>
          </w:p>
        </w:tc>
        <w:tc>
          <w:tcPr>
            <w:tcW w:w="3401" w:type="dxa"/>
          </w:tcPr>
          <w:p w:rsidR="00151A9C" w:rsidRPr="008140B5" w:rsidRDefault="00151A9C" w:rsidP="00151A9C">
            <w:pPr>
              <w:spacing w:line="360" w:lineRule="auto"/>
              <w:jc w:val="right"/>
              <w:rPr>
                <w:rFonts w:asciiTheme="minorEastAsia" w:eastAsiaTheme="minorEastAsia" w:hAnsiTheme="minorEastAsia"/>
                <w:spacing w:val="-2"/>
                <w:szCs w:val="21"/>
              </w:rPr>
            </w:pPr>
            <w:r w:rsidRPr="008140B5">
              <w:rPr>
                <w:rFonts w:asciiTheme="minorEastAsia" w:eastAsiaTheme="minorEastAsia" w:hAnsiTheme="minorEastAsia"/>
                <w:spacing w:val="-2"/>
                <w:szCs w:val="21"/>
              </w:rPr>
              <w:t>-17</w:t>
            </w:r>
            <w:r w:rsidRPr="008140B5">
              <w:rPr>
                <w:rFonts w:asciiTheme="minorEastAsia" w:eastAsiaTheme="minorEastAsia" w:hAnsiTheme="minorEastAsia" w:hint="eastAsia"/>
                <w:spacing w:val="-2"/>
                <w:szCs w:val="21"/>
              </w:rPr>
              <w:t>,</w:t>
            </w:r>
            <w:r w:rsidRPr="008140B5">
              <w:rPr>
                <w:rFonts w:asciiTheme="minorEastAsia" w:eastAsiaTheme="minorEastAsia" w:hAnsiTheme="minorEastAsia"/>
                <w:spacing w:val="-2"/>
                <w:szCs w:val="21"/>
              </w:rPr>
              <w:t>475.29</w:t>
            </w:r>
          </w:p>
        </w:tc>
      </w:tr>
      <w:tr w:rsidR="00151A9C" w:rsidRPr="008140B5" w:rsidTr="00FA0719">
        <w:tc>
          <w:tcPr>
            <w:tcW w:w="5121" w:type="dxa"/>
            <w:vAlign w:val="center"/>
          </w:tcPr>
          <w:p w:rsidR="00151A9C" w:rsidRPr="008140B5" w:rsidRDefault="00151A9C" w:rsidP="00151A9C">
            <w:pPr>
              <w:spacing w:line="360" w:lineRule="auto"/>
              <w:rPr>
                <w:rFonts w:asciiTheme="minorEastAsia" w:eastAsiaTheme="minorEastAsia" w:hAnsiTheme="minorEastAsia"/>
                <w:spacing w:val="-2"/>
                <w:szCs w:val="21"/>
              </w:rPr>
            </w:pPr>
            <w:r w:rsidRPr="008140B5">
              <w:rPr>
                <w:rFonts w:asciiTheme="minorEastAsia" w:eastAsiaTheme="minorEastAsia" w:hAnsiTheme="minorEastAsia" w:cs="宋体" w:hint="eastAsia"/>
                <w:color w:val="000000"/>
                <w:spacing w:val="-2"/>
                <w:kern w:val="0"/>
                <w:szCs w:val="21"/>
              </w:rPr>
              <w:t>三、清算净损益</w:t>
            </w:r>
          </w:p>
        </w:tc>
        <w:tc>
          <w:tcPr>
            <w:tcW w:w="3401" w:type="dxa"/>
          </w:tcPr>
          <w:p w:rsidR="00151A9C" w:rsidRPr="008140B5" w:rsidRDefault="00151A9C" w:rsidP="00151A9C">
            <w:pPr>
              <w:spacing w:line="360" w:lineRule="auto"/>
              <w:jc w:val="right"/>
              <w:rPr>
                <w:rFonts w:asciiTheme="minorEastAsia" w:eastAsiaTheme="minorEastAsia" w:hAnsiTheme="minorEastAsia"/>
                <w:spacing w:val="-2"/>
                <w:szCs w:val="21"/>
              </w:rPr>
            </w:pPr>
            <w:r w:rsidRPr="008140B5">
              <w:rPr>
                <w:rFonts w:asciiTheme="minorEastAsia" w:eastAsiaTheme="minorEastAsia" w:hAnsiTheme="minorEastAsia"/>
                <w:spacing w:val="-2"/>
                <w:szCs w:val="21"/>
              </w:rPr>
              <w:t>25,558.48</w:t>
            </w:r>
          </w:p>
        </w:tc>
      </w:tr>
    </w:tbl>
    <w:p w:rsidR="00151A9C" w:rsidRPr="00151A9C" w:rsidRDefault="00151A9C" w:rsidP="00151A9C">
      <w:pPr>
        <w:spacing w:line="360" w:lineRule="auto"/>
        <w:ind w:firstLineChars="200" w:firstLine="412"/>
        <w:jc w:val="left"/>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注1：利息收入系计提的自2019年</w:t>
      </w:r>
      <w:r w:rsidRPr="00151A9C">
        <w:rPr>
          <w:rFonts w:asciiTheme="minorEastAsia" w:eastAsiaTheme="minorEastAsia" w:hAnsiTheme="minorEastAsia"/>
          <w:spacing w:val="-2"/>
          <w:szCs w:val="21"/>
        </w:rPr>
        <w:t>9</w:t>
      </w:r>
      <w:r w:rsidRPr="00151A9C">
        <w:rPr>
          <w:rFonts w:asciiTheme="minorEastAsia" w:eastAsiaTheme="minorEastAsia" w:hAnsiTheme="minorEastAsia" w:hint="eastAsia"/>
          <w:spacing w:val="-2"/>
          <w:szCs w:val="21"/>
        </w:rPr>
        <w:t>月</w:t>
      </w:r>
      <w:r w:rsidRPr="00151A9C">
        <w:rPr>
          <w:rFonts w:asciiTheme="minorEastAsia" w:eastAsiaTheme="minorEastAsia" w:hAnsiTheme="minorEastAsia"/>
          <w:spacing w:val="-2"/>
          <w:szCs w:val="21"/>
        </w:rPr>
        <w:t>24</w:t>
      </w:r>
      <w:r w:rsidRPr="00151A9C">
        <w:rPr>
          <w:rFonts w:asciiTheme="minorEastAsia" w:eastAsiaTheme="minorEastAsia" w:hAnsiTheme="minorEastAsia" w:hint="eastAsia"/>
          <w:spacing w:val="-2"/>
          <w:szCs w:val="21"/>
        </w:rPr>
        <w:t>日至2019年</w:t>
      </w:r>
      <w:r w:rsidRPr="00151A9C">
        <w:rPr>
          <w:rFonts w:asciiTheme="minorEastAsia" w:eastAsiaTheme="minorEastAsia" w:hAnsiTheme="minorEastAsia"/>
          <w:spacing w:val="-2"/>
          <w:szCs w:val="21"/>
        </w:rPr>
        <w:t>10</w:t>
      </w:r>
      <w:r w:rsidRPr="00151A9C">
        <w:rPr>
          <w:rFonts w:asciiTheme="minorEastAsia" w:eastAsiaTheme="minorEastAsia" w:hAnsiTheme="minorEastAsia" w:hint="eastAsia"/>
          <w:spacing w:val="-2"/>
          <w:szCs w:val="21"/>
        </w:rPr>
        <w:t>月</w:t>
      </w:r>
      <w:r w:rsidRPr="00151A9C">
        <w:rPr>
          <w:rFonts w:asciiTheme="minorEastAsia" w:eastAsiaTheme="minorEastAsia" w:hAnsiTheme="minorEastAsia"/>
          <w:spacing w:val="-2"/>
          <w:szCs w:val="21"/>
        </w:rPr>
        <w:t>11</w:t>
      </w:r>
      <w:r w:rsidRPr="00151A9C">
        <w:rPr>
          <w:rFonts w:asciiTheme="minorEastAsia" w:eastAsiaTheme="minorEastAsia" w:hAnsiTheme="minorEastAsia" w:hint="eastAsia"/>
          <w:spacing w:val="-2"/>
          <w:szCs w:val="21"/>
        </w:rPr>
        <w:t>日的银行存款利息、结算备付金利息、存出保证金利息，以及存出保证金和结算备付金结息损益。</w:t>
      </w:r>
    </w:p>
    <w:p w:rsidR="00151A9C" w:rsidRPr="00151A9C" w:rsidRDefault="00151A9C" w:rsidP="00151A9C">
      <w:pPr>
        <w:pStyle w:val="2"/>
        <w:spacing w:line="360" w:lineRule="auto"/>
        <w:rPr>
          <w:rFonts w:asciiTheme="minorEastAsia" w:eastAsiaTheme="minorEastAsia" w:hAnsiTheme="minorEastAsia"/>
          <w:spacing w:val="-2"/>
          <w:sz w:val="21"/>
          <w:szCs w:val="21"/>
        </w:rPr>
      </w:pPr>
      <w:bookmarkStart w:id="14" w:name="_Toc25673897"/>
      <w:r w:rsidRPr="00151A9C">
        <w:rPr>
          <w:rFonts w:asciiTheme="minorEastAsia" w:eastAsiaTheme="minorEastAsia" w:hAnsiTheme="minorEastAsia" w:hint="eastAsia"/>
          <w:spacing w:val="-2"/>
          <w:sz w:val="21"/>
          <w:szCs w:val="21"/>
        </w:rPr>
        <w:t>4、资产处置及负债清偿后的剩余资产分配情况</w:t>
      </w:r>
      <w:bookmarkEnd w:id="14"/>
    </w:p>
    <w:p w:rsidR="00151A9C" w:rsidRPr="00151A9C" w:rsidRDefault="00151A9C" w:rsidP="0074634B">
      <w:pPr>
        <w:pStyle w:val="a6"/>
        <w:spacing w:line="360" w:lineRule="auto"/>
        <w:ind w:left="720" w:firstLineChars="0" w:firstLine="0"/>
        <w:jc w:val="right"/>
        <w:rPr>
          <w:szCs w:val="21"/>
        </w:rPr>
      </w:pPr>
      <w:r w:rsidRPr="00151A9C">
        <w:rPr>
          <w:rFonts w:asciiTheme="minorEastAsia" w:eastAsiaTheme="minorEastAsia" w:hAnsiTheme="minorEastAsia" w:hint="eastAsia"/>
          <w:spacing w:val="-2"/>
          <w:szCs w:val="21"/>
        </w:rPr>
        <w:t>单位：人民币元</w:t>
      </w:r>
    </w:p>
    <w:tbl>
      <w:tblPr>
        <w:tblStyle w:val="a7"/>
        <w:tblW w:w="8222" w:type="dxa"/>
        <w:tblInd w:w="137" w:type="dxa"/>
        <w:tblLook w:val="04A0"/>
      </w:tblPr>
      <w:tblGrid>
        <w:gridCol w:w="5954"/>
        <w:gridCol w:w="2268"/>
      </w:tblGrid>
      <w:tr w:rsidR="00151A9C" w:rsidRPr="00151A9C" w:rsidTr="00F71C58">
        <w:trPr>
          <w:trHeight w:val="362"/>
        </w:trPr>
        <w:tc>
          <w:tcPr>
            <w:tcW w:w="5954" w:type="dxa"/>
            <w:vAlign w:val="center"/>
          </w:tcPr>
          <w:p w:rsidR="00151A9C" w:rsidRPr="00151A9C" w:rsidRDefault="00151A9C" w:rsidP="00F71C58">
            <w:pPr>
              <w:widowControl/>
              <w:spacing w:line="360" w:lineRule="auto"/>
              <w:jc w:val="center"/>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hint="eastAsia"/>
                <w:color w:val="000000"/>
                <w:spacing w:val="-2"/>
                <w:kern w:val="0"/>
                <w:szCs w:val="21"/>
              </w:rPr>
              <w:t>项目</w:t>
            </w:r>
          </w:p>
        </w:tc>
        <w:tc>
          <w:tcPr>
            <w:tcW w:w="2268" w:type="dxa"/>
            <w:vAlign w:val="center"/>
          </w:tcPr>
          <w:p w:rsidR="00151A9C" w:rsidRPr="00151A9C" w:rsidRDefault="00151A9C" w:rsidP="00F71C58">
            <w:pPr>
              <w:widowControl/>
              <w:spacing w:line="360" w:lineRule="auto"/>
              <w:jc w:val="center"/>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hint="eastAsia"/>
                <w:color w:val="000000"/>
                <w:spacing w:val="-2"/>
                <w:kern w:val="0"/>
                <w:szCs w:val="21"/>
              </w:rPr>
              <w:t>金额</w:t>
            </w:r>
          </w:p>
        </w:tc>
      </w:tr>
      <w:tr w:rsidR="00151A9C" w:rsidRPr="00151A9C" w:rsidTr="00F71C58">
        <w:trPr>
          <w:trHeight w:val="453"/>
        </w:trPr>
        <w:tc>
          <w:tcPr>
            <w:tcW w:w="5954" w:type="dxa"/>
            <w:vAlign w:val="center"/>
          </w:tcPr>
          <w:p w:rsidR="00151A9C" w:rsidRPr="00151A9C" w:rsidRDefault="00151A9C" w:rsidP="00F71C58">
            <w:pPr>
              <w:widowControl/>
              <w:spacing w:line="360" w:lineRule="auto"/>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hint="eastAsia"/>
                <w:color w:val="000000"/>
                <w:spacing w:val="-2"/>
                <w:kern w:val="0"/>
                <w:szCs w:val="21"/>
              </w:rPr>
              <w:t>一、最后运作日2019年9月23日基金净资产</w:t>
            </w:r>
          </w:p>
        </w:tc>
        <w:tc>
          <w:tcPr>
            <w:tcW w:w="2268" w:type="dxa"/>
            <w:vAlign w:val="center"/>
          </w:tcPr>
          <w:p w:rsidR="00151A9C" w:rsidRPr="00151A9C" w:rsidRDefault="00151A9C" w:rsidP="00F71C58">
            <w:pPr>
              <w:widowControl/>
              <w:spacing w:line="360" w:lineRule="auto"/>
              <w:jc w:val="right"/>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color w:val="000000"/>
                <w:spacing w:val="-2"/>
                <w:kern w:val="0"/>
                <w:szCs w:val="21"/>
              </w:rPr>
              <w:t>19,654,959.04</w:t>
            </w:r>
          </w:p>
        </w:tc>
      </w:tr>
      <w:tr w:rsidR="00151A9C" w:rsidRPr="00151A9C" w:rsidTr="00F71C58">
        <w:trPr>
          <w:trHeight w:val="247"/>
        </w:trPr>
        <w:tc>
          <w:tcPr>
            <w:tcW w:w="5954" w:type="dxa"/>
            <w:vAlign w:val="center"/>
          </w:tcPr>
          <w:p w:rsidR="00151A9C" w:rsidRPr="00151A9C" w:rsidRDefault="00151A9C" w:rsidP="00F71C58">
            <w:pPr>
              <w:widowControl/>
              <w:spacing w:line="360" w:lineRule="auto"/>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hint="eastAsia"/>
                <w:color w:val="000000"/>
                <w:spacing w:val="-2"/>
                <w:kern w:val="0"/>
                <w:szCs w:val="21"/>
              </w:rPr>
              <w:t>加：清算期间净损益</w:t>
            </w:r>
          </w:p>
        </w:tc>
        <w:tc>
          <w:tcPr>
            <w:tcW w:w="2268" w:type="dxa"/>
            <w:vAlign w:val="center"/>
          </w:tcPr>
          <w:p w:rsidR="00151A9C" w:rsidRPr="00151A9C" w:rsidRDefault="00151A9C" w:rsidP="00F71C58">
            <w:pPr>
              <w:widowControl/>
              <w:spacing w:line="360" w:lineRule="auto"/>
              <w:jc w:val="right"/>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color w:val="000000"/>
                <w:spacing w:val="-2"/>
                <w:kern w:val="0"/>
                <w:szCs w:val="21"/>
              </w:rPr>
              <w:t>25,558.48</w:t>
            </w:r>
          </w:p>
        </w:tc>
      </w:tr>
      <w:tr w:rsidR="00151A9C" w:rsidRPr="00151A9C" w:rsidTr="00F71C58">
        <w:trPr>
          <w:trHeight w:val="481"/>
        </w:trPr>
        <w:tc>
          <w:tcPr>
            <w:tcW w:w="5954" w:type="dxa"/>
            <w:vAlign w:val="center"/>
          </w:tcPr>
          <w:p w:rsidR="00151A9C" w:rsidRPr="00151A9C" w:rsidRDefault="00151A9C" w:rsidP="00F71C58">
            <w:pPr>
              <w:widowControl/>
              <w:spacing w:line="360" w:lineRule="auto"/>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hint="eastAsia"/>
                <w:color w:val="000000"/>
                <w:spacing w:val="-2"/>
                <w:kern w:val="0"/>
                <w:szCs w:val="21"/>
              </w:rPr>
              <w:t>二、2019年10月1</w:t>
            </w:r>
            <w:r w:rsidRPr="00151A9C">
              <w:rPr>
                <w:rFonts w:asciiTheme="minorEastAsia" w:eastAsiaTheme="minorEastAsia" w:hAnsiTheme="minorEastAsia" w:hint="eastAsia"/>
                <w:spacing w:val="-2"/>
                <w:szCs w:val="21"/>
              </w:rPr>
              <w:t>1</w:t>
            </w:r>
            <w:r w:rsidRPr="00151A9C">
              <w:rPr>
                <w:rFonts w:asciiTheme="minorEastAsia" w:eastAsiaTheme="minorEastAsia" w:hAnsiTheme="minorEastAsia" w:cs="宋体" w:hint="eastAsia"/>
                <w:color w:val="000000"/>
                <w:spacing w:val="-2"/>
                <w:kern w:val="0"/>
                <w:szCs w:val="21"/>
              </w:rPr>
              <w:t>日基金净资产</w:t>
            </w:r>
          </w:p>
        </w:tc>
        <w:tc>
          <w:tcPr>
            <w:tcW w:w="2268" w:type="dxa"/>
            <w:vAlign w:val="center"/>
          </w:tcPr>
          <w:p w:rsidR="00151A9C" w:rsidRPr="00151A9C" w:rsidRDefault="00151A9C" w:rsidP="00F71C58">
            <w:pPr>
              <w:widowControl/>
              <w:spacing w:line="360" w:lineRule="auto"/>
              <w:jc w:val="right"/>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cs="宋体"/>
                <w:color w:val="000000"/>
                <w:spacing w:val="-2"/>
                <w:kern w:val="0"/>
                <w:szCs w:val="21"/>
              </w:rPr>
              <w:t>19</w:t>
            </w:r>
            <w:r w:rsidRPr="00151A9C">
              <w:rPr>
                <w:rFonts w:asciiTheme="minorEastAsia" w:eastAsiaTheme="minorEastAsia" w:hAnsiTheme="minorEastAsia" w:cs="宋体" w:hint="eastAsia"/>
                <w:color w:val="000000"/>
                <w:spacing w:val="-2"/>
                <w:kern w:val="0"/>
                <w:szCs w:val="21"/>
              </w:rPr>
              <w:t>,</w:t>
            </w:r>
            <w:r w:rsidRPr="00151A9C">
              <w:rPr>
                <w:rFonts w:asciiTheme="minorEastAsia" w:eastAsiaTheme="minorEastAsia" w:hAnsiTheme="minorEastAsia" w:cs="宋体"/>
                <w:color w:val="000000"/>
                <w:spacing w:val="-2"/>
                <w:kern w:val="0"/>
                <w:szCs w:val="21"/>
              </w:rPr>
              <w:t>680</w:t>
            </w:r>
            <w:r w:rsidRPr="00151A9C">
              <w:rPr>
                <w:rFonts w:asciiTheme="minorEastAsia" w:eastAsiaTheme="minorEastAsia" w:hAnsiTheme="minorEastAsia" w:cs="宋体" w:hint="eastAsia"/>
                <w:color w:val="000000"/>
                <w:spacing w:val="-2"/>
                <w:kern w:val="0"/>
                <w:szCs w:val="21"/>
              </w:rPr>
              <w:t>,</w:t>
            </w:r>
            <w:r w:rsidRPr="00151A9C">
              <w:rPr>
                <w:rFonts w:asciiTheme="minorEastAsia" w:eastAsiaTheme="minorEastAsia" w:hAnsiTheme="minorEastAsia" w:cs="宋体"/>
                <w:color w:val="000000"/>
                <w:spacing w:val="-2"/>
                <w:kern w:val="0"/>
                <w:szCs w:val="21"/>
              </w:rPr>
              <w:t>517.52</w:t>
            </w:r>
          </w:p>
        </w:tc>
      </w:tr>
    </w:tbl>
    <w:p w:rsidR="00151A9C" w:rsidRPr="00151A9C" w:rsidRDefault="00151A9C" w:rsidP="00151A9C">
      <w:pPr>
        <w:widowControl/>
        <w:spacing w:line="360" w:lineRule="auto"/>
        <w:ind w:firstLineChars="200" w:firstLine="412"/>
        <w:rPr>
          <w:rFonts w:asciiTheme="minorEastAsia" w:eastAsiaTheme="minorEastAsia" w:hAnsiTheme="minorEastAsia" w:cs="宋体"/>
          <w:color w:val="000000"/>
          <w:spacing w:val="-2"/>
          <w:kern w:val="0"/>
          <w:szCs w:val="21"/>
        </w:rPr>
      </w:pPr>
      <w:r w:rsidRPr="00151A9C">
        <w:rPr>
          <w:rFonts w:asciiTheme="minorEastAsia" w:eastAsiaTheme="minorEastAsia" w:hAnsiTheme="minorEastAsia" w:hint="eastAsia"/>
          <w:spacing w:val="-2"/>
          <w:szCs w:val="21"/>
        </w:rPr>
        <w:t>资产处置及负债清偿后，于2019年</w:t>
      </w:r>
      <w:r w:rsidRPr="00151A9C">
        <w:rPr>
          <w:rFonts w:asciiTheme="minorEastAsia" w:eastAsiaTheme="minorEastAsia" w:hAnsiTheme="minorEastAsia"/>
          <w:spacing w:val="-2"/>
          <w:szCs w:val="21"/>
        </w:rPr>
        <w:t>10</w:t>
      </w:r>
      <w:r w:rsidRPr="00151A9C">
        <w:rPr>
          <w:rFonts w:asciiTheme="minorEastAsia" w:eastAsiaTheme="minorEastAsia" w:hAnsiTheme="minorEastAsia" w:hint="eastAsia"/>
          <w:spacing w:val="-2"/>
          <w:szCs w:val="21"/>
        </w:rPr>
        <w:t>月</w:t>
      </w:r>
      <w:r w:rsidRPr="00151A9C">
        <w:rPr>
          <w:rFonts w:asciiTheme="minorEastAsia" w:eastAsiaTheme="minorEastAsia" w:hAnsiTheme="minorEastAsia"/>
          <w:spacing w:val="-2"/>
          <w:szCs w:val="21"/>
        </w:rPr>
        <w:t>11</w:t>
      </w:r>
      <w:r w:rsidRPr="00151A9C">
        <w:rPr>
          <w:rFonts w:asciiTheme="minorEastAsia" w:eastAsiaTheme="minorEastAsia" w:hAnsiTheme="minorEastAsia" w:hint="eastAsia"/>
          <w:spacing w:val="-2"/>
          <w:szCs w:val="21"/>
        </w:rPr>
        <w:t>日本基金剩余财产为人民币</w:t>
      </w:r>
      <w:r w:rsidRPr="00151A9C">
        <w:rPr>
          <w:rFonts w:asciiTheme="minorEastAsia" w:eastAsiaTheme="minorEastAsia" w:hAnsiTheme="minorEastAsia" w:cs="宋体"/>
          <w:color w:val="000000"/>
          <w:spacing w:val="-2"/>
          <w:kern w:val="0"/>
          <w:szCs w:val="21"/>
        </w:rPr>
        <w:t>19</w:t>
      </w:r>
      <w:r w:rsidRPr="00151A9C">
        <w:rPr>
          <w:rFonts w:asciiTheme="minorEastAsia" w:eastAsiaTheme="minorEastAsia" w:hAnsiTheme="minorEastAsia" w:cs="宋体" w:hint="eastAsia"/>
          <w:color w:val="000000"/>
          <w:spacing w:val="-2"/>
          <w:kern w:val="0"/>
          <w:szCs w:val="21"/>
        </w:rPr>
        <w:t>,</w:t>
      </w:r>
      <w:r w:rsidRPr="00151A9C">
        <w:rPr>
          <w:rFonts w:asciiTheme="minorEastAsia" w:eastAsiaTheme="minorEastAsia" w:hAnsiTheme="minorEastAsia" w:cs="宋体"/>
          <w:color w:val="000000"/>
          <w:spacing w:val="-2"/>
          <w:kern w:val="0"/>
          <w:szCs w:val="21"/>
        </w:rPr>
        <w:t>680</w:t>
      </w:r>
      <w:r w:rsidRPr="00151A9C">
        <w:rPr>
          <w:rFonts w:asciiTheme="minorEastAsia" w:eastAsiaTheme="minorEastAsia" w:hAnsiTheme="minorEastAsia" w:cs="宋体" w:hint="eastAsia"/>
          <w:color w:val="000000"/>
          <w:spacing w:val="-2"/>
          <w:kern w:val="0"/>
          <w:szCs w:val="21"/>
        </w:rPr>
        <w:t>,</w:t>
      </w:r>
      <w:r w:rsidRPr="00151A9C">
        <w:rPr>
          <w:rFonts w:asciiTheme="minorEastAsia" w:eastAsiaTheme="minorEastAsia" w:hAnsiTheme="minorEastAsia" w:cs="宋体"/>
          <w:color w:val="000000"/>
          <w:spacing w:val="-2"/>
          <w:kern w:val="0"/>
          <w:szCs w:val="21"/>
        </w:rPr>
        <w:t>517.52</w:t>
      </w:r>
      <w:r w:rsidRPr="00151A9C">
        <w:rPr>
          <w:rFonts w:asciiTheme="minorEastAsia" w:eastAsiaTheme="minorEastAsia" w:hAnsiTheme="minorEastAsia" w:hint="eastAsia"/>
          <w:spacing w:val="-2"/>
          <w:szCs w:val="21"/>
        </w:rPr>
        <w:t>元，根据本基金的基金合同约定，依据基金财产清算的分配方案，将基金财产清算后的全部剩余资产扣除基金财产清算费用、交纳所欠税款并清偿基金债务后，按基金份额持有人持有的基金份额比例进行分配。</w:t>
      </w:r>
    </w:p>
    <w:p w:rsidR="00151A9C" w:rsidRPr="00151A9C" w:rsidRDefault="00151A9C" w:rsidP="00151A9C">
      <w:pPr>
        <w:spacing w:line="360" w:lineRule="auto"/>
        <w:ind w:firstLineChars="200" w:firstLine="412"/>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清算起始日</w:t>
      </w:r>
      <w:r w:rsidRPr="00151A9C">
        <w:rPr>
          <w:rFonts w:asciiTheme="minorEastAsia" w:eastAsiaTheme="minorEastAsia" w:hAnsiTheme="minorEastAsia"/>
          <w:spacing w:val="-2"/>
          <w:szCs w:val="21"/>
        </w:rPr>
        <w:t>201</w:t>
      </w:r>
      <w:r w:rsidRPr="00151A9C">
        <w:rPr>
          <w:rFonts w:asciiTheme="minorEastAsia" w:eastAsiaTheme="minorEastAsia" w:hAnsiTheme="minorEastAsia" w:hint="eastAsia"/>
          <w:spacing w:val="-2"/>
          <w:szCs w:val="21"/>
        </w:rPr>
        <w:t>9年</w:t>
      </w:r>
      <w:r w:rsidRPr="00151A9C">
        <w:rPr>
          <w:rFonts w:asciiTheme="minorEastAsia" w:eastAsiaTheme="minorEastAsia" w:hAnsiTheme="minorEastAsia"/>
          <w:spacing w:val="-2"/>
          <w:szCs w:val="21"/>
        </w:rPr>
        <w:t>9</w:t>
      </w:r>
      <w:r w:rsidRPr="00151A9C">
        <w:rPr>
          <w:rFonts w:asciiTheme="minorEastAsia" w:eastAsiaTheme="minorEastAsia" w:hAnsiTheme="minorEastAsia" w:hint="eastAsia"/>
          <w:spacing w:val="-2"/>
          <w:szCs w:val="21"/>
        </w:rPr>
        <w:t>月</w:t>
      </w:r>
      <w:r w:rsidRPr="00151A9C">
        <w:rPr>
          <w:rFonts w:asciiTheme="minorEastAsia" w:eastAsiaTheme="minorEastAsia" w:hAnsiTheme="minorEastAsia"/>
          <w:spacing w:val="-2"/>
          <w:szCs w:val="21"/>
        </w:rPr>
        <w:t>24</w:t>
      </w:r>
      <w:r w:rsidRPr="00151A9C">
        <w:rPr>
          <w:rFonts w:asciiTheme="minorEastAsia" w:eastAsiaTheme="minorEastAsia" w:hAnsiTheme="minorEastAsia" w:hint="eastAsia"/>
          <w:spacing w:val="-2"/>
          <w:szCs w:val="21"/>
        </w:rPr>
        <w:t>日至清算款划出日前一日的银行存款产生的利息属份额持有人所有，清算起始日</w:t>
      </w:r>
      <w:r w:rsidRPr="00151A9C">
        <w:rPr>
          <w:rFonts w:asciiTheme="minorEastAsia" w:eastAsiaTheme="minorEastAsia" w:hAnsiTheme="minorEastAsia"/>
          <w:spacing w:val="-2"/>
          <w:szCs w:val="21"/>
        </w:rPr>
        <w:t>201</w:t>
      </w:r>
      <w:r w:rsidRPr="00151A9C">
        <w:rPr>
          <w:rFonts w:asciiTheme="minorEastAsia" w:eastAsiaTheme="minorEastAsia" w:hAnsiTheme="minorEastAsia" w:hint="eastAsia"/>
          <w:spacing w:val="-2"/>
          <w:szCs w:val="21"/>
        </w:rPr>
        <w:t>9年</w:t>
      </w:r>
      <w:r w:rsidRPr="00151A9C">
        <w:rPr>
          <w:rFonts w:asciiTheme="minorEastAsia" w:eastAsiaTheme="minorEastAsia" w:hAnsiTheme="minorEastAsia"/>
          <w:spacing w:val="-2"/>
          <w:szCs w:val="21"/>
        </w:rPr>
        <w:t>9</w:t>
      </w:r>
      <w:r w:rsidRPr="00151A9C">
        <w:rPr>
          <w:rFonts w:asciiTheme="minorEastAsia" w:eastAsiaTheme="minorEastAsia" w:hAnsiTheme="minorEastAsia" w:hint="eastAsia"/>
          <w:spacing w:val="-2"/>
          <w:szCs w:val="21"/>
        </w:rPr>
        <w:t>月</w:t>
      </w:r>
      <w:r w:rsidRPr="00151A9C">
        <w:rPr>
          <w:rFonts w:asciiTheme="minorEastAsia" w:eastAsiaTheme="minorEastAsia" w:hAnsiTheme="minorEastAsia"/>
          <w:spacing w:val="-2"/>
          <w:szCs w:val="21"/>
        </w:rPr>
        <w:t>24</w:t>
      </w:r>
      <w:r w:rsidRPr="00151A9C">
        <w:rPr>
          <w:rFonts w:asciiTheme="minorEastAsia" w:eastAsiaTheme="minorEastAsia" w:hAnsiTheme="minorEastAsia" w:hint="eastAsia"/>
          <w:spacing w:val="-2"/>
          <w:szCs w:val="21"/>
        </w:rPr>
        <w:t>日至清算款划出日</w:t>
      </w:r>
      <w:r w:rsidRPr="00151A9C">
        <w:rPr>
          <w:rFonts w:asciiTheme="minorEastAsia" w:eastAsiaTheme="minorEastAsia" w:hAnsiTheme="minorEastAsia"/>
          <w:spacing w:val="-2"/>
          <w:szCs w:val="21"/>
        </w:rPr>
        <w:t>当天因支付</w:t>
      </w:r>
      <w:r w:rsidRPr="00151A9C">
        <w:rPr>
          <w:rFonts w:asciiTheme="minorEastAsia" w:eastAsiaTheme="minorEastAsia" w:hAnsiTheme="minorEastAsia" w:hint="eastAsia"/>
          <w:spacing w:val="-2"/>
          <w:szCs w:val="21"/>
        </w:rPr>
        <w:t>清算</w:t>
      </w:r>
      <w:r w:rsidRPr="00151A9C">
        <w:rPr>
          <w:rFonts w:asciiTheme="minorEastAsia" w:eastAsiaTheme="minorEastAsia" w:hAnsiTheme="minorEastAsia"/>
          <w:spacing w:val="-2"/>
          <w:szCs w:val="21"/>
        </w:rPr>
        <w:t>相关费用及划出清算款产生的汇划费亦由份额持有人承担</w:t>
      </w:r>
      <w:r w:rsidRPr="00151A9C">
        <w:rPr>
          <w:rFonts w:asciiTheme="minorEastAsia" w:eastAsiaTheme="minorEastAsia" w:hAnsiTheme="minorEastAsia" w:hint="eastAsia"/>
          <w:spacing w:val="-2"/>
          <w:szCs w:val="21"/>
        </w:rPr>
        <w:t>。基金管理人诺安基金管理有限公司以自有资金垫付并已于2019年</w:t>
      </w:r>
      <w:r w:rsidRPr="00151A9C">
        <w:rPr>
          <w:rFonts w:asciiTheme="minorEastAsia" w:eastAsiaTheme="minorEastAsia" w:hAnsiTheme="minorEastAsia"/>
          <w:spacing w:val="-2"/>
          <w:szCs w:val="21"/>
        </w:rPr>
        <w:t>10</w:t>
      </w:r>
      <w:r w:rsidRPr="00151A9C">
        <w:rPr>
          <w:rFonts w:asciiTheme="minorEastAsia" w:eastAsiaTheme="minorEastAsia" w:hAnsiTheme="minorEastAsia" w:hint="eastAsia"/>
          <w:spacing w:val="-2"/>
          <w:szCs w:val="21"/>
        </w:rPr>
        <w:t>月</w:t>
      </w:r>
      <w:r w:rsidRPr="00151A9C">
        <w:rPr>
          <w:rFonts w:asciiTheme="minorEastAsia" w:eastAsiaTheme="minorEastAsia" w:hAnsiTheme="minorEastAsia"/>
          <w:spacing w:val="-2"/>
          <w:szCs w:val="21"/>
        </w:rPr>
        <w:t>11</w:t>
      </w:r>
      <w:r w:rsidRPr="00151A9C">
        <w:rPr>
          <w:rFonts w:asciiTheme="minorEastAsia" w:eastAsiaTheme="minorEastAsia" w:hAnsiTheme="minorEastAsia" w:hint="eastAsia"/>
          <w:spacing w:val="-2"/>
          <w:szCs w:val="21"/>
        </w:rPr>
        <w:t>日划入托管账户人民币</w:t>
      </w:r>
      <w:r w:rsidRPr="00151A9C">
        <w:rPr>
          <w:rFonts w:asciiTheme="minorEastAsia" w:eastAsiaTheme="minorEastAsia" w:hAnsiTheme="minorEastAsia"/>
          <w:spacing w:val="-2"/>
          <w:szCs w:val="21"/>
        </w:rPr>
        <w:t>40</w:t>
      </w:r>
      <w:r w:rsidRPr="00151A9C">
        <w:rPr>
          <w:rFonts w:asciiTheme="minorEastAsia" w:eastAsiaTheme="minorEastAsia" w:hAnsiTheme="minorEastAsia" w:hint="eastAsia"/>
          <w:spacing w:val="-2"/>
          <w:szCs w:val="21"/>
        </w:rPr>
        <w:t>,</w:t>
      </w:r>
      <w:r w:rsidRPr="00151A9C">
        <w:rPr>
          <w:rFonts w:asciiTheme="minorEastAsia" w:eastAsiaTheme="minorEastAsia" w:hAnsiTheme="minorEastAsia"/>
          <w:spacing w:val="-2"/>
          <w:szCs w:val="21"/>
        </w:rPr>
        <w:t>000</w:t>
      </w:r>
      <w:r w:rsidRPr="00151A9C">
        <w:rPr>
          <w:rFonts w:asciiTheme="minorEastAsia" w:eastAsiaTheme="minorEastAsia" w:hAnsiTheme="minorEastAsia" w:hint="eastAsia"/>
          <w:spacing w:val="-2"/>
          <w:szCs w:val="21"/>
        </w:rPr>
        <w:t>.00元，用以垫付应收利息、存出保证金等，基金</w:t>
      </w:r>
      <w:r w:rsidRPr="00151A9C">
        <w:rPr>
          <w:rFonts w:asciiTheme="minorEastAsia" w:eastAsiaTheme="minorEastAsia" w:hAnsiTheme="minorEastAsia"/>
          <w:spacing w:val="-2"/>
          <w:szCs w:val="21"/>
        </w:rPr>
        <w:t>管理人</w:t>
      </w:r>
      <w:r w:rsidRPr="00151A9C">
        <w:rPr>
          <w:rFonts w:asciiTheme="minorEastAsia" w:eastAsiaTheme="minorEastAsia" w:hAnsiTheme="minorEastAsia" w:hint="eastAsia"/>
          <w:spacing w:val="-2"/>
          <w:szCs w:val="21"/>
        </w:rPr>
        <w:t>垫付</w:t>
      </w:r>
      <w:r w:rsidRPr="00151A9C">
        <w:rPr>
          <w:rFonts w:asciiTheme="minorEastAsia" w:eastAsiaTheme="minorEastAsia" w:hAnsiTheme="minorEastAsia"/>
          <w:spacing w:val="-2"/>
          <w:szCs w:val="21"/>
        </w:rPr>
        <w:t>资金</w:t>
      </w:r>
      <w:r w:rsidRPr="00151A9C">
        <w:rPr>
          <w:rFonts w:asciiTheme="minorEastAsia" w:eastAsiaTheme="minorEastAsia" w:hAnsiTheme="minorEastAsia" w:hint="eastAsia"/>
          <w:spacing w:val="-2"/>
          <w:szCs w:val="21"/>
        </w:rPr>
        <w:t>到账日起</w:t>
      </w:r>
      <w:r w:rsidRPr="00151A9C">
        <w:rPr>
          <w:rFonts w:asciiTheme="minorEastAsia" w:eastAsiaTheme="minorEastAsia" w:hAnsiTheme="minorEastAsia"/>
          <w:spacing w:val="-2"/>
          <w:szCs w:val="21"/>
        </w:rPr>
        <w:t>孳生的利息</w:t>
      </w:r>
      <w:r w:rsidRPr="00151A9C">
        <w:rPr>
          <w:rFonts w:asciiTheme="minorEastAsia" w:eastAsiaTheme="minorEastAsia" w:hAnsiTheme="minorEastAsia" w:hint="eastAsia"/>
          <w:spacing w:val="-2"/>
          <w:szCs w:val="21"/>
        </w:rPr>
        <w:t>归</w:t>
      </w:r>
      <w:r w:rsidRPr="00151A9C">
        <w:rPr>
          <w:rFonts w:asciiTheme="minorEastAsia" w:eastAsiaTheme="minorEastAsia" w:hAnsiTheme="minorEastAsia"/>
          <w:spacing w:val="-2"/>
          <w:szCs w:val="21"/>
        </w:rPr>
        <w:t>基金管理人所有</w:t>
      </w:r>
      <w:r w:rsidRPr="00151A9C">
        <w:rPr>
          <w:rFonts w:asciiTheme="minorEastAsia" w:eastAsiaTheme="minorEastAsia" w:hAnsiTheme="minorEastAsia" w:hint="eastAsia"/>
          <w:spacing w:val="-2"/>
          <w:szCs w:val="21"/>
        </w:rPr>
        <w:t>。</w:t>
      </w:r>
    </w:p>
    <w:p w:rsidR="00151A9C" w:rsidRPr="00151A9C" w:rsidRDefault="00151A9C" w:rsidP="00151A9C">
      <w:pPr>
        <w:pStyle w:val="2"/>
        <w:spacing w:line="360" w:lineRule="auto"/>
        <w:rPr>
          <w:rFonts w:asciiTheme="minorEastAsia" w:eastAsiaTheme="minorEastAsia" w:hAnsiTheme="minorEastAsia"/>
          <w:spacing w:val="-2"/>
          <w:sz w:val="21"/>
          <w:szCs w:val="21"/>
        </w:rPr>
      </w:pPr>
      <w:bookmarkStart w:id="15" w:name="_Toc25673898"/>
      <w:r w:rsidRPr="00151A9C">
        <w:rPr>
          <w:rFonts w:asciiTheme="minorEastAsia" w:eastAsiaTheme="minorEastAsia" w:hAnsiTheme="minorEastAsia" w:hint="eastAsia"/>
          <w:spacing w:val="-2"/>
          <w:sz w:val="21"/>
          <w:szCs w:val="21"/>
        </w:rPr>
        <w:t>5 、基金财产清算报告的告知安排</w:t>
      </w:r>
      <w:bookmarkEnd w:id="15"/>
    </w:p>
    <w:p w:rsidR="00486276" w:rsidRPr="00151A9C" w:rsidRDefault="00151A9C" w:rsidP="00F71C58">
      <w:pPr>
        <w:pStyle w:val="1"/>
        <w:spacing w:line="360" w:lineRule="auto"/>
        <w:ind w:firstLineChars="206" w:firstLine="424"/>
        <w:rPr>
          <w:rFonts w:asciiTheme="minorEastAsia" w:eastAsiaTheme="minorEastAsia" w:hAnsiTheme="minorEastAsia"/>
          <w:b w:val="0"/>
          <w:bCs w:val="0"/>
          <w:spacing w:val="-2"/>
          <w:kern w:val="2"/>
          <w:sz w:val="21"/>
          <w:szCs w:val="21"/>
        </w:rPr>
      </w:pPr>
      <w:r w:rsidRPr="00151A9C">
        <w:rPr>
          <w:rFonts w:asciiTheme="minorEastAsia" w:eastAsiaTheme="minorEastAsia" w:hAnsiTheme="minorEastAsia" w:hint="eastAsia"/>
          <w:b w:val="0"/>
          <w:bCs w:val="0"/>
          <w:spacing w:val="-2"/>
          <w:kern w:val="2"/>
          <w:sz w:val="21"/>
          <w:szCs w:val="21"/>
        </w:rPr>
        <w:t>本清算报告已经基金托管人复核，在经会计师事务所审计、律师事务所出具法律意见书后，报中国证监会备案后向基金份额持有人公告。清算报告公告后，基金管理人将遵照法律法规、基金合同等规定及时进行分配。</w:t>
      </w:r>
      <w:bookmarkEnd w:id="2"/>
    </w:p>
    <w:p w:rsidR="00486276" w:rsidRPr="00151A9C" w:rsidRDefault="00486276" w:rsidP="00151A9C">
      <w:pPr>
        <w:pStyle w:val="1"/>
        <w:spacing w:line="360" w:lineRule="auto"/>
        <w:rPr>
          <w:rFonts w:asciiTheme="minorEastAsia" w:eastAsiaTheme="minorEastAsia" w:hAnsiTheme="minorEastAsia"/>
          <w:spacing w:val="-2"/>
          <w:sz w:val="21"/>
          <w:szCs w:val="21"/>
        </w:rPr>
      </w:pPr>
      <w:bookmarkStart w:id="16" w:name="_Toc25326727"/>
      <w:r w:rsidRPr="00151A9C">
        <w:rPr>
          <w:rFonts w:asciiTheme="minorEastAsia" w:eastAsiaTheme="minorEastAsia" w:hAnsiTheme="minorEastAsia" w:hint="eastAsia"/>
          <w:spacing w:val="-2"/>
          <w:sz w:val="21"/>
          <w:szCs w:val="21"/>
        </w:rPr>
        <w:t>六、备查文件目录</w:t>
      </w:r>
      <w:bookmarkEnd w:id="16"/>
    </w:p>
    <w:p w:rsidR="00486276" w:rsidRPr="00151A9C" w:rsidRDefault="00486276" w:rsidP="00151A9C">
      <w:pPr>
        <w:pStyle w:val="2"/>
        <w:spacing w:line="360" w:lineRule="auto"/>
        <w:rPr>
          <w:rFonts w:asciiTheme="minorEastAsia" w:eastAsiaTheme="minorEastAsia" w:hAnsiTheme="minorEastAsia"/>
          <w:spacing w:val="-2"/>
          <w:sz w:val="21"/>
          <w:szCs w:val="21"/>
        </w:rPr>
      </w:pPr>
      <w:bookmarkStart w:id="17" w:name="_Toc25326728"/>
      <w:r w:rsidRPr="00151A9C">
        <w:rPr>
          <w:rFonts w:asciiTheme="minorEastAsia" w:eastAsiaTheme="minorEastAsia" w:hAnsiTheme="minorEastAsia" w:hint="eastAsia"/>
          <w:spacing w:val="-2"/>
          <w:sz w:val="21"/>
          <w:szCs w:val="21"/>
        </w:rPr>
        <w:t>1 、备查文件目录</w:t>
      </w:r>
      <w:bookmarkEnd w:id="17"/>
    </w:p>
    <w:p w:rsidR="00151A9C" w:rsidRPr="00151A9C" w:rsidRDefault="00151A9C" w:rsidP="00151A9C">
      <w:pPr>
        <w:spacing w:line="360" w:lineRule="auto"/>
        <w:ind w:firstLineChars="200" w:firstLine="412"/>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（1）《诺安永鑫收益一年定期开放债券型证券投资基金清算审计报告》；</w:t>
      </w:r>
    </w:p>
    <w:p w:rsidR="00486276" w:rsidRPr="00151A9C" w:rsidRDefault="00151A9C" w:rsidP="00151A9C">
      <w:pPr>
        <w:spacing w:line="360" w:lineRule="auto"/>
        <w:ind w:firstLineChars="200" w:firstLine="412"/>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（2）上海源泰律师事务所关于诺安永鑫收益一年定期开放债券型证券投资基金清算事宜的法律意见。</w:t>
      </w:r>
    </w:p>
    <w:p w:rsidR="00486276" w:rsidRPr="00151A9C" w:rsidRDefault="00486276" w:rsidP="00151A9C">
      <w:pPr>
        <w:pStyle w:val="2"/>
        <w:spacing w:line="360" w:lineRule="auto"/>
        <w:rPr>
          <w:rFonts w:asciiTheme="minorEastAsia" w:eastAsiaTheme="minorEastAsia" w:hAnsiTheme="minorEastAsia"/>
          <w:spacing w:val="-2"/>
          <w:sz w:val="21"/>
          <w:szCs w:val="21"/>
        </w:rPr>
      </w:pPr>
      <w:bookmarkStart w:id="18" w:name="_Toc25326729"/>
      <w:r w:rsidRPr="00151A9C">
        <w:rPr>
          <w:rFonts w:asciiTheme="minorEastAsia" w:eastAsiaTheme="minorEastAsia" w:hAnsiTheme="minorEastAsia" w:hint="eastAsia"/>
          <w:spacing w:val="-2"/>
          <w:sz w:val="21"/>
          <w:szCs w:val="21"/>
        </w:rPr>
        <w:t>2 、存放地点</w:t>
      </w:r>
      <w:bookmarkEnd w:id="18"/>
    </w:p>
    <w:p w:rsidR="00486276" w:rsidRPr="00151A9C" w:rsidRDefault="00486276" w:rsidP="00151A9C">
      <w:pPr>
        <w:spacing w:line="360" w:lineRule="auto"/>
        <w:ind w:firstLineChars="200" w:firstLine="412"/>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基金管理人的办公场所。</w:t>
      </w:r>
    </w:p>
    <w:p w:rsidR="00486276" w:rsidRPr="00151A9C" w:rsidRDefault="00486276" w:rsidP="00151A9C">
      <w:pPr>
        <w:pStyle w:val="2"/>
        <w:spacing w:line="360" w:lineRule="auto"/>
        <w:rPr>
          <w:rFonts w:asciiTheme="minorEastAsia" w:eastAsiaTheme="minorEastAsia" w:hAnsiTheme="minorEastAsia"/>
          <w:spacing w:val="-2"/>
          <w:sz w:val="21"/>
          <w:szCs w:val="21"/>
        </w:rPr>
      </w:pPr>
      <w:bookmarkStart w:id="19" w:name="_Toc25326730"/>
      <w:r w:rsidRPr="00151A9C">
        <w:rPr>
          <w:rFonts w:asciiTheme="minorEastAsia" w:eastAsiaTheme="minorEastAsia" w:hAnsiTheme="minorEastAsia" w:hint="eastAsia"/>
          <w:spacing w:val="-2"/>
          <w:sz w:val="21"/>
          <w:szCs w:val="21"/>
        </w:rPr>
        <w:t>3 、查阅方式</w:t>
      </w:r>
      <w:bookmarkEnd w:id="19"/>
    </w:p>
    <w:p w:rsidR="00486276" w:rsidRPr="00151A9C" w:rsidRDefault="00486276" w:rsidP="00151A9C">
      <w:pPr>
        <w:spacing w:line="360" w:lineRule="auto"/>
        <w:ind w:firstLineChars="200" w:firstLine="412"/>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投资者可在营业时间内至基金管理人的办公场所免费查阅。</w:t>
      </w:r>
    </w:p>
    <w:p w:rsidR="000B77F4" w:rsidRPr="00151A9C" w:rsidRDefault="000B77F4" w:rsidP="00151A9C">
      <w:pPr>
        <w:spacing w:line="360" w:lineRule="auto"/>
        <w:ind w:firstLineChars="200" w:firstLine="412"/>
        <w:rPr>
          <w:rFonts w:asciiTheme="minorEastAsia" w:eastAsiaTheme="minorEastAsia" w:hAnsiTheme="minorEastAsia"/>
          <w:spacing w:val="-2"/>
          <w:szCs w:val="21"/>
        </w:rPr>
      </w:pPr>
    </w:p>
    <w:p w:rsidR="00486276" w:rsidRPr="00151A9C" w:rsidRDefault="00151A9C" w:rsidP="00151A9C">
      <w:pPr>
        <w:spacing w:line="360" w:lineRule="auto"/>
        <w:ind w:firstLineChars="250" w:firstLine="515"/>
        <w:jc w:val="right"/>
        <w:rPr>
          <w:rFonts w:asciiTheme="minorEastAsia" w:eastAsiaTheme="minorEastAsia" w:hAnsiTheme="minorEastAsia"/>
          <w:spacing w:val="-2"/>
          <w:szCs w:val="21"/>
        </w:rPr>
      </w:pPr>
      <w:r w:rsidRPr="00151A9C">
        <w:rPr>
          <w:rFonts w:asciiTheme="minorEastAsia" w:eastAsiaTheme="minorEastAsia" w:hAnsiTheme="minorEastAsia" w:hint="eastAsia"/>
          <w:spacing w:val="-2"/>
          <w:szCs w:val="21"/>
        </w:rPr>
        <w:t>诺安永鑫收益一年定期开放债券型证券投资基金</w:t>
      </w:r>
      <w:r w:rsidR="00486276" w:rsidRPr="00151A9C">
        <w:rPr>
          <w:rFonts w:asciiTheme="minorEastAsia" w:eastAsiaTheme="minorEastAsia" w:hAnsiTheme="minorEastAsia" w:hint="eastAsia"/>
          <w:spacing w:val="-2"/>
          <w:szCs w:val="21"/>
        </w:rPr>
        <w:t>财产清算小组</w:t>
      </w:r>
    </w:p>
    <w:p w:rsidR="00486276" w:rsidRPr="00151A9C" w:rsidRDefault="008D02DF">
      <w:pPr>
        <w:spacing w:line="360" w:lineRule="auto"/>
        <w:ind w:firstLineChars="1850" w:firstLine="3811"/>
        <w:jc w:val="right"/>
        <w:rPr>
          <w:rFonts w:asciiTheme="minorEastAsia" w:eastAsiaTheme="minorEastAsia" w:hAnsiTheme="minorEastAsia"/>
          <w:spacing w:val="-2"/>
          <w:szCs w:val="21"/>
        </w:rPr>
      </w:pPr>
      <w:r w:rsidRPr="00151A9C">
        <w:rPr>
          <w:rFonts w:asciiTheme="minorEastAsia" w:eastAsiaTheme="minorEastAsia" w:hAnsiTheme="minorEastAsia"/>
          <w:spacing w:val="-2"/>
          <w:szCs w:val="21"/>
        </w:rPr>
        <w:t>201</w:t>
      </w:r>
      <w:r w:rsidRPr="00151A9C">
        <w:rPr>
          <w:rFonts w:asciiTheme="minorEastAsia" w:eastAsiaTheme="minorEastAsia" w:hAnsiTheme="minorEastAsia" w:hint="eastAsia"/>
          <w:spacing w:val="-2"/>
          <w:szCs w:val="21"/>
        </w:rPr>
        <w:t>9年12月</w:t>
      </w:r>
      <w:r>
        <w:rPr>
          <w:rFonts w:asciiTheme="minorEastAsia" w:eastAsiaTheme="minorEastAsia" w:hAnsiTheme="minorEastAsia" w:hint="eastAsia"/>
          <w:spacing w:val="-2"/>
          <w:szCs w:val="21"/>
        </w:rPr>
        <w:t>17</w:t>
      </w:r>
      <w:r w:rsidR="00486276" w:rsidRPr="00151A9C">
        <w:rPr>
          <w:rFonts w:asciiTheme="minorEastAsia" w:eastAsiaTheme="minorEastAsia" w:hAnsiTheme="minorEastAsia" w:hint="eastAsia"/>
          <w:spacing w:val="-2"/>
          <w:szCs w:val="21"/>
        </w:rPr>
        <w:t>日</w:t>
      </w:r>
    </w:p>
    <w:sectPr w:rsidR="00486276" w:rsidRPr="00151A9C" w:rsidSect="0065647F">
      <w:headerReference w:type="default" r:id="rId8"/>
      <w:footerReference w:type="default" r:id="rId9"/>
      <w:headerReference w:type="first" r:id="rId10"/>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3E7" w:rsidRDefault="00F053E7" w:rsidP="0065647F">
      <w:r>
        <w:separator/>
      </w:r>
    </w:p>
  </w:endnote>
  <w:endnote w:type="continuationSeparator" w:id="1">
    <w:p w:rsidR="00F053E7" w:rsidRDefault="00F053E7" w:rsidP="00656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492716"/>
      <w:docPartObj>
        <w:docPartGallery w:val="Page Numbers (Bottom of Page)"/>
        <w:docPartUnique/>
      </w:docPartObj>
    </w:sdtPr>
    <w:sdtContent>
      <w:sdt>
        <w:sdtPr>
          <w:id w:val="1728636285"/>
          <w:docPartObj>
            <w:docPartGallery w:val="Page Numbers (Top of Page)"/>
            <w:docPartUnique/>
          </w:docPartObj>
        </w:sdtPr>
        <w:sdtContent>
          <w:p w:rsidR="005D0D09" w:rsidRDefault="005E4CC9">
            <w:pPr>
              <w:pStyle w:val="a5"/>
              <w:jc w:val="center"/>
            </w:pPr>
            <w:r>
              <w:rPr>
                <w:b/>
                <w:bCs/>
                <w:sz w:val="24"/>
                <w:szCs w:val="24"/>
              </w:rPr>
              <w:fldChar w:fldCharType="begin"/>
            </w:r>
            <w:r w:rsidR="005D0D09">
              <w:rPr>
                <w:b/>
                <w:bCs/>
              </w:rPr>
              <w:instrText>PAGE</w:instrText>
            </w:r>
            <w:r>
              <w:rPr>
                <w:b/>
                <w:bCs/>
                <w:sz w:val="24"/>
                <w:szCs w:val="24"/>
              </w:rPr>
              <w:fldChar w:fldCharType="separate"/>
            </w:r>
            <w:r w:rsidR="007C3651">
              <w:rPr>
                <w:b/>
                <w:bCs/>
                <w:noProof/>
              </w:rPr>
              <w:t>2</w:t>
            </w:r>
            <w:r>
              <w:rPr>
                <w:b/>
                <w:bCs/>
                <w:sz w:val="24"/>
                <w:szCs w:val="24"/>
              </w:rPr>
              <w:fldChar w:fldCharType="end"/>
            </w:r>
            <w:r w:rsidR="005D0D09">
              <w:rPr>
                <w:lang w:val="zh-CN"/>
              </w:rPr>
              <w:t xml:space="preserve"> / </w:t>
            </w:r>
            <w:r>
              <w:rPr>
                <w:b/>
                <w:bCs/>
                <w:sz w:val="24"/>
                <w:szCs w:val="24"/>
              </w:rPr>
              <w:fldChar w:fldCharType="begin"/>
            </w:r>
            <w:r w:rsidR="005D0D09">
              <w:rPr>
                <w:b/>
                <w:bCs/>
              </w:rPr>
              <w:instrText>NUMPAGES</w:instrText>
            </w:r>
            <w:r>
              <w:rPr>
                <w:b/>
                <w:bCs/>
                <w:sz w:val="24"/>
                <w:szCs w:val="24"/>
              </w:rPr>
              <w:fldChar w:fldCharType="separate"/>
            </w:r>
            <w:r w:rsidR="007C3651">
              <w:rPr>
                <w:b/>
                <w:bCs/>
                <w:noProof/>
              </w:rPr>
              <w:t>4</w:t>
            </w:r>
            <w:r>
              <w:rPr>
                <w:b/>
                <w:bCs/>
                <w:sz w:val="24"/>
                <w:szCs w:val="24"/>
              </w:rPr>
              <w:fldChar w:fldCharType="end"/>
            </w:r>
          </w:p>
        </w:sdtContent>
      </w:sdt>
    </w:sdtContent>
  </w:sdt>
  <w:p w:rsidR="005D0D09" w:rsidRDefault="005D0D0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3E7" w:rsidRDefault="00F053E7" w:rsidP="0065647F">
      <w:r>
        <w:separator/>
      </w:r>
    </w:p>
  </w:footnote>
  <w:footnote w:type="continuationSeparator" w:id="1">
    <w:p w:rsidR="00F053E7" w:rsidRDefault="00F053E7" w:rsidP="006564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D09" w:rsidRDefault="00B86F38" w:rsidP="00431F99">
    <w:pPr>
      <w:pStyle w:val="a4"/>
    </w:pPr>
    <w:r>
      <w:rPr>
        <w:rFonts w:hint="eastAsia"/>
        <w:color w:val="000000"/>
      </w:rPr>
      <w:t>诺安永鑫收益一年定期开放债券型</w:t>
    </w:r>
    <w:r>
      <w:rPr>
        <w:rFonts w:hint="eastAsia"/>
      </w:rPr>
      <w:t>证券投资基金</w:t>
    </w:r>
    <w:r w:rsidR="005D0D09">
      <w:rPr>
        <w:rFonts w:hint="eastAsia"/>
      </w:rPr>
      <w:t>清算报告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5E" w:rsidRDefault="0024665E" w:rsidP="0024665E">
    <w:pPr>
      <w:pStyle w:val="a4"/>
      <w:jc w:val="left"/>
    </w:pPr>
    <w:r w:rsidRPr="0024665E">
      <w:rPr>
        <w:noProof/>
      </w:rPr>
      <w:drawing>
        <wp:inline distT="0" distB="0" distL="0" distR="0">
          <wp:extent cx="1714500" cy="266700"/>
          <wp:effectExtent l="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2667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F1AA9"/>
    <w:multiLevelType w:val="hybridMultilevel"/>
    <w:tmpl w:val="D3A0174C"/>
    <w:lvl w:ilvl="0" w:tplc="0FAA311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595304"/>
    <w:multiLevelType w:val="hybridMultilevel"/>
    <w:tmpl w:val="07A6DDA8"/>
    <w:lvl w:ilvl="0" w:tplc="F71EECA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0C1846"/>
    <w:multiLevelType w:val="hybridMultilevel"/>
    <w:tmpl w:val="1EAE78E4"/>
    <w:lvl w:ilvl="0" w:tplc="247874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8B71505"/>
    <w:multiLevelType w:val="hybridMultilevel"/>
    <w:tmpl w:val="A71C77EE"/>
    <w:lvl w:ilvl="0" w:tplc="C6D21074">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66BC"/>
    <w:rsid w:val="0001284C"/>
    <w:rsid w:val="00015944"/>
    <w:rsid w:val="00015AE4"/>
    <w:rsid w:val="0001763A"/>
    <w:rsid w:val="000246FC"/>
    <w:rsid w:val="000311E8"/>
    <w:rsid w:val="00034074"/>
    <w:rsid w:val="00040862"/>
    <w:rsid w:val="00045F29"/>
    <w:rsid w:val="00051431"/>
    <w:rsid w:val="00052983"/>
    <w:rsid w:val="00054E58"/>
    <w:rsid w:val="00056106"/>
    <w:rsid w:val="000639F4"/>
    <w:rsid w:val="000647B6"/>
    <w:rsid w:val="00067805"/>
    <w:rsid w:val="0008192E"/>
    <w:rsid w:val="00082786"/>
    <w:rsid w:val="00082F36"/>
    <w:rsid w:val="0008388A"/>
    <w:rsid w:val="000A41D2"/>
    <w:rsid w:val="000B3509"/>
    <w:rsid w:val="000B77F4"/>
    <w:rsid w:val="000C1E07"/>
    <w:rsid w:val="000C6C65"/>
    <w:rsid w:val="000D645B"/>
    <w:rsid w:val="000F1939"/>
    <w:rsid w:val="000F1DD2"/>
    <w:rsid w:val="001249EF"/>
    <w:rsid w:val="00127AAB"/>
    <w:rsid w:val="00151A9C"/>
    <w:rsid w:val="00151D6C"/>
    <w:rsid w:val="001615E4"/>
    <w:rsid w:val="00174CC1"/>
    <w:rsid w:val="00187202"/>
    <w:rsid w:val="00190C37"/>
    <w:rsid w:val="001A371F"/>
    <w:rsid w:val="001A54CC"/>
    <w:rsid w:val="001B10C5"/>
    <w:rsid w:val="001B5B84"/>
    <w:rsid w:val="001C273B"/>
    <w:rsid w:val="001E663C"/>
    <w:rsid w:val="001E751E"/>
    <w:rsid w:val="002012C4"/>
    <w:rsid w:val="00201ACB"/>
    <w:rsid w:val="00207E93"/>
    <w:rsid w:val="00211D3D"/>
    <w:rsid w:val="00212140"/>
    <w:rsid w:val="00227246"/>
    <w:rsid w:val="0022737C"/>
    <w:rsid w:val="00233113"/>
    <w:rsid w:val="002348DE"/>
    <w:rsid w:val="00236338"/>
    <w:rsid w:val="00242343"/>
    <w:rsid w:val="0024329F"/>
    <w:rsid w:val="0024445F"/>
    <w:rsid w:val="0024665E"/>
    <w:rsid w:val="002614DB"/>
    <w:rsid w:val="002623E8"/>
    <w:rsid w:val="00262609"/>
    <w:rsid w:val="00262BD1"/>
    <w:rsid w:val="002672E5"/>
    <w:rsid w:val="00274E53"/>
    <w:rsid w:val="002769F6"/>
    <w:rsid w:val="00276FC3"/>
    <w:rsid w:val="00284555"/>
    <w:rsid w:val="002A4BF7"/>
    <w:rsid w:val="002A5864"/>
    <w:rsid w:val="002B1205"/>
    <w:rsid w:val="002B19FC"/>
    <w:rsid w:val="002C4C83"/>
    <w:rsid w:val="002C6671"/>
    <w:rsid w:val="002D100B"/>
    <w:rsid w:val="002D56FB"/>
    <w:rsid w:val="00313C86"/>
    <w:rsid w:val="00323B46"/>
    <w:rsid w:val="00332455"/>
    <w:rsid w:val="00332E62"/>
    <w:rsid w:val="00340253"/>
    <w:rsid w:val="0034637E"/>
    <w:rsid w:val="003607D1"/>
    <w:rsid w:val="00360ED8"/>
    <w:rsid w:val="0036672C"/>
    <w:rsid w:val="003717D8"/>
    <w:rsid w:val="00377173"/>
    <w:rsid w:val="003842E3"/>
    <w:rsid w:val="003968A1"/>
    <w:rsid w:val="00397149"/>
    <w:rsid w:val="003A170B"/>
    <w:rsid w:val="003A2C6D"/>
    <w:rsid w:val="003B58E6"/>
    <w:rsid w:val="003B6F4E"/>
    <w:rsid w:val="003C3FB7"/>
    <w:rsid w:val="003D517F"/>
    <w:rsid w:val="003D5565"/>
    <w:rsid w:val="0041258C"/>
    <w:rsid w:val="00431F99"/>
    <w:rsid w:val="00437879"/>
    <w:rsid w:val="0044270A"/>
    <w:rsid w:val="004510FA"/>
    <w:rsid w:val="00465A31"/>
    <w:rsid w:val="00481CF9"/>
    <w:rsid w:val="00486276"/>
    <w:rsid w:val="00486C97"/>
    <w:rsid w:val="004A5B8E"/>
    <w:rsid w:val="004A66B1"/>
    <w:rsid w:val="004B49B7"/>
    <w:rsid w:val="004B5488"/>
    <w:rsid w:val="004B55E2"/>
    <w:rsid w:val="004B79C7"/>
    <w:rsid w:val="004B7A11"/>
    <w:rsid w:val="004C0E69"/>
    <w:rsid w:val="004C3BF7"/>
    <w:rsid w:val="004D1B7C"/>
    <w:rsid w:val="004D7D48"/>
    <w:rsid w:val="004F2479"/>
    <w:rsid w:val="004F6F3F"/>
    <w:rsid w:val="00500552"/>
    <w:rsid w:val="0050173E"/>
    <w:rsid w:val="005252A3"/>
    <w:rsid w:val="00536106"/>
    <w:rsid w:val="00546497"/>
    <w:rsid w:val="00546EAD"/>
    <w:rsid w:val="00555439"/>
    <w:rsid w:val="005619E2"/>
    <w:rsid w:val="00561B87"/>
    <w:rsid w:val="00573134"/>
    <w:rsid w:val="0057683C"/>
    <w:rsid w:val="00580A24"/>
    <w:rsid w:val="00597799"/>
    <w:rsid w:val="005C2197"/>
    <w:rsid w:val="005C3025"/>
    <w:rsid w:val="005D0D09"/>
    <w:rsid w:val="005E4CC9"/>
    <w:rsid w:val="005F428A"/>
    <w:rsid w:val="005F6677"/>
    <w:rsid w:val="005F6B0C"/>
    <w:rsid w:val="00601CB6"/>
    <w:rsid w:val="00606B10"/>
    <w:rsid w:val="00611B6E"/>
    <w:rsid w:val="0061666E"/>
    <w:rsid w:val="006231C1"/>
    <w:rsid w:val="00646A2A"/>
    <w:rsid w:val="0065272A"/>
    <w:rsid w:val="0065647F"/>
    <w:rsid w:val="00657010"/>
    <w:rsid w:val="00660477"/>
    <w:rsid w:val="00674E84"/>
    <w:rsid w:val="00675949"/>
    <w:rsid w:val="00685095"/>
    <w:rsid w:val="0068562F"/>
    <w:rsid w:val="006922D4"/>
    <w:rsid w:val="00697537"/>
    <w:rsid w:val="006A456C"/>
    <w:rsid w:val="006B7328"/>
    <w:rsid w:val="006C2D72"/>
    <w:rsid w:val="006E035E"/>
    <w:rsid w:val="006E76E1"/>
    <w:rsid w:val="00700B4E"/>
    <w:rsid w:val="0070160C"/>
    <w:rsid w:val="0070174F"/>
    <w:rsid w:val="0071020F"/>
    <w:rsid w:val="00712BBB"/>
    <w:rsid w:val="00723FA2"/>
    <w:rsid w:val="00730997"/>
    <w:rsid w:val="00731669"/>
    <w:rsid w:val="0073489C"/>
    <w:rsid w:val="0074015E"/>
    <w:rsid w:val="0074634B"/>
    <w:rsid w:val="00753BE3"/>
    <w:rsid w:val="00753F7A"/>
    <w:rsid w:val="00763DC7"/>
    <w:rsid w:val="00764604"/>
    <w:rsid w:val="00771C70"/>
    <w:rsid w:val="00775B79"/>
    <w:rsid w:val="007905C1"/>
    <w:rsid w:val="00794621"/>
    <w:rsid w:val="007A4561"/>
    <w:rsid w:val="007C0103"/>
    <w:rsid w:val="007C3651"/>
    <w:rsid w:val="007D68FC"/>
    <w:rsid w:val="007D7735"/>
    <w:rsid w:val="007F3EEC"/>
    <w:rsid w:val="007F45D6"/>
    <w:rsid w:val="008140B5"/>
    <w:rsid w:val="008145CD"/>
    <w:rsid w:val="00815B31"/>
    <w:rsid w:val="0081643A"/>
    <w:rsid w:val="00822B27"/>
    <w:rsid w:val="008244B2"/>
    <w:rsid w:val="00826868"/>
    <w:rsid w:val="00840480"/>
    <w:rsid w:val="008536A0"/>
    <w:rsid w:val="0085676A"/>
    <w:rsid w:val="00862B9B"/>
    <w:rsid w:val="00880BE7"/>
    <w:rsid w:val="008B4A22"/>
    <w:rsid w:val="008B769C"/>
    <w:rsid w:val="008C08C0"/>
    <w:rsid w:val="008D02DF"/>
    <w:rsid w:val="008D135E"/>
    <w:rsid w:val="008E010D"/>
    <w:rsid w:val="008E2C4B"/>
    <w:rsid w:val="008F175E"/>
    <w:rsid w:val="008F51E4"/>
    <w:rsid w:val="008F7DC0"/>
    <w:rsid w:val="00900972"/>
    <w:rsid w:val="00912BDE"/>
    <w:rsid w:val="00915EFC"/>
    <w:rsid w:val="009230C0"/>
    <w:rsid w:val="0093426E"/>
    <w:rsid w:val="00937392"/>
    <w:rsid w:val="009424D1"/>
    <w:rsid w:val="009459C5"/>
    <w:rsid w:val="00946AAB"/>
    <w:rsid w:val="009523BE"/>
    <w:rsid w:val="009525CB"/>
    <w:rsid w:val="00957C6D"/>
    <w:rsid w:val="009636FA"/>
    <w:rsid w:val="00967F90"/>
    <w:rsid w:val="00971B82"/>
    <w:rsid w:val="00987354"/>
    <w:rsid w:val="00991DAA"/>
    <w:rsid w:val="00994843"/>
    <w:rsid w:val="009953A0"/>
    <w:rsid w:val="009A6657"/>
    <w:rsid w:val="009B4296"/>
    <w:rsid w:val="009D247E"/>
    <w:rsid w:val="009D455D"/>
    <w:rsid w:val="009E025E"/>
    <w:rsid w:val="009E0A82"/>
    <w:rsid w:val="009E3FAD"/>
    <w:rsid w:val="009E67EE"/>
    <w:rsid w:val="00A1398A"/>
    <w:rsid w:val="00A325FD"/>
    <w:rsid w:val="00A554C4"/>
    <w:rsid w:val="00A608E4"/>
    <w:rsid w:val="00A6479E"/>
    <w:rsid w:val="00A64D82"/>
    <w:rsid w:val="00A6579B"/>
    <w:rsid w:val="00A66D44"/>
    <w:rsid w:val="00A74C30"/>
    <w:rsid w:val="00A85836"/>
    <w:rsid w:val="00A85B95"/>
    <w:rsid w:val="00A91E4D"/>
    <w:rsid w:val="00AA5C42"/>
    <w:rsid w:val="00AB0BDB"/>
    <w:rsid w:val="00AC46D1"/>
    <w:rsid w:val="00AC4754"/>
    <w:rsid w:val="00AC608D"/>
    <w:rsid w:val="00AD012A"/>
    <w:rsid w:val="00AD339F"/>
    <w:rsid w:val="00AD470A"/>
    <w:rsid w:val="00AE5B2D"/>
    <w:rsid w:val="00AF12B3"/>
    <w:rsid w:val="00B12745"/>
    <w:rsid w:val="00B15858"/>
    <w:rsid w:val="00B208D6"/>
    <w:rsid w:val="00B20B11"/>
    <w:rsid w:val="00B277E5"/>
    <w:rsid w:val="00B27BA6"/>
    <w:rsid w:val="00B467C6"/>
    <w:rsid w:val="00B6265A"/>
    <w:rsid w:val="00B83D97"/>
    <w:rsid w:val="00B86F38"/>
    <w:rsid w:val="00B9599D"/>
    <w:rsid w:val="00BA27F9"/>
    <w:rsid w:val="00BA6836"/>
    <w:rsid w:val="00BB7555"/>
    <w:rsid w:val="00BF1418"/>
    <w:rsid w:val="00C005A9"/>
    <w:rsid w:val="00C16D6A"/>
    <w:rsid w:val="00C2142C"/>
    <w:rsid w:val="00C41103"/>
    <w:rsid w:val="00C4314A"/>
    <w:rsid w:val="00C51CC2"/>
    <w:rsid w:val="00C567D3"/>
    <w:rsid w:val="00C73C8A"/>
    <w:rsid w:val="00C74814"/>
    <w:rsid w:val="00C924EA"/>
    <w:rsid w:val="00CA0BAE"/>
    <w:rsid w:val="00CA202E"/>
    <w:rsid w:val="00CA24D8"/>
    <w:rsid w:val="00CB079E"/>
    <w:rsid w:val="00CF16BE"/>
    <w:rsid w:val="00CF4181"/>
    <w:rsid w:val="00CF62BA"/>
    <w:rsid w:val="00D27826"/>
    <w:rsid w:val="00D34326"/>
    <w:rsid w:val="00D366BC"/>
    <w:rsid w:val="00D418C6"/>
    <w:rsid w:val="00D4368A"/>
    <w:rsid w:val="00D45721"/>
    <w:rsid w:val="00D52C77"/>
    <w:rsid w:val="00D54399"/>
    <w:rsid w:val="00D55317"/>
    <w:rsid w:val="00D60B3C"/>
    <w:rsid w:val="00D70A0A"/>
    <w:rsid w:val="00D727EB"/>
    <w:rsid w:val="00D77A92"/>
    <w:rsid w:val="00D85B20"/>
    <w:rsid w:val="00D95E78"/>
    <w:rsid w:val="00D970B8"/>
    <w:rsid w:val="00DB213D"/>
    <w:rsid w:val="00DD466F"/>
    <w:rsid w:val="00DE193C"/>
    <w:rsid w:val="00DF0615"/>
    <w:rsid w:val="00DF08EB"/>
    <w:rsid w:val="00E02BB2"/>
    <w:rsid w:val="00E12FB2"/>
    <w:rsid w:val="00E16CA9"/>
    <w:rsid w:val="00E31769"/>
    <w:rsid w:val="00E367B2"/>
    <w:rsid w:val="00E62B41"/>
    <w:rsid w:val="00E6570D"/>
    <w:rsid w:val="00E66320"/>
    <w:rsid w:val="00E676F8"/>
    <w:rsid w:val="00E86B9E"/>
    <w:rsid w:val="00E959BB"/>
    <w:rsid w:val="00E97771"/>
    <w:rsid w:val="00EA348F"/>
    <w:rsid w:val="00EA36CA"/>
    <w:rsid w:val="00EA620C"/>
    <w:rsid w:val="00EB01E4"/>
    <w:rsid w:val="00EB1326"/>
    <w:rsid w:val="00EB7932"/>
    <w:rsid w:val="00EC1259"/>
    <w:rsid w:val="00EC5E28"/>
    <w:rsid w:val="00ED3B90"/>
    <w:rsid w:val="00EE67CE"/>
    <w:rsid w:val="00F053E7"/>
    <w:rsid w:val="00F059F3"/>
    <w:rsid w:val="00F06257"/>
    <w:rsid w:val="00F062FE"/>
    <w:rsid w:val="00F11DC8"/>
    <w:rsid w:val="00F143EA"/>
    <w:rsid w:val="00F15D6D"/>
    <w:rsid w:val="00F21B7D"/>
    <w:rsid w:val="00F21FC7"/>
    <w:rsid w:val="00F2533C"/>
    <w:rsid w:val="00F5096D"/>
    <w:rsid w:val="00F626C7"/>
    <w:rsid w:val="00F71C58"/>
    <w:rsid w:val="00F73D05"/>
    <w:rsid w:val="00F83296"/>
    <w:rsid w:val="00F83BA8"/>
    <w:rsid w:val="00F854EE"/>
    <w:rsid w:val="00FA5A52"/>
    <w:rsid w:val="00FC436F"/>
    <w:rsid w:val="00FC51BB"/>
    <w:rsid w:val="00FD4A9C"/>
    <w:rsid w:val="00FE1932"/>
    <w:rsid w:val="00FE37BC"/>
    <w:rsid w:val="00FF3A9E"/>
    <w:rsid w:val="00FF748C"/>
    <w:rsid w:val="00FF7F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6BC"/>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D366B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366B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366BC"/>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D366BC"/>
    <w:rPr>
      <w:rFonts w:asciiTheme="majorHAnsi" w:eastAsiaTheme="majorEastAsia" w:hAnsiTheme="majorHAnsi" w:cstheme="majorBidi"/>
      <w:b/>
      <w:bCs/>
      <w:sz w:val="32"/>
      <w:szCs w:val="32"/>
    </w:rPr>
  </w:style>
  <w:style w:type="paragraph" w:styleId="a3">
    <w:name w:val="Date"/>
    <w:basedOn w:val="a"/>
    <w:next w:val="a"/>
    <w:link w:val="Char"/>
    <w:uiPriority w:val="99"/>
    <w:semiHidden/>
    <w:unhideWhenUsed/>
    <w:rsid w:val="00D366BC"/>
    <w:pPr>
      <w:ind w:leftChars="2500" w:left="100"/>
    </w:pPr>
  </w:style>
  <w:style w:type="character" w:customStyle="1" w:styleId="Char">
    <w:name w:val="日期 Char"/>
    <w:basedOn w:val="a0"/>
    <w:link w:val="a3"/>
    <w:uiPriority w:val="99"/>
    <w:semiHidden/>
    <w:rsid w:val="00D366BC"/>
    <w:rPr>
      <w:rFonts w:ascii="Times New Roman" w:eastAsia="宋体" w:hAnsi="Times New Roman" w:cs="Times New Roman"/>
      <w:szCs w:val="20"/>
    </w:rPr>
  </w:style>
  <w:style w:type="paragraph" w:styleId="a4">
    <w:name w:val="header"/>
    <w:basedOn w:val="a"/>
    <w:link w:val="Char0"/>
    <w:uiPriority w:val="99"/>
    <w:unhideWhenUsed/>
    <w:rsid w:val="0065647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5647F"/>
    <w:rPr>
      <w:rFonts w:ascii="Times New Roman" w:eastAsia="宋体" w:hAnsi="Times New Roman" w:cs="Times New Roman"/>
      <w:sz w:val="18"/>
      <w:szCs w:val="18"/>
    </w:rPr>
  </w:style>
  <w:style w:type="paragraph" w:styleId="a5">
    <w:name w:val="footer"/>
    <w:basedOn w:val="a"/>
    <w:link w:val="Char1"/>
    <w:uiPriority w:val="99"/>
    <w:unhideWhenUsed/>
    <w:rsid w:val="0065647F"/>
    <w:pPr>
      <w:tabs>
        <w:tab w:val="center" w:pos="4153"/>
        <w:tab w:val="right" w:pos="8306"/>
      </w:tabs>
      <w:snapToGrid w:val="0"/>
      <w:jc w:val="left"/>
    </w:pPr>
    <w:rPr>
      <w:sz w:val="18"/>
      <w:szCs w:val="18"/>
    </w:rPr>
  </w:style>
  <w:style w:type="character" w:customStyle="1" w:styleId="Char1">
    <w:name w:val="页脚 Char"/>
    <w:basedOn w:val="a0"/>
    <w:link w:val="a5"/>
    <w:uiPriority w:val="99"/>
    <w:rsid w:val="0065647F"/>
    <w:rPr>
      <w:rFonts w:ascii="Times New Roman" w:eastAsia="宋体" w:hAnsi="Times New Roman" w:cs="Times New Roman"/>
      <w:sz w:val="18"/>
      <w:szCs w:val="18"/>
    </w:rPr>
  </w:style>
  <w:style w:type="paragraph" w:styleId="a6">
    <w:name w:val="List Paragraph"/>
    <w:basedOn w:val="a"/>
    <w:uiPriority w:val="34"/>
    <w:qFormat/>
    <w:rsid w:val="00015944"/>
    <w:pPr>
      <w:ind w:firstLineChars="200" w:firstLine="420"/>
    </w:pPr>
  </w:style>
  <w:style w:type="table" w:styleId="a7">
    <w:name w:val="Table Grid"/>
    <w:basedOn w:val="a1"/>
    <w:uiPriority w:val="39"/>
    <w:qFormat/>
    <w:rsid w:val="00FF7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052983"/>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EC5E28"/>
    <w:pPr>
      <w:tabs>
        <w:tab w:val="right" w:leader="dot" w:pos="8296"/>
      </w:tabs>
      <w:spacing w:line="480" w:lineRule="auto"/>
      <w:ind w:leftChars="200" w:left="420"/>
    </w:pPr>
  </w:style>
  <w:style w:type="character" w:styleId="a8">
    <w:name w:val="Hyperlink"/>
    <w:basedOn w:val="a0"/>
    <w:uiPriority w:val="99"/>
    <w:unhideWhenUsed/>
    <w:rsid w:val="00052983"/>
    <w:rPr>
      <w:color w:val="0563C1" w:themeColor="hyperlink"/>
      <w:u w:val="single"/>
    </w:rPr>
  </w:style>
  <w:style w:type="paragraph" w:styleId="10">
    <w:name w:val="toc 1"/>
    <w:basedOn w:val="a"/>
    <w:next w:val="a"/>
    <w:autoRedefine/>
    <w:uiPriority w:val="39"/>
    <w:unhideWhenUsed/>
    <w:rsid w:val="00EC5E28"/>
    <w:pPr>
      <w:tabs>
        <w:tab w:val="right" w:leader="dot" w:pos="8296"/>
      </w:tabs>
      <w:spacing w:line="360" w:lineRule="auto"/>
    </w:pPr>
  </w:style>
  <w:style w:type="paragraph" w:styleId="a9">
    <w:name w:val="Balloon Text"/>
    <w:basedOn w:val="a"/>
    <w:link w:val="Char2"/>
    <w:uiPriority w:val="99"/>
    <w:semiHidden/>
    <w:unhideWhenUsed/>
    <w:rsid w:val="003B58E6"/>
    <w:rPr>
      <w:sz w:val="18"/>
      <w:szCs w:val="18"/>
    </w:rPr>
  </w:style>
  <w:style w:type="character" w:customStyle="1" w:styleId="Char2">
    <w:name w:val="批注框文本 Char"/>
    <w:basedOn w:val="a0"/>
    <w:link w:val="a9"/>
    <w:uiPriority w:val="99"/>
    <w:semiHidden/>
    <w:rsid w:val="003B58E6"/>
    <w:rPr>
      <w:rFonts w:ascii="Times New Roman" w:eastAsia="宋体" w:hAnsi="Times New Roman" w:cs="Times New Roman"/>
      <w:sz w:val="18"/>
      <w:szCs w:val="18"/>
    </w:rPr>
  </w:style>
  <w:style w:type="character" w:styleId="aa">
    <w:name w:val="annotation reference"/>
    <w:basedOn w:val="a0"/>
    <w:uiPriority w:val="99"/>
    <w:semiHidden/>
    <w:unhideWhenUsed/>
    <w:rsid w:val="003B58E6"/>
    <w:rPr>
      <w:sz w:val="21"/>
      <w:szCs w:val="21"/>
    </w:rPr>
  </w:style>
  <w:style w:type="paragraph" w:styleId="ab">
    <w:name w:val="annotation text"/>
    <w:basedOn w:val="a"/>
    <w:link w:val="Char3"/>
    <w:uiPriority w:val="99"/>
    <w:semiHidden/>
    <w:unhideWhenUsed/>
    <w:rsid w:val="003B58E6"/>
    <w:pPr>
      <w:jc w:val="left"/>
    </w:pPr>
  </w:style>
  <w:style w:type="character" w:customStyle="1" w:styleId="Char3">
    <w:name w:val="批注文字 Char"/>
    <w:basedOn w:val="a0"/>
    <w:link w:val="ab"/>
    <w:uiPriority w:val="99"/>
    <w:semiHidden/>
    <w:rsid w:val="003B58E6"/>
    <w:rPr>
      <w:rFonts w:ascii="Times New Roman" w:eastAsia="宋体" w:hAnsi="Times New Roman" w:cs="Times New Roman"/>
      <w:szCs w:val="20"/>
    </w:rPr>
  </w:style>
  <w:style w:type="paragraph" w:styleId="ac">
    <w:name w:val="annotation subject"/>
    <w:basedOn w:val="ab"/>
    <w:next w:val="ab"/>
    <w:link w:val="Char4"/>
    <w:uiPriority w:val="99"/>
    <w:semiHidden/>
    <w:unhideWhenUsed/>
    <w:rsid w:val="003B58E6"/>
    <w:rPr>
      <w:b/>
      <w:bCs/>
    </w:rPr>
  </w:style>
  <w:style w:type="character" w:customStyle="1" w:styleId="Char4">
    <w:name w:val="批注主题 Char"/>
    <w:basedOn w:val="Char3"/>
    <w:link w:val="ac"/>
    <w:uiPriority w:val="99"/>
    <w:semiHidden/>
    <w:rsid w:val="003B58E6"/>
    <w:rPr>
      <w:rFonts w:ascii="Times New Roman" w:eastAsia="宋体" w:hAnsi="Times New Roman" w:cs="Times New Roman"/>
      <w:b/>
      <w:bCs/>
      <w:szCs w:val="20"/>
    </w:rPr>
  </w:style>
  <w:style w:type="character" w:customStyle="1" w:styleId="ad">
    <w:name w:val="样式 宋体"/>
    <w:rsid w:val="00546497"/>
    <w:rPr>
      <w:rFonts w:ascii="Times New Roman" w:eastAsia="宋体" w:hAnsi="Times New Roman" w:cs="Times New Roman" w:hint="default"/>
    </w:rPr>
  </w:style>
  <w:style w:type="paragraph" w:styleId="ae">
    <w:name w:val="Revision"/>
    <w:hidden/>
    <w:uiPriority w:val="99"/>
    <w:semiHidden/>
    <w:rsid w:val="008145CD"/>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4312117">
      <w:bodyDiv w:val="1"/>
      <w:marLeft w:val="0"/>
      <w:marRight w:val="0"/>
      <w:marTop w:val="0"/>
      <w:marBottom w:val="0"/>
      <w:divBdr>
        <w:top w:val="none" w:sz="0" w:space="0" w:color="auto"/>
        <w:left w:val="none" w:sz="0" w:space="0" w:color="auto"/>
        <w:bottom w:val="none" w:sz="0" w:space="0" w:color="auto"/>
        <w:right w:val="none" w:sz="0" w:space="0" w:color="auto"/>
      </w:divBdr>
    </w:div>
    <w:div w:id="24330622">
      <w:bodyDiv w:val="1"/>
      <w:marLeft w:val="0"/>
      <w:marRight w:val="0"/>
      <w:marTop w:val="0"/>
      <w:marBottom w:val="0"/>
      <w:divBdr>
        <w:top w:val="none" w:sz="0" w:space="0" w:color="auto"/>
        <w:left w:val="none" w:sz="0" w:space="0" w:color="auto"/>
        <w:bottom w:val="none" w:sz="0" w:space="0" w:color="auto"/>
        <w:right w:val="none" w:sz="0" w:space="0" w:color="auto"/>
      </w:divBdr>
    </w:div>
    <w:div w:id="25644062">
      <w:bodyDiv w:val="1"/>
      <w:marLeft w:val="0"/>
      <w:marRight w:val="0"/>
      <w:marTop w:val="0"/>
      <w:marBottom w:val="0"/>
      <w:divBdr>
        <w:top w:val="none" w:sz="0" w:space="0" w:color="auto"/>
        <w:left w:val="none" w:sz="0" w:space="0" w:color="auto"/>
        <w:bottom w:val="none" w:sz="0" w:space="0" w:color="auto"/>
        <w:right w:val="none" w:sz="0" w:space="0" w:color="auto"/>
      </w:divBdr>
    </w:div>
    <w:div w:id="53355968">
      <w:bodyDiv w:val="1"/>
      <w:marLeft w:val="0"/>
      <w:marRight w:val="0"/>
      <w:marTop w:val="0"/>
      <w:marBottom w:val="0"/>
      <w:divBdr>
        <w:top w:val="none" w:sz="0" w:space="0" w:color="auto"/>
        <w:left w:val="none" w:sz="0" w:space="0" w:color="auto"/>
        <w:bottom w:val="none" w:sz="0" w:space="0" w:color="auto"/>
        <w:right w:val="none" w:sz="0" w:space="0" w:color="auto"/>
      </w:divBdr>
    </w:div>
    <w:div w:id="56706571">
      <w:bodyDiv w:val="1"/>
      <w:marLeft w:val="0"/>
      <w:marRight w:val="0"/>
      <w:marTop w:val="0"/>
      <w:marBottom w:val="0"/>
      <w:divBdr>
        <w:top w:val="none" w:sz="0" w:space="0" w:color="auto"/>
        <w:left w:val="none" w:sz="0" w:space="0" w:color="auto"/>
        <w:bottom w:val="none" w:sz="0" w:space="0" w:color="auto"/>
        <w:right w:val="none" w:sz="0" w:space="0" w:color="auto"/>
      </w:divBdr>
    </w:div>
    <w:div w:id="101341525">
      <w:bodyDiv w:val="1"/>
      <w:marLeft w:val="0"/>
      <w:marRight w:val="0"/>
      <w:marTop w:val="0"/>
      <w:marBottom w:val="0"/>
      <w:divBdr>
        <w:top w:val="none" w:sz="0" w:space="0" w:color="auto"/>
        <w:left w:val="none" w:sz="0" w:space="0" w:color="auto"/>
        <w:bottom w:val="none" w:sz="0" w:space="0" w:color="auto"/>
        <w:right w:val="none" w:sz="0" w:space="0" w:color="auto"/>
      </w:divBdr>
    </w:div>
    <w:div w:id="118111538">
      <w:bodyDiv w:val="1"/>
      <w:marLeft w:val="0"/>
      <w:marRight w:val="0"/>
      <w:marTop w:val="0"/>
      <w:marBottom w:val="0"/>
      <w:divBdr>
        <w:top w:val="none" w:sz="0" w:space="0" w:color="auto"/>
        <w:left w:val="none" w:sz="0" w:space="0" w:color="auto"/>
        <w:bottom w:val="none" w:sz="0" w:space="0" w:color="auto"/>
        <w:right w:val="none" w:sz="0" w:space="0" w:color="auto"/>
      </w:divBdr>
    </w:div>
    <w:div w:id="145050952">
      <w:bodyDiv w:val="1"/>
      <w:marLeft w:val="0"/>
      <w:marRight w:val="0"/>
      <w:marTop w:val="0"/>
      <w:marBottom w:val="0"/>
      <w:divBdr>
        <w:top w:val="none" w:sz="0" w:space="0" w:color="auto"/>
        <w:left w:val="none" w:sz="0" w:space="0" w:color="auto"/>
        <w:bottom w:val="none" w:sz="0" w:space="0" w:color="auto"/>
        <w:right w:val="none" w:sz="0" w:space="0" w:color="auto"/>
      </w:divBdr>
    </w:div>
    <w:div w:id="158624597">
      <w:bodyDiv w:val="1"/>
      <w:marLeft w:val="0"/>
      <w:marRight w:val="0"/>
      <w:marTop w:val="0"/>
      <w:marBottom w:val="0"/>
      <w:divBdr>
        <w:top w:val="none" w:sz="0" w:space="0" w:color="auto"/>
        <w:left w:val="none" w:sz="0" w:space="0" w:color="auto"/>
        <w:bottom w:val="none" w:sz="0" w:space="0" w:color="auto"/>
        <w:right w:val="none" w:sz="0" w:space="0" w:color="auto"/>
      </w:divBdr>
    </w:div>
    <w:div w:id="159977608">
      <w:bodyDiv w:val="1"/>
      <w:marLeft w:val="0"/>
      <w:marRight w:val="0"/>
      <w:marTop w:val="0"/>
      <w:marBottom w:val="0"/>
      <w:divBdr>
        <w:top w:val="none" w:sz="0" w:space="0" w:color="auto"/>
        <w:left w:val="none" w:sz="0" w:space="0" w:color="auto"/>
        <w:bottom w:val="none" w:sz="0" w:space="0" w:color="auto"/>
        <w:right w:val="none" w:sz="0" w:space="0" w:color="auto"/>
      </w:divBdr>
    </w:div>
    <w:div w:id="220795560">
      <w:bodyDiv w:val="1"/>
      <w:marLeft w:val="0"/>
      <w:marRight w:val="0"/>
      <w:marTop w:val="0"/>
      <w:marBottom w:val="0"/>
      <w:divBdr>
        <w:top w:val="none" w:sz="0" w:space="0" w:color="auto"/>
        <w:left w:val="none" w:sz="0" w:space="0" w:color="auto"/>
        <w:bottom w:val="none" w:sz="0" w:space="0" w:color="auto"/>
        <w:right w:val="none" w:sz="0" w:space="0" w:color="auto"/>
      </w:divBdr>
    </w:div>
    <w:div w:id="233316334">
      <w:bodyDiv w:val="1"/>
      <w:marLeft w:val="0"/>
      <w:marRight w:val="0"/>
      <w:marTop w:val="0"/>
      <w:marBottom w:val="0"/>
      <w:divBdr>
        <w:top w:val="none" w:sz="0" w:space="0" w:color="auto"/>
        <w:left w:val="none" w:sz="0" w:space="0" w:color="auto"/>
        <w:bottom w:val="none" w:sz="0" w:space="0" w:color="auto"/>
        <w:right w:val="none" w:sz="0" w:space="0" w:color="auto"/>
      </w:divBdr>
    </w:div>
    <w:div w:id="267783115">
      <w:bodyDiv w:val="1"/>
      <w:marLeft w:val="0"/>
      <w:marRight w:val="0"/>
      <w:marTop w:val="0"/>
      <w:marBottom w:val="0"/>
      <w:divBdr>
        <w:top w:val="none" w:sz="0" w:space="0" w:color="auto"/>
        <w:left w:val="none" w:sz="0" w:space="0" w:color="auto"/>
        <w:bottom w:val="none" w:sz="0" w:space="0" w:color="auto"/>
        <w:right w:val="none" w:sz="0" w:space="0" w:color="auto"/>
      </w:divBdr>
    </w:div>
    <w:div w:id="277877810">
      <w:bodyDiv w:val="1"/>
      <w:marLeft w:val="0"/>
      <w:marRight w:val="0"/>
      <w:marTop w:val="0"/>
      <w:marBottom w:val="0"/>
      <w:divBdr>
        <w:top w:val="none" w:sz="0" w:space="0" w:color="auto"/>
        <w:left w:val="none" w:sz="0" w:space="0" w:color="auto"/>
        <w:bottom w:val="none" w:sz="0" w:space="0" w:color="auto"/>
        <w:right w:val="none" w:sz="0" w:space="0" w:color="auto"/>
      </w:divBdr>
    </w:div>
    <w:div w:id="304508053">
      <w:bodyDiv w:val="1"/>
      <w:marLeft w:val="0"/>
      <w:marRight w:val="0"/>
      <w:marTop w:val="0"/>
      <w:marBottom w:val="0"/>
      <w:divBdr>
        <w:top w:val="none" w:sz="0" w:space="0" w:color="auto"/>
        <w:left w:val="none" w:sz="0" w:space="0" w:color="auto"/>
        <w:bottom w:val="none" w:sz="0" w:space="0" w:color="auto"/>
        <w:right w:val="none" w:sz="0" w:space="0" w:color="auto"/>
      </w:divBdr>
    </w:div>
    <w:div w:id="311756099">
      <w:bodyDiv w:val="1"/>
      <w:marLeft w:val="0"/>
      <w:marRight w:val="0"/>
      <w:marTop w:val="0"/>
      <w:marBottom w:val="0"/>
      <w:divBdr>
        <w:top w:val="none" w:sz="0" w:space="0" w:color="auto"/>
        <w:left w:val="none" w:sz="0" w:space="0" w:color="auto"/>
        <w:bottom w:val="none" w:sz="0" w:space="0" w:color="auto"/>
        <w:right w:val="none" w:sz="0" w:space="0" w:color="auto"/>
      </w:divBdr>
    </w:div>
    <w:div w:id="318310525">
      <w:bodyDiv w:val="1"/>
      <w:marLeft w:val="0"/>
      <w:marRight w:val="0"/>
      <w:marTop w:val="0"/>
      <w:marBottom w:val="0"/>
      <w:divBdr>
        <w:top w:val="none" w:sz="0" w:space="0" w:color="auto"/>
        <w:left w:val="none" w:sz="0" w:space="0" w:color="auto"/>
        <w:bottom w:val="none" w:sz="0" w:space="0" w:color="auto"/>
        <w:right w:val="none" w:sz="0" w:space="0" w:color="auto"/>
      </w:divBdr>
    </w:div>
    <w:div w:id="319314284">
      <w:bodyDiv w:val="1"/>
      <w:marLeft w:val="0"/>
      <w:marRight w:val="0"/>
      <w:marTop w:val="0"/>
      <w:marBottom w:val="0"/>
      <w:divBdr>
        <w:top w:val="none" w:sz="0" w:space="0" w:color="auto"/>
        <w:left w:val="none" w:sz="0" w:space="0" w:color="auto"/>
        <w:bottom w:val="none" w:sz="0" w:space="0" w:color="auto"/>
        <w:right w:val="none" w:sz="0" w:space="0" w:color="auto"/>
      </w:divBdr>
    </w:div>
    <w:div w:id="347147772">
      <w:bodyDiv w:val="1"/>
      <w:marLeft w:val="0"/>
      <w:marRight w:val="0"/>
      <w:marTop w:val="0"/>
      <w:marBottom w:val="0"/>
      <w:divBdr>
        <w:top w:val="none" w:sz="0" w:space="0" w:color="auto"/>
        <w:left w:val="none" w:sz="0" w:space="0" w:color="auto"/>
        <w:bottom w:val="none" w:sz="0" w:space="0" w:color="auto"/>
        <w:right w:val="none" w:sz="0" w:space="0" w:color="auto"/>
      </w:divBdr>
    </w:div>
    <w:div w:id="360976567">
      <w:bodyDiv w:val="1"/>
      <w:marLeft w:val="0"/>
      <w:marRight w:val="0"/>
      <w:marTop w:val="0"/>
      <w:marBottom w:val="0"/>
      <w:divBdr>
        <w:top w:val="none" w:sz="0" w:space="0" w:color="auto"/>
        <w:left w:val="none" w:sz="0" w:space="0" w:color="auto"/>
        <w:bottom w:val="none" w:sz="0" w:space="0" w:color="auto"/>
        <w:right w:val="none" w:sz="0" w:space="0" w:color="auto"/>
      </w:divBdr>
    </w:div>
    <w:div w:id="361707890">
      <w:bodyDiv w:val="1"/>
      <w:marLeft w:val="0"/>
      <w:marRight w:val="0"/>
      <w:marTop w:val="0"/>
      <w:marBottom w:val="0"/>
      <w:divBdr>
        <w:top w:val="none" w:sz="0" w:space="0" w:color="auto"/>
        <w:left w:val="none" w:sz="0" w:space="0" w:color="auto"/>
        <w:bottom w:val="none" w:sz="0" w:space="0" w:color="auto"/>
        <w:right w:val="none" w:sz="0" w:space="0" w:color="auto"/>
      </w:divBdr>
    </w:div>
    <w:div w:id="369456178">
      <w:bodyDiv w:val="1"/>
      <w:marLeft w:val="0"/>
      <w:marRight w:val="0"/>
      <w:marTop w:val="0"/>
      <w:marBottom w:val="0"/>
      <w:divBdr>
        <w:top w:val="none" w:sz="0" w:space="0" w:color="auto"/>
        <w:left w:val="none" w:sz="0" w:space="0" w:color="auto"/>
        <w:bottom w:val="none" w:sz="0" w:space="0" w:color="auto"/>
        <w:right w:val="none" w:sz="0" w:space="0" w:color="auto"/>
      </w:divBdr>
    </w:div>
    <w:div w:id="385490941">
      <w:bodyDiv w:val="1"/>
      <w:marLeft w:val="0"/>
      <w:marRight w:val="0"/>
      <w:marTop w:val="0"/>
      <w:marBottom w:val="0"/>
      <w:divBdr>
        <w:top w:val="none" w:sz="0" w:space="0" w:color="auto"/>
        <w:left w:val="none" w:sz="0" w:space="0" w:color="auto"/>
        <w:bottom w:val="none" w:sz="0" w:space="0" w:color="auto"/>
        <w:right w:val="none" w:sz="0" w:space="0" w:color="auto"/>
      </w:divBdr>
    </w:div>
    <w:div w:id="433324796">
      <w:bodyDiv w:val="1"/>
      <w:marLeft w:val="0"/>
      <w:marRight w:val="0"/>
      <w:marTop w:val="0"/>
      <w:marBottom w:val="0"/>
      <w:divBdr>
        <w:top w:val="none" w:sz="0" w:space="0" w:color="auto"/>
        <w:left w:val="none" w:sz="0" w:space="0" w:color="auto"/>
        <w:bottom w:val="none" w:sz="0" w:space="0" w:color="auto"/>
        <w:right w:val="none" w:sz="0" w:space="0" w:color="auto"/>
      </w:divBdr>
    </w:div>
    <w:div w:id="521089234">
      <w:bodyDiv w:val="1"/>
      <w:marLeft w:val="0"/>
      <w:marRight w:val="0"/>
      <w:marTop w:val="0"/>
      <w:marBottom w:val="0"/>
      <w:divBdr>
        <w:top w:val="none" w:sz="0" w:space="0" w:color="auto"/>
        <w:left w:val="none" w:sz="0" w:space="0" w:color="auto"/>
        <w:bottom w:val="none" w:sz="0" w:space="0" w:color="auto"/>
        <w:right w:val="none" w:sz="0" w:space="0" w:color="auto"/>
      </w:divBdr>
    </w:div>
    <w:div w:id="638461252">
      <w:bodyDiv w:val="1"/>
      <w:marLeft w:val="0"/>
      <w:marRight w:val="0"/>
      <w:marTop w:val="0"/>
      <w:marBottom w:val="0"/>
      <w:divBdr>
        <w:top w:val="none" w:sz="0" w:space="0" w:color="auto"/>
        <w:left w:val="none" w:sz="0" w:space="0" w:color="auto"/>
        <w:bottom w:val="none" w:sz="0" w:space="0" w:color="auto"/>
        <w:right w:val="none" w:sz="0" w:space="0" w:color="auto"/>
      </w:divBdr>
    </w:div>
    <w:div w:id="742021189">
      <w:bodyDiv w:val="1"/>
      <w:marLeft w:val="0"/>
      <w:marRight w:val="0"/>
      <w:marTop w:val="0"/>
      <w:marBottom w:val="0"/>
      <w:divBdr>
        <w:top w:val="none" w:sz="0" w:space="0" w:color="auto"/>
        <w:left w:val="none" w:sz="0" w:space="0" w:color="auto"/>
        <w:bottom w:val="none" w:sz="0" w:space="0" w:color="auto"/>
        <w:right w:val="none" w:sz="0" w:space="0" w:color="auto"/>
      </w:divBdr>
    </w:div>
    <w:div w:id="804665725">
      <w:bodyDiv w:val="1"/>
      <w:marLeft w:val="0"/>
      <w:marRight w:val="0"/>
      <w:marTop w:val="0"/>
      <w:marBottom w:val="0"/>
      <w:divBdr>
        <w:top w:val="none" w:sz="0" w:space="0" w:color="auto"/>
        <w:left w:val="none" w:sz="0" w:space="0" w:color="auto"/>
        <w:bottom w:val="none" w:sz="0" w:space="0" w:color="auto"/>
        <w:right w:val="none" w:sz="0" w:space="0" w:color="auto"/>
      </w:divBdr>
    </w:div>
    <w:div w:id="820577589">
      <w:bodyDiv w:val="1"/>
      <w:marLeft w:val="0"/>
      <w:marRight w:val="0"/>
      <w:marTop w:val="0"/>
      <w:marBottom w:val="0"/>
      <w:divBdr>
        <w:top w:val="none" w:sz="0" w:space="0" w:color="auto"/>
        <w:left w:val="none" w:sz="0" w:space="0" w:color="auto"/>
        <w:bottom w:val="none" w:sz="0" w:space="0" w:color="auto"/>
        <w:right w:val="none" w:sz="0" w:space="0" w:color="auto"/>
      </w:divBdr>
    </w:div>
    <w:div w:id="870654755">
      <w:bodyDiv w:val="1"/>
      <w:marLeft w:val="0"/>
      <w:marRight w:val="0"/>
      <w:marTop w:val="0"/>
      <w:marBottom w:val="0"/>
      <w:divBdr>
        <w:top w:val="none" w:sz="0" w:space="0" w:color="auto"/>
        <w:left w:val="none" w:sz="0" w:space="0" w:color="auto"/>
        <w:bottom w:val="none" w:sz="0" w:space="0" w:color="auto"/>
        <w:right w:val="none" w:sz="0" w:space="0" w:color="auto"/>
      </w:divBdr>
    </w:div>
    <w:div w:id="893077250">
      <w:bodyDiv w:val="1"/>
      <w:marLeft w:val="0"/>
      <w:marRight w:val="0"/>
      <w:marTop w:val="0"/>
      <w:marBottom w:val="0"/>
      <w:divBdr>
        <w:top w:val="none" w:sz="0" w:space="0" w:color="auto"/>
        <w:left w:val="none" w:sz="0" w:space="0" w:color="auto"/>
        <w:bottom w:val="none" w:sz="0" w:space="0" w:color="auto"/>
        <w:right w:val="none" w:sz="0" w:space="0" w:color="auto"/>
      </w:divBdr>
    </w:div>
    <w:div w:id="943616490">
      <w:bodyDiv w:val="1"/>
      <w:marLeft w:val="0"/>
      <w:marRight w:val="0"/>
      <w:marTop w:val="0"/>
      <w:marBottom w:val="0"/>
      <w:divBdr>
        <w:top w:val="none" w:sz="0" w:space="0" w:color="auto"/>
        <w:left w:val="none" w:sz="0" w:space="0" w:color="auto"/>
        <w:bottom w:val="none" w:sz="0" w:space="0" w:color="auto"/>
        <w:right w:val="none" w:sz="0" w:space="0" w:color="auto"/>
      </w:divBdr>
    </w:div>
    <w:div w:id="950623437">
      <w:bodyDiv w:val="1"/>
      <w:marLeft w:val="0"/>
      <w:marRight w:val="0"/>
      <w:marTop w:val="0"/>
      <w:marBottom w:val="0"/>
      <w:divBdr>
        <w:top w:val="none" w:sz="0" w:space="0" w:color="auto"/>
        <w:left w:val="none" w:sz="0" w:space="0" w:color="auto"/>
        <w:bottom w:val="none" w:sz="0" w:space="0" w:color="auto"/>
        <w:right w:val="none" w:sz="0" w:space="0" w:color="auto"/>
      </w:divBdr>
    </w:div>
    <w:div w:id="973483295">
      <w:bodyDiv w:val="1"/>
      <w:marLeft w:val="0"/>
      <w:marRight w:val="0"/>
      <w:marTop w:val="0"/>
      <w:marBottom w:val="0"/>
      <w:divBdr>
        <w:top w:val="none" w:sz="0" w:space="0" w:color="auto"/>
        <w:left w:val="none" w:sz="0" w:space="0" w:color="auto"/>
        <w:bottom w:val="none" w:sz="0" w:space="0" w:color="auto"/>
        <w:right w:val="none" w:sz="0" w:space="0" w:color="auto"/>
      </w:divBdr>
    </w:div>
    <w:div w:id="979268927">
      <w:bodyDiv w:val="1"/>
      <w:marLeft w:val="0"/>
      <w:marRight w:val="0"/>
      <w:marTop w:val="0"/>
      <w:marBottom w:val="0"/>
      <w:divBdr>
        <w:top w:val="none" w:sz="0" w:space="0" w:color="auto"/>
        <w:left w:val="none" w:sz="0" w:space="0" w:color="auto"/>
        <w:bottom w:val="none" w:sz="0" w:space="0" w:color="auto"/>
        <w:right w:val="none" w:sz="0" w:space="0" w:color="auto"/>
      </w:divBdr>
    </w:div>
    <w:div w:id="990332846">
      <w:bodyDiv w:val="1"/>
      <w:marLeft w:val="0"/>
      <w:marRight w:val="0"/>
      <w:marTop w:val="0"/>
      <w:marBottom w:val="0"/>
      <w:divBdr>
        <w:top w:val="none" w:sz="0" w:space="0" w:color="auto"/>
        <w:left w:val="none" w:sz="0" w:space="0" w:color="auto"/>
        <w:bottom w:val="none" w:sz="0" w:space="0" w:color="auto"/>
        <w:right w:val="none" w:sz="0" w:space="0" w:color="auto"/>
      </w:divBdr>
    </w:div>
    <w:div w:id="1048069301">
      <w:bodyDiv w:val="1"/>
      <w:marLeft w:val="0"/>
      <w:marRight w:val="0"/>
      <w:marTop w:val="0"/>
      <w:marBottom w:val="0"/>
      <w:divBdr>
        <w:top w:val="none" w:sz="0" w:space="0" w:color="auto"/>
        <w:left w:val="none" w:sz="0" w:space="0" w:color="auto"/>
        <w:bottom w:val="none" w:sz="0" w:space="0" w:color="auto"/>
        <w:right w:val="none" w:sz="0" w:space="0" w:color="auto"/>
      </w:divBdr>
    </w:div>
    <w:div w:id="1065761746">
      <w:bodyDiv w:val="1"/>
      <w:marLeft w:val="0"/>
      <w:marRight w:val="0"/>
      <w:marTop w:val="0"/>
      <w:marBottom w:val="0"/>
      <w:divBdr>
        <w:top w:val="none" w:sz="0" w:space="0" w:color="auto"/>
        <w:left w:val="none" w:sz="0" w:space="0" w:color="auto"/>
        <w:bottom w:val="none" w:sz="0" w:space="0" w:color="auto"/>
        <w:right w:val="none" w:sz="0" w:space="0" w:color="auto"/>
      </w:divBdr>
    </w:div>
    <w:div w:id="1095252977">
      <w:bodyDiv w:val="1"/>
      <w:marLeft w:val="0"/>
      <w:marRight w:val="0"/>
      <w:marTop w:val="0"/>
      <w:marBottom w:val="0"/>
      <w:divBdr>
        <w:top w:val="none" w:sz="0" w:space="0" w:color="auto"/>
        <w:left w:val="none" w:sz="0" w:space="0" w:color="auto"/>
        <w:bottom w:val="none" w:sz="0" w:space="0" w:color="auto"/>
        <w:right w:val="none" w:sz="0" w:space="0" w:color="auto"/>
      </w:divBdr>
    </w:div>
    <w:div w:id="1102648251">
      <w:bodyDiv w:val="1"/>
      <w:marLeft w:val="0"/>
      <w:marRight w:val="0"/>
      <w:marTop w:val="0"/>
      <w:marBottom w:val="0"/>
      <w:divBdr>
        <w:top w:val="none" w:sz="0" w:space="0" w:color="auto"/>
        <w:left w:val="none" w:sz="0" w:space="0" w:color="auto"/>
        <w:bottom w:val="none" w:sz="0" w:space="0" w:color="auto"/>
        <w:right w:val="none" w:sz="0" w:space="0" w:color="auto"/>
      </w:divBdr>
    </w:div>
    <w:div w:id="1127311165">
      <w:bodyDiv w:val="1"/>
      <w:marLeft w:val="0"/>
      <w:marRight w:val="0"/>
      <w:marTop w:val="0"/>
      <w:marBottom w:val="0"/>
      <w:divBdr>
        <w:top w:val="none" w:sz="0" w:space="0" w:color="auto"/>
        <w:left w:val="none" w:sz="0" w:space="0" w:color="auto"/>
        <w:bottom w:val="none" w:sz="0" w:space="0" w:color="auto"/>
        <w:right w:val="none" w:sz="0" w:space="0" w:color="auto"/>
      </w:divBdr>
    </w:div>
    <w:div w:id="1130515881">
      <w:bodyDiv w:val="1"/>
      <w:marLeft w:val="0"/>
      <w:marRight w:val="0"/>
      <w:marTop w:val="0"/>
      <w:marBottom w:val="0"/>
      <w:divBdr>
        <w:top w:val="none" w:sz="0" w:space="0" w:color="auto"/>
        <w:left w:val="none" w:sz="0" w:space="0" w:color="auto"/>
        <w:bottom w:val="none" w:sz="0" w:space="0" w:color="auto"/>
        <w:right w:val="none" w:sz="0" w:space="0" w:color="auto"/>
      </w:divBdr>
    </w:div>
    <w:div w:id="1136722285">
      <w:bodyDiv w:val="1"/>
      <w:marLeft w:val="0"/>
      <w:marRight w:val="0"/>
      <w:marTop w:val="0"/>
      <w:marBottom w:val="0"/>
      <w:divBdr>
        <w:top w:val="none" w:sz="0" w:space="0" w:color="auto"/>
        <w:left w:val="none" w:sz="0" w:space="0" w:color="auto"/>
        <w:bottom w:val="none" w:sz="0" w:space="0" w:color="auto"/>
        <w:right w:val="none" w:sz="0" w:space="0" w:color="auto"/>
      </w:divBdr>
    </w:div>
    <w:div w:id="1200439634">
      <w:bodyDiv w:val="1"/>
      <w:marLeft w:val="0"/>
      <w:marRight w:val="0"/>
      <w:marTop w:val="0"/>
      <w:marBottom w:val="0"/>
      <w:divBdr>
        <w:top w:val="none" w:sz="0" w:space="0" w:color="auto"/>
        <w:left w:val="none" w:sz="0" w:space="0" w:color="auto"/>
        <w:bottom w:val="none" w:sz="0" w:space="0" w:color="auto"/>
        <w:right w:val="none" w:sz="0" w:space="0" w:color="auto"/>
      </w:divBdr>
    </w:div>
    <w:div w:id="1207599030">
      <w:bodyDiv w:val="1"/>
      <w:marLeft w:val="0"/>
      <w:marRight w:val="0"/>
      <w:marTop w:val="0"/>
      <w:marBottom w:val="0"/>
      <w:divBdr>
        <w:top w:val="none" w:sz="0" w:space="0" w:color="auto"/>
        <w:left w:val="none" w:sz="0" w:space="0" w:color="auto"/>
        <w:bottom w:val="none" w:sz="0" w:space="0" w:color="auto"/>
        <w:right w:val="none" w:sz="0" w:space="0" w:color="auto"/>
      </w:divBdr>
    </w:div>
    <w:div w:id="1214342143">
      <w:bodyDiv w:val="1"/>
      <w:marLeft w:val="0"/>
      <w:marRight w:val="0"/>
      <w:marTop w:val="0"/>
      <w:marBottom w:val="0"/>
      <w:divBdr>
        <w:top w:val="none" w:sz="0" w:space="0" w:color="auto"/>
        <w:left w:val="none" w:sz="0" w:space="0" w:color="auto"/>
        <w:bottom w:val="none" w:sz="0" w:space="0" w:color="auto"/>
        <w:right w:val="none" w:sz="0" w:space="0" w:color="auto"/>
      </w:divBdr>
    </w:div>
    <w:div w:id="1240406114">
      <w:bodyDiv w:val="1"/>
      <w:marLeft w:val="0"/>
      <w:marRight w:val="0"/>
      <w:marTop w:val="0"/>
      <w:marBottom w:val="0"/>
      <w:divBdr>
        <w:top w:val="none" w:sz="0" w:space="0" w:color="auto"/>
        <w:left w:val="none" w:sz="0" w:space="0" w:color="auto"/>
        <w:bottom w:val="none" w:sz="0" w:space="0" w:color="auto"/>
        <w:right w:val="none" w:sz="0" w:space="0" w:color="auto"/>
      </w:divBdr>
    </w:div>
    <w:div w:id="1290667605">
      <w:bodyDiv w:val="1"/>
      <w:marLeft w:val="0"/>
      <w:marRight w:val="0"/>
      <w:marTop w:val="0"/>
      <w:marBottom w:val="0"/>
      <w:divBdr>
        <w:top w:val="none" w:sz="0" w:space="0" w:color="auto"/>
        <w:left w:val="none" w:sz="0" w:space="0" w:color="auto"/>
        <w:bottom w:val="none" w:sz="0" w:space="0" w:color="auto"/>
        <w:right w:val="none" w:sz="0" w:space="0" w:color="auto"/>
      </w:divBdr>
    </w:div>
    <w:div w:id="1301306476">
      <w:bodyDiv w:val="1"/>
      <w:marLeft w:val="0"/>
      <w:marRight w:val="0"/>
      <w:marTop w:val="0"/>
      <w:marBottom w:val="0"/>
      <w:divBdr>
        <w:top w:val="none" w:sz="0" w:space="0" w:color="auto"/>
        <w:left w:val="none" w:sz="0" w:space="0" w:color="auto"/>
        <w:bottom w:val="none" w:sz="0" w:space="0" w:color="auto"/>
        <w:right w:val="none" w:sz="0" w:space="0" w:color="auto"/>
      </w:divBdr>
    </w:div>
    <w:div w:id="1326782715">
      <w:bodyDiv w:val="1"/>
      <w:marLeft w:val="0"/>
      <w:marRight w:val="0"/>
      <w:marTop w:val="0"/>
      <w:marBottom w:val="0"/>
      <w:divBdr>
        <w:top w:val="none" w:sz="0" w:space="0" w:color="auto"/>
        <w:left w:val="none" w:sz="0" w:space="0" w:color="auto"/>
        <w:bottom w:val="none" w:sz="0" w:space="0" w:color="auto"/>
        <w:right w:val="none" w:sz="0" w:space="0" w:color="auto"/>
      </w:divBdr>
    </w:div>
    <w:div w:id="1330985543">
      <w:bodyDiv w:val="1"/>
      <w:marLeft w:val="0"/>
      <w:marRight w:val="0"/>
      <w:marTop w:val="0"/>
      <w:marBottom w:val="0"/>
      <w:divBdr>
        <w:top w:val="none" w:sz="0" w:space="0" w:color="auto"/>
        <w:left w:val="none" w:sz="0" w:space="0" w:color="auto"/>
        <w:bottom w:val="none" w:sz="0" w:space="0" w:color="auto"/>
        <w:right w:val="none" w:sz="0" w:space="0" w:color="auto"/>
      </w:divBdr>
    </w:div>
    <w:div w:id="1356034029">
      <w:bodyDiv w:val="1"/>
      <w:marLeft w:val="0"/>
      <w:marRight w:val="0"/>
      <w:marTop w:val="0"/>
      <w:marBottom w:val="0"/>
      <w:divBdr>
        <w:top w:val="none" w:sz="0" w:space="0" w:color="auto"/>
        <w:left w:val="none" w:sz="0" w:space="0" w:color="auto"/>
        <w:bottom w:val="none" w:sz="0" w:space="0" w:color="auto"/>
        <w:right w:val="none" w:sz="0" w:space="0" w:color="auto"/>
      </w:divBdr>
    </w:div>
    <w:div w:id="1404716528">
      <w:bodyDiv w:val="1"/>
      <w:marLeft w:val="0"/>
      <w:marRight w:val="0"/>
      <w:marTop w:val="0"/>
      <w:marBottom w:val="0"/>
      <w:divBdr>
        <w:top w:val="none" w:sz="0" w:space="0" w:color="auto"/>
        <w:left w:val="none" w:sz="0" w:space="0" w:color="auto"/>
        <w:bottom w:val="none" w:sz="0" w:space="0" w:color="auto"/>
        <w:right w:val="none" w:sz="0" w:space="0" w:color="auto"/>
      </w:divBdr>
    </w:div>
    <w:div w:id="1463502404">
      <w:bodyDiv w:val="1"/>
      <w:marLeft w:val="0"/>
      <w:marRight w:val="0"/>
      <w:marTop w:val="0"/>
      <w:marBottom w:val="0"/>
      <w:divBdr>
        <w:top w:val="none" w:sz="0" w:space="0" w:color="auto"/>
        <w:left w:val="none" w:sz="0" w:space="0" w:color="auto"/>
        <w:bottom w:val="none" w:sz="0" w:space="0" w:color="auto"/>
        <w:right w:val="none" w:sz="0" w:space="0" w:color="auto"/>
      </w:divBdr>
    </w:div>
    <w:div w:id="1463616299">
      <w:bodyDiv w:val="1"/>
      <w:marLeft w:val="0"/>
      <w:marRight w:val="0"/>
      <w:marTop w:val="0"/>
      <w:marBottom w:val="0"/>
      <w:divBdr>
        <w:top w:val="none" w:sz="0" w:space="0" w:color="auto"/>
        <w:left w:val="none" w:sz="0" w:space="0" w:color="auto"/>
        <w:bottom w:val="none" w:sz="0" w:space="0" w:color="auto"/>
        <w:right w:val="none" w:sz="0" w:space="0" w:color="auto"/>
      </w:divBdr>
    </w:div>
    <w:div w:id="1477995191">
      <w:bodyDiv w:val="1"/>
      <w:marLeft w:val="0"/>
      <w:marRight w:val="0"/>
      <w:marTop w:val="0"/>
      <w:marBottom w:val="0"/>
      <w:divBdr>
        <w:top w:val="none" w:sz="0" w:space="0" w:color="auto"/>
        <w:left w:val="none" w:sz="0" w:space="0" w:color="auto"/>
        <w:bottom w:val="none" w:sz="0" w:space="0" w:color="auto"/>
        <w:right w:val="none" w:sz="0" w:space="0" w:color="auto"/>
      </w:divBdr>
    </w:div>
    <w:div w:id="1482386653">
      <w:bodyDiv w:val="1"/>
      <w:marLeft w:val="0"/>
      <w:marRight w:val="0"/>
      <w:marTop w:val="0"/>
      <w:marBottom w:val="0"/>
      <w:divBdr>
        <w:top w:val="none" w:sz="0" w:space="0" w:color="auto"/>
        <w:left w:val="none" w:sz="0" w:space="0" w:color="auto"/>
        <w:bottom w:val="none" w:sz="0" w:space="0" w:color="auto"/>
        <w:right w:val="none" w:sz="0" w:space="0" w:color="auto"/>
      </w:divBdr>
    </w:div>
    <w:div w:id="1505392178">
      <w:bodyDiv w:val="1"/>
      <w:marLeft w:val="0"/>
      <w:marRight w:val="0"/>
      <w:marTop w:val="0"/>
      <w:marBottom w:val="0"/>
      <w:divBdr>
        <w:top w:val="none" w:sz="0" w:space="0" w:color="auto"/>
        <w:left w:val="none" w:sz="0" w:space="0" w:color="auto"/>
        <w:bottom w:val="none" w:sz="0" w:space="0" w:color="auto"/>
        <w:right w:val="none" w:sz="0" w:space="0" w:color="auto"/>
      </w:divBdr>
    </w:div>
    <w:div w:id="1518039756">
      <w:bodyDiv w:val="1"/>
      <w:marLeft w:val="0"/>
      <w:marRight w:val="0"/>
      <w:marTop w:val="0"/>
      <w:marBottom w:val="0"/>
      <w:divBdr>
        <w:top w:val="none" w:sz="0" w:space="0" w:color="auto"/>
        <w:left w:val="none" w:sz="0" w:space="0" w:color="auto"/>
        <w:bottom w:val="none" w:sz="0" w:space="0" w:color="auto"/>
        <w:right w:val="none" w:sz="0" w:space="0" w:color="auto"/>
      </w:divBdr>
    </w:div>
    <w:div w:id="1571043120">
      <w:bodyDiv w:val="1"/>
      <w:marLeft w:val="0"/>
      <w:marRight w:val="0"/>
      <w:marTop w:val="0"/>
      <w:marBottom w:val="0"/>
      <w:divBdr>
        <w:top w:val="none" w:sz="0" w:space="0" w:color="auto"/>
        <w:left w:val="none" w:sz="0" w:space="0" w:color="auto"/>
        <w:bottom w:val="none" w:sz="0" w:space="0" w:color="auto"/>
        <w:right w:val="none" w:sz="0" w:space="0" w:color="auto"/>
      </w:divBdr>
    </w:div>
    <w:div w:id="1584996900">
      <w:bodyDiv w:val="1"/>
      <w:marLeft w:val="0"/>
      <w:marRight w:val="0"/>
      <w:marTop w:val="0"/>
      <w:marBottom w:val="0"/>
      <w:divBdr>
        <w:top w:val="none" w:sz="0" w:space="0" w:color="auto"/>
        <w:left w:val="none" w:sz="0" w:space="0" w:color="auto"/>
        <w:bottom w:val="none" w:sz="0" w:space="0" w:color="auto"/>
        <w:right w:val="none" w:sz="0" w:space="0" w:color="auto"/>
      </w:divBdr>
    </w:div>
    <w:div w:id="1633051054">
      <w:bodyDiv w:val="1"/>
      <w:marLeft w:val="0"/>
      <w:marRight w:val="0"/>
      <w:marTop w:val="0"/>
      <w:marBottom w:val="0"/>
      <w:divBdr>
        <w:top w:val="none" w:sz="0" w:space="0" w:color="auto"/>
        <w:left w:val="none" w:sz="0" w:space="0" w:color="auto"/>
        <w:bottom w:val="none" w:sz="0" w:space="0" w:color="auto"/>
        <w:right w:val="none" w:sz="0" w:space="0" w:color="auto"/>
      </w:divBdr>
    </w:div>
    <w:div w:id="1663776593">
      <w:bodyDiv w:val="1"/>
      <w:marLeft w:val="0"/>
      <w:marRight w:val="0"/>
      <w:marTop w:val="0"/>
      <w:marBottom w:val="0"/>
      <w:divBdr>
        <w:top w:val="none" w:sz="0" w:space="0" w:color="auto"/>
        <w:left w:val="none" w:sz="0" w:space="0" w:color="auto"/>
        <w:bottom w:val="none" w:sz="0" w:space="0" w:color="auto"/>
        <w:right w:val="none" w:sz="0" w:space="0" w:color="auto"/>
      </w:divBdr>
    </w:div>
    <w:div w:id="1665820304">
      <w:bodyDiv w:val="1"/>
      <w:marLeft w:val="0"/>
      <w:marRight w:val="0"/>
      <w:marTop w:val="0"/>
      <w:marBottom w:val="0"/>
      <w:divBdr>
        <w:top w:val="none" w:sz="0" w:space="0" w:color="auto"/>
        <w:left w:val="none" w:sz="0" w:space="0" w:color="auto"/>
        <w:bottom w:val="none" w:sz="0" w:space="0" w:color="auto"/>
        <w:right w:val="none" w:sz="0" w:space="0" w:color="auto"/>
      </w:divBdr>
    </w:div>
    <w:div w:id="1683126781">
      <w:bodyDiv w:val="1"/>
      <w:marLeft w:val="0"/>
      <w:marRight w:val="0"/>
      <w:marTop w:val="0"/>
      <w:marBottom w:val="0"/>
      <w:divBdr>
        <w:top w:val="none" w:sz="0" w:space="0" w:color="auto"/>
        <w:left w:val="none" w:sz="0" w:space="0" w:color="auto"/>
        <w:bottom w:val="none" w:sz="0" w:space="0" w:color="auto"/>
        <w:right w:val="none" w:sz="0" w:space="0" w:color="auto"/>
      </w:divBdr>
    </w:div>
    <w:div w:id="1837307931">
      <w:bodyDiv w:val="1"/>
      <w:marLeft w:val="0"/>
      <w:marRight w:val="0"/>
      <w:marTop w:val="0"/>
      <w:marBottom w:val="0"/>
      <w:divBdr>
        <w:top w:val="none" w:sz="0" w:space="0" w:color="auto"/>
        <w:left w:val="none" w:sz="0" w:space="0" w:color="auto"/>
        <w:bottom w:val="none" w:sz="0" w:space="0" w:color="auto"/>
        <w:right w:val="none" w:sz="0" w:space="0" w:color="auto"/>
      </w:divBdr>
    </w:div>
    <w:div w:id="1918203916">
      <w:bodyDiv w:val="1"/>
      <w:marLeft w:val="0"/>
      <w:marRight w:val="0"/>
      <w:marTop w:val="0"/>
      <w:marBottom w:val="0"/>
      <w:divBdr>
        <w:top w:val="none" w:sz="0" w:space="0" w:color="auto"/>
        <w:left w:val="none" w:sz="0" w:space="0" w:color="auto"/>
        <w:bottom w:val="none" w:sz="0" w:space="0" w:color="auto"/>
        <w:right w:val="none" w:sz="0" w:space="0" w:color="auto"/>
      </w:divBdr>
    </w:div>
    <w:div w:id="1985773058">
      <w:bodyDiv w:val="1"/>
      <w:marLeft w:val="0"/>
      <w:marRight w:val="0"/>
      <w:marTop w:val="0"/>
      <w:marBottom w:val="0"/>
      <w:divBdr>
        <w:top w:val="none" w:sz="0" w:space="0" w:color="auto"/>
        <w:left w:val="none" w:sz="0" w:space="0" w:color="auto"/>
        <w:bottom w:val="none" w:sz="0" w:space="0" w:color="auto"/>
        <w:right w:val="none" w:sz="0" w:space="0" w:color="auto"/>
      </w:divBdr>
    </w:div>
    <w:div w:id="2016957757">
      <w:bodyDiv w:val="1"/>
      <w:marLeft w:val="0"/>
      <w:marRight w:val="0"/>
      <w:marTop w:val="0"/>
      <w:marBottom w:val="0"/>
      <w:divBdr>
        <w:top w:val="none" w:sz="0" w:space="0" w:color="auto"/>
        <w:left w:val="none" w:sz="0" w:space="0" w:color="auto"/>
        <w:bottom w:val="none" w:sz="0" w:space="0" w:color="auto"/>
        <w:right w:val="none" w:sz="0" w:space="0" w:color="auto"/>
      </w:divBdr>
    </w:div>
    <w:div w:id="2050645374">
      <w:bodyDiv w:val="1"/>
      <w:marLeft w:val="0"/>
      <w:marRight w:val="0"/>
      <w:marTop w:val="0"/>
      <w:marBottom w:val="0"/>
      <w:divBdr>
        <w:top w:val="none" w:sz="0" w:space="0" w:color="auto"/>
        <w:left w:val="none" w:sz="0" w:space="0" w:color="auto"/>
        <w:bottom w:val="none" w:sz="0" w:space="0" w:color="auto"/>
        <w:right w:val="none" w:sz="0" w:space="0" w:color="auto"/>
      </w:divBdr>
    </w:div>
    <w:div w:id="2078168418">
      <w:bodyDiv w:val="1"/>
      <w:marLeft w:val="0"/>
      <w:marRight w:val="0"/>
      <w:marTop w:val="0"/>
      <w:marBottom w:val="0"/>
      <w:divBdr>
        <w:top w:val="none" w:sz="0" w:space="0" w:color="auto"/>
        <w:left w:val="none" w:sz="0" w:space="0" w:color="auto"/>
        <w:bottom w:val="none" w:sz="0" w:space="0" w:color="auto"/>
        <w:right w:val="none" w:sz="0" w:space="0" w:color="auto"/>
      </w:divBdr>
    </w:div>
    <w:div w:id="2108426341">
      <w:bodyDiv w:val="1"/>
      <w:marLeft w:val="0"/>
      <w:marRight w:val="0"/>
      <w:marTop w:val="0"/>
      <w:marBottom w:val="0"/>
      <w:divBdr>
        <w:top w:val="none" w:sz="0" w:space="0" w:color="auto"/>
        <w:left w:val="none" w:sz="0" w:space="0" w:color="auto"/>
        <w:bottom w:val="none" w:sz="0" w:space="0" w:color="auto"/>
        <w:right w:val="none" w:sz="0" w:space="0" w:color="auto"/>
      </w:divBdr>
    </w:div>
    <w:div w:id="212507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36603-8869-4C50-B456-764DD7C9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4345</Characters>
  <Application>Microsoft Office Word</Application>
  <DocSecurity>4</DocSecurity>
  <Lines>36</Lines>
  <Paragraphs>10</Paragraphs>
  <ScaleCrop>false</ScaleCrop>
  <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张力丹</dc:creator>
  <cp:lastModifiedBy>JonMMx 2000</cp:lastModifiedBy>
  <cp:revision>2</cp:revision>
  <cp:lastPrinted>2019-11-22T06:52:00Z</cp:lastPrinted>
  <dcterms:created xsi:type="dcterms:W3CDTF">2019-12-16T16:00:00Z</dcterms:created>
  <dcterms:modified xsi:type="dcterms:W3CDTF">2019-12-16T16:00:00Z</dcterms:modified>
</cp:coreProperties>
</file>