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6D" w:rsidRDefault="008B6B6D" w:rsidP="003A42CB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734B50" w:rsidRDefault="00D54A91" w:rsidP="003A42CB">
      <w:pPr>
        <w:jc w:val="center"/>
        <w:rPr>
          <w:b/>
          <w:sz w:val="30"/>
          <w:szCs w:val="30"/>
        </w:rPr>
      </w:pPr>
      <w:r w:rsidRPr="00D54A91">
        <w:rPr>
          <w:rFonts w:hint="eastAsia"/>
          <w:b/>
          <w:sz w:val="30"/>
          <w:szCs w:val="30"/>
        </w:rPr>
        <w:t>中金基金管理有限公司</w:t>
      </w:r>
      <w:r w:rsidR="003A42CB" w:rsidRPr="003A42CB">
        <w:rPr>
          <w:rFonts w:hint="eastAsia"/>
          <w:b/>
          <w:sz w:val="30"/>
          <w:szCs w:val="30"/>
        </w:rPr>
        <w:t>关于</w:t>
      </w:r>
      <w:r w:rsidR="00EA220E">
        <w:rPr>
          <w:rFonts w:hint="eastAsia"/>
          <w:b/>
          <w:sz w:val="30"/>
          <w:szCs w:val="30"/>
        </w:rPr>
        <w:t>旗下</w:t>
      </w:r>
      <w:r w:rsidR="00196477">
        <w:rPr>
          <w:rFonts w:hint="eastAsia"/>
          <w:b/>
          <w:sz w:val="30"/>
          <w:szCs w:val="30"/>
        </w:rPr>
        <w:t>部分</w:t>
      </w:r>
      <w:r w:rsidR="001F67C0" w:rsidRPr="001F67C0">
        <w:rPr>
          <w:rFonts w:hint="eastAsia"/>
          <w:b/>
          <w:sz w:val="30"/>
          <w:szCs w:val="30"/>
        </w:rPr>
        <w:t>证券投资基金</w:t>
      </w:r>
    </w:p>
    <w:p w:rsidR="002B30AE" w:rsidRDefault="003A42CB" w:rsidP="003A42CB">
      <w:pPr>
        <w:jc w:val="center"/>
        <w:rPr>
          <w:b/>
          <w:sz w:val="30"/>
          <w:szCs w:val="30"/>
        </w:rPr>
      </w:pPr>
      <w:r w:rsidRPr="003A42CB">
        <w:rPr>
          <w:rFonts w:hint="eastAsia"/>
          <w:b/>
          <w:sz w:val="30"/>
          <w:szCs w:val="30"/>
        </w:rPr>
        <w:t>估值</w:t>
      </w:r>
      <w:r w:rsidR="000F5ADB">
        <w:rPr>
          <w:rFonts w:hint="eastAsia"/>
          <w:b/>
          <w:sz w:val="30"/>
          <w:szCs w:val="30"/>
        </w:rPr>
        <w:t>调整</w:t>
      </w:r>
      <w:r w:rsidR="00C3217A">
        <w:rPr>
          <w:rFonts w:hint="eastAsia"/>
          <w:b/>
          <w:sz w:val="30"/>
          <w:szCs w:val="30"/>
        </w:rPr>
        <w:t>情况</w:t>
      </w:r>
      <w:r w:rsidRPr="003A42CB">
        <w:rPr>
          <w:rFonts w:hint="eastAsia"/>
          <w:b/>
          <w:sz w:val="30"/>
          <w:szCs w:val="30"/>
        </w:rPr>
        <w:t>的公告</w:t>
      </w:r>
    </w:p>
    <w:p w:rsidR="00276B09" w:rsidRDefault="00276B09" w:rsidP="00EA220E">
      <w:pPr>
        <w:pStyle w:val="Default"/>
        <w:spacing w:line="360" w:lineRule="auto"/>
        <w:ind w:firstLineChars="200" w:firstLine="460"/>
        <w:rPr>
          <w:sz w:val="23"/>
          <w:szCs w:val="23"/>
        </w:rPr>
      </w:pPr>
    </w:p>
    <w:p w:rsidR="00C67D7B" w:rsidRDefault="001F67C0" w:rsidP="00EA220E">
      <w:pPr>
        <w:pStyle w:val="Default"/>
        <w:spacing w:line="360" w:lineRule="auto"/>
        <w:ind w:firstLineChars="200" w:firstLine="460"/>
        <w:rPr>
          <w:sz w:val="23"/>
          <w:szCs w:val="23"/>
        </w:rPr>
      </w:pPr>
      <w:r w:rsidRPr="001F67C0">
        <w:rPr>
          <w:rFonts w:hint="eastAsia"/>
          <w:sz w:val="23"/>
          <w:szCs w:val="23"/>
        </w:rPr>
        <w:t>根据《</w:t>
      </w:r>
      <w:r w:rsidR="00276B09" w:rsidRPr="001F67C0">
        <w:rPr>
          <w:rFonts w:hint="eastAsia"/>
          <w:sz w:val="23"/>
          <w:szCs w:val="23"/>
        </w:rPr>
        <w:t>中国证监会</w:t>
      </w:r>
      <w:r w:rsidRPr="001F67C0">
        <w:rPr>
          <w:rFonts w:hint="eastAsia"/>
          <w:sz w:val="23"/>
          <w:szCs w:val="23"/>
        </w:rPr>
        <w:t>关于证券投资基金估值业务的指导意见》（证监会公告[2017]第13号）</w:t>
      </w:r>
      <w:r w:rsidR="00C3217A">
        <w:rPr>
          <w:rFonts w:hint="eastAsia"/>
          <w:sz w:val="23"/>
          <w:szCs w:val="23"/>
        </w:rPr>
        <w:t>的要求</w:t>
      </w:r>
      <w:r w:rsidRPr="001F67C0">
        <w:rPr>
          <w:rFonts w:hint="eastAsia"/>
          <w:sz w:val="23"/>
          <w:szCs w:val="23"/>
        </w:rPr>
        <w:t>，经与</w:t>
      </w:r>
      <w:r w:rsidR="00EA220E">
        <w:rPr>
          <w:rFonts w:hint="eastAsia"/>
          <w:sz w:val="23"/>
          <w:szCs w:val="23"/>
        </w:rPr>
        <w:t>相关</w:t>
      </w:r>
      <w:r w:rsidRPr="001F67C0">
        <w:rPr>
          <w:rFonts w:hint="eastAsia"/>
          <w:sz w:val="23"/>
          <w:szCs w:val="23"/>
        </w:rPr>
        <w:t>托管人协商一致，</w:t>
      </w:r>
      <w:r w:rsidR="00EA220E">
        <w:rPr>
          <w:rFonts w:hint="eastAsia"/>
          <w:sz w:val="23"/>
          <w:szCs w:val="23"/>
        </w:rPr>
        <w:t>自2019年12月5日起</w:t>
      </w:r>
      <w:r w:rsidR="0097302B" w:rsidRPr="00CD2630">
        <w:rPr>
          <w:rFonts w:hint="eastAsia"/>
          <w:sz w:val="23"/>
          <w:szCs w:val="23"/>
        </w:rPr>
        <w:t>中金基金管理有限公司</w:t>
      </w:r>
      <w:r w:rsidR="00EA220E">
        <w:rPr>
          <w:rFonts w:hint="eastAsia"/>
          <w:sz w:val="23"/>
          <w:szCs w:val="23"/>
        </w:rPr>
        <w:t>（以下简称“本公司”）</w:t>
      </w:r>
      <w:r w:rsidR="00C3217A">
        <w:rPr>
          <w:rFonts w:hint="eastAsia"/>
          <w:sz w:val="23"/>
          <w:szCs w:val="23"/>
        </w:rPr>
        <w:t>对</w:t>
      </w:r>
      <w:r w:rsidR="00EA220E">
        <w:rPr>
          <w:rFonts w:hint="eastAsia"/>
          <w:sz w:val="23"/>
          <w:szCs w:val="23"/>
        </w:rPr>
        <w:t>停牌股票“</w:t>
      </w:r>
      <w:r w:rsidR="00EA220E" w:rsidRPr="001F67C0">
        <w:rPr>
          <w:rFonts w:hint="eastAsia"/>
          <w:sz w:val="23"/>
          <w:szCs w:val="23"/>
        </w:rPr>
        <w:t>东旭光电</w:t>
      </w:r>
      <w:r w:rsidR="00EA220E">
        <w:rPr>
          <w:rFonts w:hint="eastAsia"/>
          <w:sz w:val="23"/>
          <w:szCs w:val="23"/>
        </w:rPr>
        <w:t>”（证券代码：</w:t>
      </w:r>
      <w:r w:rsidR="00EA220E" w:rsidRPr="001F67C0">
        <w:rPr>
          <w:sz w:val="23"/>
          <w:szCs w:val="23"/>
        </w:rPr>
        <w:t>000413</w:t>
      </w:r>
      <w:r w:rsidR="00EA220E">
        <w:rPr>
          <w:rFonts w:hint="eastAsia"/>
          <w:sz w:val="23"/>
          <w:szCs w:val="23"/>
        </w:rPr>
        <w:t>）按照1.31元进行估值</w:t>
      </w:r>
      <w:r w:rsidR="00C67D7B" w:rsidRPr="00D54A91">
        <w:rPr>
          <w:rFonts w:hint="eastAsia"/>
          <w:sz w:val="23"/>
          <w:szCs w:val="23"/>
        </w:rPr>
        <w:t>。</w:t>
      </w:r>
    </w:p>
    <w:p w:rsidR="003A42CB" w:rsidRDefault="000F5ADB" w:rsidP="00C67D7B">
      <w:pPr>
        <w:pStyle w:val="Default"/>
        <w:spacing w:line="360" w:lineRule="auto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待</w:t>
      </w:r>
      <w:r w:rsidR="00734C90">
        <w:rPr>
          <w:rFonts w:hint="eastAsia"/>
          <w:sz w:val="23"/>
          <w:szCs w:val="23"/>
        </w:rPr>
        <w:t>“</w:t>
      </w:r>
      <w:r w:rsidR="00734C90" w:rsidRPr="001F67C0">
        <w:rPr>
          <w:rFonts w:hint="eastAsia"/>
          <w:sz w:val="23"/>
          <w:szCs w:val="23"/>
        </w:rPr>
        <w:t>东旭光电</w:t>
      </w:r>
      <w:r w:rsidR="00734C90">
        <w:rPr>
          <w:rFonts w:hint="eastAsia"/>
          <w:sz w:val="23"/>
          <w:szCs w:val="23"/>
        </w:rPr>
        <w:t>”</w:t>
      </w:r>
      <w:r w:rsidR="00C67D7B">
        <w:rPr>
          <w:rFonts w:hint="eastAsia"/>
          <w:sz w:val="23"/>
          <w:szCs w:val="23"/>
        </w:rPr>
        <w:t>复牌且其交易体现了活跃市场交易特征后，</w:t>
      </w:r>
      <w:r w:rsidR="00863434" w:rsidRPr="00863434">
        <w:rPr>
          <w:rFonts w:hint="eastAsia"/>
          <w:sz w:val="23"/>
          <w:szCs w:val="23"/>
        </w:rPr>
        <w:t>本公司旗下</w:t>
      </w:r>
      <w:r w:rsidR="00863434">
        <w:rPr>
          <w:rFonts w:hint="eastAsia"/>
          <w:sz w:val="23"/>
          <w:szCs w:val="23"/>
        </w:rPr>
        <w:t>相关</w:t>
      </w:r>
      <w:r w:rsidR="00863434" w:rsidRPr="00863434">
        <w:rPr>
          <w:rFonts w:hint="eastAsia"/>
          <w:sz w:val="23"/>
          <w:szCs w:val="23"/>
        </w:rPr>
        <w:t>基金</w:t>
      </w:r>
      <w:r w:rsidR="00022AB7">
        <w:rPr>
          <w:rFonts w:hint="eastAsia"/>
          <w:sz w:val="23"/>
          <w:szCs w:val="23"/>
        </w:rPr>
        <w:t>将</w:t>
      </w:r>
      <w:r w:rsidR="00C67D7B">
        <w:rPr>
          <w:rFonts w:hint="eastAsia"/>
          <w:sz w:val="23"/>
          <w:szCs w:val="23"/>
        </w:rPr>
        <w:t>恢复</w:t>
      </w:r>
      <w:r w:rsidR="00734C90">
        <w:rPr>
          <w:rFonts w:hint="eastAsia"/>
          <w:sz w:val="23"/>
          <w:szCs w:val="23"/>
        </w:rPr>
        <w:t>采用当日收盘价格对其进行估值</w:t>
      </w:r>
      <w:r w:rsidR="00D671EE">
        <w:rPr>
          <w:rFonts w:hint="eastAsia"/>
          <w:sz w:val="23"/>
          <w:szCs w:val="23"/>
        </w:rPr>
        <w:t>，届时不再另行公告</w:t>
      </w:r>
      <w:r w:rsidR="00734C90">
        <w:rPr>
          <w:rFonts w:hint="eastAsia"/>
          <w:sz w:val="23"/>
          <w:szCs w:val="23"/>
        </w:rPr>
        <w:t>，</w:t>
      </w:r>
      <w:r w:rsidR="003A42CB">
        <w:rPr>
          <w:sz w:val="23"/>
          <w:szCs w:val="23"/>
        </w:rPr>
        <w:t>敬请投资者关注。</w:t>
      </w:r>
    </w:p>
    <w:p w:rsidR="003A42CB" w:rsidRDefault="008B6B6D" w:rsidP="007D0ED4">
      <w:pPr>
        <w:spacing w:line="360" w:lineRule="auto"/>
        <w:ind w:firstLineChars="200" w:firstLine="460"/>
        <w:rPr>
          <w:sz w:val="23"/>
          <w:szCs w:val="23"/>
        </w:rPr>
      </w:pPr>
      <w:r>
        <w:rPr>
          <w:sz w:val="23"/>
          <w:szCs w:val="23"/>
        </w:rPr>
        <w:t>特此公告。</w:t>
      </w:r>
    </w:p>
    <w:p w:rsidR="008B6B6D" w:rsidRDefault="008B6B6D" w:rsidP="007D0ED4">
      <w:pPr>
        <w:spacing w:line="360" w:lineRule="auto"/>
        <w:rPr>
          <w:sz w:val="23"/>
          <w:szCs w:val="23"/>
        </w:rPr>
      </w:pPr>
    </w:p>
    <w:p w:rsidR="008B6B6D" w:rsidRDefault="008B6B6D" w:rsidP="007D0ED4">
      <w:pPr>
        <w:spacing w:line="360" w:lineRule="auto"/>
        <w:rPr>
          <w:sz w:val="23"/>
          <w:szCs w:val="23"/>
        </w:rPr>
      </w:pPr>
    </w:p>
    <w:p w:rsidR="008B6B6D" w:rsidRDefault="008B6B6D" w:rsidP="007D0ED4">
      <w:pPr>
        <w:spacing w:line="360" w:lineRule="auto"/>
        <w:rPr>
          <w:sz w:val="23"/>
          <w:szCs w:val="23"/>
        </w:rPr>
      </w:pPr>
    </w:p>
    <w:p w:rsidR="008B6B6D" w:rsidRDefault="008B6B6D" w:rsidP="007D0ED4">
      <w:pPr>
        <w:spacing w:line="360" w:lineRule="auto"/>
        <w:ind w:firstLineChars="2400" w:firstLine="5520"/>
        <w:rPr>
          <w:sz w:val="23"/>
          <w:szCs w:val="23"/>
        </w:rPr>
      </w:pPr>
      <w:r>
        <w:rPr>
          <w:rFonts w:hint="eastAsia"/>
          <w:sz w:val="23"/>
          <w:szCs w:val="23"/>
        </w:rPr>
        <w:t>中金基金管理有限公司</w:t>
      </w:r>
    </w:p>
    <w:p w:rsidR="008B6B6D" w:rsidRDefault="00276B09" w:rsidP="007D0ED4">
      <w:pPr>
        <w:spacing w:line="360" w:lineRule="auto"/>
        <w:rPr>
          <w:sz w:val="30"/>
          <w:szCs w:val="30"/>
        </w:rPr>
      </w:pPr>
      <w:r>
        <w:rPr>
          <w:rFonts w:hint="eastAsia"/>
          <w:sz w:val="23"/>
          <w:szCs w:val="23"/>
        </w:rPr>
        <w:t>2019</w:t>
      </w:r>
      <w:r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12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6</w:t>
      </w:r>
      <w:r w:rsidR="008B6B6D">
        <w:rPr>
          <w:rFonts w:hint="eastAsia"/>
          <w:sz w:val="23"/>
          <w:szCs w:val="23"/>
        </w:rPr>
        <w:t>日</w:t>
      </w:r>
    </w:p>
    <w:p w:rsidR="003A42CB" w:rsidRPr="003A42CB" w:rsidRDefault="003A42CB" w:rsidP="003A42CB">
      <w:pPr>
        <w:rPr>
          <w:sz w:val="30"/>
          <w:szCs w:val="30"/>
        </w:rPr>
      </w:pPr>
    </w:p>
    <w:sectPr w:rsidR="003A42CB" w:rsidRPr="003A42CB" w:rsidSect="00245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43" w:rsidRDefault="005A7B43" w:rsidP="00981BA3">
      <w:r>
        <w:separator/>
      </w:r>
    </w:p>
  </w:endnote>
  <w:endnote w:type="continuationSeparator" w:id="1">
    <w:p w:rsidR="005A7B43" w:rsidRDefault="005A7B43" w:rsidP="0098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43" w:rsidRDefault="005A7B43" w:rsidP="00981BA3">
      <w:r>
        <w:separator/>
      </w:r>
    </w:p>
  </w:footnote>
  <w:footnote w:type="continuationSeparator" w:id="1">
    <w:p w:rsidR="005A7B43" w:rsidRDefault="005A7B43" w:rsidP="00981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2CB"/>
    <w:rsid w:val="00022AB7"/>
    <w:rsid w:val="00074450"/>
    <w:rsid w:val="00076F92"/>
    <w:rsid w:val="000D73CE"/>
    <w:rsid w:val="000F5ADB"/>
    <w:rsid w:val="0013066E"/>
    <w:rsid w:val="001551FF"/>
    <w:rsid w:val="00155A27"/>
    <w:rsid w:val="00196477"/>
    <w:rsid w:val="001C3F66"/>
    <w:rsid w:val="001E7B77"/>
    <w:rsid w:val="001F67C0"/>
    <w:rsid w:val="00245AE4"/>
    <w:rsid w:val="00276B09"/>
    <w:rsid w:val="002A0C36"/>
    <w:rsid w:val="002B30AE"/>
    <w:rsid w:val="002F38B6"/>
    <w:rsid w:val="00352B9E"/>
    <w:rsid w:val="003533D1"/>
    <w:rsid w:val="003A42CB"/>
    <w:rsid w:val="00423B82"/>
    <w:rsid w:val="00455E3C"/>
    <w:rsid w:val="0049746C"/>
    <w:rsid w:val="004C2BD0"/>
    <w:rsid w:val="00536A2D"/>
    <w:rsid w:val="00561836"/>
    <w:rsid w:val="005A7B43"/>
    <w:rsid w:val="0063289E"/>
    <w:rsid w:val="006C726E"/>
    <w:rsid w:val="006D4487"/>
    <w:rsid w:val="00700931"/>
    <w:rsid w:val="007334B1"/>
    <w:rsid w:val="00734B50"/>
    <w:rsid w:val="00734C90"/>
    <w:rsid w:val="007A4076"/>
    <w:rsid w:val="007D0ED4"/>
    <w:rsid w:val="00863434"/>
    <w:rsid w:val="00896655"/>
    <w:rsid w:val="008B6B6D"/>
    <w:rsid w:val="008E6AB2"/>
    <w:rsid w:val="0097302B"/>
    <w:rsid w:val="00981BA3"/>
    <w:rsid w:val="00A00481"/>
    <w:rsid w:val="00A25B4A"/>
    <w:rsid w:val="00A269E2"/>
    <w:rsid w:val="00A35F57"/>
    <w:rsid w:val="00A400AA"/>
    <w:rsid w:val="00A76F0E"/>
    <w:rsid w:val="00AF745E"/>
    <w:rsid w:val="00BC7A75"/>
    <w:rsid w:val="00C208FA"/>
    <w:rsid w:val="00C3217A"/>
    <w:rsid w:val="00C67D7B"/>
    <w:rsid w:val="00C964A3"/>
    <w:rsid w:val="00CA041B"/>
    <w:rsid w:val="00CD2630"/>
    <w:rsid w:val="00D2451E"/>
    <w:rsid w:val="00D54A91"/>
    <w:rsid w:val="00D557B3"/>
    <w:rsid w:val="00D671EE"/>
    <w:rsid w:val="00DC6F48"/>
    <w:rsid w:val="00E94B94"/>
    <w:rsid w:val="00EA220E"/>
    <w:rsid w:val="00F247FA"/>
    <w:rsid w:val="00F62F6D"/>
    <w:rsid w:val="00F741F3"/>
    <w:rsid w:val="00F8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2CB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A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1B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1BA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7D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7D7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36A2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36A2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36A2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36A2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36A2D"/>
    <w:rPr>
      <w:b/>
      <w:bCs/>
    </w:rPr>
  </w:style>
  <w:style w:type="paragraph" w:styleId="aa">
    <w:name w:val="Revision"/>
    <w:hidden/>
    <w:uiPriority w:val="99"/>
    <w:semiHidden/>
    <w:rsid w:val="001E7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2CB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A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1B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1BA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7D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7D7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36A2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36A2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36A2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36A2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36A2D"/>
    <w:rPr>
      <w:b/>
      <w:bCs/>
    </w:rPr>
  </w:style>
  <w:style w:type="paragraph" w:styleId="aa">
    <w:name w:val="Revision"/>
    <w:hidden/>
    <w:uiPriority w:val="99"/>
    <w:semiHidden/>
    <w:rsid w:val="001E7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Yu</dc:creator>
  <cp:lastModifiedBy>JonMMx 2000</cp:lastModifiedBy>
  <cp:revision>2</cp:revision>
  <dcterms:created xsi:type="dcterms:W3CDTF">2019-12-05T16:00:00Z</dcterms:created>
  <dcterms:modified xsi:type="dcterms:W3CDTF">2019-12-05T16:00:00Z</dcterms:modified>
</cp:coreProperties>
</file>