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3B" w:rsidRDefault="005E7E0E">
      <w:r>
        <w:rPr>
          <w:noProof/>
        </w:rPr>
        <w:drawing>
          <wp:inline distT="0" distB="0" distL="0" distR="0">
            <wp:extent cx="3063240" cy="381000"/>
            <wp:effectExtent l="0" t="0" r="3810" b="0"/>
            <wp:docPr id="1" name="图片 1" descr="信纸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信纸01"/>
                    <pic:cNvPicPr>
                      <a:picLocks noChangeAspect="1" noChangeArrowheads="1"/>
                    </pic:cNvPicPr>
                  </pic:nvPicPr>
                  <pic:blipFill>
                    <a:blip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3240" cy="381000"/>
                    </a:xfrm>
                    <a:prstGeom prst="rect">
                      <a:avLst/>
                    </a:prstGeom>
                    <a:noFill/>
                    <a:ln>
                      <a:noFill/>
                    </a:ln>
                  </pic:spPr>
                </pic:pic>
              </a:graphicData>
            </a:graphic>
          </wp:inline>
        </w:drawing>
      </w:r>
    </w:p>
    <w:p w:rsidR="00DC523B" w:rsidRDefault="005E7E0E">
      <w:pPr>
        <w:pStyle w:val="a5"/>
        <w:spacing w:before="0" w:beforeAutospacing="0" w:after="0" w:afterAutospacing="0" w:line="360" w:lineRule="auto"/>
        <w:ind w:left="8880" w:hanging="8880"/>
        <w:jc w:val="both"/>
      </w:pPr>
      <w:r>
        <w:rPr>
          <w:rFonts w:ascii="Times New Roman" w:hAnsi="Times New Roman" w:cs="Times New Roman"/>
        </w:rPr>
        <w:t> </w:t>
      </w:r>
    </w:p>
    <w:p w:rsidR="00DC523B" w:rsidRDefault="005E7E0E">
      <w:pPr>
        <w:pStyle w:val="a5"/>
        <w:spacing w:before="0" w:beforeAutospacing="0" w:after="0" w:afterAutospacing="0" w:line="360" w:lineRule="auto"/>
        <w:ind w:left="8880" w:hanging="8880"/>
        <w:jc w:val="both"/>
      </w:pPr>
      <w:r>
        <w:rPr>
          <w:rFonts w:ascii="Times New Roman" w:hAnsi="Times New Roman" w:cs="Times New Roman"/>
        </w:rPr>
        <w:t> </w:t>
      </w:r>
    </w:p>
    <w:p w:rsidR="00DC523B" w:rsidRDefault="005E7E0E">
      <w:pPr>
        <w:pStyle w:val="a5"/>
        <w:spacing w:before="0" w:beforeAutospacing="0" w:after="0" w:afterAutospacing="0" w:line="360" w:lineRule="auto"/>
        <w:ind w:left="8880" w:hanging="8880"/>
        <w:jc w:val="both"/>
      </w:pPr>
      <w:r>
        <w:rPr>
          <w:rFonts w:ascii="Times New Roman" w:hAnsi="Times New Roman" w:cs="Times New Roman"/>
        </w:rPr>
        <w:t> </w:t>
      </w:r>
    </w:p>
    <w:p w:rsidR="00DC523B" w:rsidRDefault="005E7E0E">
      <w:pPr>
        <w:pStyle w:val="a5"/>
        <w:spacing w:before="0" w:beforeAutospacing="0" w:after="0" w:afterAutospacing="0" w:line="360" w:lineRule="auto"/>
        <w:ind w:left="8880" w:hanging="8880"/>
        <w:jc w:val="both"/>
      </w:pPr>
      <w:r>
        <w:rPr>
          <w:rFonts w:ascii="Times New Roman" w:hAnsi="Times New Roman" w:cs="Times New Roman"/>
        </w:rPr>
        <w:t> </w:t>
      </w:r>
    </w:p>
    <w:p w:rsidR="00DC523B" w:rsidRDefault="005E7E0E">
      <w:pPr>
        <w:pStyle w:val="a5"/>
        <w:spacing w:before="0" w:beforeAutospacing="0" w:after="0" w:afterAutospacing="0" w:line="360" w:lineRule="auto"/>
        <w:ind w:left="8880" w:hanging="8880"/>
        <w:jc w:val="both"/>
      </w:pPr>
      <w:r>
        <w:rPr>
          <w:rFonts w:ascii="Times New Roman" w:hAnsi="Times New Roman" w:cs="Times New Roman"/>
        </w:rPr>
        <w:t> </w:t>
      </w:r>
    </w:p>
    <w:p w:rsidR="00DC523B" w:rsidRDefault="005E7E0E">
      <w:pPr>
        <w:pStyle w:val="a5"/>
        <w:spacing w:before="0" w:beforeAutospacing="0" w:after="0" w:afterAutospacing="0" w:line="360" w:lineRule="auto"/>
        <w:ind w:left="8880" w:hanging="8880"/>
        <w:jc w:val="both"/>
      </w:pPr>
      <w:r>
        <w:rPr>
          <w:rFonts w:ascii="Times New Roman" w:hAnsi="Times New Roman" w:cs="Times New Roman"/>
        </w:rPr>
        <w:t> </w:t>
      </w:r>
    </w:p>
    <w:p w:rsidR="00DC523B" w:rsidRDefault="005E7E0E">
      <w:pPr>
        <w:pStyle w:val="a5"/>
        <w:spacing w:before="0" w:beforeAutospacing="0" w:after="0" w:afterAutospacing="0" w:line="360" w:lineRule="auto"/>
        <w:ind w:left="8880" w:hanging="8880"/>
        <w:jc w:val="both"/>
      </w:pPr>
      <w:r>
        <w:rPr>
          <w:rFonts w:ascii="Times New Roman" w:hAnsi="Times New Roman" w:cs="Times New Roman"/>
        </w:rPr>
        <w:t> </w:t>
      </w:r>
    </w:p>
    <w:p w:rsidR="00DC523B" w:rsidRDefault="005E7E0E">
      <w:pPr>
        <w:pStyle w:val="a5"/>
        <w:spacing w:before="120" w:beforeAutospacing="0" w:after="120" w:afterAutospacing="0" w:line="360" w:lineRule="auto"/>
        <w:jc w:val="center"/>
        <w:rPr>
          <w:rFonts w:ascii="华文行楷" w:eastAsia="华文行楷"/>
          <w:spacing w:val="-20"/>
          <w:sz w:val="52"/>
          <w:szCs w:val="52"/>
        </w:rPr>
      </w:pPr>
      <w:r>
        <w:rPr>
          <w:rFonts w:ascii="华文行楷" w:eastAsia="华文行楷" w:hint="eastAsia"/>
          <w:spacing w:val="-20"/>
          <w:sz w:val="52"/>
          <w:szCs w:val="52"/>
        </w:rPr>
        <w:t>鹏华丰达债券型证券投资基金</w:t>
      </w:r>
    </w:p>
    <w:p w:rsidR="00DC523B" w:rsidRDefault="005E7E0E">
      <w:pPr>
        <w:pStyle w:val="a5"/>
        <w:spacing w:before="120" w:beforeAutospacing="0" w:after="120" w:afterAutospacing="0" w:line="360" w:lineRule="auto"/>
        <w:jc w:val="center"/>
        <w:rPr>
          <w:sz w:val="52"/>
          <w:szCs w:val="52"/>
        </w:rPr>
      </w:pPr>
      <w:r>
        <w:rPr>
          <w:rFonts w:ascii="华文行楷" w:eastAsia="华文行楷" w:hint="eastAsia"/>
          <w:sz w:val="52"/>
          <w:szCs w:val="52"/>
        </w:rPr>
        <w:t>更新的招募说明书摘要</w:t>
      </w:r>
    </w:p>
    <w:p w:rsidR="00DC523B" w:rsidRDefault="005E7E0E">
      <w:pPr>
        <w:pStyle w:val="a5"/>
        <w:spacing w:before="0" w:beforeAutospacing="0" w:after="0" w:afterAutospacing="0" w:line="360" w:lineRule="auto"/>
        <w:jc w:val="center"/>
        <w:rPr>
          <w:sz w:val="52"/>
          <w:szCs w:val="52"/>
        </w:rPr>
      </w:pPr>
      <w:r>
        <w:rPr>
          <w:rFonts w:ascii="Times New Roman" w:hAnsi="Times New Roman" w:cs="Times New Roman"/>
          <w:sz w:val="52"/>
          <w:szCs w:val="52"/>
        </w:rPr>
        <w:t> 2019</w:t>
      </w:r>
      <w:r>
        <w:rPr>
          <w:rFonts w:ascii="Times New Roman" w:hAnsi="Times New Roman" w:cs="Times New Roman" w:hint="eastAsia"/>
          <w:sz w:val="52"/>
          <w:szCs w:val="52"/>
        </w:rPr>
        <w:t>年第</w:t>
      </w:r>
      <w:r>
        <w:rPr>
          <w:rFonts w:ascii="Times New Roman" w:hAnsi="Times New Roman" w:cs="Times New Roman"/>
          <w:sz w:val="52"/>
          <w:szCs w:val="52"/>
        </w:rPr>
        <w:t>1</w:t>
      </w:r>
      <w:r>
        <w:rPr>
          <w:rFonts w:ascii="Times New Roman" w:hAnsi="Times New Roman" w:cs="Times New Roman" w:hint="eastAsia"/>
          <w:sz w:val="52"/>
          <w:szCs w:val="52"/>
        </w:rPr>
        <w:t>号</w:t>
      </w:r>
    </w:p>
    <w:p w:rsidR="00DC523B" w:rsidRDefault="005E7E0E">
      <w:pPr>
        <w:pStyle w:val="a5"/>
        <w:spacing w:before="0" w:beforeAutospacing="0" w:after="0" w:afterAutospacing="0" w:line="360" w:lineRule="auto"/>
        <w:jc w:val="center"/>
        <w:rPr>
          <w:sz w:val="44"/>
          <w:szCs w:val="44"/>
        </w:rPr>
      </w:pPr>
      <w:r>
        <w:rPr>
          <w:rFonts w:ascii="Times New Roman" w:hAnsi="Times New Roman" w:cs="Times New Roman"/>
          <w:sz w:val="44"/>
          <w:szCs w:val="44"/>
        </w:rPr>
        <w:t> </w:t>
      </w:r>
    </w:p>
    <w:p w:rsidR="00DC523B" w:rsidRDefault="005E7E0E">
      <w:pPr>
        <w:pStyle w:val="a5"/>
        <w:spacing w:before="0" w:beforeAutospacing="0" w:after="0" w:afterAutospacing="0" w:line="360" w:lineRule="auto"/>
        <w:jc w:val="center"/>
        <w:rPr>
          <w:sz w:val="44"/>
          <w:szCs w:val="44"/>
        </w:rPr>
      </w:pPr>
      <w:r>
        <w:rPr>
          <w:rFonts w:ascii="Times New Roman" w:hAnsi="Times New Roman" w:cs="Times New Roman"/>
          <w:sz w:val="44"/>
          <w:szCs w:val="44"/>
        </w:rPr>
        <w:t> </w:t>
      </w:r>
    </w:p>
    <w:p w:rsidR="00DC523B" w:rsidRDefault="005E7E0E">
      <w:pPr>
        <w:pStyle w:val="a5"/>
        <w:spacing w:before="0" w:beforeAutospacing="0" w:after="0" w:afterAutospacing="0" w:line="360" w:lineRule="auto"/>
        <w:jc w:val="both"/>
        <w:rPr>
          <w:sz w:val="32"/>
          <w:szCs w:val="32"/>
        </w:rPr>
      </w:pPr>
      <w:r>
        <w:rPr>
          <w:rFonts w:ascii="Times New Roman" w:hAnsi="Times New Roman" w:cs="Times New Roman"/>
          <w:sz w:val="32"/>
          <w:szCs w:val="32"/>
        </w:rPr>
        <w:t> </w:t>
      </w:r>
    </w:p>
    <w:p w:rsidR="00DC523B" w:rsidRDefault="005E7E0E">
      <w:pPr>
        <w:pStyle w:val="a5"/>
        <w:spacing w:before="0" w:beforeAutospacing="0" w:after="0" w:afterAutospacing="0" w:line="360" w:lineRule="auto"/>
        <w:jc w:val="both"/>
        <w:rPr>
          <w:sz w:val="32"/>
          <w:szCs w:val="32"/>
        </w:rPr>
      </w:pPr>
      <w:r>
        <w:rPr>
          <w:rFonts w:ascii="Times New Roman" w:hAnsi="Times New Roman" w:cs="Times New Roman"/>
          <w:sz w:val="32"/>
          <w:szCs w:val="32"/>
        </w:rPr>
        <w:t> </w:t>
      </w:r>
    </w:p>
    <w:p w:rsidR="00DC523B" w:rsidRDefault="005E7E0E">
      <w:pPr>
        <w:pStyle w:val="a5"/>
        <w:spacing w:before="0" w:beforeAutospacing="0" w:after="0" w:afterAutospacing="0" w:line="360" w:lineRule="auto"/>
        <w:jc w:val="center"/>
        <w:rPr>
          <w:sz w:val="36"/>
          <w:szCs w:val="36"/>
        </w:rPr>
      </w:pPr>
      <w:r>
        <w:rPr>
          <w:rFonts w:ascii="华文行楷" w:eastAsia="华文行楷" w:hint="eastAsia"/>
          <w:sz w:val="36"/>
          <w:szCs w:val="36"/>
        </w:rPr>
        <w:t>基金管理人：鹏华基金管理有限公司</w:t>
      </w:r>
    </w:p>
    <w:p w:rsidR="00DC523B" w:rsidRDefault="005E7E0E">
      <w:pPr>
        <w:pStyle w:val="a5"/>
        <w:spacing w:before="0" w:beforeAutospacing="0" w:after="0" w:afterAutospacing="0" w:line="360" w:lineRule="auto"/>
        <w:jc w:val="center"/>
        <w:rPr>
          <w:sz w:val="36"/>
          <w:szCs w:val="36"/>
        </w:rPr>
      </w:pPr>
      <w:r>
        <w:rPr>
          <w:rFonts w:ascii="华文行楷" w:eastAsia="华文行楷" w:hint="eastAsia"/>
          <w:sz w:val="36"/>
          <w:szCs w:val="36"/>
        </w:rPr>
        <w:t>基金托管人：交通银行股份有限公司</w:t>
      </w:r>
    </w:p>
    <w:p w:rsidR="00DC523B" w:rsidRDefault="005E7E0E">
      <w:pPr>
        <w:pStyle w:val="a5"/>
        <w:spacing w:before="0" w:beforeAutospacing="0" w:after="0" w:afterAutospacing="0" w:line="360" w:lineRule="auto"/>
        <w:jc w:val="center"/>
        <w:rPr>
          <w:sz w:val="36"/>
          <w:szCs w:val="36"/>
        </w:rPr>
      </w:pPr>
      <w:r>
        <w:rPr>
          <w:rFonts w:ascii="华文行楷" w:eastAsia="华文行楷" w:hint="eastAsia"/>
          <w:sz w:val="36"/>
          <w:szCs w:val="36"/>
        </w:rPr>
        <w:t>2019年12月4日</w:t>
      </w:r>
    </w:p>
    <w:p w:rsidR="00DC523B" w:rsidRDefault="005E7E0E">
      <w:pPr>
        <w:pStyle w:val="a5"/>
        <w:spacing w:before="0" w:beforeAutospacing="0" w:after="240" w:afterAutospacing="0" w:line="360" w:lineRule="auto"/>
        <w:jc w:val="center"/>
        <w:rPr>
          <w:sz w:val="36"/>
          <w:szCs w:val="36"/>
        </w:rPr>
      </w:pPr>
      <w:r>
        <w:rPr>
          <w:rFonts w:hint="eastAsia"/>
          <w:sz w:val="36"/>
          <w:szCs w:val="36"/>
        </w:rPr>
        <w:br w:type="page"/>
      </w:r>
      <w:r>
        <w:rPr>
          <w:rFonts w:hint="eastAsia"/>
          <w:b/>
          <w:bCs/>
        </w:rPr>
        <w:lastRenderedPageBreak/>
        <w:t>重要提示</w:t>
      </w:r>
    </w:p>
    <w:p w:rsidR="00DC523B" w:rsidRDefault="005E7E0E">
      <w:pPr>
        <w:pStyle w:val="a5"/>
        <w:spacing w:before="0" w:beforeAutospacing="0" w:after="0" w:afterAutospacing="0" w:line="360" w:lineRule="auto"/>
        <w:ind w:firstLine="420"/>
        <w:jc w:val="both"/>
        <w:rPr>
          <w:sz w:val="21"/>
          <w:szCs w:val="21"/>
        </w:rPr>
      </w:pPr>
      <w:r>
        <w:rPr>
          <w:rFonts w:ascii="Times New Roman" w:hAnsi="Times New Roman" w:cs="Times New Roman"/>
          <w:sz w:val="21"/>
          <w:szCs w:val="21"/>
        </w:rPr>
        <w:t> </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经2016年7月26日中国证券监督管理委员会下发的《关于准予鹏华丰达债券型证券投资基金注册的批复》注册，进行募集。并经2018年9月5日中国证券监督管理委员会下发的《关于准予鹏华丰达债券型证券投资基金变更注册的批复》（证监许可[2018]1431号文）变更注册。根据相关法律法规，本基金基金合同已于2016年8月30日正式生效，基金管理人于该日起正式开始对基金财产进行运作管理。</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基金管理人保证本招募说明书的内容真实、准确、完整。本招募说明书经中国证监会注册，但中国证监会对本基金募集的注册，并不表明其对本基金的价值和收益作出实质性判断或保证，也不表明投资于本基金没有风险。</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属于债券型基金，其预期的收益与风险低于股票型基金、混合型基金，高于货币市场基金，为证券投资基金中具有较低风险收益特征的品种。本基金投资于证券市场，基金净值会因为证券市场波动等因素产生波动，投资人在投资本基金前，应全面了解本基金的产品特性，充分考虑自身的风险承受能力，理性判断市场，并承担基金投资中出现的各类风险，包括但不限于：系统性风险、非系统性风险、管理风险、流动性风险、本基金特定风险及其他风险等。</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投资范围包括中小企业私募债，中小企业私募债券的流动性风险在于该类债券采取非公开方式发行和交易，由于不公开资料，外部评级机构一般不对这类债券进行外部评级，可能会降低市场对该类债券的认可度，从而影响该类债券的市场流动性。中小企业私募债券的信用风险在于该类债券发行主体的资产规模较小、经营的波动性较大，同时，各类材料（包括招募说明书、审计报告）不公开发布，也大大提高了分析并跟踪发债主体信用基本面的难度。</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基金的过往业绩并不预示其未来表现，基金管理人管理的其他基金的业绩并不构成对本基金表现的保证。</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基金管理人依照恪尽职守、诚实信用、谨慎勤勉的原则管理和运用基金财产，但不保证基金一定盈利，也不保证最低收益。基金管理人提醒投资人基金投资的“买者自负”原则，在投资人作出投资决策后，基金运营状况与基金净值变化引致的投资风险，由投资人自行承担。投资有风险，投资人在投资本基金前应认真阅读本基金的招募说明书和基金合同。</w:t>
      </w:r>
    </w:p>
    <w:p w:rsidR="00DC523B" w:rsidRDefault="005E7E0E" w:rsidP="00515055">
      <w:pPr>
        <w:spacing w:beforeLines="30" w:afterLines="30" w:line="360" w:lineRule="auto"/>
        <w:ind w:firstLineChars="200" w:firstLine="422"/>
        <w:rPr>
          <w:b/>
          <w:sz w:val="21"/>
          <w:szCs w:val="21"/>
        </w:rPr>
      </w:pPr>
      <w:r>
        <w:rPr>
          <w:rFonts w:hint="eastAsia"/>
          <w:b/>
          <w:sz w:val="21"/>
          <w:szCs w:val="21"/>
        </w:rPr>
        <w:t>本次招募说明书更新仅涉及《公开募集证券投资基金信息披露管理办法》第十二条规定的重大变更，即：（一）基金合同、基金托管协议相关内容发生变更；（二）变更基金简称（含场内简称）、基金代码（含场内代码）；（三）变更基金管理人、基金托管人的法定名称；（四）变更基金经理；（五）变更认购费、申购费、赎回费等费率；（六）其</w:t>
      </w:r>
      <w:r>
        <w:rPr>
          <w:rFonts w:hint="eastAsia"/>
          <w:b/>
          <w:sz w:val="21"/>
          <w:szCs w:val="21"/>
        </w:rPr>
        <w:lastRenderedPageBreak/>
        <w:t>他对投资者有重大影响的事项。变更事项涉及上述一种或多种情形，具体事项请参考基金管理人最近三个交易日内披露的关于上述重大变更的相关公告，其他内容请以上一次更新的招募说明书为准。</w:t>
      </w:r>
    </w:p>
    <w:p w:rsidR="00DC523B" w:rsidRDefault="00DC523B">
      <w:pPr>
        <w:spacing w:line="360" w:lineRule="auto"/>
        <w:sectPr w:rsidR="00DC523B">
          <w:pgSz w:w="11906" w:h="16838"/>
          <w:pgMar w:top="1440" w:right="1797" w:bottom="1440" w:left="1797" w:header="851" w:footer="992" w:gutter="0"/>
          <w:pgNumType w:start="0" w:chapStyle="1"/>
          <w:cols w:space="425"/>
          <w:titlePg/>
          <w:docGrid w:linePitch="312"/>
        </w:sectPr>
      </w:pPr>
    </w:p>
    <w:p w:rsidR="00DC523B" w:rsidRDefault="005E7E0E">
      <w:pPr>
        <w:pStyle w:val="1"/>
        <w:spacing w:before="93" w:beforeAutospacing="0" w:after="93" w:afterAutospacing="0" w:line="360" w:lineRule="auto"/>
        <w:jc w:val="center"/>
      </w:pPr>
      <w:r>
        <w:rPr>
          <w:rStyle w:val="ac"/>
          <w:rFonts w:hint="eastAsia"/>
          <w:b/>
          <w:bCs/>
          <w:sz w:val="28"/>
          <w:szCs w:val="28"/>
        </w:rPr>
        <w:lastRenderedPageBreak/>
        <w:t>一、基金管理人</w:t>
      </w:r>
    </w:p>
    <w:p w:rsidR="00DC523B" w:rsidRDefault="005E7E0E">
      <w:pPr>
        <w:pStyle w:val="a5"/>
        <w:spacing w:before="0" w:beforeAutospacing="0" w:after="0" w:afterAutospacing="0" w:line="360" w:lineRule="auto"/>
        <w:ind w:firstLine="408"/>
        <w:jc w:val="both"/>
        <w:rPr>
          <w:sz w:val="21"/>
          <w:szCs w:val="21"/>
        </w:rPr>
      </w:pPr>
      <w:r>
        <w:rPr>
          <w:rFonts w:hint="eastAsia"/>
          <w:b/>
          <w:bCs/>
          <w:sz w:val="21"/>
          <w:szCs w:val="21"/>
        </w:rPr>
        <w:t>（一）基金管理人概况</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1、名称：鹏华基金管理有限公司</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2、住所：深圳市福田区福华三路168号深圳国际商会中心43层</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3、设立日期：1998年12月22日</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4、法定代表人：何如</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5、办公地址：深圳市福田区福华三路168号深圳国际商会中心43层</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6、电话：（0755）82021233       传真：（0755）82021155</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7、联系人：吕奇志</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8、注册资本：人民币1.5亿元</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9、股权结构：</w:t>
      </w:r>
    </w:p>
    <w:tbl>
      <w:tblPr>
        <w:tblW w:w="0" w:type="auto"/>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3633"/>
        <w:gridCol w:w="1625"/>
        <w:gridCol w:w="1995"/>
      </w:tblGrid>
      <w:tr w:rsidR="00DC523B">
        <w:trPr>
          <w:trHeight w:val="411"/>
          <w:jc w:val="center"/>
        </w:trPr>
        <w:tc>
          <w:tcPr>
            <w:tcW w:w="3633" w:type="dxa"/>
            <w:tcBorders>
              <w:top w:val="single" w:sz="8" w:space="0" w:color="000000"/>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DC523B" w:rsidRDefault="005E7E0E">
            <w:pPr>
              <w:pStyle w:val="a5"/>
              <w:spacing w:before="0" w:beforeAutospacing="0" w:after="0" w:afterAutospacing="0"/>
              <w:jc w:val="center"/>
              <w:rPr>
                <w:sz w:val="21"/>
                <w:szCs w:val="21"/>
              </w:rPr>
            </w:pPr>
            <w:r>
              <w:rPr>
                <w:rFonts w:hint="eastAsia"/>
                <w:b/>
                <w:bCs/>
                <w:sz w:val="21"/>
                <w:szCs w:val="21"/>
              </w:rPr>
              <w:t>出资人名称</w:t>
            </w:r>
          </w:p>
        </w:tc>
        <w:tc>
          <w:tcPr>
            <w:tcW w:w="1625" w:type="dxa"/>
            <w:tcBorders>
              <w:top w:val="single" w:sz="8" w:space="0" w:color="000000"/>
              <w:left w:val="nil"/>
              <w:bottom w:val="single" w:sz="8" w:space="0" w:color="auto"/>
              <w:right w:val="single" w:sz="8" w:space="0" w:color="auto"/>
            </w:tcBorders>
            <w:tcMar>
              <w:top w:w="0" w:type="dxa"/>
              <w:left w:w="108" w:type="dxa"/>
              <w:bottom w:w="0" w:type="dxa"/>
              <w:right w:w="98" w:type="dxa"/>
            </w:tcMar>
            <w:vAlign w:val="center"/>
            <w:hideMark/>
          </w:tcPr>
          <w:p w:rsidR="00DC523B" w:rsidRDefault="005E7E0E">
            <w:pPr>
              <w:pStyle w:val="a5"/>
              <w:spacing w:before="0" w:beforeAutospacing="0" w:after="0" w:afterAutospacing="0"/>
              <w:jc w:val="center"/>
              <w:rPr>
                <w:sz w:val="21"/>
                <w:szCs w:val="21"/>
              </w:rPr>
            </w:pPr>
            <w:r>
              <w:rPr>
                <w:rFonts w:hint="eastAsia"/>
                <w:b/>
                <w:bCs/>
                <w:sz w:val="21"/>
                <w:szCs w:val="21"/>
              </w:rPr>
              <w:t>出资额（万元）</w:t>
            </w:r>
          </w:p>
        </w:tc>
        <w:tc>
          <w:tcPr>
            <w:tcW w:w="1995" w:type="dxa"/>
            <w:tcBorders>
              <w:top w:val="single" w:sz="8" w:space="0" w:color="000000"/>
              <w:left w:val="nil"/>
              <w:bottom w:val="single" w:sz="8" w:space="0" w:color="auto"/>
              <w:right w:val="single" w:sz="8" w:space="0" w:color="000000"/>
            </w:tcBorders>
            <w:tcMar>
              <w:top w:w="0" w:type="dxa"/>
              <w:left w:w="98" w:type="dxa"/>
              <w:bottom w:w="0" w:type="dxa"/>
              <w:right w:w="98" w:type="dxa"/>
            </w:tcMar>
            <w:vAlign w:val="center"/>
            <w:hideMark/>
          </w:tcPr>
          <w:p w:rsidR="00DC523B" w:rsidRDefault="005E7E0E">
            <w:pPr>
              <w:pStyle w:val="a5"/>
              <w:spacing w:before="0" w:beforeAutospacing="0" w:after="0" w:afterAutospacing="0"/>
              <w:jc w:val="center"/>
              <w:rPr>
                <w:sz w:val="21"/>
                <w:szCs w:val="21"/>
              </w:rPr>
            </w:pPr>
            <w:r>
              <w:rPr>
                <w:rFonts w:hint="eastAsia"/>
                <w:b/>
                <w:bCs/>
                <w:sz w:val="21"/>
                <w:szCs w:val="21"/>
              </w:rPr>
              <w:t>出资比例</w:t>
            </w:r>
          </w:p>
        </w:tc>
      </w:tr>
      <w:tr w:rsidR="00DC523B">
        <w:trPr>
          <w:trHeight w:val="394"/>
          <w:jc w:val="center"/>
        </w:trPr>
        <w:tc>
          <w:tcPr>
            <w:tcW w:w="3633" w:type="dxa"/>
            <w:tcBorders>
              <w:top w:val="nil"/>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国信证券股份有限公司</w:t>
            </w:r>
          </w:p>
        </w:tc>
        <w:tc>
          <w:tcPr>
            <w:tcW w:w="1625" w:type="dxa"/>
            <w:tcBorders>
              <w:top w:val="nil"/>
              <w:left w:val="nil"/>
              <w:bottom w:val="single" w:sz="8" w:space="0" w:color="auto"/>
              <w:right w:val="single" w:sz="8" w:space="0" w:color="auto"/>
            </w:tcBorders>
            <w:tcMar>
              <w:top w:w="0" w:type="dxa"/>
              <w:left w:w="108" w:type="dxa"/>
              <w:bottom w:w="0" w:type="dxa"/>
              <w:right w:w="98" w:type="dxa"/>
            </w:tcMar>
            <w:vAlign w:val="center"/>
            <w:hideMark/>
          </w:tcPr>
          <w:p w:rsidR="00DC523B" w:rsidRDefault="005E7E0E">
            <w:pPr>
              <w:pStyle w:val="a5"/>
              <w:spacing w:before="0" w:beforeAutospacing="0" w:after="0" w:afterAutospacing="0"/>
              <w:jc w:val="center"/>
              <w:rPr>
                <w:sz w:val="21"/>
                <w:szCs w:val="21"/>
              </w:rPr>
            </w:pPr>
            <w:r>
              <w:rPr>
                <w:rFonts w:ascii="Times New Roman" w:hAnsi="Times New Roman" w:cs="Times New Roman"/>
                <w:sz w:val="21"/>
                <w:szCs w:val="21"/>
              </w:rPr>
              <w:t>7,500</w:t>
            </w:r>
          </w:p>
        </w:tc>
        <w:tc>
          <w:tcPr>
            <w:tcW w:w="1995" w:type="dxa"/>
            <w:tcBorders>
              <w:top w:val="nil"/>
              <w:left w:val="nil"/>
              <w:bottom w:val="single" w:sz="8" w:space="0" w:color="auto"/>
              <w:right w:val="single" w:sz="8" w:space="0" w:color="000000"/>
            </w:tcBorders>
            <w:tcMar>
              <w:top w:w="0" w:type="dxa"/>
              <w:left w:w="98" w:type="dxa"/>
              <w:bottom w:w="0" w:type="dxa"/>
              <w:right w:w="98" w:type="dxa"/>
            </w:tcMar>
            <w:vAlign w:val="center"/>
            <w:hideMark/>
          </w:tcPr>
          <w:p w:rsidR="00DC523B" w:rsidRDefault="005E7E0E">
            <w:pPr>
              <w:pStyle w:val="a5"/>
              <w:spacing w:before="0" w:beforeAutospacing="0" w:after="0" w:afterAutospacing="0"/>
              <w:jc w:val="center"/>
              <w:rPr>
                <w:sz w:val="21"/>
                <w:szCs w:val="21"/>
              </w:rPr>
            </w:pPr>
            <w:r>
              <w:rPr>
                <w:rFonts w:ascii="Times New Roman" w:hAnsi="Times New Roman" w:cs="Times New Roman"/>
                <w:sz w:val="21"/>
                <w:szCs w:val="21"/>
              </w:rPr>
              <w:t>50%</w:t>
            </w:r>
          </w:p>
        </w:tc>
      </w:tr>
      <w:tr w:rsidR="00DC523B">
        <w:trPr>
          <w:trHeight w:val="823"/>
          <w:jc w:val="center"/>
        </w:trPr>
        <w:tc>
          <w:tcPr>
            <w:tcW w:w="3633" w:type="dxa"/>
            <w:tcBorders>
              <w:top w:val="nil"/>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意大利欧利盛资本资产管理股份公司（</w:t>
            </w:r>
            <w:r>
              <w:rPr>
                <w:rFonts w:ascii="Times New Roman" w:hAnsi="Times New Roman" w:cs="Times New Roman"/>
                <w:sz w:val="21"/>
                <w:szCs w:val="21"/>
              </w:rPr>
              <w:t>Eurizon Capital SGR S.p.A.</w:t>
            </w:r>
            <w:r>
              <w:rPr>
                <w:rFonts w:hint="eastAsia"/>
                <w:sz w:val="21"/>
                <w:szCs w:val="21"/>
              </w:rPr>
              <w:t>）</w:t>
            </w:r>
          </w:p>
        </w:tc>
        <w:tc>
          <w:tcPr>
            <w:tcW w:w="1625" w:type="dxa"/>
            <w:tcBorders>
              <w:top w:val="nil"/>
              <w:left w:val="nil"/>
              <w:bottom w:val="single" w:sz="8" w:space="0" w:color="auto"/>
              <w:right w:val="single" w:sz="8" w:space="0" w:color="auto"/>
            </w:tcBorders>
            <w:tcMar>
              <w:top w:w="0" w:type="dxa"/>
              <w:left w:w="108" w:type="dxa"/>
              <w:bottom w:w="0" w:type="dxa"/>
              <w:right w:w="98" w:type="dxa"/>
            </w:tcMar>
            <w:vAlign w:val="center"/>
            <w:hideMark/>
          </w:tcPr>
          <w:p w:rsidR="00DC523B" w:rsidRDefault="005E7E0E">
            <w:pPr>
              <w:pStyle w:val="a5"/>
              <w:spacing w:before="0" w:beforeAutospacing="0" w:after="0" w:afterAutospacing="0"/>
              <w:jc w:val="center"/>
              <w:rPr>
                <w:sz w:val="21"/>
                <w:szCs w:val="21"/>
              </w:rPr>
            </w:pPr>
            <w:r>
              <w:rPr>
                <w:rFonts w:ascii="Times New Roman" w:hAnsi="Times New Roman" w:cs="Times New Roman"/>
                <w:sz w:val="21"/>
                <w:szCs w:val="21"/>
              </w:rPr>
              <w:t>7,350</w:t>
            </w:r>
          </w:p>
        </w:tc>
        <w:tc>
          <w:tcPr>
            <w:tcW w:w="1995" w:type="dxa"/>
            <w:tcBorders>
              <w:top w:val="nil"/>
              <w:left w:val="nil"/>
              <w:bottom w:val="single" w:sz="8" w:space="0" w:color="auto"/>
              <w:right w:val="single" w:sz="8" w:space="0" w:color="000000"/>
            </w:tcBorders>
            <w:tcMar>
              <w:top w:w="0" w:type="dxa"/>
              <w:left w:w="98" w:type="dxa"/>
              <w:bottom w:w="0" w:type="dxa"/>
              <w:right w:w="98" w:type="dxa"/>
            </w:tcMar>
            <w:vAlign w:val="center"/>
            <w:hideMark/>
          </w:tcPr>
          <w:p w:rsidR="00DC523B" w:rsidRDefault="005E7E0E">
            <w:pPr>
              <w:pStyle w:val="a5"/>
              <w:spacing w:before="0" w:beforeAutospacing="0" w:after="0" w:afterAutospacing="0"/>
              <w:jc w:val="center"/>
              <w:rPr>
                <w:sz w:val="21"/>
                <w:szCs w:val="21"/>
              </w:rPr>
            </w:pPr>
            <w:r>
              <w:rPr>
                <w:rFonts w:ascii="Times New Roman" w:hAnsi="Times New Roman" w:cs="Times New Roman"/>
                <w:sz w:val="21"/>
                <w:szCs w:val="21"/>
              </w:rPr>
              <w:t>49%</w:t>
            </w:r>
          </w:p>
        </w:tc>
      </w:tr>
      <w:tr w:rsidR="00DC523B">
        <w:trPr>
          <w:trHeight w:val="411"/>
          <w:jc w:val="center"/>
        </w:trPr>
        <w:tc>
          <w:tcPr>
            <w:tcW w:w="3633" w:type="dxa"/>
            <w:tcBorders>
              <w:top w:val="nil"/>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深圳市北融信投资发展有限公司</w:t>
            </w:r>
          </w:p>
        </w:tc>
        <w:tc>
          <w:tcPr>
            <w:tcW w:w="1625" w:type="dxa"/>
            <w:tcBorders>
              <w:top w:val="nil"/>
              <w:left w:val="nil"/>
              <w:bottom w:val="single" w:sz="8" w:space="0" w:color="auto"/>
              <w:right w:val="single" w:sz="8" w:space="0" w:color="auto"/>
            </w:tcBorders>
            <w:tcMar>
              <w:top w:w="0" w:type="dxa"/>
              <w:left w:w="108" w:type="dxa"/>
              <w:bottom w:w="0" w:type="dxa"/>
              <w:right w:w="98" w:type="dxa"/>
            </w:tcMar>
            <w:vAlign w:val="center"/>
            <w:hideMark/>
          </w:tcPr>
          <w:p w:rsidR="00DC523B" w:rsidRDefault="005E7E0E">
            <w:pPr>
              <w:pStyle w:val="a5"/>
              <w:spacing w:before="0" w:beforeAutospacing="0" w:after="0" w:afterAutospacing="0"/>
              <w:jc w:val="center"/>
              <w:rPr>
                <w:sz w:val="21"/>
                <w:szCs w:val="21"/>
              </w:rPr>
            </w:pPr>
            <w:r>
              <w:rPr>
                <w:rFonts w:ascii="Times New Roman" w:hAnsi="Times New Roman" w:cs="Times New Roman"/>
                <w:sz w:val="21"/>
                <w:szCs w:val="21"/>
              </w:rPr>
              <w:t>150</w:t>
            </w:r>
          </w:p>
        </w:tc>
        <w:tc>
          <w:tcPr>
            <w:tcW w:w="1995" w:type="dxa"/>
            <w:tcBorders>
              <w:top w:val="nil"/>
              <w:left w:val="nil"/>
              <w:bottom w:val="single" w:sz="8" w:space="0" w:color="auto"/>
              <w:right w:val="single" w:sz="8" w:space="0" w:color="000000"/>
            </w:tcBorders>
            <w:tcMar>
              <w:top w:w="0" w:type="dxa"/>
              <w:left w:w="98" w:type="dxa"/>
              <w:bottom w:w="0" w:type="dxa"/>
              <w:right w:w="98" w:type="dxa"/>
            </w:tcMar>
            <w:vAlign w:val="center"/>
            <w:hideMark/>
          </w:tcPr>
          <w:p w:rsidR="00DC523B" w:rsidRDefault="005E7E0E">
            <w:pPr>
              <w:pStyle w:val="a5"/>
              <w:spacing w:before="0" w:beforeAutospacing="0" w:after="0" w:afterAutospacing="0"/>
              <w:jc w:val="center"/>
              <w:rPr>
                <w:sz w:val="21"/>
                <w:szCs w:val="21"/>
              </w:rPr>
            </w:pPr>
            <w:r>
              <w:rPr>
                <w:rFonts w:ascii="Times New Roman" w:hAnsi="Times New Roman" w:cs="Times New Roman"/>
                <w:sz w:val="21"/>
                <w:szCs w:val="21"/>
              </w:rPr>
              <w:t>1%</w:t>
            </w:r>
          </w:p>
        </w:tc>
      </w:tr>
      <w:tr w:rsidR="00DC523B">
        <w:trPr>
          <w:trHeight w:val="411"/>
          <w:jc w:val="center"/>
        </w:trPr>
        <w:tc>
          <w:tcPr>
            <w:tcW w:w="3633" w:type="dxa"/>
            <w:tcBorders>
              <w:top w:val="nil"/>
              <w:left w:val="single" w:sz="8" w:space="0" w:color="000000"/>
              <w:bottom w:val="single" w:sz="8" w:space="0" w:color="000000"/>
              <w:right w:val="single" w:sz="8" w:space="0" w:color="auto"/>
            </w:tcBorders>
            <w:tcMar>
              <w:top w:w="0" w:type="dxa"/>
              <w:left w:w="98" w:type="dxa"/>
              <w:bottom w:w="0" w:type="dxa"/>
              <w:right w:w="98"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总</w:t>
            </w:r>
            <w:r>
              <w:rPr>
                <w:rFonts w:ascii="Times New Roman" w:hAnsi="Times New Roman" w:cs="Times New Roman"/>
                <w:sz w:val="21"/>
                <w:szCs w:val="21"/>
              </w:rPr>
              <w:t> </w:t>
            </w:r>
            <w:r>
              <w:rPr>
                <w:rFonts w:hint="eastAsia"/>
                <w:sz w:val="21"/>
                <w:szCs w:val="21"/>
              </w:rPr>
              <w:t xml:space="preserve"> 计</w:t>
            </w:r>
          </w:p>
        </w:tc>
        <w:tc>
          <w:tcPr>
            <w:tcW w:w="1625" w:type="dxa"/>
            <w:tcBorders>
              <w:top w:val="nil"/>
              <w:left w:val="nil"/>
              <w:bottom w:val="single" w:sz="8" w:space="0" w:color="000000"/>
              <w:right w:val="single" w:sz="8" w:space="0" w:color="auto"/>
            </w:tcBorders>
            <w:tcMar>
              <w:top w:w="0" w:type="dxa"/>
              <w:left w:w="108" w:type="dxa"/>
              <w:bottom w:w="0" w:type="dxa"/>
              <w:right w:w="98" w:type="dxa"/>
            </w:tcMar>
            <w:vAlign w:val="center"/>
            <w:hideMark/>
          </w:tcPr>
          <w:p w:rsidR="00DC523B" w:rsidRDefault="005E7E0E">
            <w:pPr>
              <w:pStyle w:val="a5"/>
              <w:spacing w:before="0" w:beforeAutospacing="0" w:after="0" w:afterAutospacing="0"/>
              <w:jc w:val="center"/>
              <w:rPr>
                <w:sz w:val="21"/>
                <w:szCs w:val="21"/>
              </w:rPr>
            </w:pPr>
            <w:r>
              <w:rPr>
                <w:rFonts w:ascii="Times New Roman" w:hAnsi="Times New Roman" w:cs="Times New Roman"/>
                <w:sz w:val="21"/>
                <w:szCs w:val="21"/>
              </w:rPr>
              <w:t>15,000</w:t>
            </w:r>
          </w:p>
        </w:tc>
        <w:tc>
          <w:tcPr>
            <w:tcW w:w="1995" w:type="dxa"/>
            <w:tcBorders>
              <w:top w:val="nil"/>
              <w:left w:val="nil"/>
              <w:bottom w:val="single" w:sz="8" w:space="0" w:color="000000"/>
              <w:right w:val="single" w:sz="8" w:space="0" w:color="000000"/>
            </w:tcBorders>
            <w:tcMar>
              <w:top w:w="0" w:type="dxa"/>
              <w:left w:w="98" w:type="dxa"/>
              <w:bottom w:w="0" w:type="dxa"/>
              <w:right w:w="98" w:type="dxa"/>
            </w:tcMar>
            <w:vAlign w:val="center"/>
            <w:hideMark/>
          </w:tcPr>
          <w:p w:rsidR="00DC523B" w:rsidRDefault="005E7E0E">
            <w:pPr>
              <w:pStyle w:val="a5"/>
              <w:spacing w:before="0" w:beforeAutospacing="0" w:after="0" w:afterAutospacing="0"/>
              <w:jc w:val="center"/>
              <w:rPr>
                <w:sz w:val="21"/>
                <w:szCs w:val="21"/>
              </w:rPr>
            </w:pPr>
            <w:r>
              <w:rPr>
                <w:rFonts w:ascii="Times New Roman" w:hAnsi="Times New Roman" w:cs="Times New Roman"/>
                <w:sz w:val="21"/>
                <w:szCs w:val="21"/>
              </w:rPr>
              <w:t>100%</w:t>
            </w:r>
          </w:p>
        </w:tc>
      </w:tr>
    </w:tbl>
    <w:p w:rsidR="00DC523B" w:rsidRDefault="005E7E0E">
      <w:pPr>
        <w:pStyle w:val="a5"/>
        <w:spacing w:before="0" w:beforeAutospacing="0" w:after="0" w:afterAutospacing="0" w:line="480" w:lineRule="atLeast"/>
        <w:ind w:firstLine="408"/>
        <w:jc w:val="both"/>
      </w:pPr>
      <w:r>
        <w:rPr>
          <w:rFonts w:hint="eastAsia"/>
          <w:b/>
          <w:bCs/>
          <w:sz w:val="21"/>
          <w:szCs w:val="21"/>
        </w:rPr>
        <w:t>（二）主要人员情况</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1、基金管理人董事会成员</w:t>
      </w:r>
    </w:p>
    <w:p w:rsidR="00DC523B" w:rsidRDefault="005E7E0E">
      <w:pPr>
        <w:pStyle w:val="a5"/>
        <w:spacing w:before="75" w:beforeAutospacing="0" w:after="75" w:afterAutospacing="0" w:line="360" w:lineRule="auto"/>
        <w:ind w:firstLine="420"/>
        <w:rPr>
          <w:sz w:val="21"/>
          <w:szCs w:val="21"/>
        </w:rPr>
      </w:pPr>
      <w:r>
        <w:rPr>
          <w:rFonts w:hint="eastAsia"/>
          <w:sz w:val="21"/>
          <w:szCs w:val="21"/>
        </w:rPr>
        <w:t>何如先生，董事长，硕士，高级会计师，国籍：中国。历任中国电子器件公司深圳公司副总会计师兼财务处处长、总会计师、常务副总经理、总经理、党委书记，深圳发展银行行长助理、副行长、党委委员、副董事长、行长、党委副书记，现任国信证券股份有限公司董事长、党委书记，鹏华基金管理有限公司董事长。</w:t>
      </w:r>
    </w:p>
    <w:p w:rsidR="00DC523B" w:rsidRDefault="005E7E0E">
      <w:pPr>
        <w:pStyle w:val="a5"/>
        <w:spacing w:before="75" w:beforeAutospacing="0" w:after="75" w:afterAutospacing="0" w:line="360" w:lineRule="auto"/>
        <w:ind w:firstLine="420"/>
        <w:rPr>
          <w:sz w:val="21"/>
          <w:szCs w:val="21"/>
        </w:rPr>
      </w:pPr>
      <w:r>
        <w:rPr>
          <w:rFonts w:hint="eastAsia"/>
          <w:sz w:val="21"/>
          <w:szCs w:val="21"/>
        </w:rPr>
        <w:t>邓召明先生，党委书记、董事、总裁，经济学博士，讲师，国籍：中国。历任北京理工大学管理与经济学院讲师、中国兵器工业总公司主任科员、中国证监会处长、南方基金管理有限公司副总经理、中国证监会第六、七届发审委委员，现任鹏华基金管理有限公司党委书记、总裁。</w:t>
      </w:r>
    </w:p>
    <w:p w:rsidR="00DC523B" w:rsidRDefault="005E7E0E">
      <w:pPr>
        <w:pStyle w:val="a5"/>
        <w:spacing w:before="75" w:beforeAutospacing="0" w:after="75" w:afterAutospacing="0" w:line="360" w:lineRule="auto"/>
        <w:ind w:firstLine="420"/>
        <w:rPr>
          <w:sz w:val="21"/>
          <w:szCs w:val="21"/>
        </w:rPr>
      </w:pPr>
      <w:r>
        <w:rPr>
          <w:rFonts w:hint="eastAsia"/>
          <w:sz w:val="21"/>
          <w:szCs w:val="21"/>
        </w:rPr>
        <w:t>杜海江先生，董事，大学本科，国籍：中国。历任国信证券股份有限公司杭州萧然东路证券营业部电子商务部经理、杭州保俶路证券营业部总经理助理、浙江营销中心总经理、浙江管理总部总经理、杭州分公司总经理、浙江分公司总经理、公司总裁助理等职务。现任国信证券股份有限公司副总裁、经纪事业部总裁。</w:t>
      </w:r>
    </w:p>
    <w:p w:rsidR="00DC523B" w:rsidRDefault="005E7E0E">
      <w:pPr>
        <w:pStyle w:val="a5"/>
        <w:spacing w:before="75" w:beforeAutospacing="0" w:after="75" w:afterAutospacing="0" w:line="360" w:lineRule="auto"/>
        <w:ind w:firstLine="420"/>
        <w:rPr>
          <w:sz w:val="21"/>
          <w:szCs w:val="21"/>
        </w:rPr>
      </w:pPr>
      <w:r>
        <w:rPr>
          <w:rFonts w:hint="eastAsia"/>
          <w:sz w:val="21"/>
          <w:szCs w:val="21"/>
        </w:rPr>
        <w:t xml:space="preserve">周中国先生，董事，会计学硕士，高级会计师，注册会计师，国籍：中国。历任深圳华为技术有限公司定价中心经理助理、国信证券股份有限公司资金财务总部业务经理、深圳金地证券服务部财务经理、资金财务总部高级经理、总经理助理、副总经理、人力资源总部副总经理等职务。现任国信证券股份有限公司财务负责人、资金财务总部总经理兼人力资源总部总经理。 </w:t>
      </w:r>
    </w:p>
    <w:p w:rsidR="00DC523B" w:rsidRDefault="005E7E0E">
      <w:pPr>
        <w:pStyle w:val="a5"/>
        <w:spacing w:before="75" w:beforeAutospacing="0" w:after="75" w:afterAutospacing="0" w:line="360" w:lineRule="auto"/>
        <w:ind w:firstLine="420"/>
        <w:rPr>
          <w:sz w:val="21"/>
          <w:szCs w:val="21"/>
        </w:rPr>
      </w:pPr>
      <w:r>
        <w:rPr>
          <w:rFonts w:hint="eastAsia"/>
          <w:sz w:val="21"/>
          <w:szCs w:val="21"/>
        </w:rPr>
        <w:t>Massimo Mazzini先生，董事，经济和商学学士。国籍：意大利。曾在安达信（Arthur Andersen MBA）从事风险管理和资产管理工作，历任CA AIPG SGR投资总监、CAAM AI SGR及CA AIPG SGR首席执行官和投资总监、东方汇理资产管理股份有限公司（CAAM SGR）投资副总监、农业信贷另类投资集团（Credit Agricole Alternative Investments Group）国际执行委员会委员、意大利欧利盛资本资产管理股份公司（Eurizon Capital SGR S.p.A.）投资方案部投资总监、Epsilon 资产管理股份公司（Epsilon SGR）首席执行官，欧利盛资本股份公司（Eurizon Capital S.A.）（卢森堡）首席执行官和总经理。现任意大利欧利盛资本资产管理股份公司（Eurizon Capital SGR S.p.A.）市场及业务发展总监。</w:t>
      </w:r>
    </w:p>
    <w:p w:rsidR="00DC523B" w:rsidRDefault="005E7E0E">
      <w:pPr>
        <w:pStyle w:val="a5"/>
        <w:spacing w:before="75" w:beforeAutospacing="0" w:after="75" w:afterAutospacing="0" w:line="360" w:lineRule="auto"/>
        <w:ind w:firstLine="420"/>
        <w:rPr>
          <w:sz w:val="21"/>
          <w:szCs w:val="21"/>
        </w:rPr>
      </w:pPr>
      <w:r>
        <w:rPr>
          <w:rFonts w:hint="eastAsia"/>
          <w:sz w:val="21"/>
          <w:szCs w:val="21"/>
        </w:rPr>
        <w:t>Andrea Vismara先生，董事，法学学士，律师，国籍：意大利。曾在意大利多家律师事务所担任律师，先后在法国农业信贷集团（Credit Agricole Group）东方汇理资产管理股份有限公司（CAAM SGR）法务部、产品开发部，欧利盛资本资产管理股份公司（Eurizon Capital SGR S.p.A.）治理与股权部工作，现在担任意大利欧利盛资本资产管理股份公司（Eurizon Capital SGR S.p.A）董事会秘书兼任企业事务部总经理，欧利盛资本股份公司（Eurizon Capital S.A.）（卢森堡）企业服务部总经理。</w:t>
      </w:r>
    </w:p>
    <w:p w:rsidR="00DC523B" w:rsidRDefault="005E7E0E">
      <w:pPr>
        <w:pStyle w:val="a5"/>
        <w:spacing w:before="75" w:beforeAutospacing="0" w:after="75" w:afterAutospacing="0" w:line="360" w:lineRule="auto"/>
        <w:ind w:firstLine="420"/>
        <w:rPr>
          <w:sz w:val="21"/>
          <w:szCs w:val="21"/>
        </w:rPr>
      </w:pPr>
      <w:r>
        <w:rPr>
          <w:rFonts w:hint="eastAsia"/>
          <w:sz w:val="21"/>
          <w:szCs w:val="21"/>
        </w:rPr>
        <w:t>史际春先生，独立董事，法学博士，国籍：中国。历任安徽大学讲师、中国人民大学副教授，现任中国人民大学法学院教授、博士生导师，国务院特殊津贴专家，兼任中国法学会经济法学研究会副会长、北京市人大常委会和法制委员会委员。</w:t>
      </w:r>
    </w:p>
    <w:p w:rsidR="00DC523B" w:rsidRDefault="005E7E0E">
      <w:pPr>
        <w:pStyle w:val="a5"/>
        <w:spacing w:before="75" w:beforeAutospacing="0" w:after="75" w:afterAutospacing="0" w:line="360" w:lineRule="auto"/>
        <w:ind w:firstLine="420"/>
        <w:rPr>
          <w:sz w:val="21"/>
          <w:szCs w:val="21"/>
        </w:rPr>
      </w:pPr>
      <w:r>
        <w:rPr>
          <w:rFonts w:hint="eastAsia"/>
          <w:sz w:val="21"/>
          <w:szCs w:val="21"/>
        </w:rPr>
        <w:t>张元先生，独立董事，大学本科，国籍：中国。曾任新疆军区干事、秘书、编辑，甘肃省委研究室干事、副处长、处长、副主任，中央金融工作委员会研究室主任，中国银监会政策法规部（研究局）主任（局长）等职务；2005年6月至2007年12月，任中央国债登记结算有限责任公司董事长兼党委书记；2007年12月至2010年12月，任中央国债登记结算有限责任公司监事长兼党委副书记。</w:t>
      </w:r>
    </w:p>
    <w:p w:rsidR="00DC523B" w:rsidRDefault="005E7E0E">
      <w:pPr>
        <w:pStyle w:val="a5"/>
        <w:spacing w:before="75" w:beforeAutospacing="0" w:after="75" w:afterAutospacing="0" w:line="360" w:lineRule="auto"/>
        <w:ind w:firstLine="420"/>
        <w:rPr>
          <w:sz w:val="21"/>
          <w:szCs w:val="21"/>
        </w:rPr>
      </w:pPr>
      <w:r>
        <w:rPr>
          <w:rFonts w:hint="eastAsia"/>
          <w:sz w:val="21"/>
          <w:szCs w:val="21"/>
        </w:rPr>
        <w:t>高臻女士，独立董事，工商管理硕士，国籍：中国。曾任中国进出口银行副处长，负责贷款管理和运营，项目涉及制造业、能源、电信、跨国并购；2007年加入曼达林投资顾问有限公司，现任曼达林投资顾问有限公司执行合伙人。</w:t>
      </w:r>
    </w:p>
    <w:p w:rsidR="00DC523B" w:rsidRDefault="005E7E0E">
      <w:r>
        <w:rPr>
          <w:rFonts w:hint="eastAsia"/>
        </w:rPr>
        <w:t xml:space="preserve">  </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2、基金管理人监事会成员</w:t>
      </w:r>
    </w:p>
    <w:p w:rsidR="00DC523B" w:rsidRDefault="005E7E0E">
      <w:pPr>
        <w:pStyle w:val="a5"/>
        <w:spacing w:before="75" w:beforeAutospacing="0" w:after="75" w:afterAutospacing="0" w:line="360" w:lineRule="auto"/>
        <w:ind w:firstLine="420"/>
        <w:rPr>
          <w:sz w:val="21"/>
          <w:szCs w:val="21"/>
        </w:rPr>
      </w:pPr>
      <w:r>
        <w:rPr>
          <w:rFonts w:hint="eastAsia"/>
          <w:sz w:val="21"/>
          <w:szCs w:val="21"/>
        </w:rPr>
        <w:t>黄俞先生，监事会主席，研究生学历，国籍：中国。曾在中农信公司、正大财务公司工作，曾任鹏华基金管理有限公司董事、监事，现任深圳市北融信投资发展有限公司董事长。</w:t>
      </w:r>
    </w:p>
    <w:p w:rsidR="00DC523B" w:rsidRDefault="005E7E0E">
      <w:pPr>
        <w:pStyle w:val="a5"/>
        <w:spacing w:before="75" w:beforeAutospacing="0" w:after="75" w:afterAutospacing="0" w:line="360" w:lineRule="auto"/>
        <w:ind w:firstLine="420"/>
        <w:rPr>
          <w:sz w:val="21"/>
          <w:szCs w:val="21"/>
        </w:rPr>
      </w:pPr>
      <w:r>
        <w:rPr>
          <w:rFonts w:hint="eastAsia"/>
          <w:sz w:val="21"/>
          <w:szCs w:val="21"/>
        </w:rPr>
        <w:t>陈冰女士，监事，本科学历，国籍：中国。曾任国信证券股份有限公司资金财务部会计、上海营业部财务科副科长、资金财务部财务科副经理、资金财务部资金科经理、资金财务部主任会计师兼科经理、资金财务部总经理助理、资金财务总部副总经理等，现任国信证券资金财务总部副总经理兼资金运营部总经理、融资融券部总经理。</w:t>
      </w:r>
    </w:p>
    <w:p w:rsidR="00DC523B" w:rsidRDefault="005E7E0E">
      <w:pPr>
        <w:pStyle w:val="a5"/>
        <w:spacing w:before="75" w:beforeAutospacing="0" w:after="75" w:afterAutospacing="0" w:line="360" w:lineRule="auto"/>
        <w:ind w:firstLine="420"/>
        <w:rPr>
          <w:sz w:val="21"/>
          <w:szCs w:val="21"/>
        </w:rPr>
      </w:pPr>
      <w:r>
        <w:rPr>
          <w:rFonts w:hint="eastAsia"/>
          <w:sz w:val="21"/>
          <w:szCs w:val="21"/>
        </w:rPr>
        <w:t>SANDRO VESPRINI先生，监事，工商管理学士，国籍：意大利。先后在米兰军医院出纳部、税务师事务所、菲亚特汽车发动机和变速器平台管控管理团队工作、圣保罗IMI资产管理SGR企业经管部、圣保罗财富管理企业管控部工作、曾任欧利盛资本资产管理股份公司（Eurizon Capital SGR S.p.A.）财务管理和投资经理，现任欧利盛资本资产管理股份公司（Eurizon Capital SGR S.p.A.）财务负责人。</w:t>
      </w:r>
    </w:p>
    <w:p w:rsidR="00DC523B" w:rsidRDefault="005E7E0E">
      <w:pPr>
        <w:pStyle w:val="a5"/>
        <w:spacing w:before="75" w:beforeAutospacing="0" w:after="75" w:afterAutospacing="0" w:line="360" w:lineRule="auto"/>
        <w:ind w:firstLine="420"/>
        <w:rPr>
          <w:sz w:val="21"/>
          <w:szCs w:val="21"/>
        </w:rPr>
      </w:pPr>
      <w:r>
        <w:rPr>
          <w:rFonts w:hint="eastAsia"/>
          <w:sz w:val="21"/>
          <w:szCs w:val="21"/>
        </w:rPr>
        <w:t>于丹女士，职工监事，法学硕士，国籍：中国。历任北京市金杜(深圳)律师事务所律师；2011年7月加盟鹏华基金管理有限公司，历任监察稽核部法务主管，现任监察稽核部总经理助理。</w:t>
      </w:r>
    </w:p>
    <w:p w:rsidR="00DC523B" w:rsidRDefault="005E7E0E">
      <w:pPr>
        <w:pStyle w:val="a5"/>
        <w:spacing w:before="75" w:beforeAutospacing="0" w:after="75" w:afterAutospacing="0" w:line="360" w:lineRule="auto"/>
        <w:ind w:firstLine="420"/>
        <w:rPr>
          <w:sz w:val="21"/>
          <w:szCs w:val="21"/>
        </w:rPr>
      </w:pPr>
      <w:r>
        <w:rPr>
          <w:rFonts w:hint="eastAsia"/>
          <w:sz w:val="21"/>
          <w:szCs w:val="21"/>
        </w:rPr>
        <w:t>郝文高先生，职工监事，大专学历，国籍：中国。历任深圳奥尊电脑有限公司证券基金事业部副经理、招商基金管理有限公司基金事务部总监；2011年7月加盟鹏华基金管理有限公司，现任登记结算部总经理。</w:t>
      </w:r>
    </w:p>
    <w:p w:rsidR="00DC523B" w:rsidRDefault="005E7E0E">
      <w:pPr>
        <w:pStyle w:val="a5"/>
        <w:spacing w:before="75" w:beforeAutospacing="0" w:after="75" w:afterAutospacing="0" w:line="360" w:lineRule="auto"/>
        <w:ind w:firstLine="420"/>
        <w:rPr>
          <w:sz w:val="21"/>
          <w:szCs w:val="21"/>
        </w:rPr>
      </w:pPr>
      <w:r>
        <w:rPr>
          <w:rFonts w:hint="eastAsia"/>
          <w:sz w:val="21"/>
          <w:szCs w:val="21"/>
        </w:rPr>
        <w:t>刘嵚先生，职工监事，管理学硕士，国籍：中国。历任毕马威（中国）管理顾问公司咨询顾问，南方基金管理有限公司北京分公司副总经理；2014年10月加入鹏华基金管理有限公司，现任鹏华基金管理有限公司总裁助理、首席市场官兼市场发展部、北京分公司总经理。</w:t>
      </w:r>
    </w:p>
    <w:p w:rsidR="00DC523B" w:rsidRDefault="005E7E0E">
      <w:r>
        <w:rPr>
          <w:rFonts w:hint="eastAsia"/>
        </w:rPr>
        <w:t xml:space="preserve">  </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3、高级管理人员情况</w:t>
      </w:r>
    </w:p>
    <w:p w:rsidR="00DC523B" w:rsidRDefault="005E7E0E">
      <w:pPr>
        <w:pStyle w:val="a5"/>
        <w:spacing w:before="75" w:beforeAutospacing="0" w:after="75" w:afterAutospacing="0" w:line="360" w:lineRule="auto"/>
        <w:ind w:firstLine="420"/>
        <w:rPr>
          <w:sz w:val="21"/>
          <w:szCs w:val="21"/>
        </w:rPr>
      </w:pPr>
      <w:r>
        <w:rPr>
          <w:rFonts w:hint="eastAsia"/>
          <w:sz w:val="21"/>
          <w:szCs w:val="21"/>
        </w:rPr>
        <w:t>何如先生，董事长，硕士，高级会计师，国籍：中国。历任中国电子器件公司深圳公司副总会计师兼财务处处长、总会计师、常务副总经理、总经理、党委书记，深圳发展银行行长助理、副行长、党委委员、副董事长、行长、党委副书记，现任国信证券股份有限公司董事长、党委书记，鹏华基金管理有限公司董事长。</w:t>
      </w:r>
    </w:p>
    <w:p w:rsidR="00DC523B" w:rsidRDefault="005E7E0E">
      <w:pPr>
        <w:pStyle w:val="a5"/>
        <w:spacing w:before="75" w:beforeAutospacing="0" w:after="75" w:afterAutospacing="0" w:line="360" w:lineRule="auto"/>
        <w:ind w:firstLine="420"/>
        <w:rPr>
          <w:sz w:val="21"/>
          <w:szCs w:val="21"/>
        </w:rPr>
      </w:pPr>
      <w:r>
        <w:rPr>
          <w:rFonts w:hint="eastAsia"/>
          <w:sz w:val="21"/>
          <w:szCs w:val="21"/>
        </w:rPr>
        <w:t>邓召明先生，党委书记、董事、总裁，经济学博士，讲师，国籍：中国。历任北京理工大学管理与经济学院讲师、中国兵器工业总公司主任科员、中国证监会处长、南方基金管理有限公司副总经理、中国证监会第六、七届发审委委员，现任鹏华基金管理有限公司党委书记、总裁。</w:t>
      </w:r>
    </w:p>
    <w:p w:rsidR="00DC523B" w:rsidRDefault="005E7E0E">
      <w:pPr>
        <w:pStyle w:val="a5"/>
        <w:spacing w:before="75" w:beforeAutospacing="0" w:after="75" w:afterAutospacing="0" w:line="360" w:lineRule="auto"/>
        <w:ind w:firstLine="420"/>
        <w:rPr>
          <w:sz w:val="21"/>
          <w:szCs w:val="21"/>
        </w:rPr>
      </w:pPr>
      <w:r>
        <w:rPr>
          <w:rFonts w:hint="eastAsia"/>
          <w:sz w:val="21"/>
          <w:szCs w:val="21"/>
        </w:rPr>
        <w:t>高阳先生，党委副书记、副总裁，特许金融分析师（CFA），经济学硕士，国籍：中国。历任中国国际金融有限公司经理，博时基金管理有限公司博时价值增长基金基金经理、固定收益部总经理、基金裕泽基金经理、基金裕隆基金经理、股票投资部总经理，现任鹏华基金管理有限公司党委副书记、副总裁。</w:t>
      </w:r>
    </w:p>
    <w:p w:rsidR="00DC523B" w:rsidRDefault="005E7E0E">
      <w:pPr>
        <w:pStyle w:val="a5"/>
        <w:spacing w:before="75" w:beforeAutospacing="0" w:after="75" w:afterAutospacing="0" w:line="360" w:lineRule="auto"/>
        <w:ind w:firstLine="420"/>
        <w:rPr>
          <w:sz w:val="21"/>
          <w:szCs w:val="21"/>
        </w:rPr>
      </w:pPr>
      <w:r>
        <w:rPr>
          <w:rFonts w:hint="eastAsia"/>
          <w:sz w:val="21"/>
          <w:szCs w:val="21"/>
        </w:rPr>
        <w:t>邢彪先生，副总裁，工商管理硕士、法学硕士，国籍：中国。历任中国人民大学校办科员，中国证监会办公厅副处级秘书，全国社保基金理事会证券投资部处长、股权资产部（实业投资部）副主任，并于2014年至2015年期间担任中国证监会第16届主板发审委专职委员，现任鹏华基金管理有限公司副总裁。</w:t>
      </w:r>
    </w:p>
    <w:p w:rsidR="00DC523B" w:rsidRDefault="005E7E0E">
      <w:pPr>
        <w:pStyle w:val="a5"/>
        <w:spacing w:before="75" w:beforeAutospacing="0" w:after="75" w:afterAutospacing="0" w:line="360" w:lineRule="auto"/>
        <w:ind w:firstLine="420"/>
        <w:rPr>
          <w:sz w:val="21"/>
          <w:szCs w:val="21"/>
        </w:rPr>
      </w:pPr>
      <w:r>
        <w:rPr>
          <w:rFonts w:hint="eastAsia"/>
          <w:sz w:val="21"/>
          <w:szCs w:val="21"/>
        </w:rPr>
        <w:t>高鹏先生，副总裁，经济学硕士，国籍：中国。历任博时基金管理有限公司监察法律部监察稽核经理，鹏华基金管理有限公司监察稽核部副总经理、监察稽核部总经理、职工监事、督察长，现任鹏华基金管理有限公司副总裁。</w:t>
      </w:r>
    </w:p>
    <w:p w:rsidR="00DC523B" w:rsidRDefault="005E7E0E">
      <w:pPr>
        <w:pStyle w:val="a5"/>
        <w:spacing w:before="75" w:beforeAutospacing="0" w:after="75" w:afterAutospacing="0" w:line="360" w:lineRule="auto"/>
        <w:ind w:firstLine="420"/>
        <w:rPr>
          <w:sz w:val="21"/>
          <w:szCs w:val="21"/>
        </w:rPr>
      </w:pPr>
      <w:r>
        <w:rPr>
          <w:rFonts w:hint="eastAsia"/>
          <w:sz w:val="21"/>
          <w:szCs w:val="21"/>
        </w:rPr>
        <w:t>苏波先生，副总裁，管理学博士，国籍：中国。历任深圳经济特区证券公司研究所副所长、投资部经理，南方基金管理有限公司渠道服务二部总监助理，易方达基金管理有限公司信息技术部总经理助理，鹏华基金管理有限公司总裁助理、机构理财部总经理、职工监事，现任鹏华基金管理有限公司副总裁。</w:t>
      </w:r>
    </w:p>
    <w:p w:rsidR="00DC523B" w:rsidRDefault="005E7E0E">
      <w:pPr>
        <w:pStyle w:val="a5"/>
        <w:spacing w:before="75" w:beforeAutospacing="0" w:after="75" w:afterAutospacing="0" w:line="360" w:lineRule="auto"/>
        <w:ind w:firstLine="420"/>
        <w:rPr>
          <w:sz w:val="21"/>
          <w:szCs w:val="21"/>
        </w:rPr>
      </w:pPr>
      <w:r>
        <w:rPr>
          <w:rFonts w:hint="eastAsia"/>
          <w:sz w:val="21"/>
          <w:szCs w:val="21"/>
        </w:rPr>
        <w:t>高永杰先生，纪委书记，督察长，法学硕士，国籍：中国。历任中共中央办公厅秘书局干部，中国证监会办公厅新闻处干部、秘书处副处级秘书、发行监管部副处长、人事教育部副处长、处长，现任鹏华基金管理有限公司纪委书记、督察长。</w:t>
      </w:r>
    </w:p>
    <w:p w:rsidR="00DC523B" w:rsidRDefault="005E7E0E">
      <w:pPr>
        <w:pStyle w:val="a5"/>
        <w:spacing w:before="75" w:beforeAutospacing="0" w:after="75" w:afterAutospacing="0" w:line="360" w:lineRule="auto"/>
        <w:ind w:firstLine="420"/>
        <w:rPr>
          <w:sz w:val="21"/>
          <w:szCs w:val="21"/>
        </w:rPr>
      </w:pPr>
      <w:r>
        <w:rPr>
          <w:rFonts w:hint="eastAsia"/>
          <w:sz w:val="21"/>
          <w:szCs w:val="21"/>
        </w:rPr>
        <w:t>韩亚庆先生，副总经理，经济学硕士。国籍：中国。历任国家开发银行资金局主任科员，全国社保基金理事会投资部副调研员，南方基金管理有限公司固定收益部基金经理、固定收益部总监，现任鹏华基金管理有限公司副总裁、固定收益投资总监、固定收益部总经理。</w:t>
      </w:r>
    </w:p>
    <w:p w:rsidR="00DC523B" w:rsidRDefault="005E7E0E">
      <w:r>
        <w:rPr>
          <w:rFonts w:hint="eastAsia"/>
        </w:rPr>
        <w:t xml:space="preserve">  </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4、本基金基金经理</w:t>
      </w:r>
    </w:p>
    <w:p w:rsidR="00DC523B" w:rsidRDefault="005E7E0E">
      <w:pPr>
        <w:pStyle w:val="a5"/>
        <w:spacing w:before="75" w:beforeAutospacing="0" w:after="75" w:afterAutospacing="0" w:line="360" w:lineRule="auto"/>
        <w:ind w:firstLine="420"/>
        <w:rPr>
          <w:sz w:val="21"/>
          <w:szCs w:val="21"/>
        </w:rPr>
      </w:pPr>
      <w:r>
        <w:rPr>
          <w:rFonts w:hint="eastAsia"/>
          <w:sz w:val="21"/>
          <w:szCs w:val="21"/>
        </w:rPr>
        <w:t>邓明明先生，国籍中国，金融学硕士，5年证券从业经验。曾任融通基金管理有限公司固定收益研究员、专户投资经理；2019年1月加盟鹏华基金管理有限公司，从事债券研究分析工作，现担任公募债券投资部基金经理。2019年06月起担任鹏华永安定期开放债券基金基金经理，2019年08月担任鹏华金利债券基金基金经理，2019年10月担任鹏华尊享定期开放发起式债券基金基金经理，2019年11月担任鹏华丰达债券基金基金经理，2019年11月担任鹏华丰茂债券基金基金经理，2019年11月担任鹏华丰惠债券基金基金经理</w:t>
      </w:r>
      <w:bookmarkStart w:id="0" w:name="_GoBack"/>
      <w:bookmarkEnd w:id="0"/>
      <w:r>
        <w:rPr>
          <w:rFonts w:hint="eastAsia"/>
          <w:sz w:val="21"/>
          <w:szCs w:val="21"/>
        </w:rPr>
        <w:t>。邓明明先生具备基金从业资格。</w:t>
      </w:r>
    </w:p>
    <w:p w:rsidR="00DC523B" w:rsidRDefault="005E7E0E">
      <w:pPr>
        <w:pStyle w:val="a5"/>
        <w:spacing w:before="75" w:beforeAutospacing="0" w:after="75" w:afterAutospacing="0" w:line="360" w:lineRule="auto"/>
        <w:ind w:firstLine="420"/>
        <w:rPr>
          <w:sz w:val="21"/>
          <w:szCs w:val="21"/>
        </w:rPr>
      </w:pPr>
      <w:r>
        <w:rPr>
          <w:rFonts w:hint="eastAsia"/>
          <w:sz w:val="21"/>
          <w:szCs w:val="21"/>
        </w:rPr>
        <w:t>本基金基金经理管理的其他基金情况：</w:t>
      </w:r>
    </w:p>
    <w:p w:rsidR="00DC523B" w:rsidRDefault="005E7E0E">
      <w:pPr>
        <w:pStyle w:val="a5"/>
        <w:spacing w:before="75" w:beforeAutospacing="0" w:after="75" w:afterAutospacing="0" w:line="360" w:lineRule="auto"/>
        <w:ind w:firstLine="420"/>
        <w:rPr>
          <w:sz w:val="21"/>
          <w:szCs w:val="21"/>
        </w:rPr>
      </w:pPr>
      <w:r>
        <w:rPr>
          <w:rFonts w:hint="eastAsia"/>
          <w:sz w:val="21"/>
          <w:szCs w:val="21"/>
        </w:rPr>
        <w:t>2019年06月担任鹏华永安定期开放债券基金基金经理</w:t>
      </w:r>
    </w:p>
    <w:p w:rsidR="00DC523B" w:rsidRDefault="005E7E0E">
      <w:pPr>
        <w:pStyle w:val="a5"/>
        <w:spacing w:before="75" w:beforeAutospacing="0" w:after="75" w:afterAutospacing="0" w:line="360" w:lineRule="auto"/>
        <w:ind w:firstLine="420"/>
        <w:rPr>
          <w:sz w:val="21"/>
          <w:szCs w:val="21"/>
        </w:rPr>
      </w:pPr>
      <w:r>
        <w:rPr>
          <w:rFonts w:hint="eastAsia"/>
          <w:sz w:val="21"/>
          <w:szCs w:val="21"/>
        </w:rPr>
        <w:t>2019年08月担任鹏华金利债券基金基金经理</w:t>
      </w:r>
    </w:p>
    <w:p w:rsidR="00DC523B" w:rsidRDefault="005E7E0E">
      <w:pPr>
        <w:pStyle w:val="a5"/>
        <w:spacing w:before="75" w:beforeAutospacing="0" w:after="75" w:afterAutospacing="0" w:line="360" w:lineRule="auto"/>
        <w:ind w:firstLine="420"/>
        <w:rPr>
          <w:sz w:val="21"/>
          <w:szCs w:val="21"/>
        </w:rPr>
      </w:pPr>
      <w:r>
        <w:rPr>
          <w:rFonts w:hint="eastAsia"/>
          <w:sz w:val="21"/>
          <w:szCs w:val="21"/>
        </w:rPr>
        <w:t>2019年10月担任鹏华尊享定期开放发起式债券基金基金经理</w:t>
      </w:r>
    </w:p>
    <w:p w:rsidR="00DC523B" w:rsidRDefault="005E7E0E">
      <w:pPr>
        <w:pStyle w:val="a5"/>
        <w:spacing w:before="75" w:beforeAutospacing="0" w:after="75" w:afterAutospacing="0" w:line="360" w:lineRule="auto"/>
        <w:ind w:firstLine="420"/>
        <w:rPr>
          <w:sz w:val="21"/>
          <w:szCs w:val="21"/>
        </w:rPr>
      </w:pPr>
      <w:r>
        <w:rPr>
          <w:rFonts w:hint="eastAsia"/>
          <w:sz w:val="21"/>
          <w:szCs w:val="21"/>
        </w:rPr>
        <w:t>2019年11月担任鹏华丰茂债券基金基金经理</w:t>
      </w:r>
    </w:p>
    <w:p w:rsidR="00DC523B" w:rsidRDefault="005E7E0E">
      <w:pPr>
        <w:pStyle w:val="a5"/>
        <w:spacing w:before="75" w:beforeAutospacing="0" w:after="75" w:afterAutospacing="0" w:line="360" w:lineRule="auto"/>
        <w:ind w:firstLine="420"/>
        <w:rPr>
          <w:sz w:val="21"/>
          <w:szCs w:val="21"/>
        </w:rPr>
      </w:pPr>
      <w:r>
        <w:rPr>
          <w:rFonts w:hint="eastAsia"/>
          <w:sz w:val="21"/>
          <w:szCs w:val="21"/>
        </w:rPr>
        <w:t>2019年11月担任鹏华丰惠债券基金基金经理</w:t>
      </w:r>
    </w:p>
    <w:p w:rsidR="00DC523B" w:rsidRDefault="005E7E0E">
      <w:pPr>
        <w:pStyle w:val="a5"/>
        <w:spacing w:before="75" w:beforeAutospacing="0" w:after="75" w:afterAutospacing="0" w:line="360" w:lineRule="auto"/>
        <w:ind w:firstLine="420"/>
        <w:rPr>
          <w:sz w:val="21"/>
          <w:szCs w:val="21"/>
        </w:rPr>
      </w:pPr>
      <w:r>
        <w:rPr>
          <w:rFonts w:hint="eastAsia"/>
          <w:sz w:val="21"/>
          <w:szCs w:val="21"/>
        </w:rPr>
        <w:t>本基金历任的基金经理：</w:t>
      </w:r>
    </w:p>
    <w:p w:rsidR="00DC523B" w:rsidRDefault="005E7E0E">
      <w:pPr>
        <w:pStyle w:val="a5"/>
        <w:spacing w:before="75" w:beforeAutospacing="0" w:after="75" w:afterAutospacing="0" w:line="360" w:lineRule="auto"/>
        <w:ind w:firstLine="420"/>
        <w:rPr>
          <w:sz w:val="21"/>
          <w:szCs w:val="21"/>
        </w:rPr>
      </w:pPr>
      <w:r>
        <w:rPr>
          <w:rFonts w:hint="eastAsia"/>
          <w:sz w:val="21"/>
          <w:szCs w:val="21"/>
        </w:rPr>
        <w:t>2016年08月至2018年06月           刘太阳先生</w:t>
      </w:r>
    </w:p>
    <w:p w:rsidR="00DC523B" w:rsidRDefault="005E7E0E">
      <w:pPr>
        <w:pStyle w:val="a5"/>
        <w:spacing w:before="75" w:beforeAutospacing="0" w:after="75" w:afterAutospacing="0" w:line="360" w:lineRule="auto"/>
        <w:ind w:firstLine="420"/>
        <w:rPr>
          <w:sz w:val="21"/>
          <w:szCs w:val="21"/>
        </w:rPr>
      </w:pPr>
      <w:r>
        <w:rPr>
          <w:rFonts w:hint="eastAsia"/>
          <w:sz w:val="21"/>
          <w:szCs w:val="21"/>
        </w:rPr>
        <w:t>2017年02月至2018年06月           刘涛先生</w:t>
      </w:r>
    </w:p>
    <w:p w:rsidR="00DC523B" w:rsidRDefault="005E7E0E">
      <w:pPr>
        <w:pStyle w:val="a5"/>
        <w:spacing w:before="75" w:beforeAutospacing="0" w:after="75" w:afterAutospacing="0" w:line="360" w:lineRule="auto"/>
        <w:ind w:firstLine="420"/>
        <w:rPr>
          <w:sz w:val="21"/>
          <w:szCs w:val="21"/>
        </w:rPr>
      </w:pPr>
      <w:r>
        <w:rPr>
          <w:rFonts w:hint="eastAsia"/>
          <w:sz w:val="21"/>
          <w:szCs w:val="21"/>
        </w:rPr>
        <w:t>2018年02月至2019年01月           孙柠先生</w:t>
      </w:r>
    </w:p>
    <w:p w:rsidR="00DC523B" w:rsidRDefault="005E7E0E">
      <w:pPr>
        <w:pStyle w:val="a5"/>
        <w:spacing w:before="75" w:beforeAutospacing="0" w:after="75" w:afterAutospacing="0" w:line="360" w:lineRule="auto"/>
        <w:ind w:firstLine="420"/>
      </w:pPr>
      <w:r>
        <w:rPr>
          <w:rFonts w:hint="eastAsia"/>
          <w:sz w:val="21"/>
          <w:szCs w:val="21"/>
        </w:rPr>
        <w:t>2018年02月至2019年11月                      祝松先生</w:t>
      </w:r>
    </w:p>
    <w:p w:rsidR="00DC523B" w:rsidRDefault="005E7E0E">
      <w:r>
        <w:rPr>
          <w:rFonts w:hint="eastAsia"/>
        </w:rPr>
        <w:t xml:space="preserve">  </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5、投资决策委员会成员情况</w:t>
      </w:r>
    </w:p>
    <w:p w:rsidR="00DC523B" w:rsidRDefault="005E7E0E">
      <w:pPr>
        <w:pStyle w:val="a5"/>
        <w:spacing w:before="75" w:beforeAutospacing="0" w:after="75" w:afterAutospacing="0" w:line="360" w:lineRule="auto"/>
        <w:ind w:firstLine="420"/>
        <w:rPr>
          <w:sz w:val="21"/>
          <w:szCs w:val="21"/>
        </w:rPr>
      </w:pPr>
      <w:r>
        <w:rPr>
          <w:rFonts w:hint="eastAsia"/>
          <w:sz w:val="21"/>
          <w:szCs w:val="21"/>
        </w:rPr>
        <w:t>邓召明先生，鹏华基金管理有限公司党委书记、董事、总裁。</w:t>
      </w:r>
    </w:p>
    <w:p w:rsidR="00DC523B" w:rsidRDefault="005E7E0E">
      <w:pPr>
        <w:pStyle w:val="a5"/>
        <w:spacing w:before="75" w:beforeAutospacing="0" w:after="75" w:afterAutospacing="0" w:line="360" w:lineRule="auto"/>
        <w:ind w:firstLine="420"/>
        <w:rPr>
          <w:sz w:val="21"/>
          <w:szCs w:val="21"/>
        </w:rPr>
      </w:pPr>
      <w:r>
        <w:rPr>
          <w:rFonts w:hint="eastAsia"/>
          <w:sz w:val="21"/>
          <w:szCs w:val="21"/>
        </w:rPr>
        <w:t>高阳先生，鹏华基金管理有限公司党委副书记、副总裁。</w:t>
      </w:r>
    </w:p>
    <w:p w:rsidR="00DC523B" w:rsidRDefault="005E7E0E">
      <w:pPr>
        <w:pStyle w:val="a5"/>
        <w:spacing w:before="75" w:beforeAutospacing="0" w:after="75" w:afterAutospacing="0" w:line="360" w:lineRule="auto"/>
        <w:ind w:firstLine="420"/>
        <w:rPr>
          <w:sz w:val="21"/>
          <w:szCs w:val="21"/>
        </w:rPr>
      </w:pPr>
      <w:r>
        <w:rPr>
          <w:rFonts w:hint="eastAsia"/>
          <w:sz w:val="21"/>
          <w:szCs w:val="21"/>
        </w:rPr>
        <w:t>邢彪先生，鹏华基金管理有限公司副总裁。</w:t>
      </w:r>
    </w:p>
    <w:p w:rsidR="00DC523B" w:rsidRDefault="005E7E0E">
      <w:pPr>
        <w:pStyle w:val="a5"/>
        <w:spacing w:before="75" w:beforeAutospacing="0" w:after="75" w:afterAutospacing="0" w:line="360" w:lineRule="auto"/>
        <w:ind w:firstLine="420"/>
        <w:rPr>
          <w:sz w:val="21"/>
          <w:szCs w:val="21"/>
        </w:rPr>
      </w:pPr>
      <w:r>
        <w:rPr>
          <w:rFonts w:hint="eastAsia"/>
          <w:sz w:val="21"/>
          <w:szCs w:val="21"/>
        </w:rPr>
        <w:t>高鹏先生，鹏华基金管理有限公司副总裁。</w:t>
      </w:r>
    </w:p>
    <w:p w:rsidR="00DC523B" w:rsidRDefault="005E7E0E">
      <w:pPr>
        <w:pStyle w:val="a5"/>
        <w:spacing w:before="75" w:beforeAutospacing="0" w:after="75" w:afterAutospacing="0" w:line="360" w:lineRule="auto"/>
        <w:ind w:firstLine="420"/>
        <w:rPr>
          <w:sz w:val="21"/>
          <w:szCs w:val="21"/>
        </w:rPr>
      </w:pPr>
      <w:r>
        <w:rPr>
          <w:rFonts w:hint="eastAsia"/>
          <w:sz w:val="21"/>
          <w:szCs w:val="21"/>
        </w:rPr>
        <w:t>韩亚庆先生，鹏华基金管理有限公司副总裁。</w:t>
      </w:r>
    </w:p>
    <w:p w:rsidR="00DC523B" w:rsidRDefault="005E7E0E">
      <w:pPr>
        <w:pStyle w:val="a5"/>
        <w:spacing w:before="75" w:beforeAutospacing="0" w:after="75" w:afterAutospacing="0" w:line="360" w:lineRule="auto"/>
        <w:ind w:firstLine="420"/>
        <w:rPr>
          <w:sz w:val="21"/>
          <w:szCs w:val="21"/>
        </w:rPr>
      </w:pPr>
      <w:r>
        <w:rPr>
          <w:rFonts w:hint="eastAsia"/>
          <w:sz w:val="21"/>
          <w:szCs w:val="21"/>
        </w:rPr>
        <w:t>梁浩先生，鹏华基金管理有限公司研究部总经理，鹏华新兴产业混合、鹏华研究精选混合、鹏华创新驱动混合、鹏华研究驱动混合、鹏华研究智选混合基金经理。</w:t>
      </w:r>
    </w:p>
    <w:p w:rsidR="00DC523B" w:rsidRDefault="005E7E0E">
      <w:pPr>
        <w:pStyle w:val="a5"/>
        <w:spacing w:before="75" w:beforeAutospacing="0" w:after="75" w:afterAutospacing="0" w:line="360" w:lineRule="auto"/>
        <w:ind w:firstLine="420"/>
        <w:rPr>
          <w:sz w:val="21"/>
          <w:szCs w:val="21"/>
        </w:rPr>
      </w:pPr>
      <w:r>
        <w:rPr>
          <w:rFonts w:hint="eastAsia"/>
          <w:sz w:val="21"/>
          <w:szCs w:val="21"/>
        </w:rPr>
        <w:t>赵强先生，鹏华基金管理有限公司资产配置与基金投资部FOF投资副总监。</w:t>
      </w:r>
    </w:p>
    <w:p w:rsidR="00DC523B" w:rsidRDefault="005E7E0E">
      <w:r>
        <w:rPr>
          <w:rFonts w:hint="eastAsia"/>
        </w:rPr>
        <w:t xml:space="preserve">  </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6、上述人员之间不存在近亲属关系。</w:t>
      </w:r>
    </w:p>
    <w:p w:rsidR="00DC523B" w:rsidRDefault="005E7E0E">
      <w:pPr>
        <w:pStyle w:val="1"/>
        <w:spacing w:before="93" w:beforeAutospacing="0" w:after="93" w:afterAutospacing="0" w:line="360" w:lineRule="auto"/>
        <w:jc w:val="center"/>
      </w:pPr>
      <w:r>
        <w:rPr>
          <w:rStyle w:val="ac"/>
          <w:rFonts w:hint="eastAsia"/>
          <w:b/>
          <w:bCs/>
          <w:sz w:val="28"/>
          <w:szCs w:val="28"/>
        </w:rPr>
        <w:t>二、基金托管人</w:t>
      </w:r>
    </w:p>
    <w:p w:rsidR="00DC523B" w:rsidRDefault="005E7E0E">
      <w:pPr>
        <w:pStyle w:val="aa"/>
        <w:spacing w:line="360" w:lineRule="auto"/>
        <w:ind w:firstLineChars="200" w:firstLine="420"/>
        <w:outlineLvl w:val="0"/>
        <w:divId w:val="1109616863"/>
        <w:rPr>
          <w:rFonts w:asciiTheme="minorEastAsia" w:eastAsiaTheme="minorEastAsia" w:hAnsiTheme="minorEastAsia" w:cs="方正黑体_GBK"/>
          <w:bCs/>
        </w:rPr>
      </w:pPr>
      <w:r>
        <w:rPr>
          <w:rFonts w:asciiTheme="minorEastAsia" w:eastAsiaTheme="minorEastAsia" w:hAnsiTheme="minorEastAsia" w:cs="方正黑体_GBK" w:hint="eastAsia"/>
          <w:bCs/>
        </w:rPr>
        <w:t>一、基金托管人基本情况</w:t>
      </w:r>
    </w:p>
    <w:p w:rsidR="00DC523B" w:rsidRDefault="005E7E0E">
      <w:pPr>
        <w:pStyle w:val="aa"/>
        <w:spacing w:line="360" w:lineRule="auto"/>
        <w:ind w:firstLineChars="200" w:firstLine="420"/>
        <w:outlineLvl w:val="0"/>
        <w:divId w:val="1109616863"/>
        <w:rPr>
          <w:rFonts w:asciiTheme="minorEastAsia" w:eastAsiaTheme="minorEastAsia" w:hAnsiTheme="minorEastAsia" w:cs="方正楷体_GBK"/>
          <w:bCs/>
        </w:rPr>
      </w:pPr>
      <w:r>
        <w:rPr>
          <w:rFonts w:asciiTheme="minorEastAsia" w:eastAsiaTheme="minorEastAsia" w:hAnsiTheme="minorEastAsia" w:cs="方正楷体_GBK" w:hint="eastAsia"/>
          <w:bCs/>
        </w:rPr>
        <w:t>（一）基金托管人概况</w:t>
      </w:r>
    </w:p>
    <w:p w:rsidR="00DC523B" w:rsidRDefault="005E7E0E">
      <w:pPr>
        <w:pStyle w:val="2"/>
        <w:ind w:firstLine="420"/>
        <w:divId w:val="1109616863"/>
        <w:rPr>
          <w:rFonts w:asciiTheme="minorEastAsia" w:eastAsiaTheme="minorEastAsia" w:hAnsiTheme="minorEastAsia" w:cs="方正仿宋_GBK"/>
          <w:sz w:val="21"/>
          <w:szCs w:val="21"/>
        </w:rPr>
      </w:pPr>
      <w:r>
        <w:rPr>
          <w:rFonts w:asciiTheme="minorEastAsia" w:eastAsiaTheme="minorEastAsia" w:hAnsiTheme="minorEastAsia" w:cs="方正仿宋_GBK" w:hint="eastAsia"/>
          <w:sz w:val="21"/>
          <w:szCs w:val="21"/>
        </w:rPr>
        <w:t>公司法定中文名称：交通银行股份有限公司（简称：交通银行）</w:t>
      </w:r>
    </w:p>
    <w:p w:rsidR="00DC523B" w:rsidRDefault="005E7E0E">
      <w:pPr>
        <w:autoSpaceDE w:val="0"/>
        <w:autoSpaceDN w:val="0"/>
        <w:adjustRightInd w:val="0"/>
        <w:spacing w:line="360" w:lineRule="auto"/>
        <w:ind w:firstLineChars="200" w:firstLine="420"/>
        <w:divId w:val="1109616863"/>
        <w:rPr>
          <w:rFonts w:asciiTheme="minorEastAsia" w:eastAsiaTheme="minorEastAsia" w:hAnsiTheme="minorEastAsia" w:cs="方正仿宋_GBK"/>
          <w:color w:val="000000"/>
          <w:sz w:val="21"/>
          <w:szCs w:val="21"/>
        </w:rPr>
      </w:pPr>
      <w:r>
        <w:rPr>
          <w:rFonts w:asciiTheme="minorEastAsia" w:eastAsiaTheme="minorEastAsia" w:hAnsiTheme="minorEastAsia" w:cs="方正仿宋_GBK" w:hint="eastAsia"/>
          <w:color w:val="000000"/>
          <w:sz w:val="21"/>
          <w:szCs w:val="21"/>
        </w:rPr>
        <w:t>公司法定英文名称：BANK OF COMMUNICATIONS CO.,LTD</w:t>
      </w:r>
    </w:p>
    <w:p w:rsidR="00DC523B" w:rsidRDefault="005E7E0E">
      <w:pPr>
        <w:autoSpaceDE w:val="0"/>
        <w:autoSpaceDN w:val="0"/>
        <w:adjustRightInd w:val="0"/>
        <w:spacing w:line="360" w:lineRule="auto"/>
        <w:ind w:firstLineChars="200" w:firstLine="420"/>
        <w:divId w:val="1109616863"/>
        <w:rPr>
          <w:rFonts w:asciiTheme="minorEastAsia" w:eastAsiaTheme="minorEastAsia" w:hAnsiTheme="minorEastAsia" w:cs="方正仿宋_GBK"/>
          <w:color w:val="000000"/>
          <w:sz w:val="21"/>
          <w:szCs w:val="21"/>
        </w:rPr>
      </w:pPr>
      <w:r>
        <w:rPr>
          <w:rFonts w:asciiTheme="minorEastAsia" w:eastAsiaTheme="minorEastAsia" w:hAnsiTheme="minorEastAsia" w:cs="方正仿宋_GBK" w:hint="eastAsia"/>
          <w:color w:val="000000"/>
          <w:sz w:val="21"/>
          <w:szCs w:val="21"/>
        </w:rPr>
        <w:t>法定代表人：彭纯</w:t>
      </w:r>
    </w:p>
    <w:p w:rsidR="00DC523B" w:rsidRDefault="005E7E0E">
      <w:pPr>
        <w:autoSpaceDE w:val="0"/>
        <w:autoSpaceDN w:val="0"/>
        <w:adjustRightInd w:val="0"/>
        <w:spacing w:line="360" w:lineRule="auto"/>
        <w:ind w:firstLineChars="200" w:firstLine="420"/>
        <w:divId w:val="1109616863"/>
        <w:rPr>
          <w:rFonts w:asciiTheme="minorEastAsia" w:eastAsiaTheme="minorEastAsia" w:hAnsiTheme="minorEastAsia" w:cs="方正仿宋_GBK"/>
          <w:color w:val="000000"/>
          <w:sz w:val="21"/>
          <w:szCs w:val="21"/>
        </w:rPr>
      </w:pPr>
      <w:r>
        <w:rPr>
          <w:rFonts w:asciiTheme="minorEastAsia" w:eastAsiaTheme="minorEastAsia" w:hAnsiTheme="minorEastAsia" w:cs="方正仿宋_GBK" w:hint="eastAsia"/>
          <w:color w:val="000000"/>
          <w:sz w:val="21"/>
          <w:szCs w:val="21"/>
        </w:rPr>
        <w:t xml:space="preserve">住    所：中国（上海）自由贸易试验区银城中路188号 </w:t>
      </w:r>
    </w:p>
    <w:p w:rsidR="00DC523B" w:rsidRDefault="005E7E0E">
      <w:pPr>
        <w:autoSpaceDE w:val="0"/>
        <w:autoSpaceDN w:val="0"/>
        <w:adjustRightInd w:val="0"/>
        <w:spacing w:line="360" w:lineRule="auto"/>
        <w:ind w:firstLineChars="200" w:firstLine="420"/>
        <w:divId w:val="1109616863"/>
        <w:rPr>
          <w:rFonts w:asciiTheme="minorEastAsia" w:eastAsiaTheme="minorEastAsia" w:hAnsiTheme="minorEastAsia" w:cs="方正仿宋_GBK"/>
          <w:color w:val="000000"/>
          <w:sz w:val="21"/>
          <w:szCs w:val="21"/>
        </w:rPr>
      </w:pPr>
      <w:r>
        <w:rPr>
          <w:rFonts w:asciiTheme="minorEastAsia" w:eastAsiaTheme="minorEastAsia" w:hAnsiTheme="minorEastAsia" w:cs="方正仿宋_GBK" w:hint="eastAsia"/>
          <w:color w:val="000000"/>
          <w:sz w:val="21"/>
          <w:szCs w:val="21"/>
        </w:rPr>
        <w:t>办公地址：中国（上海）长宁区仙霞路18号</w:t>
      </w:r>
    </w:p>
    <w:p w:rsidR="00DC523B" w:rsidRDefault="005E7E0E">
      <w:pPr>
        <w:autoSpaceDE w:val="0"/>
        <w:autoSpaceDN w:val="0"/>
        <w:adjustRightInd w:val="0"/>
        <w:spacing w:line="360" w:lineRule="auto"/>
        <w:ind w:firstLineChars="200" w:firstLine="420"/>
        <w:divId w:val="1109616863"/>
        <w:rPr>
          <w:rFonts w:asciiTheme="minorEastAsia" w:eastAsiaTheme="minorEastAsia" w:hAnsiTheme="minorEastAsia" w:cs="方正仿宋_GBK"/>
          <w:color w:val="000000"/>
          <w:sz w:val="21"/>
          <w:szCs w:val="21"/>
        </w:rPr>
      </w:pPr>
      <w:r>
        <w:rPr>
          <w:rFonts w:asciiTheme="minorEastAsia" w:eastAsiaTheme="minorEastAsia" w:hAnsiTheme="minorEastAsia" w:cs="方正仿宋_GBK" w:hint="eastAsia"/>
          <w:color w:val="000000"/>
          <w:sz w:val="21"/>
          <w:szCs w:val="21"/>
        </w:rPr>
        <w:t>邮政编码：200336</w:t>
      </w:r>
    </w:p>
    <w:p w:rsidR="00DC523B" w:rsidRDefault="005E7E0E">
      <w:pPr>
        <w:autoSpaceDE w:val="0"/>
        <w:autoSpaceDN w:val="0"/>
        <w:adjustRightInd w:val="0"/>
        <w:spacing w:line="360" w:lineRule="auto"/>
        <w:ind w:firstLineChars="200" w:firstLine="420"/>
        <w:divId w:val="1109616863"/>
        <w:rPr>
          <w:rFonts w:asciiTheme="minorEastAsia" w:eastAsiaTheme="minorEastAsia" w:hAnsiTheme="minorEastAsia" w:cs="方正仿宋_GBK"/>
          <w:color w:val="000000"/>
          <w:sz w:val="21"/>
          <w:szCs w:val="21"/>
        </w:rPr>
      </w:pPr>
      <w:r>
        <w:rPr>
          <w:rFonts w:asciiTheme="minorEastAsia" w:eastAsiaTheme="minorEastAsia" w:hAnsiTheme="minorEastAsia" w:cs="方正仿宋_GBK" w:hint="eastAsia"/>
          <w:color w:val="000000"/>
          <w:sz w:val="21"/>
          <w:szCs w:val="21"/>
        </w:rPr>
        <w:t>注册时间：1987年3月30日</w:t>
      </w:r>
    </w:p>
    <w:p w:rsidR="00DC523B" w:rsidRDefault="005E7E0E">
      <w:pPr>
        <w:autoSpaceDE w:val="0"/>
        <w:autoSpaceDN w:val="0"/>
        <w:adjustRightInd w:val="0"/>
        <w:spacing w:line="360" w:lineRule="auto"/>
        <w:ind w:firstLineChars="200" w:firstLine="420"/>
        <w:divId w:val="1109616863"/>
        <w:rPr>
          <w:rFonts w:asciiTheme="minorEastAsia" w:eastAsiaTheme="minorEastAsia" w:hAnsiTheme="minorEastAsia" w:cs="方正仿宋_GBK"/>
          <w:sz w:val="21"/>
          <w:szCs w:val="21"/>
        </w:rPr>
      </w:pPr>
      <w:r>
        <w:rPr>
          <w:rFonts w:asciiTheme="minorEastAsia" w:eastAsiaTheme="minorEastAsia" w:hAnsiTheme="minorEastAsia" w:cs="方正仿宋_GBK" w:hint="eastAsia"/>
          <w:sz w:val="21"/>
          <w:szCs w:val="21"/>
        </w:rPr>
        <w:t>注册资本：</w:t>
      </w:r>
      <w:r>
        <w:rPr>
          <w:rFonts w:asciiTheme="minorEastAsia" w:eastAsiaTheme="minorEastAsia" w:hAnsiTheme="minorEastAsia" w:cs="方正仿宋_GBK" w:hint="eastAsia"/>
          <w:color w:val="000000"/>
          <w:sz w:val="21"/>
          <w:szCs w:val="21"/>
        </w:rPr>
        <w:t>742.63</w:t>
      </w:r>
      <w:r>
        <w:rPr>
          <w:rFonts w:asciiTheme="minorEastAsia" w:eastAsiaTheme="minorEastAsia" w:hAnsiTheme="minorEastAsia" w:cs="方正仿宋_GBK" w:hint="eastAsia"/>
          <w:sz w:val="21"/>
          <w:szCs w:val="21"/>
        </w:rPr>
        <w:t>亿元</w:t>
      </w:r>
    </w:p>
    <w:p w:rsidR="00DC523B" w:rsidRDefault="005E7E0E">
      <w:pPr>
        <w:autoSpaceDE w:val="0"/>
        <w:autoSpaceDN w:val="0"/>
        <w:adjustRightInd w:val="0"/>
        <w:spacing w:line="360" w:lineRule="auto"/>
        <w:ind w:firstLineChars="200" w:firstLine="420"/>
        <w:divId w:val="1109616863"/>
        <w:rPr>
          <w:rFonts w:asciiTheme="minorEastAsia" w:eastAsiaTheme="minorEastAsia" w:hAnsiTheme="minorEastAsia" w:cs="方正仿宋_GBK"/>
          <w:sz w:val="21"/>
          <w:szCs w:val="21"/>
        </w:rPr>
      </w:pPr>
      <w:r>
        <w:rPr>
          <w:rFonts w:asciiTheme="minorEastAsia" w:eastAsiaTheme="minorEastAsia" w:hAnsiTheme="minorEastAsia" w:cs="方正仿宋_GBK" w:hint="eastAsia"/>
          <w:sz w:val="21"/>
          <w:szCs w:val="21"/>
        </w:rPr>
        <w:t>基金托管资格批文及文号：中国证监会证监基字[1998]25号</w:t>
      </w:r>
    </w:p>
    <w:p w:rsidR="00DC523B" w:rsidRDefault="005E7E0E">
      <w:pPr>
        <w:autoSpaceDE w:val="0"/>
        <w:autoSpaceDN w:val="0"/>
        <w:adjustRightInd w:val="0"/>
        <w:spacing w:line="360" w:lineRule="auto"/>
        <w:ind w:firstLineChars="200" w:firstLine="420"/>
        <w:divId w:val="1109616863"/>
        <w:rPr>
          <w:rFonts w:asciiTheme="minorEastAsia" w:eastAsiaTheme="minorEastAsia" w:hAnsiTheme="minorEastAsia" w:cs="方正仿宋_GBK"/>
          <w:sz w:val="21"/>
          <w:szCs w:val="21"/>
        </w:rPr>
      </w:pPr>
      <w:r>
        <w:rPr>
          <w:rFonts w:asciiTheme="minorEastAsia" w:eastAsiaTheme="minorEastAsia" w:hAnsiTheme="minorEastAsia" w:cs="方正仿宋_GBK" w:hint="eastAsia"/>
          <w:sz w:val="21"/>
          <w:szCs w:val="21"/>
        </w:rPr>
        <w:t>联系人：陆志俊</w:t>
      </w:r>
    </w:p>
    <w:p w:rsidR="00DC523B" w:rsidRDefault="005E7E0E">
      <w:pPr>
        <w:autoSpaceDE w:val="0"/>
        <w:autoSpaceDN w:val="0"/>
        <w:adjustRightInd w:val="0"/>
        <w:spacing w:line="360" w:lineRule="auto"/>
        <w:ind w:firstLineChars="200" w:firstLine="420"/>
        <w:divId w:val="1109616863"/>
        <w:rPr>
          <w:rFonts w:asciiTheme="minorEastAsia" w:eastAsiaTheme="minorEastAsia" w:hAnsiTheme="minorEastAsia" w:cs="方正仿宋_GBK"/>
          <w:sz w:val="21"/>
          <w:szCs w:val="21"/>
        </w:rPr>
      </w:pPr>
      <w:r>
        <w:rPr>
          <w:rFonts w:asciiTheme="minorEastAsia" w:eastAsiaTheme="minorEastAsia" w:hAnsiTheme="minorEastAsia" w:cs="方正仿宋_GBK" w:hint="eastAsia"/>
          <w:sz w:val="21"/>
          <w:szCs w:val="21"/>
        </w:rPr>
        <w:t>电  话：95559</w:t>
      </w:r>
    </w:p>
    <w:p w:rsidR="00DC523B" w:rsidRDefault="00310FD0" w:rsidP="00515055">
      <w:pPr>
        <w:autoSpaceDE w:val="0"/>
        <w:autoSpaceDN w:val="0"/>
        <w:adjustRightInd w:val="0"/>
        <w:spacing w:line="360" w:lineRule="auto"/>
        <w:ind w:firstLineChars="200" w:firstLine="480"/>
        <w:divId w:val="1109616863"/>
        <w:rPr>
          <w:rFonts w:asciiTheme="minorEastAsia" w:eastAsiaTheme="minorEastAsia" w:hAnsiTheme="minorEastAsia" w:cs="方正仿宋_GBK"/>
          <w:sz w:val="21"/>
          <w:szCs w:val="21"/>
        </w:rPr>
      </w:pPr>
      <w:hyperlink r:id="rId7" w:tgtFrame="_blank" w:history="1">
        <w:r w:rsidR="005E7E0E">
          <w:rPr>
            <w:rStyle w:val="a3"/>
            <w:rFonts w:asciiTheme="minorEastAsia" w:eastAsiaTheme="minorEastAsia" w:hAnsiTheme="minorEastAsia" w:cs="方正仿宋_GBK" w:hint="eastAsia"/>
            <w:color w:val="auto"/>
            <w:sz w:val="21"/>
            <w:szCs w:val="21"/>
            <w:u w:val="none"/>
          </w:rPr>
          <w:t>交通银行</w:t>
        </w:r>
      </w:hyperlink>
      <w:r w:rsidR="005E7E0E">
        <w:rPr>
          <w:rFonts w:asciiTheme="minorEastAsia" w:eastAsiaTheme="minorEastAsia" w:hAnsiTheme="minorEastAsia" w:cs="方正仿宋_GBK" w:hint="eastAsia"/>
          <w:sz w:val="21"/>
          <w:szCs w:val="21"/>
        </w:rPr>
        <w:t>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根据2018年英国《银行家》杂志发布的全球千家大银行报告，交通银行一级资本位列第11位，连续五年跻身全球银行20强；根据2018年美国《财富》杂志发布的世界500强公司排行榜，交通银行营业收入位列第150位，较上年提升18位。</w:t>
      </w:r>
    </w:p>
    <w:p w:rsidR="00DC523B" w:rsidRDefault="005E7E0E">
      <w:pPr>
        <w:autoSpaceDE w:val="0"/>
        <w:autoSpaceDN w:val="0"/>
        <w:adjustRightInd w:val="0"/>
        <w:spacing w:line="360" w:lineRule="auto"/>
        <w:ind w:firstLineChars="200" w:firstLine="420"/>
        <w:divId w:val="1109616863"/>
        <w:rPr>
          <w:rFonts w:asciiTheme="minorEastAsia" w:eastAsiaTheme="minorEastAsia" w:hAnsiTheme="minorEastAsia" w:cs="方正仿宋_GBK"/>
          <w:sz w:val="21"/>
          <w:szCs w:val="21"/>
        </w:rPr>
      </w:pPr>
      <w:r>
        <w:rPr>
          <w:rFonts w:asciiTheme="minorEastAsia" w:eastAsiaTheme="minorEastAsia" w:hAnsiTheme="minorEastAsia" w:cs="方正仿宋_GBK" w:hint="eastAsia"/>
          <w:sz w:val="21"/>
          <w:szCs w:val="21"/>
        </w:rPr>
        <w:t>截至2019年6月30日，交通银行资产总额为人民币98,866.08亿元。2019年1-6月，交通银行实现净利润(归属于母公司股东)人民币427.49亿元。</w:t>
      </w:r>
    </w:p>
    <w:p w:rsidR="00DC523B" w:rsidRDefault="005E7E0E">
      <w:pPr>
        <w:autoSpaceDE w:val="0"/>
        <w:autoSpaceDN w:val="0"/>
        <w:adjustRightInd w:val="0"/>
        <w:spacing w:line="360" w:lineRule="auto"/>
        <w:ind w:firstLineChars="200" w:firstLine="420"/>
        <w:divId w:val="1109616863"/>
        <w:rPr>
          <w:rFonts w:asciiTheme="minorEastAsia" w:eastAsiaTheme="minorEastAsia" w:hAnsiTheme="minorEastAsia" w:cs="方正仿宋_GBK"/>
          <w:sz w:val="21"/>
          <w:szCs w:val="21"/>
        </w:rPr>
      </w:pPr>
      <w:r>
        <w:rPr>
          <w:rFonts w:asciiTheme="minorEastAsia" w:eastAsiaTheme="minorEastAsia" w:hAnsiTheme="minorEastAsia" w:cs="方正仿宋_GBK" w:hint="eastAsia"/>
          <w:sz w:val="21"/>
          <w:szCs w:val="21"/>
        </w:rPr>
        <w:t>交通银行总行设资产托管业务中心（下文简称“托管中心”）。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DC523B" w:rsidRDefault="005E7E0E">
      <w:pPr>
        <w:pStyle w:val="aa"/>
        <w:spacing w:line="360" w:lineRule="auto"/>
        <w:ind w:firstLineChars="200" w:firstLine="420"/>
        <w:outlineLvl w:val="0"/>
        <w:divId w:val="1109616863"/>
        <w:rPr>
          <w:rFonts w:asciiTheme="minorEastAsia" w:eastAsiaTheme="minorEastAsia" w:hAnsiTheme="minorEastAsia" w:cs="方正楷体_GBK"/>
          <w:bCs/>
        </w:rPr>
      </w:pPr>
      <w:r>
        <w:rPr>
          <w:rFonts w:asciiTheme="minorEastAsia" w:eastAsiaTheme="minorEastAsia" w:hAnsiTheme="minorEastAsia" w:cs="方正楷体_GBK" w:hint="eastAsia"/>
          <w:bCs/>
        </w:rPr>
        <w:t>（二）主要人员情况</w:t>
      </w:r>
    </w:p>
    <w:p w:rsidR="00DC523B" w:rsidRDefault="005E7E0E">
      <w:pPr>
        <w:autoSpaceDE w:val="0"/>
        <w:autoSpaceDN w:val="0"/>
        <w:adjustRightInd w:val="0"/>
        <w:spacing w:line="360" w:lineRule="auto"/>
        <w:ind w:firstLine="555"/>
        <w:divId w:val="1109616863"/>
        <w:rPr>
          <w:rFonts w:asciiTheme="minorEastAsia" w:eastAsiaTheme="minorEastAsia" w:hAnsiTheme="minorEastAsia" w:cs="方正仿宋_GBK"/>
          <w:sz w:val="21"/>
          <w:szCs w:val="21"/>
        </w:rPr>
      </w:pPr>
      <w:r>
        <w:rPr>
          <w:rFonts w:asciiTheme="minorEastAsia" w:eastAsiaTheme="minorEastAsia" w:hAnsiTheme="minorEastAsia" w:cs="方正仿宋_GBK" w:hint="eastAsia"/>
          <w:sz w:val="21"/>
          <w:szCs w:val="21"/>
        </w:rPr>
        <w:t>任德奇先生，副董事长、执行董事、行长，高级经济师。</w:t>
      </w:r>
    </w:p>
    <w:p w:rsidR="00DC523B" w:rsidRDefault="005E7E0E">
      <w:pPr>
        <w:autoSpaceDE w:val="0"/>
        <w:autoSpaceDN w:val="0"/>
        <w:adjustRightInd w:val="0"/>
        <w:spacing w:line="360" w:lineRule="auto"/>
        <w:ind w:firstLine="555"/>
        <w:divId w:val="1109616863"/>
        <w:rPr>
          <w:rFonts w:asciiTheme="minorEastAsia" w:eastAsiaTheme="minorEastAsia" w:hAnsiTheme="minorEastAsia" w:cs="方正仿宋_GBK"/>
          <w:sz w:val="21"/>
          <w:szCs w:val="21"/>
        </w:rPr>
      </w:pPr>
      <w:r>
        <w:rPr>
          <w:rFonts w:asciiTheme="minorEastAsia" w:eastAsiaTheme="minorEastAsia" w:hAnsiTheme="minorEastAsia" w:cs="方正仿宋_GBK" w:hint="eastAsia"/>
          <w:sz w:val="21"/>
          <w:szCs w:val="21"/>
        </w:rPr>
        <w:t>任先生2018年8月起任本行副董事长、执行董事、行长；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rsidR="00DC523B" w:rsidRDefault="005E7E0E">
      <w:pPr>
        <w:autoSpaceDE w:val="0"/>
        <w:autoSpaceDN w:val="0"/>
        <w:adjustRightInd w:val="0"/>
        <w:spacing w:line="360" w:lineRule="auto"/>
        <w:ind w:firstLine="555"/>
        <w:divId w:val="1109616863"/>
        <w:rPr>
          <w:rFonts w:asciiTheme="minorEastAsia" w:eastAsiaTheme="minorEastAsia" w:hAnsiTheme="minorEastAsia" w:cs="方正仿宋_GBK"/>
          <w:sz w:val="21"/>
          <w:szCs w:val="21"/>
        </w:rPr>
      </w:pPr>
      <w:r>
        <w:rPr>
          <w:rFonts w:asciiTheme="minorEastAsia" w:eastAsiaTheme="minorEastAsia" w:hAnsiTheme="minorEastAsia" w:cs="方正仿宋_GBK" w:hint="eastAsia"/>
          <w:sz w:val="21"/>
          <w:szCs w:val="21"/>
        </w:rPr>
        <w:t>袁庆伟女士，资产托管业务中心总裁，高级经济师。</w:t>
      </w:r>
    </w:p>
    <w:p w:rsidR="00DC523B" w:rsidRDefault="005E7E0E">
      <w:pPr>
        <w:autoSpaceDE w:val="0"/>
        <w:autoSpaceDN w:val="0"/>
        <w:adjustRightInd w:val="0"/>
        <w:spacing w:line="360" w:lineRule="auto"/>
        <w:ind w:firstLine="555"/>
        <w:divId w:val="1109616863"/>
        <w:rPr>
          <w:rFonts w:asciiTheme="minorEastAsia" w:eastAsiaTheme="minorEastAsia" w:hAnsiTheme="minorEastAsia" w:cs="方正仿宋_GBK"/>
          <w:sz w:val="21"/>
          <w:szCs w:val="21"/>
        </w:rPr>
      </w:pPr>
      <w:r>
        <w:rPr>
          <w:rFonts w:asciiTheme="minorEastAsia" w:eastAsiaTheme="minorEastAsia" w:hAnsiTheme="minorEastAsia" w:cs="方正仿宋_GBK" w:hint="eastAsia"/>
          <w:sz w:val="21"/>
          <w:szCs w:val="21"/>
        </w:rPr>
        <w:t>袁女士2015年8月起任本行资产托管业务中心总裁；2007年12月至2015年8月，历任本行资产托管部总经理助理、副总经理，本行资产托管业务中心副总裁；1999年12月至2007年12月，历任本行乌鲁木齐分行财务会计部副科长、科长、处长助理、副处长，会计结算部高级经理。袁女士1992年毕业于中国石油大学计算机科学系，获得学士学位，2005年于新疆财经学院获硕士学位。</w:t>
      </w:r>
    </w:p>
    <w:p w:rsidR="00DC523B" w:rsidRDefault="005E7E0E">
      <w:pPr>
        <w:pStyle w:val="aa"/>
        <w:spacing w:line="360" w:lineRule="auto"/>
        <w:ind w:firstLineChars="200" w:firstLine="420"/>
        <w:outlineLvl w:val="0"/>
        <w:divId w:val="1109616863"/>
        <w:rPr>
          <w:rFonts w:asciiTheme="minorEastAsia" w:eastAsiaTheme="minorEastAsia" w:hAnsiTheme="minorEastAsia" w:cs="方正楷体_GBK"/>
          <w:bCs/>
        </w:rPr>
      </w:pPr>
      <w:r>
        <w:rPr>
          <w:rFonts w:asciiTheme="minorEastAsia" w:eastAsiaTheme="minorEastAsia" w:hAnsiTheme="minorEastAsia" w:cs="方正楷体_GBK" w:hint="eastAsia"/>
          <w:bCs/>
        </w:rPr>
        <w:t>（三）基金托管业务经营情况</w:t>
      </w:r>
    </w:p>
    <w:p w:rsidR="00DC523B" w:rsidRDefault="005E7E0E">
      <w:pPr>
        <w:spacing w:line="360" w:lineRule="auto"/>
        <w:ind w:firstLineChars="200" w:firstLine="420"/>
        <w:divId w:val="1109616863"/>
        <w:rPr>
          <w:rFonts w:asciiTheme="minorEastAsia" w:eastAsiaTheme="minorEastAsia" w:hAnsiTheme="minorEastAsia" w:cs="方正仿宋_GBK"/>
          <w:color w:val="000000"/>
          <w:sz w:val="21"/>
          <w:szCs w:val="21"/>
          <w:lang w:val="zh-CN"/>
        </w:rPr>
      </w:pPr>
      <w:r>
        <w:rPr>
          <w:rFonts w:asciiTheme="minorEastAsia" w:eastAsiaTheme="minorEastAsia" w:hAnsiTheme="minorEastAsia" w:cs="方正仿宋_GBK" w:hint="eastAsia"/>
          <w:sz w:val="21"/>
          <w:szCs w:val="21"/>
        </w:rPr>
        <w:t>截至2019年6月30日，交通银行托管证券投资基金411只。此外，交通银行还托管了基金公司特定客户资产管理计划、证券公司客户资产管理计划、银行理财产品、信托计划、私募投资基金、保险资金、QDIE资金、全国社保基金、养老保障管理基金、企业年金基金、QFII证券投资资产、RQFII证券投资资产、QDII证券投资资产、RQDII证券投资资产和QDLP资金等产品。</w:t>
      </w:r>
    </w:p>
    <w:p w:rsidR="00DC523B" w:rsidRDefault="005E7E0E">
      <w:pPr>
        <w:pStyle w:val="aa"/>
        <w:spacing w:line="360" w:lineRule="auto"/>
        <w:ind w:firstLineChars="200" w:firstLine="420"/>
        <w:outlineLvl w:val="0"/>
        <w:divId w:val="1109616863"/>
        <w:rPr>
          <w:rFonts w:asciiTheme="minorEastAsia" w:eastAsiaTheme="minorEastAsia" w:hAnsiTheme="minorEastAsia" w:cs="方正黑体_GBK"/>
          <w:bCs/>
        </w:rPr>
      </w:pPr>
      <w:r>
        <w:rPr>
          <w:rFonts w:asciiTheme="minorEastAsia" w:eastAsiaTheme="minorEastAsia" w:hAnsiTheme="minorEastAsia" w:cs="方正黑体_GBK" w:hint="eastAsia"/>
          <w:bCs/>
        </w:rPr>
        <w:t>二、基金托管人的内部控制制度</w:t>
      </w:r>
    </w:p>
    <w:p w:rsidR="00DC523B" w:rsidRDefault="005E7E0E">
      <w:pPr>
        <w:pStyle w:val="aa"/>
        <w:spacing w:line="360" w:lineRule="auto"/>
        <w:ind w:firstLineChars="200" w:firstLine="420"/>
        <w:outlineLvl w:val="0"/>
        <w:divId w:val="1109616863"/>
        <w:rPr>
          <w:rFonts w:asciiTheme="minorEastAsia" w:eastAsiaTheme="minorEastAsia" w:hAnsiTheme="minorEastAsia" w:cs="方正楷体_GBK"/>
          <w:bCs/>
        </w:rPr>
      </w:pPr>
      <w:r>
        <w:rPr>
          <w:rFonts w:asciiTheme="minorEastAsia" w:eastAsiaTheme="minorEastAsia" w:hAnsiTheme="minorEastAsia" w:cs="方正楷体_GBK" w:hint="eastAsia"/>
          <w:bCs/>
        </w:rPr>
        <w:t>（一）内部控制目标</w:t>
      </w:r>
    </w:p>
    <w:p w:rsidR="00DC523B" w:rsidRDefault="005E7E0E">
      <w:pPr>
        <w:pStyle w:val="aa"/>
        <w:spacing w:line="360" w:lineRule="auto"/>
        <w:ind w:firstLineChars="200" w:firstLine="420"/>
        <w:divId w:val="1109616863"/>
        <w:rPr>
          <w:rFonts w:asciiTheme="minorEastAsia" w:eastAsiaTheme="minorEastAsia" w:hAnsiTheme="minorEastAsia" w:cs="方正仿宋_GBK"/>
        </w:rPr>
      </w:pPr>
      <w:r>
        <w:rPr>
          <w:rFonts w:asciiTheme="minorEastAsia" w:eastAsiaTheme="minorEastAsia" w:hAnsiTheme="minorEastAsia" w:cs="方正仿宋_GBK" w:hint="eastAsia"/>
        </w:rPr>
        <w:t>交通银行严格遵守国家法律法规、行业规章及行内相关管理规定，加强内部管理，托管中心业务制度健全并确保贯彻执行各项规章，通过对各种风险的识别、评估、控制及缓释，有效地实现对各项业务的风险管控，确保业务稳健运行，保护基金持有人的合法权益。</w:t>
      </w:r>
    </w:p>
    <w:p w:rsidR="00DC523B" w:rsidRDefault="005E7E0E">
      <w:pPr>
        <w:pStyle w:val="aa"/>
        <w:spacing w:line="360" w:lineRule="auto"/>
        <w:ind w:firstLineChars="200" w:firstLine="420"/>
        <w:outlineLvl w:val="0"/>
        <w:divId w:val="1109616863"/>
        <w:rPr>
          <w:rFonts w:asciiTheme="minorEastAsia" w:eastAsiaTheme="minorEastAsia" w:hAnsiTheme="minorEastAsia" w:cs="方正楷体_GBK"/>
          <w:bCs/>
        </w:rPr>
      </w:pPr>
      <w:r>
        <w:rPr>
          <w:rFonts w:asciiTheme="minorEastAsia" w:eastAsiaTheme="minorEastAsia" w:hAnsiTheme="minorEastAsia" w:cs="方正楷体_GBK" w:hint="eastAsia"/>
          <w:bCs/>
        </w:rPr>
        <w:t>（二）内部控制原则</w:t>
      </w:r>
    </w:p>
    <w:p w:rsidR="00DC523B" w:rsidRDefault="005E7E0E">
      <w:pPr>
        <w:pStyle w:val="aa"/>
        <w:spacing w:line="360" w:lineRule="auto"/>
        <w:ind w:firstLineChars="200" w:firstLine="420"/>
        <w:divId w:val="1109616863"/>
        <w:rPr>
          <w:rFonts w:asciiTheme="minorEastAsia" w:eastAsiaTheme="minorEastAsia" w:hAnsiTheme="minorEastAsia" w:cs="方正仿宋_GBK"/>
        </w:rPr>
      </w:pPr>
      <w:r>
        <w:rPr>
          <w:rFonts w:asciiTheme="minorEastAsia" w:eastAsiaTheme="minorEastAsia" w:hAnsiTheme="minorEastAsia" w:cs="方正仿宋_GBK" w:hint="eastAsia"/>
        </w:rPr>
        <w:t>1、合法性原则：托管中心制定的各项制度符合国家法律法规及监管机构的监管要求，并贯穿于托管业务经营管理活动始终。</w:t>
      </w:r>
    </w:p>
    <w:p w:rsidR="00DC523B" w:rsidRDefault="005E7E0E">
      <w:pPr>
        <w:pStyle w:val="aa"/>
        <w:spacing w:line="360" w:lineRule="auto"/>
        <w:ind w:firstLineChars="200" w:firstLine="420"/>
        <w:divId w:val="1109616863"/>
        <w:rPr>
          <w:rFonts w:asciiTheme="minorEastAsia" w:eastAsiaTheme="minorEastAsia" w:hAnsiTheme="minorEastAsia" w:cs="方正仿宋_GBK"/>
        </w:rPr>
      </w:pPr>
      <w:r>
        <w:rPr>
          <w:rFonts w:asciiTheme="minorEastAsia" w:eastAsiaTheme="minorEastAsia" w:hAnsiTheme="minorEastAsia" w:cs="方正仿宋_GBK" w:hint="eastAsia"/>
        </w:rPr>
        <w:t>2、全面性原则：托管中心建立各二级部自我监控和风险合规部风险管控的内部控制机制，覆盖各项业务、各个部门和各级人员，并渗透到决策、执行、监督、反馈等各个经营环节，建立全面的风险管理监督机制。</w:t>
      </w:r>
    </w:p>
    <w:p w:rsidR="00DC523B" w:rsidRDefault="005E7E0E">
      <w:pPr>
        <w:pStyle w:val="aa"/>
        <w:spacing w:line="360" w:lineRule="auto"/>
        <w:ind w:firstLineChars="200" w:firstLine="420"/>
        <w:divId w:val="1109616863"/>
        <w:rPr>
          <w:rFonts w:asciiTheme="minorEastAsia" w:eastAsiaTheme="minorEastAsia" w:hAnsiTheme="minorEastAsia" w:cs="方正仿宋_GBK"/>
        </w:rPr>
      </w:pPr>
      <w:r>
        <w:rPr>
          <w:rFonts w:asciiTheme="minorEastAsia" w:eastAsiaTheme="minorEastAsia" w:hAnsiTheme="minorEastAsia" w:cs="方正仿宋_GBK" w:hint="eastAsia"/>
        </w:rPr>
        <w:t>3、独立性原则：托管中心独立负责受托基金资产的保管，保证基金资产与交通银行的自有资产相互独立，对不同的受托基金资产分别设置账户，独立核算，分账管理。</w:t>
      </w:r>
    </w:p>
    <w:p w:rsidR="00DC523B" w:rsidRDefault="005E7E0E">
      <w:pPr>
        <w:pStyle w:val="aa"/>
        <w:spacing w:line="360" w:lineRule="auto"/>
        <w:ind w:firstLineChars="200" w:firstLine="420"/>
        <w:divId w:val="1109616863"/>
        <w:rPr>
          <w:rFonts w:asciiTheme="minorEastAsia" w:eastAsiaTheme="minorEastAsia" w:hAnsiTheme="minorEastAsia" w:cs="方正仿宋_GBK"/>
        </w:rPr>
      </w:pPr>
      <w:r>
        <w:rPr>
          <w:rFonts w:asciiTheme="minorEastAsia" w:eastAsiaTheme="minorEastAsia" w:hAnsiTheme="minorEastAsia" w:cs="方正仿宋_GBK" w:hint="eastAsia"/>
        </w:rPr>
        <w:t>4、制衡性原则：托管中心贯彻适当授权、相互制约的原则，从组织架构的设置上确保各二级部和各岗位权责分明、相互制约，并通过有效的相互制衡措施消除内部控制中的盲点。</w:t>
      </w:r>
    </w:p>
    <w:p w:rsidR="00DC523B" w:rsidRDefault="005E7E0E">
      <w:pPr>
        <w:pStyle w:val="aa"/>
        <w:spacing w:line="360" w:lineRule="auto"/>
        <w:ind w:firstLineChars="200" w:firstLine="420"/>
        <w:divId w:val="1109616863"/>
        <w:rPr>
          <w:rFonts w:asciiTheme="minorEastAsia" w:eastAsiaTheme="minorEastAsia" w:hAnsiTheme="minorEastAsia" w:cs="方正仿宋_GBK"/>
        </w:rPr>
      </w:pPr>
      <w:r>
        <w:rPr>
          <w:rFonts w:asciiTheme="minorEastAsia" w:eastAsiaTheme="minorEastAsia" w:hAnsiTheme="minorEastAsia" w:cs="方正仿宋_GBK" w:hint="eastAsia"/>
        </w:rPr>
        <w:t>5、有效性原则：托管中心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rsidR="00DC523B" w:rsidRDefault="005E7E0E">
      <w:pPr>
        <w:pStyle w:val="aa"/>
        <w:spacing w:line="360" w:lineRule="auto"/>
        <w:ind w:firstLineChars="200" w:firstLine="420"/>
        <w:divId w:val="1109616863"/>
        <w:rPr>
          <w:rFonts w:asciiTheme="minorEastAsia" w:eastAsiaTheme="minorEastAsia" w:hAnsiTheme="minorEastAsia" w:cs="方正仿宋_GBK"/>
        </w:rPr>
      </w:pPr>
      <w:r>
        <w:rPr>
          <w:rFonts w:asciiTheme="minorEastAsia" w:eastAsiaTheme="minorEastAsia" w:hAnsiTheme="minorEastAsia" w:cs="方正仿宋_GBK" w:hint="eastAsia"/>
        </w:rPr>
        <w:t>6、效益性原则：托管中心内部控制与基金托管规模、业务范围和业务运作环节的风险控制要求相适应，尽量降低经营运作成本，以合理的控制成本实现最佳的内部控制目标。</w:t>
      </w:r>
    </w:p>
    <w:p w:rsidR="00DC523B" w:rsidRDefault="005E7E0E">
      <w:pPr>
        <w:pStyle w:val="aa"/>
        <w:spacing w:line="360" w:lineRule="auto"/>
        <w:ind w:firstLineChars="200" w:firstLine="420"/>
        <w:outlineLvl w:val="0"/>
        <w:divId w:val="1109616863"/>
        <w:rPr>
          <w:rFonts w:asciiTheme="minorEastAsia" w:eastAsiaTheme="minorEastAsia" w:hAnsiTheme="minorEastAsia" w:cs="方正楷体_GBK"/>
          <w:bCs/>
        </w:rPr>
      </w:pPr>
      <w:r>
        <w:rPr>
          <w:rFonts w:asciiTheme="minorEastAsia" w:eastAsiaTheme="minorEastAsia" w:hAnsiTheme="minorEastAsia" w:cs="方正楷体_GBK" w:hint="eastAsia"/>
          <w:bCs/>
        </w:rPr>
        <w:t>（三）内部控制制度及措施</w:t>
      </w:r>
    </w:p>
    <w:p w:rsidR="00DC523B" w:rsidRDefault="005E7E0E">
      <w:pPr>
        <w:pStyle w:val="a9"/>
        <w:spacing w:line="360" w:lineRule="auto"/>
        <w:ind w:firstLineChars="200" w:firstLine="420"/>
        <w:divId w:val="1109616863"/>
        <w:rPr>
          <w:rFonts w:asciiTheme="minorEastAsia" w:eastAsiaTheme="minorEastAsia" w:hAnsiTheme="minorEastAsia" w:cs="方正仿宋_GBK"/>
          <w:sz w:val="21"/>
          <w:szCs w:val="21"/>
        </w:rPr>
      </w:pPr>
      <w:r>
        <w:rPr>
          <w:rFonts w:asciiTheme="minorEastAsia" w:eastAsiaTheme="minorEastAsia" w:hAnsiTheme="minorEastAsia" w:cs="方正仿宋_GBK" w:hint="eastAsia"/>
          <w:bCs/>
          <w:sz w:val="21"/>
          <w:szCs w:val="21"/>
        </w:rPr>
        <w:t>根据《证券投资基金法》、《中华人民共和国商业银行法》、《商业银行资产托管业务指引》等法律法规，托管中心制定了一整套严密、完整的证券投资基金托管管理规章制度，确保基金托管业务运行的规范、安全、高效，包括</w:t>
      </w:r>
      <w:r>
        <w:rPr>
          <w:rFonts w:asciiTheme="minorEastAsia" w:eastAsiaTheme="minorEastAsia" w:hAnsiTheme="minorEastAsia" w:cs="方正仿宋_GBK" w:hint="eastAsia"/>
          <w:sz w:val="21"/>
          <w:szCs w:val="21"/>
        </w:rPr>
        <w:t>《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w:t>
      </w:r>
      <w:r>
        <w:rPr>
          <w:rFonts w:asciiTheme="minorEastAsia" w:eastAsiaTheme="minorEastAsia" w:hAnsiTheme="minorEastAsia" w:cs="方正仿宋_GBK" w:hint="eastAsia"/>
          <w:color w:val="000000"/>
          <w:sz w:val="21"/>
          <w:szCs w:val="21"/>
        </w:rPr>
        <w:t>交通银行资产托管业务档案管理暂行办法</w:t>
      </w:r>
      <w:r>
        <w:rPr>
          <w:rFonts w:asciiTheme="minorEastAsia" w:eastAsiaTheme="minorEastAsia" w:hAnsiTheme="minorEastAsia" w:cs="方正仿宋_GBK" w:hint="eastAsia"/>
          <w:sz w:val="21"/>
          <w:szCs w:val="21"/>
        </w:rPr>
        <w:t xml:space="preserve">》等，并根据市场变化和基金业务的发展不断加以完善。做到业务分工科学合理，技术系统管理规范，业务管理制度健全，核心作业区实行封闭管理，落实各项安全隔离措施，相关信息披露由专人负责。 </w:t>
      </w:r>
    </w:p>
    <w:p w:rsidR="00DC523B" w:rsidRDefault="005E7E0E">
      <w:pPr>
        <w:pStyle w:val="a9"/>
        <w:spacing w:line="360" w:lineRule="auto"/>
        <w:ind w:firstLineChars="200" w:firstLine="420"/>
        <w:divId w:val="1109616863"/>
        <w:rPr>
          <w:rFonts w:asciiTheme="minorEastAsia" w:eastAsiaTheme="minorEastAsia" w:hAnsiTheme="minorEastAsia" w:cs="方正仿宋_GBK"/>
          <w:sz w:val="21"/>
          <w:szCs w:val="21"/>
        </w:rPr>
      </w:pPr>
      <w:r>
        <w:rPr>
          <w:rFonts w:asciiTheme="minorEastAsia" w:eastAsiaTheme="minorEastAsia" w:hAnsiTheme="minorEastAsia" w:cs="方正仿宋_GBK" w:hint="eastAsia"/>
          <w:sz w:val="21"/>
          <w:szCs w:val="21"/>
        </w:rPr>
        <w:t>托管中心通过对基金托管业务各环节的事前揭示、事中控制和事后检查措施实现全流程、全链条的风险管理，聘请国际著名会计师事务所对基金托管业务运行进行国际标准的内部控制评审。</w:t>
      </w:r>
    </w:p>
    <w:p w:rsidR="00DC523B" w:rsidRDefault="005E7E0E">
      <w:pPr>
        <w:pStyle w:val="aa"/>
        <w:spacing w:line="360" w:lineRule="auto"/>
        <w:ind w:firstLineChars="200" w:firstLine="420"/>
        <w:outlineLvl w:val="0"/>
        <w:divId w:val="1109616863"/>
        <w:rPr>
          <w:rFonts w:asciiTheme="minorEastAsia" w:eastAsiaTheme="minorEastAsia" w:hAnsiTheme="minorEastAsia" w:cs="方正黑体_GBK"/>
          <w:bCs/>
        </w:rPr>
      </w:pPr>
      <w:r>
        <w:rPr>
          <w:rFonts w:asciiTheme="minorEastAsia" w:eastAsiaTheme="minorEastAsia" w:hAnsiTheme="minorEastAsia" w:cs="方正黑体_GBK" w:hint="eastAsia"/>
          <w:bCs/>
        </w:rPr>
        <w:t>三、基金托管人对基金管理人运作基金进行监督的方法和程序</w:t>
      </w:r>
    </w:p>
    <w:p w:rsidR="00DC523B" w:rsidRDefault="005E7E0E">
      <w:pPr>
        <w:pStyle w:val="a9"/>
        <w:spacing w:line="360" w:lineRule="auto"/>
        <w:ind w:firstLineChars="200" w:firstLine="420"/>
        <w:divId w:val="1109616863"/>
        <w:rPr>
          <w:rFonts w:asciiTheme="minorEastAsia" w:eastAsiaTheme="minorEastAsia" w:hAnsiTheme="minorEastAsia" w:cs="方正仿宋_GBK"/>
          <w:sz w:val="21"/>
          <w:szCs w:val="21"/>
        </w:rPr>
      </w:pPr>
      <w:r>
        <w:rPr>
          <w:rFonts w:asciiTheme="minorEastAsia" w:eastAsiaTheme="minorEastAsia" w:hAnsiTheme="minorEastAsia" w:cs="方正仿宋_GBK" w:hint="eastAsia"/>
          <w:sz w:val="21"/>
          <w:szCs w:val="21"/>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w:t>
      </w:r>
    </w:p>
    <w:p w:rsidR="00DC523B" w:rsidRDefault="005E7E0E">
      <w:pPr>
        <w:pStyle w:val="a9"/>
        <w:spacing w:line="360" w:lineRule="auto"/>
        <w:ind w:firstLineChars="200" w:firstLine="420"/>
        <w:divId w:val="1109616863"/>
        <w:rPr>
          <w:rFonts w:asciiTheme="minorEastAsia" w:eastAsiaTheme="minorEastAsia" w:hAnsiTheme="minorEastAsia" w:cs="方正仿宋_GBK"/>
          <w:sz w:val="21"/>
          <w:szCs w:val="21"/>
        </w:rPr>
      </w:pPr>
      <w:r>
        <w:rPr>
          <w:rFonts w:asciiTheme="minorEastAsia" w:eastAsiaTheme="minorEastAsia" w:hAnsiTheme="minorEastAsia" w:cs="方正仿宋_GBK" w:hint="eastAsia"/>
          <w:sz w:val="21"/>
          <w:szCs w:val="21"/>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有权报告中国证监会。</w:t>
      </w:r>
    </w:p>
    <w:p w:rsidR="00DC523B" w:rsidRDefault="005E7E0E">
      <w:pPr>
        <w:pStyle w:val="a9"/>
        <w:spacing w:line="360" w:lineRule="auto"/>
        <w:ind w:firstLineChars="200" w:firstLine="420"/>
        <w:divId w:val="1109616863"/>
        <w:rPr>
          <w:rFonts w:asciiTheme="minorEastAsia" w:eastAsiaTheme="minorEastAsia" w:hAnsiTheme="minorEastAsia" w:cs="方正仿宋_GBK"/>
          <w:sz w:val="21"/>
          <w:szCs w:val="21"/>
        </w:rPr>
      </w:pPr>
      <w:r>
        <w:rPr>
          <w:rFonts w:asciiTheme="minorEastAsia" w:eastAsiaTheme="minorEastAsia" w:hAnsiTheme="minorEastAsia" w:cs="方正仿宋_GBK" w:hint="eastAsia"/>
          <w:sz w:val="21"/>
          <w:szCs w:val="21"/>
        </w:rPr>
        <w:t>交通银行作为基金托管人，发现基金管理人有重大违规行为，有权立即报告中国证监会，同时通知基金管理人限期纠正。</w:t>
      </w:r>
    </w:p>
    <w:p w:rsidR="00DC523B" w:rsidRDefault="005E7E0E">
      <w:pPr>
        <w:pStyle w:val="aa"/>
        <w:spacing w:line="360" w:lineRule="auto"/>
        <w:ind w:firstLineChars="200" w:firstLine="420"/>
        <w:outlineLvl w:val="0"/>
        <w:divId w:val="1109616863"/>
        <w:rPr>
          <w:rFonts w:asciiTheme="minorEastAsia" w:eastAsiaTheme="minorEastAsia" w:hAnsiTheme="minorEastAsia" w:cs="方正黑体_GBK"/>
          <w:bCs/>
        </w:rPr>
      </w:pPr>
      <w:r>
        <w:rPr>
          <w:rFonts w:asciiTheme="minorEastAsia" w:eastAsiaTheme="minorEastAsia" w:hAnsiTheme="minorEastAsia" w:cs="方正黑体_GBK" w:hint="eastAsia"/>
          <w:bCs/>
        </w:rPr>
        <w:t>四、其他事项</w:t>
      </w:r>
    </w:p>
    <w:p w:rsidR="00DC523B" w:rsidRDefault="005E7E0E">
      <w:pPr>
        <w:pStyle w:val="a5"/>
        <w:spacing w:before="0" w:beforeAutospacing="0" w:after="0" w:afterAutospacing="0" w:line="360" w:lineRule="auto"/>
        <w:ind w:firstLine="420"/>
        <w:jc w:val="both"/>
        <w:divId w:val="1109616863"/>
        <w:rPr>
          <w:sz w:val="21"/>
          <w:szCs w:val="21"/>
        </w:rPr>
      </w:pPr>
      <w:r>
        <w:rPr>
          <w:rFonts w:asciiTheme="minorEastAsia" w:eastAsiaTheme="minorEastAsia" w:hAnsiTheme="minorEastAsia" w:cs="方正仿宋_GBK" w:hint="eastAsia"/>
          <w:sz w:val="21"/>
          <w:szCs w:val="21"/>
        </w:rPr>
        <w:t>最近一年内交通银行及其负责资产托管业务的高级管理人员无重大违法违规行为，未受到中国人民银行、中国证监会、中国银保监会及其他有关机关的处罚。负责基金托管业务的高级管理人员在基金管理公司无兼职的情况。</w:t>
      </w:r>
    </w:p>
    <w:p w:rsidR="00DC523B" w:rsidRDefault="005E7E0E">
      <w:pPr>
        <w:pStyle w:val="1"/>
        <w:spacing w:before="93" w:beforeAutospacing="0" w:after="93" w:afterAutospacing="0" w:line="360" w:lineRule="auto"/>
        <w:jc w:val="center"/>
      </w:pPr>
      <w:r>
        <w:rPr>
          <w:rStyle w:val="ac"/>
          <w:rFonts w:hint="eastAsia"/>
          <w:b/>
          <w:bCs/>
          <w:sz w:val="28"/>
          <w:szCs w:val="28"/>
        </w:rPr>
        <w:t>三、相关服务机构</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一、基金份额销售机构</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1、直销机构</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（1）鹏华基金管理有限公司直销中心</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办公地址：深圳市福田区福华三路168号深圳国际商会中心43层</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联系电话：0755-82021233</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传真：0755-82021155</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联系人：吕奇志</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网址：www.phfund.com</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（2）鹏华基金管理有限公司北京分公司</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办公地址：北京市西城区金融大街甲9号金融街中心南楼502房</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联系电话：010-88082426</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传真：010-88082018</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联系人：张圆圆</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（3）鹏华基金管理有限公司上海分公司</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办公地址：上海市浦东新区花园石桥路33号花旗集团大厦801B室</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联系电话：021-68876878</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传真：021-68876821</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联系人：李化怡</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（4）鹏华基金管理有限公司武汉分公司</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办公地址：武汉市江汉区建设大道568号新世界国贸大厦I座3305室</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联系电话：027-85557881</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传真：027-85557973</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联系人：祁明兵</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（5）鹏华基金管理有限公司广州分公司</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办公地址：广州市天河区珠江新城华夏路10号富力中心24楼07单元</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联系电话：020-38927993</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传真：020-38927990</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联系人：周樱</w:t>
      </w:r>
    </w:p>
    <w:p w:rsidR="00DC523B" w:rsidRDefault="005E7E0E">
      <w:pPr>
        <w:spacing w:line="360" w:lineRule="auto"/>
        <w:ind w:firstLine="420"/>
        <w:jc w:val="both"/>
        <w:rPr>
          <w:sz w:val="21"/>
          <w:szCs w:val="21"/>
        </w:rPr>
      </w:pPr>
      <w:r>
        <w:rPr>
          <w:rFonts w:hint="eastAsia"/>
          <w:sz w:val="21"/>
          <w:szCs w:val="21"/>
        </w:rPr>
        <w:t>2、其他销售机构</w:t>
      </w:r>
    </w:p>
    <w:p w:rsidR="00DC523B" w:rsidRDefault="005E7E0E">
      <w:pPr>
        <w:spacing w:line="360" w:lineRule="auto"/>
        <w:ind w:firstLine="420"/>
        <w:jc w:val="both"/>
        <w:rPr>
          <w:sz w:val="21"/>
          <w:szCs w:val="21"/>
        </w:rPr>
      </w:pPr>
      <w:r>
        <w:rPr>
          <w:rFonts w:hint="eastAsia"/>
          <w:sz w:val="21"/>
          <w:szCs w:val="21"/>
        </w:rPr>
        <w:t>（1）证券公司销售机构</w:t>
      </w:r>
    </w:p>
    <w:p w:rsidR="00DC523B" w:rsidRDefault="005E7E0E">
      <w:pPr>
        <w:spacing w:line="360" w:lineRule="auto"/>
        <w:ind w:firstLine="420"/>
        <w:jc w:val="both"/>
        <w:rPr>
          <w:sz w:val="21"/>
          <w:szCs w:val="21"/>
        </w:rPr>
      </w:pPr>
      <w:r>
        <w:rPr>
          <w:rFonts w:hint="eastAsia"/>
          <w:sz w:val="21"/>
          <w:szCs w:val="21"/>
        </w:rPr>
        <w:t>1）中信建投证券股份有限公司</w:t>
      </w:r>
    </w:p>
    <w:p w:rsidR="00DC523B" w:rsidRDefault="005E7E0E">
      <w:pPr>
        <w:spacing w:line="360" w:lineRule="auto"/>
        <w:ind w:firstLine="420"/>
        <w:jc w:val="both"/>
        <w:rPr>
          <w:sz w:val="21"/>
          <w:szCs w:val="21"/>
        </w:rPr>
      </w:pPr>
      <w:r>
        <w:rPr>
          <w:rFonts w:hint="eastAsia"/>
          <w:sz w:val="21"/>
          <w:szCs w:val="21"/>
        </w:rPr>
        <w:t>注册地址：北京市朝阳区安立路66号4号楼</w:t>
      </w:r>
    </w:p>
    <w:p w:rsidR="00DC523B" w:rsidRDefault="005E7E0E">
      <w:pPr>
        <w:spacing w:line="360" w:lineRule="auto"/>
        <w:ind w:firstLine="420"/>
        <w:jc w:val="both"/>
        <w:rPr>
          <w:sz w:val="21"/>
          <w:szCs w:val="21"/>
        </w:rPr>
      </w:pPr>
      <w:r>
        <w:rPr>
          <w:rFonts w:hint="eastAsia"/>
          <w:sz w:val="21"/>
          <w:szCs w:val="21"/>
        </w:rPr>
        <w:t>办公地址：北京市朝阳门内大街188号</w:t>
      </w:r>
    </w:p>
    <w:p w:rsidR="00DC523B" w:rsidRDefault="005E7E0E">
      <w:pPr>
        <w:spacing w:line="360" w:lineRule="auto"/>
        <w:ind w:firstLine="420"/>
        <w:jc w:val="both"/>
        <w:rPr>
          <w:sz w:val="21"/>
          <w:szCs w:val="21"/>
        </w:rPr>
      </w:pPr>
      <w:r>
        <w:rPr>
          <w:rFonts w:hint="eastAsia"/>
          <w:sz w:val="21"/>
          <w:szCs w:val="21"/>
        </w:rPr>
        <w:t>法定代表人：王常青</w:t>
      </w:r>
    </w:p>
    <w:p w:rsidR="00DC523B" w:rsidRDefault="005E7E0E">
      <w:pPr>
        <w:spacing w:line="360" w:lineRule="auto"/>
        <w:ind w:firstLine="420"/>
        <w:jc w:val="both"/>
        <w:rPr>
          <w:sz w:val="21"/>
          <w:szCs w:val="21"/>
        </w:rPr>
      </w:pPr>
      <w:r>
        <w:rPr>
          <w:rFonts w:hint="eastAsia"/>
          <w:sz w:val="21"/>
          <w:szCs w:val="21"/>
        </w:rPr>
        <w:t>联系人：刘畅</w:t>
      </w:r>
    </w:p>
    <w:p w:rsidR="00DC523B" w:rsidRDefault="005E7E0E">
      <w:pPr>
        <w:spacing w:line="360" w:lineRule="auto"/>
        <w:ind w:firstLine="420"/>
        <w:jc w:val="both"/>
        <w:rPr>
          <w:sz w:val="21"/>
          <w:szCs w:val="21"/>
        </w:rPr>
      </w:pPr>
      <w:r>
        <w:rPr>
          <w:rFonts w:hint="eastAsia"/>
          <w:sz w:val="21"/>
          <w:szCs w:val="21"/>
        </w:rPr>
        <w:t>客户服务电话：95587/4008-888-108</w:t>
      </w:r>
    </w:p>
    <w:p w:rsidR="00DC523B" w:rsidRDefault="005E7E0E">
      <w:pPr>
        <w:spacing w:line="360" w:lineRule="auto"/>
        <w:ind w:firstLine="420"/>
        <w:jc w:val="both"/>
        <w:rPr>
          <w:sz w:val="21"/>
          <w:szCs w:val="21"/>
        </w:rPr>
      </w:pPr>
      <w:r>
        <w:rPr>
          <w:rFonts w:hint="eastAsia"/>
          <w:sz w:val="21"/>
          <w:szCs w:val="21"/>
        </w:rPr>
        <w:t>网址：www.csc108.com</w:t>
      </w:r>
    </w:p>
    <w:p w:rsidR="00DC523B" w:rsidRDefault="005E7E0E">
      <w:pPr>
        <w:spacing w:line="360" w:lineRule="auto"/>
        <w:ind w:firstLine="420"/>
        <w:jc w:val="both"/>
        <w:rPr>
          <w:sz w:val="21"/>
          <w:szCs w:val="21"/>
        </w:rPr>
      </w:pPr>
      <w:r>
        <w:rPr>
          <w:rFonts w:hint="eastAsia"/>
          <w:sz w:val="21"/>
          <w:szCs w:val="21"/>
        </w:rPr>
        <w:t>（2）第三方销售机构</w:t>
      </w:r>
    </w:p>
    <w:p w:rsidR="00DC523B" w:rsidRDefault="005E7E0E">
      <w:pPr>
        <w:spacing w:line="360" w:lineRule="auto"/>
        <w:ind w:firstLine="420"/>
        <w:jc w:val="both"/>
        <w:rPr>
          <w:sz w:val="21"/>
          <w:szCs w:val="21"/>
        </w:rPr>
      </w:pPr>
      <w:r>
        <w:rPr>
          <w:rFonts w:hint="eastAsia"/>
          <w:sz w:val="21"/>
          <w:szCs w:val="21"/>
        </w:rPr>
        <w:t>1）北京百度百盈基金销售有限公司</w:t>
      </w:r>
    </w:p>
    <w:p w:rsidR="00DC523B" w:rsidRDefault="005E7E0E">
      <w:pPr>
        <w:spacing w:line="360" w:lineRule="auto"/>
        <w:ind w:firstLine="420"/>
        <w:jc w:val="both"/>
        <w:rPr>
          <w:sz w:val="21"/>
          <w:szCs w:val="21"/>
        </w:rPr>
      </w:pPr>
      <w:r>
        <w:rPr>
          <w:rFonts w:hint="eastAsia"/>
          <w:sz w:val="21"/>
          <w:szCs w:val="21"/>
        </w:rPr>
        <w:t>注册地址：北京市海淀区上地十街10号百度大厦2层</w:t>
      </w:r>
    </w:p>
    <w:p w:rsidR="00DC523B" w:rsidRDefault="005E7E0E">
      <w:pPr>
        <w:spacing w:line="360" w:lineRule="auto"/>
        <w:ind w:firstLine="420"/>
        <w:jc w:val="both"/>
        <w:rPr>
          <w:sz w:val="21"/>
          <w:szCs w:val="21"/>
        </w:rPr>
      </w:pPr>
      <w:r>
        <w:rPr>
          <w:rFonts w:hint="eastAsia"/>
          <w:sz w:val="21"/>
          <w:szCs w:val="21"/>
        </w:rPr>
        <w:t>办公地址：北京市海淀区上地十街10号</w:t>
      </w:r>
    </w:p>
    <w:p w:rsidR="00DC523B" w:rsidRDefault="005E7E0E">
      <w:pPr>
        <w:spacing w:line="360" w:lineRule="auto"/>
        <w:ind w:firstLine="420"/>
        <w:jc w:val="both"/>
        <w:rPr>
          <w:sz w:val="21"/>
          <w:szCs w:val="21"/>
        </w:rPr>
      </w:pPr>
      <w:r>
        <w:rPr>
          <w:rFonts w:hint="eastAsia"/>
          <w:sz w:val="21"/>
          <w:szCs w:val="21"/>
        </w:rPr>
        <w:t>法定代表人：梁志祥</w:t>
      </w:r>
    </w:p>
    <w:p w:rsidR="00DC523B" w:rsidRDefault="005E7E0E">
      <w:pPr>
        <w:spacing w:line="360" w:lineRule="auto"/>
        <w:ind w:firstLine="420"/>
        <w:jc w:val="both"/>
        <w:rPr>
          <w:sz w:val="21"/>
          <w:szCs w:val="21"/>
        </w:rPr>
      </w:pPr>
      <w:r>
        <w:rPr>
          <w:rFonts w:hint="eastAsia"/>
          <w:sz w:val="21"/>
          <w:szCs w:val="21"/>
        </w:rPr>
        <w:t>联系人：王笑宇</w:t>
      </w:r>
    </w:p>
    <w:p w:rsidR="00DC523B" w:rsidRDefault="005E7E0E">
      <w:pPr>
        <w:spacing w:line="360" w:lineRule="auto"/>
        <w:ind w:firstLine="420"/>
        <w:jc w:val="both"/>
        <w:rPr>
          <w:sz w:val="21"/>
          <w:szCs w:val="21"/>
        </w:rPr>
      </w:pPr>
      <w:r>
        <w:rPr>
          <w:rFonts w:hint="eastAsia"/>
          <w:sz w:val="21"/>
          <w:szCs w:val="21"/>
        </w:rPr>
        <w:t>客户服务电话：95055</w:t>
      </w:r>
    </w:p>
    <w:p w:rsidR="00DC523B" w:rsidRDefault="005E7E0E">
      <w:pPr>
        <w:spacing w:line="360" w:lineRule="auto"/>
        <w:ind w:firstLine="420"/>
        <w:jc w:val="both"/>
        <w:rPr>
          <w:sz w:val="21"/>
          <w:szCs w:val="21"/>
        </w:rPr>
      </w:pPr>
      <w:r>
        <w:rPr>
          <w:rFonts w:hint="eastAsia"/>
          <w:sz w:val="21"/>
          <w:szCs w:val="21"/>
        </w:rPr>
        <w:t>网址：https://www.baiyingfund.com/</w:t>
      </w:r>
    </w:p>
    <w:p w:rsidR="00DC523B" w:rsidRDefault="005E7E0E">
      <w:pPr>
        <w:spacing w:line="360" w:lineRule="auto"/>
        <w:ind w:firstLine="420"/>
        <w:jc w:val="both"/>
        <w:rPr>
          <w:sz w:val="21"/>
          <w:szCs w:val="21"/>
        </w:rPr>
      </w:pPr>
      <w:r>
        <w:rPr>
          <w:rFonts w:hint="eastAsia"/>
          <w:sz w:val="21"/>
          <w:szCs w:val="21"/>
        </w:rPr>
        <w:t>2）上海基煜基金销售有限公司</w:t>
      </w:r>
    </w:p>
    <w:p w:rsidR="00DC523B" w:rsidRDefault="005E7E0E">
      <w:pPr>
        <w:spacing w:line="360" w:lineRule="auto"/>
        <w:ind w:firstLine="420"/>
        <w:jc w:val="both"/>
        <w:rPr>
          <w:sz w:val="21"/>
          <w:szCs w:val="21"/>
        </w:rPr>
      </w:pPr>
      <w:r>
        <w:rPr>
          <w:rFonts w:hint="eastAsia"/>
          <w:sz w:val="21"/>
          <w:szCs w:val="21"/>
        </w:rPr>
        <w:t>注册地址：上海市崇明县长兴镇潘园公路1800号2号楼6153室（上海泰和经济发展区）</w:t>
      </w:r>
    </w:p>
    <w:p w:rsidR="00DC523B" w:rsidRDefault="005E7E0E">
      <w:pPr>
        <w:spacing w:line="360" w:lineRule="auto"/>
        <w:ind w:firstLine="420"/>
        <w:jc w:val="both"/>
        <w:rPr>
          <w:sz w:val="21"/>
          <w:szCs w:val="21"/>
        </w:rPr>
      </w:pPr>
      <w:r>
        <w:rPr>
          <w:rFonts w:hint="eastAsia"/>
          <w:sz w:val="21"/>
          <w:szCs w:val="21"/>
        </w:rPr>
        <w:t>办公地址：上海市浦东新区银城中路488号太平金融大厦1503室</w:t>
      </w:r>
    </w:p>
    <w:p w:rsidR="00DC523B" w:rsidRDefault="005E7E0E">
      <w:pPr>
        <w:spacing w:line="360" w:lineRule="auto"/>
        <w:ind w:firstLine="420"/>
        <w:jc w:val="both"/>
        <w:rPr>
          <w:sz w:val="21"/>
          <w:szCs w:val="21"/>
        </w:rPr>
      </w:pPr>
      <w:r>
        <w:rPr>
          <w:rFonts w:hint="eastAsia"/>
          <w:sz w:val="21"/>
          <w:szCs w:val="21"/>
        </w:rPr>
        <w:t>法定代表人：王翔</w:t>
      </w:r>
    </w:p>
    <w:p w:rsidR="00DC523B" w:rsidRDefault="005E7E0E">
      <w:pPr>
        <w:spacing w:line="360" w:lineRule="auto"/>
        <w:ind w:firstLine="420"/>
        <w:jc w:val="both"/>
        <w:rPr>
          <w:sz w:val="21"/>
          <w:szCs w:val="21"/>
        </w:rPr>
      </w:pPr>
      <w:r>
        <w:rPr>
          <w:rFonts w:hint="eastAsia"/>
          <w:sz w:val="21"/>
          <w:szCs w:val="21"/>
        </w:rPr>
        <w:t>联系人：吴鸿飞</w:t>
      </w:r>
    </w:p>
    <w:p w:rsidR="00DC523B" w:rsidRDefault="005E7E0E">
      <w:pPr>
        <w:spacing w:line="360" w:lineRule="auto"/>
        <w:ind w:firstLine="420"/>
        <w:jc w:val="both"/>
        <w:rPr>
          <w:sz w:val="21"/>
          <w:szCs w:val="21"/>
        </w:rPr>
      </w:pPr>
      <w:r>
        <w:rPr>
          <w:rFonts w:hint="eastAsia"/>
          <w:sz w:val="21"/>
          <w:szCs w:val="21"/>
        </w:rPr>
        <w:t>客户服务电话：400-820-5369</w:t>
      </w:r>
    </w:p>
    <w:p w:rsidR="00DC523B" w:rsidRDefault="005E7E0E">
      <w:pPr>
        <w:spacing w:line="360" w:lineRule="auto"/>
        <w:ind w:firstLine="420"/>
        <w:jc w:val="both"/>
        <w:rPr>
          <w:sz w:val="21"/>
          <w:szCs w:val="21"/>
        </w:rPr>
      </w:pPr>
      <w:r>
        <w:rPr>
          <w:rFonts w:hint="eastAsia"/>
          <w:sz w:val="21"/>
          <w:szCs w:val="21"/>
        </w:rPr>
        <w:t>网址：www.jiyufund.com.cn</w:t>
      </w:r>
    </w:p>
    <w:p w:rsidR="00DC523B" w:rsidRDefault="005E7E0E">
      <w:pPr>
        <w:spacing w:line="360" w:lineRule="auto"/>
        <w:ind w:firstLine="420"/>
        <w:jc w:val="both"/>
        <w:rPr>
          <w:sz w:val="21"/>
          <w:szCs w:val="21"/>
        </w:rPr>
      </w:pPr>
      <w:r>
        <w:rPr>
          <w:rFonts w:hint="eastAsia"/>
          <w:sz w:val="21"/>
          <w:szCs w:val="21"/>
        </w:rPr>
        <w:t>3）上海天天基金销售有限公司</w:t>
      </w:r>
    </w:p>
    <w:p w:rsidR="00DC523B" w:rsidRDefault="005E7E0E">
      <w:pPr>
        <w:spacing w:line="360" w:lineRule="auto"/>
        <w:ind w:firstLine="420"/>
        <w:jc w:val="both"/>
        <w:rPr>
          <w:sz w:val="21"/>
          <w:szCs w:val="21"/>
        </w:rPr>
      </w:pPr>
      <w:r>
        <w:rPr>
          <w:rFonts w:hint="eastAsia"/>
          <w:sz w:val="21"/>
          <w:szCs w:val="21"/>
        </w:rPr>
        <w:t>注册地址：上海市徐汇区龙田路190号2号楼2层</w:t>
      </w:r>
    </w:p>
    <w:p w:rsidR="00DC523B" w:rsidRDefault="005E7E0E">
      <w:pPr>
        <w:spacing w:line="360" w:lineRule="auto"/>
        <w:ind w:firstLine="420"/>
        <w:jc w:val="both"/>
        <w:rPr>
          <w:sz w:val="21"/>
          <w:szCs w:val="21"/>
        </w:rPr>
      </w:pPr>
      <w:r>
        <w:rPr>
          <w:rFonts w:hint="eastAsia"/>
          <w:sz w:val="21"/>
          <w:szCs w:val="21"/>
        </w:rPr>
        <w:t>办公地址：上海市徐汇区龙田路195号3C座10楼</w:t>
      </w:r>
    </w:p>
    <w:p w:rsidR="00DC523B" w:rsidRDefault="005E7E0E">
      <w:pPr>
        <w:spacing w:line="360" w:lineRule="auto"/>
        <w:ind w:firstLine="420"/>
        <w:jc w:val="both"/>
        <w:rPr>
          <w:sz w:val="21"/>
          <w:szCs w:val="21"/>
        </w:rPr>
      </w:pPr>
      <w:r>
        <w:rPr>
          <w:rFonts w:hint="eastAsia"/>
          <w:sz w:val="21"/>
          <w:szCs w:val="21"/>
        </w:rPr>
        <w:t>法定代表人：其实</w:t>
      </w:r>
    </w:p>
    <w:p w:rsidR="00DC523B" w:rsidRDefault="005E7E0E">
      <w:pPr>
        <w:spacing w:line="360" w:lineRule="auto"/>
        <w:ind w:firstLine="420"/>
        <w:jc w:val="both"/>
        <w:rPr>
          <w:sz w:val="21"/>
          <w:szCs w:val="21"/>
        </w:rPr>
      </w:pPr>
      <w:r>
        <w:rPr>
          <w:rFonts w:hint="eastAsia"/>
          <w:sz w:val="21"/>
          <w:szCs w:val="21"/>
        </w:rPr>
        <w:t>联系人：高莉莉</w:t>
      </w:r>
    </w:p>
    <w:p w:rsidR="00DC523B" w:rsidRDefault="005E7E0E">
      <w:pPr>
        <w:spacing w:line="360" w:lineRule="auto"/>
        <w:ind w:firstLine="420"/>
        <w:jc w:val="both"/>
        <w:rPr>
          <w:sz w:val="21"/>
          <w:szCs w:val="21"/>
        </w:rPr>
      </w:pPr>
      <w:r>
        <w:rPr>
          <w:rFonts w:hint="eastAsia"/>
          <w:sz w:val="21"/>
          <w:szCs w:val="21"/>
        </w:rPr>
        <w:t>客户服务电话：400-1818-188</w:t>
      </w:r>
    </w:p>
    <w:p w:rsidR="00DC523B" w:rsidRDefault="005E7E0E">
      <w:pPr>
        <w:spacing w:line="360" w:lineRule="auto"/>
        <w:ind w:firstLine="420"/>
        <w:jc w:val="both"/>
        <w:rPr>
          <w:sz w:val="21"/>
          <w:szCs w:val="21"/>
        </w:rPr>
      </w:pPr>
      <w:r>
        <w:rPr>
          <w:rFonts w:hint="eastAsia"/>
          <w:sz w:val="21"/>
          <w:szCs w:val="21"/>
        </w:rPr>
        <w:t>网址：www.1234567.com.cn</w:t>
      </w:r>
    </w:p>
    <w:p w:rsidR="00DC523B" w:rsidRDefault="005E7E0E">
      <w:r>
        <w:rPr>
          <w:rFonts w:hint="eastAsia"/>
        </w:rPr>
        <w:t xml:space="preserve">  </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基金管理人可根据有关法律法规要求，根据实情，选择其他符合要求的机构销售本基金或变更上述销售机构，并及时公告。</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二、登记机构</w:t>
      </w:r>
    </w:p>
    <w:p w:rsidR="00DC523B" w:rsidRDefault="005E7E0E">
      <w:pPr>
        <w:spacing w:line="360" w:lineRule="auto"/>
        <w:ind w:firstLine="420"/>
        <w:jc w:val="both"/>
        <w:rPr>
          <w:sz w:val="21"/>
          <w:szCs w:val="21"/>
        </w:rPr>
      </w:pPr>
      <w:r>
        <w:rPr>
          <w:rFonts w:hint="eastAsia"/>
          <w:sz w:val="21"/>
          <w:szCs w:val="21"/>
        </w:rPr>
        <w:t>名称：鹏华基金管理有限公司</w:t>
      </w:r>
    </w:p>
    <w:p w:rsidR="00DC523B" w:rsidRDefault="005E7E0E">
      <w:pPr>
        <w:spacing w:line="360" w:lineRule="auto"/>
        <w:ind w:firstLine="420"/>
        <w:jc w:val="both"/>
        <w:rPr>
          <w:sz w:val="21"/>
          <w:szCs w:val="21"/>
        </w:rPr>
      </w:pPr>
      <w:r>
        <w:rPr>
          <w:rFonts w:hint="eastAsia"/>
          <w:sz w:val="21"/>
          <w:szCs w:val="21"/>
        </w:rPr>
        <w:t>住所：深圳市福田区福华三路168 号深圳国际商会中心43 层</w:t>
      </w:r>
    </w:p>
    <w:p w:rsidR="00DC523B" w:rsidRDefault="005E7E0E">
      <w:pPr>
        <w:spacing w:line="360" w:lineRule="auto"/>
        <w:ind w:firstLine="420"/>
        <w:jc w:val="both"/>
        <w:rPr>
          <w:sz w:val="21"/>
          <w:szCs w:val="21"/>
        </w:rPr>
      </w:pPr>
      <w:r>
        <w:rPr>
          <w:rFonts w:hint="eastAsia"/>
          <w:sz w:val="21"/>
          <w:szCs w:val="21"/>
        </w:rPr>
        <w:t>法定代表人：何如</w:t>
      </w:r>
    </w:p>
    <w:p w:rsidR="00DC523B" w:rsidRDefault="005E7E0E">
      <w:pPr>
        <w:spacing w:line="360" w:lineRule="auto"/>
        <w:ind w:firstLine="420"/>
        <w:jc w:val="both"/>
        <w:rPr>
          <w:sz w:val="21"/>
          <w:szCs w:val="21"/>
        </w:rPr>
      </w:pPr>
      <w:r>
        <w:rPr>
          <w:rFonts w:hint="eastAsia"/>
          <w:sz w:val="21"/>
          <w:szCs w:val="21"/>
        </w:rPr>
        <w:t>办公室地址：深圳市福田区福华三路168 号深圳国际商会中心43 层</w:t>
      </w:r>
    </w:p>
    <w:p w:rsidR="00DC523B" w:rsidRDefault="005E7E0E">
      <w:pPr>
        <w:spacing w:line="360" w:lineRule="auto"/>
        <w:ind w:firstLine="420"/>
        <w:jc w:val="both"/>
        <w:rPr>
          <w:sz w:val="21"/>
          <w:szCs w:val="21"/>
        </w:rPr>
      </w:pPr>
      <w:r>
        <w:rPr>
          <w:rFonts w:hint="eastAsia"/>
          <w:sz w:val="21"/>
          <w:szCs w:val="21"/>
        </w:rPr>
        <w:t>联系电话：（0755）82021877</w:t>
      </w:r>
    </w:p>
    <w:p w:rsidR="00DC523B" w:rsidRDefault="005E7E0E">
      <w:pPr>
        <w:spacing w:line="360" w:lineRule="auto"/>
        <w:ind w:firstLine="420"/>
        <w:jc w:val="both"/>
        <w:rPr>
          <w:sz w:val="21"/>
          <w:szCs w:val="21"/>
        </w:rPr>
      </w:pPr>
      <w:r>
        <w:rPr>
          <w:rFonts w:hint="eastAsia"/>
          <w:sz w:val="21"/>
          <w:szCs w:val="21"/>
        </w:rPr>
        <w:t>传真：（0755）82021165</w:t>
      </w:r>
    </w:p>
    <w:p w:rsidR="00DC523B" w:rsidRDefault="005E7E0E">
      <w:pPr>
        <w:spacing w:line="360" w:lineRule="auto"/>
        <w:ind w:firstLine="420"/>
        <w:jc w:val="both"/>
        <w:rPr>
          <w:sz w:val="21"/>
          <w:szCs w:val="21"/>
        </w:rPr>
      </w:pPr>
      <w:r>
        <w:rPr>
          <w:rFonts w:hint="eastAsia"/>
          <w:sz w:val="21"/>
          <w:szCs w:val="21"/>
        </w:rPr>
        <w:t>负责人：范伟强</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三、出具法律意见书的律师事务所</w:t>
      </w:r>
    </w:p>
    <w:p w:rsidR="00DC523B" w:rsidRDefault="005E7E0E">
      <w:pPr>
        <w:spacing w:line="360" w:lineRule="auto"/>
        <w:ind w:firstLine="420"/>
        <w:jc w:val="both"/>
        <w:rPr>
          <w:sz w:val="21"/>
          <w:szCs w:val="21"/>
        </w:rPr>
      </w:pPr>
      <w:r>
        <w:rPr>
          <w:rFonts w:hint="eastAsia"/>
          <w:sz w:val="21"/>
          <w:szCs w:val="21"/>
        </w:rPr>
        <w:t>名称：广东嘉得信律师事务所</w:t>
      </w:r>
    </w:p>
    <w:p w:rsidR="00DC523B" w:rsidRDefault="005E7E0E">
      <w:pPr>
        <w:spacing w:line="360" w:lineRule="auto"/>
        <w:ind w:firstLine="420"/>
        <w:jc w:val="both"/>
        <w:rPr>
          <w:sz w:val="21"/>
          <w:szCs w:val="21"/>
        </w:rPr>
      </w:pPr>
      <w:r>
        <w:rPr>
          <w:rFonts w:hint="eastAsia"/>
          <w:sz w:val="21"/>
          <w:szCs w:val="21"/>
        </w:rPr>
        <w:t>住所：深圳市罗湖区笋岗东路中民时代广场A 座201</w:t>
      </w:r>
    </w:p>
    <w:p w:rsidR="00DC523B" w:rsidRDefault="005E7E0E">
      <w:pPr>
        <w:spacing w:line="360" w:lineRule="auto"/>
        <w:ind w:firstLine="420"/>
        <w:jc w:val="both"/>
        <w:rPr>
          <w:sz w:val="21"/>
          <w:szCs w:val="21"/>
        </w:rPr>
      </w:pPr>
      <w:r>
        <w:rPr>
          <w:rFonts w:hint="eastAsia"/>
          <w:sz w:val="21"/>
          <w:szCs w:val="21"/>
        </w:rPr>
        <w:t>法定代表人：闵齐双</w:t>
      </w:r>
    </w:p>
    <w:p w:rsidR="00DC523B" w:rsidRDefault="005E7E0E">
      <w:pPr>
        <w:spacing w:line="360" w:lineRule="auto"/>
        <w:ind w:firstLine="420"/>
        <w:jc w:val="both"/>
        <w:rPr>
          <w:sz w:val="21"/>
          <w:szCs w:val="21"/>
        </w:rPr>
      </w:pPr>
      <w:r>
        <w:rPr>
          <w:rFonts w:hint="eastAsia"/>
          <w:sz w:val="21"/>
          <w:szCs w:val="21"/>
        </w:rPr>
        <w:t>办公室地址：深圳市罗湖区笋岗东路中民时代广场A 座201</w:t>
      </w:r>
    </w:p>
    <w:p w:rsidR="00DC523B" w:rsidRDefault="005E7E0E">
      <w:pPr>
        <w:spacing w:line="360" w:lineRule="auto"/>
        <w:ind w:firstLine="420"/>
        <w:jc w:val="both"/>
        <w:rPr>
          <w:sz w:val="21"/>
          <w:szCs w:val="21"/>
        </w:rPr>
      </w:pPr>
      <w:r>
        <w:rPr>
          <w:rFonts w:hint="eastAsia"/>
          <w:sz w:val="21"/>
          <w:szCs w:val="21"/>
        </w:rPr>
        <w:t>联系电话：（0755）33391280</w:t>
      </w:r>
    </w:p>
    <w:p w:rsidR="00DC523B" w:rsidRDefault="005E7E0E">
      <w:pPr>
        <w:spacing w:line="360" w:lineRule="auto"/>
        <w:ind w:firstLine="420"/>
        <w:jc w:val="both"/>
        <w:rPr>
          <w:sz w:val="21"/>
          <w:szCs w:val="21"/>
        </w:rPr>
      </w:pPr>
      <w:r>
        <w:rPr>
          <w:rFonts w:hint="eastAsia"/>
          <w:sz w:val="21"/>
          <w:szCs w:val="21"/>
        </w:rPr>
        <w:t>传真：0755-33033086</w:t>
      </w:r>
    </w:p>
    <w:p w:rsidR="00DC523B" w:rsidRDefault="005E7E0E">
      <w:pPr>
        <w:spacing w:line="360" w:lineRule="auto"/>
        <w:ind w:firstLine="420"/>
        <w:jc w:val="both"/>
        <w:rPr>
          <w:sz w:val="21"/>
          <w:szCs w:val="21"/>
        </w:rPr>
      </w:pPr>
      <w:r>
        <w:rPr>
          <w:rFonts w:hint="eastAsia"/>
          <w:sz w:val="21"/>
          <w:szCs w:val="21"/>
        </w:rPr>
        <w:t>联系人：闵齐双</w:t>
      </w:r>
    </w:p>
    <w:p w:rsidR="00DC523B" w:rsidRDefault="005E7E0E">
      <w:pPr>
        <w:spacing w:line="360" w:lineRule="auto"/>
        <w:ind w:firstLine="420"/>
        <w:jc w:val="both"/>
        <w:rPr>
          <w:sz w:val="21"/>
          <w:szCs w:val="21"/>
        </w:rPr>
      </w:pPr>
      <w:r>
        <w:rPr>
          <w:rFonts w:hint="eastAsia"/>
          <w:sz w:val="21"/>
          <w:szCs w:val="21"/>
        </w:rPr>
        <w:t>经办律师：闵齐双、刘中良</w:t>
      </w:r>
    </w:p>
    <w:p w:rsidR="00DC523B" w:rsidRDefault="005E7E0E">
      <w:r>
        <w:rPr>
          <w:rFonts w:hint="eastAsia"/>
        </w:rPr>
        <w:t xml:space="preserve">  </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四、会计师事务所</w:t>
      </w:r>
    </w:p>
    <w:p w:rsidR="00DC523B" w:rsidRDefault="005E7E0E">
      <w:pPr>
        <w:spacing w:line="360" w:lineRule="auto"/>
        <w:ind w:firstLine="420"/>
        <w:jc w:val="both"/>
        <w:rPr>
          <w:sz w:val="21"/>
          <w:szCs w:val="21"/>
        </w:rPr>
      </w:pPr>
      <w:r>
        <w:rPr>
          <w:rFonts w:hint="eastAsia"/>
          <w:sz w:val="21"/>
          <w:szCs w:val="21"/>
        </w:rPr>
        <w:t>名称：毕马威华振会计师事务所（特殊普通合伙）</w:t>
      </w:r>
    </w:p>
    <w:p w:rsidR="00DC523B" w:rsidRDefault="005E7E0E">
      <w:pPr>
        <w:spacing w:line="360" w:lineRule="auto"/>
        <w:ind w:firstLine="420"/>
        <w:jc w:val="both"/>
        <w:rPr>
          <w:sz w:val="21"/>
          <w:szCs w:val="21"/>
        </w:rPr>
      </w:pPr>
      <w:r>
        <w:rPr>
          <w:rFonts w:hint="eastAsia"/>
          <w:sz w:val="21"/>
          <w:szCs w:val="21"/>
        </w:rPr>
        <w:t>住所：北京市东城区东长安街1号东方广场东2座办公楼8层</w:t>
      </w:r>
    </w:p>
    <w:p w:rsidR="00DC523B" w:rsidRDefault="005E7E0E">
      <w:pPr>
        <w:spacing w:line="360" w:lineRule="auto"/>
        <w:ind w:firstLine="420"/>
        <w:jc w:val="both"/>
        <w:rPr>
          <w:sz w:val="21"/>
          <w:szCs w:val="21"/>
        </w:rPr>
      </w:pPr>
      <w:r>
        <w:rPr>
          <w:rFonts w:hint="eastAsia"/>
          <w:sz w:val="21"/>
          <w:szCs w:val="21"/>
        </w:rPr>
        <w:t>法定代表人：邹俊</w:t>
      </w:r>
    </w:p>
    <w:p w:rsidR="00DC523B" w:rsidRDefault="005E7E0E">
      <w:pPr>
        <w:spacing w:line="360" w:lineRule="auto"/>
        <w:ind w:firstLine="420"/>
        <w:jc w:val="both"/>
        <w:rPr>
          <w:sz w:val="21"/>
          <w:szCs w:val="21"/>
        </w:rPr>
      </w:pPr>
      <w:r>
        <w:rPr>
          <w:rFonts w:hint="eastAsia"/>
          <w:sz w:val="21"/>
          <w:szCs w:val="21"/>
        </w:rPr>
        <w:t>办公室地址：北京市东城区东长安街1号东方广场东2座办公楼8层</w:t>
      </w:r>
    </w:p>
    <w:p w:rsidR="00DC523B" w:rsidRDefault="005E7E0E">
      <w:pPr>
        <w:spacing w:line="360" w:lineRule="auto"/>
        <w:ind w:firstLine="420"/>
        <w:jc w:val="both"/>
        <w:rPr>
          <w:sz w:val="21"/>
          <w:szCs w:val="21"/>
        </w:rPr>
      </w:pPr>
      <w:r>
        <w:rPr>
          <w:rFonts w:hint="eastAsia"/>
          <w:sz w:val="21"/>
          <w:szCs w:val="21"/>
        </w:rPr>
        <w:t>联系电话：(755)2547 1000</w:t>
      </w:r>
    </w:p>
    <w:p w:rsidR="00DC523B" w:rsidRDefault="005E7E0E">
      <w:pPr>
        <w:spacing w:line="360" w:lineRule="auto"/>
        <w:ind w:firstLine="420"/>
        <w:jc w:val="both"/>
        <w:rPr>
          <w:sz w:val="21"/>
          <w:szCs w:val="21"/>
        </w:rPr>
      </w:pPr>
      <w:r>
        <w:rPr>
          <w:rFonts w:hint="eastAsia"/>
          <w:sz w:val="21"/>
          <w:szCs w:val="21"/>
        </w:rPr>
        <w:t>传真：(755)8266 8930</w:t>
      </w:r>
    </w:p>
    <w:p w:rsidR="00DC523B" w:rsidRDefault="005E7E0E">
      <w:pPr>
        <w:spacing w:line="360" w:lineRule="auto"/>
        <w:ind w:firstLine="420"/>
        <w:jc w:val="both"/>
        <w:rPr>
          <w:sz w:val="21"/>
          <w:szCs w:val="21"/>
        </w:rPr>
      </w:pPr>
      <w:r>
        <w:rPr>
          <w:rFonts w:hint="eastAsia"/>
          <w:sz w:val="21"/>
          <w:szCs w:val="21"/>
        </w:rPr>
        <w:t>联系人：蔡正轩</w:t>
      </w:r>
    </w:p>
    <w:p w:rsidR="00DC523B" w:rsidRDefault="005E7E0E">
      <w:pPr>
        <w:spacing w:line="360" w:lineRule="auto"/>
        <w:ind w:firstLine="420"/>
        <w:jc w:val="both"/>
        <w:rPr>
          <w:sz w:val="21"/>
          <w:szCs w:val="21"/>
        </w:rPr>
      </w:pPr>
      <w:r>
        <w:rPr>
          <w:rFonts w:hint="eastAsia"/>
          <w:sz w:val="21"/>
          <w:szCs w:val="21"/>
        </w:rPr>
        <w:t>经办会计师：吴钟鸣、胡悦</w:t>
      </w:r>
    </w:p>
    <w:p w:rsidR="00DC523B" w:rsidRDefault="005E7E0E">
      <w:pPr>
        <w:pStyle w:val="1"/>
        <w:spacing w:before="93" w:beforeAutospacing="0" w:after="93" w:afterAutospacing="0" w:line="360" w:lineRule="auto"/>
        <w:jc w:val="center"/>
      </w:pPr>
      <w:r>
        <w:rPr>
          <w:rStyle w:val="ac"/>
          <w:rFonts w:hint="eastAsia"/>
          <w:b/>
          <w:bCs/>
          <w:sz w:val="28"/>
          <w:szCs w:val="28"/>
        </w:rPr>
        <w:t>四、基金的名称</w:t>
      </w:r>
    </w:p>
    <w:p w:rsidR="00DC523B" w:rsidRDefault="005E7E0E">
      <w:pPr>
        <w:spacing w:before="100" w:beforeAutospacing="1" w:after="100" w:afterAutospacing="1" w:line="360" w:lineRule="auto"/>
        <w:ind w:firstLine="420"/>
      </w:pPr>
      <w:r>
        <w:rPr>
          <w:rFonts w:hint="eastAsia"/>
        </w:rPr>
        <w:t>本基金名称：鹏华丰达债券型证券投资基金</w:t>
      </w:r>
    </w:p>
    <w:p w:rsidR="00DC523B" w:rsidRDefault="005E7E0E">
      <w:pPr>
        <w:pStyle w:val="1"/>
        <w:spacing w:before="93" w:beforeAutospacing="0" w:after="93" w:afterAutospacing="0" w:line="360" w:lineRule="auto"/>
        <w:jc w:val="center"/>
      </w:pPr>
      <w:r>
        <w:rPr>
          <w:rStyle w:val="ac"/>
          <w:rFonts w:hint="eastAsia"/>
          <w:b/>
          <w:bCs/>
          <w:sz w:val="28"/>
          <w:szCs w:val="28"/>
        </w:rPr>
        <w:t>五、基金运作方式及类型</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本基金为契约型开放式债券型基金，存续期间为不定期。</w:t>
      </w:r>
    </w:p>
    <w:p w:rsidR="00DC523B" w:rsidRDefault="005E7E0E">
      <w:pPr>
        <w:pStyle w:val="1"/>
        <w:spacing w:before="93" w:beforeAutospacing="0" w:after="93" w:afterAutospacing="0" w:line="360" w:lineRule="auto"/>
        <w:jc w:val="center"/>
      </w:pPr>
      <w:r>
        <w:rPr>
          <w:rStyle w:val="ac"/>
          <w:rFonts w:hint="eastAsia"/>
          <w:b/>
          <w:bCs/>
          <w:sz w:val="28"/>
          <w:szCs w:val="28"/>
        </w:rPr>
        <w:t>六、基金的投资目标</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在严格控制风险的基础上，通过利差分析和对利率曲线变动趋势的判断，提高资金流动性和收益率水平，力争取得超越基金业绩比较基准的收益。</w:t>
      </w:r>
    </w:p>
    <w:p w:rsidR="00DC523B" w:rsidRDefault="005E7E0E">
      <w:pPr>
        <w:pStyle w:val="1"/>
        <w:spacing w:before="93" w:beforeAutospacing="0" w:after="93" w:afterAutospacing="0" w:line="360" w:lineRule="auto"/>
        <w:jc w:val="center"/>
      </w:pPr>
      <w:r>
        <w:rPr>
          <w:rStyle w:val="ac"/>
          <w:rFonts w:hint="eastAsia"/>
          <w:b/>
          <w:bCs/>
          <w:sz w:val="28"/>
          <w:szCs w:val="28"/>
        </w:rPr>
        <w:t>七、基金的投资方向</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的投资范围主要为具有良好流动性的固定收益类品种，包括国债、金融债、企业债、公司债、央行票据、地方政府债、中期票据、短期融资券、可分离交易可转债的纯债部分、资产支持证券、中小企业私募债、次级债、同业存单、债券回购、银行存款、国债期货等法律法规或中国证监会允许基金投资的其他固定收益类金融工具（但须符合中国证监会的相关规定）。本基金不投资于股票、权证等权益类资产，也不投资于可转换债券（可分离交易可转债的纯债部分除外）、可交换债券。</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如法律法规或监管机构以后允许基金投资其他品种，基金管理人在履行适当程序后，可以将其纳入投资范围。</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基金的投资组合比例为：本基金对债券的投资比例不低于基金资产的80%；每个交易日日终在扣除国债期货合约需缴纳的交易保证金后，基金保留的现金或到期日在一年以内的政府债券的投资比例不低于基金资产净值的5%，其中现金不包括结算备付金、存出保证金、应收申购款等。</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如法律法规或中国证监会变更投资品种的投资比例限制，基金管理人在履行适当程序后，可以调整上述投资品种的投资比例。</w:t>
      </w:r>
    </w:p>
    <w:p w:rsidR="00DC523B" w:rsidRDefault="005E7E0E">
      <w:pPr>
        <w:pStyle w:val="1"/>
        <w:spacing w:before="93" w:beforeAutospacing="0" w:after="93" w:afterAutospacing="0" w:line="360" w:lineRule="auto"/>
        <w:jc w:val="center"/>
      </w:pPr>
      <w:r>
        <w:rPr>
          <w:rStyle w:val="ac"/>
          <w:rFonts w:hint="eastAsia"/>
          <w:b/>
          <w:bCs/>
          <w:sz w:val="28"/>
          <w:szCs w:val="28"/>
        </w:rPr>
        <w:t>八、基金的投资策略</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债券投资将主要采取久期策略，同时辅之以信用利差策略、收益率曲线策略、收益率利差策略、息差策略、债券选择策略等积极投资策略，在严格控制风险的基础上，通过利差分析和对利率曲线变动趋势的判断，提高资金流动性和收益率水平，力争取得超越基金业绩比较基准的收益。</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1、资产配置策略</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在资产配置方面，本基金通过对宏观经济形势、经济周期所处阶段、利率曲线变化趋势和信用利差变化趋势的重点分析，比较未来一定时间内不同债券品种和债券市场的相对预期收益率，在基金规定的投资比例范围内对不同久期、信用特征的券种及债券与现金之间进行动态调整。</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2、久期策略</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将主要采取久期策略，通过自上而下的组合久期管理策略，以实现对组合利率风险的有效控制。为控制风险，本基金采用以“目标久期”为中心的资产配置方式。目标久期的设定划分为两个层次：战略性配置和战术性配置。“目标久期”的战略性配置由投资决策委员会确定，主要根据对宏观经济和资本市场的预测分析决定组合的目标久期。“目标久期”的战术性配置由基金经理根据市场短期因素的影响在战略性配置预先设定的范围内进行调整。如果预期利率下降，本基金将增加组合的久期，直至接近目标久期上限，以较多地获得债券价格上升带来的收益；反之，如果预期利率上升，本基金将缩短组合的久期，直至目标久期下限，以减小债券价格下降带来的风险。</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3、收益率曲线策略</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收益率曲线的形状变化是判断市场整体走向的依据之一， 本基金将据此调整组合长、中、短期债券的搭配。本基金将通过对收益率曲线变化的预测, 适时采用子弹式、杠铃或梯形策略构造组合，并进行动态调整。</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4、骑乘策略</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将采用骑乘策略增强组合的持有期收益。这一策略即通过对收益率曲线的分析，在可选的目标久期区间买入期限位于收益率曲线较陡峭处右侧的债券。在收益率曲线不变动的情况下，随着其剩余期限的衰减，债券收益率将沿着陡峭的收益率曲线有较大幅的下滑，从而获得较高的资本收益；即使收益率曲线上升或进一步变陡，这一策略也能够提供更多的安全边际。</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5、息差策略</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本基金将利用回购利率低于债券收益率的情形，通过正回购将所获得的资金投资于债券，利用杠杆放大债券投资的收益。</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6、债券选择策略</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根据单个债券到期收益率相对于市场收益率曲线的偏离程度，结合信用等级、流动性、选择权条款、税赋特点等因素，确定其投资价值，选择定价合理或价值被低估的债券进行投资。</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7、中小企业私募债投资策略</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将深入研究发行人资信及公司运营情况，与中小企业私募债券承销券商紧密合作，合理合规合格地进行中小企业私募债券投资。本基金在投资过程中密切监控债券信用等级或发行人信用等级变化情况，力求规避可能存在的债券违约，并获取超额收益。</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8、资产支持证券的投资策略</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rsidR="00DC523B" w:rsidRDefault="005E7E0E">
      <w:pPr>
        <w:pStyle w:val="a5"/>
        <w:spacing w:before="0" w:beforeAutospacing="0" w:after="0" w:afterAutospacing="0" w:line="360" w:lineRule="auto"/>
        <w:ind w:firstLine="420"/>
        <w:jc w:val="both"/>
        <w:rPr>
          <w:sz w:val="21"/>
          <w:szCs w:val="21"/>
        </w:rPr>
      </w:pPr>
      <w:r>
        <w:rPr>
          <w:rFonts w:ascii="Times New Roman" w:hAnsi="Times New Roman" w:cs="Times New Roman"/>
          <w:sz w:val="21"/>
          <w:szCs w:val="21"/>
        </w:rPr>
        <w:t>9</w:t>
      </w:r>
      <w:r>
        <w:rPr>
          <w:rFonts w:hint="eastAsia"/>
          <w:sz w:val="21"/>
          <w:szCs w:val="21"/>
        </w:rPr>
        <w:t>、国债期货投资策略</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为有效控制债券投资的系统性风险，本基金根据风险管理的原则，以套期保值为目的，适度运用国债期货，提高投资组合的运作效率。在国债期货投资时，本基金将首先分析国债期货各合约价格与最便宜可交割券的关系，选择定价合理的国债期货合约，其次，考虑国债期货各合约的流动性情况，最终确定与现货组合的合适匹配，以达到风险管理的目标。</w:t>
      </w:r>
    </w:p>
    <w:p w:rsidR="00DC523B" w:rsidRDefault="005E7E0E">
      <w:pPr>
        <w:pStyle w:val="1"/>
        <w:spacing w:before="93" w:beforeAutospacing="0" w:after="93" w:afterAutospacing="0" w:line="360" w:lineRule="auto"/>
        <w:jc w:val="center"/>
      </w:pPr>
      <w:r>
        <w:rPr>
          <w:rStyle w:val="ac"/>
          <w:rFonts w:hint="eastAsia"/>
          <w:b/>
          <w:bCs/>
          <w:sz w:val="28"/>
          <w:szCs w:val="28"/>
        </w:rPr>
        <w:t>九、基金的业绩比较基准</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中债总指数收益率</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中债总指数由中央国债登记结算公司编制，并在中国债券网（www.chinabond.com.cn）公开发布，具有较强的权威性和市场影响力；该指数样本券涵盖央票、国债和政策性金融债，能较好地反映债券市场的整体收益。本基金是债券型基金，主要投资于固定收益类金融工具，为此，本基金选取中债总指数作为本基金的业绩比较基准。</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如果今后法律法规发生变化，或者有更权威的、更能为市场普遍接受的业绩比较基准推出，或者是市场上出现更加适合用于本基金的业绩比较基准的指数时，本基金管理人与基金托管人协商一致后可以在报中国证监会备案以后变更业绩比较基准并及时公告，但不需要召开基金份额持有人大会。</w:t>
      </w:r>
    </w:p>
    <w:p w:rsidR="00DC523B" w:rsidRDefault="005E7E0E">
      <w:pPr>
        <w:pStyle w:val="1"/>
        <w:spacing w:before="93" w:beforeAutospacing="0" w:after="93" w:afterAutospacing="0" w:line="360" w:lineRule="auto"/>
        <w:jc w:val="center"/>
      </w:pPr>
      <w:r>
        <w:rPr>
          <w:rStyle w:val="ac"/>
          <w:rFonts w:hint="eastAsia"/>
          <w:b/>
          <w:bCs/>
          <w:sz w:val="28"/>
          <w:szCs w:val="28"/>
        </w:rPr>
        <w:t>十、基金的风险收益特征</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本基金属于债券型基金，其预期的收益与风险低于股票型基金、混合型基金，高于货币市场基金，为证券投资基金中具有较低风险收益特征的品种。</w:t>
      </w:r>
    </w:p>
    <w:p w:rsidR="00DC523B" w:rsidRDefault="005E7E0E">
      <w:pPr>
        <w:pStyle w:val="1"/>
        <w:spacing w:before="93" w:beforeAutospacing="0" w:after="93" w:afterAutospacing="0" w:line="360" w:lineRule="auto"/>
        <w:jc w:val="center"/>
      </w:pPr>
      <w:r>
        <w:rPr>
          <w:rStyle w:val="ac"/>
          <w:rFonts w:hint="eastAsia"/>
          <w:b/>
          <w:bCs/>
          <w:sz w:val="28"/>
          <w:szCs w:val="28"/>
        </w:rPr>
        <w:t>十一、基金的投资组合报告</w:t>
      </w:r>
    </w:p>
    <w:p w:rsidR="00DC523B" w:rsidRDefault="005E7E0E">
      <w:pPr>
        <w:pStyle w:val="a5"/>
        <w:spacing w:before="0" w:beforeAutospacing="0" w:after="0" w:afterAutospacing="0" w:line="360" w:lineRule="auto"/>
        <w:ind w:firstLine="420"/>
        <w:rPr>
          <w:sz w:val="21"/>
          <w:szCs w:val="21"/>
        </w:rPr>
      </w:pPr>
      <w:bookmarkStart w:id="1" w:name="m101"/>
      <w:r>
        <w:rPr>
          <w:rFonts w:hint="eastAsia"/>
          <w:sz w:val="21"/>
          <w:szCs w:val="21"/>
        </w:rPr>
        <w:t xml:space="preserve">基金管理人的董事会及董事保证本报告所载资料不存在虚假记载、误导性陈述或重大遗漏，并对其内容的真实性、准确性和完整性承担个别及连带责任。 </w:t>
      </w:r>
      <w:bookmarkEnd w:id="1"/>
    </w:p>
    <w:p w:rsidR="00DC523B" w:rsidRDefault="005E7E0E">
      <w:pPr>
        <w:pStyle w:val="a5"/>
        <w:spacing w:before="0" w:beforeAutospacing="0" w:after="0" w:afterAutospacing="0" w:line="360" w:lineRule="auto"/>
        <w:ind w:firstLine="420"/>
        <w:rPr>
          <w:sz w:val="21"/>
          <w:szCs w:val="21"/>
        </w:rPr>
      </w:pPr>
      <w:r>
        <w:rPr>
          <w:rFonts w:hint="eastAsia"/>
          <w:sz w:val="21"/>
          <w:szCs w:val="21"/>
        </w:rPr>
        <w:t>基金托管人交通银行股份有限公司根据本基金合同规定，于2019年7月15日复核了本报告中的财务指标、净值表现和投资组合报告等内容，保证复核内容不存在虚假记载、误导性陈述或者重大遗漏。</w:t>
      </w:r>
    </w:p>
    <w:p w:rsidR="00DC523B" w:rsidRDefault="005E7E0E">
      <w:pPr>
        <w:pStyle w:val="a5"/>
        <w:spacing w:before="0" w:beforeAutospacing="0" w:after="0" w:afterAutospacing="0" w:line="360" w:lineRule="auto"/>
        <w:ind w:firstLine="420"/>
        <w:rPr>
          <w:sz w:val="21"/>
          <w:szCs w:val="21"/>
        </w:rPr>
      </w:pPr>
      <w:r>
        <w:rPr>
          <w:rFonts w:hint="eastAsia"/>
          <w:sz w:val="21"/>
          <w:szCs w:val="21"/>
        </w:rPr>
        <w:t>本报告中财务资料未经审计。</w:t>
      </w:r>
    </w:p>
    <w:p w:rsidR="00DC523B" w:rsidRDefault="005E7E0E">
      <w:pPr>
        <w:pStyle w:val="a5"/>
        <w:spacing w:before="0" w:beforeAutospacing="0" w:after="0" w:afterAutospacing="0" w:line="360" w:lineRule="auto"/>
        <w:ind w:firstLine="420"/>
        <w:rPr>
          <w:sz w:val="21"/>
          <w:szCs w:val="21"/>
        </w:rPr>
      </w:pPr>
      <w:r>
        <w:rPr>
          <w:rFonts w:hint="eastAsia"/>
          <w:sz w:val="21"/>
          <w:szCs w:val="21"/>
        </w:rPr>
        <w:t>本报告期自2019年4月1日起至2019年6月30日止。</w:t>
      </w:r>
      <w:bookmarkStart w:id="2" w:name="m201"/>
      <w:bookmarkStart w:id="3" w:name="m201_01"/>
      <w:bookmarkEnd w:id="2"/>
      <w:bookmarkEnd w:id="3"/>
    </w:p>
    <w:p w:rsidR="00DC523B" w:rsidRDefault="005E7E0E">
      <w:pPr>
        <w:pStyle w:val="a5"/>
        <w:spacing w:before="0" w:beforeAutospacing="0" w:after="0" w:afterAutospacing="0" w:line="360" w:lineRule="auto"/>
        <w:rPr>
          <w:sz w:val="21"/>
          <w:szCs w:val="21"/>
        </w:rPr>
      </w:pPr>
      <w:bookmarkStart w:id="4" w:name="_Toc481074845"/>
      <w:bookmarkStart w:id="5" w:name="_Toc438646467"/>
      <w:bookmarkStart w:id="6" w:name="m501"/>
      <w:bookmarkEnd w:id="4"/>
      <w:bookmarkEnd w:id="5"/>
      <w:r>
        <w:rPr>
          <w:rFonts w:hint="eastAsia"/>
          <w:b/>
          <w:bCs/>
          <w:sz w:val="21"/>
          <w:szCs w:val="21"/>
        </w:rPr>
        <w:t>1、报告期末基金资产组合情况</w:t>
      </w:r>
      <w:bookmarkEnd w:id="6"/>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70"/>
        <w:gridCol w:w="2612"/>
        <w:gridCol w:w="3062"/>
        <w:gridCol w:w="2164"/>
      </w:tblGrid>
      <w:tr w:rsidR="00DC523B">
        <w:tc>
          <w:tcPr>
            <w:tcW w:w="635" w:type="dxa"/>
            <w:tcBorders>
              <w:top w:val="single" w:sz="6" w:space="0" w:color="000000"/>
              <w:left w:val="single" w:sz="6" w:space="0" w:color="000000"/>
              <w:bottom w:val="single" w:sz="6" w:space="0" w:color="auto"/>
              <w:right w:val="single" w:sz="6" w:space="0" w:color="auto"/>
            </w:tcBorders>
            <w:shd w:val="clear" w:color="auto" w:fill="D9D9D9"/>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bookmarkStart w:id="7" w:name="m501_tab"/>
            <w:r>
              <w:rPr>
                <w:rFonts w:hint="eastAsia"/>
                <w:sz w:val="21"/>
                <w:szCs w:val="21"/>
              </w:rPr>
              <w:t xml:space="preserve">序号 </w:t>
            </w:r>
            <w:bookmarkEnd w:id="7"/>
          </w:p>
        </w:tc>
        <w:tc>
          <w:tcPr>
            <w:tcW w:w="2477" w:type="dxa"/>
            <w:tcBorders>
              <w:top w:val="single" w:sz="6" w:space="0" w:color="000000"/>
              <w:left w:val="single" w:sz="6" w:space="0" w:color="auto"/>
              <w:bottom w:val="single" w:sz="6" w:space="0" w:color="auto"/>
              <w:right w:val="single" w:sz="6" w:space="0" w:color="auto"/>
            </w:tcBorders>
            <w:shd w:val="clear" w:color="auto" w:fill="D9D9D9"/>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项目 </w:t>
            </w:r>
          </w:p>
        </w:tc>
        <w:tc>
          <w:tcPr>
            <w:tcW w:w="2903" w:type="dxa"/>
            <w:tcBorders>
              <w:top w:val="single" w:sz="6" w:space="0" w:color="000000"/>
              <w:left w:val="single" w:sz="6" w:space="0" w:color="auto"/>
              <w:bottom w:val="single" w:sz="6" w:space="0" w:color="auto"/>
              <w:right w:val="single" w:sz="6" w:space="0" w:color="auto"/>
            </w:tcBorders>
            <w:shd w:val="clear" w:color="auto" w:fill="D9D9D9"/>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金额（人民币元 ） </w:t>
            </w:r>
          </w:p>
        </w:tc>
        <w:tc>
          <w:tcPr>
            <w:tcW w:w="2052" w:type="dxa"/>
            <w:tcBorders>
              <w:top w:val="single" w:sz="6" w:space="0" w:color="000000"/>
              <w:left w:val="single" w:sz="6" w:space="0" w:color="auto"/>
              <w:bottom w:val="single" w:sz="6" w:space="0" w:color="auto"/>
              <w:right w:val="single" w:sz="6" w:space="0" w:color="000000"/>
            </w:tcBorders>
            <w:shd w:val="clear" w:color="auto" w:fill="D9D9D9"/>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占基金总资产的比例（%） </w:t>
            </w:r>
          </w:p>
        </w:tc>
      </w:tr>
      <w:tr w:rsidR="00DC523B">
        <w:tc>
          <w:tcPr>
            <w:tcW w:w="635"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1 </w:t>
            </w:r>
          </w:p>
        </w:tc>
        <w:tc>
          <w:tcPr>
            <w:tcW w:w="24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rPr>
                <w:sz w:val="21"/>
                <w:szCs w:val="21"/>
              </w:rPr>
            </w:pPr>
            <w:r>
              <w:rPr>
                <w:rFonts w:hint="eastAsia"/>
                <w:sz w:val="21"/>
                <w:szCs w:val="21"/>
              </w:rPr>
              <w:t xml:space="preserve">权益投资 </w:t>
            </w:r>
          </w:p>
        </w:tc>
        <w:tc>
          <w:tcPr>
            <w:tcW w:w="29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c>
          <w:tcPr>
            <w:tcW w:w="2052"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r>
      <w:tr w:rsidR="00DC523B">
        <w:tc>
          <w:tcPr>
            <w:tcW w:w="635"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pPr>
            <w:r>
              <w:rPr>
                <w:rFonts w:hint="eastAsia"/>
                <w:sz w:val="21"/>
                <w:szCs w:val="21"/>
              </w:rPr>
              <w:t> </w:t>
            </w:r>
          </w:p>
        </w:tc>
        <w:tc>
          <w:tcPr>
            <w:tcW w:w="24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pPr>
            <w:r>
              <w:rPr>
                <w:rFonts w:hint="eastAsia"/>
              </w:rPr>
              <w:t xml:space="preserve">其中：股票 </w:t>
            </w:r>
          </w:p>
        </w:tc>
        <w:tc>
          <w:tcPr>
            <w:tcW w:w="29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c>
          <w:tcPr>
            <w:tcW w:w="2052"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r>
      <w:tr w:rsidR="00DC523B">
        <w:tc>
          <w:tcPr>
            <w:tcW w:w="635"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2 </w:t>
            </w:r>
          </w:p>
        </w:tc>
        <w:tc>
          <w:tcPr>
            <w:tcW w:w="24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rPr>
                <w:sz w:val="21"/>
                <w:szCs w:val="21"/>
              </w:rPr>
            </w:pPr>
            <w:r>
              <w:rPr>
                <w:rFonts w:hint="eastAsia"/>
                <w:sz w:val="21"/>
                <w:szCs w:val="21"/>
              </w:rPr>
              <w:t xml:space="preserve">基金投资 </w:t>
            </w:r>
          </w:p>
        </w:tc>
        <w:tc>
          <w:tcPr>
            <w:tcW w:w="29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c>
          <w:tcPr>
            <w:tcW w:w="2052"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r>
      <w:tr w:rsidR="00DC523B">
        <w:tc>
          <w:tcPr>
            <w:tcW w:w="635"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3 </w:t>
            </w:r>
          </w:p>
        </w:tc>
        <w:tc>
          <w:tcPr>
            <w:tcW w:w="24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rPr>
                <w:sz w:val="21"/>
                <w:szCs w:val="21"/>
              </w:rPr>
            </w:pPr>
            <w:r>
              <w:rPr>
                <w:rFonts w:hint="eastAsia"/>
                <w:sz w:val="21"/>
                <w:szCs w:val="21"/>
              </w:rPr>
              <w:t xml:space="preserve">固定收益投资 </w:t>
            </w:r>
          </w:p>
        </w:tc>
        <w:tc>
          <w:tcPr>
            <w:tcW w:w="29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1,913,071,600.00</w:t>
            </w:r>
          </w:p>
        </w:tc>
        <w:tc>
          <w:tcPr>
            <w:tcW w:w="2052"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95.66</w:t>
            </w:r>
          </w:p>
        </w:tc>
      </w:tr>
      <w:tr w:rsidR="00DC523B">
        <w:tc>
          <w:tcPr>
            <w:tcW w:w="635"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pPr>
            <w:r>
              <w:rPr>
                <w:rFonts w:hint="eastAsia"/>
                <w:sz w:val="21"/>
                <w:szCs w:val="21"/>
              </w:rPr>
              <w:t> </w:t>
            </w:r>
          </w:p>
        </w:tc>
        <w:tc>
          <w:tcPr>
            <w:tcW w:w="24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pPr>
            <w:r>
              <w:rPr>
                <w:rFonts w:hint="eastAsia"/>
              </w:rPr>
              <w:t xml:space="preserve">其中：债券 </w:t>
            </w:r>
          </w:p>
        </w:tc>
        <w:tc>
          <w:tcPr>
            <w:tcW w:w="29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1,851,071,600.00</w:t>
            </w:r>
          </w:p>
        </w:tc>
        <w:tc>
          <w:tcPr>
            <w:tcW w:w="2052"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92.56</w:t>
            </w:r>
          </w:p>
        </w:tc>
      </w:tr>
      <w:tr w:rsidR="00DC523B">
        <w:tc>
          <w:tcPr>
            <w:tcW w:w="635"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pPr>
            <w:r>
              <w:rPr>
                <w:rFonts w:hint="eastAsia"/>
                <w:sz w:val="21"/>
                <w:szCs w:val="21"/>
              </w:rPr>
              <w:t> </w:t>
            </w:r>
          </w:p>
        </w:tc>
        <w:tc>
          <w:tcPr>
            <w:tcW w:w="24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ind w:firstLine="630"/>
            </w:pPr>
            <w:r>
              <w:rPr>
                <w:rFonts w:hint="eastAsia"/>
              </w:rPr>
              <w:t xml:space="preserve">资产支持证券 </w:t>
            </w:r>
          </w:p>
        </w:tc>
        <w:tc>
          <w:tcPr>
            <w:tcW w:w="29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62,000,000.00</w:t>
            </w:r>
          </w:p>
        </w:tc>
        <w:tc>
          <w:tcPr>
            <w:tcW w:w="2052"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3.10</w:t>
            </w:r>
          </w:p>
        </w:tc>
      </w:tr>
      <w:tr w:rsidR="00DC523B">
        <w:tc>
          <w:tcPr>
            <w:tcW w:w="635"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4 </w:t>
            </w:r>
          </w:p>
        </w:tc>
        <w:tc>
          <w:tcPr>
            <w:tcW w:w="24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rPr>
                <w:sz w:val="21"/>
                <w:szCs w:val="21"/>
              </w:rPr>
            </w:pPr>
            <w:r>
              <w:rPr>
                <w:rFonts w:hint="eastAsia"/>
                <w:sz w:val="21"/>
                <w:szCs w:val="21"/>
              </w:rPr>
              <w:t xml:space="preserve">贵金属投资 </w:t>
            </w:r>
          </w:p>
        </w:tc>
        <w:tc>
          <w:tcPr>
            <w:tcW w:w="29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c>
          <w:tcPr>
            <w:tcW w:w="2052"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r>
      <w:tr w:rsidR="00DC523B">
        <w:tc>
          <w:tcPr>
            <w:tcW w:w="635"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5 </w:t>
            </w:r>
          </w:p>
        </w:tc>
        <w:tc>
          <w:tcPr>
            <w:tcW w:w="24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rPr>
                <w:sz w:val="21"/>
                <w:szCs w:val="21"/>
              </w:rPr>
            </w:pPr>
            <w:r>
              <w:rPr>
                <w:rFonts w:hint="eastAsia"/>
                <w:sz w:val="21"/>
                <w:szCs w:val="21"/>
              </w:rPr>
              <w:t xml:space="preserve">金融衍生品投资 </w:t>
            </w:r>
          </w:p>
        </w:tc>
        <w:tc>
          <w:tcPr>
            <w:tcW w:w="29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c>
          <w:tcPr>
            <w:tcW w:w="2052"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r>
      <w:tr w:rsidR="00DC523B">
        <w:tc>
          <w:tcPr>
            <w:tcW w:w="635"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6 </w:t>
            </w:r>
          </w:p>
        </w:tc>
        <w:tc>
          <w:tcPr>
            <w:tcW w:w="24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rPr>
                <w:sz w:val="21"/>
                <w:szCs w:val="21"/>
              </w:rPr>
            </w:pPr>
            <w:r>
              <w:rPr>
                <w:rFonts w:hint="eastAsia"/>
                <w:sz w:val="21"/>
                <w:szCs w:val="21"/>
              </w:rPr>
              <w:t xml:space="preserve">买入返售金融资产 </w:t>
            </w:r>
          </w:p>
        </w:tc>
        <w:tc>
          <w:tcPr>
            <w:tcW w:w="29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c>
          <w:tcPr>
            <w:tcW w:w="2052"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r>
      <w:tr w:rsidR="00DC523B">
        <w:tc>
          <w:tcPr>
            <w:tcW w:w="635"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pPr>
            <w:r>
              <w:rPr>
                <w:rFonts w:hint="eastAsia"/>
                <w:sz w:val="21"/>
                <w:szCs w:val="21"/>
              </w:rPr>
              <w:t> </w:t>
            </w:r>
          </w:p>
        </w:tc>
        <w:tc>
          <w:tcPr>
            <w:tcW w:w="24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pPr>
            <w:r>
              <w:rPr>
                <w:rFonts w:hint="eastAsia"/>
              </w:rPr>
              <w:t xml:space="preserve">其中：买断式回购的买入返售金融资产 </w:t>
            </w:r>
          </w:p>
        </w:tc>
        <w:tc>
          <w:tcPr>
            <w:tcW w:w="29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c>
          <w:tcPr>
            <w:tcW w:w="2052"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r>
      <w:tr w:rsidR="00DC523B">
        <w:tc>
          <w:tcPr>
            <w:tcW w:w="635"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7 </w:t>
            </w:r>
          </w:p>
        </w:tc>
        <w:tc>
          <w:tcPr>
            <w:tcW w:w="24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rPr>
                <w:sz w:val="21"/>
                <w:szCs w:val="21"/>
              </w:rPr>
            </w:pPr>
            <w:r>
              <w:rPr>
                <w:rFonts w:hint="eastAsia"/>
                <w:sz w:val="21"/>
                <w:szCs w:val="21"/>
              </w:rPr>
              <w:t xml:space="preserve">银行存款和结算备付金合计 </w:t>
            </w:r>
          </w:p>
        </w:tc>
        <w:tc>
          <w:tcPr>
            <w:tcW w:w="29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53,998,398.87</w:t>
            </w:r>
          </w:p>
        </w:tc>
        <w:tc>
          <w:tcPr>
            <w:tcW w:w="2052"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2.70</w:t>
            </w:r>
          </w:p>
        </w:tc>
      </w:tr>
      <w:tr w:rsidR="00DC523B">
        <w:tc>
          <w:tcPr>
            <w:tcW w:w="635"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8 </w:t>
            </w:r>
          </w:p>
        </w:tc>
        <w:tc>
          <w:tcPr>
            <w:tcW w:w="24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rPr>
                <w:sz w:val="21"/>
                <w:szCs w:val="21"/>
              </w:rPr>
            </w:pPr>
            <w:r>
              <w:rPr>
                <w:rFonts w:hint="eastAsia"/>
                <w:sz w:val="21"/>
                <w:szCs w:val="21"/>
              </w:rPr>
              <w:t xml:space="preserve">其他资产 </w:t>
            </w:r>
          </w:p>
        </w:tc>
        <w:tc>
          <w:tcPr>
            <w:tcW w:w="29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32,732,026.66</w:t>
            </w:r>
          </w:p>
        </w:tc>
        <w:tc>
          <w:tcPr>
            <w:tcW w:w="2052"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1.64</w:t>
            </w:r>
          </w:p>
        </w:tc>
      </w:tr>
      <w:tr w:rsidR="00DC523B">
        <w:tc>
          <w:tcPr>
            <w:tcW w:w="635" w:type="dxa"/>
            <w:tcBorders>
              <w:top w:val="single" w:sz="6" w:space="0" w:color="auto"/>
              <w:left w:val="single" w:sz="6" w:space="0" w:color="000000"/>
              <w:bottom w:val="single" w:sz="6" w:space="0" w:color="000000"/>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9 </w:t>
            </w:r>
          </w:p>
        </w:tc>
        <w:tc>
          <w:tcPr>
            <w:tcW w:w="2477" w:type="dxa"/>
            <w:tcBorders>
              <w:top w:val="single" w:sz="6" w:space="0" w:color="auto"/>
              <w:left w:val="single" w:sz="6" w:space="0" w:color="auto"/>
              <w:bottom w:val="single" w:sz="6" w:space="0" w:color="000000"/>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both"/>
              <w:rPr>
                <w:sz w:val="21"/>
                <w:szCs w:val="21"/>
              </w:rPr>
            </w:pPr>
            <w:r>
              <w:rPr>
                <w:rFonts w:hint="eastAsia"/>
                <w:sz w:val="21"/>
                <w:szCs w:val="21"/>
              </w:rPr>
              <w:t xml:space="preserve">合计 </w:t>
            </w:r>
          </w:p>
        </w:tc>
        <w:tc>
          <w:tcPr>
            <w:tcW w:w="2903" w:type="dxa"/>
            <w:tcBorders>
              <w:top w:val="single" w:sz="6" w:space="0" w:color="auto"/>
              <w:left w:val="single" w:sz="6" w:space="0" w:color="auto"/>
              <w:bottom w:val="single" w:sz="6" w:space="0" w:color="000000"/>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1,999,802,025.53</w:t>
            </w:r>
          </w:p>
        </w:tc>
        <w:tc>
          <w:tcPr>
            <w:tcW w:w="2052" w:type="dxa"/>
            <w:tcBorders>
              <w:top w:val="single" w:sz="6" w:space="0" w:color="auto"/>
              <w:left w:val="single" w:sz="6" w:space="0" w:color="auto"/>
              <w:bottom w:val="single" w:sz="6" w:space="0" w:color="000000"/>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100.00</w:t>
            </w:r>
          </w:p>
        </w:tc>
      </w:tr>
    </w:tbl>
    <w:p w:rsidR="00DC523B" w:rsidRDefault="005E7E0E">
      <w:pPr>
        <w:pStyle w:val="a5"/>
        <w:spacing w:before="0" w:beforeAutospacing="0" w:after="0" w:afterAutospacing="0" w:line="360" w:lineRule="auto"/>
        <w:rPr>
          <w:sz w:val="21"/>
          <w:szCs w:val="21"/>
        </w:rPr>
      </w:pPr>
      <w:bookmarkStart w:id="8" w:name="_Toc481074846"/>
      <w:bookmarkStart w:id="9" w:name="_Toc438646468"/>
      <w:bookmarkStart w:id="10" w:name="m502"/>
      <w:bookmarkStart w:id="11" w:name="_Toc438646470"/>
      <w:bookmarkStart w:id="12" w:name="m504"/>
      <w:bookmarkEnd w:id="8"/>
      <w:bookmarkEnd w:id="9"/>
      <w:bookmarkEnd w:id="10"/>
      <w:bookmarkEnd w:id="11"/>
      <w:r>
        <w:rPr>
          <w:rFonts w:hint="eastAsia"/>
          <w:b/>
          <w:bCs/>
          <w:sz w:val="21"/>
          <w:szCs w:val="21"/>
        </w:rPr>
        <w:t xml:space="preserve">2、报告期末按行业分类的股票投资组合 </w:t>
      </w:r>
      <w:bookmarkEnd w:id="12"/>
    </w:p>
    <w:p w:rsidR="00DC523B" w:rsidRDefault="005E7E0E">
      <w:pPr>
        <w:pStyle w:val="a5"/>
        <w:spacing w:before="0" w:beforeAutospacing="0" w:after="0" w:afterAutospacing="0" w:line="360" w:lineRule="auto"/>
        <w:rPr>
          <w:sz w:val="21"/>
          <w:szCs w:val="21"/>
        </w:rPr>
      </w:pPr>
      <w:bookmarkStart w:id="13" w:name="_Toc481074847"/>
      <w:r>
        <w:rPr>
          <w:rFonts w:hint="eastAsia"/>
          <w:b/>
          <w:bCs/>
          <w:sz w:val="21"/>
          <w:szCs w:val="21"/>
        </w:rPr>
        <w:t>（1）报告期末按行业分类的境内股票投资组合</w:t>
      </w:r>
      <w:bookmarkEnd w:id="13"/>
    </w:p>
    <w:p w:rsidR="00DC523B" w:rsidRDefault="005E7E0E">
      <w:pPr>
        <w:pStyle w:val="a5"/>
        <w:spacing w:before="0" w:beforeAutospacing="0" w:after="0" w:afterAutospacing="0" w:line="360" w:lineRule="auto"/>
        <w:rPr>
          <w:sz w:val="21"/>
          <w:szCs w:val="21"/>
        </w:rPr>
      </w:pPr>
      <w:bookmarkStart w:id="14" w:name="m502_tab"/>
      <w:r>
        <w:rPr>
          <w:rFonts w:hint="eastAsia"/>
          <w:sz w:val="21"/>
          <w:szCs w:val="21"/>
        </w:rPr>
        <w:t>注：无。</w:t>
      </w:r>
      <w:bookmarkEnd w:id="14"/>
    </w:p>
    <w:p w:rsidR="00DC523B" w:rsidRDefault="005E7E0E">
      <w:pPr>
        <w:pStyle w:val="a5"/>
        <w:spacing w:before="0" w:beforeAutospacing="0" w:after="0" w:afterAutospacing="0" w:line="360" w:lineRule="auto"/>
        <w:rPr>
          <w:sz w:val="21"/>
          <w:szCs w:val="21"/>
        </w:rPr>
      </w:pPr>
      <w:bookmarkStart w:id="15" w:name="_Toc481074848"/>
      <w:r>
        <w:rPr>
          <w:rFonts w:hint="eastAsia"/>
          <w:b/>
          <w:bCs/>
          <w:sz w:val="21"/>
          <w:szCs w:val="21"/>
        </w:rPr>
        <w:t>（2）报告期末按行业分类的港股通投资股票投资组合</w:t>
      </w:r>
      <w:bookmarkEnd w:id="15"/>
    </w:p>
    <w:p w:rsidR="00DC523B" w:rsidRDefault="005E7E0E">
      <w:pPr>
        <w:pStyle w:val="a5"/>
        <w:spacing w:before="0" w:beforeAutospacing="0" w:after="0" w:afterAutospacing="0" w:line="360" w:lineRule="auto"/>
        <w:rPr>
          <w:sz w:val="21"/>
          <w:szCs w:val="21"/>
        </w:rPr>
      </w:pPr>
      <w:r>
        <w:rPr>
          <w:rFonts w:hint="eastAsia"/>
          <w:sz w:val="21"/>
          <w:szCs w:val="21"/>
        </w:rPr>
        <w:t>注：无。</w:t>
      </w:r>
    </w:p>
    <w:p w:rsidR="00DC523B" w:rsidRDefault="005E7E0E">
      <w:pPr>
        <w:pStyle w:val="a5"/>
        <w:spacing w:before="0" w:beforeAutospacing="0" w:after="0" w:afterAutospacing="0" w:line="360" w:lineRule="auto"/>
        <w:rPr>
          <w:sz w:val="21"/>
          <w:szCs w:val="21"/>
        </w:rPr>
      </w:pPr>
      <w:bookmarkStart w:id="16" w:name="_Toc481074849"/>
      <w:r>
        <w:rPr>
          <w:rFonts w:hint="eastAsia"/>
          <w:b/>
          <w:bCs/>
          <w:sz w:val="21"/>
          <w:szCs w:val="21"/>
        </w:rPr>
        <w:t>3、报告期末按公允价值占基金资产净值比例大小排序的前十名股票投资明细</w:t>
      </w:r>
      <w:bookmarkEnd w:id="16"/>
    </w:p>
    <w:p w:rsidR="00DC523B" w:rsidRDefault="005E7E0E">
      <w:pPr>
        <w:pStyle w:val="a5"/>
        <w:spacing w:before="0" w:beforeAutospacing="0" w:after="0" w:afterAutospacing="0" w:line="360" w:lineRule="auto"/>
        <w:rPr>
          <w:sz w:val="21"/>
          <w:szCs w:val="21"/>
        </w:rPr>
      </w:pPr>
      <w:bookmarkStart w:id="17" w:name="m504_tab"/>
      <w:r>
        <w:rPr>
          <w:rFonts w:hint="eastAsia"/>
          <w:sz w:val="21"/>
          <w:szCs w:val="21"/>
        </w:rPr>
        <w:t>注：无。</w:t>
      </w:r>
      <w:bookmarkEnd w:id="17"/>
    </w:p>
    <w:p w:rsidR="00DC523B" w:rsidRDefault="005E7E0E">
      <w:pPr>
        <w:pStyle w:val="a5"/>
        <w:spacing w:before="0" w:beforeAutospacing="0" w:after="0" w:afterAutospacing="0" w:line="360" w:lineRule="auto"/>
        <w:rPr>
          <w:sz w:val="21"/>
          <w:szCs w:val="21"/>
        </w:rPr>
      </w:pPr>
      <w:bookmarkStart w:id="18" w:name="_Toc481074850"/>
      <w:bookmarkStart w:id="19" w:name="_Toc438646471"/>
      <w:bookmarkStart w:id="20" w:name="m505"/>
      <w:bookmarkEnd w:id="18"/>
      <w:bookmarkEnd w:id="19"/>
      <w:r>
        <w:rPr>
          <w:rFonts w:hint="eastAsia"/>
          <w:b/>
          <w:bCs/>
          <w:sz w:val="21"/>
          <w:szCs w:val="21"/>
        </w:rPr>
        <w:t xml:space="preserve">4、报告期末按债券品种分类的债券投资组合 </w:t>
      </w:r>
      <w:bookmarkEnd w:id="20"/>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59"/>
        <w:gridCol w:w="2500"/>
        <w:gridCol w:w="2977"/>
        <w:gridCol w:w="2114"/>
      </w:tblGrid>
      <w:tr w:rsidR="00DC523B">
        <w:trPr>
          <w:trHeight w:val="315"/>
        </w:trPr>
        <w:tc>
          <w:tcPr>
            <w:tcW w:w="791" w:type="dxa"/>
            <w:tcBorders>
              <w:top w:val="single" w:sz="6" w:space="0" w:color="000000"/>
              <w:left w:val="single" w:sz="6" w:space="0" w:color="000000"/>
              <w:bottom w:val="single" w:sz="6" w:space="0" w:color="auto"/>
              <w:right w:val="single" w:sz="6" w:space="0" w:color="auto"/>
            </w:tcBorders>
            <w:shd w:val="clear" w:color="auto" w:fill="D7D7D7"/>
            <w:tcMar>
              <w:top w:w="0" w:type="dxa"/>
              <w:left w:w="22" w:type="dxa"/>
              <w:bottom w:w="0" w:type="dxa"/>
              <w:right w:w="22"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序号 </w:t>
            </w:r>
          </w:p>
        </w:tc>
        <w:tc>
          <w:tcPr>
            <w:tcW w:w="2633" w:type="dxa"/>
            <w:tcBorders>
              <w:top w:val="single" w:sz="6" w:space="0" w:color="000000"/>
              <w:left w:val="single" w:sz="6" w:space="0" w:color="auto"/>
              <w:bottom w:val="single" w:sz="6" w:space="0" w:color="auto"/>
              <w:right w:val="single" w:sz="6" w:space="0" w:color="auto"/>
            </w:tcBorders>
            <w:shd w:val="clear" w:color="auto" w:fill="D7D7D7"/>
            <w:tcMar>
              <w:top w:w="0" w:type="dxa"/>
              <w:left w:w="22" w:type="dxa"/>
              <w:bottom w:w="0" w:type="dxa"/>
              <w:right w:w="22"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债券品种 </w:t>
            </w:r>
          </w:p>
        </w:tc>
        <w:tc>
          <w:tcPr>
            <w:tcW w:w="3059" w:type="dxa"/>
            <w:tcBorders>
              <w:top w:val="single" w:sz="6" w:space="0" w:color="000000"/>
              <w:left w:val="single" w:sz="6" w:space="0" w:color="auto"/>
              <w:bottom w:val="single" w:sz="6" w:space="0" w:color="auto"/>
              <w:right w:val="single" w:sz="6" w:space="0" w:color="auto"/>
            </w:tcBorders>
            <w:shd w:val="clear" w:color="auto" w:fill="D7D7D7"/>
            <w:tcMar>
              <w:top w:w="0" w:type="dxa"/>
              <w:left w:w="22" w:type="dxa"/>
              <w:bottom w:w="0" w:type="dxa"/>
              <w:right w:w="22"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公允价值（元） </w:t>
            </w:r>
          </w:p>
        </w:tc>
        <w:tc>
          <w:tcPr>
            <w:tcW w:w="2208" w:type="dxa"/>
            <w:tcBorders>
              <w:top w:val="single" w:sz="6" w:space="0" w:color="000000"/>
              <w:left w:val="single" w:sz="6" w:space="0" w:color="auto"/>
              <w:bottom w:val="single" w:sz="6" w:space="0" w:color="auto"/>
              <w:right w:val="single" w:sz="6" w:space="0" w:color="000000"/>
            </w:tcBorders>
            <w:shd w:val="clear" w:color="auto" w:fill="D7D7D7"/>
            <w:tcMar>
              <w:top w:w="0" w:type="dxa"/>
              <w:left w:w="22" w:type="dxa"/>
              <w:bottom w:w="0" w:type="dxa"/>
              <w:right w:w="22"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占基金资产净值比例（％） </w:t>
            </w:r>
          </w:p>
        </w:tc>
      </w:tr>
      <w:tr w:rsidR="00DC523B">
        <w:trPr>
          <w:trHeight w:val="315"/>
        </w:trPr>
        <w:tc>
          <w:tcPr>
            <w:tcW w:w="79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center"/>
            </w:pPr>
            <w:r>
              <w:rPr>
                <w:rFonts w:hint="eastAsia"/>
                <w:sz w:val="21"/>
                <w:szCs w:val="21"/>
              </w:rPr>
              <w:t xml:space="preserve">1 </w:t>
            </w:r>
          </w:p>
        </w:tc>
        <w:tc>
          <w:tcPr>
            <w:tcW w:w="263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both"/>
            </w:pPr>
            <w:r>
              <w:rPr>
                <w:rFonts w:hint="eastAsia"/>
                <w:sz w:val="21"/>
                <w:szCs w:val="21"/>
              </w:rPr>
              <w:t xml:space="preserve">国家债券 </w:t>
            </w:r>
          </w:p>
        </w:tc>
        <w:tc>
          <w:tcPr>
            <w:tcW w:w="305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w:t>
            </w:r>
          </w:p>
        </w:tc>
        <w:tc>
          <w:tcPr>
            <w:tcW w:w="220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w:t>
            </w:r>
          </w:p>
        </w:tc>
      </w:tr>
      <w:tr w:rsidR="00DC523B">
        <w:trPr>
          <w:trHeight w:val="315"/>
        </w:trPr>
        <w:tc>
          <w:tcPr>
            <w:tcW w:w="79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center"/>
            </w:pPr>
            <w:r>
              <w:rPr>
                <w:rFonts w:hint="eastAsia"/>
                <w:sz w:val="21"/>
                <w:szCs w:val="21"/>
              </w:rPr>
              <w:t xml:space="preserve">2 </w:t>
            </w:r>
          </w:p>
        </w:tc>
        <w:tc>
          <w:tcPr>
            <w:tcW w:w="263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both"/>
            </w:pPr>
            <w:r>
              <w:rPr>
                <w:rFonts w:hint="eastAsia"/>
                <w:sz w:val="21"/>
                <w:szCs w:val="21"/>
              </w:rPr>
              <w:t xml:space="preserve">央行票据 </w:t>
            </w:r>
          </w:p>
        </w:tc>
        <w:tc>
          <w:tcPr>
            <w:tcW w:w="305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w:t>
            </w:r>
          </w:p>
        </w:tc>
        <w:tc>
          <w:tcPr>
            <w:tcW w:w="220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w:t>
            </w:r>
          </w:p>
        </w:tc>
      </w:tr>
      <w:tr w:rsidR="00DC523B">
        <w:trPr>
          <w:trHeight w:val="315"/>
        </w:trPr>
        <w:tc>
          <w:tcPr>
            <w:tcW w:w="79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center"/>
            </w:pPr>
            <w:r>
              <w:rPr>
                <w:rFonts w:hint="eastAsia"/>
                <w:sz w:val="21"/>
                <w:szCs w:val="21"/>
              </w:rPr>
              <w:t xml:space="preserve">3 </w:t>
            </w:r>
          </w:p>
        </w:tc>
        <w:tc>
          <w:tcPr>
            <w:tcW w:w="263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both"/>
            </w:pPr>
            <w:r>
              <w:rPr>
                <w:rFonts w:hint="eastAsia"/>
                <w:sz w:val="21"/>
                <w:szCs w:val="21"/>
              </w:rPr>
              <w:t xml:space="preserve">金融债券 </w:t>
            </w:r>
          </w:p>
        </w:tc>
        <w:tc>
          <w:tcPr>
            <w:tcW w:w="305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79,968,000.00</w:t>
            </w:r>
          </w:p>
        </w:tc>
        <w:tc>
          <w:tcPr>
            <w:tcW w:w="220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5.19</w:t>
            </w:r>
          </w:p>
        </w:tc>
      </w:tr>
      <w:tr w:rsidR="00DC523B">
        <w:trPr>
          <w:trHeight w:val="315"/>
        </w:trPr>
        <w:tc>
          <w:tcPr>
            <w:tcW w:w="79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center"/>
            </w:pPr>
            <w:r>
              <w:rPr>
                <w:rFonts w:hint="eastAsia"/>
                <w:sz w:val="21"/>
                <w:szCs w:val="21"/>
              </w:rPr>
              <w:t> </w:t>
            </w:r>
          </w:p>
        </w:tc>
        <w:tc>
          <w:tcPr>
            <w:tcW w:w="263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both"/>
            </w:pPr>
            <w:r>
              <w:rPr>
                <w:rFonts w:hint="eastAsia"/>
                <w:sz w:val="21"/>
                <w:szCs w:val="21"/>
              </w:rPr>
              <w:t xml:space="preserve">其中：政策性金融债 </w:t>
            </w:r>
          </w:p>
        </w:tc>
        <w:tc>
          <w:tcPr>
            <w:tcW w:w="305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79,968,000.00</w:t>
            </w:r>
          </w:p>
        </w:tc>
        <w:tc>
          <w:tcPr>
            <w:tcW w:w="220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5.19</w:t>
            </w:r>
          </w:p>
        </w:tc>
      </w:tr>
      <w:tr w:rsidR="00DC523B">
        <w:trPr>
          <w:trHeight w:val="315"/>
        </w:trPr>
        <w:tc>
          <w:tcPr>
            <w:tcW w:w="79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center"/>
            </w:pPr>
            <w:r>
              <w:rPr>
                <w:rFonts w:hint="eastAsia"/>
                <w:sz w:val="21"/>
                <w:szCs w:val="21"/>
              </w:rPr>
              <w:t xml:space="preserve">4 </w:t>
            </w:r>
          </w:p>
        </w:tc>
        <w:tc>
          <w:tcPr>
            <w:tcW w:w="263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both"/>
            </w:pPr>
            <w:r>
              <w:rPr>
                <w:rFonts w:hint="eastAsia"/>
                <w:sz w:val="21"/>
                <w:szCs w:val="21"/>
              </w:rPr>
              <w:t xml:space="preserve">企业债券 </w:t>
            </w:r>
          </w:p>
        </w:tc>
        <w:tc>
          <w:tcPr>
            <w:tcW w:w="305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949,761,600.00</w:t>
            </w:r>
          </w:p>
        </w:tc>
        <w:tc>
          <w:tcPr>
            <w:tcW w:w="220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61.66</w:t>
            </w:r>
          </w:p>
        </w:tc>
      </w:tr>
      <w:tr w:rsidR="00DC523B">
        <w:trPr>
          <w:trHeight w:val="315"/>
        </w:trPr>
        <w:tc>
          <w:tcPr>
            <w:tcW w:w="79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center"/>
            </w:pPr>
            <w:r>
              <w:rPr>
                <w:rFonts w:hint="eastAsia"/>
                <w:sz w:val="21"/>
                <w:szCs w:val="21"/>
              </w:rPr>
              <w:t xml:space="preserve">5 </w:t>
            </w:r>
          </w:p>
        </w:tc>
        <w:tc>
          <w:tcPr>
            <w:tcW w:w="263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both"/>
            </w:pPr>
            <w:r>
              <w:rPr>
                <w:rFonts w:hint="eastAsia"/>
                <w:sz w:val="21"/>
                <w:szCs w:val="21"/>
              </w:rPr>
              <w:t xml:space="preserve">企业短期融资券 </w:t>
            </w:r>
          </w:p>
        </w:tc>
        <w:tc>
          <w:tcPr>
            <w:tcW w:w="305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70,728,000.00</w:t>
            </w:r>
          </w:p>
        </w:tc>
        <w:tc>
          <w:tcPr>
            <w:tcW w:w="220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4.59</w:t>
            </w:r>
          </w:p>
        </w:tc>
      </w:tr>
      <w:tr w:rsidR="00DC523B">
        <w:trPr>
          <w:trHeight w:val="315"/>
        </w:trPr>
        <w:tc>
          <w:tcPr>
            <w:tcW w:w="79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center"/>
            </w:pPr>
            <w:r>
              <w:rPr>
                <w:rFonts w:hint="eastAsia"/>
                <w:sz w:val="21"/>
                <w:szCs w:val="21"/>
              </w:rPr>
              <w:t xml:space="preserve">6 </w:t>
            </w:r>
          </w:p>
        </w:tc>
        <w:tc>
          <w:tcPr>
            <w:tcW w:w="263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both"/>
            </w:pPr>
            <w:r>
              <w:rPr>
                <w:rFonts w:hint="eastAsia"/>
                <w:sz w:val="21"/>
                <w:szCs w:val="21"/>
              </w:rPr>
              <w:t xml:space="preserve">中期票据 </w:t>
            </w:r>
          </w:p>
        </w:tc>
        <w:tc>
          <w:tcPr>
            <w:tcW w:w="305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750,614,000.00</w:t>
            </w:r>
          </w:p>
        </w:tc>
        <w:tc>
          <w:tcPr>
            <w:tcW w:w="220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48.73</w:t>
            </w:r>
          </w:p>
        </w:tc>
      </w:tr>
      <w:tr w:rsidR="00DC523B">
        <w:trPr>
          <w:trHeight w:val="315"/>
        </w:trPr>
        <w:tc>
          <w:tcPr>
            <w:tcW w:w="79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center"/>
            </w:pPr>
            <w:r>
              <w:rPr>
                <w:rFonts w:hint="eastAsia"/>
                <w:sz w:val="21"/>
                <w:szCs w:val="21"/>
              </w:rPr>
              <w:t xml:space="preserve">7 </w:t>
            </w:r>
          </w:p>
        </w:tc>
        <w:tc>
          <w:tcPr>
            <w:tcW w:w="263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both"/>
            </w:pPr>
            <w:r>
              <w:rPr>
                <w:rFonts w:hint="eastAsia"/>
                <w:sz w:val="21"/>
                <w:szCs w:val="21"/>
              </w:rPr>
              <w:t xml:space="preserve">可转债（可交换债） </w:t>
            </w:r>
          </w:p>
        </w:tc>
        <w:tc>
          <w:tcPr>
            <w:tcW w:w="305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w:t>
            </w:r>
          </w:p>
        </w:tc>
        <w:tc>
          <w:tcPr>
            <w:tcW w:w="220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w:t>
            </w:r>
          </w:p>
        </w:tc>
      </w:tr>
      <w:tr w:rsidR="00DC523B">
        <w:trPr>
          <w:trHeight w:val="315"/>
        </w:trPr>
        <w:tc>
          <w:tcPr>
            <w:tcW w:w="79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center"/>
            </w:pPr>
            <w:r>
              <w:rPr>
                <w:rFonts w:hint="eastAsia"/>
                <w:sz w:val="21"/>
                <w:szCs w:val="21"/>
              </w:rPr>
              <w:t xml:space="preserve">8 </w:t>
            </w:r>
          </w:p>
        </w:tc>
        <w:tc>
          <w:tcPr>
            <w:tcW w:w="263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both"/>
            </w:pPr>
            <w:r>
              <w:rPr>
                <w:rFonts w:hint="eastAsia"/>
                <w:sz w:val="21"/>
                <w:szCs w:val="21"/>
              </w:rPr>
              <w:t xml:space="preserve">同业存单 </w:t>
            </w:r>
          </w:p>
        </w:tc>
        <w:tc>
          <w:tcPr>
            <w:tcW w:w="305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w:t>
            </w:r>
          </w:p>
        </w:tc>
        <w:tc>
          <w:tcPr>
            <w:tcW w:w="220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w:t>
            </w:r>
          </w:p>
        </w:tc>
      </w:tr>
      <w:tr w:rsidR="00DC523B">
        <w:trPr>
          <w:trHeight w:val="315"/>
        </w:trPr>
        <w:tc>
          <w:tcPr>
            <w:tcW w:w="79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center"/>
            </w:pPr>
            <w:r>
              <w:rPr>
                <w:rFonts w:hint="eastAsia"/>
                <w:sz w:val="21"/>
                <w:szCs w:val="21"/>
              </w:rPr>
              <w:t xml:space="preserve">9 </w:t>
            </w:r>
          </w:p>
        </w:tc>
        <w:tc>
          <w:tcPr>
            <w:tcW w:w="263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both"/>
            </w:pPr>
            <w:r>
              <w:rPr>
                <w:rFonts w:hint="eastAsia"/>
                <w:sz w:val="21"/>
                <w:szCs w:val="21"/>
              </w:rPr>
              <w:t xml:space="preserve">其他 </w:t>
            </w:r>
          </w:p>
        </w:tc>
        <w:tc>
          <w:tcPr>
            <w:tcW w:w="305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w:t>
            </w:r>
          </w:p>
        </w:tc>
        <w:tc>
          <w:tcPr>
            <w:tcW w:w="220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w:t>
            </w:r>
          </w:p>
        </w:tc>
      </w:tr>
      <w:tr w:rsidR="00DC523B">
        <w:trPr>
          <w:trHeight w:val="315"/>
        </w:trPr>
        <w:tc>
          <w:tcPr>
            <w:tcW w:w="791" w:type="dxa"/>
            <w:tcBorders>
              <w:top w:val="single" w:sz="6" w:space="0" w:color="auto"/>
              <w:left w:val="single" w:sz="6" w:space="0" w:color="000000"/>
              <w:bottom w:val="single" w:sz="6" w:space="0" w:color="000000"/>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center"/>
            </w:pPr>
            <w:r>
              <w:rPr>
                <w:rFonts w:hint="eastAsia"/>
                <w:sz w:val="21"/>
                <w:szCs w:val="21"/>
              </w:rPr>
              <w:t xml:space="preserve">10 </w:t>
            </w:r>
          </w:p>
        </w:tc>
        <w:tc>
          <w:tcPr>
            <w:tcW w:w="2633" w:type="dxa"/>
            <w:tcBorders>
              <w:top w:val="single" w:sz="6" w:space="0" w:color="auto"/>
              <w:left w:val="single" w:sz="6" w:space="0" w:color="auto"/>
              <w:bottom w:val="single" w:sz="6" w:space="0" w:color="000000"/>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40" w:lineRule="atLeast"/>
              <w:jc w:val="both"/>
            </w:pPr>
            <w:r>
              <w:rPr>
                <w:rFonts w:hint="eastAsia"/>
                <w:sz w:val="21"/>
                <w:szCs w:val="21"/>
              </w:rPr>
              <w:t xml:space="preserve">合计 </w:t>
            </w:r>
          </w:p>
        </w:tc>
        <w:tc>
          <w:tcPr>
            <w:tcW w:w="3059" w:type="dxa"/>
            <w:tcBorders>
              <w:top w:val="single" w:sz="6" w:space="0" w:color="auto"/>
              <w:left w:val="single" w:sz="6" w:space="0" w:color="auto"/>
              <w:bottom w:val="single" w:sz="6" w:space="0" w:color="000000"/>
              <w:right w:val="single" w:sz="6" w:space="0" w:color="auto"/>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1,851,071,600.00</w:t>
            </w:r>
          </w:p>
        </w:tc>
        <w:tc>
          <w:tcPr>
            <w:tcW w:w="2208" w:type="dxa"/>
            <w:tcBorders>
              <w:top w:val="single" w:sz="6" w:space="0" w:color="auto"/>
              <w:left w:val="single" w:sz="6" w:space="0" w:color="auto"/>
              <w:bottom w:val="single" w:sz="6" w:space="0" w:color="000000"/>
              <w:right w:val="single" w:sz="6" w:space="0" w:color="000000"/>
            </w:tcBorders>
            <w:tcMar>
              <w:top w:w="0" w:type="dxa"/>
              <w:left w:w="22" w:type="dxa"/>
              <w:bottom w:w="0" w:type="dxa"/>
              <w:right w:w="22" w:type="dxa"/>
            </w:tcMar>
            <w:vAlign w:val="center"/>
            <w:hideMark/>
          </w:tcPr>
          <w:p w:rsidR="00DC523B" w:rsidRDefault="005E7E0E">
            <w:pPr>
              <w:pStyle w:val="a5"/>
              <w:spacing w:before="0" w:beforeAutospacing="0" w:after="0" w:afterAutospacing="0" w:line="380" w:lineRule="atLeast"/>
              <w:jc w:val="right"/>
            </w:pPr>
            <w:r>
              <w:rPr>
                <w:rFonts w:hint="eastAsia"/>
                <w:sz w:val="21"/>
                <w:szCs w:val="21"/>
              </w:rPr>
              <w:t>120.17</w:t>
            </w:r>
          </w:p>
        </w:tc>
      </w:tr>
    </w:tbl>
    <w:p w:rsidR="00DC523B" w:rsidRDefault="005E7E0E">
      <w:pPr>
        <w:pStyle w:val="a5"/>
        <w:spacing w:before="0" w:beforeAutospacing="0" w:after="0" w:afterAutospacing="0" w:line="360" w:lineRule="auto"/>
        <w:rPr>
          <w:sz w:val="21"/>
          <w:szCs w:val="21"/>
        </w:rPr>
      </w:pPr>
      <w:bookmarkStart w:id="21" w:name="_Toc481074851"/>
      <w:bookmarkStart w:id="22" w:name="_Toc438646472"/>
      <w:bookmarkStart w:id="23" w:name="m506"/>
      <w:bookmarkEnd w:id="21"/>
      <w:bookmarkEnd w:id="22"/>
      <w:r>
        <w:rPr>
          <w:rFonts w:hint="eastAsia"/>
          <w:b/>
          <w:bCs/>
          <w:sz w:val="21"/>
          <w:szCs w:val="21"/>
        </w:rPr>
        <w:t>5、报告期末按公允价值占基金资产净值比例大小排序的前五名债券投资明细</w:t>
      </w:r>
      <w:bookmarkEnd w:id="23"/>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151"/>
        <w:gridCol w:w="1228"/>
        <w:gridCol w:w="1187"/>
        <w:gridCol w:w="1308"/>
        <w:gridCol w:w="1765"/>
        <w:gridCol w:w="1683"/>
      </w:tblGrid>
      <w:tr w:rsidR="00DC523B">
        <w:trPr>
          <w:trHeight w:val="286"/>
        </w:trPr>
        <w:tc>
          <w:tcPr>
            <w:tcW w:w="1266" w:type="dxa"/>
            <w:tcBorders>
              <w:top w:val="single" w:sz="6" w:space="0" w:color="000000"/>
              <w:left w:val="single" w:sz="6" w:space="0" w:color="000000"/>
              <w:bottom w:val="single" w:sz="6" w:space="0" w:color="auto"/>
              <w:right w:val="single" w:sz="6" w:space="0" w:color="auto"/>
            </w:tcBorders>
            <w:shd w:val="clear" w:color="auto" w:fill="D7D7D7"/>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序号 </w:t>
            </w:r>
          </w:p>
        </w:tc>
        <w:tc>
          <w:tcPr>
            <w:tcW w:w="1261" w:type="dxa"/>
            <w:tcBorders>
              <w:top w:val="single" w:sz="6" w:space="0" w:color="000000"/>
              <w:left w:val="single" w:sz="6" w:space="0" w:color="auto"/>
              <w:bottom w:val="single" w:sz="6" w:space="0" w:color="auto"/>
              <w:right w:val="single" w:sz="6" w:space="0" w:color="auto"/>
            </w:tcBorders>
            <w:shd w:val="clear" w:color="auto" w:fill="D7D7D7"/>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债券代码 </w:t>
            </w:r>
          </w:p>
        </w:tc>
        <w:tc>
          <w:tcPr>
            <w:tcW w:w="1255" w:type="dxa"/>
            <w:tcBorders>
              <w:top w:val="single" w:sz="6" w:space="0" w:color="000000"/>
              <w:left w:val="single" w:sz="6" w:space="0" w:color="auto"/>
              <w:bottom w:val="single" w:sz="6" w:space="0" w:color="auto"/>
              <w:right w:val="single" w:sz="6" w:space="0" w:color="auto"/>
            </w:tcBorders>
            <w:shd w:val="clear" w:color="auto" w:fill="D7D7D7"/>
            <w:tcMar>
              <w:top w:w="8" w:type="dxa"/>
              <w:left w:w="8" w:type="dxa"/>
              <w:bottom w:w="0" w:type="dxa"/>
              <w:right w:w="8"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债券名称 </w:t>
            </w:r>
          </w:p>
        </w:tc>
        <w:tc>
          <w:tcPr>
            <w:tcW w:w="1378" w:type="dxa"/>
            <w:tcBorders>
              <w:top w:val="single" w:sz="6" w:space="0" w:color="000000"/>
              <w:left w:val="single" w:sz="6" w:space="0" w:color="auto"/>
              <w:bottom w:val="single" w:sz="6" w:space="0" w:color="auto"/>
              <w:right w:val="single" w:sz="6" w:space="0" w:color="auto"/>
            </w:tcBorders>
            <w:shd w:val="clear" w:color="auto" w:fill="D7D7D7"/>
            <w:tcMar>
              <w:top w:w="8" w:type="dxa"/>
              <w:left w:w="8" w:type="dxa"/>
              <w:bottom w:w="0" w:type="dxa"/>
              <w:right w:w="8"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数量(张) </w:t>
            </w:r>
          </w:p>
        </w:tc>
        <w:tc>
          <w:tcPr>
            <w:tcW w:w="1813" w:type="dxa"/>
            <w:tcBorders>
              <w:top w:val="single" w:sz="6" w:space="0" w:color="000000"/>
              <w:left w:val="single" w:sz="6" w:space="0" w:color="auto"/>
              <w:bottom w:val="single" w:sz="6" w:space="0" w:color="auto"/>
              <w:right w:val="single" w:sz="6" w:space="0" w:color="auto"/>
            </w:tcBorders>
            <w:shd w:val="clear" w:color="auto" w:fill="D7D7D7"/>
            <w:tcMar>
              <w:top w:w="8" w:type="dxa"/>
              <w:left w:w="8" w:type="dxa"/>
              <w:bottom w:w="0" w:type="dxa"/>
              <w:right w:w="8"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公允价值（元） </w:t>
            </w:r>
          </w:p>
        </w:tc>
        <w:tc>
          <w:tcPr>
            <w:tcW w:w="1813" w:type="dxa"/>
            <w:tcBorders>
              <w:top w:val="single" w:sz="6" w:space="0" w:color="000000"/>
              <w:left w:val="single" w:sz="6" w:space="0" w:color="auto"/>
              <w:bottom w:val="single" w:sz="6" w:space="0" w:color="auto"/>
              <w:right w:val="single" w:sz="6" w:space="0" w:color="000000"/>
            </w:tcBorders>
            <w:shd w:val="clear" w:color="auto" w:fill="D7D7D7"/>
            <w:tcMar>
              <w:top w:w="8" w:type="dxa"/>
              <w:left w:w="8" w:type="dxa"/>
              <w:bottom w:w="0" w:type="dxa"/>
              <w:right w:w="8"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占基金资产净值比例（％） </w:t>
            </w:r>
          </w:p>
        </w:tc>
      </w:tr>
      <w:tr w:rsidR="00DC523B">
        <w:trPr>
          <w:trHeight w:val="286"/>
        </w:trPr>
        <w:tc>
          <w:tcPr>
            <w:tcW w:w="1266" w:type="dxa"/>
            <w:tcBorders>
              <w:top w:val="single" w:sz="6" w:space="0" w:color="auto"/>
              <w:left w:val="single" w:sz="6" w:space="0" w:color="000000"/>
              <w:bottom w:val="single" w:sz="6" w:space="0" w:color="auto"/>
              <w:right w:val="single" w:sz="6" w:space="0" w:color="auto"/>
            </w:tcBorders>
            <w:vAlign w:val="center"/>
            <w:hideMark/>
          </w:tcPr>
          <w:p w:rsidR="00DC523B" w:rsidRDefault="005E7E0E">
            <w:pPr>
              <w:pStyle w:val="a5"/>
              <w:spacing w:before="0" w:beforeAutospacing="0" w:after="0" w:afterAutospacing="0"/>
              <w:jc w:val="center"/>
              <w:rPr>
                <w:sz w:val="21"/>
                <w:szCs w:val="21"/>
              </w:rPr>
            </w:pPr>
            <w:r>
              <w:rPr>
                <w:rFonts w:hint="eastAsia"/>
                <w:sz w:val="21"/>
                <w:szCs w:val="21"/>
              </w:rPr>
              <w:t>1</w:t>
            </w:r>
          </w:p>
        </w:tc>
        <w:tc>
          <w:tcPr>
            <w:tcW w:w="1261" w:type="dxa"/>
            <w:tcBorders>
              <w:top w:val="single" w:sz="6" w:space="0" w:color="auto"/>
              <w:left w:val="single" w:sz="6" w:space="0" w:color="auto"/>
              <w:bottom w:val="single" w:sz="6" w:space="0" w:color="auto"/>
              <w:right w:val="single" w:sz="6" w:space="0" w:color="auto"/>
            </w:tcBorders>
            <w:vAlign w:val="center"/>
            <w:hideMark/>
          </w:tcPr>
          <w:p w:rsidR="00DC523B" w:rsidRDefault="005E7E0E">
            <w:pPr>
              <w:pStyle w:val="a5"/>
              <w:spacing w:before="0" w:beforeAutospacing="0" w:after="0" w:afterAutospacing="0"/>
              <w:jc w:val="center"/>
              <w:rPr>
                <w:sz w:val="21"/>
                <w:szCs w:val="21"/>
              </w:rPr>
            </w:pPr>
            <w:r>
              <w:rPr>
                <w:rFonts w:hint="eastAsia"/>
                <w:sz w:val="21"/>
                <w:szCs w:val="21"/>
              </w:rPr>
              <w:t>101659010</w:t>
            </w:r>
          </w:p>
        </w:tc>
        <w:tc>
          <w:tcPr>
            <w:tcW w:w="1255"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16金地MTN002</w:t>
            </w:r>
          </w:p>
        </w:tc>
        <w:tc>
          <w:tcPr>
            <w:tcW w:w="1378"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900,000</w:t>
            </w:r>
          </w:p>
        </w:tc>
        <w:tc>
          <w:tcPr>
            <w:tcW w:w="1813"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90,270,000.00</w:t>
            </w:r>
          </w:p>
        </w:tc>
        <w:tc>
          <w:tcPr>
            <w:tcW w:w="1813" w:type="dxa"/>
            <w:tcBorders>
              <w:top w:val="single" w:sz="6" w:space="0" w:color="auto"/>
              <w:left w:val="single" w:sz="6" w:space="0" w:color="auto"/>
              <w:bottom w:val="single" w:sz="6" w:space="0" w:color="auto"/>
              <w:right w:val="single" w:sz="6" w:space="0" w:color="000000"/>
            </w:tcBorders>
            <w:tcMar>
              <w:top w:w="8" w:type="dxa"/>
              <w:left w:w="8" w:type="dxa"/>
              <w:bottom w:w="0" w:type="dxa"/>
              <w:right w:w="8"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5.86</w:t>
            </w:r>
          </w:p>
        </w:tc>
      </w:tr>
      <w:tr w:rsidR="00DC523B">
        <w:trPr>
          <w:trHeight w:val="286"/>
        </w:trPr>
        <w:tc>
          <w:tcPr>
            <w:tcW w:w="1266" w:type="dxa"/>
            <w:tcBorders>
              <w:top w:val="single" w:sz="6" w:space="0" w:color="auto"/>
              <w:left w:val="single" w:sz="6" w:space="0" w:color="000000"/>
              <w:bottom w:val="single" w:sz="6" w:space="0" w:color="auto"/>
              <w:right w:val="single" w:sz="6" w:space="0" w:color="auto"/>
            </w:tcBorders>
            <w:vAlign w:val="center"/>
            <w:hideMark/>
          </w:tcPr>
          <w:p w:rsidR="00DC523B" w:rsidRDefault="005E7E0E">
            <w:pPr>
              <w:pStyle w:val="a5"/>
              <w:spacing w:before="0" w:beforeAutospacing="0" w:after="0" w:afterAutospacing="0"/>
              <w:jc w:val="center"/>
              <w:rPr>
                <w:sz w:val="21"/>
                <w:szCs w:val="21"/>
              </w:rPr>
            </w:pPr>
            <w:r>
              <w:rPr>
                <w:rFonts w:hint="eastAsia"/>
                <w:sz w:val="21"/>
                <w:szCs w:val="21"/>
              </w:rPr>
              <w:t>2</w:t>
            </w:r>
          </w:p>
        </w:tc>
        <w:tc>
          <w:tcPr>
            <w:tcW w:w="1261" w:type="dxa"/>
            <w:tcBorders>
              <w:top w:val="single" w:sz="6" w:space="0" w:color="auto"/>
              <w:left w:val="single" w:sz="6" w:space="0" w:color="auto"/>
              <w:bottom w:val="single" w:sz="6" w:space="0" w:color="auto"/>
              <w:right w:val="single" w:sz="6" w:space="0" w:color="auto"/>
            </w:tcBorders>
            <w:vAlign w:val="center"/>
            <w:hideMark/>
          </w:tcPr>
          <w:p w:rsidR="00DC523B" w:rsidRDefault="005E7E0E">
            <w:pPr>
              <w:pStyle w:val="a5"/>
              <w:spacing w:before="0" w:beforeAutospacing="0" w:after="0" w:afterAutospacing="0"/>
              <w:jc w:val="center"/>
              <w:rPr>
                <w:sz w:val="21"/>
                <w:szCs w:val="21"/>
              </w:rPr>
            </w:pPr>
            <w:r>
              <w:rPr>
                <w:rFonts w:hint="eastAsia"/>
                <w:sz w:val="21"/>
                <w:szCs w:val="21"/>
              </w:rPr>
              <w:t>1680133</w:t>
            </w:r>
          </w:p>
        </w:tc>
        <w:tc>
          <w:tcPr>
            <w:tcW w:w="1255"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16赣铁债02</w:t>
            </w:r>
          </w:p>
        </w:tc>
        <w:tc>
          <w:tcPr>
            <w:tcW w:w="1378"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900,000</w:t>
            </w:r>
          </w:p>
        </w:tc>
        <w:tc>
          <w:tcPr>
            <w:tcW w:w="1813"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89,865,000.00</w:t>
            </w:r>
          </w:p>
        </w:tc>
        <w:tc>
          <w:tcPr>
            <w:tcW w:w="1813" w:type="dxa"/>
            <w:tcBorders>
              <w:top w:val="single" w:sz="6" w:space="0" w:color="auto"/>
              <w:left w:val="single" w:sz="6" w:space="0" w:color="auto"/>
              <w:bottom w:val="single" w:sz="6" w:space="0" w:color="auto"/>
              <w:right w:val="single" w:sz="6" w:space="0" w:color="000000"/>
            </w:tcBorders>
            <w:tcMar>
              <w:top w:w="8" w:type="dxa"/>
              <w:left w:w="8" w:type="dxa"/>
              <w:bottom w:w="0" w:type="dxa"/>
              <w:right w:w="8"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5.83</w:t>
            </w:r>
          </w:p>
        </w:tc>
      </w:tr>
      <w:tr w:rsidR="00DC523B">
        <w:trPr>
          <w:trHeight w:val="286"/>
        </w:trPr>
        <w:tc>
          <w:tcPr>
            <w:tcW w:w="1266" w:type="dxa"/>
            <w:tcBorders>
              <w:top w:val="single" w:sz="6" w:space="0" w:color="auto"/>
              <w:left w:val="single" w:sz="6" w:space="0" w:color="000000"/>
              <w:bottom w:val="single" w:sz="6" w:space="0" w:color="auto"/>
              <w:right w:val="single" w:sz="6" w:space="0" w:color="auto"/>
            </w:tcBorders>
            <w:vAlign w:val="center"/>
            <w:hideMark/>
          </w:tcPr>
          <w:p w:rsidR="00DC523B" w:rsidRDefault="005E7E0E">
            <w:pPr>
              <w:pStyle w:val="a5"/>
              <w:spacing w:before="0" w:beforeAutospacing="0" w:after="0" w:afterAutospacing="0"/>
              <w:jc w:val="center"/>
              <w:rPr>
                <w:sz w:val="21"/>
                <w:szCs w:val="21"/>
              </w:rPr>
            </w:pPr>
            <w:r>
              <w:rPr>
                <w:rFonts w:hint="eastAsia"/>
                <w:sz w:val="21"/>
                <w:szCs w:val="21"/>
              </w:rPr>
              <w:t>3</w:t>
            </w:r>
          </w:p>
        </w:tc>
        <w:tc>
          <w:tcPr>
            <w:tcW w:w="1261" w:type="dxa"/>
            <w:tcBorders>
              <w:top w:val="single" w:sz="6" w:space="0" w:color="auto"/>
              <w:left w:val="single" w:sz="6" w:space="0" w:color="auto"/>
              <w:bottom w:val="single" w:sz="6" w:space="0" w:color="auto"/>
              <w:right w:val="single" w:sz="6" w:space="0" w:color="auto"/>
            </w:tcBorders>
            <w:vAlign w:val="center"/>
            <w:hideMark/>
          </w:tcPr>
          <w:p w:rsidR="00DC523B" w:rsidRDefault="005E7E0E">
            <w:pPr>
              <w:pStyle w:val="a5"/>
              <w:spacing w:before="0" w:beforeAutospacing="0" w:after="0" w:afterAutospacing="0"/>
              <w:jc w:val="center"/>
              <w:rPr>
                <w:sz w:val="21"/>
                <w:szCs w:val="21"/>
              </w:rPr>
            </w:pPr>
            <w:r>
              <w:rPr>
                <w:rFonts w:hint="eastAsia"/>
                <w:sz w:val="21"/>
                <w:szCs w:val="21"/>
              </w:rPr>
              <w:t>127382</w:t>
            </w:r>
          </w:p>
        </w:tc>
        <w:tc>
          <w:tcPr>
            <w:tcW w:w="1255"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16赣投债</w:t>
            </w:r>
          </w:p>
        </w:tc>
        <w:tc>
          <w:tcPr>
            <w:tcW w:w="1378"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900,000</w:t>
            </w:r>
          </w:p>
        </w:tc>
        <w:tc>
          <w:tcPr>
            <w:tcW w:w="1813"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89,676,000.00</w:t>
            </w:r>
          </w:p>
        </w:tc>
        <w:tc>
          <w:tcPr>
            <w:tcW w:w="1813" w:type="dxa"/>
            <w:tcBorders>
              <w:top w:val="single" w:sz="6" w:space="0" w:color="auto"/>
              <w:left w:val="single" w:sz="6" w:space="0" w:color="auto"/>
              <w:bottom w:val="single" w:sz="6" w:space="0" w:color="auto"/>
              <w:right w:val="single" w:sz="6" w:space="0" w:color="000000"/>
            </w:tcBorders>
            <w:tcMar>
              <w:top w:w="8" w:type="dxa"/>
              <w:left w:w="8" w:type="dxa"/>
              <w:bottom w:w="0" w:type="dxa"/>
              <w:right w:w="8"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5.82</w:t>
            </w:r>
          </w:p>
        </w:tc>
      </w:tr>
      <w:tr w:rsidR="00DC523B">
        <w:trPr>
          <w:trHeight w:val="286"/>
        </w:trPr>
        <w:tc>
          <w:tcPr>
            <w:tcW w:w="1266" w:type="dxa"/>
            <w:tcBorders>
              <w:top w:val="single" w:sz="6" w:space="0" w:color="auto"/>
              <w:left w:val="single" w:sz="6" w:space="0" w:color="000000"/>
              <w:bottom w:val="single" w:sz="6" w:space="0" w:color="auto"/>
              <w:right w:val="single" w:sz="6" w:space="0" w:color="auto"/>
            </w:tcBorders>
            <w:vAlign w:val="center"/>
            <w:hideMark/>
          </w:tcPr>
          <w:p w:rsidR="00DC523B" w:rsidRDefault="005E7E0E">
            <w:pPr>
              <w:pStyle w:val="a5"/>
              <w:spacing w:before="0" w:beforeAutospacing="0" w:after="0" w:afterAutospacing="0"/>
              <w:jc w:val="center"/>
              <w:rPr>
                <w:sz w:val="21"/>
                <w:szCs w:val="21"/>
              </w:rPr>
            </w:pPr>
            <w:r>
              <w:rPr>
                <w:rFonts w:hint="eastAsia"/>
                <w:sz w:val="21"/>
                <w:szCs w:val="21"/>
              </w:rPr>
              <w:t>4</w:t>
            </w:r>
          </w:p>
        </w:tc>
        <w:tc>
          <w:tcPr>
            <w:tcW w:w="1261" w:type="dxa"/>
            <w:tcBorders>
              <w:top w:val="single" w:sz="6" w:space="0" w:color="auto"/>
              <w:left w:val="single" w:sz="6" w:space="0" w:color="auto"/>
              <w:bottom w:val="single" w:sz="6" w:space="0" w:color="auto"/>
              <w:right w:val="single" w:sz="6" w:space="0" w:color="auto"/>
            </w:tcBorders>
            <w:vAlign w:val="center"/>
            <w:hideMark/>
          </w:tcPr>
          <w:p w:rsidR="00DC523B" w:rsidRDefault="005E7E0E">
            <w:pPr>
              <w:pStyle w:val="a5"/>
              <w:spacing w:before="0" w:beforeAutospacing="0" w:after="0" w:afterAutospacing="0"/>
              <w:jc w:val="center"/>
              <w:rPr>
                <w:sz w:val="21"/>
                <w:szCs w:val="21"/>
              </w:rPr>
            </w:pPr>
            <w:r>
              <w:rPr>
                <w:rFonts w:hint="eastAsia"/>
                <w:sz w:val="21"/>
                <w:szCs w:val="21"/>
              </w:rPr>
              <w:t>127446</w:t>
            </w:r>
          </w:p>
        </w:tc>
        <w:tc>
          <w:tcPr>
            <w:tcW w:w="1255"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16穗城02</w:t>
            </w:r>
          </w:p>
        </w:tc>
        <w:tc>
          <w:tcPr>
            <w:tcW w:w="1378"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900,000</w:t>
            </w:r>
          </w:p>
        </w:tc>
        <w:tc>
          <w:tcPr>
            <w:tcW w:w="1813"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89,253,000.00</w:t>
            </w:r>
          </w:p>
        </w:tc>
        <w:tc>
          <w:tcPr>
            <w:tcW w:w="1813" w:type="dxa"/>
            <w:tcBorders>
              <w:top w:val="single" w:sz="6" w:space="0" w:color="auto"/>
              <w:left w:val="single" w:sz="6" w:space="0" w:color="auto"/>
              <w:bottom w:val="single" w:sz="6" w:space="0" w:color="auto"/>
              <w:right w:val="single" w:sz="6" w:space="0" w:color="000000"/>
            </w:tcBorders>
            <w:tcMar>
              <w:top w:w="8" w:type="dxa"/>
              <w:left w:w="8" w:type="dxa"/>
              <w:bottom w:w="0" w:type="dxa"/>
              <w:right w:w="8"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5.79</w:t>
            </w:r>
          </w:p>
        </w:tc>
      </w:tr>
      <w:tr w:rsidR="00DC523B">
        <w:trPr>
          <w:trHeight w:val="286"/>
        </w:trPr>
        <w:tc>
          <w:tcPr>
            <w:tcW w:w="1266" w:type="dxa"/>
            <w:tcBorders>
              <w:top w:val="single" w:sz="6" w:space="0" w:color="auto"/>
              <w:left w:val="single" w:sz="6" w:space="0" w:color="000000"/>
              <w:bottom w:val="single" w:sz="6" w:space="0" w:color="000000"/>
              <w:right w:val="single" w:sz="6" w:space="0" w:color="auto"/>
            </w:tcBorders>
            <w:vAlign w:val="center"/>
            <w:hideMark/>
          </w:tcPr>
          <w:p w:rsidR="00DC523B" w:rsidRDefault="005E7E0E">
            <w:pPr>
              <w:pStyle w:val="a5"/>
              <w:spacing w:before="0" w:beforeAutospacing="0" w:after="0" w:afterAutospacing="0"/>
              <w:jc w:val="center"/>
              <w:rPr>
                <w:sz w:val="21"/>
                <w:szCs w:val="21"/>
              </w:rPr>
            </w:pPr>
            <w:r>
              <w:rPr>
                <w:rFonts w:hint="eastAsia"/>
                <w:sz w:val="21"/>
                <w:szCs w:val="21"/>
              </w:rPr>
              <w:t>5</w:t>
            </w:r>
          </w:p>
        </w:tc>
        <w:tc>
          <w:tcPr>
            <w:tcW w:w="1261" w:type="dxa"/>
            <w:tcBorders>
              <w:top w:val="single" w:sz="6" w:space="0" w:color="auto"/>
              <w:left w:val="single" w:sz="6" w:space="0" w:color="auto"/>
              <w:bottom w:val="single" w:sz="6" w:space="0" w:color="000000"/>
              <w:right w:val="single" w:sz="6" w:space="0" w:color="auto"/>
            </w:tcBorders>
            <w:vAlign w:val="center"/>
            <w:hideMark/>
          </w:tcPr>
          <w:p w:rsidR="00DC523B" w:rsidRDefault="005E7E0E">
            <w:pPr>
              <w:pStyle w:val="a5"/>
              <w:spacing w:before="0" w:beforeAutospacing="0" w:after="0" w:afterAutospacing="0"/>
              <w:jc w:val="center"/>
              <w:rPr>
                <w:sz w:val="21"/>
                <w:szCs w:val="21"/>
              </w:rPr>
            </w:pPr>
            <w:r>
              <w:rPr>
                <w:rFonts w:hint="eastAsia"/>
                <w:sz w:val="21"/>
                <w:szCs w:val="21"/>
              </w:rPr>
              <w:t>143077</w:t>
            </w:r>
          </w:p>
        </w:tc>
        <w:tc>
          <w:tcPr>
            <w:tcW w:w="1255" w:type="dxa"/>
            <w:tcBorders>
              <w:top w:val="single" w:sz="6" w:space="0" w:color="auto"/>
              <w:left w:val="single" w:sz="6" w:space="0" w:color="auto"/>
              <w:bottom w:val="single" w:sz="6" w:space="0" w:color="000000"/>
              <w:right w:val="single" w:sz="6" w:space="0" w:color="auto"/>
            </w:tcBorders>
            <w:tcMar>
              <w:top w:w="8" w:type="dxa"/>
              <w:left w:w="8" w:type="dxa"/>
              <w:bottom w:w="0" w:type="dxa"/>
              <w:right w:w="8"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17兵装02</w:t>
            </w:r>
          </w:p>
        </w:tc>
        <w:tc>
          <w:tcPr>
            <w:tcW w:w="1378" w:type="dxa"/>
            <w:tcBorders>
              <w:top w:val="single" w:sz="6" w:space="0" w:color="auto"/>
              <w:left w:val="single" w:sz="6" w:space="0" w:color="auto"/>
              <w:bottom w:val="single" w:sz="6" w:space="0" w:color="000000"/>
              <w:right w:val="single" w:sz="6" w:space="0" w:color="auto"/>
            </w:tcBorders>
            <w:tcMar>
              <w:top w:w="8" w:type="dxa"/>
              <w:left w:w="8" w:type="dxa"/>
              <w:bottom w:w="0" w:type="dxa"/>
              <w:right w:w="8"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800,000</w:t>
            </w:r>
          </w:p>
        </w:tc>
        <w:tc>
          <w:tcPr>
            <w:tcW w:w="1813" w:type="dxa"/>
            <w:tcBorders>
              <w:top w:val="single" w:sz="6" w:space="0" w:color="auto"/>
              <w:left w:val="single" w:sz="6" w:space="0" w:color="auto"/>
              <w:bottom w:val="single" w:sz="6" w:space="0" w:color="000000"/>
              <w:right w:val="single" w:sz="6" w:space="0" w:color="auto"/>
            </w:tcBorders>
            <w:tcMar>
              <w:top w:w="8" w:type="dxa"/>
              <w:left w:w="8" w:type="dxa"/>
              <w:bottom w:w="0" w:type="dxa"/>
              <w:right w:w="8"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81,640,000.00</w:t>
            </w:r>
          </w:p>
        </w:tc>
        <w:tc>
          <w:tcPr>
            <w:tcW w:w="1813" w:type="dxa"/>
            <w:tcBorders>
              <w:top w:val="single" w:sz="6" w:space="0" w:color="auto"/>
              <w:left w:val="single" w:sz="6" w:space="0" w:color="auto"/>
              <w:bottom w:val="single" w:sz="6" w:space="0" w:color="000000"/>
              <w:right w:val="single" w:sz="6" w:space="0" w:color="000000"/>
            </w:tcBorders>
            <w:tcMar>
              <w:top w:w="8" w:type="dxa"/>
              <w:left w:w="8" w:type="dxa"/>
              <w:bottom w:w="0" w:type="dxa"/>
              <w:right w:w="8"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5.30</w:t>
            </w:r>
          </w:p>
        </w:tc>
      </w:tr>
    </w:tbl>
    <w:p w:rsidR="00DC523B" w:rsidRDefault="005E7E0E">
      <w:pPr>
        <w:pStyle w:val="a5"/>
        <w:spacing w:before="0" w:beforeAutospacing="0" w:after="0" w:afterAutospacing="0" w:line="360" w:lineRule="auto"/>
        <w:rPr>
          <w:sz w:val="21"/>
          <w:szCs w:val="21"/>
        </w:rPr>
      </w:pPr>
      <w:bookmarkStart w:id="24" w:name="_Toc481074852"/>
      <w:bookmarkStart w:id="25" w:name="_Toc438646473"/>
      <w:bookmarkStart w:id="26" w:name="m507"/>
      <w:bookmarkEnd w:id="24"/>
      <w:bookmarkEnd w:id="25"/>
      <w:r>
        <w:rPr>
          <w:rFonts w:hint="eastAsia"/>
          <w:b/>
          <w:bCs/>
          <w:sz w:val="21"/>
          <w:szCs w:val="21"/>
        </w:rPr>
        <w:t xml:space="preserve">6、报告期末按公允价值占基金资产净值比例大小排序的前十名资产支持证券投资明细 </w:t>
      </w:r>
      <w:bookmarkEnd w:id="26"/>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223"/>
        <w:gridCol w:w="1169"/>
        <w:gridCol w:w="1332"/>
        <w:gridCol w:w="1176"/>
        <w:gridCol w:w="1804"/>
        <w:gridCol w:w="1804"/>
      </w:tblGrid>
      <w:tr w:rsidR="00DC523B">
        <w:tc>
          <w:tcPr>
            <w:tcW w:w="1103" w:type="dxa"/>
            <w:tcBorders>
              <w:top w:val="single" w:sz="6" w:space="0" w:color="000000"/>
              <w:left w:val="single" w:sz="6" w:space="0" w:color="000000"/>
              <w:bottom w:val="single" w:sz="6" w:space="0" w:color="auto"/>
              <w:right w:val="single" w:sz="6" w:space="0" w:color="auto"/>
            </w:tcBorders>
            <w:shd w:val="clear" w:color="auto" w:fill="D7D7D7"/>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序号 </w:t>
            </w:r>
          </w:p>
        </w:tc>
        <w:tc>
          <w:tcPr>
            <w:tcW w:w="1054" w:type="dxa"/>
            <w:tcBorders>
              <w:top w:val="single" w:sz="6" w:space="0" w:color="000000"/>
              <w:left w:val="single" w:sz="6" w:space="0" w:color="auto"/>
              <w:bottom w:val="single" w:sz="6" w:space="0" w:color="auto"/>
              <w:right w:val="single" w:sz="6" w:space="0" w:color="auto"/>
            </w:tcBorders>
            <w:shd w:val="clear" w:color="auto" w:fill="D7D7D7"/>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证券代码 </w:t>
            </w:r>
          </w:p>
        </w:tc>
        <w:tc>
          <w:tcPr>
            <w:tcW w:w="1201" w:type="dxa"/>
            <w:tcBorders>
              <w:top w:val="single" w:sz="6" w:space="0" w:color="000000"/>
              <w:left w:val="single" w:sz="6" w:space="0" w:color="auto"/>
              <w:bottom w:val="single" w:sz="6" w:space="0" w:color="auto"/>
              <w:right w:val="single" w:sz="6" w:space="0" w:color="auto"/>
            </w:tcBorders>
            <w:shd w:val="clear" w:color="auto" w:fill="D7D7D7"/>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证券名称 </w:t>
            </w:r>
          </w:p>
        </w:tc>
        <w:tc>
          <w:tcPr>
            <w:tcW w:w="1060" w:type="dxa"/>
            <w:tcBorders>
              <w:top w:val="single" w:sz="6" w:space="0" w:color="000000"/>
              <w:left w:val="single" w:sz="6" w:space="0" w:color="auto"/>
              <w:bottom w:val="single" w:sz="6" w:space="0" w:color="auto"/>
              <w:right w:val="single" w:sz="6" w:space="0" w:color="auto"/>
            </w:tcBorders>
            <w:shd w:val="clear" w:color="auto" w:fill="D7D7D7"/>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数量（份） </w:t>
            </w:r>
          </w:p>
        </w:tc>
        <w:tc>
          <w:tcPr>
            <w:tcW w:w="1627" w:type="dxa"/>
            <w:tcBorders>
              <w:top w:val="single" w:sz="6" w:space="0" w:color="000000"/>
              <w:left w:val="single" w:sz="6" w:space="0" w:color="auto"/>
              <w:bottom w:val="single" w:sz="6" w:space="0" w:color="auto"/>
              <w:right w:val="single" w:sz="6" w:space="0" w:color="auto"/>
            </w:tcBorders>
            <w:shd w:val="clear" w:color="auto" w:fill="D7D7D7"/>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公允价值（人民币元） </w:t>
            </w:r>
          </w:p>
        </w:tc>
        <w:tc>
          <w:tcPr>
            <w:tcW w:w="1627" w:type="dxa"/>
            <w:tcBorders>
              <w:top w:val="single" w:sz="6" w:space="0" w:color="000000"/>
              <w:left w:val="single" w:sz="6" w:space="0" w:color="auto"/>
              <w:bottom w:val="single" w:sz="6" w:space="0" w:color="auto"/>
              <w:right w:val="single" w:sz="6" w:space="0" w:color="000000"/>
            </w:tcBorders>
            <w:shd w:val="clear" w:color="auto" w:fill="D7D7D7"/>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占基金资产净值比例（%） </w:t>
            </w:r>
          </w:p>
        </w:tc>
      </w:tr>
      <w:tr w:rsidR="00DC523B">
        <w:tc>
          <w:tcPr>
            <w:tcW w:w="1103"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1</w:t>
            </w:r>
          </w:p>
        </w:tc>
        <w:tc>
          <w:tcPr>
            <w:tcW w:w="10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139254</w:t>
            </w:r>
          </w:p>
        </w:tc>
        <w:tc>
          <w:tcPr>
            <w:tcW w:w="120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万科28A1</w:t>
            </w:r>
          </w:p>
        </w:tc>
        <w:tc>
          <w:tcPr>
            <w:tcW w:w="106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400,000</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40,000,000.00</w:t>
            </w:r>
          </w:p>
        </w:tc>
        <w:tc>
          <w:tcPr>
            <w:tcW w:w="1627"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2.60</w:t>
            </w:r>
          </w:p>
        </w:tc>
      </w:tr>
      <w:tr w:rsidR="00DC523B">
        <w:tc>
          <w:tcPr>
            <w:tcW w:w="1103"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2</w:t>
            </w:r>
          </w:p>
        </w:tc>
        <w:tc>
          <w:tcPr>
            <w:tcW w:w="10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139112</w:t>
            </w:r>
          </w:p>
        </w:tc>
        <w:tc>
          <w:tcPr>
            <w:tcW w:w="120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集顺优04</w:t>
            </w:r>
          </w:p>
        </w:tc>
        <w:tc>
          <w:tcPr>
            <w:tcW w:w="106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120,000</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12,000,000.00</w:t>
            </w:r>
          </w:p>
        </w:tc>
        <w:tc>
          <w:tcPr>
            <w:tcW w:w="1627"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0.78</w:t>
            </w:r>
          </w:p>
        </w:tc>
      </w:tr>
      <w:tr w:rsidR="00DC523B">
        <w:tc>
          <w:tcPr>
            <w:tcW w:w="1103" w:type="dxa"/>
            <w:tcBorders>
              <w:top w:val="single" w:sz="6" w:space="0" w:color="auto"/>
              <w:left w:val="single" w:sz="6" w:space="0" w:color="000000"/>
              <w:bottom w:val="single" w:sz="6" w:space="0" w:color="000000"/>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3</w:t>
            </w:r>
          </w:p>
        </w:tc>
        <w:tc>
          <w:tcPr>
            <w:tcW w:w="1054" w:type="dxa"/>
            <w:tcBorders>
              <w:top w:val="single" w:sz="6" w:space="0" w:color="auto"/>
              <w:left w:val="single" w:sz="6" w:space="0" w:color="auto"/>
              <w:bottom w:val="single" w:sz="6" w:space="0" w:color="000000"/>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156376</w:t>
            </w:r>
          </w:p>
        </w:tc>
        <w:tc>
          <w:tcPr>
            <w:tcW w:w="1201" w:type="dxa"/>
            <w:tcBorders>
              <w:top w:val="single" w:sz="6" w:space="0" w:color="auto"/>
              <w:left w:val="single" w:sz="6" w:space="0" w:color="auto"/>
              <w:bottom w:val="single" w:sz="6" w:space="0" w:color="000000"/>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18信易3</w:t>
            </w:r>
          </w:p>
        </w:tc>
        <w:tc>
          <w:tcPr>
            <w:tcW w:w="1060" w:type="dxa"/>
            <w:tcBorders>
              <w:top w:val="single" w:sz="6" w:space="0" w:color="auto"/>
              <w:left w:val="single" w:sz="6" w:space="0" w:color="auto"/>
              <w:bottom w:val="single" w:sz="6" w:space="0" w:color="000000"/>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100,000</w:t>
            </w:r>
          </w:p>
        </w:tc>
        <w:tc>
          <w:tcPr>
            <w:tcW w:w="1627" w:type="dxa"/>
            <w:tcBorders>
              <w:top w:val="single" w:sz="6" w:space="0" w:color="auto"/>
              <w:left w:val="single" w:sz="6" w:space="0" w:color="auto"/>
              <w:bottom w:val="single" w:sz="6" w:space="0" w:color="000000"/>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10,000,000.00</w:t>
            </w:r>
          </w:p>
        </w:tc>
        <w:tc>
          <w:tcPr>
            <w:tcW w:w="1627" w:type="dxa"/>
            <w:tcBorders>
              <w:top w:val="single" w:sz="6" w:space="0" w:color="auto"/>
              <w:left w:val="single" w:sz="6" w:space="0" w:color="auto"/>
              <w:bottom w:val="single" w:sz="6" w:space="0" w:color="000000"/>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0.65</w:t>
            </w:r>
          </w:p>
        </w:tc>
      </w:tr>
    </w:tbl>
    <w:p w:rsidR="00DC523B" w:rsidRDefault="005E7E0E">
      <w:pPr>
        <w:pStyle w:val="a5"/>
        <w:spacing w:before="0" w:beforeAutospacing="0" w:after="0" w:afterAutospacing="0" w:line="360" w:lineRule="auto"/>
        <w:rPr>
          <w:sz w:val="21"/>
          <w:szCs w:val="21"/>
        </w:rPr>
      </w:pPr>
      <w:bookmarkStart w:id="27" w:name="_Toc481074853"/>
      <w:bookmarkStart w:id="28" w:name="_Toc438646474"/>
      <w:bookmarkStart w:id="29" w:name="m508"/>
      <w:bookmarkEnd w:id="27"/>
      <w:bookmarkEnd w:id="28"/>
      <w:r>
        <w:rPr>
          <w:rFonts w:hint="eastAsia"/>
          <w:b/>
          <w:bCs/>
          <w:sz w:val="21"/>
          <w:szCs w:val="21"/>
        </w:rPr>
        <w:t xml:space="preserve">7、报告期末按公允价值占基金资产净值比例大小排序的前五名贵金属投资明细 </w:t>
      </w:r>
      <w:bookmarkEnd w:id="29"/>
    </w:p>
    <w:p w:rsidR="00DC523B" w:rsidRDefault="005E7E0E">
      <w:pPr>
        <w:pStyle w:val="a5"/>
        <w:spacing w:before="0" w:beforeAutospacing="0" w:after="0" w:afterAutospacing="0" w:line="360" w:lineRule="auto"/>
        <w:rPr>
          <w:sz w:val="21"/>
          <w:szCs w:val="21"/>
        </w:rPr>
      </w:pPr>
      <w:r>
        <w:rPr>
          <w:rFonts w:hint="eastAsia"/>
          <w:sz w:val="21"/>
          <w:szCs w:val="21"/>
        </w:rPr>
        <w:t>注：无。</w:t>
      </w:r>
    </w:p>
    <w:p w:rsidR="00DC523B" w:rsidRDefault="005E7E0E">
      <w:pPr>
        <w:pStyle w:val="a5"/>
        <w:spacing w:before="0" w:beforeAutospacing="0" w:after="0" w:afterAutospacing="0" w:line="360" w:lineRule="auto"/>
        <w:rPr>
          <w:sz w:val="21"/>
          <w:szCs w:val="21"/>
        </w:rPr>
      </w:pPr>
      <w:bookmarkStart w:id="30" w:name="_Toc481074854"/>
      <w:bookmarkStart w:id="31" w:name="_Toc438646475"/>
      <w:bookmarkStart w:id="32" w:name="m509"/>
      <w:bookmarkEnd w:id="30"/>
      <w:bookmarkEnd w:id="31"/>
      <w:r>
        <w:rPr>
          <w:rFonts w:hint="eastAsia"/>
          <w:b/>
          <w:bCs/>
          <w:sz w:val="21"/>
          <w:szCs w:val="21"/>
        </w:rPr>
        <w:t xml:space="preserve">8、报告期末按公允价值占基金资产净值比例大小排序的前五名权证投资明细 </w:t>
      </w:r>
      <w:bookmarkEnd w:id="32"/>
    </w:p>
    <w:p w:rsidR="00DC523B" w:rsidRDefault="005E7E0E">
      <w:pPr>
        <w:pStyle w:val="a5"/>
        <w:spacing w:before="0" w:beforeAutospacing="0" w:after="0" w:afterAutospacing="0" w:line="360" w:lineRule="auto"/>
        <w:rPr>
          <w:sz w:val="21"/>
          <w:szCs w:val="21"/>
        </w:rPr>
      </w:pPr>
      <w:r>
        <w:rPr>
          <w:rFonts w:hint="eastAsia"/>
          <w:sz w:val="21"/>
          <w:szCs w:val="21"/>
        </w:rPr>
        <w:t>注：无。</w:t>
      </w:r>
    </w:p>
    <w:p w:rsidR="00DC523B" w:rsidRDefault="005E7E0E">
      <w:pPr>
        <w:pStyle w:val="a5"/>
        <w:spacing w:before="0" w:beforeAutospacing="0" w:after="0" w:afterAutospacing="0" w:line="360" w:lineRule="auto"/>
        <w:rPr>
          <w:sz w:val="21"/>
          <w:szCs w:val="21"/>
        </w:rPr>
      </w:pPr>
      <w:bookmarkStart w:id="33" w:name="_Toc438646476"/>
      <w:bookmarkStart w:id="34" w:name="m510_01_1598"/>
      <w:bookmarkStart w:id="35" w:name="_Toc481074858"/>
      <w:bookmarkEnd w:id="33"/>
      <w:bookmarkEnd w:id="34"/>
      <w:r>
        <w:rPr>
          <w:rFonts w:hint="eastAsia"/>
          <w:b/>
          <w:bCs/>
          <w:sz w:val="21"/>
          <w:szCs w:val="21"/>
        </w:rPr>
        <w:t>9、报告期末本基金投资的国债期货交易情况说明</w:t>
      </w:r>
      <w:bookmarkEnd w:id="35"/>
    </w:p>
    <w:p w:rsidR="00DC523B" w:rsidRDefault="005E7E0E">
      <w:pPr>
        <w:pStyle w:val="a5"/>
        <w:spacing w:before="0" w:beforeAutospacing="0" w:after="0" w:afterAutospacing="0" w:line="360" w:lineRule="auto"/>
        <w:rPr>
          <w:sz w:val="21"/>
          <w:szCs w:val="21"/>
        </w:rPr>
      </w:pPr>
      <w:bookmarkStart w:id="36" w:name="_Toc481074859"/>
      <w:bookmarkStart w:id="37" w:name="m510_01_1597"/>
      <w:bookmarkEnd w:id="36"/>
      <w:r>
        <w:rPr>
          <w:rFonts w:hint="eastAsia"/>
          <w:b/>
          <w:bCs/>
          <w:sz w:val="21"/>
          <w:szCs w:val="21"/>
        </w:rPr>
        <w:t>（1）本期国债期货投资政策</w:t>
      </w:r>
      <w:bookmarkEnd w:id="37"/>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本基金基金合同的投资范围尚未包含国债期货投资。</w:t>
      </w:r>
    </w:p>
    <w:p w:rsidR="00DC523B" w:rsidRDefault="005E7E0E">
      <w:pPr>
        <w:pStyle w:val="a5"/>
        <w:spacing w:before="0" w:beforeAutospacing="0" w:after="0" w:afterAutospacing="0" w:line="360" w:lineRule="auto"/>
        <w:rPr>
          <w:sz w:val="21"/>
          <w:szCs w:val="21"/>
        </w:rPr>
      </w:pPr>
      <w:bookmarkStart w:id="38" w:name="_Toc481074860"/>
      <w:r>
        <w:rPr>
          <w:rFonts w:hint="eastAsia"/>
          <w:b/>
          <w:bCs/>
          <w:sz w:val="21"/>
          <w:szCs w:val="21"/>
        </w:rPr>
        <w:t>（2）报告期末本基金投资的国债期货持仓和损益明细</w:t>
      </w:r>
      <w:bookmarkEnd w:id="38"/>
    </w:p>
    <w:p w:rsidR="00DC523B" w:rsidRDefault="005E7E0E">
      <w:pPr>
        <w:pStyle w:val="a5"/>
        <w:spacing w:before="0" w:beforeAutospacing="0" w:after="0" w:afterAutospacing="0"/>
        <w:jc w:val="both"/>
        <w:rPr>
          <w:sz w:val="21"/>
          <w:szCs w:val="21"/>
        </w:rPr>
      </w:pPr>
      <w:r>
        <w:rPr>
          <w:rFonts w:hint="eastAsia"/>
          <w:sz w:val="21"/>
          <w:szCs w:val="21"/>
        </w:rPr>
        <w:t>注：本基金基金合同的投资范围尚未包含国债期货投资。</w:t>
      </w:r>
    </w:p>
    <w:p w:rsidR="00DC523B" w:rsidRDefault="005E7E0E">
      <w:pPr>
        <w:pStyle w:val="a5"/>
        <w:spacing w:before="0" w:beforeAutospacing="0" w:after="0" w:afterAutospacing="0" w:line="360" w:lineRule="auto"/>
        <w:rPr>
          <w:sz w:val="21"/>
          <w:szCs w:val="21"/>
        </w:rPr>
      </w:pPr>
      <w:bookmarkStart w:id="39" w:name="_Toc481074861"/>
      <w:r>
        <w:rPr>
          <w:rFonts w:hint="eastAsia"/>
          <w:b/>
          <w:bCs/>
          <w:sz w:val="21"/>
          <w:szCs w:val="21"/>
        </w:rPr>
        <w:t>（3）本期国债期货投资评价</w:t>
      </w:r>
      <w:bookmarkEnd w:id="39"/>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本基金基金合同的投资范围尚未包含国债期货投资。</w:t>
      </w:r>
    </w:p>
    <w:p w:rsidR="00DC523B" w:rsidRDefault="005E7E0E">
      <w:pPr>
        <w:pStyle w:val="a5"/>
        <w:spacing w:before="0" w:beforeAutospacing="0" w:after="0" w:afterAutospacing="0" w:line="360" w:lineRule="auto"/>
        <w:rPr>
          <w:sz w:val="21"/>
          <w:szCs w:val="21"/>
        </w:rPr>
      </w:pPr>
      <w:bookmarkStart w:id="40" w:name="_Toc481074862"/>
      <w:r>
        <w:rPr>
          <w:rFonts w:hint="eastAsia"/>
          <w:b/>
          <w:bCs/>
          <w:sz w:val="21"/>
          <w:szCs w:val="21"/>
        </w:rPr>
        <w:t>10、投资组合报告附注</w:t>
      </w:r>
      <w:bookmarkEnd w:id="40"/>
    </w:p>
    <w:p w:rsidR="00DC523B" w:rsidRDefault="005E7E0E">
      <w:pPr>
        <w:pStyle w:val="a5"/>
        <w:spacing w:before="0" w:beforeAutospacing="0" w:after="0" w:afterAutospacing="0" w:line="360" w:lineRule="auto"/>
        <w:rPr>
          <w:sz w:val="21"/>
          <w:szCs w:val="21"/>
        </w:rPr>
      </w:pPr>
      <w:bookmarkStart w:id="41" w:name="_Toc481074863"/>
      <w:bookmarkEnd w:id="41"/>
      <w:r>
        <w:rPr>
          <w:rFonts w:hint="eastAsia"/>
          <w:b/>
          <w:bCs/>
          <w:sz w:val="21"/>
          <w:szCs w:val="21"/>
        </w:rPr>
        <w:t>（1）</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本基金投资的前十名证券中本期没有发行主体被监管部门立案调查的、或在报告编制日前一年内受到公开谴责、处罚的证券。</w:t>
      </w:r>
    </w:p>
    <w:p w:rsidR="00DC523B" w:rsidRDefault="005E7E0E">
      <w:pPr>
        <w:pStyle w:val="a5"/>
        <w:spacing w:before="0" w:beforeAutospacing="0" w:after="0" w:afterAutospacing="0" w:line="360" w:lineRule="auto"/>
        <w:rPr>
          <w:sz w:val="21"/>
          <w:szCs w:val="21"/>
        </w:rPr>
      </w:pPr>
      <w:bookmarkStart w:id="42" w:name="_Toc481074864"/>
      <w:bookmarkEnd w:id="42"/>
      <w:r>
        <w:rPr>
          <w:rFonts w:hint="eastAsia"/>
          <w:b/>
          <w:bCs/>
          <w:sz w:val="21"/>
          <w:szCs w:val="21"/>
        </w:rPr>
        <w:t>（2）</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本基金投资的前十名证券没有超出基金合同规定的证券备选库。</w:t>
      </w:r>
    </w:p>
    <w:p w:rsidR="00DC523B" w:rsidRDefault="005E7E0E">
      <w:pPr>
        <w:pStyle w:val="a5"/>
        <w:spacing w:before="0" w:beforeAutospacing="0" w:after="0" w:afterAutospacing="0" w:line="360" w:lineRule="auto"/>
        <w:rPr>
          <w:sz w:val="21"/>
          <w:szCs w:val="21"/>
        </w:rPr>
      </w:pPr>
      <w:bookmarkStart w:id="43" w:name="_Toc481074865"/>
      <w:bookmarkStart w:id="44" w:name="m510_02"/>
      <w:bookmarkEnd w:id="43"/>
      <w:r>
        <w:rPr>
          <w:rFonts w:hint="eastAsia"/>
          <w:b/>
          <w:bCs/>
          <w:sz w:val="21"/>
          <w:szCs w:val="21"/>
        </w:rPr>
        <w:t xml:space="preserve">（3）其他资产构成 </w:t>
      </w:r>
      <w:bookmarkEnd w:id="44"/>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11"/>
        <w:gridCol w:w="3557"/>
        <w:gridCol w:w="4140"/>
      </w:tblGrid>
      <w:tr w:rsidR="00DC523B">
        <w:tc>
          <w:tcPr>
            <w:tcW w:w="791" w:type="dxa"/>
            <w:tcBorders>
              <w:top w:val="single" w:sz="6" w:space="0" w:color="000000"/>
              <w:left w:val="single" w:sz="6" w:space="0" w:color="000000"/>
              <w:bottom w:val="single" w:sz="6" w:space="0" w:color="auto"/>
              <w:right w:val="single" w:sz="6" w:space="0" w:color="auto"/>
            </w:tcBorders>
            <w:shd w:val="clear" w:color="auto" w:fill="D9D9D9"/>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bookmarkStart w:id="45" w:name="m510_02_tab"/>
            <w:r>
              <w:rPr>
                <w:rFonts w:hint="eastAsia"/>
                <w:sz w:val="21"/>
                <w:szCs w:val="21"/>
              </w:rPr>
              <w:t xml:space="preserve">序号 </w:t>
            </w:r>
            <w:bookmarkEnd w:id="45"/>
          </w:p>
        </w:tc>
        <w:tc>
          <w:tcPr>
            <w:tcW w:w="3469" w:type="dxa"/>
            <w:tcBorders>
              <w:top w:val="single" w:sz="6" w:space="0" w:color="000000"/>
              <w:left w:val="single" w:sz="6" w:space="0" w:color="auto"/>
              <w:bottom w:val="single" w:sz="6" w:space="0" w:color="auto"/>
              <w:right w:val="single" w:sz="6" w:space="0" w:color="auto"/>
            </w:tcBorders>
            <w:shd w:val="clear" w:color="auto" w:fill="D9D9D9"/>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名称 </w:t>
            </w:r>
          </w:p>
        </w:tc>
        <w:tc>
          <w:tcPr>
            <w:tcW w:w="4037" w:type="dxa"/>
            <w:tcBorders>
              <w:top w:val="single" w:sz="6" w:space="0" w:color="000000"/>
              <w:left w:val="single" w:sz="6" w:space="0" w:color="auto"/>
              <w:bottom w:val="single" w:sz="6" w:space="0" w:color="auto"/>
              <w:right w:val="single" w:sz="6" w:space="0" w:color="000000"/>
            </w:tcBorders>
            <w:shd w:val="clear" w:color="auto" w:fill="D9D9D9"/>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金额（人民币元） </w:t>
            </w:r>
          </w:p>
        </w:tc>
      </w:tr>
      <w:tr w:rsidR="00DC523B">
        <w:tc>
          <w:tcPr>
            <w:tcW w:w="791"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1 </w:t>
            </w:r>
          </w:p>
        </w:tc>
        <w:tc>
          <w:tcPr>
            <w:tcW w:w="346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rPr>
                <w:sz w:val="21"/>
                <w:szCs w:val="21"/>
              </w:rPr>
            </w:pPr>
            <w:r>
              <w:rPr>
                <w:rFonts w:hint="eastAsia"/>
                <w:sz w:val="21"/>
                <w:szCs w:val="21"/>
              </w:rPr>
              <w:t xml:space="preserve">存出保证金 </w:t>
            </w:r>
          </w:p>
        </w:tc>
        <w:tc>
          <w:tcPr>
            <w:tcW w:w="4037"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4,420.50</w:t>
            </w:r>
          </w:p>
        </w:tc>
      </w:tr>
      <w:tr w:rsidR="00DC523B">
        <w:tc>
          <w:tcPr>
            <w:tcW w:w="791"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2 </w:t>
            </w:r>
          </w:p>
        </w:tc>
        <w:tc>
          <w:tcPr>
            <w:tcW w:w="346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rPr>
                <w:sz w:val="21"/>
                <w:szCs w:val="21"/>
              </w:rPr>
            </w:pPr>
            <w:r>
              <w:rPr>
                <w:rFonts w:hint="eastAsia"/>
                <w:sz w:val="21"/>
                <w:szCs w:val="21"/>
              </w:rPr>
              <w:t xml:space="preserve">应收证券清算款 </w:t>
            </w:r>
          </w:p>
        </w:tc>
        <w:tc>
          <w:tcPr>
            <w:tcW w:w="4037"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r>
      <w:tr w:rsidR="00DC523B">
        <w:tc>
          <w:tcPr>
            <w:tcW w:w="791"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3 </w:t>
            </w:r>
          </w:p>
        </w:tc>
        <w:tc>
          <w:tcPr>
            <w:tcW w:w="346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rPr>
                <w:sz w:val="21"/>
                <w:szCs w:val="21"/>
              </w:rPr>
            </w:pPr>
            <w:r>
              <w:rPr>
                <w:rFonts w:hint="eastAsia"/>
                <w:sz w:val="21"/>
                <w:szCs w:val="21"/>
              </w:rPr>
              <w:t xml:space="preserve">应收股利 </w:t>
            </w:r>
          </w:p>
        </w:tc>
        <w:tc>
          <w:tcPr>
            <w:tcW w:w="4037"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r>
      <w:tr w:rsidR="00DC523B">
        <w:tc>
          <w:tcPr>
            <w:tcW w:w="791"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4 </w:t>
            </w:r>
          </w:p>
        </w:tc>
        <w:tc>
          <w:tcPr>
            <w:tcW w:w="346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rPr>
                <w:sz w:val="21"/>
                <w:szCs w:val="21"/>
              </w:rPr>
            </w:pPr>
            <w:r>
              <w:rPr>
                <w:rFonts w:hint="eastAsia"/>
                <w:sz w:val="21"/>
                <w:szCs w:val="21"/>
              </w:rPr>
              <w:t xml:space="preserve">应收利息 </w:t>
            </w:r>
          </w:p>
        </w:tc>
        <w:tc>
          <w:tcPr>
            <w:tcW w:w="4037"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32,727,606.16</w:t>
            </w:r>
          </w:p>
        </w:tc>
      </w:tr>
      <w:tr w:rsidR="00DC523B">
        <w:tc>
          <w:tcPr>
            <w:tcW w:w="791"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5 </w:t>
            </w:r>
          </w:p>
        </w:tc>
        <w:tc>
          <w:tcPr>
            <w:tcW w:w="346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rPr>
                <w:sz w:val="21"/>
                <w:szCs w:val="21"/>
              </w:rPr>
            </w:pPr>
            <w:r>
              <w:rPr>
                <w:rFonts w:hint="eastAsia"/>
                <w:sz w:val="21"/>
                <w:szCs w:val="21"/>
              </w:rPr>
              <w:t xml:space="preserve">应收申购款 </w:t>
            </w:r>
          </w:p>
        </w:tc>
        <w:tc>
          <w:tcPr>
            <w:tcW w:w="4037"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r>
      <w:tr w:rsidR="00DC523B">
        <w:tc>
          <w:tcPr>
            <w:tcW w:w="791"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6 </w:t>
            </w:r>
          </w:p>
        </w:tc>
        <w:tc>
          <w:tcPr>
            <w:tcW w:w="346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rPr>
                <w:sz w:val="21"/>
                <w:szCs w:val="21"/>
              </w:rPr>
            </w:pPr>
            <w:r>
              <w:rPr>
                <w:rFonts w:hint="eastAsia"/>
                <w:sz w:val="21"/>
                <w:szCs w:val="21"/>
              </w:rPr>
              <w:t xml:space="preserve">其他应收款 </w:t>
            </w:r>
          </w:p>
        </w:tc>
        <w:tc>
          <w:tcPr>
            <w:tcW w:w="4037"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r>
      <w:tr w:rsidR="00DC523B">
        <w:tc>
          <w:tcPr>
            <w:tcW w:w="791"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7 </w:t>
            </w:r>
          </w:p>
        </w:tc>
        <w:tc>
          <w:tcPr>
            <w:tcW w:w="346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rPr>
                <w:sz w:val="21"/>
                <w:szCs w:val="21"/>
              </w:rPr>
            </w:pPr>
            <w:r>
              <w:rPr>
                <w:rFonts w:hint="eastAsia"/>
                <w:sz w:val="21"/>
                <w:szCs w:val="21"/>
              </w:rPr>
              <w:t xml:space="preserve">待摊费用 </w:t>
            </w:r>
          </w:p>
        </w:tc>
        <w:tc>
          <w:tcPr>
            <w:tcW w:w="4037"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r>
      <w:tr w:rsidR="00DC523B">
        <w:tc>
          <w:tcPr>
            <w:tcW w:w="791"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8 </w:t>
            </w:r>
          </w:p>
        </w:tc>
        <w:tc>
          <w:tcPr>
            <w:tcW w:w="346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rPr>
                <w:sz w:val="21"/>
                <w:szCs w:val="21"/>
              </w:rPr>
            </w:pPr>
            <w:r>
              <w:rPr>
                <w:rFonts w:hint="eastAsia"/>
                <w:sz w:val="21"/>
                <w:szCs w:val="21"/>
              </w:rPr>
              <w:t xml:space="preserve">其他 </w:t>
            </w:r>
          </w:p>
        </w:tc>
        <w:tc>
          <w:tcPr>
            <w:tcW w:w="4037"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w:t>
            </w:r>
          </w:p>
        </w:tc>
      </w:tr>
      <w:tr w:rsidR="00DC523B">
        <w:tc>
          <w:tcPr>
            <w:tcW w:w="791" w:type="dxa"/>
            <w:tcBorders>
              <w:top w:val="single" w:sz="6" w:space="0" w:color="auto"/>
              <w:left w:val="single" w:sz="6" w:space="0" w:color="000000"/>
              <w:bottom w:val="single" w:sz="6" w:space="0" w:color="000000"/>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center"/>
              <w:rPr>
                <w:sz w:val="21"/>
                <w:szCs w:val="21"/>
              </w:rPr>
            </w:pPr>
            <w:r>
              <w:rPr>
                <w:rFonts w:hint="eastAsia"/>
                <w:sz w:val="21"/>
                <w:szCs w:val="21"/>
              </w:rPr>
              <w:t xml:space="preserve">9 </w:t>
            </w:r>
          </w:p>
        </w:tc>
        <w:tc>
          <w:tcPr>
            <w:tcW w:w="3469" w:type="dxa"/>
            <w:tcBorders>
              <w:top w:val="single" w:sz="6" w:space="0" w:color="auto"/>
              <w:left w:val="single" w:sz="6" w:space="0" w:color="auto"/>
              <w:bottom w:val="single" w:sz="6" w:space="0" w:color="000000"/>
              <w:right w:val="single" w:sz="6" w:space="0" w:color="auto"/>
            </w:tcBorders>
            <w:tcMar>
              <w:top w:w="0" w:type="dxa"/>
              <w:left w:w="101" w:type="dxa"/>
              <w:bottom w:w="0" w:type="dxa"/>
              <w:right w:w="101" w:type="dxa"/>
            </w:tcMar>
            <w:vAlign w:val="center"/>
            <w:hideMark/>
          </w:tcPr>
          <w:p w:rsidR="00DC523B" w:rsidRDefault="005E7E0E">
            <w:pPr>
              <w:pStyle w:val="a5"/>
              <w:spacing w:before="0" w:beforeAutospacing="0" w:after="0" w:afterAutospacing="0"/>
              <w:jc w:val="both"/>
              <w:rPr>
                <w:sz w:val="21"/>
                <w:szCs w:val="21"/>
              </w:rPr>
            </w:pPr>
            <w:r>
              <w:rPr>
                <w:rFonts w:hint="eastAsia"/>
                <w:sz w:val="21"/>
                <w:szCs w:val="21"/>
              </w:rPr>
              <w:t xml:space="preserve">合计 </w:t>
            </w:r>
          </w:p>
        </w:tc>
        <w:tc>
          <w:tcPr>
            <w:tcW w:w="4037" w:type="dxa"/>
            <w:tcBorders>
              <w:top w:val="single" w:sz="6" w:space="0" w:color="auto"/>
              <w:left w:val="single" w:sz="6" w:space="0" w:color="auto"/>
              <w:bottom w:val="single" w:sz="6" w:space="0" w:color="000000"/>
              <w:right w:val="single" w:sz="6" w:space="0" w:color="000000"/>
            </w:tcBorders>
            <w:tcMar>
              <w:top w:w="0" w:type="dxa"/>
              <w:left w:w="101" w:type="dxa"/>
              <w:bottom w:w="0" w:type="dxa"/>
              <w:right w:w="101" w:type="dxa"/>
            </w:tcMar>
            <w:vAlign w:val="center"/>
            <w:hideMark/>
          </w:tcPr>
          <w:p w:rsidR="00DC523B" w:rsidRDefault="005E7E0E">
            <w:pPr>
              <w:pStyle w:val="a5"/>
              <w:spacing w:before="0" w:beforeAutospacing="0" w:after="0" w:afterAutospacing="0"/>
              <w:jc w:val="right"/>
              <w:rPr>
                <w:sz w:val="21"/>
                <w:szCs w:val="21"/>
              </w:rPr>
            </w:pPr>
            <w:r>
              <w:rPr>
                <w:rFonts w:hint="eastAsia"/>
                <w:sz w:val="21"/>
                <w:szCs w:val="21"/>
              </w:rPr>
              <w:t>32,732,026.66</w:t>
            </w:r>
          </w:p>
        </w:tc>
      </w:tr>
    </w:tbl>
    <w:p w:rsidR="00DC523B" w:rsidRDefault="005E7E0E">
      <w:pPr>
        <w:pStyle w:val="a5"/>
        <w:spacing w:before="0" w:beforeAutospacing="0" w:after="0" w:afterAutospacing="0" w:line="360" w:lineRule="auto"/>
        <w:rPr>
          <w:sz w:val="21"/>
          <w:szCs w:val="21"/>
        </w:rPr>
      </w:pPr>
      <w:bookmarkStart w:id="46" w:name="_Toc481074866"/>
      <w:bookmarkStart w:id="47" w:name="m510_03"/>
      <w:bookmarkEnd w:id="46"/>
      <w:r>
        <w:rPr>
          <w:rFonts w:hint="eastAsia"/>
          <w:b/>
          <w:bCs/>
          <w:sz w:val="21"/>
          <w:szCs w:val="21"/>
        </w:rPr>
        <w:t xml:space="preserve">（4）报告期末持有的处于转股期的可转换债券明细 </w:t>
      </w:r>
      <w:bookmarkEnd w:id="47"/>
    </w:p>
    <w:p w:rsidR="00DC523B" w:rsidRDefault="005E7E0E">
      <w:pPr>
        <w:pStyle w:val="a5"/>
        <w:spacing w:before="0" w:beforeAutospacing="0" w:after="0" w:afterAutospacing="0" w:line="360" w:lineRule="auto"/>
        <w:rPr>
          <w:sz w:val="21"/>
          <w:szCs w:val="21"/>
        </w:rPr>
      </w:pPr>
      <w:r>
        <w:rPr>
          <w:rFonts w:hint="eastAsia"/>
          <w:sz w:val="21"/>
          <w:szCs w:val="21"/>
        </w:rPr>
        <w:t>注：无。</w:t>
      </w:r>
    </w:p>
    <w:p w:rsidR="00DC523B" w:rsidRDefault="005E7E0E">
      <w:pPr>
        <w:pStyle w:val="a5"/>
        <w:spacing w:before="0" w:beforeAutospacing="0" w:after="0" w:afterAutospacing="0" w:line="360" w:lineRule="auto"/>
        <w:rPr>
          <w:sz w:val="21"/>
          <w:szCs w:val="21"/>
        </w:rPr>
      </w:pPr>
      <w:bookmarkStart w:id="48" w:name="_Toc481074867"/>
      <w:bookmarkStart w:id="49" w:name="m510_04"/>
      <w:bookmarkEnd w:id="48"/>
      <w:r>
        <w:rPr>
          <w:rFonts w:hint="eastAsia"/>
          <w:b/>
          <w:bCs/>
          <w:sz w:val="21"/>
          <w:szCs w:val="21"/>
        </w:rPr>
        <w:t xml:space="preserve">（5）报告期末前十名股票中存在流通受限情况的说明 </w:t>
      </w:r>
      <w:bookmarkEnd w:id="49"/>
    </w:p>
    <w:p w:rsidR="00DC523B" w:rsidRDefault="005E7E0E">
      <w:pPr>
        <w:pStyle w:val="a5"/>
        <w:spacing w:before="0" w:beforeAutospacing="0" w:after="0" w:afterAutospacing="0" w:line="360" w:lineRule="auto"/>
        <w:rPr>
          <w:sz w:val="21"/>
          <w:szCs w:val="21"/>
        </w:rPr>
      </w:pPr>
      <w:r>
        <w:rPr>
          <w:rFonts w:hint="eastAsia"/>
          <w:sz w:val="21"/>
          <w:szCs w:val="21"/>
        </w:rPr>
        <w:t>注：无。</w:t>
      </w:r>
    </w:p>
    <w:p w:rsidR="00DC523B" w:rsidRDefault="005E7E0E">
      <w:pPr>
        <w:pStyle w:val="a5"/>
        <w:spacing w:before="0" w:beforeAutospacing="0" w:after="0" w:afterAutospacing="0" w:line="360" w:lineRule="auto"/>
        <w:rPr>
          <w:sz w:val="21"/>
          <w:szCs w:val="21"/>
        </w:rPr>
      </w:pPr>
      <w:bookmarkStart w:id="50" w:name="_Toc481074868"/>
      <w:bookmarkStart w:id="51" w:name="m510_05_1678"/>
      <w:bookmarkEnd w:id="50"/>
      <w:r>
        <w:rPr>
          <w:rFonts w:hint="eastAsia"/>
          <w:b/>
          <w:bCs/>
          <w:sz w:val="21"/>
          <w:szCs w:val="21"/>
        </w:rPr>
        <w:t xml:space="preserve">（6）投资组合报告附注的其他文字描述部分 </w:t>
      </w:r>
      <w:bookmarkEnd w:id="51"/>
    </w:p>
    <w:p w:rsidR="00DC523B" w:rsidRDefault="005E7E0E">
      <w:pPr>
        <w:pStyle w:val="a5"/>
        <w:spacing w:before="0" w:beforeAutospacing="0" w:after="0" w:afterAutospacing="0" w:line="360" w:lineRule="auto"/>
        <w:ind w:firstLine="420"/>
        <w:rPr>
          <w:sz w:val="21"/>
          <w:szCs w:val="21"/>
        </w:rPr>
      </w:pPr>
      <w:r>
        <w:rPr>
          <w:rFonts w:hint="eastAsia"/>
          <w:sz w:val="21"/>
          <w:szCs w:val="21"/>
        </w:rPr>
        <w:t xml:space="preserve">由于四舍五入的原因，投资组合报告中数字分项之和与合计项之间可能存在尾差。 </w:t>
      </w:r>
    </w:p>
    <w:p w:rsidR="00DC523B" w:rsidRDefault="005E7E0E">
      <w:pPr>
        <w:pStyle w:val="1"/>
        <w:spacing w:before="93" w:beforeAutospacing="0" w:after="93" w:afterAutospacing="0" w:line="360" w:lineRule="auto"/>
        <w:jc w:val="center"/>
      </w:pPr>
      <w:r>
        <w:rPr>
          <w:rStyle w:val="ac"/>
          <w:rFonts w:hint="eastAsia"/>
          <w:b/>
          <w:bCs/>
          <w:sz w:val="28"/>
          <w:szCs w:val="28"/>
        </w:rPr>
        <w:t>十二、基金的业绩</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基金管理人承诺以诚实信用、勤勉尽责的原则管理和运用基金财产，但不保证基金一定盈利。基金的过往业绩并不代表其未来表现。投资有风险，投资人在做出投资决策前应仔细阅读本基金的招募说明书。</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基金合同生效以来的投资业绩如下表所示：</w:t>
      </w:r>
    </w:p>
    <w:p w:rsidR="00DC523B" w:rsidRDefault="005E7E0E">
      <w:pPr>
        <w:pStyle w:val="a5"/>
        <w:spacing w:before="0" w:beforeAutospacing="0" w:after="0" w:afterAutospacing="0" w:line="360" w:lineRule="atLeast"/>
        <w:jc w:val="both"/>
      </w:pPr>
      <w:r>
        <w:rPr>
          <w:rFonts w:ascii="Times New Roman" w:hAnsi="Times New Roman" w:cs="Times New Roman"/>
          <w:sz w:val="21"/>
          <w:szCs w:val="21"/>
        </w:rPr>
        <w:t> </w:t>
      </w:r>
    </w:p>
    <w:tbl>
      <w:tblPr>
        <w:tblW w:w="89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5"/>
        <w:gridCol w:w="1080"/>
        <w:gridCol w:w="1080"/>
        <w:gridCol w:w="1080"/>
        <w:gridCol w:w="1080"/>
        <w:gridCol w:w="1080"/>
        <w:gridCol w:w="1080"/>
      </w:tblGrid>
      <w:tr w:rsidR="00DC523B">
        <w:trPr>
          <w:trHeight w:val="96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DC523B" w:rsidRDefault="00DC523B"/>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净值增长率1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净值增长率标准差2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业绩比较基准收益率3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业绩比较基准收益率标准差4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2-4</w:t>
            </w:r>
          </w:p>
        </w:tc>
      </w:tr>
      <w:tr w:rsidR="00DC523B">
        <w:trPr>
          <w:trHeight w:val="72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2016年08月30日(基金合同生效日)至2016年12月31日</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-3.21%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0.19%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-1.51%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0.17%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-1.70%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0.02%</w:t>
            </w:r>
          </w:p>
        </w:tc>
      </w:tr>
      <w:tr w:rsidR="00DC523B">
        <w:trPr>
          <w:trHeight w:val="72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2017年01月01日至2017年12月31日</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-1.28%</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0.07%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-1.19%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0.09%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-0.09%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-0.02%</w:t>
            </w:r>
          </w:p>
        </w:tc>
      </w:tr>
      <w:tr w:rsidR="00DC523B">
        <w:trPr>
          <w:trHeight w:val="72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2018年01月01日至2018年12月31日</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6.71%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0.05%</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9.63%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0.11%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-2.92%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-0.06%</w:t>
            </w:r>
          </w:p>
        </w:tc>
      </w:tr>
      <w:tr w:rsidR="00DC523B">
        <w:trPr>
          <w:trHeight w:val="72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2019年01月01日至2019年06月30日</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2.38%</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0.04%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1.49%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0.09%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0.89%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-0.05%</w:t>
            </w:r>
          </w:p>
        </w:tc>
      </w:tr>
      <w:tr w:rsidR="00DC523B">
        <w:trPr>
          <w:trHeight w:val="72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自基金合同生效日至2019年06月30日</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4.38%</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0.09%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8.28%</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0.11%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-3.90%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C523B" w:rsidRDefault="005E7E0E">
            <w:r>
              <w:rPr>
                <w:rFonts w:hint="eastAsia"/>
                <w:sz w:val="21"/>
                <w:szCs w:val="21"/>
              </w:rPr>
              <w:t>-0.02%</w:t>
            </w:r>
          </w:p>
        </w:tc>
      </w:tr>
    </w:tbl>
    <w:p w:rsidR="00DC523B" w:rsidRDefault="005E7E0E">
      <w:pPr>
        <w:pStyle w:val="1"/>
        <w:spacing w:before="93" w:beforeAutospacing="0" w:after="93" w:afterAutospacing="0" w:line="360" w:lineRule="auto"/>
        <w:jc w:val="center"/>
      </w:pPr>
      <w:r>
        <w:rPr>
          <w:rStyle w:val="ac"/>
          <w:rFonts w:hint="eastAsia"/>
          <w:b/>
          <w:bCs/>
          <w:sz w:val="28"/>
          <w:szCs w:val="28"/>
        </w:rPr>
        <w:t>十三、基金的费用与税收</w:t>
      </w:r>
    </w:p>
    <w:p w:rsidR="00DC523B" w:rsidRDefault="005E7E0E">
      <w:pPr>
        <w:pStyle w:val="a5"/>
        <w:spacing w:before="0" w:beforeAutospacing="0" w:after="0" w:afterAutospacing="0" w:line="360" w:lineRule="auto"/>
        <w:ind w:firstLine="420"/>
        <w:jc w:val="both"/>
        <w:rPr>
          <w:sz w:val="21"/>
          <w:szCs w:val="21"/>
        </w:rPr>
      </w:pPr>
      <w:bookmarkStart w:id="52" w:name="_Toc510842754"/>
      <w:r>
        <w:rPr>
          <w:rFonts w:hint="eastAsia"/>
          <w:sz w:val="21"/>
          <w:szCs w:val="21"/>
        </w:rPr>
        <w:t>一、基金费用的种类</w:t>
      </w:r>
      <w:bookmarkEnd w:id="52"/>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1、基金管理人的管理费；</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2、基金托管人的托管费；</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3、《基金合同》生效后与基金相关的信息披露费用；</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4、《基金合同》生效后与基金相关的会计师费、律师费、仲裁费、诉讼费、公证费和认证费；</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5、基金份额持有人大会费用；</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6、基金的证券/期货交易费用；</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7、基金的银行汇划费用；</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8、证券/期货账户开户费用、账户维护费用；</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9、按照国家有关规定和《基金合同》约定，可以在基金财产中列支的其他费用。</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二、基金费用计提方法、计提标准和支付方式</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 xml:space="preserve">1、基金管理人的管理费 </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本基金的管理费按前一日基金资产净值的0.3%年费率计提。管理费的计算方法如下：</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H＝E×0.3%÷当年天数</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H为每日应计提的基金管理费</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E为前一日的基金资产净值</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基金管理费每日计提，逐日累计至每月月末，按月支付，由基金管理人向基金托管人发送基金管理费划款指令，基金托管人复核后于次月首日起5个工作日内从基金财产中一次性支付给基金管理人。若遇法定节假日、公休假等，支付日期顺延。</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2、基金托管人的托管费</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本基金的托管费按前一日基金资产净值的0.1%的年费率计提。托管费的计算方法如下：</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H＝E×0.1%÷当年天数</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H为每日应计提的基金托管费</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E为前一日的基金资产净值</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基金托管费每日计提，逐日累计至每月月末，按月支付，由基金管理人向基金托管人发送基金托管费划款指令，基金托管人复核后于次月首日起5个工作日内从基金财产中一次性支取。若遇法定节假日、公休日等，支付日期顺延。</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上述“一、基金费用的种类中第3－9项费用”，根据有关法规及相应协议规定，按费用实际支出金额列入当期费用，由基金托管人从基金财产中支付。</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三、不列入基金费用的项目</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下列费用不列入基金费用：</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1、基金管理人和基金托管人因未履行或未完全履行义务导致的费用支出或基金财产的损失；</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2、基金管理人和基金托管人处理与基金运作无关的事项发生的费用；</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3、《基金合同》生效前的相关费用；</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4、其他根据相关法律法规及中国证监会的有关规定不得列入基金费用的项目。</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四、与基金销售有关的费用</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1、申购费率</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本基金对通过直销柜台申购的养老金客户与除此之外的其他投资人实施差别的申购费率。</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养老金客户指基本养老基金与依法成立的养老计划筹集的资金及其投资运营收益形成的补充养老基金等，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非养老金客户指除养老金客户外的其他投资人。</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通过基金管理人的直销柜台申购本基金基金份额的养老金客户适用下表特定申购费率，其他投资人申购本基金基金份额的适用下表一般申购费率：</w:t>
      </w:r>
    </w:p>
    <w:tbl>
      <w:tblPr>
        <w:tblW w:w="8043" w:type="dxa"/>
        <w:tblInd w:w="52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3356"/>
        <w:gridCol w:w="2389"/>
        <w:gridCol w:w="2298"/>
      </w:tblGrid>
      <w:tr w:rsidR="00DC523B">
        <w:trPr>
          <w:trHeight w:val="415"/>
        </w:trPr>
        <w:tc>
          <w:tcPr>
            <w:tcW w:w="2815" w:type="dxa"/>
            <w:tcBorders>
              <w:top w:val="single" w:sz="8" w:space="0" w:color="000000"/>
              <w:left w:val="single" w:sz="8" w:space="0" w:color="000000"/>
              <w:bottom w:val="single" w:sz="8" w:space="0" w:color="auto"/>
              <w:right w:val="single" w:sz="8" w:space="0" w:color="auto"/>
            </w:tcBorders>
            <w:tcMar>
              <w:top w:w="0" w:type="dxa"/>
              <w:left w:w="8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hint="eastAsia"/>
                <w:b/>
                <w:bCs/>
                <w:sz w:val="21"/>
                <w:szCs w:val="21"/>
              </w:rPr>
              <w:t>申购金额</w:t>
            </w:r>
            <w:r>
              <w:rPr>
                <w:rFonts w:ascii="Times New Roman" w:hAnsi="Times New Roman" w:cs="Times New Roman"/>
                <w:b/>
                <w:bCs/>
                <w:sz w:val="21"/>
                <w:szCs w:val="21"/>
              </w:rPr>
              <w:t>M</w:t>
            </w:r>
            <w:r>
              <w:rPr>
                <w:rFonts w:hint="eastAsia"/>
                <w:b/>
                <w:bCs/>
                <w:sz w:val="21"/>
                <w:szCs w:val="21"/>
              </w:rPr>
              <w:t>（元）</w:t>
            </w:r>
          </w:p>
        </w:tc>
        <w:tc>
          <w:tcPr>
            <w:tcW w:w="2004" w:type="dxa"/>
            <w:tcBorders>
              <w:top w:val="single" w:sz="8" w:space="0" w:color="000000"/>
              <w:left w:val="nil"/>
              <w:bottom w:val="single" w:sz="8" w:space="0" w:color="auto"/>
              <w:right w:val="single" w:sz="8" w:space="0" w:color="auto"/>
            </w:tcBorders>
            <w:tcMar>
              <w:top w:w="0" w:type="dxa"/>
              <w:left w:w="10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hint="eastAsia"/>
                <w:b/>
                <w:bCs/>
                <w:sz w:val="21"/>
                <w:szCs w:val="21"/>
              </w:rPr>
              <w:t>一般申购费率</w:t>
            </w:r>
          </w:p>
        </w:tc>
        <w:tc>
          <w:tcPr>
            <w:tcW w:w="1928" w:type="dxa"/>
            <w:tcBorders>
              <w:top w:val="single" w:sz="8" w:space="0" w:color="000000"/>
              <w:left w:val="nil"/>
              <w:bottom w:val="single" w:sz="8" w:space="0" w:color="auto"/>
              <w:right w:val="single" w:sz="8" w:space="0" w:color="000000"/>
            </w:tcBorders>
            <w:tcMar>
              <w:top w:w="0" w:type="dxa"/>
              <w:left w:w="8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hint="eastAsia"/>
                <w:b/>
                <w:bCs/>
                <w:sz w:val="21"/>
                <w:szCs w:val="21"/>
              </w:rPr>
              <w:t>特定申购费率</w:t>
            </w:r>
          </w:p>
        </w:tc>
      </w:tr>
      <w:tr w:rsidR="00DC523B">
        <w:trPr>
          <w:trHeight w:val="415"/>
        </w:trPr>
        <w:tc>
          <w:tcPr>
            <w:tcW w:w="2815" w:type="dxa"/>
            <w:tcBorders>
              <w:top w:val="nil"/>
              <w:left w:val="single" w:sz="8" w:space="0" w:color="000000"/>
              <w:bottom w:val="single" w:sz="8" w:space="0" w:color="auto"/>
              <w:right w:val="single" w:sz="8" w:space="0" w:color="auto"/>
            </w:tcBorders>
            <w:tcMar>
              <w:top w:w="0" w:type="dxa"/>
              <w:left w:w="8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ascii="Times New Roman" w:hAnsi="Times New Roman" w:cs="Times New Roman"/>
                <w:sz w:val="21"/>
                <w:szCs w:val="21"/>
              </w:rPr>
              <w:t>M&lt;100</w:t>
            </w:r>
            <w:r>
              <w:rPr>
                <w:rFonts w:hint="eastAsia"/>
                <w:sz w:val="21"/>
                <w:szCs w:val="21"/>
              </w:rPr>
              <w:t>万</w:t>
            </w:r>
          </w:p>
        </w:tc>
        <w:tc>
          <w:tcPr>
            <w:tcW w:w="2004" w:type="dxa"/>
            <w:tcBorders>
              <w:top w:val="nil"/>
              <w:left w:val="nil"/>
              <w:bottom w:val="single" w:sz="8" w:space="0" w:color="auto"/>
              <w:right w:val="single" w:sz="8" w:space="0" w:color="auto"/>
            </w:tcBorders>
            <w:tcMar>
              <w:top w:w="0" w:type="dxa"/>
              <w:left w:w="10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ascii="Times New Roman" w:hAnsi="Times New Roman" w:cs="Times New Roman"/>
                <w:sz w:val="21"/>
                <w:szCs w:val="21"/>
              </w:rPr>
              <w:t>0.8%</w:t>
            </w:r>
          </w:p>
        </w:tc>
        <w:tc>
          <w:tcPr>
            <w:tcW w:w="1928" w:type="dxa"/>
            <w:tcBorders>
              <w:top w:val="nil"/>
              <w:left w:val="nil"/>
              <w:bottom w:val="single" w:sz="8" w:space="0" w:color="auto"/>
              <w:right w:val="single" w:sz="8" w:space="0" w:color="000000"/>
            </w:tcBorders>
            <w:tcMar>
              <w:top w:w="0" w:type="dxa"/>
              <w:left w:w="8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ascii="Times New Roman" w:hAnsi="Times New Roman" w:cs="Times New Roman"/>
                <w:sz w:val="21"/>
                <w:szCs w:val="21"/>
              </w:rPr>
              <w:t>0.32%</w:t>
            </w:r>
          </w:p>
        </w:tc>
      </w:tr>
      <w:tr w:rsidR="00DC523B">
        <w:trPr>
          <w:trHeight w:val="415"/>
        </w:trPr>
        <w:tc>
          <w:tcPr>
            <w:tcW w:w="2815" w:type="dxa"/>
            <w:tcBorders>
              <w:top w:val="nil"/>
              <w:left w:val="single" w:sz="8" w:space="0" w:color="000000"/>
              <w:bottom w:val="single" w:sz="8" w:space="0" w:color="auto"/>
              <w:right w:val="single" w:sz="8" w:space="0" w:color="auto"/>
            </w:tcBorders>
            <w:tcMar>
              <w:top w:w="0" w:type="dxa"/>
              <w:left w:w="8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ascii="Times New Roman" w:hAnsi="Times New Roman" w:cs="Times New Roman"/>
                <w:sz w:val="21"/>
                <w:szCs w:val="21"/>
              </w:rPr>
              <w:t>100</w:t>
            </w:r>
            <w:r>
              <w:rPr>
                <w:rFonts w:hint="eastAsia"/>
                <w:sz w:val="21"/>
                <w:szCs w:val="21"/>
              </w:rPr>
              <w:t>万</w:t>
            </w:r>
            <w:r>
              <w:rPr>
                <w:rFonts w:ascii="Times New Roman" w:hAnsi="Times New Roman" w:cs="Times New Roman"/>
                <w:sz w:val="21"/>
                <w:szCs w:val="21"/>
              </w:rPr>
              <w:t>≤ M &lt;500</w:t>
            </w:r>
            <w:r>
              <w:rPr>
                <w:rFonts w:hint="eastAsia"/>
                <w:sz w:val="21"/>
                <w:szCs w:val="21"/>
              </w:rPr>
              <w:t>万</w:t>
            </w:r>
          </w:p>
        </w:tc>
        <w:tc>
          <w:tcPr>
            <w:tcW w:w="2004" w:type="dxa"/>
            <w:tcBorders>
              <w:top w:val="nil"/>
              <w:left w:val="nil"/>
              <w:bottom w:val="single" w:sz="8" w:space="0" w:color="auto"/>
              <w:right w:val="single" w:sz="8" w:space="0" w:color="auto"/>
            </w:tcBorders>
            <w:tcMar>
              <w:top w:w="0" w:type="dxa"/>
              <w:left w:w="10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ascii="Times New Roman" w:hAnsi="Times New Roman" w:cs="Times New Roman"/>
                <w:sz w:val="21"/>
                <w:szCs w:val="21"/>
              </w:rPr>
              <w:t>0.4%</w:t>
            </w:r>
          </w:p>
        </w:tc>
        <w:tc>
          <w:tcPr>
            <w:tcW w:w="1928" w:type="dxa"/>
            <w:tcBorders>
              <w:top w:val="nil"/>
              <w:left w:val="nil"/>
              <w:bottom w:val="single" w:sz="8" w:space="0" w:color="auto"/>
              <w:right w:val="single" w:sz="8" w:space="0" w:color="000000"/>
            </w:tcBorders>
            <w:tcMar>
              <w:top w:w="0" w:type="dxa"/>
              <w:left w:w="8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ascii="Times New Roman" w:hAnsi="Times New Roman" w:cs="Times New Roman"/>
                <w:sz w:val="21"/>
                <w:szCs w:val="21"/>
              </w:rPr>
              <w:t>0.12%</w:t>
            </w:r>
          </w:p>
        </w:tc>
      </w:tr>
      <w:tr w:rsidR="00DC523B">
        <w:trPr>
          <w:trHeight w:val="415"/>
        </w:trPr>
        <w:tc>
          <w:tcPr>
            <w:tcW w:w="2815" w:type="dxa"/>
            <w:tcBorders>
              <w:top w:val="nil"/>
              <w:left w:val="single" w:sz="8" w:space="0" w:color="000000"/>
              <w:bottom w:val="single" w:sz="8" w:space="0" w:color="000000"/>
              <w:right w:val="single" w:sz="8" w:space="0" w:color="auto"/>
            </w:tcBorders>
            <w:tcMar>
              <w:top w:w="0" w:type="dxa"/>
              <w:left w:w="8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ascii="Times New Roman" w:hAnsi="Times New Roman" w:cs="Times New Roman"/>
                <w:sz w:val="21"/>
                <w:szCs w:val="21"/>
              </w:rPr>
              <w:t>M≥ 500</w:t>
            </w:r>
            <w:r>
              <w:rPr>
                <w:rFonts w:hint="eastAsia"/>
                <w:sz w:val="21"/>
                <w:szCs w:val="21"/>
              </w:rPr>
              <w:t>万</w:t>
            </w:r>
          </w:p>
        </w:tc>
        <w:tc>
          <w:tcPr>
            <w:tcW w:w="2004" w:type="dxa"/>
            <w:tcBorders>
              <w:top w:val="nil"/>
              <w:left w:val="nil"/>
              <w:bottom w:val="single" w:sz="8" w:space="0" w:color="000000"/>
              <w:right w:val="single" w:sz="8" w:space="0" w:color="auto"/>
            </w:tcBorders>
            <w:tcMar>
              <w:top w:w="0" w:type="dxa"/>
              <w:left w:w="10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hint="eastAsia"/>
                <w:sz w:val="21"/>
                <w:szCs w:val="21"/>
              </w:rPr>
              <w:t>每笔</w:t>
            </w:r>
            <w:r>
              <w:rPr>
                <w:rFonts w:ascii="Times New Roman" w:hAnsi="Times New Roman" w:cs="Times New Roman"/>
                <w:sz w:val="21"/>
                <w:szCs w:val="21"/>
              </w:rPr>
              <w:t>1000</w:t>
            </w:r>
            <w:r>
              <w:rPr>
                <w:rFonts w:hint="eastAsia"/>
                <w:sz w:val="21"/>
                <w:szCs w:val="21"/>
              </w:rPr>
              <w:t>元</w:t>
            </w:r>
          </w:p>
        </w:tc>
        <w:tc>
          <w:tcPr>
            <w:tcW w:w="1928" w:type="dxa"/>
            <w:tcBorders>
              <w:top w:val="nil"/>
              <w:left w:val="nil"/>
              <w:bottom w:val="single" w:sz="8" w:space="0" w:color="000000"/>
              <w:right w:val="single" w:sz="8" w:space="0" w:color="000000"/>
            </w:tcBorders>
            <w:tcMar>
              <w:top w:w="0" w:type="dxa"/>
              <w:left w:w="8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hint="eastAsia"/>
                <w:sz w:val="21"/>
                <w:szCs w:val="21"/>
              </w:rPr>
              <w:t>每笔</w:t>
            </w:r>
            <w:r>
              <w:rPr>
                <w:rFonts w:ascii="Times New Roman" w:hAnsi="Times New Roman" w:cs="Times New Roman"/>
                <w:sz w:val="21"/>
                <w:szCs w:val="21"/>
              </w:rPr>
              <w:t>1000</w:t>
            </w:r>
            <w:r>
              <w:rPr>
                <w:rFonts w:hint="eastAsia"/>
                <w:sz w:val="21"/>
                <w:szCs w:val="21"/>
              </w:rPr>
              <w:t>元</w:t>
            </w:r>
          </w:p>
        </w:tc>
      </w:tr>
    </w:tbl>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本基金的申购费用应在投资人申购基金份额时收取。投资人在一天之内如果有多笔申购，适用费率按单笔分别计算。</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申购费用由投资人承担，不列入基金财产，主要用于本基金的市场推广、销售、登记等各项费用。</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2、赎回费率</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本基金的赎回费率如下表所示：</w:t>
      </w:r>
    </w:p>
    <w:tbl>
      <w:tblPr>
        <w:tblW w:w="0" w:type="auto"/>
        <w:tblInd w:w="633"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2966"/>
        <w:gridCol w:w="2834"/>
      </w:tblGrid>
      <w:tr w:rsidR="00DC523B">
        <w:trPr>
          <w:trHeight w:val="461"/>
        </w:trPr>
        <w:tc>
          <w:tcPr>
            <w:tcW w:w="2966" w:type="dxa"/>
            <w:tcBorders>
              <w:top w:val="single" w:sz="8" w:space="0" w:color="000000"/>
              <w:left w:val="single" w:sz="8" w:space="0" w:color="000000"/>
              <w:bottom w:val="single" w:sz="8" w:space="0" w:color="auto"/>
              <w:right w:val="single" w:sz="8" w:space="0" w:color="auto"/>
            </w:tcBorders>
            <w:tcMar>
              <w:top w:w="0" w:type="dxa"/>
              <w:left w:w="8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hint="eastAsia"/>
                <w:b/>
                <w:bCs/>
                <w:sz w:val="21"/>
                <w:szCs w:val="21"/>
              </w:rPr>
              <w:t>持有年限（</w:t>
            </w:r>
            <w:r>
              <w:rPr>
                <w:rFonts w:ascii="Times New Roman" w:hAnsi="Times New Roman" w:cs="Times New Roman"/>
                <w:b/>
                <w:bCs/>
                <w:sz w:val="21"/>
                <w:szCs w:val="21"/>
              </w:rPr>
              <w:t>Y</w:t>
            </w:r>
            <w:r>
              <w:rPr>
                <w:rFonts w:hint="eastAsia"/>
                <w:b/>
                <w:bCs/>
                <w:sz w:val="21"/>
                <w:szCs w:val="21"/>
              </w:rPr>
              <w:t>）</w:t>
            </w:r>
          </w:p>
        </w:tc>
        <w:tc>
          <w:tcPr>
            <w:tcW w:w="2834" w:type="dxa"/>
            <w:tcBorders>
              <w:top w:val="single" w:sz="8" w:space="0" w:color="000000"/>
              <w:left w:val="nil"/>
              <w:bottom w:val="single" w:sz="8" w:space="0" w:color="auto"/>
              <w:right w:val="single" w:sz="8" w:space="0" w:color="000000"/>
            </w:tcBorders>
            <w:tcMar>
              <w:top w:w="0" w:type="dxa"/>
              <w:left w:w="10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hint="eastAsia"/>
                <w:b/>
                <w:bCs/>
                <w:sz w:val="21"/>
                <w:szCs w:val="21"/>
              </w:rPr>
              <w:t>赎回费率</w:t>
            </w:r>
          </w:p>
        </w:tc>
      </w:tr>
      <w:tr w:rsidR="00DC523B">
        <w:trPr>
          <w:trHeight w:val="461"/>
        </w:trPr>
        <w:tc>
          <w:tcPr>
            <w:tcW w:w="2966" w:type="dxa"/>
            <w:tcBorders>
              <w:top w:val="nil"/>
              <w:left w:val="single" w:sz="8" w:space="0" w:color="000000"/>
              <w:bottom w:val="single" w:sz="8" w:space="0" w:color="auto"/>
              <w:right w:val="single" w:sz="8" w:space="0" w:color="auto"/>
            </w:tcBorders>
            <w:tcMar>
              <w:top w:w="0" w:type="dxa"/>
              <w:left w:w="8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hint="eastAsia"/>
                <w:b/>
                <w:bCs/>
                <w:sz w:val="21"/>
                <w:szCs w:val="21"/>
              </w:rPr>
              <w:t>Y</w:t>
            </w:r>
            <w:r>
              <w:rPr>
                <w:rFonts w:hint="eastAsia"/>
                <w:sz w:val="21"/>
                <w:szCs w:val="21"/>
              </w:rPr>
              <w:t>＜</w:t>
            </w:r>
            <w:r>
              <w:rPr>
                <w:rFonts w:ascii="Times New Roman" w:hAnsi="Times New Roman" w:cs="Times New Roman"/>
                <w:sz w:val="21"/>
                <w:szCs w:val="21"/>
              </w:rPr>
              <w:t>7</w:t>
            </w:r>
            <w:r>
              <w:rPr>
                <w:rFonts w:hint="eastAsia"/>
                <w:sz w:val="21"/>
                <w:szCs w:val="21"/>
              </w:rPr>
              <w:t>天</w:t>
            </w:r>
          </w:p>
        </w:tc>
        <w:tc>
          <w:tcPr>
            <w:tcW w:w="2834" w:type="dxa"/>
            <w:tcBorders>
              <w:top w:val="nil"/>
              <w:left w:val="nil"/>
              <w:bottom w:val="single" w:sz="8" w:space="0" w:color="auto"/>
              <w:right w:val="single" w:sz="8" w:space="0" w:color="000000"/>
            </w:tcBorders>
            <w:tcMar>
              <w:top w:w="0" w:type="dxa"/>
              <w:left w:w="10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hint="eastAsia"/>
                <w:sz w:val="21"/>
                <w:szCs w:val="21"/>
              </w:rPr>
              <w:t>1.5%</w:t>
            </w:r>
          </w:p>
        </w:tc>
      </w:tr>
      <w:tr w:rsidR="00DC523B">
        <w:trPr>
          <w:trHeight w:val="461"/>
        </w:trPr>
        <w:tc>
          <w:tcPr>
            <w:tcW w:w="2966" w:type="dxa"/>
            <w:tcBorders>
              <w:top w:val="nil"/>
              <w:left w:val="single" w:sz="8" w:space="0" w:color="000000"/>
              <w:bottom w:val="single" w:sz="8" w:space="0" w:color="auto"/>
              <w:right w:val="single" w:sz="8" w:space="0" w:color="auto"/>
            </w:tcBorders>
            <w:tcMar>
              <w:top w:w="0" w:type="dxa"/>
              <w:left w:w="8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ascii="Times New Roman" w:hAnsi="Times New Roman" w:cs="Times New Roman"/>
                <w:sz w:val="21"/>
                <w:szCs w:val="21"/>
              </w:rPr>
              <w:t>7</w:t>
            </w:r>
            <w:r>
              <w:rPr>
                <w:rFonts w:hint="eastAsia"/>
                <w:sz w:val="21"/>
                <w:szCs w:val="21"/>
              </w:rPr>
              <w:t>天</w:t>
            </w:r>
            <w:r>
              <w:rPr>
                <w:rFonts w:ascii="Times New Roman" w:hAnsi="Times New Roman" w:cs="Times New Roman"/>
                <w:sz w:val="21"/>
                <w:szCs w:val="21"/>
              </w:rPr>
              <w:t>≤Y</w:t>
            </w:r>
            <w:r>
              <w:rPr>
                <w:rFonts w:hint="eastAsia"/>
                <w:sz w:val="21"/>
                <w:szCs w:val="21"/>
              </w:rPr>
              <w:t>＜</w:t>
            </w:r>
            <w:r>
              <w:rPr>
                <w:rFonts w:ascii="Times New Roman" w:hAnsi="Times New Roman" w:cs="Times New Roman"/>
                <w:sz w:val="21"/>
                <w:szCs w:val="21"/>
              </w:rPr>
              <w:t>1</w:t>
            </w:r>
            <w:r>
              <w:rPr>
                <w:rFonts w:hint="eastAsia"/>
                <w:sz w:val="21"/>
                <w:szCs w:val="21"/>
              </w:rPr>
              <w:t>年</w:t>
            </w:r>
          </w:p>
        </w:tc>
        <w:tc>
          <w:tcPr>
            <w:tcW w:w="2834" w:type="dxa"/>
            <w:tcBorders>
              <w:top w:val="nil"/>
              <w:left w:val="nil"/>
              <w:bottom w:val="single" w:sz="8" w:space="0" w:color="auto"/>
              <w:right w:val="single" w:sz="8" w:space="0" w:color="000000"/>
            </w:tcBorders>
            <w:tcMar>
              <w:top w:w="0" w:type="dxa"/>
              <w:left w:w="10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ascii="Times New Roman" w:hAnsi="Times New Roman" w:cs="Times New Roman"/>
                <w:sz w:val="21"/>
                <w:szCs w:val="21"/>
              </w:rPr>
              <w:t>0.1%</w:t>
            </w:r>
          </w:p>
        </w:tc>
      </w:tr>
      <w:tr w:rsidR="00DC523B">
        <w:trPr>
          <w:trHeight w:val="461"/>
        </w:trPr>
        <w:tc>
          <w:tcPr>
            <w:tcW w:w="2966" w:type="dxa"/>
            <w:tcBorders>
              <w:top w:val="nil"/>
              <w:left w:val="single" w:sz="8" w:space="0" w:color="000000"/>
              <w:bottom w:val="single" w:sz="8" w:space="0" w:color="000000"/>
              <w:right w:val="single" w:sz="8" w:space="0" w:color="auto"/>
            </w:tcBorders>
            <w:tcMar>
              <w:top w:w="0" w:type="dxa"/>
              <w:left w:w="8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ascii="Times New Roman" w:hAnsi="Times New Roman" w:cs="Times New Roman"/>
                <w:sz w:val="21"/>
                <w:szCs w:val="21"/>
              </w:rPr>
              <w:t>Y≥1</w:t>
            </w:r>
            <w:r>
              <w:rPr>
                <w:rFonts w:hint="eastAsia"/>
                <w:sz w:val="21"/>
                <w:szCs w:val="21"/>
              </w:rPr>
              <w:t>年</w:t>
            </w:r>
          </w:p>
        </w:tc>
        <w:tc>
          <w:tcPr>
            <w:tcW w:w="2834" w:type="dxa"/>
            <w:tcBorders>
              <w:top w:val="nil"/>
              <w:left w:val="nil"/>
              <w:bottom w:val="single" w:sz="8" w:space="0" w:color="000000"/>
              <w:right w:val="single" w:sz="8" w:space="0" w:color="000000"/>
            </w:tcBorders>
            <w:tcMar>
              <w:top w:w="0" w:type="dxa"/>
              <w:left w:w="108" w:type="dxa"/>
              <w:bottom w:w="0" w:type="dxa"/>
              <w:right w:w="88" w:type="dxa"/>
            </w:tcMar>
            <w:vAlign w:val="center"/>
            <w:hideMark/>
          </w:tcPr>
          <w:p w:rsidR="00DC523B" w:rsidRDefault="005E7E0E">
            <w:pPr>
              <w:pStyle w:val="a5"/>
              <w:spacing w:before="0" w:beforeAutospacing="0" w:after="0" w:afterAutospacing="0" w:line="360" w:lineRule="auto"/>
              <w:jc w:val="center"/>
              <w:rPr>
                <w:sz w:val="21"/>
                <w:szCs w:val="21"/>
              </w:rPr>
            </w:pPr>
            <w:r>
              <w:rPr>
                <w:rFonts w:ascii="Times New Roman" w:hAnsi="Times New Roman" w:cs="Times New Roman"/>
                <w:sz w:val="21"/>
                <w:szCs w:val="21"/>
              </w:rPr>
              <w:t>0</w:t>
            </w:r>
          </w:p>
        </w:tc>
      </w:tr>
    </w:tbl>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赎回费用由赎回基金份额的基金份额持有人承担，在基金份额持有人赎回基金份额时收取。赎回费总额的100%归入基金财产。</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五、基金税收</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本基金运作过程中涉及的各纳税主体，其纳税义务按国家税收法律、法规执行。</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基金财产投资的相关税收，由基金份额持有人承担，基金管理人或者其他扣缴义务人按照国家有关税收征收的规定代扣代缴。</w:t>
      </w:r>
    </w:p>
    <w:p w:rsidR="00DC523B" w:rsidRDefault="005E7E0E">
      <w:pPr>
        <w:pStyle w:val="1"/>
        <w:spacing w:before="93" w:beforeAutospacing="0" w:after="93" w:afterAutospacing="0" w:line="360" w:lineRule="auto"/>
        <w:jc w:val="center"/>
      </w:pPr>
      <w:r>
        <w:rPr>
          <w:rStyle w:val="ac"/>
          <w:rFonts w:hint="eastAsia"/>
          <w:b/>
          <w:bCs/>
          <w:sz w:val="28"/>
          <w:szCs w:val="28"/>
        </w:rPr>
        <w:t>十四、对招募说明书更新部分的说明</w:t>
      </w:r>
    </w:p>
    <w:p w:rsidR="00DC523B" w:rsidRDefault="005E7E0E">
      <w:pPr>
        <w:spacing w:before="100" w:beforeAutospacing="1" w:after="100" w:afterAutospacing="1" w:line="360" w:lineRule="auto"/>
      </w:pPr>
      <w:r>
        <w:rPr>
          <w:rFonts w:hint="eastAsia"/>
          <w:b/>
          <w:bCs/>
        </w:rPr>
        <w:t> </w:t>
      </w:r>
    </w:p>
    <w:p w:rsidR="00DC523B" w:rsidRDefault="005E7E0E">
      <w:pPr>
        <w:pStyle w:val="a5"/>
        <w:spacing w:before="0" w:beforeAutospacing="0" w:after="0" w:afterAutospacing="0" w:line="360" w:lineRule="auto"/>
        <w:ind w:firstLine="420"/>
        <w:jc w:val="both"/>
        <w:rPr>
          <w:sz w:val="21"/>
          <w:szCs w:val="21"/>
        </w:rPr>
      </w:pPr>
      <w:r>
        <w:rPr>
          <w:rFonts w:hint="eastAsia"/>
          <w:sz w:val="21"/>
          <w:szCs w:val="21"/>
        </w:rPr>
        <w:t>本基金管理人根据《中华人民共和国证券投资基金法》、《公开募集证券投资基金运作管理办法》、《证券投资基金销售管理办法》、《公开募集证券投资基金信息披露管理办法》及其它有关法律法规的规定，结合本基金管理人对本基金实施的投资管理活动，对本基金管理人原公告的本基金招募说明书进行了更新，主要更新的内容如下：</w:t>
      </w:r>
    </w:p>
    <w:p w:rsidR="00DC523B" w:rsidRDefault="005E7E0E">
      <w:pPr>
        <w:pStyle w:val="a5"/>
        <w:spacing w:before="75" w:beforeAutospacing="0" w:after="75" w:afterAutospacing="0" w:line="360" w:lineRule="auto"/>
        <w:ind w:firstLine="420"/>
        <w:rPr>
          <w:sz w:val="21"/>
          <w:szCs w:val="21"/>
        </w:rPr>
      </w:pPr>
      <w:r>
        <w:rPr>
          <w:rFonts w:hint="eastAsia"/>
          <w:sz w:val="21"/>
          <w:szCs w:val="21"/>
        </w:rPr>
        <w:t>1、在“重要提示”部分明确了本次招募说明书更新的内容。</w:t>
      </w:r>
    </w:p>
    <w:p w:rsidR="00DC523B" w:rsidRDefault="005E7E0E">
      <w:pPr>
        <w:pStyle w:val="a5"/>
        <w:spacing w:before="75" w:beforeAutospacing="0" w:after="75" w:afterAutospacing="0" w:line="360" w:lineRule="auto"/>
        <w:ind w:firstLine="420"/>
        <w:rPr>
          <w:sz w:val="21"/>
          <w:szCs w:val="21"/>
        </w:rPr>
      </w:pPr>
      <w:r>
        <w:rPr>
          <w:rFonts w:hint="eastAsia"/>
          <w:sz w:val="21"/>
          <w:szCs w:val="21"/>
        </w:rPr>
        <w:t>2、在“三、 基金管理人”部分,更新了基金经理相关信息。</w:t>
      </w:r>
    </w:p>
    <w:p w:rsidR="00DC523B" w:rsidRDefault="005E7E0E">
      <w:pPr>
        <w:spacing w:before="100" w:beforeAutospacing="1" w:after="100" w:afterAutospacing="1" w:line="360" w:lineRule="auto"/>
        <w:jc w:val="right"/>
      </w:pPr>
      <w:r>
        <w:rPr>
          <w:rFonts w:hint="eastAsia"/>
        </w:rPr>
        <w:t xml:space="preserve">     </w:t>
      </w:r>
      <w:r>
        <w:rPr>
          <w:rFonts w:hint="eastAsia"/>
          <w:b/>
          <w:bCs/>
        </w:rPr>
        <w:t>  鹏华基金管理有限公司</w:t>
      </w:r>
    </w:p>
    <w:p w:rsidR="005E7E0E" w:rsidRDefault="005E7E0E">
      <w:pPr>
        <w:spacing w:before="100" w:beforeAutospacing="1" w:after="100" w:afterAutospacing="1" w:line="360" w:lineRule="auto"/>
        <w:jc w:val="right"/>
      </w:pPr>
      <w:r>
        <w:rPr>
          <w:rFonts w:hint="eastAsia"/>
          <w:b/>
          <w:bCs/>
        </w:rPr>
        <w:t xml:space="preserve">2019年12月 </w:t>
      </w:r>
    </w:p>
    <w:sectPr w:rsidR="005E7E0E" w:rsidSect="00310FD0">
      <w:pgSz w:w="11906" w:h="16838"/>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B06" w:rsidRDefault="00C75B06">
      <w:r>
        <w:separator/>
      </w:r>
    </w:p>
  </w:endnote>
  <w:endnote w:type="continuationSeparator" w:id="1">
    <w:p w:rsidR="00C75B06" w:rsidRDefault="00C75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行楷">
    <w:altName w:val="宋体"/>
    <w:panose1 w:val="02010800040101010101"/>
    <w:charset w:val="86"/>
    <w:family w:val="auto"/>
    <w:pitch w:val="variable"/>
    <w:sig w:usb0="00000001" w:usb1="080E0000" w:usb2="00000010" w:usb3="00000000" w:csb0="00040000" w:csb1="00000000"/>
  </w:font>
  <w:font w:name="方正黑体_GBK">
    <w:altName w:val="Microsoft YaHei UI"/>
    <w:charset w:val="86"/>
    <w:family w:val="script"/>
    <w:pitch w:val="fixed"/>
    <w:sig w:usb0="00000000" w:usb1="090E0000" w:usb2="00000010" w:usb3="00000000" w:csb0="003C0041" w:csb1="00000000"/>
  </w:font>
  <w:font w:name="方正楷体_GBK">
    <w:altName w:val="Microsoft YaHei UI"/>
    <w:charset w:val="86"/>
    <w:family w:val="script"/>
    <w:pitch w:val="fixed"/>
    <w:sig w:usb0="00000000" w:usb1="090E0000" w:usb2="00000010" w:usb3="00000000" w:csb0="003C0041" w:csb1="00000000"/>
  </w:font>
  <w:font w:name="方正仿宋_GBK">
    <w:altName w:val="Microsoft YaHei UI"/>
    <w:charset w:val="86"/>
    <w:family w:val="script"/>
    <w:pitch w:val="fixed"/>
    <w:sig w:usb0="00000000" w:usb1="090E0000" w:usb2="00000010" w:usb3="00000000" w:csb0="003C004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B06" w:rsidRDefault="00C75B06">
      <w:r>
        <w:separator/>
      </w:r>
    </w:p>
  </w:footnote>
  <w:footnote w:type="continuationSeparator" w:id="1">
    <w:p w:rsidR="00C75B06" w:rsidRDefault="00C75B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4097"/>
  </w:hdrShapeDefaults>
  <w:footnotePr>
    <w:footnote w:id="0"/>
    <w:footnote w:id="1"/>
  </w:footnotePr>
  <w:endnotePr>
    <w:endnote w:id="0"/>
    <w:endnote w:id="1"/>
  </w:endnotePr>
  <w:compat>
    <w:useFELayout/>
  </w:compat>
  <w:rsids>
    <w:rsidRoot w:val="002D1751"/>
    <w:rsid w:val="002D1751"/>
    <w:rsid w:val="00310FD0"/>
    <w:rsid w:val="00515055"/>
    <w:rsid w:val="005E7E0E"/>
    <w:rsid w:val="00C75B06"/>
    <w:rsid w:val="00DC523B"/>
    <w:rsid w:val="00DC63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FD0"/>
    <w:rPr>
      <w:rFonts w:ascii="宋体" w:eastAsia="宋体" w:hAnsi="宋体" w:cs="宋体"/>
      <w:sz w:val="24"/>
      <w:szCs w:val="24"/>
    </w:rPr>
  </w:style>
  <w:style w:type="paragraph" w:styleId="1">
    <w:name w:val="heading 1"/>
    <w:basedOn w:val="a"/>
    <w:link w:val="1Char"/>
    <w:uiPriority w:val="9"/>
    <w:qFormat/>
    <w:rsid w:val="00310FD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FD0"/>
    <w:rPr>
      <w:color w:val="0000FF"/>
      <w:u w:val="single"/>
    </w:rPr>
  </w:style>
  <w:style w:type="character" w:styleId="a4">
    <w:name w:val="FollowedHyperlink"/>
    <w:basedOn w:val="a0"/>
    <w:uiPriority w:val="99"/>
    <w:semiHidden/>
    <w:unhideWhenUsed/>
    <w:rsid w:val="00310FD0"/>
    <w:rPr>
      <w:color w:val="800080"/>
      <w:u w:val="single"/>
    </w:rPr>
  </w:style>
  <w:style w:type="character" w:customStyle="1" w:styleId="1Char">
    <w:name w:val="标题 1 Char"/>
    <w:basedOn w:val="a0"/>
    <w:link w:val="1"/>
    <w:uiPriority w:val="9"/>
    <w:locked/>
    <w:rsid w:val="00310FD0"/>
    <w:rPr>
      <w:rFonts w:ascii="宋体" w:eastAsia="宋体" w:hAnsi="宋体" w:cs="宋体" w:hint="eastAsia"/>
      <w:b/>
      <w:bCs/>
      <w:kern w:val="44"/>
      <w:sz w:val="44"/>
      <w:szCs w:val="44"/>
    </w:rPr>
  </w:style>
  <w:style w:type="paragraph" w:styleId="a5">
    <w:name w:val="Normal (Web)"/>
    <w:basedOn w:val="a"/>
    <w:uiPriority w:val="99"/>
    <w:semiHidden/>
    <w:unhideWhenUsed/>
    <w:rsid w:val="00310FD0"/>
    <w:pPr>
      <w:spacing w:before="100" w:beforeAutospacing="1" w:after="100" w:afterAutospacing="1"/>
    </w:pPr>
  </w:style>
  <w:style w:type="paragraph" w:styleId="a6">
    <w:name w:val="annotation text"/>
    <w:basedOn w:val="a"/>
    <w:link w:val="Char"/>
    <w:uiPriority w:val="99"/>
    <w:semiHidden/>
    <w:unhideWhenUsed/>
    <w:rsid w:val="00310FD0"/>
    <w:pPr>
      <w:widowControl w:val="0"/>
    </w:pPr>
    <w:rPr>
      <w:rFonts w:ascii="Times New Roman" w:hAnsi="Times New Roman" w:cs="Times New Roman"/>
      <w:kern w:val="2"/>
      <w:sz w:val="21"/>
    </w:rPr>
  </w:style>
  <w:style w:type="character" w:customStyle="1" w:styleId="Char">
    <w:name w:val="批注文字 Char"/>
    <w:basedOn w:val="a0"/>
    <w:link w:val="a6"/>
    <w:uiPriority w:val="99"/>
    <w:semiHidden/>
    <w:locked/>
    <w:rsid w:val="00310FD0"/>
    <w:rPr>
      <w:rFonts w:ascii="宋体" w:eastAsia="宋体" w:hAnsi="宋体" w:hint="eastAsia"/>
      <w:kern w:val="2"/>
      <w:sz w:val="21"/>
      <w:szCs w:val="24"/>
    </w:rPr>
  </w:style>
  <w:style w:type="paragraph" w:styleId="a7">
    <w:name w:val="header"/>
    <w:basedOn w:val="a"/>
    <w:link w:val="Char0"/>
    <w:uiPriority w:val="99"/>
    <w:semiHidden/>
    <w:unhideWhenUsed/>
    <w:rsid w:val="00310F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locked/>
    <w:rsid w:val="00310FD0"/>
    <w:rPr>
      <w:rFonts w:ascii="宋体" w:eastAsia="宋体" w:hAnsi="宋体" w:cs="宋体" w:hint="eastAsia"/>
      <w:sz w:val="18"/>
      <w:szCs w:val="18"/>
    </w:rPr>
  </w:style>
  <w:style w:type="paragraph" w:styleId="a8">
    <w:name w:val="footer"/>
    <w:basedOn w:val="a"/>
    <w:link w:val="Char1"/>
    <w:uiPriority w:val="99"/>
    <w:semiHidden/>
    <w:unhideWhenUsed/>
    <w:rsid w:val="00310FD0"/>
    <w:pPr>
      <w:tabs>
        <w:tab w:val="center" w:pos="4153"/>
        <w:tab w:val="right" w:pos="8306"/>
      </w:tabs>
      <w:snapToGrid w:val="0"/>
    </w:pPr>
    <w:rPr>
      <w:sz w:val="18"/>
      <w:szCs w:val="18"/>
    </w:rPr>
  </w:style>
  <w:style w:type="character" w:customStyle="1" w:styleId="Char1">
    <w:name w:val="页脚 Char"/>
    <w:basedOn w:val="a0"/>
    <w:link w:val="a8"/>
    <w:uiPriority w:val="99"/>
    <w:semiHidden/>
    <w:locked/>
    <w:rsid w:val="00310FD0"/>
    <w:rPr>
      <w:rFonts w:ascii="宋体" w:eastAsia="宋体" w:hAnsi="宋体" w:cs="宋体" w:hint="eastAsia"/>
      <w:sz w:val="18"/>
      <w:szCs w:val="18"/>
    </w:rPr>
  </w:style>
  <w:style w:type="paragraph" w:styleId="a9">
    <w:name w:val="Body Text Indent"/>
    <w:basedOn w:val="a"/>
    <w:link w:val="Char2"/>
    <w:uiPriority w:val="99"/>
    <w:semiHidden/>
    <w:unhideWhenUsed/>
    <w:rsid w:val="00310FD0"/>
    <w:pPr>
      <w:widowControl w:val="0"/>
      <w:ind w:firstLine="600"/>
      <w:jc w:val="both"/>
    </w:pPr>
    <w:rPr>
      <w:rFonts w:ascii="仿宋_GB2312" w:eastAsia="仿宋_GB2312" w:hAnsi="Times New Roman" w:cs="Times New Roman"/>
      <w:kern w:val="2"/>
      <w:sz w:val="30"/>
    </w:rPr>
  </w:style>
  <w:style w:type="character" w:customStyle="1" w:styleId="Char2">
    <w:name w:val="正文文本缩进 Char"/>
    <w:basedOn w:val="a0"/>
    <w:link w:val="a9"/>
    <w:uiPriority w:val="99"/>
    <w:semiHidden/>
    <w:locked/>
    <w:rsid w:val="00310FD0"/>
    <w:rPr>
      <w:rFonts w:ascii="仿宋_GB2312" w:eastAsia="仿宋_GB2312" w:hint="eastAsia"/>
      <w:kern w:val="2"/>
      <w:sz w:val="30"/>
      <w:szCs w:val="24"/>
    </w:rPr>
  </w:style>
  <w:style w:type="paragraph" w:styleId="2">
    <w:name w:val="Body Text Indent 2"/>
    <w:basedOn w:val="a"/>
    <w:link w:val="2Char"/>
    <w:uiPriority w:val="99"/>
    <w:semiHidden/>
    <w:unhideWhenUsed/>
    <w:rsid w:val="00310FD0"/>
    <w:pPr>
      <w:widowControl w:val="0"/>
      <w:autoSpaceDE w:val="0"/>
      <w:autoSpaceDN w:val="0"/>
      <w:adjustRightInd w:val="0"/>
      <w:spacing w:line="360" w:lineRule="auto"/>
      <w:ind w:firstLineChars="200" w:firstLine="600"/>
      <w:jc w:val="both"/>
    </w:pPr>
    <w:rPr>
      <w:rFonts w:ascii="仿宋_GB2312" w:eastAsia="仿宋_GB2312" w:cs="Times New Roman"/>
      <w:color w:val="000000"/>
      <w:kern w:val="2"/>
      <w:sz w:val="30"/>
    </w:rPr>
  </w:style>
  <w:style w:type="character" w:customStyle="1" w:styleId="2Char">
    <w:name w:val="正文文本缩进 2 Char"/>
    <w:basedOn w:val="a0"/>
    <w:link w:val="2"/>
    <w:uiPriority w:val="99"/>
    <w:semiHidden/>
    <w:locked/>
    <w:rsid w:val="00310FD0"/>
    <w:rPr>
      <w:rFonts w:ascii="仿宋_GB2312" w:eastAsia="仿宋_GB2312" w:hAnsi="宋体" w:hint="eastAsia"/>
      <w:color w:val="000000"/>
      <w:kern w:val="2"/>
      <w:sz w:val="30"/>
      <w:szCs w:val="24"/>
    </w:rPr>
  </w:style>
  <w:style w:type="paragraph" w:styleId="aa">
    <w:name w:val="Plain Text"/>
    <w:basedOn w:val="a"/>
    <w:link w:val="Char3"/>
    <w:uiPriority w:val="99"/>
    <w:semiHidden/>
    <w:unhideWhenUsed/>
    <w:rsid w:val="00310FD0"/>
    <w:pPr>
      <w:widowControl w:val="0"/>
      <w:adjustRightInd w:val="0"/>
      <w:spacing w:line="312" w:lineRule="atLeast"/>
      <w:jc w:val="both"/>
    </w:pPr>
    <w:rPr>
      <w:rFonts w:hAnsi="Courier New" w:cs="Times New Roman"/>
      <w:sz w:val="21"/>
      <w:szCs w:val="21"/>
    </w:rPr>
  </w:style>
  <w:style w:type="character" w:customStyle="1" w:styleId="Char3">
    <w:name w:val="纯文本 Char"/>
    <w:basedOn w:val="a0"/>
    <w:link w:val="aa"/>
    <w:uiPriority w:val="99"/>
    <w:semiHidden/>
    <w:locked/>
    <w:rsid w:val="00310FD0"/>
    <w:rPr>
      <w:rFonts w:ascii="宋体" w:eastAsia="宋体" w:hAnsi="Courier New" w:hint="eastAsia"/>
      <w:sz w:val="21"/>
      <w:szCs w:val="21"/>
    </w:rPr>
  </w:style>
  <w:style w:type="paragraph" w:customStyle="1" w:styleId="ab">
    <w:name w:val="a"/>
    <w:basedOn w:val="a"/>
    <w:uiPriority w:val="99"/>
    <w:semiHidden/>
    <w:rsid w:val="00310FD0"/>
    <w:pPr>
      <w:spacing w:before="100" w:beforeAutospacing="1" w:after="100" w:afterAutospacing="1"/>
    </w:pPr>
  </w:style>
  <w:style w:type="character" w:styleId="ac">
    <w:name w:val="Strong"/>
    <w:basedOn w:val="a0"/>
    <w:uiPriority w:val="22"/>
    <w:qFormat/>
    <w:rsid w:val="00310FD0"/>
    <w:rPr>
      <w:b/>
      <w:bCs/>
    </w:rPr>
  </w:style>
  <w:style w:type="paragraph" w:styleId="ad">
    <w:name w:val="Balloon Text"/>
    <w:basedOn w:val="a"/>
    <w:link w:val="Char4"/>
    <w:uiPriority w:val="99"/>
    <w:semiHidden/>
    <w:unhideWhenUsed/>
    <w:rsid w:val="00515055"/>
    <w:rPr>
      <w:sz w:val="18"/>
      <w:szCs w:val="18"/>
    </w:rPr>
  </w:style>
  <w:style w:type="character" w:customStyle="1" w:styleId="Char4">
    <w:name w:val="批注框文本 Char"/>
    <w:basedOn w:val="a0"/>
    <w:link w:val="ad"/>
    <w:uiPriority w:val="99"/>
    <w:semiHidden/>
    <w:rsid w:val="00515055"/>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1096168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inance.sina.com.cn/realstock/company/sh601328/nc.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idrep.phfund.com.cn/default/upload/word-templates/20190301/0a747e1f8b96488cb1906dca3b74e8b9.docx.001.jpe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2621</Words>
  <Characters>14941</Characters>
  <Application>Microsoft Office Word</Application>
  <DocSecurity>4</DocSecurity>
  <Lines>124</Lines>
  <Paragraphs>35</Paragraphs>
  <ScaleCrop>false</ScaleCrop>
  <Company/>
  <LinksUpToDate>false</LinksUpToDate>
  <CharactersWithSpaces>17527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吕奇志</dc:creator>
  <cp:keywords/>
  <dc:description/>
  <cp:lastModifiedBy>JonMMx 2000</cp:lastModifiedBy>
  <cp:revision>2</cp:revision>
  <dcterms:created xsi:type="dcterms:W3CDTF">2019-12-03T16:01:00Z</dcterms:created>
  <dcterms:modified xsi:type="dcterms:W3CDTF">2019-12-03T16:01:00Z</dcterms:modified>
</cp:coreProperties>
</file>