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F5" w:rsidRDefault="000F26F5">
      <w:pPr>
        <w:spacing w:line="360" w:lineRule="auto"/>
        <w:jc w:val="center"/>
        <w:rPr>
          <w:rFonts w:ascii="宋体" w:hAnsi="宋体" w:hint="eastAsia"/>
          <w:b/>
          <w:sz w:val="24"/>
        </w:rPr>
      </w:pPr>
      <w:r>
        <w:rPr>
          <w:rFonts w:ascii="宋体" w:hAnsi="宋体"/>
          <w:b/>
          <w:sz w:val="24"/>
        </w:rPr>
        <w:t>关于</w:t>
      </w:r>
      <w:r>
        <w:rPr>
          <w:rFonts w:ascii="宋体" w:hAnsi="宋体" w:hint="eastAsia"/>
          <w:b/>
          <w:sz w:val="24"/>
        </w:rPr>
        <w:t>银华沪深300指数分级证券投资</w:t>
      </w:r>
      <w:r>
        <w:rPr>
          <w:rFonts w:ascii="宋体" w:hAnsi="宋体"/>
          <w:b/>
          <w:sz w:val="24"/>
        </w:rPr>
        <w:t>基金</w:t>
      </w:r>
    </w:p>
    <w:p w:rsidR="000F26F5" w:rsidRDefault="000F26F5">
      <w:pPr>
        <w:spacing w:line="360" w:lineRule="auto"/>
        <w:jc w:val="center"/>
        <w:rPr>
          <w:rFonts w:ascii="宋体" w:hAnsi="宋体" w:hint="eastAsia"/>
          <w:b/>
          <w:sz w:val="24"/>
        </w:rPr>
      </w:pPr>
      <w:r>
        <w:rPr>
          <w:rFonts w:ascii="宋体" w:hAnsi="宋体" w:hint="eastAsia"/>
          <w:b/>
          <w:sz w:val="24"/>
        </w:rPr>
        <w:t>定期</w:t>
      </w:r>
      <w:r>
        <w:rPr>
          <w:rFonts w:ascii="宋体" w:hAnsi="宋体"/>
          <w:b/>
          <w:sz w:val="24"/>
        </w:rPr>
        <w:t>份额折算结果及恢复交易的公告</w:t>
      </w:r>
    </w:p>
    <w:p w:rsidR="000F26F5" w:rsidRDefault="000F26F5">
      <w:pPr>
        <w:spacing w:line="360" w:lineRule="auto"/>
        <w:jc w:val="center"/>
        <w:rPr>
          <w:rFonts w:ascii="宋体" w:hAnsi="宋体" w:hint="eastAsia"/>
          <w:b/>
          <w:sz w:val="24"/>
        </w:rPr>
      </w:pPr>
    </w:p>
    <w:p w:rsidR="000F26F5" w:rsidRDefault="000F26F5">
      <w:pPr>
        <w:pStyle w:val="Default"/>
        <w:spacing w:line="360" w:lineRule="auto"/>
        <w:ind w:firstLineChars="200" w:firstLine="480"/>
        <w:rPr>
          <w:rFonts w:hAnsi="宋体"/>
          <w:color w:val="auto"/>
        </w:rPr>
      </w:pPr>
      <w:r>
        <w:rPr>
          <w:rFonts w:hAnsi="宋体" w:cs="Arial"/>
          <w:color w:val="auto"/>
        </w:rPr>
        <w:t>根据</w:t>
      </w:r>
      <w:r>
        <w:rPr>
          <w:rFonts w:hAnsi="宋体" w:hint="eastAsia"/>
          <w:color w:val="auto"/>
        </w:rPr>
        <w:t>银华沪深300指数分级</w:t>
      </w:r>
      <w:r>
        <w:rPr>
          <w:rFonts w:hAnsi="宋体" w:cs="Arial" w:hint="eastAsia"/>
          <w:bCs/>
          <w:color w:val="auto"/>
          <w:kern w:val="36"/>
        </w:rPr>
        <w:t>证券投资</w:t>
      </w:r>
      <w:r>
        <w:rPr>
          <w:rFonts w:hAnsi="宋体" w:cs="Arial"/>
          <w:bCs/>
          <w:color w:val="auto"/>
          <w:kern w:val="36"/>
        </w:rPr>
        <w:t>基金</w:t>
      </w:r>
      <w:r>
        <w:rPr>
          <w:rFonts w:hAnsi="宋体" w:cs="Arial" w:hint="eastAsia"/>
          <w:bCs/>
          <w:color w:val="auto"/>
          <w:kern w:val="36"/>
        </w:rPr>
        <w:t>（以下简称：“</w:t>
      </w:r>
      <w:r>
        <w:rPr>
          <w:rFonts w:hAnsi="宋体" w:cs="Arial"/>
          <w:color w:val="auto"/>
        </w:rPr>
        <w:t>本基金</w:t>
      </w:r>
      <w:r>
        <w:rPr>
          <w:rFonts w:hAnsi="宋体" w:cs="Arial" w:hint="eastAsia"/>
          <w:color w:val="auto"/>
        </w:rPr>
        <w:t>”）</w:t>
      </w:r>
      <w:r>
        <w:rPr>
          <w:rFonts w:hAnsi="宋体" w:cs="Arial"/>
          <w:color w:val="auto"/>
        </w:rPr>
        <w:t>基金合同</w:t>
      </w:r>
      <w:r>
        <w:rPr>
          <w:rFonts w:hAnsi="宋体" w:cs="Arial" w:hint="eastAsia"/>
          <w:color w:val="auto"/>
        </w:rPr>
        <w:t>、招募说明书</w:t>
      </w:r>
      <w:r>
        <w:rPr>
          <w:rFonts w:hAnsi="宋体" w:cs="Arial"/>
          <w:color w:val="auto"/>
        </w:rPr>
        <w:t>及深圳证券交易所和中国证券登记结算有限责任公司的相关业务规定，</w:t>
      </w:r>
      <w:r>
        <w:rPr>
          <w:rFonts w:hAnsi="宋体" w:cs="Arial" w:hint="eastAsia"/>
          <w:color w:val="auto"/>
        </w:rPr>
        <w:t>银华基金管理股份有限公司</w:t>
      </w:r>
      <w:r>
        <w:rPr>
          <w:rFonts w:hAnsi="宋体" w:cs="Arial" w:hint="eastAsia"/>
          <w:bCs/>
          <w:color w:val="auto"/>
          <w:kern w:val="36"/>
        </w:rPr>
        <w:t>（以下简称：“</w:t>
      </w:r>
      <w:r>
        <w:rPr>
          <w:rFonts w:hAnsi="宋体" w:cs="Arial"/>
          <w:color w:val="auto"/>
        </w:rPr>
        <w:t>本</w:t>
      </w:r>
      <w:r>
        <w:rPr>
          <w:rFonts w:hAnsi="宋体" w:cs="Arial" w:hint="eastAsia"/>
          <w:color w:val="auto"/>
        </w:rPr>
        <w:t>公司”）以</w:t>
      </w:r>
      <w:r>
        <w:rPr>
          <w:rFonts w:hAnsi="宋体" w:cs="Arial"/>
          <w:color w:val="auto"/>
        </w:rPr>
        <w:t>2019年12月2日为份额折算基准日，</w:t>
      </w:r>
      <w:r>
        <w:rPr>
          <w:rFonts w:hAnsi="宋体" w:hint="eastAsia"/>
          <w:color w:val="auto"/>
        </w:rPr>
        <w:t>对本基金银华300份额</w:t>
      </w:r>
      <w:r>
        <w:rPr>
          <w:rFonts w:hAnsi="宋体" w:hint="eastAsia"/>
        </w:rPr>
        <w:t>（场内简称：300分级，代码：161811）</w:t>
      </w:r>
      <w:r>
        <w:rPr>
          <w:rFonts w:hAnsi="宋体" w:hint="eastAsia"/>
          <w:color w:val="auto"/>
        </w:rPr>
        <w:t>以及银华300A份额</w:t>
      </w:r>
      <w:r>
        <w:rPr>
          <w:rFonts w:hAnsi="宋体" w:hint="eastAsia"/>
        </w:rPr>
        <w:t>(场内简称：银华300</w:t>
      </w:r>
      <w:r>
        <w:rPr>
          <w:rFonts w:hAnsi="宋体"/>
        </w:rPr>
        <w:t>A</w:t>
      </w:r>
      <w:r>
        <w:rPr>
          <w:rFonts w:hAnsi="宋体" w:hint="eastAsia"/>
        </w:rPr>
        <w:t>，代码：150167)</w:t>
      </w:r>
      <w:r>
        <w:rPr>
          <w:rFonts w:hAnsi="宋体" w:cs="Arial"/>
          <w:color w:val="auto"/>
        </w:rPr>
        <w:t>实施</w:t>
      </w:r>
      <w:r>
        <w:rPr>
          <w:rFonts w:hAnsi="宋体" w:cs="Arial" w:hint="eastAsia"/>
          <w:color w:val="auto"/>
        </w:rPr>
        <w:t>了定期</w:t>
      </w:r>
      <w:r>
        <w:rPr>
          <w:rFonts w:hAnsi="宋体" w:cs="Arial"/>
          <w:color w:val="auto"/>
        </w:rPr>
        <w:t>份额折算，现将</w:t>
      </w:r>
      <w:r>
        <w:rPr>
          <w:rFonts w:hAnsi="宋体" w:cs="Arial" w:hint="eastAsia"/>
          <w:color w:val="auto"/>
        </w:rPr>
        <w:t>折算结果及恢复交易</w:t>
      </w:r>
      <w:r>
        <w:rPr>
          <w:rFonts w:hAnsi="宋体" w:cs="Arial"/>
          <w:color w:val="auto"/>
        </w:rPr>
        <w:t>相关事项公告如下：</w:t>
      </w:r>
    </w:p>
    <w:p w:rsidR="000F26F5" w:rsidRDefault="000F26F5">
      <w:pPr>
        <w:spacing w:line="360" w:lineRule="auto"/>
        <w:ind w:firstLineChars="200" w:firstLine="480"/>
        <w:jc w:val="left"/>
        <w:rPr>
          <w:rFonts w:ascii="宋体" w:hAnsi="宋体"/>
          <w:sz w:val="24"/>
        </w:rPr>
      </w:pPr>
      <w:r>
        <w:rPr>
          <w:rFonts w:ascii="宋体" w:hAnsi="宋体"/>
          <w:sz w:val="24"/>
        </w:rPr>
        <w:t>一、份额折算结果</w:t>
      </w:r>
    </w:p>
    <w:p w:rsidR="000F26F5" w:rsidRDefault="000F26F5">
      <w:pPr>
        <w:pStyle w:val="Default"/>
        <w:spacing w:line="360" w:lineRule="auto"/>
        <w:ind w:firstLineChars="200" w:firstLine="480"/>
        <w:rPr>
          <w:rFonts w:hAnsi="宋体" w:cs="Arial"/>
        </w:rPr>
      </w:pPr>
      <w:r>
        <w:rPr>
          <w:rFonts w:hAnsi="宋体" w:cs="Arial"/>
          <w:color w:val="auto"/>
        </w:rPr>
        <w:t>2019年12月2日，</w:t>
      </w:r>
      <w:r>
        <w:rPr>
          <w:rFonts w:hAnsi="宋体" w:cs="Arial" w:hint="eastAsia"/>
          <w:color w:val="auto"/>
        </w:rPr>
        <w:t>场外银华300份额</w:t>
      </w:r>
      <w:r>
        <w:rPr>
          <w:rFonts w:hAnsi="宋体" w:cs="Arial"/>
          <w:color w:val="auto"/>
        </w:rPr>
        <w:t>经折算后的份额数</w:t>
      </w:r>
      <w:r>
        <w:rPr>
          <w:rFonts w:hAnsi="宋体" w:cs="Arial" w:hint="eastAsia"/>
          <w:color w:val="auto"/>
        </w:rPr>
        <w:t>按截位法</w:t>
      </w:r>
      <w:r>
        <w:rPr>
          <w:rFonts w:hAnsi="宋体" w:cs="Arial"/>
          <w:color w:val="auto"/>
        </w:rPr>
        <w:t>保留到小数点后两位，</w:t>
      </w:r>
      <w:r>
        <w:rPr>
          <w:rFonts w:hAnsi="宋体" w:cs="Arial" w:hint="eastAsia"/>
          <w:color w:val="auto"/>
        </w:rPr>
        <w:t>舍去部分</w:t>
      </w:r>
      <w:r>
        <w:rPr>
          <w:rFonts w:hAnsi="宋体" w:cs="Arial"/>
          <w:color w:val="auto"/>
        </w:rPr>
        <w:t>计入基金财产；</w:t>
      </w:r>
      <w:r>
        <w:rPr>
          <w:rFonts w:hAnsi="宋体" w:hint="eastAsia"/>
        </w:rPr>
        <w:t>银华300份额的</w:t>
      </w:r>
      <w:r>
        <w:rPr>
          <w:rFonts w:hAnsi="宋体"/>
        </w:rPr>
        <w:t>场内份额</w:t>
      </w:r>
      <w:r>
        <w:rPr>
          <w:rFonts w:hAnsi="宋体" w:hint="eastAsia"/>
        </w:rPr>
        <w:t>、银华300</w:t>
      </w:r>
      <w:r>
        <w:rPr>
          <w:rFonts w:hAnsi="宋体"/>
        </w:rPr>
        <w:t>A</w:t>
      </w:r>
      <w:r>
        <w:rPr>
          <w:rFonts w:hAnsi="宋体" w:hint="eastAsia"/>
        </w:rPr>
        <w:t>份额经折算后的份额数取整计算（最小单位为</w:t>
      </w:r>
      <w:r>
        <w:rPr>
          <w:rFonts w:hAnsi="宋体"/>
        </w:rPr>
        <w:t>1</w:t>
      </w:r>
      <w:r>
        <w:rPr>
          <w:rFonts w:hAnsi="宋体" w:hint="eastAsia"/>
        </w:rPr>
        <w:t>份）</w:t>
      </w:r>
      <w:r>
        <w:rPr>
          <w:rFonts w:hAnsi="宋体" w:cs="Arial"/>
          <w:color w:val="auto"/>
        </w:rPr>
        <w:t>，</w:t>
      </w:r>
      <w:r>
        <w:rPr>
          <w:rFonts w:hAnsi="宋体" w:cs="Arial" w:hint="eastAsia"/>
        </w:rPr>
        <w:t>舍去部分计入基金财产。份额折算比例按截位法精确到小数点后第</w:t>
      </w:r>
      <w:r>
        <w:rPr>
          <w:rFonts w:hAnsi="宋体" w:cs="Arial"/>
        </w:rPr>
        <w:t>9</w:t>
      </w:r>
      <w:r>
        <w:rPr>
          <w:rFonts w:hAnsi="宋体" w:cs="Arial" w:hint="eastAsia"/>
        </w:rPr>
        <w:t>位，如下表所示：</w:t>
      </w:r>
    </w:p>
    <w:tbl>
      <w:tblPr>
        <w:tblW w:w="8777" w:type="dxa"/>
        <w:jc w:val="center"/>
        <w:tblInd w:w="0" w:type="dxa"/>
        <w:tblLook w:val="0000"/>
      </w:tblPr>
      <w:tblGrid>
        <w:gridCol w:w="1478"/>
        <w:gridCol w:w="1693"/>
        <w:gridCol w:w="1505"/>
        <w:gridCol w:w="1371"/>
        <w:gridCol w:w="1826"/>
        <w:gridCol w:w="904"/>
      </w:tblGrid>
      <w:tr w:rsidR="00632579" w:rsidTr="00735961">
        <w:trPr>
          <w:trHeight w:val="636"/>
          <w:jc w:val="center"/>
        </w:trPr>
        <w:tc>
          <w:tcPr>
            <w:tcW w:w="14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2579" w:rsidRDefault="00632579" w:rsidP="00735961">
            <w:pPr>
              <w:widowControl/>
              <w:jc w:val="center"/>
              <w:rPr>
                <w:rFonts w:ascii="宋体" w:hAnsi="宋体" w:cs="宋体"/>
                <w:kern w:val="0"/>
                <w:szCs w:val="21"/>
              </w:rPr>
            </w:pPr>
            <w:r>
              <w:rPr>
                <w:rFonts w:ascii="宋体" w:hAnsi="宋体" w:cs="宋体" w:hint="eastAsia"/>
                <w:kern w:val="0"/>
                <w:szCs w:val="21"/>
              </w:rPr>
              <w:t>基金份额名称</w:t>
            </w:r>
          </w:p>
        </w:tc>
        <w:tc>
          <w:tcPr>
            <w:tcW w:w="1693"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折算前份额</w:t>
            </w:r>
          </w:p>
        </w:tc>
        <w:tc>
          <w:tcPr>
            <w:tcW w:w="1505" w:type="dxa"/>
            <w:tcBorders>
              <w:top w:val="single" w:sz="4" w:space="0" w:color="auto"/>
              <w:left w:val="single" w:sz="4" w:space="0" w:color="auto"/>
              <w:bottom w:val="single" w:sz="4" w:space="0" w:color="auto"/>
              <w:right w:val="single" w:sz="4" w:space="0" w:color="auto"/>
            </w:tcBorders>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折算前份额净值</w:t>
            </w:r>
          </w:p>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（单位：元，四舍五入至小数点后第三位）</w:t>
            </w:r>
          </w:p>
        </w:tc>
        <w:tc>
          <w:tcPr>
            <w:tcW w:w="1371"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新增份额折算比例</w:t>
            </w:r>
          </w:p>
        </w:tc>
        <w:tc>
          <w:tcPr>
            <w:tcW w:w="1826"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折算后份额</w:t>
            </w:r>
          </w:p>
        </w:tc>
        <w:tc>
          <w:tcPr>
            <w:tcW w:w="904"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折算后份额净值</w:t>
            </w:r>
          </w:p>
        </w:tc>
      </w:tr>
      <w:tr w:rsidR="00632579" w:rsidTr="00735961">
        <w:trPr>
          <w:trHeight w:val="313"/>
          <w:jc w:val="center"/>
        </w:trPr>
        <w:tc>
          <w:tcPr>
            <w:tcW w:w="1478" w:type="dxa"/>
            <w:tcBorders>
              <w:top w:val="single" w:sz="4" w:space="0" w:color="auto"/>
              <w:left w:val="single" w:sz="4" w:space="0" w:color="auto"/>
              <w:bottom w:val="single" w:sz="4" w:space="0" w:color="auto"/>
              <w:right w:val="single" w:sz="4" w:space="0" w:color="008000"/>
            </w:tcBorders>
            <w:shd w:val="clear" w:color="auto" w:fill="FFFFFF"/>
            <w:noWrap/>
            <w:vAlign w:val="center"/>
          </w:tcPr>
          <w:p w:rsidR="00632579" w:rsidRDefault="00632579" w:rsidP="00735961">
            <w:pPr>
              <w:widowControl/>
              <w:jc w:val="center"/>
              <w:rPr>
                <w:rFonts w:ascii="宋体" w:hAnsi="宋体" w:cs="宋体"/>
                <w:kern w:val="0"/>
                <w:szCs w:val="21"/>
              </w:rPr>
            </w:pPr>
            <w:r>
              <w:rPr>
                <w:rFonts w:ascii="宋体" w:hAnsi="宋体" w:cs="宋体" w:hint="eastAsia"/>
                <w:kern w:val="0"/>
                <w:szCs w:val="21"/>
              </w:rPr>
              <w:t>场外银华300份额</w:t>
            </w:r>
          </w:p>
        </w:tc>
        <w:tc>
          <w:tcPr>
            <w:tcW w:w="1693"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right"/>
              <w:rPr>
                <w:rFonts w:ascii="宋体" w:hAnsi="宋体" w:cs="宋体" w:hint="eastAsia"/>
                <w:kern w:val="0"/>
                <w:szCs w:val="21"/>
              </w:rPr>
            </w:pPr>
            <w:r>
              <w:rPr>
                <w:rFonts w:ascii="宋体" w:hAnsi="宋体" w:cs="宋体" w:hint="eastAsia"/>
                <w:kern w:val="0"/>
                <w:szCs w:val="21"/>
              </w:rPr>
              <w:t xml:space="preserve"> </w:t>
            </w:r>
          </w:p>
          <w:p w:rsidR="00632579" w:rsidRDefault="00632579" w:rsidP="00735961">
            <w:pPr>
              <w:widowControl/>
              <w:jc w:val="right"/>
              <w:rPr>
                <w:rFonts w:ascii="宋体" w:hAnsi="宋体"/>
                <w:color w:val="000000"/>
                <w:kern w:val="0"/>
                <w:szCs w:val="21"/>
              </w:rPr>
            </w:pPr>
            <w:r>
              <w:rPr>
                <w:rFonts w:ascii="宋体" w:hAnsi="宋体"/>
                <w:color w:val="000000"/>
                <w:szCs w:val="21"/>
              </w:rPr>
              <w:t>169,265,810.84</w:t>
            </w:r>
          </w:p>
          <w:p w:rsidR="00632579" w:rsidRDefault="00632579" w:rsidP="00735961">
            <w:pPr>
              <w:widowControl/>
              <w:jc w:val="right"/>
              <w:rPr>
                <w:rFonts w:ascii="宋体" w:hAnsi="宋体" w:cs="宋体" w:hint="eastAsia"/>
                <w:kern w:val="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.971</w:t>
            </w:r>
          </w:p>
        </w:tc>
        <w:tc>
          <w:tcPr>
            <w:tcW w:w="1371"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right"/>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.026421038</w:t>
            </w:r>
          </w:p>
        </w:tc>
        <w:tc>
          <w:tcPr>
            <w:tcW w:w="1826" w:type="dxa"/>
            <w:tcBorders>
              <w:top w:val="single" w:sz="4" w:space="0" w:color="auto"/>
              <w:left w:val="single" w:sz="4" w:space="0" w:color="auto"/>
              <w:bottom w:val="single" w:sz="4" w:space="0" w:color="auto"/>
              <w:right w:val="single" w:sz="4" w:space="0" w:color="auto"/>
            </w:tcBorders>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1</w:t>
            </w:r>
            <w:r>
              <w:rPr>
                <w:rFonts w:ascii="宋体" w:hAnsi="宋体" w:cs="宋体"/>
                <w:kern w:val="0"/>
                <w:szCs w:val="21"/>
              </w:rPr>
              <w:t>73,737,989.26</w:t>
            </w:r>
            <w:r w:rsidRPr="00934A71">
              <w:rPr>
                <w:rFonts w:ascii="宋体" w:hAnsi="宋体" w:cs="宋体" w:hint="eastAsia"/>
                <w:kern w:val="0"/>
                <w:szCs w:val="21"/>
              </w:rPr>
              <w:t>（含所有新增场外份额）</w:t>
            </w:r>
          </w:p>
        </w:tc>
        <w:tc>
          <w:tcPr>
            <w:tcW w:w="904"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.946</w:t>
            </w:r>
          </w:p>
        </w:tc>
      </w:tr>
      <w:tr w:rsidR="00632579" w:rsidTr="00735961">
        <w:trPr>
          <w:trHeight w:val="313"/>
          <w:jc w:val="center"/>
        </w:trPr>
        <w:tc>
          <w:tcPr>
            <w:tcW w:w="1478" w:type="dxa"/>
            <w:tcBorders>
              <w:top w:val="single" w:sz="4" w:space="0" w:color="auto"/>
              <w:left w:val="single" w:sz="4" w:space="0" w:color="auto"/>
              <w:bottom w:val="single" w:sz="4" w:space="0" w:color="auto"/>
              <w:right w:val="single" w:sz="4" w:space="0" w:color="008000"/>
            </w:tcBorders>
            <w:shd w:val="clear" w:color="auto" w:fill="FFFFFF"/>
            <w:noWrap/>
            <w:vAlign w:val="center"/>
          </w:tcPr>
          <w:p w:rsidR="00632579" w:rsidRDefault="00632579" w:rsidP="00735961">
            <w:pPr>
              <w:widowControl/>
              <w:jc w:val="center"/>
              <w:rPr>
                <w:rFonts w:ascii="宋体" w:hAnsi="宋体" w:cs="宋体"/>
                <w:kern w:val="0"/>
                <w:szCs w:val="21"/>
              </w:rPr>
            </w:pPr>
            <w:r>
              <w:rPr>
                <w:rFonts w:ascii="宋体" w:hAnsi="宋体" w:cs="宋体" w:hint="eastAsia"/>
                <w:kern w:val="0"/>
                <w:szCs w:val="21"/>
              </w:rPr>
              <w:t>场内银华300份额</w:t>
            </w:r>
          </w:p>
        </w:tc>
        <w:tc>
          <w:tcPr>
            <w:tcW w:w="1693"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right"/>
              <w:rPr>
                <w:rFonts w:ascii="宋体" w:hAnsi="宋体" w:cs="宋体" w:hint="eastAsia"/>
                <w:kern w:val="0"/>
                <w:szCs w:val="21"/>
              </w:rPr>
            </w:pPr>
            <w:r>
              <w:rPr>
                <w:rFonts w:ascii="宋体" w:hAnsi="宋体"/>
                <w:color w:val="000000"/>
                <w:szCs w:val="21"/>
              </w:rPr>
              <w:t>1,973,961.00</w:t>
            </w:r>
            <w:r>
              <w:rPr>
                <w:rFonts w:ascii="宋体" w:hAnsi="宋体" w:hint="eastAsia"/>
                <w:color w:val="000000"/>
                <w:szCs w:val="21"/>
              </w:rPr>
              <w:t xml:space="preserve">   </w:t>
            </w:r>
          </w:p>
        </w:tc>
        <w:tc>
          <w:tcPr>
            <w:tcW w:w="1505"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.971</w:t>
            </w:r>
          </w:p>
        </w:tc>
        <w:tc>
          <w:tcPr>
            <w:tcW w:w="1371"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right"/>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.026421038</w:t>
            </w:r>
          </w:p>
        </w:tc>
        <w:tc>
          <w:tcPr>
            <w:tcW w:w="1826" w:type="dxa"/>
            <w:tcBorders>
              <w:top w:val="single" w:sz="4" w:space="0" w:color="auto"/>
              <w:left w:val="single" w:sz="4" w:space="0" w:color="auto"/>
              <w:bottom w:val="single" w:sz="4" w:space="0" w:color="auto"/>
              <w:right w:val="single" w:sz="4" w:space="0" w:color="auto"/>
            </w:tcBorders>
          </w:tcPr>
          <w:p w:rsidR="00632579" w:rsidRDefault="00632579" w:rsidP="00735961">
            <w:pPr>
              <w:widowControl/>
              <w:jc w:val="center"/>
              <w:rPr>
                <w:rFonts w:ascii="宋体" w:cs="宋体"/>
                <w:kern w:val="0"/>
                <w:szCs w:val="21"/>
              </w:rPr>
            </w:pPr>
            <w:r>
              <w:rPr>
                <w:rFonts w:ascii="宋体" w:cs="宋体"/>
                <w:kern w:val="0"/>
                <w:szCs w:val="21"/>
              </w:rPr>
              <w:t>2,857,339</w:t>
            </w:r>
            <w:r>
              <w:rPr>
                <w:rFonts w:ascii="宋体" w:cs="宋体" w:hint="eastAsia"/>
                <w:kern w:val="0"/>
                <w:szCs w:val="21"/>
              </w:rPr>
              <w:t>.0</w:t>
            </w:r>
            <w:r>
              <w:rPr>
                <w:rFonts w:ascii="宋体" w:cs="宋体"/>
                <w:kern w:val="0"/>
                <w:szCs w:val="21"/>
              </w:rPr>
              <w:t>0</w:t>
            </w:r>
          </w:p>
          <w:p w:rsidR="00632579" w:rsidRDefault="00632579" w:rsidP="00735961">
            <w:pPr>
              <w:widowControl/>
              <w:jc w:val="center"/>
              <w:rPr>
                <w:rFonts w:ascii="宋体" w:hAnsi="宋体" w:cs="宋体" w:hint="eastAsia"/>
                <w:kern w:val="0"/>
                <w:szCs w:val="21"/>
              </w:rPr>
            </w:pPr>
            <w:r w:rsidRPr="00934A71">
              <w:rPr>
                <w:rFonts w:ascii="宋体" w:hAnsi="宋体" w:cs="宋体" w:hint="eastAsia"/>
                <w:kern w:val="0"/>
                <w:szCs w:val="21"/>
              </w:rPr>
              <w:t>（含所有新增场</w:t>
            </w:r>
            <w:r>
              <w:rPr>
                <w:rFonts w:ascii="宋体" w:hAnsi="宋体" w:cs="宋体" w:hint="eastAsia"/>
                <w:kern w:val="0"/>
                <w:szCs w:val="21"/>
              </w:rPr>
              <w:t>内</w:t>
            </w:r>
            <w:r w:rsidRPr="00934A71">
              <w:rPr>
                <w:rFonts w:ascii="宋体" w:hAnsi="宋体" w:cs="宋体" w:hint="eastAsia"/>
                <w:kern w:val="0"/>
                <w:szCs w:val="21"/>
              </w:rPr>
              <w:t>份额）</w:t>
            </w:r>
          </w:p>
        </w:tc>
        <w:tc>
          <w:tcPr>
            <w:tcW w:w="904" w:type="dxa"/>
            <w:tcBorders>
              <w:top w:val="single" w:sz="4" w:space="0" w:color="auto"/>
              <w:left w:val="single" w:sz="4" w:space="0" w:color="auto"/>
              <w:bottom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.946</w:t>
            </w:r>
          </w:p>
        </w:tc>
      </w:tr>
      <w:tr w:rsidR="00632579" w:rsidTr="00735961">
        <w:trPr>
          <w:trHeight w:val="113"/>
          <w:jc w:val="center"/>
        </w:trPr>
        <w:tc>
          <w:tcPr>
            <w:tcW w:w="1478" w:type="dxa"/>
            <w:vMerge w:val="restart"/>
            <w:tcBorders>
              <w:top w:val="single" w:sz="4" w:space="0" w:color="auto"/>
              <w:left w:val="single" w:sz="4" w:space="0" w:color="auto"/>
              <w:right w:val="single" w:sz="4" w:space="0" w:color="008000"/>
            </w:tcBorders>
            <w:shd w:val="clear" w:color="auto" w:fill="FFFFFF"/>
            <w:noWrap/>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银华300A份额</w:t>
            </w:r>
          </w:p>
        </w:tc>
        <w:tc>
          <w:tcPr>
            <w:tcW w:w="1693" w:type="dxa"/>
            <w:vMerge w:val="restart"/>
            <w:tcBorders>
              <w:top w:val="single" w:sz="4" w:space="0" w:color="auto"/>
              <w:left w:val="single" w:sz="4" w:space="0" w:color="auto"/>
              <w:right w:val="single" w:sz="4" w:space="0" w:color="auto"/>
            </w:tcBorders>
            <w:vAlign w:val="center"/>
          </w:tcPr>
          <w:p w:rsidR="00632579" w:rsidRDefault="00632579" w:rsidP="00735961">
            <w:pPr>
              <w:widowControl/>
              <w:jc w:val="right"/>
              <w:rPr>
                <w:rFonts w:ascii="宋体" w:hAnsi="宋体" w:cs="宋体" w:hint="eastAsia"/>
                <w:kern w:val="0"/>
                <w:szCs w:val="21"/>
              </w:rPr>
            </w:pPr>
            <w:r>
              <w:rPr>
                <w:rFonts w:ascii="宋体" w:hAnsi="宋体"/>
                <w:color w:val="000000"/>
                <w:szCs w:val="21"/>
              </w:rPr>
              <w:t>15,730,345.00</w:t>
            </w:r>
            <w:r>
              <w:rPr>
                <w:rFonts w:ascii="宋体" w:hAnsi="宋体" w:hint="eastAsia"/>
                <w:color w:val="000000"/>
                <w:szCs w:val="21"/>
              </w:rPr>
              <w:t xml:space="preserve">   </w:t>
            </w:r>
          </w:p>
        </w:tc>
        <w:tc>
          <w:tcPr>
            <w:tcW w:w="1505" w:type="dxa"/>
            <w:vMerge w:val="restart"/>
            <w:tcBorders>
              <w:top w:val="single" w:sz="4" w:space="0" w:color="auto"/>
              <w:left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1</w:t>
            </w:r>
            <w:r>
              <w:rPr>
                <w:rFonts w:ascii="宋体" w:hAnsi="宋体" w:cs="宋体"/>
                <w:kern w:val="0"/>
                <w:szCs w:val="21"/>
              </w:rPr>
              <w:t>.050</w:t>
            </w:r>
          </w:p>
        </w:tc>
        <w:tc>
          <w:tcPr>
            <w:tcW w:w="1371" w:type="dxa"/>
            <w:vMerge w:val="restart"/>
            <w:tcBorders>
              <w:top w:val="single" w:sz="4" w:space="0" w:color="auto"/>
              <w:left w:val="single" w:sz="4" w:space="0" w:color="auto"/>
              <w:right w:val="single" w:sz="4" w:space="0" w:color="auto"/>
            </w:tcBorders>
            <w:vAlign w:val="center"/>
          </w:tcPr>
          <w:p w:rsidR="00632579" w:rsidRDefault="00632579" w:rsidP="00735961">
            <w:pPr>
              <w:widowControl/>
              <w:jc w:val="right"/>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.052842077</w:t>
            </w:r>
          </w:p>
        </w:tc>
        <w:tc>
          <w:tcPr>
            <w:tcW w:w="1826" w:type="dxa"/>
            <w:tcBorders>
              <w:top w:val="single" w:sz="4" w:space="0" w:color="auto"/>
              <w:left w:val="single" w:sz="4" w:space="0" w:color="auto"/>
              <w:bottom w:val="single" w:sz="4" w:space="0" w:color="auto"/>
              <w:right w:val="single" w:sz="4" w:space="0" w:color="auto"/>
            </w:tcBorders>
          </w:tcPr>
          <w:p w:rsidR="00632579" w:rsidRDefault="00632579" w:rsidP="00735961">
            <w:pPr>
              <w:widowControl/>
              <w:jc w:val="center"/>
              <w:rPr>
                <w:rFonts w:ascii="宋体" w:hAnsi="宋体" w:cs="宋体" w:hint="eastAsia"/>
                <w:kern w:val="0"/>
                <w:szCs w:val="21"/>
              </w:rPr>
            </w:pPr>
            <w:r>
              <w:rPr>
                <w:rFonts w:ascii="宋体" w:cs="宋体"/>
                <w:kern w:val="0"/>
                <w:szCs w:val="21"/>
              </w:rPr>
              <w:t>15,730,345</w:t>
            </w:r>
            <w:r>
              <w:rPr>
                <w:rFonts w:ascii="宋体" w:hAnsi="宋体" w:cs="宋体"/>
                <w:kern w:val="0"/>
                <w:szCs w:val="21"/>
              </w:rPr>
              <w:t>.00</w:t>
            </w:r>
          </w:p>
        </w:tc>
        <w:tc>
          <w:tcPr>
            <w:tcW w:w="904" w:type="dxa"/>
            <w:vMerge w:val="restart"/>
            <w:tcBorders>
              <w:top w:val="single" w:sz="4" w:space="0" w:color="auto"/>
              <w:left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r>
              <w:rPr>
                <w:rFonts w:ascii="宋体" w:hAnsi="宋体" w:cs="宋体" w:hint="eastAsia"/>
                <w:kern w:val="0"/>
                <w:szCs w:val="21"/>
              </w:rPr>
              <w:t>1</w:t>
            </w:r>
            <w:r>
              <w:rPr>
                <w:rFonts w:ascii="宋体" w:hAnsi="宋体" w:cs="宋体"/>
                <w:kern w:val="0"/>
                <w:szCs w:val="21"/>
              </w:rPr>
              <w:t>.000</w:t>
            </w:r>
          </w:p>
        </w:tc>
      </w:tr>
      <w:tr w:rsidR="00632579" w:rsidTr="00735961">
        <w:trPr>
          <w:trHeight w:val="113"/>
          <w:jc w:val="center"/>
        </w:trPr>
        <w:tc>
          <w:tcPr>
            <w:tcW w:w="1478" w:type="dxa"/>
            <w:vMerge/>
            <w:tcBorders>
              <w:left w:val="single" w:sz="4" w:space="0" w:color="auto"/>
              <w:bottom w:val="single" w:sz="4" w:space="0" w:color="auto"/>
              <w:right w:val="single" w:sz="4" w:space="0" w:color="008000"/>
            </w:tcBorders>
            <w:shd w:val="clear" w:color="auto" w:fill="FFFFFF"/>
            <w:noWrap/>
            <w:vAlign w:val="center"/>
          </w:tcPr>
          <w:p w:rsidR="00632579" w:rsidRDefault="00632579" w:rsidP="00735961">
            <w:pPr>
              <w:widowControl/>
              <w:jc w:val="center"/>
              <w:rPr>
                <w:rFonts w:ascii="宋体" w:hAnsi="宋体" w:cs="宋体" w:hint="eastAsia"/>
                <w:kern w:val="0"/>
                <w:szCs w:val="21"/>
              </w:rPr>
            </w:pPr>
          </w:p>
        </w:tc>
        <w:tc>
          <w:tcPr>
            <w:tcW w:w="1693" w:type="dxa"/>
            <w:vMerge/>
            <w:tcBorders>
              <w:left w:val="single" w:sz="4" w:space="0" w:color="auto"/>
              <w:bottom w:val="single" w:sz="4" w:space="0" w:color="auto"/>
              <w:right w:val="single" w:sz="4" w:space="0" w:color="auto"/>
            </w:tcBorders>
            <w:vAlign w:val="center"/>
          </w:tcPr>
          <w:p w:rsidR="00632579" w:rsidRDefault="00632579" w:rsidP="00735961">
            <w:pPr>
              <w:widowControl/>
              <w:jc w:val="right"/>
              <w:rPr>
                <w:rFonts w:ascii="宋体" w:hAnsi="宋体" w:cs="宋体" w:hint="eastAsia"/>
                <w:kern w:val="0"/>
                <w:szCs w:val="21"/>
              </w:rPr>
            </w:pPr>
          </w:p>
        </w:tc>
        <w:tc>
          <w:tcPr>
            <w:tcW w:w="1505" w:type="dxa"/>
            <w:vMerge/>
            <w:tcBorders>
              <w:left w:val="single" w:sz="4" w:space="0" w:color="auto"/>
              <w:bottom w:val="single" w:sz="4" w:space="0" w:color="auto"/>
              <w:right w:val="single" w:sz="4" w:space="0" w:color="auto"/>
            </w:tcBorders>
          </w:tcPr>
          <w:p w:rsidR="00632579" w:rsidRDefault="00632579" w:rsidP="00735961">
            <w:pPr>
              <w:widowControl/>
              <w:jc w:val="right"/>
              <w:rPr>
                <w:rFonts w:ascii="宋体" w:hAnsi="宋体" w:cs="宋体" w:hint="eastAsia"/>
                <w:kern w:val="0"/>
                <w:szCs w:val="21"/>
              </w:rPr>
            </w:pPr>
          </w:p>
        </w:tc>
        <w:tc>
          <w:tcPr>
            <w:tcW w:w="1371" w:type="dxa"/>
            <w:vMerge/>
            <w:tcBorders>
              <w:left w:val="single" w:sz="4" w:space="0" w:color="auto"/>
              <w:bottom w:val="single" w:sz="4" w:space="0" w:color="auto"/>
              <w:right w:val="single" w:sz="4" w:space="0" w:color="auto"/>
            </w:tcBorders>
            <w:vAlign w:val="center"/>
          </w:tcPr>
          <w:p w:rsidR="00632579" w:rsidRDefault="00632579" w:rsidP="00735961">
            <w:pPr>
              <w:widowControl/>
              <w:jc w:val="right"/>
              <w:rPr>
                <w:rFonts w:ascii="宋体" w:hAnsi="宋体" w:cs="宋体" w:hint="eastAsia"/>
                <w:kern w:val="0"/>
                <w:szCs w:val="21"/>
              </w:rPr>
            </w:pPr>
          </w:p>
        </w:tc>
        <w:tc>
          <w:tcPr>
            <w:tcW w:w="1826" w:type="dxa"/>
            <w:tcBorders>
              <w:top w:val="single" w:sz="4" w:space="0" w:color="auto"/>
              <w:left w:val="single" w:sz="4" w:space="0" w:color="auto"/>
              <w:bottom w:val="single" w:sz="4" w:space="0" w:color="auto"/>
              <w:right w:val="single" w:sz="4" w:space="0" w:color="auto"/>
            </w:tcBorders>
          </w:tcPr>
          <w:p w:rsidR="00632579" w:rsidRDefault="00632579" w:rsidP="00735961">
            <w:pPr>
              <w:widowControl/>
              <w:jc w:val="center"/>
              <w:rPr>
                <w:rFonts w:ascii="宋体" w:hAnsi="宋体" w:cs="宋体" w:hint="eastAsia"/>
                <w:kern w:val="0"/>
                <w:szCs w:val="21"/>
              </w:rPr>
            </w:pPr>
            <w:r w:rsidRPr="00934A71">
              <w:rPr>
                <w:rFonts w:ascii="宋体" w:hAnsi="宋体" w:cs="宋体" w:hint="eastAsia"/>
                <w:kern w:val="0"/>
                <w:szCs w:val="21"/>
              </w:rPr>
              <w:t>新增</w:t>
            </w:r>
            <w:r w:rsidRPr="00F16A89">
              <w:rPr>
                <w:rFonts w:ascii="宋体" w:hAnsi="宋体" w:cs="宋体" w:hint="eastAsia"/>
                <w:kern w:val="0"/>
                <w:szCs w:val="21"/>
              </w:rPr>
              <w:t>银华300份额</w:t>
            </w:r>
            <w:r w:rsidRPr="00934A71">
              <w:rPr>
                <w:rFonts w:ascii="宋体" w:hAnsi="宋体" w:cs="宋体" w:hint="eastAsia"/>
                <w:kern w:val="0"/>
                <w:szCs w:val="21"/>
              </w:rPr>
              <w:t>：</w:t>
            </w:r>
            <w:r>
              <w:rPr>
                <w:rFonts w:ascii="宋体" w:hAnsi="宋体" w:cs="宋体"/>
                <w:kern w:val="0"/>
                <w:szCs w:val="21"/>
              </w:rPr>
              <w:t>831,224</w:t>
            </w:r>
            <w:r w:rsidRPr="00AF6834">
              <w:rPr>
                <w:rFonts w:ascii="宋体" w:hAnsi="宋体" w:cs="宋体"/>
                <w:kern w:val="0"/>
                <w:szCs w:val="21"/>
              </w:rPr>
              <w:t>.00</w:t>
            </w:r>
          </w:p>
        </w:tc>
        <w:tc>
          <w:tcPr>
            <w:tcW w:w="904" w:type="dxa"/>
            <w:vMerge/>
            <w:tcBorders>
              <w:left w:val="single" w:sz="4" w:space="0" w:color="auto"/>
              <w:bottom w:val="single" w:sz="4" w:space="0" w:color="auto"/>
              <w:right w:val="single" w:sz="4" w:space="0" w:color="auto"/>
            </w:tcBorders>
            <w:vAlign w:val="center"/>
          </w:tcPr>
          <w:p w:rsidR="00632579" w:rsidRDefault="00632579" w:rsidP="00735961">
            <w:pPr>
              <w:widowControl/>
              <w:jc w:val="center"/>
              <w:rPr>
                <w:rFonts w:ascii="宋体" w:hAnsi="宋体" w:cs="宋体" w:hint="eastAsia"/>
                <w:kern w:val="0"/>
                <w:szCs w:val="21"/>
              </w:rPr>
            </w:pPr>
          </w:p>
        </w:tc>
      </w:tr>
    </w:tbl>
    <w:p w:rsidR="000F26F5" w:rsidRPr="004E3697" w:rsidRDefault="000F26F5">
      <w:pPr>
        <w:autoSpaceDE w:val="0"/>
        <w:autoSpaceDN w:val="0"/>
        <w:adjustRightInd w:val="0"/>
        <w:spacing w:line="360" w:lineRule="auto"/>
        <w:ind w:firstLineChars="200" w:firstLine="420"/>
        <w:jc w:val="left"/>
        <w:rPr>
          <w:rFonts w:ascii="宋体" w:cs="宋体" w:hint="eastAsia"/>
          <w:color w:val="000000"/>
          <w:kern w:val="0"/>
          <w:sz w:val="24"/>
        </w:rPr>
      </w:pPr>
      <w:r w:rsidRPr="004E3697">
        <w:rPr>
          <w:rFonts w:ascii="宋体" w:hAnsi="宋体" w:cs="Arial" w:hint="eastAsia"/>
          <w:kern w:val="0"/>
          <w:szCs w:val="21"/>
        </w:rPr>
        <w:t>注：场外银华300份额经折算后产生新增的份额为场外银华300份额；场内银华300份额经折算后产生新增的份额</w:t>
      </w:r>
      <w:r w:rsidR="00516FAB">
        <w:rPr>
          <w:rFonts w:ascii="宋体" w:hAnsi="宋体" w:cs="Arial" w:hint="eastAsia"/>
          <w:kern w:val="0"/>
          <w:szCs w:val="21"/>
        </w:rPr>
        <w:t>和</w:t>
      </w:r>
      <w:r w:rsidRPr="004E3697">
        <w:rPr>
          <w:rFonts w:ascii="宋体" w:hAnsi="宋体" w:cs="Arial" w:hint="eastAsia"/>
          <w:kern w:val="0"/>
          <w:szCs w:val="21"/>
        </w:rPr>
        <w:t>银华300A份额经折算后产生新增的份额为场内银华300份额。</w:t>
      </w:r>
    </w:p>
    <w:p w:rsidR="000F26F5" w:rsidRPr="00632579" w:rsidRDefault="000F26F5">
      <w:pPr>
        <w:pStyle w:val="Default"/>
        <w:spacing w:line="360" w:lineRule="auto"/>
        <w:ind w:firstLineChars="200" w:firstLine="480"/>
        <w:rPr>
          <w:rFonts w:hint="eastAsia"/>
        </w:rPr>
      </w:pPr>
    </w:p>
    <w:p w:rsidR="000F26F5" w:rsidRDefault="000F26F5">
      <w:pPr>
        <w:pStyle w:val="Default"/>
        <w:spacing w:line="360" w:lineRule="auto"/>
        <w:ind w:firstLineChars="200" w:firstLine="480"/>
        <w:rPr>
          <w:rFonts w:hint="eastAsia"/>
        </w:rPr>
      </w:pPr>
      <w:r>
        <w:t>投资者自</w:t>
      </w:r>
      <w:r>
        <w:rPr>
          <w:rFonts w:hint="eastAsia"/>
        </w:rPr>
        <w:t>本</w:t>
      </w:r>
      <w:r>
        <w:t>公告</w:t>
      </w:r>
      <w:r>
        <w:rPr>
          <w:rFonts w:hint="eastAsia"/>
        </w:rPr>
        <w:t>发布</w:t>
      </w:r>
      <w:r>
        <w:t>之日起可查询经</w:t>
      </w:r>
      <w:r>
        <w:rPr>
          <w:rFonts w:hint="eastAsia"/>
        </w:rPr>
        <w:t>本基金注册登记人及本公司</w:t>
      </w:r>
      <w:r>
        <w:t>确认的折算后份额。</w:t>
      </w:r>
    </w:p>
    <w:p w:rsidR="000F26F5" w:rsidRDefault="000F26F5">
      <w:pPr>
        <w:spacing w:line="360" w:lineRule="auto"/>
        <w:ind w:firstLineChars="200" w:firstLine="480"/>
        <w:jc w:val="left"/>
        <w:rPr>
          <w:rFonts w:ascii="宋体" w:hAnsi="宋体"/>
          <w:sz w:val="24"/>
        </w:rPr>
      </w:pPr>
      <w:r>
        <w:rPr>
          <w:rFonts w:ascii="宋体" w:hAnsi="宋体"/>
          <w:sz w:val="24"/>
        </w:rPr>
        <w:lastRenderedPageBreak/>
        <w:t>二、恢复交易</w:t>
      </w:r>
    </w:p>
    <w:p w:rsidR="000F26F5" w:rsidRDefault="000F26F5">
      <w:pPr>
        <w:spacing w:line="360" w:lineRule="auto"/>
        <w:ind w:firstLineChars="200" w:firstLine="480"/>
        <w:jc w:val="left"/>
        <w:rPr>
          <w:rFonts w:ascii="宋体" w:hAnsi="宋体" w:hint="eastAsia"/>
          <w:sz w:val="24"/>
        </w:rPr>
      </w:pPr>
      <w:r>
        <w:rPr>
          <w:rFonts w:ascii="宋体" w:hAnsi="宋体"/>
          <w:sz w:val="24"/>
        </w:rPr>
        <w:t>自2019年12月4日起，本基金恢复</w:t>
      </w:r>
      <w:r>
        <w:rPr>
          <w:rFonts w:ascii="宋体" w:hAnsi="宋体" w:hint="eastAsia"/>
          <w:sz w:val="24"/>
        </w:rPr>
        <w:t>办理</w:t>
      </w:r>
      <w:r>
        <w:rPr>
          <w:rFonts w:ascii="宋体" w:hAnsi="宋体"/>
          <w:sz w:val="24"/>
        </w:rPr>
        <w:t>申购</w:t>
      </w:r>
      <w:r>
        <w:rPr>
          <w:rFonts w:ascii="宋体" w:hAnsi="宋体" w:hint="eastAsia"/>
          <w:sz w:val="24"/>
        </w:rPr>
        <w:t>及定期定额投资（</w:t>
      </w:r>
      <w:r w:rsidR="00C125C5" w:rsidRPr="00C125C5">
        <w:rPr>
          <w:rFonts w:ascii="宋体" w:hAnsi="宋体" w:hint="eastAsia"/>
          <w:sz w:val="24"/>
        </w:rPr>
        <w:t>单日单个基金账户累计申购（含定期定额投资）本基金的合计金额不超过1000元，若超过1000元，本基金管理人有权部分或全部拒绝对本基金的申购申请</w:t>
      </w:r>
      <w:r>
        <w:rPr>
          <w:rFonts w:ascii="宋体" w:hAnsi="宋体" w:hint="eastAsia"/>
          <w:sz w:val="24"/>
        </w:rPr>
        <w:t>）</w:t>
      </w:r>
      <w:r>
        <w:rPr>
          <w:rFonts w:ascii="宋体" w:hAnsi="宋体"/>
          <w:sz w:val="24"/>
        </w:rPr>
        <w:t>、赎回、转托管</w:t>
      </w:r>
      <w:r w:rsidR="00970716" w:rsidRPr="00970716">
        <w:rPr>
          <w:rFonts w:ascii="宋体" w:hAnsi="宋体" w:hint="eastAsia"/>
          <w:sz w:val="24"/>
        </w:rPr>
        <w:t>（自2019年3月1日（含当日）起通过直销机构申购（含定期定额投资）银华300份额的跨系统转托管（场外转场内）业务将继续暂停）</w:t>
      </w:r>
      <w:r>
        <w:rPr>
          <w:rFonts w:ascii="宋体" w:hAnsi="宋体"/>
          <w:sz w:val="24"/>
        </w:rPr>
        <w:t>和配对转换业务</w:t>
      </w:r>
      <w:r>
        <w:rPr>
          <w:rFonts w:ascii="宋体" w:hAnsi="宋体" w:hint="eastAsia"/>
          <w:sz w:val="24"/>
        </w:rPr>
        <w:t>。</w:t>
      </w:r>
    </w:p>
    <w:p w:rsidR="000F26F5" w:rsidRDefault="000F26F5">
      <w:pPr>
        <w:spacing w:line="360" w:lineRule="auto"/>
        <w:ind w:firstLineChars="200" w:firstLine="480"/>
        <w:jc w:val="left"/>
        <w:rPr>
          <w:rFonts w:ascii="宋体" w:hAnsi="宋体" w:hint="eastAsia"/>
          <w:sz w:val="24"/>
        </w:rPr>
      </w:pPr>
      <w:r>
        <w:rPr>
          <w:rFonts w:ascii="宋体" w:hAnsi="宋体" w:hint="eastAsia"/>
          <w:sz w:val="24"/>
        </w:rPr>
        <w:t>银华300</w:t>
      </w:r>
      <w:r>
        <w:rPr>
          <w:rFonts w:ascii="宋体" w:hAnsi="宋体"/>
          <w:sz w:val="24"/>
        </w:rPr>
        <w:t>A</w:t>
      </w:r>
      <w:r>
        <w:rPr>
          <w:rFonts w:ascii="宋体" w:hAnsi="宋体" w:hint="eastAsia"/>
          <w:sz w:val="24"/>
        </w:rPr>
        <w:t>份额将于</w:t>
      </w:r>
      <w:r>
        <w:rPr>
          <w:rFonts w:ascii="宋体" w:hAnsi="宋体"/>
          <w:sz w:val="24"/>
        </w:rPr>
        <w:t>2019年12月4日</w:t>
      </w:r>
      <w:r>
        <w:rPr>
          <w:rFonts w:ascii="宋体" w:hAnsi="宋体" w:hint="eastAsia"/>
          <w:sz w:val="24"/>
        </w:rPr>
        <w:t>开市</w:t>
      </w:r>
      <w:r>
        <w:rPr>
          <w:rFonts w:ascii="宋体" w:hAnsi="宋体"/>
          <w:sz w:val="24"/>
        </w:rPr>
        <w:t>复牌。</w:t>
      </w:r>
      <w:r>
        <w:rPr>
          <w:rFonts w:ascii="宋体" w:hAnsi="宋体" w:hint="eastAsia"/>
          <w:sz w:val="24"/>
        </w:rPr>
        <w:t xml:space="preserve"> </w:t>
      </w:r>
    </w:p>
    <w:p w:rsidR="000F26F5" w:rsidRDefault="000F26F5">
      <w:pPr>
        <w:spacing w:line="360" w:lineRule="auto"/>
        <w:ind w:firstLineChars="200" w:firstLine="480"/>
        <w:jc w:val="left"/>
        <w:rPr>
          <w:rFonts w:ascii="宋体" w:hAnsi="宋体" w:hint="eastAsia"/>
          <w:sz w:val="24"/>
        </w:rPr>
      </w:pPr>
      <w:r>
        <w:rPr>
          <w:rFonts w:ascii="宋体" w:hAnsi="宋体" w:hint="eastAsia"/>
          <w:sz w:val="24"/>
        </w:rPr>
        <w:t>三、重要提示</w:t>
      </w:r>
    </w:p>
    <w:p w:rsidR="000F26F5" w:rsidRDefault="000F26F5">
      <w:pPr>
        <w:spacing w:line="360" w:lineRule="auto"/>
        <w:ind w:firstLineChars="200" w:firstLine="480"/>
        <w:jc w:val="left"/>
        <w:rPr>
          <w:rFonts w:ascii="宋体" w:hAnsi="宋体"/>
          <w:sz w:val="24"/>
        </w:rPr>
      </w:pPr>
      <w:r>
        <w:rPr>
          <w:rFonts w:ascii="宋体" w:hAnsi="宋体" w:hint="eastAsia"/>
          <w:sz w:val="24"/>
        </w:rPr>
        <w:t>（一）</w:t>
      </w:r>
      <w:r>
        <w:rPr>
          <w:rFonts w:ascii="宋体" w:hAnsi="宋体"/>
          <w:sz w:val="24"/>
        </w:rPr>
        <w:t>根据《深圳证券交易所证券投资基金交易和申购赎回实施细则》，</w:t>
      </w:r>
      <w:r>
        <w:rPr>
          <w:rFonts w:ascii="宋体" w:hAnsi="宋体" w:hint="eastAsia"/>
          <w:sz w:val="24"/>
        </w:rPr>
        <w:t>2019年12月4日银华300</w:t>
      </w:r>
      <w:r>
        <w:rPr>
          <w:rFonts w:ascii="宋体" w:hAnsi="宋体"/>
          <w:sz w:val="24"/>
        </w:rPr>
        <w:t>A</w:t>
      </w:r>
      <w:r>
        <w:rPr>
          <w:rFonts w:ascii="宋体" w:hAnsi="宋体" w:hint="eastAsia"/>
          <w:sz w:val="24"/>
        </w:rPr>
        <w:t>即时行情显示的前收盘价为2019年12月3日的银华300</w:t>
      </w:r>
      <w:r>
        <w:rPr>
          <w:rFonts w:ascii="宋体" w:hAnsi="宋体"/>
          <w:sz w:val="24"/>
        </w:rPr>
        <w:t>A</w:t>
      </w:r>
      <w:r>
        <w:rPr>
          <w:rFonts w:ascii="宋体" w:hAnsi="宋体" w:hint="eastAsia"/>
          <w:sz w:val="24"/>
        </w:rPr>
        <w:t>的份额净值（四舍五入至0.001元），即</w:t>
      </w:r>
      <w:r w:rsidR="00632579" w:rsidRPr="00632579">
        <w:rPr>
          <w:rFonts w:ascii="宋体" w:hAnsi="宋体"/>
          <w:sz w:val="24"/>
        </w:rPr>
        <w:t>1.000</w:t>
      </w:r>
      <w:r>
        <w:rPr>
          <w:rFonts w:ascii="宋体" w:hAnsi="宋体" w:hint="eastAsia"/>
          <w:sz w:val="24"/>
        </w:rPr>
        <w:t>元。</w:t>
      </w:r>
      <w:r>
        <w:rPr>
          <w:rFonts w:ascii="宋体" w:hAnsi="宋体"/>
          <w:sz w:val="24"/>
        </w:rPr>
        <w:t>由于银华300A折算前存在</w:t>
      </w:r>
      <w:r w:rsidR="00A7509C">
        <w:rPr>
          <w:rFonts w:ascii="宋体" w:hAnsi="宋体" w:hint="eastAsia"/>
          <w:sz w:val="24"/>
        </w:rPr>
        <w:t>折</w:t>
      </w:r>
      <w:r w:rsidRPr="004E3697">
        <w:rPr>
          <w:rFonts w:ascii="宋体" w:hAnsi="宋体" w:hint="eastAsia"/>
          <w:sz w:val="24"/>
        </w:rPr>
        <w:t>溢</w:t>
      </w:r>
      <w:r w:rsidRPr="004E3697">
        <w:rPr>
          <w:rFonts w:ascii="宋体" w:hAnsi="宋体"/>
          <w:sz w:val="24"/>
        </w:rPr>
        <w:t>价交易情形</w:t>
      </w:r>
      <w:r>
        <w:rPr>
          <w:rFonts w:ascii="宋体" w:hAnsi="宋体"/>
          <w:sz w:val="24"/>
        </w:rPr>
        <w:t>，</w:t>
      </w:r>
      <w:r>
        <w:rPr>
          <w:rFonts w:ascii="宋体" w:hAnsi="宋体" w:hint="eastAsia"/>
          <w:sz w:val="24"/>
        </w:rPr>
        <w:t>2019年12月2日的收盘价为</w:t>
      </w:r>
      <w:r w:rsidR="00632579" w:rsidRPr="00632579">
        <w:rPr>
          <w:rFonts w:ascii="宋体" w:hAnsi="宋体"/>
          <w:sz w:val="24"/>
        </w:rPr>
        <w:t>1.033</w:t>
      </w:r>
      <w:r>
        <w:rPr>
          <w:rFonts w:ascii="宋体" w:hAnsi="宋体" w:hint="eastAsia"/>
          <w:sz w:val="24"/>
        </w:rPr>
        <w:t>元，扣除本次定期折算的折算期间的约定收益后为</w:t>
      </w:r>
      <w:r w:rsidR="00632579" w:rsidRPr="00632579">
        <w:rPr>
          <w:rFonts w:ascii="宋体" w:hAnsi="宋体"/>
          <w:sz w:val="24"/>
        </w:rPr>
        <w:t>0.983</w:t>
      </w:r>
      <w:r>
        <w:rPr>
          <w:rFonts w:ascii="宋体" w:hAnsi="宋体" w:hint="eastAsia"/>
          <w:sz w:val="24"/>
        </w:rPr>
        <w:t>元，与2019年12月4日的前收盘价存在一定差异，2019年12月4日当日可能出现交易价格波动的情形。敬请投资者注意投资风险。</w:t>
      </w:r>
    </w:p>
    <w:p w:rsidR="000F26F5" w:rsidRDefault="000F26F5">
      <w:pPr>
        <w:spacing w:line="360" w:lineRule="auto"/>
        <w:ind w:firstLineChars="200" w:firstLine="480"/>
        <w:jc w:val="left"/>
        <w:rPr>
          <w:rFonts w:ascii="宋体" w:hAnsi="宋体" w:hint="eastAsia"/>
          <w:sz w:val="24"/>
        </w:rPr>
      </w:pPr>
      <w:r>
        <w:rPr>
          <w:rFonts w:ascii="宋体" w:hAnsi="宋体" w:hint="eastAsia"/>
          <w:sz w:val="24"/>
        </w:rPr>
        <w:t>（二）本基金银华300</w:t>
      </w:r>
      <w:r>
        <w:rPr>
          <w:rFonts w:ascii="宋体" w:hAnsi="宋体"/>
          <w:sz w:val="24"/>
        </w:rPr>
        <w:t>A</w:t>
      </w:r>
      <w:r>
        <w:rPr>
          <w:rFonts w:ascii="宋体" w:hAnsi="宋体" w:hint="eastAsia"/>
          <w:sz w:val="24"/>
        </w:rPr>
        <w:t>份额期末的约定应得收益折算为场内银华300份额分配给银华300A份额的持有人，而银华300份额为跟踪沪深3</w:t>
      </w:r>
      <w:r>
        <w:rPr>
          <w:rFonts w:ascii="宋体" w:hAnsi="宋体"/>
          <w:sz w:val="24"/>
        </w:rPr>
        <w:t>00</w:t>
      </w:r>
      <w:r>
        <w:rPr>
          <w:rFonts w:ascii="宋体" w:hAnsi="宋体" w:hint="eastAsia"/>
          <w:sz w:val="24"/>
        </w:rPr>
        <w:t>指数的基础份额，其份额净值将随市场涨跌而变化，因此银华300A份额持有人预期收益的实现存在一定的不确定性，其可能会承担因市场下跌而遭受损失的风险。</w:t>
      </w:r>
    </w:p>
    <w:p w:rsidR="000F26F5" w:rsidRDefault="000F26F5">
      <w:pPr>
        <w:spacing w:line="360" w:lineRule="auto"/>
        <w:ind w:firstLineChars="200" w:firstLine="480"/>
        <w:jc w:val="left"/>
        <w:rPr>
          <w:rFonts w:ascii="宋体" w:hAnsi="宋体"/>
          <w:sz w:val="24"/>
        </w:rPr>
      </w:pPr>
      <w:r>
        <w:rPr>
          <w:rFonts w:ascii="宋体" w:hAnsi="宋体" w:hint="eastAsia"/>
          <w:sz w:val="24"/>
        </w:rPr>
        <w:t>（三）由于银华300A份额经折算产生的新增场内银华300份额数和场内银华300份额经折算后的份额数将取整计算（最小单位为</w:t>
      </w:r>
      <w:r>
        <w:rPr>
          <w:rFonts w:ascii="宋体" w:hAnsi="宋体"/>
          <w:sz w:val="24"/>
        </w:rPr>
        <w:t>1</w:t>
      </w:r>
      <w:r>
        <w:rPr>
          <w:rFonts w:ascii="宋体" w:hAnsi="宋体" w:hint="eastAsia"/>
          <w:sz w:val="24"/>
        </w:rPr>
        <w:t>份），舍去部分计入基金财产，持有极小数量银华300A份额或场内银华300份额的持有人存在无法获得新增场内银华300份额的情况。</w:t>
      </w:r>
    </w:p>
    <w:p w:rsidR="000F26F5" w:rsidRDefault="000F26F5">
      <w:pPr>
        <w:spacing w:line="360" w:lineRule="auto"/>
        <w:ind w:firstLineChars="200" w:firstLine="480"/>
        <w:jc w:val="left"/>
        <w:rPr>
          <w:rFonts w:ascii="宋体" w:hAnsi="宋体"/>
          <w:sz w:val="24"/>
        </w:rPr>
      </w:pPr>
      <w:r>
        <w:rPr>
          <w:rFonts w:ascii="宋体" w:hAnsi="宋体" w:hint="eastAsia"/>
          <w:sz w:val="24"/>
        </w:rPr>
        <w:t>（四）根据本基金管理人于2019年3月1日发布的《银华沪深300指数分级证券投资基金恢复直销机构大额申购（含定期定额</w:t>
      </w:r>
      <w:r w:rsidR="00C9586D">
        <w:rPr>
          <w:rFonts w:ascii="宋体" w:hAnsi="宋体" w:hint="eastAsia"/>
          <w:sz w:val="24"/>
        </w:rPr>
        <w:t>投资）业务并暂停直销机构跨系统转托管（场外转场内）业务的公告》,</w:t>
      </w:r>
      <w:r w:rsidR="00DE5F7E" w:rsidRPr="00DE5F7E">
        <w:rPr>
          <w:rFonts w:ascii="宋体" w:hAnsi="宋体" w:hint="eastAsia"/>
          <w:sz w:val="24"/>
        </w:rPr>
        <w:t>本基金自2019年3月1日（含当日）起通过直销机构申购（含定期定额投资）</w:t>
      </w:r>
      <w:r w:rsidR="00DE5F7E">
        <w:rPr>
          <w:rFonts w:ascii="宋体" w:hAnsi="宋体" w:hint="eastAsia"/>
          <w:sz w:val="24"/>
        </w:rPr>
        <w:t>银华300</w:t>
      </w:r>
      <w:r w:rsidR="00DE5F7E" w:rsidRPr="00DE5F7E">
        <w:rPr>
          <w:rFonts w:ascii="宋体" w:hAnsi="宋体" w:hint="eastAsia"/>
          <w:sz w:val="24"/>
        </w:rPr>
        <w:t>份额的跨系统转托管（场外转场内）业务将继续暂停</w:t>
      </w:r>
      <w:r>
        <w:rPr>
          <w:rFonts w:ascii="宋体" w:hAnsi="宋体" w:hint="eastAsia"/>
          <w:sz w:val="24"/>
        </w:rPr>
        <w:t>。详见相关公告。</w:t>
      </w:r>
    </w:p>
    <w:p w:rsidR="000F26F5" w:rsidRDefault="000F26F5" w:rsidP="00147F8E">
      <w:pPr>
        <w:spacing w:line="360" w:lineRule="auto"/>
        <w:ind w:firstLineChars="200" w:firstLine="480"/>
        <w:jc w:val="left"/>
        <w:rPr>
          <w:rFonts w:ascii="宋体" w:hAnsi="宋体" w:hint="eastAsia"/>
          <w:sz w:val="24"/>
        </w:rPr>
      </w:pPr>
      <w:r>
        <w:rPr>
          <w:rFonts w:ascii="宋体" w:hAnsi="宋体" w:hint="eastAsia"/>
          <w:sz w:val="24"/>
        </w:rPr>
        <w:t>（五）根据本基金管理人于2019年2月26日发布的《银华沪深300指数分级证券投资基金暂停大额申购（含定期定额投资）业务的公告》、2019年3月1</w:t>
      </w:r>
      <w:r>
        <w:rPr>
          <w:rFonts w:ascii="宋体" w:hAnsi="宋体" w:hint="eastAsia"/>
          <w:sz w:val="24"/>
        </w:rPr>
        <w:lastRenderedPageBreak/>
        <w:t>日发布的《银华沪深300指数分级证券投资基金恢复直销机构大额申购（含定期定额投资）业务并暂停直销机构跨系统转托管（场外转场内）业务的公告》、2019年9月24日发布的《银华沪深300指数分级证券投资基金暂停直销机构大额申购（含定期定额投资）业务并继续暂停直销机构跨系统转托管（场外转场内）业务的公告》，本基金自2019年</w:t>
      </w:r>
      <w:r>
        <w:rPr>
          <w:rFonts w:ascii="宋体" w:hAnsi="宋体"/>
          <w:sz w:val="24"/>
        </w:rPr>
        <w:t>12</w:t>
      </w:r>
      <w:r>
        <w:rPr>
          <w:rFonts w:ascii="宋体" w:hAnsi="宋体" w:hint="eastAsia"/>
          <w:sz w:val="24"/>
        </w:rPr>
        <w:t>月</w:t>
      </w:r>
      <w:r>
        <w:rPr>
          <w:rFonts w:ascii="宋体" w:hAnsi="宋体"/>
          <w:sz w:val="24"/>
        </w:rPr>
        <w:t>4</w:t>
      </w:r>
      <w:r>
        <w:rPr>
          <w:rFonts w:ascii="宋体" w:hAnsi="宋体" w:hint="eastAsia"/>
          <w:sz w:val="24"/>
        </w:rPr>
        <w:t>日（含当日）起继续暂停单日单个基金账户累计1000元以上的大额申购（含定期定额投资）业务，即单日单个基金账户累计申购（含定期定额投资）本基金的合计金额不超过1000元，若超过1000元，本基金管理人有权部分或全部拒绝对本基金的申购申请。如单日某基金账户单笔申购本基金的金额超过1000元，本基金有权确认该笔申购失败；如单日某基金账户多笔累计申购本基金的金额超过1000元，本基金将按申购金额大小排序，逐笔累加至符合不超过1000元限额的申请确认成功，对于其余申购申请，本基金管理人有权确认失败。针对单笔申购业务申请，仅有确认和不予确认两种处理方式，不存在对单笔申请的部分确认。详见相关公告。</w:t>
      </w:r>
    </w:p>
    <w:p w:rsidR="000F26F5" w:rsidRDefault="000F26F5">
      <w:pPr>
        <w:spacing w:line="360" w:lineRule="auto"/>
        <w:ind w:firstLineChars="200" w:firstLine="480"/>
        <w:jc w:val="left"/>
        <w:rPr>
          <w:rFonts w:ascii="宋体" w:hAnsi="宋体" w:hint="eastAsia"/>
          <w:sz w:val="24"/>
        </w:rPr>
      </w:pPr>
      <w:r>
        <w:rPr>
          <w:rFonts w:ascii="宋体" w:hAnsi="宋体" w:hint="eastAsia"/>
          <w:sz w:val="24"/>
        </w:rPr>
        <w:t>（六）</w:t>
      </w:r>
      <w:r>
        <w:rPr>
          <w:rFonts w:ascii="宋体" w:hAnsi="宋体"/>
          <w:sz w:val="24"/>
        </w:rPr>
        <w:t>投资者若希望了解基金</w:t>
      </w:r>
      <w:r>
        <w:rPr>
          <w:rFonts w:ascii="宋体" w:hAnsi="宋体" w:hint="eastAsia"/>
          <w:sz w:val="24"/>
        </w:rPr>
        <w:t>定期</w:t>
      </w:r>
      <w:r>
        <w:rPr>
          <w:rFonts w:ascii="宋体" w:hAnsi="宋体"/>
          <w:sz w:val="24"/>
        </w:rPr>
        <w:t>份额折算业务详情,请登陆本公司网站：www.</w:t>
      </w:r>
      <w:r>
        <w:rPr>
          <w:rFonts w:ascii="宋体" w:hAnsi="宋体" w:hint="eastAsia"/>
          <w:sz w:val="24"/>
        </w:rPr>
        <w:t>yhfund</w:t>
      </w:r>
      <w:r>
        <w:rPr>
          <w:rFonts w:ascii="宋体" w:hAnsi="宋体"/>
          <w:sz w:val="24"/>
        </w:rPr>
        <w:t>.com</w:t>
      </w:r>
      <w:r>
        <w:rPr>
          <w:rFonts w:ascii="宋体" w:hAnsi="宋体" w:hint="eastAsia"/>
          <w:sz w:val="24"/>
        </w:rPr>
        <w:t>.cn</w:t>
      </w:r>
      <w:r>
        <w:rPr>
          <w:rFonts w:ascii="宋体" w:hAnsi="宋体"/>
          <w:sz w:val="24"/>
        </w:rPr>
        <w:t>或者拨打本公司客服电话：400－</w:t>
      </w:r>
      <w:r>
        <w:rPr>
          <w:rFonts w:ascii="宋体" w:hAnsi="宋体" w:hint="eastAsia"/>
          <w:sz w:val="24"/>
        </w:rPr>
        <w:t>678</w:t>
      </w:r>
      <w:r>
        <w:rPr>
          <w:rFonts w:ascii="宋体" w:hAnsi="宋体"/>
          <w:sz w:val="24"/>
        </w:rPr>
        <w:t>－</w:t>
      </w:r>
      <w:r>
        <w:rPr>
          <w:rFonts w:ascii="宋体" w:hAnsi="宋体" w:hint="eastAsia"/>
          <w:sz w:val="24"/>
        </w:rPr>
        <w:t>3333</w:t>
      </w:r>
      <w:r>
        <w:rPr>
          <w:rFonts w:ascii="宋体" w:hAnsi="宋体"/>
          <w:sz w:val="24"/>
        </w:rPr>
        <w:t>(免长途话费)。</w:t>
      </w:r>
    </w:p>
    <w:p w:rsidR="000F26F5" w:rsidRDefault="000F26F5">
      <w:pPr>
        <w:spacing w:line="360" w:lineRule="auto"/>
        <w:ind w:firstLineChars="200" w:firstLine="480"/>
        <w:jc w:val="left"/>
        <w:rPr>
          <w:rFonts w:ascii="宋体" w:hAnsi="宋体" w:hint="eastAsia"/>
          <w:sz w:val="24"/>
        </w:rPr>
      </w:pPr>
    </w:p>
    <w:p w:rsidR="000F26F5" w:rsidRDefault="000F26F5">
      <w:pPr>
        <w:spacing w:line="360" w:lineRule="auto"/>
        <w:ind w:firstLineChars="200" w:firstLine="480"/>
        <w:jc w:val="left"/>
        <w:rPr>
          <w:rFonts w:ascii="宋体" w:hAnsi="宋体"/>
          <w:sz w:val="24"/>
        </w:rPr>
      </w:pPr>
      <w:r>
        <w:rPr>
          <w:rFonts w:ascii="宋体" w:hAnsi="宋体" w:hint="eastAsia"/>
          <w:sz w:val="24"/>
        </w:rPr>
        <w:t>风险提示：本</w:t>
      </w:r>
      <w:r>
        <w:rPr>
          <w:rFonts w:ascii="宋体" w:hAnsi="宋体"/>
          <w:sz w:val="24"/>
        </w:rPr>
        <w:t>基金管理人承诺以诚实信用、勤勉尽责的原则管理和运用基金资产，但不保证基金一定盈利，也不保证最低收益。</w:t>
      </w:r>
      <w:r>
        <w:rPr>
          <w:rFonts w:ascii="宋体" w:hAnsi="宋体" w:hint="eastAsia"/>
          <w:sz w:val="24"/>
        </w:rPr>
        <w:t>本基金管理人提醒投资者基金投资的“买者自负”原则，在做出投资决策后，基金运营状况与基金净值变化引致的投资风险，由投资者自行承担。投资有风险，决策须谨慎。</w:t>
      </w:r>
    </w:p>
    <w:p w:rsidR="000F26F5" w:rsidRDefault="000F26F5">
      <w:pPr>
        <w:spacing w:line="360" w:lineRule="auto"/>
        <w:ind w:firstLineChars="200" w:firstLine="480"/>
        <w:jc w:val="left"/>
        <w:rPr>
          <w:rFonts w:ascii="宋体" w:hAnsi="宋体" w:hint="eastAsia"/>
          <w:sz w:val="24"/>
        </w:rPr>
      </w:pPr>
    </w:p>
    <w:p w:rsidR="000F26F5" w:rsidRDefault="000F26F5">
      <w:pPr>
        <w:spacing w:line="360" w:lineRule="auto"/>
        <w:ind w:firstLineChars="200" w:firstLine="480"/>
        <w:jc w:val="left"/>
        <w:rPr>
          <w:rFonts w:ascii="宋体" w:hAnsi="宋体" w:hint="eastAsia"/>
          <w:sz w:val="24"/>
        </w:rPr>
      </w:pPr>
      <w:r>
        <w:rPr>
          <w:rFonts w:ascii="宋体" w:hAnsi="宋体"/>
          <w:sz w:val="24"/>
        </w:rPr>
        <w:t>特此公告</w:t>
      </w:r>
      <w:r>
        <w:rPr>
          <w:rFonts w:ascii="宋体" w:hAnsi="宋体" w:hint="eastAsia"/>
          <w:sz w:val="24"/>
        </w:rPr>
        <w:t>。</w:t>
      </w:r>
    </w:p>
    <w:p w:rsidR="000F26F5" w:rsidRDefault="000F26F5">
      <w:pPr>
        <w:spacing w:line="360" w:lineRule="auto"/>
        <w:ind w:firstLineChars="200" w:firstLine="480"/>
        <w:jc w:val="left"/>
        <w:rPr>
          <w:rFonts w:ascii="宋体" w:hAnsi="宋体" w:hint="eastAsia"/>
          <w:sz w:val="24"/>
        </w:rPr>
      </w:pPr>
    </w:p>
    <w:p w:rsidR="000F26F5" w:rsidRDefault="000F26F5">
      <w:pPr>
        <w:spacing w:line="360" w:lineRule="auto"/>
        <w:ind w:firstLineChars="200" w:firstLine="480"/>
        <w:jc w:val="right"/>
        <w:rPr>
          <w:rFonts w:ascii="宋体" w:hAnsi="宋体"/>
          <w:sz w:val="24"/>
        </w:rPr>
      </w:pPr>
      <w:r>
        <w:rPr>
          <w:rFonts w:ascii="宋体" w:hAnsi="宋体" w:hint="eastAsia"/>
          <w:sz w:val="24"/>
        </w:rPr>
        <w:t>银华基金管理股份有限公司</w:t>
      </w:r>
    </w:p>
    <w:p w:rsidR="000F26F5" w:rsidRDefault="000F26F5">
      <w:pPr>
        <w:spacing w:line="360" w:lineRule="auto"/>
        <w:ind w:firstLineChars="200" w:firstLine="480"/>
        <w:jc w:val="right"/>
        <w:rPr>
          <w:rFonts w:ascii="宋体" w:hAnsi="宋体" w:hint="eastAsia"/>
          <w:sz w:val="24"/>
        </w:rPr>
      </w:pPr>
      <w:r>
        <w:rPr>
          <w:rFonts w:ascii="宋体" w:hAnsi="宋体"/>
          <w:sz w:val="24"/>
        </w:rPr>
        <w:t>2019年12月4日</w:t>
      </w:r>
    </w:p>
    <w:sectPr w:rsidR="000F26F5">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B86" w:rsidRDefault="005E0B86">
      <w:r>
        <w:separator/>
      </w:r>
    </w:p>
  </w:endnote>
  <w:endnote w:type="continuationSeparator" w:id="1">
    <w:p w:rsidR="005E0B86" w:rsidRDefault="005E0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B86" w:rsidRDefault="005E0B86">
      <w:r>
        <w:separator/>
      </w:r>
    </w:p>
  </w:footnote>
  <w:footnote w:type="continuationSeparator" w:id="1">
    <w:p w:rsidR="005E0B86" w:rsidRDefault="005E0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F5" w:rsidRDefault="000F26F5">
    <w:pPr>
      <w:pStyle w:val="a5"/>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8.9pt;height:41.15pt;mso-position-horizontal-relative:page;mso-position-vertical-relative:page">
          <v:imagedata r:id="rId1" o:title="银华中英文全称logo（股份）"/>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4A4"/>
    <w:rsid w:val="00003D39"/>
    <w:rsid w:val="000072DA"/>
    <w:rsid w:val="000358BC"/>
    <w:rsid w:val="00067834"/>
    <w:rsid w:val="00075185"/>
    <w:rsid w:val="00083245"/>
    <w:rsid w:val="00083992"/>
    <w:rsid w:val="000A7855"/>
    <w:rsid w:val="000B1680"/>
    <w:rsid w:val="000B5EB0"/>
    <w:rsid w:val="000C1420"/>
    <w:rsid w:val="000E4136"/>
    <w:rsid w:val="000F26F5"/>
    <w:rsid w:val="00104228"/>
    <w:rsid w:val="001108BB"/>
    <w:rsid w:val="00114B6D"/>
    <w:rsid w:val="00114CD0"/>
    <w:rsid w:val="00114F6F"/>
    <w:rsid w:val="0011591A"/>
    <w:rsid w:val="00122F17"/>
    <w:rsid w:val="00134A1C"/>
    <w:rsid w:val="00147F8E"/>
    <w:rsid w:val="00162D54"/>
    <w:rsid w:val="00163550"/>
    <w:rsid w:val="00163F3E"/>
    <w:rsid w:val="0016565F"/>
    <w:rsid w:val="001903DA"/>
    <w:rsid w:val="00192D9A"/>
    <w:rsid w:val="00195A34"/>
    <w:rsid w:val="001B233D"/>
    <w:rsid w:val="001C5DCC"/>
    <w:rsid w:val="001D631F"/>
    <w:rsid w:val="001E2C5E"/>
    <w:rsid w:val="001E4A51"/>
    <w:rsid w:val="001F3228"/>
    <w:rsid w:val="00200346"/>
    <w:rsid w:val="00220820"/>
    <w:rsid w:val="00240169"/>
    <w:rsid w:val="0024547F"/>
    <w:rsid w:val="002730D0"/>
    <w:rsid w:val="00274EC4"/>
    <w:rsid w:val="002856E3"/>
    <w:rsid w:val="00286A95"/>
    <w:rsid w:val="002870F2"/>
    <w:rsid w:val="00291FE7"/>
    <w:rsid w:val="002955B7"/>
    <w:rsid w:val="002A1079"/>
    <w:rsid w:val="002C0175"/>
    <w:rsid w:val="002C2BE4"/>
    <w:rsid w:val="002C5D26"/>
    <w:rsid w:val="002D2572"/>
    <w:rsid w:val="002D382A"/>
    <w:rsid w:val="002E6EA4"/>
    <w:rsid w:val="002F5198"/>
    <w:rsid w:val="002F78EE"/>
    <w:rsid w:val="00343681"/>
    <w:rsid w:val="00357064"/>
    <w:rsid w:val="003A132B"/>
    <w:rsid w:val="003B422F"/>
    <w:rsid w:val="003D5842"/>
    <w:rsid w:val="003E1DC7"/>
    <w:rsid w:val="003E6D47"/>
    <w:rsid w:val="003F287D"/>
    <w:rsid w:val="00423C48"/>
    <w:rsid w:val="0042613A"/>
    <w:rsid w:val="004269C7"/>
    <w:rsid w:val="00434997"/>
    <w:rsid w:val="00443854"/>
    <w:rsid w:val="00452F33"/>
    <w:rsid w:val="004541DD"/>
    <w:rsid w:val="00462F6F"/>
    <w:rsid w:val="0046347C"/>
    <w:rsid w:val="00466952"/>
    <w:rsid w:val="00467C96"/>
    <w:rsid w:val="00470AC0"/>
    <w:rsid w:val="00474819"/>
    <w:rsid w:val="004A054C"/>
    <w:rsid w:val="004A5805"/>
    <w:rsid w:val="004B3FC3"/>
    <w:rsid w:val="004D1BB2"/>
    <w:rsid w:val="004D29C2"/>
    <w:rsid w:val="004D39BF"/>
    <w:rsid w:val="004D4EA1"/>
    <w:rsid w:val="004E1892"/>
    <w:rsid w:val="004E3697"/>
    <w:rsid w:val="004F02F3"/>
    <w:rsid w:val="004F2DBA"/>
    <w:rsid w:val="00511934"/>
    <w:rsid w:val="00512EC5"/>
    <w:rsid w:val="00516FAB"/>
    <w:rsid w:val="00517C6E"/>
    <w:rsid w:val="00526FC6"/>
    <w:rsid w:val="00543D63"/>
    <w:rsid w:val="00544C78"/>
    <w:rsid w:val="00551B87"/>
    <w:rsid w:val="00555D94"/>
    <w:rsid w:val="005A33BF"/>
    <w:rsid w:val="005A54C3"/>
    <w:rsid w:val="005B3BAA"/>
    <w:rsid w:val="005B64AE"/>
    <w:rsid w:val="005E0B86"/>
    <w:rsid w:val="005F68EB"/>
    <w:rsid w:val="00604113"/>
    <w:rsid w:val="006141C9"/>
    <w:rsid w:val="00632579"/>
    <w:rsid w:val="006500FC"/>
    <w:rsid w:val="00657BDA"/>
    <w:rsid w:val="00657E66"/>
    <w:rsid w:val="006615E3"/>
    <w:rsid w:val="0067075F"/>
    <w:rsid w:val="0068428C"/>
    <w:rsid w:val="00690726"/>
    <w:rsid w:val="0069266F"/>
    <w:rsid w:val="006B5693"/>
    <w:rsid w:val="006E1995"/>
    <w:rsid w:val="006F18FC"/>
    <w:rsid w:val="00723ECD"/>
    <w:rsid w:val="00733412"/>
    <w:rsid w:val="00734D30"/>
    <w:rsid w:val="00735961"/>
    <w:rsid w:val="00745DD4"/>
    <w:rsid w:val="00751CEB"/>
    <w:rsid w:val="00760C79"/>
    <w:rsid w:val="00772ADE"/>
    <w:rsid w:val="007772BE"/>
    <w:rsid w:val="007772CA"/>
    <w:rsid w:val="007916C7"/>
    <w:rsid w:val="007A2DCC"/>
    <w:rsid w:val="007A3FBC"/>
    <w:rsid w:val="007A6383"/>
    <w:rsid w:val="007B2AAD"/>
    <w:rsid w:val="007B527D"/>
    <w:rsid w:val="007C08EA"/>
    <w:rsid w:val="007F0B10"/>
    <w:rsid w:val="007F1667"/>
    <w:rsid w:val="00804B42"/>
    <w:rsid w:val="008167C2"/>
    <w:rsid w:val="0083745C"/>
    <w:rsid w:val="0085511A"/>
    <w:rsid w:val="00855B91"/>
    <w:rsid w:val="0085752A"/>
    <w:rsid w:val="0087265A"/>
    <w:rsid w:val="00877D67"/>
    <w:rsid w:val="008958B0"/>
    <w:rsid w:val="008A64E8"/>
    <w:rsid w:val="008B05D3"/>
    <w:rsid w:val="008D1D8A"/>
    <w:rsid w:val="008D6164"/>
    <w:rsid w:val="008F5550"/>
    <w:rsid w:val="00923CA2"/>
    <w:rsid w:val="0093211C"/>
    <w:rsid w:val="00937D45"/>
    <w:rsid w:val="00945E09"/>
    <w:rsid w:val="009608B0"/>
    <w:rsid w:val="009628E5"/>
    <w:rsid w:val="00970716"/>
    <w:rsid w:val="00971DF7"/>
    <w:rsid w:val="009819FD"/>
    <w:rsid w:val="00986D8A"/>
    <w:rsid w:val="00991ADF"/>
    <w:rsid w:val="00991DB6"/>
    <w:rsid w:val="009A35AD"/>
    <w:rsid w:val="009A4BB2"/>
    <w:rsid w:val="009B4687"/>
    <w:rsid w:val="009C30C6"/>
    <w:rsid w:val="009E28DC"/>
    <w:rsid w:val="009E4454"/>
    <w:rsid w:val="00A01EFD"/>
    <w:rsid w:val="00A26C6B"/>
    <w:rsid w:val="00A32E51"/>
    <w:rsid w:val="00A43E06"/>
    <w:rsid w:val="00A45886"/>
    <w:rsid w:val="00A517E1"/>
    <w:rsid w:val="00A614B6"/>
    <w:rsid w:val="00A617C5"/>
    <w:rsid w:val="00A668F4"/>
    <w:rsid w:val="00A72DD8"/>
    <w:rsid w:val="00A7509C"/>
    <w:rsid w:val="00AD45A9"/>
    <w:rsid w:val="00AD53C5"/>
    <w:rsid w:val="00B05FDA"/>
    <w:rsid w:val="00B14454"/>
    <w:rsid w:val="00B30655"/>
    <w:rsid w:val="00B50A87"/>
    <w:rsid w:val="00B540FB"/>
    <w:rsid w:val="00B564FF"/>
    <w:rsid w:val="00B56ACE"/>
    <w:rsid w:val="00B57BB9"/>
    <w:rsid w:val="00B62B30"/>
    <w:rsid w:val="00B719E6"/>
    <w:rsid w:val="00B72F94"/>
    <w:rsid w:val="00B75F46"/>
    <w:rsid w:val="00B779EE"/>
    <w:rsid w:val="00B903AD"/>
    <w:rsid w:val="00B90D95"/>
    <w:rsid w:val="00B949FD"/>
    <w:rsid w:val="00BA0766"/>
    <w:rsid w:val="00BB7002"/>
    <w:rsid w:val="00BC3726"/>
    <w:rsid w:val="00BD2CA6"/>
    <w:rsid w:val="00BF2E24"/>
    <w:rsid w:val="00BF4908"/>
    <w:rsid w:val="00BF5A8E"/>
    <w:rsid w:val="00C024A3"/>
    <w:rsid w:val="00C1167F"/>
    <w:rsid w:val="00C125C5"/>
    <w:rsid w:val="00C2268E"/>
    <w:rsid w:val="00C312DA"/>
    <w:rsid w:val="00C33534"/>
    <w:rsid w:val="00C41FC2"/>
    <w:rsid w:val="00C679BD"/>
    <w:rsid w:val="00C768BC"/>
    <w:rsid w:val="00C81E6C"/>
    <w:rsid w:val="00C825B9"/>
    <w:rsid w:val="00C82C77"/>
    <w:rsid w:val="00C92E29"/>
    <w:rsid w:val="00C9586D"/>
    <w:rsid w:val="00C977D8"/>
    <w:rsid w:val="00C97970"/>
    <w:rsid w:val="00CA09DE"/>
    <w:rsid w:val="00CA1A85"/>
    <w:rsid w:val="00CD7412"/>
    <w:rsid w:val="00CF23F4"/>
    <w:rsid w:val="00D1372D"/>
    <w:rsid w:val="00D1573B"/>
    <w:rsid w:val="00D52EF1"/>
    <w:rsid w:val="00D60C95"/>
    <w:rsid w:val="00D621A6"/>
    <w:rsid w:val="00D62B0C"/>
    <w:rsid w:val="00D6551A"/>
    <w:rsid w:val="00D800D9"/>
    <w:rsid w:val="00D90599"/>
    <w:rsid w:val="00D95B7B"/>
    <w:rsid w:val="00DB2987"/>
    <w:rsid w:val="00DC4C51"/>
    <w:rsid w:val="00DE347C"/>
    <w:rsid w:val="00DE5F7E"/>
    <w:rsid w:val="00DE692C"/>
    <w:rsid w:val="00DF4840"/>
    <w:rsid w:val="00E00D45"/>
    <w:rsid w:val="00E02BB6"/>
    <w:rsid w:val="00E04978"/>
    <w:rsid w:val="00E123C9"/>
    <w:rsid w:val="00E15D1D"/>
    <w:rsid w:val="00E16C5A"/>
    <w:rsid w:val="00E35F88"/>
    <w:rsid w:val="00E36D7A"/>
    <w:rsid w:val="00E449C7"/>
    <w:rsid w:val="00E4650A"/>
    <w:rsid w:val="00E46623"/>
    <w:rsid w:val="00E70E12"/>
    <w:rsid w:val="00E93C3B"/>
    <w:rsid w:val="00E97351"/>
    <w:rsid w:val="00EA0419"/>
    <w:rsid w:val="00EE0B3E"/>
    <w:rsid w:val="00EE3086"/>
    <w:rsid w:val="00EF7BE5"/>
    <w:rsid w:val="00F1136E"/>
    <w:rsid w:val="00F16A89"/>
    <w:rsid w:val="00F17C01"/>
    <w:rsid w:val="00F24B16"/>
    <w:rsid w:val="00F25759"/>
    <w:rsid w:val="00F32237"/>
    <w:rsid w:val="00F44A3B"/>
    <w:rsid w:val="00F45FDF"/>
    <w:rsid w:val="00F526FA"/>
    <w:rsid w:val="00F711B8"/>
    <w:rsid w:val="00F73759"/>
    <w:rsid w:val="00F75572"/>
    <w:rsid w:val="00F9057B"/>
    <w:rsid w:val="00F93C83"/>
    <w:rsid w:val="00FA0191"/>
    <w:rsid w:val="00FA0EBC"/>
    <w:rsid w:val="00FA507E"/>
    <w:rsid w:val="00FA7607"/>
    <w:rsid w:val="00FD1E43"/>
    <w:rsid w:val="00FD41D6"/>
    <w:rsid w:val="00FD75A4"/>
    <w:rsid w:val="00FE54F3"/>
    <w:rsid w:val="00FE660E"/>
    <w:rsid w:val="00FF568D"/>
    <w:rsid w:val="00FF74A4"/>
    <w:rsid w:val="080E1AFA"/>
    <w:rsid w:val="1E6053B8"/>
    <w:rsid w:val="3D243497"/>
    <w:rsid w:val="40D61891"/>
    <w:rsid w:val="4F967E81"/>
    <w:rsid w:val="55E65AE2"/>
    <w:rsid w:val="58E12C67"/>
    <w:rsid w:val="5DDC03B8"/>
    <w:rsid w:val="63D45BF2"/>
    <w:rsid w:val="6B916904"/>
    <w:rsid w:val="7A790F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Char">
    <w:name w:val="批注主题 Char"/>
    <w:link w:val="a4"/>
    <w:rPr>
      <w:b/>
      <w:bCs/>
      <w:kern w:val="2"/>
      <w:sz w:val="21"/>
      <w:szCs w:val="24"/>
    </w:rPr>
  </w:style>
  <w:style w:type="character" w:customStyle="1" w:styleId="Char0">
    <w:name w:val="页眉 Char"/>
    <w:link w:val="a5"/>
    <w:uiPriority w:val="99"/>
    <w:rPr>
      <w:kern w:val="2"/>
      <w:sz w:val="18"/>
      <w:szCs w:val="18"/>
    </w:rPr>
  </w:style>
  <w:style w:type="character" w:customStyle="1" w:styleId="Char1">
    <w:name w:val="页脚 Char"/>
    <w:link w:val="a6"/>
    <w:rPr>
      <w:kern w:val="2"/>
      <w:sz w:val="18"/>
      <w:szCs w:val="18"/>
    </w:rPr>
  </w:style>
  <w:style w:type="character" w:customStyle="1" w:styleId="Char2">
    <w:name w:val="批注文字 Char"/>
    <w:link w:val="a7"/>
    <w:rPr>
      <w:kern w:val="2"/>
      <w:sz w:val="21"/>
      <w:szCs w:val="24"/>
    </w:rPr>
  </w:style>
  <w:style w:type="paragraph" w:styleId="a7">
    <w:name w:val="annotation text"/>
    <w:basedOn w:val="a"/>
    <w:link w:val="Char2"/>
    <w:pPr>
      <w:jc w:val="left"/>
    </w:pPr>
  </w:style>
  <w:style w:type="paragraph" w:styleId="a8">
    <w:name w:val="Balloon Text"/>
    <w:basedOn w:val="a"/>
    <w:semiHidden/>
    <w:rPr>
      <w:sz w:val="18"/>
      <w:szCs w:val="18"/>
    </w:rPr>
  </w:style>
  <w:style w:type="paragraph" w:styleId="a4">
    <w:name w:val="annotation subject"/>
    <w:basedOn w:val="a7"/>
    <w:next w:val="a7"/>
    <w:link w:val="Char"/>
    <w:rPr>
      <w:b/>
      <w:bCs/>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pPr>
      <w:tabs>
        <w:tab w:val="center" w:pos="4153"/>
        <w:tab w:val="right" w:pos="8306"/>
      </w:tabs>
      <w:snapToGrid w:val="0"/>
      <w:jc w:val="left"/>
    </w:pPr>
    <w:rPr>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0">
    <w:name w:val="p0"/>
    <w:basedOn w:val="Default"/>
    <w:next w:val="Default"/>
    <w:rPr>
      <w:rFonts w:cs="Times New Roman"/>
      <w:color w:val="auto"/>
    </w:rPr>
  </w:style>
  <w:style w:type="paragraph" w:customStyle="1" w:styleId="p16">
    <w:name w:val="p16"/>
    <w:basedOn w:val="Default"/>
    <w:next w:val="Default"/>
    <w:rPr>
      <w:rFonts w:cs="Times New Roman"/>
      <w:color w:val="auto"/>
    </w:rPr>
  </w:style>
  <w:style w:type="table" w:styleId="aa">
    <w:name w:val="Table Grid"/>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2127</Characters>
  <Application>Microsoft Office Word</Application>
  <DocSecurity>4</DocSecurity>
  <Lines>17</Lines>
  <Paragraphs>4</Paragraphs>
  <ScaleCrop>false</ScaleCrop>
  <Company>yhjj</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关于银华深证100指数分级证券投资基金</dc:title>
  <dc:subject/>
  <dc:creator>yh</dc:creator>
  <cp:keywords/>
  <cp:lastModifiedBy>JonMMx 2000</cp:lastModifiedBy>
  <cp:revision>2</cp:revision>
  <dcterms:created xsi:type="dcterms:W3CDTF">2019-12-03T16:01:00Z</dcterms:created>
  <dcterms:modified xsi:type="dcterms:W3CDTF">2019-12-03T16:01:00Z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