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DB" w:rsidRDefault="00C64EDB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关于银华沪深</w:t>
      </w:r>
      <w:r>
        <w:rPr>
          <w:rFonts w:hint="eastAsia"/>
          <w:b/>
          <w:sz w:val="28"/>
          <w:szCs w:val="28"/>
        </w:rPr>
        <w:t>300</w:t>
      </w:r>
      <w:r>
        <w:rPr>
          <w:rFonts w:hint="eastAsia"/>
          <w:b/>
          <w:sz w:val="28"/>
          <w:szCs w:val="28"/>
        </w:rPr>
        <w:t>指数分级证券投资基金定期份额折算前收盘价调整的公告</w:t>
      </w:r>
    </w:p>
    <w:p w:rsidR="00C64EDB" w:rsidRDefault="00C64EDB">
      <w:pPr>
        <w:spacing w:line="360" w:lineRule="auto"/>
        <w:ind w:firstLine="465"/>
        <w:rPr>
          <w:rFonts w:ascii="宋体" w:hAnsi="宋体"/>
          <w:sz w:val="24"/>
        </w:rPr>
      </w:pPr>
    </w:p>
    <w:p w:rsidR="00C64EDB" w:rsidRDefault="00C64EDB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根据深圳证券交易所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中国证券登记结算有限责任公司的相关业务规定</w:t>
      </w:r>
      <w:r>
        <w:rPr>
          <w:rFonts w:ascii="宋体" w:hAnsi="宋体" w:hint="eastAsia"/>
          <w:sz w:val="24"/>
        </w:rPr>
        <w:t>以及</w:t>
      </w: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银华沪深300指数分级证券投资基金</w:t>
      </w:r>
      <w:r>
        <w:rPr>
          <w:rFonts w:ascii="宋体" w:hAnsi="宋体"/>
          <w:sz w:val="24"/>
        </w:rPr>
        <w:t>基金合同》</w:t>
      </w:r>
      <w:r>
        <w:rPr>
          <w:rFonts w:ascii="宋体" w:hAnsi="宋体" w:hint="eastAsia"/>
          <w:sz w:val="24"/>
        </w:rPr>
        <w:t>的约定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银华沪深300指数分级证券投资基金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以下</w:t>
      </w:r>
      <w:r>
        <w:rPr>
          <w:rFonts w:ascii="宋体" w:hAnsi="宋体"/>
          <w:sz w:val="24"/>
        </w:rPr>
        <w:t>简称“本基金”）</w:t>
      </w:r>
      <w:r>
        <w:rPr>
          <w:rFonts w:ascii="宋体" w:hAnsi="宋体" w:hint="eastAsia"/>
          <w:sz w:val="24"/>
        </w:rPr>
        <w:t>以</w:t>
      </w:r>
      <w:r>
        <w:rPr>
          <w:rFonts w:ascii="宋体" w:hAnsi="宋体"/>
          <w:sz w:val="24"/>
        </w:rPr>
        <w:t>2019年12月2日为基准日</w:t>
      </w:r>
      <w:r>
        <w:rPr>
          <w:rFonts w:ascii="宋体" w:hAnsi="宋体" w:hint="eastAsia"/>
          <w:sz w:val="24"/>
        </w:rPr>
        <w:t>，对该日交易结束后登记在册的银华300A份额(场内简称：银华300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，代码：150167)</w:t>
      </w:r>
      <w:r>
        <w:rPr>
          <w:rFonts w:ascii="宋体" w:hAnsi="宋体"/>
          <w:sz w:val="24"/>
        </w:rPr>
        <w:t>办理</w:t>
      </w:r>
      <w:r>
        <w:rPr>
          <w:rFonts w:ascii="宋体" w:hAnsi="宋体" w:hint="eastAsia"/>
          <w:sz w:val="24"/>
        </w:rPr>
        <w:t>了定期</w:t>
      </w:r>
      <w:r>
        <w:rPr>
          <w:rFonts w:ascii="宋体" w:hAnsi="宋体"/>
          <w:sz w:val="24"/>
        </w:rPr>
        <w:t>份额折算业务。</w:t>
      </w:r>
      <w:r>
        <w:rPr>
          <w:rFonts w:ascii="宋体" w:hAnsi="宋体" w:hint="eastAsia"/>
          <w:sz w:val="24"/>
        </w:rPr>
        <w:t>对于定期</w:t>
      </w:r>
      <w:r>
        <w:rPr>
          <w:rFonts w:ascii="宋体" w:hAnsi="宋体"/>
          <w:sz w:val="24"/>
        </w:rPr>
        <w:t>份额折算</w:t>
      </w:r>
      <w:r>
        <w:rPr>
          <w:rFonts w:ascii="宋体" w:hAnsi="宋体" w:hint="eastAsia"/>
          <w:sz w:val="24"/>
        </w:rPr>
        <w:t>的方法及相关事宜，详见2019年11月27日刊登在《上海证券报》</w:t>
      </w:r>
      <w:r>
        <w:rPr>
          <w:rFonts w:ascii="宋体" w:hAnsi="宋体"/>
          <w:sz w:val="24"/>
        </w:rPr>
        <w:t>及</w:t>
      </w:r>
      <w:r>
        <w:rPr>
          <w:rFonts w:ascii="宋体" w:hAnsi="宋体" w:hint="eastAsia"/>
          <w:sz w:val="24"/>
        </w:rPr>
        <w:t>本基金管理人</w:t>
      </w:r>
      <w:r>
        <w:rPr>
          <w:rFonts w:ascii="宋体" w:hAnsi="宋体"/>
          <w:sz w:val="24"/>
        </w:rPr>
        <w:t>网站</w:t>
      </w:r>
      <w:r>
        <w:rPr>
          <w:rFonts w:ascii="宋体" w:hAnsi="宋体" w:hint="eastAsia"/>
          <w:sz w:val="24"/>
        </w:rPr>
        <w:t>和中国证监会基金电子披露网站（http://eid.csrc.gov.cn/fund）上的《</w:t>
      </w:r>
      <w:r>
        <w:rPr>
          <w:rFonts w:ascii="宋体" w:hAnsi="宋体"/>
          <w:sz w:val="24"/>
        </w:rPr>
        <w:t>关于</w:t>
      </w:r>
      <w:r>
        <w:rPr>
          <w:rFonts w:ascii="宋体" w:hAnsi="宋体" w:hint="eastAsia"/>
          <w:sz w:val="24"/>
        </w:rPr>
        <w:t>银华沪深300指数分级证券投资基金</w:t>
      </w:r>
      <w:r>
        <w:rPr>
          <w:rFonts w:ascii="宋体" w:hAnsi="宋体"/>
          <w:sz w:val="24"/>
        </w:rPr>
        <w:t>办理</w:t>
      </w:r>
      <w:r>
        <w:rPr>
          <w:rFonts w:ascii="宋体" w:hAnsi="宋体" w:hint="eastAsia"/>
          <w:sz w:val="24"/>
        </w:rPr>
        <w:t>定期</w:t>
      </w:r>
      <w:r>
        <w:rPr>
          <w:rFonts w:ascii="宋体" w:hAnsi="宋体"/>
          <w:sz w:val="24"/>
        </w:rPr>
        <w:t>份额折算业务的公告</w:t>
      </w:r>
      <w:r>
        <w:rPr>
          <w:rFonts w:ascii="宋体" w:hAnsi="宋体" w:hint="eastAsia"/>
          <w:sz w:val="24"/>
        </w:rPr>
        <w:t>》。</w:t>
      </w:r>
    </w:p>
    <w:p w:rsidR="00C64EDB" w:rsidRDefault="00C64EDB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根据《深圳证券交易所证券投资基金交易和申购赎回实施细则》，2019年12月4日</w:t>
      </w:r>
      <w:r>
        <w:rPr>
          <w:rFonts w:ascii="宋体" w:hAnsi="宋体" w:hint="eastAsia"/>
          <w:sz w:val="24"/>
        </w:rPr>
        <w:t>银华300A</w:t>
      </w:r>
      <w:r>
        <w:rPr>
          <w:rFonts w:ascii="宋体" w:hAnsi="宋体"/>
          <w:sz w:val="24"/>
        </w:rPr>
        <w:t>即时行情显示的前收盘价为2019年12月3日的</w:t>
      </w:r>
      <w:r>
        <w:rPr>
          <w:rFonts w:ascii="宋体" w:hAnsi="宋体" w:hint="eastAsia"/>
          <w:sz w:val="24"/>
        </w:rPr>
        <w:t>银华300A</w:t>
      </w:r>
      <w:r>
        <w:rPr>
          <w:rFonts w:ascii="宋体" w:hAnsi="宋体"/>
          <w:sz w:val="24"/>
        </w:rPr>
        <w:t>份额净值（四舍五入至0.001元），</w:t>
      </w:r>
      <w:r w:rsidRPr="002A6C95">
        <w:rPr>
          <w:rFonts w:ascii="宋体" w:hAnsi="宋体"/>
          <w:sz w:val="24"/>
        </w:rPr>
        <w:t>即</w:t>
      </w:r>
      <w:r w:rsidR="001F5939" w:rsidRPr="002A6C95">
        <w:rPr>
          <w:rFonts w:ascii="宋体" w:hAnsi="宋体" w:hint="eastAsia"/>
          <w:sz w:val="24"/>
        </w:rPr>
        <w:t>1.000</w:t>
      </w:r>
      <w:r w:rsidRPr="002A6C95">
        <w:rPr>
          <w:rFonts w:ascii="宋体" w:hAnsi="宋体"/>
          <w:sz w:val="24"/>
        </w:rPr>
        <w:t>元，由于</w:t>
      </w:r>
      <w:r w:rsidRPr="002A6C95">
        <w:rPr>
          <w:rFonts w:ascii="宋体" w:hAnsi="宋体" w:hint="eastAsia"/>
          <w:sz w:val="24"/>
        </w:rPr>
        <w:t>银华300A</w:t>
      </w:r>
      <w:r w:rsidRPr="002A6C95">
        <w:rPr>
          <w:rFonts w:ascii="宋体" w:hAnsi="宋体"/>
          <w:sz w:val="24"/>
        </w:rPr>
        <w:t>折算前存在</w:t>
      </w:r>
      <w:r w:rsidRPr="002A6C95">
        <w:rPr>
          <w:rFonts w:ascii="宋体" w:hAnsi="宋体" w:hint="eastAsia"/>
          <w:sz w:val="24"/>
        </w:rPr>
        <w:t>折溢</w:t>
      </w:r>
      <w:r w:rsidRPr="002A6C95">
        <w:rPr>
          <w:rFonts w:ascii="宋体" w:hAnsi="宋体"/>
          <w:sz w:val="24"/>
        </w:rPr>
        <w:t>价交易情形，</w:t>
      </w:r>
      <w:r w:rsidRPr="002A6C95">
        <w:rPr>
          <w:rFonts w:ascii="宋体" w:hAnsi="宋体" w:hint="eastAsia"/>
          <w:sz w:val="24"/>
        </w:rPr>
        <w:t>2019年12月2日的收盘价为</w:t>
      </w:r>
      <w:r w:rsidR="001F5939" w:rsidRPr="002A6C95">
        <w:rPr>
          <w:rFonts w:ascii="宋体" w:hAnsi="宋体" w:hint="eastAsia"/>
          <w:sz w:val="24"/>
        </w:rPr>
        <w:t>1.033</w:t>
      </w:r>
      <w:r w:rsidRPr="002A6C95">
        <w:rPr>
          <w:rFonts w:ascii="宋体" w:hAnsi="宋体" w:hint="eastAsia"/>
          <w:sz w:val="24"/>
        </w:rPr>
        <w:t>元，扣除本次定期份额折算的折算期间的约定收益后为</w:t>
      </w:r>
      <w:r w:rsidR="001F5939" w:rsidRPr="002A6C95">
        <w:rPr>
          <w:rFonts w:ascii="宋体" w:hAnsi="宋体" w:hint="eastAsia"/>
          <w:sz w:val="24"/>
        </w:rPr>
        <w:t>0.983</w:t>
      </w:r>
      <w:r w:rsidRPr="002A6C95">
        <w:rPr>
          <w:rFonts w:ascii="宋体" w:hAnsi="宋体" w:hint="eastAsia"/>
          <w:sz w:val="24"/>
        </w:rPr>
        <w:t>元，与2019年12月4日</w:t>
      </w:r>
      <w:r>
        <w:rPr>
          <w:rFonts w:ascii="宋体" w:hAnsi="宋体" w:hint="eastAsia"/>
          <w:sz w:val="24"/>
        </w:rPr>
        <w:t>的前收盘价存在一定差异，2019年12月4日当日可能出现交易价格波动的情形。敬请投资者注意投资风险。</w:t>
      </w:r>
    </w:p>
    <w:p w:rsidR="00C64EDB" w:rsidRDefault="00C64EDB">
      <w:pPr>
        <w:tabs>
          <w:tab w:val="left" w:pos="2196"/>
        </w:tabs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ab/>
      </w:r>
    </w:p>
    <w:p w:rsidR="00C64EDB" w:rsidRDefault="00C64EDB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特此公告</w:t>
      </w:r>
      <w:r>
        <w:rPr>
          <w:rFonts w:ascii="宋体" w:hAnsi="宋体" w:hint="eastAsia"/>
          <w:sz w:val="24"/>
        </w:rPr>
        <w:t>。</w:t>
      </w:r>
    </w:p>
    <w:p w:rsidR="00C64EDB" w:rsidRDefault="00C64ED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64EDB" w:rsidRDefault="00C64ED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64EDB" w:rsidRDefault="00C64ED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64EDB" w:rsidRDefault="00C64EDB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银华基金管理股份有限公司</w:t>
      </w:r>
    </w:p>
    <w:p w:rsidR="00C64EDB" w:rsidRDefault="00C64EDB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2019年12月4日</w:t>
      </w:r>
    </w:p>
    <w:sectPr w:rsidR="00C64ED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16" w:rsidRDefault="00266316">
      <w:r>
        <w:separator/>
      </w:r>
    </w:p>
  </w:endnote>
  <w:endnote w:type="continuationSeparator" w:id="1">
    <w:p w:rsidR="00266316" w:rsidRDefault="0026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16" w:rsidRDefault="00266316">
      <w:r>
        <w:separator/>
      </w:r>
    </w:p>
  </w:footnote>
  <w:footnote w:type="continuationSeparator" w:id="1">
    <w:p w:rsidR="00266316" w:rsidRDefault="00266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DB" w:rsidRDefault="00C64EDB">
    <w:pPr>
      <w:pStyle w:val="a4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89.8pt;height:41.15pt;mso-position-horizontal-relative:page;mso-position-vertical-relative:page">
          <v:imagedata r:id="rId1" o:title="银华中英文全称logo（股份）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4A3"/>
    <w:rsid w:val="0000262E"/>
    <w:rsid w:val="00023676"/>
    <w:rsid w:val="00050948"/>
    <w:rsid w:val="000732A2"/>
    <w:rsid w:val="00080052"/>
    <w:rsid w:val="00084156"/>
    <w:rsid w:val="000865A8"/>
    <w:rsid w:val="00094ECF"/>
    <w:rsid w:val="000D1DB6"/>
    <w:rsid w:val="000E43E1"/>
    <w:rsid w:val="000F0423"/>
    <w:rsid w:val="000F447C"/>
    <w:rsid w:val="001076E3"/>
    <w:rsid w:val="00144705"/>
    <w:rsid w:val="001524A3"/>
    <w:rsid w:val="00171E6C"/>
    <w:rsid w:val="0017624F"/>
    <w:rsid w:val="0019152F"/>
    <w:rsid w:val="001A4C47"/>
    <w:rsid w:val="001B008E"/>
    <w:rsid w:val="001B1E82"/>
    <w:rsid w:val="001E289F"/>
    <w:rsid w:val="001E6B9C"/>
    <w:rsid w:val="001E72C6"/>
    <w:rsid w:val="001F5939"/>
    <w:rsid w:val="00217F0F"/>
    <w:rsid w:val="00234EEE"/>
    <w:rsid w:val="00247368"/>
    <w:rsid w:val="00266316"/>
    <w:rsid w:val="0028004A"/>
    <w:rsid w:val="002A4E48"/>
    <w:rsid w:val="002A6C95"/>
    <w:rsid w:val="002B27DE"/>
    <w:rsid w:val="002B5F66"/>
    <w:rsid w:val="002B7C95"/>
    <w:rsid w:val="002C705F"/>
    <w:rsid w:val="002E150E"/>
    <w:rsid w:val="002E457D"/>
    <w:rsid w:val="002F1A97"/>
    <w:rsid w:val="002F40B6"/>
    <w:rsid w:val="003101FB"/>
    <w:rsid w:val="00315DDC"/>
    <w:rsid w:val="00350AF9"/>
    <w:rsid w:val="00362BD4"/>
    <w:rsid w:val="003747C6"/>
    <w:rsid w:val="00391A9A"/>
    <w:rsid w:val="0039773B"/>
    <w:rsid w:val="00397F95"/>
    <w:rsid w:val="003D61FF"/>
    <w:rsid w:val="003E37A4"/>
    <w:rsid w:val="00404020"/>
    <w:rsid w:val="00410962"/>
    <w:rsid w:val="00422309"/>
    <w:rsid w:val="00433F37"/>
    <w:rsid w:val="004402C5"/>
    <w:rsid w:val="00497BB1"/>
    <w:rsid w:val="004A1CDA"/>
    <w:rsid w:val="00521230"/>
    <w:rsid w:val="005215CE"/>
    <w:rsid w:val="00534357"/>
    <w:rsid w:val="00553652"/>
    <w:rsid w:val="0056284E"/>
    <w:rsid w:val="00574EB4"/>
    <w:rsid w:val="00582BD0"/>
    <w:rsid w:val="005A78E0"/>
    <w:rsid w:val="0061469B"/>
    <w:rsid w:val="00625EFF"/>
    <w:rsid w:val="00631B63"/>
    <w:rsid w:val="0064089E"/>
    <w:rsid w:val="00665D8C"/>
    <w:rsid w:val="00676A90"/>
    <w:rsid w:val="006916B1"/>
    <w:rsid w:val="006A5678"/>
    <w:rsid w:val="00712C38"/>
    <w:rsid w:val="007147B1"/>
    <w:rsid w:val="00733213"/>
    <w:rsid w:val="007349F8"/>
    <w:rsid w:val="007439DF"/>
    <w:rsid w:val="00775EFD"/>
    <w:rsid w:val="00777D28"/>
    <w:rsid w:val="007C1A63"/>
    <w:rsid w:val="007C45A7"/>
    <w:rsid w:val="007C51A5"/>
    <w:rsid w:val="007C6461"/>
    <w:rsid w:val="00805F17"/>
    <w:rsid w:val="00830B84"/>
    <w:rsid w:val="00884896"/>
    <w:rsid w:val="00884DAC"/>
    <w:rsid w:val="0089000D"/>
    <w:rsid w:val="008915A9"/>
    <w:rsid w:val="00893EEF"/>
    <w:rsid w:val="008B417E"/>
    <w:rsid w:val="008F0C65"/>
    <w:rsid w:val="00903345"/>
    <w:rsid w:val="009368BA"/>
    <w:rsid w:val="00972CB7"/>
    <w:rsid w:val="00993590"/>
    <w:rsid w:val="009B04A1"/>
    <w:rsid w:val="009E1017"/>
    <w:rsid w:val="009E432E"/>
    <w:rsid w:val="00A122CB"/>
    <w:rsid w:val="00A21AE2"/>
    <w:rsid w:val="00A267D3"/>
    <w:rsid w:val="00A30810"/>
    <w:rsid w:val="00A40CEB"/>
    <w:rsid w:val="00A637A1"/>
    <w:rsid w:val="00A64507"/>
    <w:rsid w:val="00AA4731"/>
    <w:rsid w:val="00AA74CF"/>
    <w:rsid w:val="00AB5980"/>
    <w:rsid w:val="00AE6979"/>
    <w:rsid w:val="00B4264F"/>
    <w:rsid w:val="00B85A3A"/>
    <w:rsid w:val="00BA2F59"/>
    <w:rsid w:val="00BC5A55"/>
    <w:rsid w:val="00BD6182"/>
    <w:rsid w:val="00BF6F08"/>
    <w:rsid w:val="00C20860"/>
    <w:rsid w:val="00C21C1F"/>
    <w:rsid w:val="00C258FF"/>
    <w:rsid w:val="00C3318F"/>
    <w:rsid w:val="00C62136"/>
    <w:rsid w:val="00C64EDB"/>
    <w:rsid w:val="00C72848"/>
    <w:rsid w:val="00C91A74"/>
    <w:rsid w:val="00C94742"/>
    <w:rsid w:val="00C9615D"/>
    <w:rsid w:val="00C96D02"/>
    <w:rsid w:val="00C96FE7"/>
    <w:rsid w:val="00CB420D"/>
    <w:rsid w:val="00CC1DF6"/>
    <w:rsid w:val="00CE1777"/>
    <w:rsid w:val="00D01BA6"/>
    <w:rsid w:val="00D07A56"/>
    <w:rsid w:val="00D12520"/>
    <w:rsid w:val="00D166B3"/>
    <w:rsid w:val="00D2079D"/>
    <w:rsid w:val="00D2447B"/>
    <w:rsid w:val="00D24CF5"/>
    <w:rsid w:val="00D30589"/>
    <w:rsid w:val="00D5026F"/>
    <w:rsid w:val="00D50449"/>
    <w:rsid w:val="00D60C0D"/>
    <w:rsid w:val="00D90680"/>
    <w:rsid w:val="00D90E65"/>
    <w:rsid w:val="00DA2D34"/>
    <w:rsid w:val="00DA2DC0"/>
    <w:rsid w:val="00DE4B81"/>
    <w:rsid w:val="00E02330"/>
    <w:rsid w:val="00E02F70"/>
    <w:rsid w:val="00E35BFE"/>
    <w:rsid w:val="00E42E7F"/>
    <w:rsid w:val="00E46D79"/>
    <w:rsid w:val="00EB585A"/>
    <w:rsid w:val="00EC2B2F"/>
    <w:rsid w:val="00EF49A9"/>
    <w:rsid w:val="00F254EE"/>
    <w:rsid w:val="00F454CD"/>
    <w:rsid w:val="00F66217"/>
    <w:rsid w:val="00F67D44"/>
    <w:rsid w:val="00FB43E1"/>
    <w:rsid w:val="00FB723E"/>
    <w:rsid w:val="00FB7C42"/>
    <w:rsid w:val="25A542D7"/>
    <w:rsid w:val="2BA010D5"/>
    <w:rsid w:val="49D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批注文字 Char"/>
    <w:link w:val="a6"/>
    <w:rPr>
      <w:kern w:val="2"/>
      <w:sz w:val="21"/>
      <w:szCs w:val="24"/>
    </w:rPr>
  </w:style>
  <w:style w:type="character" w:customStyle="1" w:styleId="Char2">
    <w:name w:val="批注主题 Char"/>
    <w:link w:val="a7"/>
    <w:rPr>
      <w:b/>
      <w:bCs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Pr>
      <w:b/>
      <w:bCs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1"/>
    <w:pPr>
      <w:jc w:val="left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Company>YHFund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关于银华稳进定期份额折算后</dc:title>
  <dc:subject/>
  <dc:creator>ganmx</dc:creator>
  <cp:keywords/>
  <dc:description/>
  <cp:lastModifiedBy>JonMMx 2000</cp:lastModifiedBy>
  <cp:revision>2</cp:revision>
  <cp:lastPrinted>2016-11-21T00:55:00Z</cp:lastPrinted>
  <dcterms:created xsi:type="dcterms:W3CDTF">2019-12-03T16:01:00Z</dcterms:created>
  <dcterms:modified xsi:type="dcterms:W3CDTF">2019-12-03T16:01:00Z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