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61660E" w:rsidP="0044723E">
      <w:pPr>
        <w:jc w:val="center"/>
        <w:rPr>
          <w:rFonts w:ascii="宋体" w:hAnsi="宋体"/>
          <w:b/>
          <w:bCs/>
          <w:sz w:val="48"/>
          <w:szCs w:val="30"/>
        </w:rPr>
      </w:pPr>
      <w:r>
        <w:rPr>
          <w:rFonts w:ascii="宋体" w:hAnsi="宋体" w:hint="eastAsia"/>
          <w:b/>
          <w:bCs/>
          <w:sz w:val="48"/>
          <w:szCs w:val="30"/>
        </w:rPr>
        <w:t>关于开放招商稳盛定期开放灵活配置混合型证券投资基金赎回和转换转出业务的公告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61660E">
        <w:rPr>
          <w:rFonts w:hint="eastAsia"/>
          <w:b/>
          <w:sz w:val="24"/>
        </w:rPr>
        <w:t>2019</w:t>
      </w:r>
      <w:r w:rsidR="0061660E">
        <w:rPr>
          <w:rFonts w:hint="eastAsia"/>
          <w:b/>
          <w:sz w:val="24"/>
        </w:rPr>
        <w:t>年</w:t>
      </w:r>
      <w:r w:rsidR="0061660E">
        <w:rPr>
          <w:rFonts w:hint="eastAsia"/>
          <w:b/>
          <w:sz w:val="24"/>
        </w:rPr>
        <w:t>11</w:t>
      </w:r>
      <w:r w:rsidR="0061660E">
        <w:rPr>
          <w:rFonts w:hint="eastAsia"/>
          <w:b/>
          <w:sz w:val="24"/>
        </w:rPr>
        <w:t>月</w:t>
      </w:r>
      <w:r w:rsidR="0061660E">
        <w:rPr>
          <w:rFonts w:hint="eastAsia"/>
          <w:b/>
          <w:sz w:val="24"/>
        </w:rPr>
        <w:t>26</w:t>
      </w:r>
      <w:r w:rsidR="0061660E">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61660E" w:rsidP="0061660E">
      <w:pPr>
        <w:pStyle w:val="-1"/>
      </w:pPr>
      <w:r>
        <w:rPr>
          <w:rFonts w:hint="eastAsia"/>
        </w:rPr>
        <w:t>公告基本信息</w:t>
      </w:r>
    </w:p>
    <w:tbl>
      <w:tblPr>
        <w:tblStyle w:val="-noheader"/>
        <w:tblW w:w="0" w:type="auto"/>
        <w:tblLayout w:type="fixed"/>
        <w:tblLook w:val="04A0"/>
      </w:tblPr>
      <w:tblGrid>
        <w:gridCol w:w="2130"/>
        <w:gridCol w:w="2130"/>
        <w:gridCol w:w="4262"/>
      </w:tblGrid>
      <w:tr w:rsidR="0061660E" w:rsidTr="005F43EE">
        <w:tc>
          <w:tcPr>
            <w:tcW w:w="4260" w:type="dxa"/>
            <w:gridSpan w:val="2"/>
          </w:tcPr>
          <w:p w:rsidR="0061660E" w:rsidRDefault="0061660E" w:rsidP="0061660E">
            <w:pPr>
              <w:jc w:val="left"/>
            </w:pPr>
            <w:r>
              <w:rPr>
                <w:rFonts w:hint="eastAsia"/>
              </w:rPr>
              <w:t>基金名称</w:t>
            </w:r>
          </w:p>
        </w:tc>
        <w:tc>
          <w:tcPr>
            <w:tcW w:w="4262" w:type="dxa"/>
          </w:tcPr>
          <w:p w:rsidR="0061660E" w:rsidRDefault="0061660E" w:rsidP="0061660E">
            <w:pPr>
              <w:jc w:val="left"/>
            </w:pPr>
            <w:r>
              <w:rPr>
                <w:rFonts w:hint="eastAsia"/>
              </w:rPr>
              <w:t>招商稳盛定期开放灵活配置混合型证券投资基金</w:t>
            </w:r>
          </w:p>
        </w:tc>
      </w:tr>
      <w:tr w:rsidR="0061660E" w:rsidTr="00B24491">
        <w:tc>
          <w:tcPr>
            <w:tcW w:w="4260" w:type="dxa"/>
            <w:gridSpan w:val="2"/>
          </w:tcPr>
          <w:p w:rsidR="0061660E" w:rsidRDefault="0061660E" w:rsidP="0061660E">
            <w:pPr>
              <w:jc w:val="left"/>
            </w:pPr>
            <w:r>
              <w:rPr>
                <w:rFonts w:hint="eastAsia"/>
              </w:rPr>
              <w:t>基金简称</w:t>
            </w:r>
          </w:p>
        </w:tc>
        <w:tc>
          <w:tcPr>
            <w:tcW w:w="4262" w:type="dxa"/>
          </w:tcPr>
          <w:p w:rsidR="0061660E" w:rsidRDefault="0061660E" w:rsidP="0061660E">
            <w:pPr>
              <w:jc w:val="left"/>
            </w:pPr>
            <w:r>
              <w:rPr>
                <w:rFonts w:hint="eastAsia"/>
              </w:rPr>
              <w:t>招商稳盛定开混合</w:t>
            </w:r>
          </w:p>
        </w:tc>
      </w:tr>
      <w:tr w:rsidR="0061660E" w:rsidTr="00D06CFE">
        <w:tc>
          <w:tcPr>
            <w:tcW w:w="4260" w:type="dxa"/>
            <w:gridSpan w:val="2"/>
          </w:tcPr>
          <w:p w:rsidR="0061660E" w:rsidRDefault="0061660E" w:rsidP="0061660E">
            <w:pPr>
              <w:jc w:val="left"/>
            </w:pPr>
            <w:r>
              <w:rPr>
                <w:rFonts w:hint="eastAsia"/>
              </w:rPr>
              <w:t>基金主代码</w:t>
            </w:r>
          </w:p>
        </w:tc>
        <w:tc>
          <w:tcPr>
            <w:tcW w:w="4262" w:type="dxa"/>
          </w:tcPr>
          <w:p w:rsidR="0061660E" w:rsidRDefault="0061660E" w:rsidP="0061660E">
            <w:pPr>
              <w:jc w:val="left"/>
            </w:pPr>
            <w:r>
              <w:t>003404</w:t>
            </w:r>
          </w:p>
        </w:tc>
      </w:tr>
      <w:tr w:rsidR="0061660E" w:rsidTr="00E915CA">
        <w:tc>
          <w:tcPr>
            <w:tcW w:w="4260" w:type="dxa"/>
            <w:gridSpan w:val="2"/>
          </w:tcPr>
          <w:p w:rsidR="0061660E" w:rsidRDefault="0061660E" w:rsidP="0061660E">
            <w:pPr>
              <w:jc w:val="left"/>
            </w:pPr>
            <w:r>
              <w:rPr>
                <w:rFonts w:hint="eastAsia"/>
              </w:rPr>
              <w:t>基金管理人名称</w:t>
            </w:r>
          </w:p>
        </w:tc>
        <w:tc>
          <w:tcPr>
            <w:tcW w:w="4262" w:type="dxa"/>
          </w:tcPr>
          <w:p w:rsidR="0061660E" w:rsidRDefault="0061660E" w:rsidP="0061660E">
            <w:pPr>
              <w:jc w:val="left"/>
            </w:pPr>
            <w:r>
              <w:rPr>
                <w:rFonts w:hint="eastAsia"/>
              </w:rPr>
              <w:t>招商基金管理有限公司</w:t>
            </w:r>
          </w:p>
        </w:tc>
      </w:tr>
      <w:tr w:rsidR="0061660E" w:rsidTr="00AC426F">
        <w:tc>
          <w:tcPr>
            <w:tcW w:w="4260" w:type="dxa"/>
            <w:gridSpan w:val="2"/>
          </w:tcPr>
          <w:p w:rsidR="0061660E" w:rsidRDefault="0061660E" w:rsidP="0061660E">
            <w:pPr>
              <w:jc w:val="left"/>
            </w:pPr>
            <w:r>
              <w:rPr>
                <w:rFonts w:hint="eastAsia"/>
              </w:rPr>
              <w:t>公告依据</w:t>
            </w:r>
          </w:p>
        </w:tc>
        <w:tc>
          <w:tcPr>
            <w:tcW w:w="4262" w:type="dxa"/>
          </w:tcPr>
          <w:p w:rsidR="0061660E" w:rsidRDefault="00D14963" w:rsidP="0061660E">
            <w:pPr>
              <w:jc w:val="left"/>
            </w:pPr>
            <w:r w:rsidRPr="00D14963">
              <w:rPr>
                <w:rFonts w:hint="eastAsia"/>
              </w:rPr>
              <w:t>《关于以通讯方式召开招商稳盛定期开放灵活配置混合型证券投资基金份额持有人大会的公告》、《关于招商稳盛定期开放灵活配置混合型证券投资基金份额持有人大会表决结果暨决议生效的公告》。</w:t>
            </w:r>
          </w:p>
        </w:tc>
      </w:tr>
      <w:tr w:rsidR="0061660E" w:rsidTr="00AB5CF6">
        <w:tc>
          <w:tcPr>
            <w:tcW w:w="2130" w:type="dxa"/>
            <w:vMerge w:val="restart"/>
          </w:tcPr>
          <w:p w:rsidR="0061660E" w:rsidRDefault="00CA0358" w:rsidP="0061660E">
            <w:pPr>
              <w:jc w:val="left"/>
            </w:pPr>
            <w:r w:rsidRPr="00CA0358">
              <w:rPr>
                <w:rFonts w:hint="eastAsia"/>
              </w:rPr>
              <w:t>恢复相关业务的日期及原因说明</w:t>
            </w:r>
          </w:p>
        </w:tc>
        <w:tc>
          <w:tcPr>
            <w:tcW w:w="2130" w:type="dxa"/>
          </w:tcPr>
          <w:p w:rsidR="0061660E" w:rsidRDefault="0061660E" w:rsidP="0061660E">
            <w:pPr>
              <w:jc w:val="left"/>
            </w:pPr>
            <w:r>
              <w:rPr>
                <w:rFonts w:hint="eastAsia"/>
              </w:rPr>
              <w:t>赎回</w:t>
            </w:r>
            <w:r w:rsidR="00572A33">
              <w:rPr>
                <w:rFonts w:hint="eastAsia"/>
              </w:rPr>
              <w:t>起始日</w:t>
            </w:r>
          </w:p>
        </w:tc>
        <w:tc>
          <w:tcPr>
            <w:tcW w:w="4262" w:type="dxa"/>
          </w:tcPr>
          <w:p w:rsidR="0061660E" w:rsidRDefault="0061660E" w:rsidP="0061660E">
            <w:pPr>
              <w:jc w:val="left"/>
            </w:pPr>
            <w:r>
              <w:rPr>
                <w:rFonts w:hint="eastAsia"/>
              </w:rPr>
              <w:t>2019</w:t>
            </w:r>
            <w:r>
              <w:rPr>
                <w:rFonts w:hint="eastAsia"/>
              </w:rPr>
              <w:t>年</w:t>
            </w:r>
            <w:r>
              <w:rPr>
                <w:rFonts w:hint="eastAsia"/>
              </w:rPr>
              <w:t>11</w:t>
            </w:r>
            <w:r>
              <w:rPr>
                <w:rFonts w:hint="eastAsia"/>
              </w:rPr>
              <w:t>月</w:t>
            </w:r>
            <w:r>
              <w:rPr>
                <w:rFonts w:hint="eastAsia"/>
              </w:rPr>
              <w:t>26</w:t>
            </w:r>
            <w:r>
              <w:rPr>
                <w:rFonts w:hint="eastAsia"/>
              </w:rPr>
              <w:t>日</w:t>
            </w:r>
          </w:p>
        </w:tc>
      </w:tr>
      <w:tr w:rsidR="0061660E" w:rsidTr="009B208C">
        <w:tc>
          <w:tcPr>
            <w:tcW w:w="2130" w:type="dxa"/>
            <w:vMerge/>
          </w:tcPr>
          <w:p w:rsidR="0061660E" w:rsidRDefault="0061660E" w:rsidP="0061660E">
            <w:pPr>
              <w:jc w:val="left"/>
            </w:pPr>
          </w:p>
        </w:tc>
        <w:tc>
          <w:tcPr>
            <w:tcW w:w="2130" w:type="dxa"/>
          </w:tcPr>
          <w:p w:rsidR="0061660E" w:rsidRDefault="0061660E" w:rsidP="0061660E">
            <w:pPr>
              <w:jc w:val="left"/>
            </w:pPr>
            <w:r>
              <w:rPr>
                <w:rFonts w:hint="eastAsia"/>
              </w:rPr>
              <w:t>转换转出日</w:t>
            </w:r>
            <w:r w:rsidR="00572A33">
              <w:rPr>
                <w:rFonts w:hint="eastAsia"/>
              </w:rPr>
              <w:t>起始日</w:t>
            </w:r>
            <w:bookmarkStart w:id="0" w:name="_GoBack"/>
            <w:bookmarkEnd w:id="0"/>
          </w:p>
        </w:tc>
        <w:tc>
          <w:tcPr>
            <w:tcW w:w="4262" w:type="dxa"/>
          </w:tcPr>
          <w:p w:rsidR="0061660E" w:rsidRDefault="0061660E" w:rsidP="0061660E">
            <w:pPr>
              <w:jc w:val="left"/>
            </w:pPr>
            <w:r>
              <w:rPr>
                <w:rFonts w:hint="eastAsia"/>
              </w:rPr>
              <w:t>2019</w:t>
            </w:r>
            <w:r>
              <w:rPr>
                <w:rFonts w:hint="eastAsia"/>
              </w:rPr>
              <w:t>年</w:t>
            </w:r>
            <w:r>
              <w:rPr>
                <w:rFonts w:hint="eastAsia"/>
              </w:rPr>
              <w:t>11</w:t>
            </w:r>
            <w:r>
              <w:rPr>
                <w:rFonts w:hint="eastAsia"/>
              </w:rPr>
              <w:t>月</w:t>
            </w:r>
            <w:r>
              <w:rPr>
                <w:rFonts w:hint="eastAsia"/>
              </w:rPr>
              <w:t>26</w:t>
            </w:r>
            <w:r>
              <w:rPr>
                <w:rFonts w:hint="eastAsia"/>
              </w:rPr>
              <w:t>日</w:t>
            </w:r>
          </w:p>
        </w:tc>
      </w:tr>
      <w:tr w:rsidR="0061660E" w:rsidTr="00F70DFE">
        <w:tc>
          <w:tcPr>
            <w:tcW w:w="2130" w:type="dxa"/>
            <w:vMerge/>
          </w:tcPr>
          <w:p w:rsidR="0061660E" w:rsidRDefault="0061660E" w:rsidP="0061660E">
            <w:pPr>
              <w:jc w:val="left"/>
            </w:pPr>
          </w:p>
        </w:tc>
        <w:tc>
          <w:tcPr>
            <w:tcW w:w="2130" w:type="dxa"/>
          </w:tcPr>
          <w:p w:rsidR="0061660E" w:rsidRDefault="0061660E" w:rsidP="0061660E">
            <w:pPr>
              <w:jc w:val="left"/>
            </w:pPr>
            <w:r>
              <w:rPr>
                <w:rFonts w:hint="eastAsia"/>
              </w:rPr>
              <w:t>恢复（大额）申购（转换转入、赎回、转换转出、定期定额投资）的原因说明</w:t>
            </w:r>
          </w:p>
        </w:tc>
        <w:tc>
          <w:tcPr>
            <w:tcW w:w="4262" w:type="dxa"/>
          </w:tcPr>
          <w:p w:rsidR="0061660E" w:rsidRDefault="0037551E" w:rsidP="0061660E">
            <w:pPr>
              <w:jc w:val="left"/>
            </w:pPr>
            <w:r w:rsidRPr="0037551E">
              <w:rPr>
                <w:rFonts w:hint="eastAsia"/>
              </w:rPr>
              <w:t>为落实基金份额持有人大会决议事项，维护基金持有人利益</w:t>
            </w:r>
          </w:p>
        </w:tc>
      </w:tr>
    </w:tbl>
    <w:p w:rsidR="0061660E" w:rsidRDefault="0037551E" w:rsidP="0061660E">
      <w:pPr>
        <w:pStyle w:val="-"/>
        <w:ind w:firstLine="420"/>
      </w:pPr>
      <w:r>
        <w:rPr>
          <w:rFonts w:hint="eastAsia"/>
          <w:lang w:eastAsia="zh-CN"/>
        </w:rPr>
        <w:t>注：</w:t>
      </w:r>
      <w:r w:rsidRPr="0037551E">
        <w:rPr>
          <w:rFonts w:hint="eastAsia"/>
        </w:rPr>
        <w:t>招商基金管理有限公司（以下简称“基金管理人”）以通讯方式召开了本基金基金份额持有人大会，大会表决投票时间为2019年10月28日起至2019年11月22日17:00止，本次基金份额持有人大会于2019年11月25日表决通过了《关于终止招商稳盛定期开放灵活配置混合型证券投资基金基金合同有关事项的议案》，本次大会决议自该日起生效。 基金份额持有人大会表决结果详见本公司于201</w:t>
      </w:r>
      <w:r>
        <w:t>9</w:t>
      </w:r>
      <w:r w:rsidRPr="0037551E">
        <w:rPr>
          <w:rFonts w:hint="eastAsia"/>
        </w:rPr>
        <w:t>年</w:t>
      </w:r>
      <w:r>
        <w:rPr>
          <w:rFonts w:hint="eastAsia"/>
        </w:rPr>
        <w:t>11</w:t>
      </w:r>
      <w:r w:rsidRPr="0037551E">
        <w:rPr>
          <w:rFonts w:hint="eastAsia"/>
        </w:rPr>
        <w:t>月</w:t>
      </w:r>
      <w:r>
        <w:rPr>
          <w:rFonts w:hint="eastAsia"/>
        </w:rPr>
        <w:t>26</w:t>
      </w:r>
      <w:r w:rsidRPr="0037551E">
        <w:rPr>
          <w:rFonts w:hint="eastAsia"/>
        </w:rPr>
        <w:t>日刊登在《上海证券报》及本公司官网的《关于招商稳盛定期开放灵活配置混合型证券投资基金基金份额持有人大会表决结果暨决议生效的公告》。</w:t>
      </w:r>
    </w:p>
    <w:p w:rsidR="0037551E" w:rsidRDefault="0037551E" w:rsidP="0061660E">
      <w:pPr>
        <w:pStyle w:val="-"/>
        <w:ind w:firstLine="420"/>
      </w:pPr>
      <w:r w:rsidRPr="0037551E">
        <w:rPr>
          <w:rFonts w:hint="eastAsia"/>
        </w:rPr>
        <w:t>经基金份额持有人大会表决同意，豁免本基金在决议生效并公告后的存续期内关于封闭期和开放期、以及基金投资限制的相关规定，并授权本公司在持有人大会决议生效并公告后安排</w:t>
      </w:r>
      <w:r>
        <w:t>20</w:t>
      </w:r>
      <w:r w:rsidRPr="0037551E">
        <w:rPr>
          <w:rFonts w:hint="eastAsia"/>
        </w:rPr>
        <w:t>个工作日以备投资者选择赎回或转换转出，但期间不办理投资者的申购或转换转入，具体安排以本公司发布的持有人大会决议生效公告为准。</w:t>
      </w:r>
    </w:p>
    <w:p w:rsidR="0061660E" w:rsidRDefault="0061660E" w:rsidP="0061660E">
      <w:pPr>
        <w:pStyle w:val="-1"/>
      </w:pPr>
      <w:r>
        <w:rPr>
          <w:rFonts w:hint="eastAsia"/>
        </w:rPr>
        <w:t>其他需要提示的事项</w:t>
      </w:r>
    </w:p>
    <w:p w:rsidR="0061660E" w:rsidRDefault="0037551E" w:rsidP="0061660E">
      <w:pPr>
        <w:pStyle w:val="-"/>
        <w:ind w:firstLine="420"/>
      </w:pPr>
      <w:r w:rsidRPr="0037551E">
        <w:rPr>
          <w:rFonts w:hint="eastAsia"/>
        </w:rPr>
        <w:t>根据《</w:t>
      </w:r>
      <w:r w:rsidR="00C236C4" w:rsidRPr="00C236C4">
        <w:rPr>
          <w:rFonts w:hint="eastAsia"/>
        </w:rPr>
        <w:t>关于招商稳盛定期开放灵活配置混合型证券投资基金份额持有人大会表决结果暨决议生效的公告</w:t>
      </w:r>
      <w:r w:rsidRPr="0037551E">
        <w:rPr>
          <w:rFonts w:hint="eastAsia"/>
        </w:rPr>
        <w:t>》，为落实基金份额持有人大会决议事项，维护基金持有人的利益，本公司</w:t>
      </w:r>
      <w:r w:rsidRPr="0037551E">
        <w:rPr>
          <w:rFonts w:hint="eastAsia"/>
        </w:rPr>
        <w:lastRenderedPageBreak/>
        <w:t>决定自201</w:t>
      </w:r>
      <w:r>
        <w:t>9</w:t>
      </w:r>
      <w:r w:rsidRPr="0037551E">
        <w:rPr>
          <w:rFonts w:hint="eastAsia"/>
        </w:rPr>
        <w:t>年</w:t>
      </w:r>
      <w:r>
        <w:rPr>
          <w:rFonts w:hint="eastAsia"/>
        </w:rPr>
        <w:t>11</w:t>
      </w:r>
      <w:r w:rsidRPr="0037551E">
        <w:rPr>
          <w:rFonts w:hint="eastAsia"/>
        </w:rPr>
        <w:t>月</w:t>
      </w:r>
      <w:r>
        <w:rPr>
          <w:rFonts w:hint="eastAsia"/>
        </w:rPr>
        <w:t>26</w:t>
      </w:r>
      <w:r w:rsidRPr="0037551E">
        <w:rPr>
          <w:rFonts w:hint="eastAsia"/>
        </w:rPr>
        <w:t>日起至201</w:t>
      </w:r>
      <w:r>
        <w:t>9</w:t>
      </w:r>
      <w:r w:rsidRPr="0037551E">
        <w:rPr>
          <w:rFonts w:hint="eastAsia"/>
        </w:rPr>
        <w:t>年</w:t>
      </w:r>
      <w:r>
        <w:rPr>
          <w:rFonts w:hint="eastAsia"/>
        </w:rPr>
        <w:t>12</w:t>
      </w:r>
      <w:r w:rsidRPr="0037551E">
        <w:rPr>
          <w:rFonts w:hint="eastAsia"/>
        </w:rPr>
        <w:t>月</w:t>
      </w:r>
      <w:r>
        <w:rPr>
          <w:rFonts w:hint="eastAsia"/>
        </w:rPr>
        <w:t>23</w:t>
      </w:r>
      <w:r w:rsidRPr="0037551E">
        <w:rPr>
          <w:rFonts w:hint="eastAsia"/>
        </w:rPr>
        <w:t>日开放</w:t>
      </w:r>
      <w:r w:rsidR="000B45FA" w:rsidRPr="000B45FA">
        <w:rPr>
          <w:rFonts w:hint="eastAsia"/>
        </w:rPr>
        <w:t>招商稳盛定期开放灵活配置混合型证券投资基金</w:t>
      </w:r>
      <w:r w:rsidRPr="0037551E">
        <w:rPr>
          <w:rFonts w:hint="eastAsia"/>
        </w:rPr>
        <w:t>的赎回和转换转出业务。</w:t>
      </w:r>
    </w:p>
    <w:p w:rsidR="0061660E" w:rsidRDefault="0061660E" w:rsidP="0061660E">
      <w:pPr>
        <w:pStyle w:val="-"/>
        <w:ind w:firstLine="420"/>
      </w:pPr>
      <w:r>
        <w:rPr>
          <w:rFonts w:hint="eastAsia"/>
        </w:rPr>
        <w:t>如有疑问，请拨打客户服务热线：400-887-9555（免长</w:t>
      </w:r>
      <w:r w:rsidR="00C236C4">
        <w:rPr>
          <w:rFonts w:hint="eastAsia"/>
        </w:rPr>
        <w:t>途</w:t>
      </w:r>
      <w:r>
        <w:rPr>
          <w:rFonts w:hint="eastAsia"/>
        </w:rPr>
        <w:t>话费），或登陆网站www.cmfchina.com获取相关信息。</w:t>
      </w:r>
    </w:p>
    <w:p w:rsidR="0061660E" w:rsidRDefault="0061660E" w:rsidP="0061660E">
      <w:pPr>
        <w:pStyle w:val="-"/>
        <w:ind w:firstLine="420"/>
      </w:pPr>
      <w:r>
        <w:rPr>
          <w:rFonts w:hint="eastAsia"/>
        </w:rPr>
        <w:t>特此公告。</w:t>
      </w:r>
    </w:p>
    <w:p w:rsidR="0061660E" w:rsidRDefault="0061660E" w:rsidP="0061660E">
      <w:pPr>
        <w:pStyle w:val="-"/>
        <w:ind w:firstLine="420"/>
      </w:pPr>
    </w:p>
    <w:p w:rsidR="00A11620" w:rsidRDefault="00A11620" w:rsidP="00A11620"/>
    <w:p w:rsidR="00EF566F" w:rsidRDefault="0061660E" w:rsidP="00EF566F">
      <w:pPr>
        <w:jc w:val="right"/>
      </w:pPr>
      <w:r>
        <w:rPr>
          <w:rFonts w:hint="eastAsia"/>
        </w:rPr>
        <w:t>招商基金管理有限公司</w:t>
      </w:r>
    </w:p>
    <w:p w:rsidR="000911A2" w:rsidRPr="004F540B" w:rsidRDefault="0061660E" w:rsidP="000911A2">
      <w:pPr>
        <w:jc w:val="right"/>
      </w:pPr>
      <w:r>
        <w:rPr>
          <w:rFonts w:hint="eastAsia"/>
        </w:rPr>
        <w:t>2019</w:t>
      </w:r>
      <w:r>
        <w:rPr>
          <w:rFonts w:hint="eastAsia"/>
        </w:rPr>
        <w:t>年</w:t>
      </w:r>
      <w:r>
        <w:rPr>
          <w:rFonts w:hint="eastAsia"/>
        </w:rPr>
        <w:t>11</w:t>
      </w:r>
      <w:r>
        <w:rPr>
          <w:rFonts w:hint="eastAsia"/>
        </w:rPr>
        <w:t>月</w:t>
      </w:r>
      <w:r>
        <w:rPr>
          <w:rFonts w:hint="eastAsia"/>
        </w:rPr>
        <w:t>26</w:t>
      </w:r>
      <w:r>
        <w:rPr>
          <w:rFonts w:hint="eastAsia"/>
        </w:rPr>
        <w:t>日</w:t>
      </w:r>
    </w:p>
    <w:p w:rsidR="00D44E4D" w:rsidRPr="009161C4" w:rsidRDefault="00D44E4D" w:rsidP="00D44E4D">
      <w:pPr>
        <w:jc w:val="left"/>
      </w:pPr>
    </w:p>
    <w:sectPr w:rsidR="00D44E4D" w:rsidRPr="009161C4" w:rsidSect="00B3254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A04" w:rsidRDefault="00C34A04" w:rsidP="00D17C56">
      <w:r>
        <w:separator/>
      </w:r>
    </w:p>
  </w:endnote>
  <w:endnote w:type="continuationSeparator" w:id="1">
    <w:p w:rsidR="00C34A04" w:rsidRDefault="00C34A04"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sidR="00B7258C">
      <w:fldChar w:fldCharType="begin"/>
    </w:r>
    <w:r>
      <w:rPr>
        <w:rFonts w:hint="eastAsia"/>
      </w:rPr>
      <w:instrText>PAGE  \* Arabic  \* MERGEFORMAT</w:instrText>
    </w:r>
    <w:r w:rsidR="00B7258C">
      <w:fldChar w:fldCharType="separate"/>
    </w:r>
    <w:r w:rsidR="003839E5">
      <w:rPr>
        <w:noProof/>
      </w:rPr>
      <w:t>1</w:t>
    </w:r>
    <w:r w:rsidR="00B7258C">
      <w:fldChar w:fldCharType="end"/>
    </w:r>
    <w:r>
      <w:rPr>
        <w:rFonts w:hint="eastAsia"/>
      </w:rPr>
      <w:t>页共</w:t>
    </w:r>
    <w:fldSimple w:instr=" NUMPAGES  \* Arabic  \* MERGEFORMAT ">
      <w:r w:rsidR="003839E5">
        <w:rPr>
          <w:noProof/>
        </w:rPr>
        <w:t>3</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sidR="00B7258C">
      <w:fldChar w:fldCharType="begin"/>
    </w:r>
    <w:r>
      <w:rPr>
        <w:rFonts w:hint="eastAsia"/>
      </w:rPr>
      <w:instrText>PAGE  \* Arabic  \* MERGEFORMAT</w:instrText>
    </w:r>
    <w:r w:rsidR="00B7258C">
      <w:fldChar w:fldCharType="separate"/>
    </w:r>
    <w:r w:rsidR="00B32544">
      <w:rPr>
        <w:noProof/>
      </w:rPr>
      <w:t>1</w:t>
    </w:r>
    <w:r w:rsidR="00B7258C">
      <w:fldChar w:fldCharType="end"/>
    </w:r>
    <w:r>
      <w:rPr>
        <w:rFonts w:hint="eastAsia"/>
      </w:rPr>
      <w:t>页共</w:t>
    </w:r>
    <w:fldSimple w:instr=" NUMPAGES  \* Arabic  \* MERGEFORMAT ">
      <w:r w:rsidR="00C236C4">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A04" w:rsidRDefault="00C34A04" w:rsidP="00D17C56">
      <w:r>
        <w:separator/>
      </w:r>
    </w:p>
  </w:footnote>
  <w:footnote w:type="continuationSeparator" w:id="1">
    <w:p w:rsidR="00C34A04" w:rsidRDefault="00C34A04"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61660E" w:rsidP="00154533">
    <w:pPr>
      <w:pStyle w:val="a6"/>
    </w:pPr>
    <w:r>
      <w:rPr>
        <w:rFonts w:hint="eastAsia"/>
      </w:rPr>
      <w:t>关于开放招商稳盛定期开放灵活配置混合型证券投资基金赎回和转换转出业务的公告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1F" w:rsidRDefault="0061660E" w:rsidP="00154533">
    <w:pPr>
      <w:pStyle w:val="a6"/>
    </w:pPr>
    <w:r>
      <w:rPr>
        <w:rFonts w:hint="eastAsia"/>
      </w:rPr>
      <w:t>关于开放招商稳盛定期开放灵活配置混合型证券投资基金赎回和转换转出业务的公告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B45FA"/>
    <w:rsid w:val="000E6AC1"/>
    <w:rsid w:val="000F2489"/>
    <w:rsid w:val="001201F8"/>
    <w:rsid w:val="00125BAB"/>
    <w:rsid w:val="00154533"/>
    <w:rsid w:val="00187B2C"/>
    <w:rsid w:val="00190F30"/>
    <w:rsid w:val="001978C6"/>
    <w:rsid w:val="001B0F0F"/>
    <w:rsid w:val="001B5550"/>
    <w:rsid w:val="001E205D"/>
    <w:rsid w:val="001E3F04"/>
    <w:rsid w:val="001E67D0"/>
    <w:rsid w:val="00215E43"/>
    <w:rsid w:val="00223D4F"/>
    <w:rsid w:val="00224F3E"/>
    <w:rsid w:val="00241CEB"/>
    <w:rsid w:val="002815AC"/>
    <w:rsid w:val="0028733D"/>
    <w:rsid w:val="00296093"/>
    <w:rsid w:val="002972F4"/>
    <w:rsid w:val="002E4ABB"/>
    <w:rsid w:val="00316817"/>
    <w:rsid w:val="0037551E"/>
    <w:rsid w:val="003839E5"/>
    <w:rsid w:val="003B4F1D"/>
    <w:rsid w:val="003C0F9E"/>
    <w:rsid w:val="0044723E"/>
    <w:rsid w:val="00456341"/>
    <w:rsid w:val="00472DF5"/>
    <w:rsid w:val="00491C2B"/>
    <w:rsid w:val="004976B5"/>
    <w:rsid w:val="004A3B54"/>
    <w:rsid w:val="004A57DB"/>
    <w:rsid w:val="004B21F4"/>
    <w:rsid w:val="004B41FD"/>
    <w:rsid w:val="004B7673"/>
    <w:rsid w:val="004F540B"/>
    <w:rsid w:val="00532A63"/>
    <w:rsid w:val="00544CE0"/>
    <w:rsid w:val="00572A33"/>
    <w:rsid w:val="005C29BB"/>
    <w:rsid w:val="005C314A"/>
    <w:rsid w:val="0061364E"/>
    <w:rsid w:val="00615E54"/>
    <w:rsid w:val="0061660E"/>
    <w:rsid w:val="00625A41"/>
    <w:rsid w:val="00666AF5"/>
    <w:rsid w:val="00685A42"/>
    <w:rsid w:val="006A2E19"/>
    <w:rsid w:val="006C0249"/>
    <w:rsid w:val="006C3766"/>
    <w:rsid w:val="00705609"/>
    <w:rsid w:val="007108F0"/>
    <w:rsid w:val="00750C9A"/>
    <w:rsid w:val="0078485C"/>
    <w:rsid w:val="00793ACB"/>
    <w:rsid w:val="00800FA0"/>
    <w:rsid w:val="00801F0A"/>
    <w:rsid w:val="00823E12"/>
    <w:rsid w:val="008556FF"/>
    <w:rsid w:val="009161C4"/>
    <w:rsid w:val="00922090"/>
    <w:rsid w:val="00971CBF"/>
    <w:rsid w:val="00981362"/>
    <w:rsid w:val="009A4AD8"/>
    <w:rsid w:val="009A742C"/>
    <w:rsid w:val="00A11620"/>
    <w:rsid w:val="00A2003F"/>
    <w:rsid w:val="00A5309E"/>
    <w:rsid w:val="00A70C69"/>
    <w:rsid w:val="00AC3470"/>
    <w:rsid w:val="00AE1D3F"/>
    <w:rsid w:val="00AE7A8E"/>
    <w:rsid w:val="00AF0D8D"/>
    <w:rsid w:val="00AF3CA2"/>
    <w:rsid w:val="00B073CA"/>
    <w:rsid w:val="00B2044A"/>
    <w:rsid w:val="00B25090"/>
    <w:rsid w:val="00B32544"/>
    <w:rsid w:val="00B41CCE"/>
    <w:rsid w:val="00B6311F"/>
    <w:rsid w:val="00B7258C"/>
    <w:rsid w:val="00B85D10"/>
    <w:rsid w:val="00B970C9"/>
    <w:rsid w:val="00BA48F2"/>
    <w:rsid w:val="00BC081F"/>
    <w:rsid w:val="00C236C4"/>
    <w:rsid w:val="00C27E02"/>
    <w:rsid w:val="00C30704"/>
    <w:rsid w:val="00C34A04"/>
    <w:rsid w:val="00C40EF3"/>
    <w:rsid w:val="00C8294A"/>
    <w:rsid w:val="00C975C3"/>
    <w:rsid w:val="00CA0358"/>
    <w:rsid w:val="00CA298C"/>
    <w:rsid w:val="00D14963"/>
    <w:rsid w:val="00D17C56"/>
    <w:rsid w:val="00D361E6"/>
    <w:rsid w:val="00D44E4D"/>
    <w:rsid w:val="00DA688C"/>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 w:type="paragraph" w:styleId="a9">
    <w:name w:val="Balloon Text"/>
    <w:basedOn w:val="a"/>
    <w:link w:val="Char3"/>
    <w:semiHidden/>
    <w:unhideWhenUsed/>
    <w:rsid w:val="00C236C4"/>
    <w:rPr>
      <w:sz w:val="18"/>
      <w:szCs w:val="18"/>
    </w:rPr>
  </w:style>
  <w:style w:type="character" w:customStyle="1" w:styleId="Char3">
    <w:name w:val="批注框文本 Char"/>
    <w:basedOn w:val="a0"/>
    <w:link w:val="a9"/>
    <w:semiHidden/>
    <w:rsid w:val="00C236C4"/>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A4AE-3DE5-4E23-9CDD-88378610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879</Characters>
  <Application>Microsoft Office Word</Application>
  <DocSecurity>4</DocSecurity>
  <Lines>7</Lines>
  <Paragraphs>2</Paragraphs>
  <ScaleCrop>false</ScaleCrop>
  <Company>MC SYSTEM</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JonMMx 2000</cp:lastModifiedBy>
  <cp:revision>2</cp:revision>
  <cp:lastPrinted>2019-11-25T09:22:00Z</cp:lastPrinted>
  <dcterms:created xsi:type="dcterms:W3CDTF">2019-11-25T16:01:00Z</dcterms:created>
  <dcterms:modified xsi:type="dcterms:W3CDTF">2019-11-25T16:01:00Z</dcterms:modified>
</cp:coreProperties>
</file>