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DE1" w:rsidRPr="00381A3F" w:rsidRDefault="00EC600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2"/>
          <w:szCs w:val="32"/>
        </w:rPr>
      </w:pPr>
      <w:bookmarkStart w:id="0" w:name="_Toc275961404"/>
      <w:r w:rsidRPr="00EC600A">
        <w:rPr>
          <w:rFonts w:ascii="黑体" w:eastAsia="黑体" w:hAnsi="黑体"/>
          <w:b w:val="0"/>
          <w:bCs/>
          <w:color w:val="000000"/>
          <w:sz w:val="32"/>
          <w:szCs w:val="32"/>
        </w:rPr>
        <w:t>国投瑞银新机遇灵活配置混合型证券投资基金</w:t>
      </w:r>
      <w:r w:rsidR="00451D0E">
        <w:rPr>
          <w:rFonts w:ascii="黑体" w:eastAsia="黑体" w:hAnsi="黑体" w:hint="eastAsia"/>
          <w:b w:val="0"/>
          <w:color w:val="000000"/>
          <w:sz w:val="32"/>
          <w:szCs w:val="32"/>
        </w:rPr>
        <w:t>调整</w:t>
      </w:r>
      <w:r w:rsidR="005B6188" w:rsidRPr="00381A3F">
        <w:rPr>
          <w:rFonts w:ascii="黑体" w:eastAsia="黑体" w:hAnsi="黑体" w:hint="eastAsia"/>
          <w:b w:val="0"/>
          <w:color w:val="000000"/>
          <w:sz w:val="32"/>
          <w:szCs w:val="32"/>
        </w:rPr>
        <w:t>大额</w:t>
      </w:r>
      <w:r w:rsidR="00C06DE1" w:rsidRPr="00381A3F">
        <w:rPr>
          <w:rFonts w:ascii="黑体" w:eastAsia="黑体" w:hAnsi="黑体"/>
          <w:b w:val="0"/>
          <w:color w:val="000000"/>
          <w:sz w:val="32"/>
          <w:szCs w:val="32"/>
        </w:rPr>
        <w:t>申购（转换转入</w:t>
      </w:r>
      <w:r w:rsidR="007938D0" w:rsidRPr="00381A3F">
        <w:rPr>
          <w:rFonts w:ascii="黑体" w:eastAsia="黑体" w:hAnsi="黑体" w:hint="eastAsia"/>
          <w:b w:val="0"/>
          <w:color w:val="000000"/>
          <w:sz w:val="32"/>
          <w:szCs w:val="32"/>
        </w:rPr>
        <w:t>、</w:t>
      </w:r>
      <w:r w:rsidR="00C06DE1" w:rsidRPr="00381A3F">
        <w:rPr>
          <w:rFonts w:ascii="黑体" w:eastAsia="黑体" w:hAnsi="黑体"/>
          <w:b w:val="0"/>
          <w:color w:val="000000"/>
          <w:sz w:val="32"/>
          <w:szCs w:val="32"/>
        </w:rPr>
        <w:t>定期定额投资）</w:t>
      </w:r>
      <w:r w:rsidR="00286AC3">
        <w:rPr>
          <w:rFonts w:ascii="黑体" w:eastAsia="黑体" w:hAnsi="黑体"/>
          <w:b w:val="0"/>
          <w:color w:val="000000"/>
          <w:sz w:val="32"/>
          <w:szCs w:val="32"/>
        </w:rPr>
        <w:t>业务限制的</w:t>
      </w:r>
      <w:r w:rsidR="00C06DE1" w:rsidRPr="00381A3F">
        <w:rPr>
          <w:rFonts w:ascii="黑体" w:eastAsia="黑体" w:hAnsi="黑体"/>
          <w:b w:val="0"/>
          <w:color w:val="000000"/>
          <w:sz w:val="32"/>
          <w:szCs w:val="32"/>
        </w:rPr>
        <w:t>公告</w:t>
      </w:r>
      <w:bookmarkEnd w:id="0"/>
    </w:p>
    <w:p w:rsidR="00C06DE1" w:rsidRPr="00D417E0" w:rsidRDefault="00C06DE1">
      <w:pPr>
        <w:spacing w:line="560" w:lineRule="exact"/>
        <w:rPr>
          <w:color w:val="000000"/>
        </w:rPr>
      </w:pPr>
    </w:p>
    <w:p w:rsidR="00C06DE1" w:rsidRPr="00AF6169" w:rsidRDefault="00C06DE1" w:rsidP="00381A3F">
      <w:pPr>
        <w:spacing w:line="360" w:lineRule="auto"/>
        <w:jc w:val="center"/>
        <w:rPr>
          <w:rFonts w:ascii="宋体" w:eastAsia="宋体" w:hAnsi="宋体"/>
          <w:color w:val="000000"/>
          <w:sz w:val="24"/>
          <w:szCs w:val="24"/>
        </w:rPr>
      </w:pPr>
      <w:r w:rsidRPr="00AF6169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39437C">
        <w:rPr>
          <w:rFonts w:ascii="宋体" w:eastAsia="宋体" w:hAnsi="宋体" w:hint="eastAsia"/>
          <w:color w:val="000000"/>
          <w:sz w:val="24"/>
          <w:szCs w:val="24"/>
        </w:rPr>
        <w:t>2019</w:t>
      </w:r>
      <w:r w:rsidR="00E02BE3" w:rsidRPr="00AF6169">
        <w:rPr>
          <w:rFonts w:ascii="宋体" w:eastAsia="宋体" w:hAnsi="宋体"/>
          <w:color w:val="000000"/>
          <w:sz w:val="24"/>
          <w:szCs w:val="24"/>
        </w:rPr>
        <w:t>年</w:t>
      </w:r>
      <w:r w:rsidR="0039437C">
        <w:rPr>
          <w:rFonts w:ascii="宋体" w:eastAsia="宋体" w:hAnsi="宋体" w:hint="eastAsia"/>
          <w:color w:val="000000"/>
          <w:sz w:val="24"/>
          <w:szCs w:val="24"/>
        </w:rPr>
        <w:t>11</w:t>
      </w:r>
      <w:r w:rsidR="0007756B" w:rsidRPr="00AF6169">
        <w:rPr>
          <w:rFonts w:ascii="宋体" w:eastAsia="宋体" w:hAnsi="宋体"/>
          <w:color w:val="000000"/>
          <w:sz w:val="24"/>
          <w:szCs w:val="24"/>
        </w:rPr>
        <w:t>月</w:t>
      </w:r>
      <w:r w:rsidR="0039437C">
        <w:rPr>
          <w:rFonts w:ascii="宋体" w:eastAsia="宋体" w:hAnsi="宋体" w:hint="eastAsia"/>
          <w:color w:val="000000"/>
          <w:sz w:val="24"/>
          <w:szCs w:val="24"/>
        </w:rPr>
        <w:t>20</w:t>
      </w:r>
      <w:r w:rsidRPr="00AF6169">
        <w:rPr>
          <w:rFonts w:ascii="宋体" w:eastAsia="宋体" w:hAnsi="宋体"/>
          <w:color w:val="000000"/>
          <w:sz w:val="24"/>
          <w:szCs w:val="24"/>
        </w:rPr>
        <w:t xml:space="preserve">日 </w:t>
      </w:r>
    </w:p>
    <w:p w:rsidR="00C06DE1" w:rsidRPr="00AF6169" w:rsidRDefault="00C06DE1" w:rsidP="00381A3F">
      <w:p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</w:p>
    <w:p w:rsidR="00C06DE1" w:rsidRPr="00AF6169" w:rsidRDefault="00C06DE1" w:rsidP="00381A3F">
      <w:pPr>
        <w:pStyle w:val="2"/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1" w:name="_Toc275961405"/>
      <w:r w:rsidRPr="00AF6169">
        <w:rPr>
          <w:rFonts w:ascii="宋体" w:eastAsia="宋体" w:hAnsi="宋体"/>
          <w:color w:val="000000"/>
          <w:sz w:val="24"/>
          <w:szCs w:val="24"/>
        </w:rPr>
        <w:t>1 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3828"/>
        <w:gridCol w:w="1695"/>
        <w:gridCol w:w="1695"/>
      </w:tblGrid>
      <w:tr w:rsidR="00EC600A" w:rsidRPr="00AF6169" w:rsidTr="002061AA">
        <w:trPr>
          <w:jc w:val="center"/>
        </w:trPr>
        <w:tc>
          <w:tcPr>
            <w:tcW w:w="5718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390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国投瑞银新机遇灵活配置混合型证券投资基金</w:t>
            </w:r>
          </w:p>
        </w:tc>
      </w:tr>
      <w:tr w:rsidR="00EC600A" w:rsidRPr="00AF6169" w:rsidTr="002061AA">
        <w:trPr>
          <w:jc w:val="center"/>
        </w:trPr>
        <w:tc>
          <w:tcPr>
            <w:tcW w:w="5718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3390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国投瑞银新机遇混合</w:t>
            </w:r>
          </w:p>
        </w:tc>
      </w:tr>
      <w:tr w:rsidR="00EC600A" w:rsidRPr="00AF6169" w:rsidTr="002061AA">
        <w:trPr>
          <w:jc w:val="center"/>
        </w:trPr>
        <w:tc>
          <w:tcPr>
            <w:tcW w:w="5718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3390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000556</w:t>
            </w:r>
          </w:p>
        </w:tc>
      </w:tr>
      <w:tr w:rsidR="00EC600A" w:rsidRPr="00AF6169" w:rsidTr="002061AA">
        <w:trPr>
          <w:jc w:val="center"/>
        </w:trPr>
        <w:tc>
          <w:tcPr>
            <w:tcW w:w="5718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3390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国投瑞银基金管理有限公司</w:t>
            </w:r>
          </w:p>
        </w:tc>
      </w:tr>
      <w:tr w:rsidR="00EC600A" w:rsidRPr="00AF6169" w:rsidTr="002061AA">
        <w:trPr>
          <w:jc w:val="center"/>
        </w:trPr>
        <w:tc>
          <w:tcPr>
            <w:tcW w:w="5718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3390" w:type="dxa"/>
            <w:gridSpan w:val="2"/>
          </w:tcPr>
          <w:p w:rsidR="00EC600A" w:rsidRPr="00AF6169" w:rsidRDefault="0039437C" w:rsidP="00381A3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9437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《公开募集证券投资基金信息披露管理办法》及本基金的基金合同和招募说明书等</w:t>
            </w:r>
          </w:p>
        </w:tc>
      </w:tr>
      <w:tr w:rsidR="00EC600A" w:rsidRPr="00AF6169" w:rsidTr="002061AA">
        <w:trPr>
          <w:jc w:val="center"/>
        </w:trPr>
        <w:tc>
          <w:tcPr>
            <w:tcW w:w="1890" w:type="dxa"/>
            <w:vMerge w:val="restart"/>
          </w:tcPr>
          <w:p w:rsidR="00EC600A" w:rsidRPr="00AF6169" w:rsidRDefault="002750D4" w:rsidP="00381A3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调整</w:t>
            </w:r>
            <w:r w:rsidR="00EC600A" w:rsidRPr="00B9732B">
              <w:rPr>
                <w:rFonts w:ascii="宋体" w:eastAsia="宋体" w:hAnsi="宋体"/>
                <w:color w:val="000000"/>
                <w:sz w:val="21"/>
                <w:szCs w:val="21"/>
              </w:rPr>
              <w:t>相关业务的起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止</w:t>
            </w:r>
            <w:r w:rsidR="00EC600A" w:rsidRPr="00B9732B">
              <w:rPr>
                <w:rFonts w:ascii="宋体" w:eastAsia="宋体" w:hAnsi="宋体"/>
                <w:color w:val="000000"/>
                <w:sz w:val="21"/>
                <w:szCs w:val="21"/>
              </w:rPr>
              <w:t>日、金额及原因说明</w:t>
            </w:r>
          </w:p>
        </w:tc>
        <w:tc>
          <w:tcPr>
            <w:tcW w:w="3828" w:type="dxa"/>
          </w:tcPr>
          <w:p w:rsidR="00EC600A" w:rsidRPr="00AF6169" w:rsidRDefault="002750D4" w:rsidP="00381A3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调整</w:t>
            </w:r>
            <w:r w:rsidR="00EC600A"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="00EC600A"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申购起</w:t>
            </w:r>
            <w:r w:rsidR="006C23C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止</w:t>
            </w:r>
            <w:r w:rsidR="00EC600A"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390" w:type="dxa"/>
            <w:gridSpan w:val="2"/>
          </w:tcPr>
          <w:p w:rsidR="00EC600A" w:rsidRPr="00AF6169" w:rsidRDefault="0039437C" w:rsidP="0039437C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2019</w:t>
            </w:r>
            <w:r w:rsidR="00EC600A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11</w:t>
            </w:r>
            <w:r w:rsidR="00EC600A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21</w:t>
            </w:r>
            <w:r w:rsidR="00EC600A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  <w:r w:rsidR="002750D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2019</w:t>
            </w:r>
            <w:r w:rsidR="002750D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11</w:t>
            </w:r>
            <w:r w:rsidR="002750D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26</w:t>
            </w:r>
            <w:r w:rsidR="002750D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EC600A" w:rsidRPr="00AF6169" w:rsidTr="002061AA">
        <w:trPr>
          <w:jc w:val="center"/>
        </w:trPr>
        <w:tc>
          <w:tcPr>
            <w:tcW w:w="1890" w:type="dxa"/>
            <w:vMerge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</w:tcPr>
          <w:p w:rsidR="00EC600A" w:rsidRPr="00AF6169" w:rsidRDefault="002750D4" w:rsidP="00381A3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调整</w:t>
            </w:r>
            <w:r w:rsidR="00EC600A"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="00EC600A"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转换转入起</w:t>
            </w:r>
            <w:r w:rsidR="006C23C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止</w:t>
            </w:r>
            <w:r w:rsidR="00EC600A"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390" w:type="dxa"/>
            <w:gridSpan w:val="2"/>
          </w:tcPr>
          <w:p w:rsidR="00EC600A" w:rsidRPr="00AF6169" w:rsidRDefault="0039437C" w:rsidP="00381A3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2019</w:t>
            </w: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11</w:t>
            </w: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21</w:t>
            </w: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-2019年11月26日</w:t>
            </w:r>
          </w:p>
        </w:tc>
      </w:tr>
      <w:tr w:rsidR="00EC600A" w:rsidRPr="00AF6169" w:rsidTr="002061AA">
        <w:trPr>
          <w:jc w:val="center"/>
        </w:trPr>
        <w:tc>
          <w:tcPr>
            <w:tcW w:w="1890" w:type="dxa"/>
            <w:vMerge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</w:tcPr>
          <w:p w:rsidR="00EC600A" w:rsidRPr="00AF6169" w:rsidRDefault="002750D4" w:rsidP="00381A3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调整</w:t>
            </w:r>
            <w:r w:rsidR="00EC600A"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="00EC600A"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定期定额投资起</w:t>
            </w:r>
            <w:r w:rsidR="006C23C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止</w:t>
            </w:r>
            <w:r w:rsidR="00EC600A"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390" w:type="dxa"/>
            <w:gridSpan w:val="2"/>
          </w:tcPr>
          <w:p w:rsidR="00EC600A" w:rsidRPr="00AF6169" w:rsidRDefault="0039437C" w:rsidP="001A55C9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2019</w:t>
            </w: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11</w:t>
            </w: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21</w:t>
            </w: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-2019年11月26日</w:t>
            </w:r>
          </w:p>
        </w:tc>
      </w:tr>
      <w:tr w:rsidR="00EC600A" w:rsidRPr="00AF6169" w:rsidTr="002061AA">
        <w:trPr>
          <w:jc w:val="center"/>
        </w:trPr>
        <w:tc>
          <w:tcPr>
            <w:tcW w:w="1890" w:type="dxa"/>
            <w:vMerge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限制申购金额（单位：万元）</w:t>
            </w:r>
          </w:p>
        </w:tc>
        <w:tc>
          <w:tcPr>
            <w:tcW w:w="3390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</w:tr>
      <w:tr w:rsidR="00EC600A" w:rsidRPr="00AF6169" w:rsidTr="002061AA">
        <w:trPr>
          <w:jc w:val="center"/>
        </w:trPr>
        <w:tc>
          <w:tcPr>
            <w:tcW w:w="1890" w:type="dxa"/>
            <w:vMerge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</w:tcPr>
          <w:p w:rsidR="00EC600A" w:rsidRPr="00AF6169" w:rsidRDefault="00EC600A" w:rsidP="00381A3F">
            <w:pPr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限制转换入金额（单位：万元）</w:t>
            </w:r>
          </w:p>
        </w:tc>
        <w:tc>
          <w:tcPr>
            <w:tcW w:w="3390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</w:tr>
      <w:tr w:rsidR="00EC600A" w:rsidRPr="00AF6169" w:rsidTr="002061AA">
        <w:trPr>
          <w:jc w:val="center"/>
        </w:trPr>
        <w:tc>
          <w:tcPr>
            <w:tcW w:w="1890" w:type="dxa"/>
            <w:vMerge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</w:tcPr>
          <w:p w:rsidR="00EC600A" w:rsidRPr="00AF6169" w:rsidRDefault="00EC600A" w:rsidP="00381A3F">
            <w:pPr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限制定期定额金额（单位：万元）</w:t>
            </w:r>
          </w:p>
        </w:tc>
        <w:tc>
          <w:tcPr>
            <w:tcW w:w="3390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</w:tr>
      <w:tr w:rsidR="00EC600A" w:rsidRPr="00AF6169" w:rsidTr="002061AA">
        <w:trPr>
          <w:jc w:val="center"/>
        </w:trPr>
        <w:tc>
          <w:tcPr>
            <w:tcW w:w="1890" w:type="dxa"/>
            <w:vMerge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</w:tcPr>
          <w:p w:rsidR="00EC600A" w:rsidRPr="00AF6169" w:rsidRDefault="009B2795" w:rsidP="00381A3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调整</w:t>
            </w:r>
            <w:r w:rsidR="00EC600A"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="00EC600A"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申购（转换转入、定期定额投资）的原因说明</w:t>
            </w:r>
          </w:p>
        </w:tc>
        <w:tc>
          <w:tcPr>
            <w:tcW w:w="3390" w:type="dxa"/>
            <w:gridSpan w:val="2"/>
          </w:tcPr>
          <w:p w:rsidR="00EC600A" w:rsidRPr="00AF6169" w:rsidRDefault="00EC600A" w:rsidP="00381A3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保护</w:t>
            </w:r>
            <w:r w:rsidRPr="00AF616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基金份额持有人利益</w:t>
            </w:r>
          </w:p>
        </w:tc>
      </w:tr>
      <w:tr w:rsidR="00451D0E" w:rsidRPr="00AF6169" w:rsidTr="00E2101B">
        <w:trPr>
          <w:jc w:val="center"/>
        </w:trPr>
        <w:tc>
          <w:tcPr>
            <w:tcW w:w="5718" w:type="dxa"/>
            <w:gridSpan w:val="2"/>
            <w:vAlign w:val="center"/>
          </w:tcPr>
          <w:p w:rsidR="00451D0E" w:rsidRDefault="00451D0E" w:rsidP="00381A3F">
            <w:pPr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下属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基金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份额类别</w:t>
            </w: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的基金简称</w:t>
            </w:r>
          </w:p>
        </w:tc>
        <w:tc>
          <w:tcPr>
            <w:tcW w:w="1695" w:type="dxa"/>
            <w:vAlign w:val="center"/>
          </w:tcPr>
          <w:p w:rsidR="00451D0E" w:rsidRPr="00E740B9" w:rsidRDefault="00451D0E" w:rsidP="00E740B9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国投瑞银新机遇混合A</w:t>
            </w:r>
          </w:p>
        </w:tc>
        <w:tc>
          <w:tcPr>
            <w:tcW w:w="1695" w:type="dxa"/>
            <w:vAlign w:val="center"/>
          </w:tcPr>
          <w:p w:rsidR="00451D0E" w:rsidRPr="00E740B9" w:rsidRDefault="00451D0E" w:rsidP="00E740B9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国投瑞银新机遇混合C</w:t>
            </w:r>
          </w:p>
        </w:tc>
      </w:tr>
      <w:tr w:rsidR="00451D0E" w:rsidRPr="00AF6169" w:rsidTr="00E2101B">
        <w:trPr>
          <w:jc w:val="center"/>
        </w:trPr>
        <w:tc>
          <w:tcPr>
            <w:tcW w:w="5718" w:type="dxa"/>
            <w:gridSpan w:val="2"/>
            <w:vAlign w:val="center"/>
          </w:tcPr>
          <w:p w:rsidR="00451D0E" w:rsidRDefault="00451D0E" w:rsidP="00381A3F">
            <w:pPr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下属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基金份额类别</w:t>
            </w: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的交易代码</w:t>
            </w:r>
          </w:p>
        </w:tc>
        <w:tc>
          <w:tcPr>
            <w:tcW w:w="1695" w:type="dxa"/>
            <w:vAlign w:val="center"/>
          </w:tcPr>
          <w:p w:rsidR="00451D0E" w:rsidRPr="00E740B9" w:rsidRDefault="00451D0E" w:rsidP="00E740B9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000556</w:t>
            </w:r>
          </w:p>
        </w:tc>
        <w:tc>
          <w:tcPr>
            <w:tcW w:w="1695" w:type="dxa"/>
            <w:vAlign w:val="center"/>
          </w:tcPr>
          <w:p w:rsidR="00451D0E" w:rsidRPr="00E740B9" w:rsidRDefault="00451D0E" w:rsidP="00E740B9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000557</w:t>
            </w:r>
          </w:p>
        </w:tc>
      </w:tr>
      <w:tr w:rsidR="00451D0E" w:rsidRPr="00AF6169" w:rsidTr="00E2101B">
        <w:trPr>
          <w:jc w:val="center"/>
        </w:trPr>
        <w:tc>
          <w:tcPr>
            <w:tcW w:w="5718" w:type="dxa"/>
            <w:gridSpan w:val="2"/>
          </w:tcPr>
          <w:p w:rsidR="00451D0E" w:rsidRDefault="00451D0E" w:rsidP="00381A3F">
            <w:pPr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723D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该基金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份额类别</w:t>
            </w:r>
            <w:r w:rsidRPr="00723D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是否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调整</w:t>
            </w:r>
            <w:r w:rsidRPr="00723D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大额申购、转换转入、定期定额投资</w:t>
            </w:r>
          </w:p>
        </w:tc>
        <w:tc>
          <w:tcPr>
            <w:tcW w:w="1695" w:type="dxa"/>
            <w:vAlign w:val="center"/>
          </w:tcPr>
          <w:p w:rsidR="00451D0E" w:rsidRPr="00E740B9" w:rsidRDefault="00451D0E" w:rsidP="00E740B9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723D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695" w:type="dxa"/>
            <w:vAlign w:val="center"/>
          </w:tcPr>
          <w:p w:rsidR="00451D0E" w:rsidRPr="00E740B9" w:rsidRDefault="00451D0E" w:rsidP="00E740B9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723D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是</w:t>
            </w:r>
          </w:p>
        </w:tc>
      </w:tr>
    </w:tbl>
    <w:p w:rsidR="00C06DE1" w:rsidRPr="00AF6169" w:rsidRDefault="00C06DE1" w:rsidP="00381A3F">
      <w:pPr>
        <w:pStyle w:val="2"/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2" w:name="_Toc275961406"/>
      <w:r w:rsidRPr="00AF6169">
        <w:rPr>
          <w:rFonts w:ascii="宋体" w:eastAsia="宋体" w:hAnsi="宋体"/>
          <w:color w:val="000000"/>
          <w:sz w:val="24"/>
          <w:szCs w:val="24"/>
        </w:rPr>
        <w:lastRenderedPageBreak/>
        <w:t>2 其他需要提示的事项</w:t>
      </w:r>
      <w:bookmarkEnd w:id="2"/>
    </w:p>
    <w:p w:rsidR="00451D0E" w:rsidRPr="00451D0E" w:rsidRDefault="00451D0E" w:rsidP="00451D0E">
      <w:pPr>
        <w:spacing w:line="360" w:lineRule="auto"/>
        <w:rPr>
          <w:rFonts w:ascii="宋体" w:eastAsia="宋体" w:hAnsi="宋体" w:hint="eastAsia"/>
          <w:color w:val="000000"/>
          <w:sz w:val="24"/>
          <w:szCs w:val="24"/>
        </w:rPr>
      </w:pPr>
      <w:r w:rsidRPr="00451D0E">
        <w:rPr>
          <w:rFonts w:ascii="宋体" w:eastAsia="宋体" w:hAnsi="宋体"/>
          <w:color w:val="000000"/>
          <w:sz w:val="24"/>
          <w:szCs w:val="24"/>
        </w:rPr>
        <w:t>（1）</w:t>
      </w:r>
      <w:r w:rsidRPr="00451D0E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="00456A2C">
        <w:rPr>
          <w:rFonts w:ascii="宋体" w:eastAsia="宋体" w:hAnsi="宋体" w:hint="eastAsia"/>
          <w:color w:val="000000"/>
          <w:sz w:val="24"/>
          <w:szCs w:val="24"/>
        </w:rPr>
        <w:t>已</w:t>
      </w:r>
      <w:r w:rsidRPr="00451D0E">
        <w:rPr>
          <w:rFonts w:ascii="宋体" w:eastAsia="宋体" w:hAnsi="宋体" w:hint="eastAsia"/>
          <w:color w:val="000000"/>
          <w:sz w:val="24"/>
          <w:szCs w:val="24"/>
        </w:rPr>
        <w:t>于2018年1月24日公告并从2018年1月25日起调整了大额申购（转换转入、定期定额投资）业务限制，具体限制为：</w:t>
      </w:r>
      <w:r w:rsidRPr="00451D0E">
        <w:rPr>
          <w:rFonts w:ascii="宋体" w:eastAsia="宋体" w:hAnsi="宋体"/>
          <w:color w:val="000000"/>
          <w:sz w:val="24"/>
          <w:szCs w:val="24"/>
        </w:rPr>
        <w:t>单个基金账户当日申购、转换转入、定期定额投资累计不得超过</w:t>
      </w:r>
      <w:r w:rsidRPr="00451D0E">
        <w:rPr>
          <w:rFonts w:ascii="宋体" w:eastAsia="宋体" w:hAnsi="宋体" w:hint="eastAsia"/>
          <w:color w:val="000000"/>
          <w:sz w:val="24"/>
          <w:szCs w:val="24"/>
        </w:rPr>
        <w:t>5</w:t>
      </w:r>
      <w:r w:rsidRPr="00451D0E">
        <w:rPr>
          <w:rFonts w:ascii="宋体" w:eastAsia="宋体" w:hAnsi="宋体"/>
          <w:color w:val="000000"/>
          <w:sz w:val="24"/>
          <w:szCs w:val="24"/>
        </w:rPr>
        <w:t>,000万元(A类基金份额、C类基金份额合并计算)。</w:t>
      </w:r>
    </w:p>
    <w:p w:rsidR="00451D0E" w:rsidRDefault="00451D0E" w:rsidP="003A1F23">
      <w:pPr>
        <w:spacing w:line="360" w:lineRule="auto"/>
        <w:rPr>
          <w:rFonts w:ascii="宋体" w:eastAsia="宋体" w:hAnsi="宋体" w:hint="eastAsia"/>
          <w:color w:val="000000"/>
          <w:sz w:val="24"/>
          <w:szCs w:val="24"/>
        </w:rPr>
      </w:pPr>
      <w:r w:rsidRPr="00451D0E">
        <w:rPr>
          <w:rFonts w:ascii="宋体" w:eastAsia="宋体" w:hAnsi="宋体" w:hint="eastAsia"/>
          <w:color w:val="000000"/>
          <w:sz w:val="24"/>
          <w:szCs w:val="24"/>
        </w:rPr>
        <w:t>（2）</w:t>
      </w:r>
      <w:r w:rsidRPr="00451D0E">
        <w:rPr>
          <w:rFonts w:ascii="宋体" w:eastAsia="宋体" w:hAnsi="宋体"/>
          <w:color w:val="000000"/>
          <w:sz w:val="24"/>
          <w:szCs w:val="24"/>
        </w:rPr>
        <w:t>本基金自</w:t>
      </w:r>
      <w:r w:rsidR="0039437C">
        <w:rPr>
          <w:rFonts w:ascii="宋体" w:eastAsia="宋体" w:hAnsi="宋体" w:hint="eastAsia"/>
          <w:color w:val="000000"/>
          <w:sz w:val="24"/>
          <w:szCs w:val="24"/>
        </w:rPr>
        <w:t>2019</w:t>
      </w:r>
      <w:r w:rsidRPr="00451D0E">
        <w:rPr>
          <w:rFonts w:ascii="宋体" w:eastAsia="宋体" w:hAnsi="宋体"/>
          <w:color w:val="000000"/>
          <w:sz w:val="24"/>
          <w:szCs w:val="24"/>
        </w:rPr>
        <w:t>年</w:t>
      </w:r>
      <w:r w:rsidR="0039437C">
        <w:rPr>
          <w:rFonts w:ascii="宋体" w:eastAsia="宋体" w:hAnsi="宋体" w:hint="eastAsia"/>
          <w:color w:val="000000"/>
          <w:sz w:val="24"/>
          <w:szCs w:val="24"/>
        </w:rPr>
        <w:t>11</w:t>
      </w:r>
      <w:r w:rsidRPr="00451D0E">
        <w:rPr>
          <w:rFonts w:ascii="宋体" w:eastAsia="宋体" w:hAnsi="宋体"/>
          <w:color w:val="000000"/>
          <w:sz w:val="24"/>
          <w:szCs w:val="24"/>
        </w:rPr>
        <w:t>月</w:t>
      </w:r>
      <w:r w:rsidR="0039437C">
        <w:rPr>
          <w:rFonts w:ascii="宋体" w:eastAsia="宋体" w:hAnsi="宋体" w:hint="eastAsia"/>
          <w:color w:val="000000"/>
          <w:sz w:val="24"/>
          <w:szCs w:val="24"/>
        </w:rPr>
        <w:t>21</w:t>
      </w:r>
      <w:r w:rsidRPr="00451D0E">
        <w:rPr>
          <w:rFonts w:ascii="宋体" w:eastAsia="宋体" w:hAnsi="宋体"/>
          <w:color w:val="000000"/>
          <w:sz w:val="24"/>
          <w:szCs w:val="24"/>
        </w:rPr>
        <w:t>日起</w:t>
      </w:r>
      <w:r w:rsidR="006C23C9">
        <w:rPr>
          <w:rFonts w:ascii="宋体" w:eastAsia="宋体" w:hAnsi="宋体"/>
          <w:color w:val="000000"/>
          <w:sz w:val="24"/>
          <w:szCs w:val="24"/>
        </w:rPr>
        <w:t>进一步</w:t>
      </w:r>
      <w:r w:rsidRPr="00451D0E">
        <w:rPr>
          <w:rFonts w:ascii="宋体" w:eastAsia="宋体" w:hAnsi="宋体"/>
          <w:color w:val="000000"/>
          <w:sz w:val="24"/>
          <w:szCs w:val="24"/>
        </w:rPr>
        <w:t>调整业务限制为单个基金账户当日申购、转换转入、定期定额投资累计不得超过</w:t>
      </w:r>
      <w:r w:rsidRPr="00451D0E">
        <w:rPr>
          <w:rFonts w:ascii="宋体" w:eastAsia="宋体" w:hAnsi="宋体" w:hint="eastAsia"/>
          <w:color w:val="000000"/>
          <w:sz w:val="24"/>
          <w:szCs w:val="24"/>
        </w:rPr>
        <w:t>5</w:t>
      </w:r>
      <w:r w:rsidRPr="00451D0E">
        <w:rPr>
          <w:rFonts w:ascii="宋体" w:eastAsia="宋体" w:hAnsi="宋体"/>
          <w:color w:val="000000"/>
          <w:sz w:val="24"/>
          <w:szCs w:val="24"/>
        </w:rPr>
        <w:t>00万元(A类基金份额、C类基金份额合并计算)</w:t>
      </w:r>
      <w:r w:rsidR="00264A3D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264A3D">
        <w:rPr>
          <w:rFonts w:ascii="宋体" w:eastAsia="宋体" w:hAnsi="宋体"/>
          <w:color w:val="000000"/>
          <w:sz w:val="24"/>
          <w:szCs w:val="24"/>
        </w:rPr>
        <w:t>并自</w:t>
      </w:r>
      <w:r w:rsidR="0039437C">
        <w:rPr>
          <w:rFonts w:ascii="宋体" w:eastAsia="宋体" w:hAnsi="宋体" w:hint="eastAsia"/>
          <w:color w:val="000000"/>
          <w:sz w:val="24"/>
          <w:szCs w:val="24"/>
        </w:rPr>
        <w:t>2019</w:t>
      </w:r>
      <w:r w:rsidR="00264A3D" w:rsidRPr="00451D0E">
        <w:rPr>
          <w:rFonts w:ascii="宋体" w:eastAsia="宋体" w:hAnsi="宋体"/>
          <w:color w:val="000000"/>
          <w:sz w:val="24"/>
          <w:szCs w:val="24"/>
        </w:rPr>
        <w:t>年</w:t>
      </w:r>
      <w:r w:rsidR="0039437C">
        <w:rPr>
          <w:rFonts w:ascii="宋体" w:eastAsia="宋体" w:hAnsi="宋体" w:hint="eastAsia"/>
          <w:color w:val="000000"/>
          <w:sz w:val="24"/>
          <w:szCs w:val="24"/>
        </w:rPr>
        <w:t>11</w:t>
      </w:r>
      <w:r w:rsidR="00264A3D" w:rsidRPr="00451D0E">
        <w:rPr>
          <w:rFonts w:ascii="宋体" w:eastAsia="宋体" w:hAnsi="宋体"/>
          <w:color w:val="000000"/>
          <w:sz w:val="24"/>
          <w:szCs w:val="24"/>
        </w:rPr>
        <w:t>月</w:t>
      </w:r>
      <w:r w:rsidR="0039437C">
        <w:rPr>
          <w:rFonts w:ascii="宋体" w:eastAsia="宋体" w:hAnsi="宋体" w:hint="eastAsia"/>
          <w:color w:val="000000"/>
          <w:sz w:val="24"/>
          <w:szCs w:val="24"/>
        </w:rPr>
        <w:t>27</w:t>
      </w:r>
      <w:r w:rsidR="00264A3D">
        <w:rPr>
          <w:rFonts w:ascii="宋体" w:eastAsia="宋体" w:hAnsi="宋体"/>
          <w:color w:val="000000"/>
          <w:sz w:val="24"/>
          <w:szCs w:val="24"/>
        </w:rPr>
        <w:t>日起恢复</w:t>
      </w:r>
      <w:r w:rsidR="00264A3D" w:rsidRPr="00451D0E">
        <w:rPr>
          <w:rFonts w:ascii="宋体" w:eastAsia="宋体" w:hAnsi="宋体"/>
          <w:color w:val="000000"/>
          <w:sz w:val="24"/>
          <w:szCs w:val="24"/>
        </w:rPr>
        <w:t>业务限制为单个基金账户当日申购、转换转入、定期定额投资累计不得超过</w:t>
      </w:r>
      <w:r w:rsidR="00264A3D" w:rsidRPr="00451D0E">
        <w:rPr>
          <w:rFonts w:ascii="宋体" w:eastAsia="宋体" w:hAnsi="宋体" w:hint="eastAsia"/>
          <w:color w:val="000000"/>
          <w:sz w:val="24"/>
          <w:szCs w:val="24"/>
        </w:rPr>
        <w:t>5</w:t>
      </w:r>
      <w:r w:rsidR="00264A3D" w:rsidRPr="00451D0E">
        <w:rPr>
          <w:rFonts w:ascii="宋体" w:eastAsia="宋体" w:hAnsi="宋体"/>
          <w:color w:val="000000"/>
          <w:sz w:val="24"/>
          <w:szCs w:val="24"/>
        </w:rPr>
        <w:t>,00</w:t>
      </w:r>
      <w:r w:rsidR="00264A3D">
        <w:rPr>
          <w:rFonts w:ascii="宋体" w:eastAsia="宋体" w:hAnsi="宋体" w:hint="eastAsia"/>
          <w:color w:val="000000"/>
          <w:sz w:val="24"/>
          <w:szCs w:val="24"/>
        </w:rPr>
        <w:t>0</w:t>
      </w:r>
      <w:r w:rsidR="00264A3D" w:rsidRPr="00451D0E">
        <w:rPr>
          <w:rFonts w:ascii="宋体" w:eastAsia="宋体" w:hAnsi="宋体"/>
          <w:color w:val="000000"/>
          <w:sz w:val="24"/>
          <w:szCs w:val="24"/>
        </w:rPr>
        <w:t>万元(A类基金份额、C类基金份额合并计算)</w:t>
      </w:r>
      <w:r w:rsidRPr="00451D0E">
        <w:rPr>
          <w:rFonts w:ascii="宋体" w:eastAsia="宋体" w:hAnsi="宋体"/>
          <w:color w:val="000000"/>
          <w:sz w:val="24"/>
          <w:szCs w:val="24"/>
        </w:rPr>
        <w:t>。</w:t>
      </w:r>
    </w:p>
    <w:p w:rsidR="00C06DE1" w:rsidRPr="00E2101B" w:rsidRDefault="00C15BD2" w:rsidP="003A1F23">
      <w:pPr>
        <w:spacing w:line="360" w:lineRule="auto"/>
        <w:rPr>
          <w:rFonts w:ascii="宋体" w:eastAsia="宋体" w:hAnsi="宋体" w:hint="eastAsia"/>
          <w:color w:val="000000"/>
          <w:sz w:val="24"/>
          <w:szCs w:val="24"/>
        </w:rPr>
      </w:pPr>
      <w:r w:rsidRPr="00E2101B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="00264A3D" w:rsidRPr="00E2101B">
        <w:rPr>
          <w:rFonts w:ascii="宋体" w:eastAsia="宋体" w:hAnsi="宋体" w:hint="eastAsia"/>
          <w:color w:val="000000"/>
          <w:sz w:val="24"/>
          <w:szCs w:val="24"/>
        </w:rPr>
        <w:t>3</w:t>
      </w:r>
      <w:r w:rsidRPr="00E2101B">
        <w:rPr>
          <w:rFonts w:ascii="宋体" w:eastAsia="宋体" w:hAnsi="宋体" w:hint="eastAsia"/>
          <w:color w:val="000000"/>
          <w:sz w:val="24"/>
          <w:szCs w:val="24"/>
        </w:rPr>
        <w:t>）敬请投资者做好交易安排。详情请登录本公司网站（</w:t>
      </w:r>
      <w:hyperlink r:id="rId7" w:history="1">
        <w:r w:rsidRPr="00E2101B">
          <w:rPr>
            <w:rFonts w:ascii="宋体" w:eastAsia="宋体" w:hAnsi="宋体"/>
            <w:color w:val="000000"/>
            <w:sz w:val="24"/>
            <w:szCs w:val="24"/>
          </w:rPr>
          <w:t>www.ubssdic.com</w:t>
        </w:r>
        <w:r w:rsidRPr="00E2101B">
          <w:rPr>
            <w:rFonts w:ascii="宋体" w:eastAsia="宋体" w:hAnsi="宋体" w:hint="eastAsia"/>
            <w:color w:val="000000"/>
            <w:sz w:val="24"/>
            <w:szCs w:val="24"/>
          </w:rPr>
          <w:t>）或拨打本公司客服电话（</w:t>
        </w:r>
        <w:r w:rsidRPr="00E2101B">
          <w:rPr>
            <w:rFonts w:ascii="宋体" w:eastAsia="宋体" w:hAnsi="宋体"/>
            <w:color w:val="000000"/>
            <w:sz w:val="24"/>
            <w:szCs w:val="24"/>
          </w:rPr>
          <w:t>400-880-6868</w:t>
        </w:r>
      </w:hyperlink>
      <w:r w:rsidRPr="00E2101B">
        <w:rPr>
          <w:rFonts w:ascii="宋体" w:eastAsia="宋体" w:hAnsi="宋体" w:hint="eastAsia"/>
          <w:color w:val="000000"/>
          <w:sz w:val="24"/>
          <w:szCs w:val="24"/>
        </w:rPr>
        <w:t>）。</w:t>
      </w:r>
    </w:p>
    <w:sectPr w:rsidR="00C06DE1" w:rsidRPr="00E2101B">
      <w:footerReference w:type="default" r:id="rId8"/>
      <w:pgSz w:w="11907" w:h="16840"/>
      <w:pgMar w:top="2098" w:right="1588" w:bottom="2098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0E" w:rsidRDefault="0066230E">
      <w:r>
        <w:separator/>
      </w:r>
    </w:p>
  </w:endnote>
  <w:endnote w:type="continuationSeparator" w:id="1">
    <w:p w:rsidR="0066230E" w:rsidRDefault="0066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61" w:rsidRDefault="00C74761">
    <w:pPr>
      <w:pStyle w:val="a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0E" w:rsidRDefault="0066230E">
      <w:r>
        <w:separator/>
      </w:r>
    </w:p>
  </w:footnote>
  <w:footnote w:type="continuationSeparator" w:id="1">
    <w:p w:rsidR="0066230E" w:rsidRDefault="00662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0"/>
      </w:pPr>
      <w:rPr>
        <w:rFonts w:hint="eastAsia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singleLevel"/>
    <w:tmpl w:val="00000006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trackRevisions/>
  <w:doNotTrackMoves/>
  <w:defaultTabStop w:val="425"/>
  <w:drawingGridHorizontalSpacing w:val="311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3F6D"/>
    <w:rsid w:val="0007756B"/>
    <w:rsid w:val="000910BE"/>
    <w:rsid w:val="00094904"/>
    <w:rsid w:val="0009595E"/>
    <w:rsid w:val="000A79BA"/>
    <w:rsid w:val="000D28D2"/>
    <w:rsid w:val="000F39AA"/>
    <w:rsid w:val="000F49BD"/>
    <w:rsid w:val="0013153B"/>
    <w:rsid w:val="00163472"/>
    <w:rsid w:val="0018155D"/>
    <w:rsid w:val="00181BD4"/>
    <w:rsid w:val="00184D4B"/>
    <w:rsid w:val="001A55C9"/>
    <w:rsid w:val="001C2826"/>
    <w:rsid w:val="002061AA"/>
    <w:rsid w:val="002075C3"/>
    <w:rsid w:val="00220F2F"/>
    <w:rsid w:val="002247D4"/>
    <w:rsid w:val="00264A3D"/>
    <w:rsid w:val="002657F6"/>
    <w:rsid w:val="00273F63"/>
    <w:rsid w:val="002750D4"/>
    <w:rsid w:val="00286AC3"/>
    <w:rsid w:val="002B4381"/>
    <w:rsid w:val="002B438D"/>
    <w:rsid w:val="002B538E"/>
    <w:rsid w:val="00324214"/>
    <w:rsid w:val="0034336D"/>
    <w:rsid w:val="00381A3F"/>
    <w:rsid w:val="003832D0"/>
    <w:rsid w:val="00391DA4"/>
    <w:rsid w:val="00391DC4"/>
    <w:rsid w:val="0039437C"/>
    <w:rsid w:val="003A0FFE"/>
    <w:rsid w:val="003A1F23"/>
    <w:rsid w:val="003A69AC"/>
    <w:rsid w:val="003D33D8"/>
    <w:rsid w:val="00451D0E"/>
    <w:rsid w:val="00456A2C"/>
    <w:rsid w:val="00472E80"/>
    <w:rsid w:val="004A18B3"/>
    <w:rsid w:val="004A7A50"/>
    <w:rsid w:val="00511515"/>
    <w:rsid w:val="00526DB9"/>
    <w:rsid w:val="00541214"/>
    <w:rsid w:val="005567A1"/>
    <w:rsid w:val="0055680D"/>
    <w:rsid w:val="00563791"/>
    <w:rsid w:val="005A3049"/>
    <w:rsid w:val="005B6188"/>
    <w:rsid w:val="005D4C04"/>
    <w:rsid w:val="005F539B"/>
    <w:rsid w:val="0061035D"/>
    <w:rsid w:val="00611A9A"/>
    <w:rsid w:val="00612265"/>
    <w:rsid w:val="00650335"/>
    <w:rsid w:val="0066230E"/>
    <w:rsid w:val="0067492D"/>
    <w:rsid w:val="00691977"/>
    <w:rsid w:val="006B67ED"/>
    <w:rsid w:val="006C23C9"/>
    <w:rsid w:val="006C57E0"/>
    <w:rsid w:val="006D376E"/>
    <w:rsid w:val="00701FB6"/>
    <w:rsid w:val="00721B31"/>
    <w:rsid w:val="00722276"/>
    <w:rsid w:val="00740FCB"/>
    <w:rsid w:val="00774C3F"/>
    <w:rsid w:val="00782FC5"/>
    <w:rsid w:val="00786EBD"/>
    <w:rsid w:val="007938D0"/>
    <w:rsid w:val="00794C5A"/>
    <w:rsid w:val="007D2AA5"/>
    <w:rsid w:val="007D3DCE"/>
    <w:rsid w:val="007F05B4"/>
    <w:rsid w:val="007F379E"/>
    <w:rsid w:val="008020E9"/>
    <w:rsid w:val="00804417"/>
    <w:rsid w:val="008228EA"/>
    <w:rsid w:val="00837DE8"/>
    <w:rsid w:val="008A3205"/>
    <w:rsid w:val="008F181F"/>
    <w:rsid w:val="009256A6"/>
    <w:rsid w:val="009271DA"/>
    <w:rsid w:val="00963702"/>
    <w:rsid w:val="00984031"/>
    <w:rsid w:val="009B2795"/>
    <w:rsid w:val="009D7A8D"/>
    <w:rsid w:val="009E058B"/>
    <w:rsid w:val="009E53F3"/>
    <w:rsid w:val="00A07EA7"/>
    <w:rsid w:val="00A14D01"/>
    <w:rsid w:val="00A21134"/>
    <w:rsid w:val="00A2228F"/>
    <w:rsid w:val="00A24DFD"/>
    <w:rsid w:val="00A471F4"/>
    <w:rsid w:val="00A72B20"/>
    <w:rsid w:val="00A86E48"/>
    <w:rsid w:val="00AA2E74"/>
    <w:rsid w:val="00AB1B3A"/>
    <w:rsid w:val="00AC4906"/>
    <w:rsid w:val="00AC6058"/>
    <w:rsid w:val="00AF2018"/>
    <w:rsid w:val="00AF2AFD"/>
    <w:rsid w:val="00AF6169"/>
    <w:rsid w:val="00B20116"/>
    <w:rsid w:val="00B26300"/>
    <w:rsid w:val="00B26546"/>
    <w:rsid w:val="00B35C0B"/>
    <w:rsid w:val="00B45E93"/>
    <w:rsid w:val="00B65A89"/>
    <w:rsid w:val="00B65EB4"/>
    <w:rsid w:val="00B747B8"/>
    <w:rsid w:val="00B847CF"/>
    <w:rsid w:val="00B9732B"/>
    <w:rsid w:val="00BA4AB4"/>
    <w:rsid w:val="00BA4E75"/>
    <w:rsid w:val="00BC7BEB"/>
    <w:rsid w:val="00BE01DC"/>
    <w:rsid w:val="00BE0615"/>
    <w:rsid w:val="00BE32FF"/>
    <w:rsid w:val="00BE7924"/>
    <w:rsid w:val="00BF318E"/>
    <w:rsid w:val="00BF5CAC"/>
    <w:rsid w:val="00C06DE1"/>
    <w:rsid w:val="00C10861"/>
    <w:rsid w:val="00C138CE"/>
    <w:rsid w:val="00C15BD2"/>
    <w:rsid w:val="00C160FD"/>
    <w:rsid w:val="00C37B77"/>
    <w:rsid w:val="00C74761"/>
    <w:rsid w:val="00C76452"/>
    <w:rsid w:val="00CA5B0C"/>
    <w:rsid w:val="00CB0D23"/>
    <w:rsid w:val="00CB6105"/>
    <w:rsid w:val="00CC536F"/>
    <w:rsid w:val="00D2460E"/>
    <w:rsid w:val="00D3406A"/>
    <w:rsid w:val="00D417E0"/>
    <w:rsid w:val="00D43567"/>
    <w:rsid w:val="00D60040"/>
    <w:rsid w:val="00DB28AD"/>
    <w:rsid w:val="00DB3B4B"/>
    <w:rsid w:val="00DF428A"/>
    <w:rsid w:val="00E02BE3"/>
    <w:rsid w:val="00E11670"/>
    <w:rsid w:val="00E2101B"/>
    <w:rsid w:val="00E31DE3"/>
    <w:rsid w:val="00E34A0A"/>
    <w:rsid w:val="00E5252A"/>
    <w:rsid w:val="00E740B9"/>
    <w:rsid w:val="00E75530"/>
    <w:rsid w:val="00EC600A"/>
    <w:rsid w:val="00EE4BF1"/>
    <w:rsid w:val="00EF2E58"/>
    <w:rsid w:val="00EF5C30"/>
    <w:rsid w:val="00F03B68"/>
    <w:rsid w:val="00F4104D"/>
    <w:rsid w:val="00F90BC0"/>
    <w:rsid w:val="00F926F1"/>
    <w:rsid w:val="00F94D95"/>
    <w:rsid w:val="00FC65AD"/>
    <w:rsid w:val="00FD4A08"/>
    <w:rsid w:val="00FE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link w:val="CharCharCharCharCharChar1CharCharChar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批注文字 Char"/>
    <w:link w:val="a4"/>
    <w:rPr>
      <w:rFonts w:eastAsia="宋体"/>
      <w:kern w:val="2"/>
      <w:sz w:val="21"/>
      <w:lang w:val="en-US" w:eastAsia="zh-CN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  <w:lang w:val="en-US" w:eastAsia="zh-CN"/>
    </w:rPr>
  </w:style>
  <w:style w:type="character" w:styleId="a7">
    <w:name w:val="page number"/>
    <w:basedOn w:val="a0"/>
  </w:style>
  <w:style w:type="character" w:styleId="a8">
    <w:name w:val="Strong"/>
    <w:qFormat/>
    <w:rPr>
      <w:b/>
    </w:rPr>
  </w:style>
  <w:style w:type="character" w:styleId="a9">
    <w:name w:val="annotation reference"/>
    <w:rPr>
      <w:sz w:val="21"/>
    </w:rPr>
  </w:style>
  <w:style w:type="character" w:customStyle="1" w:styleId="Char0">
    <w:name w:val="正文文本 Char"/>
    <w:link w:val="aa"/>
    <w:rPr>
      <w:rFonts w:eastAsia="方正仿宋简体"/>
      <w:kern w:val="2"/>
      <w:sz w:val="32"/>
      <w:lang w:val="en-US" w:eastAsia="zh-CN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styleId="10">
    <w:name w:val="toc 1"/>
    <w:basedOn w:val="a"/>
    <w:next w:val="a"/>
    <w:rPr>
      <w:rFonts w:eastAsia="宋体"/>
      <w:sz w:val="21"/>
    </w:rPr>
  </w:style>
  <w:style w:type="paragraph" w:customStyle="1" w:styleId="CharChar1Char">
    <w:name w:val=" Char Char1 Char"/>
    <w:basedOn w:val="a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styleId="ab">
    <w:name w:val="annotation subject"/>
    <w:basedOn w:val="a4"/>
    <w:next w:val="a4"/>
    <w:rPr>
      <w:b/>
    </w:rPr>
  </w:style>
  <w:style w:type="paragraph" w:styleId="ac">
    <w:name w:val="Body Text Indent"/>
    <w:basedOn w:val="a"/>
    <w:pPr>
      <w:spacing w:after="120"/>
      <w:ind w:leftChars="200" w:left="420"/>
    </w:p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styleId="ad">
    <w:name w:val="Date"/>
    <w:basedOn w:val="a"/>
    <w:next w:val="a"/>
    <w:rPr>
      <w:rFonts w:ascii="宋体" w:eastAsia="宋体"/>
    </w:rPr>
  </w:style>
  <w:style w:type="paragraph" w:customStyle="1" w:styleId="Char1">
    <w:name w:val="Char"/>
    <w:basedOn w:val="a"/>
    <w:pPr>
      <w:tabs>
        <w:tab w:val="left" w:pos="360"/>
      </w:tabs>
    </w:pPr>
    <w:rPr>
      <w:rFonts w:eastAsia="宋体"/>
      <w:sz w:val="24"/>
    </w:rPr>
  </w:style>
  <w:style w:type="paragraph" w:customStyle="1" w:styleId="ae">
    <w:name w:val="附录款(一)"/>
    <w:basedOn w:val="a"/>
    <w:pPr>
      <w:spacing w:line="360" w:lineRule="auto"/>
    </w:pPr>
    <w:rPr>
      <w:rFonts w:eastAsia="宋体"/>
      <w:sz w:val="24"/>
    </w:rPr>
  </w:style>
  <w:style w:type="paragraph" w:customStyle="1" w:styleId="ParaChar">
    <w:name w:val="默认段落字体 Para Char"/>
    <w:basedOn w:val="a"/>
    <w:pPr>
      <w:numPr>
        <w:numId w:val="1"/>
      </w:numPr>
      <w:tabs>
        <w:tab w:val="left" w:pos="2013"/>
      </w:tabs>
      <w:spacing w:before="312" w:after="312" w:line="360" w:lineRule="auto"/>
    </w:pPr>
    <w:rPr>
      <w:rFonts w:eastAsia="宋体"/>
      <w:sz w:val="24"/>
    </w:rPr>
  </w:style>
  <w:style w:type="paragraph" w:styleId="20">
    <w:name w:val="Body Text 2"/>
    <w:basedOn w:val="a"/>
    <w:pPr>
      <w:spacing w:line="360" w:lineRule="auto"/>
      <w:ind w:firstLine="720"/>
    </w:pPr>
    <w:rPr>
      <w:rFonts w:ascii="仿宋_GB2312" w:eastAsia="仿宋_GB2312"/>
      <w:sz w:val="28"/>
    </w:rPr>
  </w:style>
  <w:style w:type="paragraph" w:styleId="af">
    <w:name w:val="Plain Text"/>
    <w:basedOn w:val="a"/>
    <w:rPr>
      <w:rFonts w:ascii="宋体" w:eastAsia="宋体" w:hAnsi="Courier New"/>
      <w:sz w:val="21"/>
    </w:rPr>
  </w:style>
  <w:style w:type="paragraph" w:styleId="a4">
    <w:name w:val="annotation text"/>
    <w:basedOn w:val="a"/>
    <w:link w:val="Char"/>
    <w:pPr>
      <w:jc w:val="left"/>
    </w:pPr>
    <w:rPr>
      <w:rFonts w:eastAsia="宋体"/>
      <w:sz w:val="21"/>
    </w:rPr>
  </w:style>
  <w:style w:type="paragraph" w:customStyle="1" w:styleId="CharCharCharChar">
    <w:name w:val=" Char Char Char Char"/>
    <w:basedOn w:val="a"/>
    <w:rPr>
      <w:rFonts w:ascii="Tahoma" w:eastAsia="宋体" w:hAnsi="Tahoma"/>
      <w:sz w:val="24"/>
    </w:rPr>
  </w:style>
  <w:style w:type="paragraph" w:customStyle="1" w:styleId="CharCharCharCharCharCharCharCharChar">
    <w:name w:val=" Char Char Char Char Char Char Char Char Char"/>
    <w:basedOn w:val="a"/>
    <w:pPr>
      <w:numPr>
        <w:numId w:val="2"/>
      </w:numPr>
      <w:tabs>
        <w:tab w:val="left" w:pos="1320"/>
      </w:tabs>
    </w:pPr>
    <w:rPr>
      <w:rFonts w:eastAsia="宋体"/>
      <w:sz w:val="24"/>
    </w:rPr>
  </w:style>
  <w:style w:type="paragraph" w:styleId="af0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1">
    <w:name w:val="正文条"/>
    <w:basedOn w:val="a"/>
    <w:pPr>
      <w:numPr>
        <w:numId w:val="3"/>
      </w:numPr>
      <w:tabs>
        <w:tab w:val="left" w:pos="1440"/>
      </w:tabs>
      <w:spacing w:line="360" w:lineRule="auto"/>
    </w:pPr>
    <w:rPr>
      <w:rFonts w:eastAsia="宋体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PlainText">
    <w:name w:val="Plain Text"/>
    <w:basedOn w:val="a"/>
    <w:pPr>
      <w:autoSpaceDE w:val="0"/>
      <w:autoSpaceDN w:val="0"/>
      <w:adjustRightInd w:val="0"/>
    </w:pPr>
    <w:rPr>
      <w:rFonts w:ascii="宋体" w:eastAsia="宋体" w:hint="eastAsia"/>
      <w:sz w:val="21"/>
    </w:rPr>
  </w:style>
  <w:style w:type="paragraph" w:styleId="af2">
    <w:name w:val="footnote text"/>
    <w:basedOn w:val="a"/>
    <w:pPr>
      <w:snapToGrid w:val="0"/>
      <w:jc w:val="left"/>
    </w:pPr>
    <w:rPr>
      <w:rFonts w:eastAsia="宋体"/>
      <w:sz w:val="18"/>
    </w:rPr>
  </w:style>
  <w:style w:type="paragraph" w:customStyle="1" w:styleId="Char1CharCharCharCharCharChar">
    <w:name w:val=" Char1 Char Char Char Char Char Char"/>
    <w:basedOn w:val="a"/>
    <w:rPr>
      <w:rFonts w:eastAsia="宋体"/>
      <w:sz w:val="21"/>
    </w:rPr>
  </w:style>
  <w:style w:type="paragraph" w:styleId="af3">
    <w:name w:val="Balloon Text"/>
    <w:basedOn w:val="a"/>
    <w:rPr>
      <w:sz w:val="18"/>
    </w:rPr>
  </w:style>
  <w:style w:type="paragraph" w:customStyle="1" w:styleId="CharCharCharCharCharCharChar">
    <w:name w:val=" Char Char Char Char Char Char Char"/>
    <w:basedOn w:val="a"/>
    <w:pPr>
      <w:tabs>
        <w:tab w:val="left" w:pos="360"/>
      </w:tabs>
    </w:pPr>
    <w:rPr>
      <w:rFonts w:eastAsia="宋体"/>
      <w:sz w:val="21"/>
    </w:rPr>
  </w:style>
  <w:style w:type="paragraph" w:customStyle="1" w:styleId="CharCharCharCharCharChar1CharCharChar">
    <w:name w:val=" Char Char Char Char Char Char1 Char Char Char"/>
    <w:basedOn w:val="a"/>
    <w:link w:val="a0"/>
    <w:pPr>
      <w:autoSpaceDE w:val="0"/>
      <w:autoSpaceDN w:val="0"/>
      <w:adjustRightInd w:val="0"/>
      <w:jc w:val="left"/>
      <w:textAlignment w:val="baseline"/>
    </w:pPr>
  </w:style>
  <w:style w:type="paragraph" w:styleId="aa">
    <w:name w:val="Body Text"/>
    <w:basedOn w:val="a"/>
    <w:link w:val="Char0"/>
    <w:pPr>
      <w:spacing w:after="120"/>
    </w:pPr>
  </w:style>
  <w:style w:type="paragraph" w:customStyle="1" w:styleId="Char2">
    <w:name w:val=" Char"/>
    <w:basedOn w:val="a"/>
    <w:link w:val="Char"/>
    <w:pPr>
      <w:tabs>
        <w:tab w:val="left" w:pos="360"/>
      </w:tabs>
      <w:spacing w:line="560" w:lineRule="exact"/>
    </w:pPr>
    <w:rPr>
      <w:rFonts w:eastAsia="宋体"/>
      <w:sz w:val="21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f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f6">
    <w:name w:val="endnote text"/>
    <w:basedOn w:val="a"/>
    <w:pPr>
      <w:snapToGrid w:val="0"/>
      <w:jc w:val="left"/>
    </w:pPr>
  </w:style>
  <w:style w:type="paragraph" w:styleId="af7">
    <w:name w:val="Revision"/>
    <w:hidden/>
    <w:uiPriority w:val="99"/>
    <w:semiHidden/>
    <w:rsid w:val="006C57E0"/>
    <w:rPr>
      <w:rFonts w:eastAsia="方正仿宋简体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bssdic.com&#65289;&#25110;&#25320;&#25171;&#26412;&#20844;&#21496;&#23458;&#26381;&#30005;&#35805;&#65288;400-880-6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013;&#22269;&#35777;&#21048;&#30417;&#30563;&#31649;&#29702;&#22996;&#21592;&#20250;&#20196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中国证券监督管理委员会令</Template>
  <TotalTime>0</TotalTime>
  <Pages>2</Pages>
  <Words>142</Words>
  <Characters>814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CSRC</Company>
  <LinksUpToDate>false</LinksUpToDate>
  <CharactersWithSpaces>955</CharactersWithSpaces>
  <SharedDoc>false</SharedDoc>
  <HLinks>
    <vt:vector size="6" baseType="variant">
      <vt:variant>
        <vt:i4>-2137373312</vt:i4>
      </vt:variant>
      <vt:variant>
        <vt:i4>0</vt:i4>
      </vt:variant>
      <vt:variant>
        <vt:i4>0</vt:i4>
      </vt:variant>
      <vt:variant>
        <vt:i4>5</vt:i4>
      </vt:variant>
      <vt:variant>
        <vt:lpwstr>http://www.ubssdic.com）或拨打本公司客服电话（400-880-6868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证监机构字[1999]44号</dc:title>
  <dc:subject/>
  <dc:creator>123</dc:creator>
  <cp:keywords/>
  <cp:lastModifiedBy>JonMMx 2000</cp:lastModifiedBy>
  <cp:revision>2</cp:revision>
  <cp:lastPrinted>2010-11-24T09:24:00Z</cp:lastPrinted>
  <dcterms:created xsi:type="dcterms:W3CDTF">2019-11-19T16:00:00Z</dcterms:created>
  <dcterms:modified xsi:type="dcterms:W3CDTF">2019-11-19T16:00:00Z</dcterms:modified>
</cp:coreProperties>
</file>