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8E1" w:rsidRDefault="00D224E2" w:rsidP="004843E5">
      <w:pPr>
        <w:spacing w:line="360" w:lineRule="auto"/>
        <w:ind w:firstLineChars="200" w:firstLine="482"/>
        <w:jc w:val="center"/>
        <w:rPr>
          <w:rFonts w:hAnsi="宋体"/>
          <w:b/>
          <w:color w:val="000000"/>
          <w:szCs w:val="28"/>
        </w:rPr>
      </w:pPr>
      <w:r w:rsidRPr="00D224E2">
        <w:rPr>
          <w:rFonts w:hAnsi="宋体" w:hint="eastAsia"/>
          <w:b/>
          <w:color w:val="000000"/>
          <w:szCs w:val="28"/>
        </w:rPr>
        <w:t>汇添富基金管理股份有限公司关于</w:t>
      </w:r>
      <w:r w:rsidR="007848E1" w:rsidRPr="007848E1">
        <w:rPr>
          <w:rFonts w:hAnsi="宋体" w:hint="eastAsia"/>
          <w:b/>
          <w:color w:val="000000"/>
          <w:szCs w:val="28"/>
        </w:rPr>
        <w:t>旗下部分基金增加</w:t>
      </w:r>
    </w:p>
    <w:p w:rsidR="00D224E2" w:rsidRDefault="007848E1" w:rsidP="004843E5">
      <w:pPr>
        <w:spacing w:line="360" w:lineRule="auto"/>
        <w:ind w:firstLineChars="200" w:firstLine="482"/>
        <w:jc w:val="center"/>
        <w:rPr>
          <w:rFonts w:hAnsi="宋体"/>
          <w:b/>
          <w:color w:val="000000"/>
          <w:szCs w:val="28"/>
        </w:rPr>
      </w:pPr>
      <w:r w:rsidRPr="007848E1">
        <w:rPr>
          <w:rFonts w:hAnsi="宋体" w:hint="eastAsia"/>
          <w:b/>
          <w:color w:val="000000"/>
          <w:szCs w:val="28"/>
        </w:rPr>
        <w:t>腾安基金为代销机构的公告</w:t>
      </w:r>
    </w:p>
    <w:p w:rsidR="00F557F4" w:rsidRDefault="00E240CB" w:rsidP="008C4A3D">
      <w:pPr>
        <w:spacing w:line="360" w:lineRule="auto"/>
        <w:ind w:firstLineChars="200" w:firstLine="480"/>
        <w:rPr>
          <w:rFonts w:hint="eastAsia"/>
          <w:bCs/>
        </w:rPr>
      </w:pPr>
      <w:r w:rsidRPr="00E240CB">
        <w:rPr>
          <w:rFonts w:hAnsi="宋体" w:hint="eastAsia"/>
          <w:color w:val="000000"/>
        </w:rPr>
        <w:t>为更好地满足广大投资者的理财需求，</w:t>
      </w:r>
      <w:r w:rsidR="00F557F4" w:rsidRPr="00F557F4">
        <w:rPr>
          <w:rFonts w:hint="eastAsia"/>
          <w:bCs/>
        </w:rPr>
        <w:t>汇添富基金管理股份有限公司（以下简称“本公司”）</w:t>
      </w:r>
      <w:r w:rsidR="00CA524B">
        <w:rPr>
          <w:rFonts w:hint="eastAsia"/>
          <w:bCs/>
        </w:rPr>
        <w:t>与</w:t>
      </w:r>
      <w:r w:rsidR="0056074B" w:rsidRPr="0056074B">
        <w:rPr>
          <w:rFonts w:hint="eastAsia"/>
          <w:bCs/>
        </w:rPr>
        <w:t>腾安基金销售（深圳）有限公司</w:t>
      </w:r>
      <w:r w:rsidR="00B82B00">
        <w:rPr>
          <w:rFonts w:hint="eastAsia"/>
          <w:bCs/>
        </w:rPr>
        <w:t>（以下简称“</w:t>
      </w:r>
      <w:r w:rsidR="00B82B00" w:rsidRPr="00B82B00">
        <w:rPr>
          <w:rFonts w:hint="eastAsia"/>
          <w:bCs/>
        </w:rPr>
        <w:t>腾安基金</w:t>
      </w:r>
      <w:r w:rsidR="00B82B00">
        <w:rPr>
          <w:rFonts w:hint="eastAsia"/>
          <w:bCs/>
        </w:rPr>
        <w:t>”）</w:t>
      </w:r>
      <w:r w:rsidR="00CA524B">
        <w:rPr>
          <w:rFonts w:hint="eastAsia"/>
          <w:bCs/>
        </w:rPr>
        <w:t>协商一致</w:t>
      </w:r>
      <w:r w:rsidR="00F557F4" w:rsidRPr="00F557F4">
        <w:rPr>
          <w:rFonts w:hint="eastAsia"/>
          <w:bCs/>
        </w:rPr>
        <w:t>，决定自</w:t>
      </w:r>
      <w:r w:rsidR="00A94A12">
        <w:rPr>
          <w:rFonts w:hint="eastAsia"/>
          <w:bCs/>
        </w:rPr>
        <w:t>201</w:t>
      </w:r>
      <w:r w:rsidR="00A94A12">
        <w:rPr>
          <w:bCs/>
        </w:rPr>
        <w:t>9</w:t>
      </w:r>
      <w:r w:rsidR="00A94A12" w:rsidRPr="00F557F4">
        <w:rPr>
          <w:rFonts w:hint="eastAsia"/>
          <w:bCs/>
        </w:rPr>
        <w:t>年</w:t>
      </w:r>
      <w:r w:rsidR="00A94A12">
        <w:rPr>
          <w:bCs/>
        </w:rPr>
        <w:t>11</w:t>
      </w:r>
      <w:r w:rsidR="001F1394" w:rsidRPr="00F557F4">
        <w:rPr>
          <w:rFonts w:hint="eastAsia"/>
          <w:bCs/>
        </w:rPr>
        <w:t>月</w:t>
      </w:r>
      <w:r w:rsidR="00D224E2">
        <w:rPr>
          <w:bCs/>
        </w:rPr>
        <w:t>18</w:t>
      </w:r>
      <w:r w:rsidR="00F557F4" w:rsidRPr="00F557F4">
        <w:rPr>
          <w:rFonts w:hint="eastAsia"/>
          <w:bCs/>
        </w:rPr>
        <w:t>日起，</w:t>
      </w:r>
      <w:r w:rsidR="007848E1" w:rsidRPr="007848E1">
        <w:rPr>
          <w:rFonts w:hint="eastAsia"/>
          <w:bCs/>
        </w:rPr>
        <w:t>本公司新增</w:t>
      </w:r>
      <w:r w:rsidR="007848E1" w:rsidRPr="00B82B00">
        <w:rPr>
          <w:rFonts w:hint="eastAsia"/>
          <w:bCs/>
        </w:rPr>
        <w:t>腾安基金</w:t>
      </w:r>
      <w:r w:rsidR="007848E1" w:rsidRPr="007848E1">
        <w:rPr>
          <w:rFonts w:hint="eastAsia"/>
          <w:bCs/>
        </w:rPr>
        <w:t>为旗下部分基金的代销机构。现将相关事项公告如下：</w:t>
      </w:r>
    </w:p>
    <w:p w:rsidR="00F557F4" w:rsidRDefault="00F557F4" w:rsidP="008C4A3D">
      <w:pPr>
        <w:spacing w:line="360" w:lineRule="auto"/>
        <w:ind w:firstLineChars="200" w:firstLine="482"/>
        <w:rPr>
          <w:rFonts w:hint="eastAsia"/>
          <w:b/>
          <w:bCs/>
        </w:rPr>
      </w:pPr>
      <w:r w:rsidRPr="008C4A3D">
        <w:rPr>
          <w:rFonts w:hint="eastAsia"/>
          <w:b/>
          <w:bCs/>
        </w:rPr>
        <w:t>一、适用基金</w:t>
      </w:r>
    </w:p>
    <w:tbl>
      <w:tblPr>
        <w:tblW w:w="8139" w:type="dxa"/>
        <w:jc w:val="center"/>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512"/>
        <w:gridCol w:w="4777"/>
      </w:tblGrid>
      <w:tr w:rsidR="00A94A12" w:rsidRPr="001851E5" w:rsidTr="001C33C3">
        <w:trPr>
          <w:trHeight w:val="270"/>
          <w:jc w:val="center"/>
        </w:trPr>
        <w:tc>
          <w:tcPr>
            <w:tcW w:w="850" w:type="dxa"/>
            <w:shd w:val="clear" w:color="auto" w:fill="auto"/>
            <w:noWrap/>
            <w:hideMark/>
          </w:tcPr>
          <w:p w:rsidR="00A94A12" w:rsidRPr="00F66D6C" w:rsidRDefault="00A94A12" w:rsidP="00A94A12">
            <w:pPr>
              <w:jc w:val="center"/>
              <w:rPr>
                <w:color w:val="000000"/>
                <w:sz w:val="22"/>
              </w:rPr>
            </w:pPr>
            <w:r>
              <w:rPr>
                <w:rFonts w:hint="eastAsia"/>
                <w:color w:val="000000"/>
                <w:sz w:val="22"/>
              </w:rPr>
              <w:t>序号</w:t>
            </w:r>
          </w:p>
        </w:tc>
        <w:tc>
          <w:tcPr>
            <w:tcW w:w="2512" w:type="dxa"/>
            <w:shd w:val="clear" w:color="auto" w:fill="auto"/>
            <w:noWrap/>
            <w:hideMark/>
          </w:tcPr>
          <w:p w:rsidR="00A94A12" w:rsidRPr="00F66D6C" w:rsidRDefault="00A94A12" w:rsidP="00A94A12">
            <w:pPr>
              <w:jc w:val="center"/>
              <w:rPr>
                <w:color w:val="000000"/>
                <w:sz w:val="22"/>
              </w:rPr>
            </w:pPr>
            <w:r w:rsidRPr="00F66D6C">
              <w:rPr>
                <w:color w:val="000000"/>
                <w:sz w:val="22"/>
              </w:rPr>
              <w:t>基金</w:t>
            </w:r>
            <w:r>
              <w:rPr>
                <w:rFonts w:hint="eastAsia"/>
                <w:color w:val="000000"/>
                <w:sz w:val="22"/>
              </w:rPr>
              <w:t>代码</w:t>
            </w:r>
          </w:p>
        </w:tc>
        <w:tc>
          <w:tcPr>
            <w:tcW w:w="4777" w:type="dxa"/>
          </w:tcPr>
          <w:p w:rsidR="00A94A12" w:rsidRPr="00F66D6C" w:rsidRDefault="00A94A12" w:rsidP="00A94A12">
            <w:pPr>
              <w:jc w:val="center"/>
              <w:rPr>
                <w:color w:val="000000"/>
                <w:sz w:val="22"/>
              </w:rPr>
            </w:pPr>
            <w:r w:rsidRPr="00F66D6C">
              <w:rPr>
                <w:color w:val="000000"/>
                <w:sz w:val="22"/>
              </w:rPr>
              <w:t>基金</w:t>
            </w:r>
            <w:r>
              <w:rPr>
                <w:rFonts w:hint="eastAsia"/>
                <w:color w:val="000000"/>
                <w:sz w:val="22"/>
              </w:rPr>
              <w:t>简称</w:t>
            </w:r>
          </w:p>
        </w:tc>
      </w:tr>
      <w:tr w:rsidR="00A94A12" w:rsidRPr="001851E5" w:rsidTr="001C33C3">
        <w:trPr>
          <w:trHeight w:val="270"/>
          <w:jc w:val="center"/>
        </w:trPr>
        <w:tc>
          <w:tcPr>
            <w:tcW w:w="850" w:type="dxa"/>
            <w:shd w:val="clear" w:color="auto" w:fill="auto"/>
            <w:noWrap/>
          </w:tcPr>
          <w:p w:rsidR="00A94A12" w:rsidRPr="001C2887" w:rsidRDefault="00A94A12" w:rsidP="00A94A12">
            <w:pPr>
              <w:jc w:val="center"/>
              <w:rPr>
                <w:rFonts w:ascii="宋体" w:hAnsi="宋体"/>
                <w:color w:val="000000"/>
                <w:sz w:val="22"/>
                <w:szCs w:val="22"/>
              </w:rPr>
            </w:pPr>
            <w:r w:rsidRPr="001C2887">
              <w:rPr>
                <w:rFonts w:ascii="宋体" w:hAnsi="宋体" w:hint="eastAsia"/>
                <w:color w:val="000000"/>
                <w:sz w:val="22"/>
                <w:szCs w:val="22"/>
              </w:rPr>
              <w:t>1</w:t>
            </w:r>
          </w:p>
        </w:tc>
        <w:tc>
          <w:tcPr>
            <w:tcW w:w="2512" w:type="dxa"/>
            <w:shd w:val="clear" w:color="auto" w:fill="auto"/>
            <w:noWrap/>
            <w:vAlign w:val="center"/>
          </w:tcPr>
          <w:p w:rsidR="00A94A12" w:rsidRPr="001C2887" w:rsidRDefault="00A94A12" w:rsidP="00A94A12">
            <w:pPr>
              <w:jc w:val="center"/>
              <w:rPr>
                <w:rFonts w:ascii="宋体" w:hAnsi="宋体"/>
                <w:color w:val="000000"/>
                <w:sz w:val="22"/>
                <w:szCs w:val="22"/>
              </w:rPr>
            </w:pPr>
            <w:r w:rsidRPr="001C2887">
              <w:rPr>
                <w:rFonts w:ascii="宋体" w:hAnsi="宋体" w:hint="eastAsia"/>
                <w:color w:val="000000"/>
                <w:sz w:val="22"/>
                <w:szCs w:val="22"/>
              </w:rPr>
              <w:t>470058</w:t>
            </w:r>
          </w:p>
        </w:tc>
        <w:tc>
          <w:tcPr>
            <w:tcW w:w="4777" w:type="dxa"/>
            <w:vAlign w:val="center"/>
          </w:tcPr>
          <w:p w:rsidR="00A94A12" w:rsidRPr="001C2887" w:rsidRDefault="00A94A12" w:rsidP="00A94A12">
            <w:pPr>
              <w:jc w:val="center"/>
              <w:rPr>
                <w:rFonts w:ascii="宋体" w:hAnsi="宋体"/>
                <w:color w:val="000000"/>
                <w:sz w:val="22"/>
                <w:szCs w:val="22"/>
              </w:rPr>
            </w:pPr>
            <w:r w:rsidRPr="001C2887">
              <w:rPr>
                <w:rFonts w:ascii="宋体" w:hAnsi="宋体" w:hint="eastAsia"/>
                <w:sz w:val="22"/>
                <w:szCs w:val="22"/>
              </w:rPr>
              <w:t>汇添富可转换债券A</w:t>
            </w:r>
          </w:p>
        </w:tc>
      </w:tr>
      <w:tr w:rsidR="00A94A12" w:rsidRPr="001851E5" w:rsidTr="001C33C3">
        <w:trPr>
          <w:trHeight w:val="270"/>
          <w:jc w:val="center"/>
        </w:trPr>
        <w:tc>
          <w:tcPr>
            <w:tcW w:w="850" w:type="dxa"/>
            <w:shd w:val="clear" w:color="auto" w:fill="auto"/>
            <w:noWrap/>
          </w:tcPr>
          <w:p w:rsidR="00A94A12" w:rsidRPr="001C2887" w:rsidRDefault="00A94A12" w:rsidP="00A94A12">
            <w:pPr>
              <w:jc w:val="center"/>
              <w:rPr>
                <w:rFonts w:ascii="宋体" w:hAnsi="宋体"/>
                <w:color w:val="000000"/>
                <w:sz w:val="22"/>
                <w:szCs w:val="22"/>
              </w:rPr>
            </w:pPr>
            <w:r w:rsidRPr="001C2887">
              <w:rPr>
                <w:rFonts w:ascii="宋体" w:hAnsi="宋体" w:hint="eastAsia"/>
                <w:color w:val="000000"/>
                <w:sz w:val="22"/>
                <w:szCs w:val="22"/>
              </w:rPr>
              <w:t>2</w:t>
            </w:r>
          </w:p>
        </w:tc>
        <w:tc>
          <w:tcPr>
            <w:tcW w:w="2512" w:type="dxa"/>
            <w:shd w:val="clear" w:color="auto" w:fill="auto"/>
            <w:noWrap/>
            <w:vAlign w:val="center"/>
          </w:tcPr>
          <w:p w:rsidR="00A94A12" w:rsidRPr="001C2887" w:rsidRDefault="00A94A12" w:rsidP="00A94A12">
            <w:pPr>
              <w:jc w:val="center"/>
              <w:rPr>
                <w:rFonts w:ascii="宋体" w:hAnsi="宋体"/>
                <w:color w:val="000000"/>
                <w:sz w:val="22"/>
                <w:szCs w:val="22"/>
              </w:rPr>
            </w:pPr>
            <w:r w:rsidRPr="001C2887">
              <w:rPr>
                <w:rFonts w:ascii="宋体" w:hAnsi="宋体" w:hint="eastAsia"/>
                <w:color w:val="000000"/>
                <w:sz w:val="22"/>
                <w:szCs w:val="22"/>
              </w:rPr>
              <w:t>470059</w:t>
            </w:r>
          </w:p>
        </w:tc>
        <w:tc>
          <w:tcPr>
            <w:tcW w:w="4777" w:type="dxa"/>
            <w:vAlign w:val="center"/>
          </w:tcPr>
          <w:p w:rsidR="00A94A12" w:rsidRPr="001C2887" w:rsidRDefault="00A94A12" w:rsidP="00A94A12">
            <w:pPr>
              <w:jc w:val="center"/>
              <w:rPr>
                <w:rFonts w:ascii="宋体" w:hAnsi="宋体"/>
                <w:color w:val="000000"/>
                <w:sz w:val="22"/>
                <w:szCs w:val="22"/>
              </w:rPr>
            </w:pPr>
            <w:r w:rsidRPr="001C2887">
              <w:rPr>
                <w:rFonts w:ascii="宋体" w:hAnsi="宋体" w:hint="eastAsia"/>
                <w:sz w:val="22"/>
                <w:szCs w:val="22"/>
              </w:rPr>
              <w:t>汇添富可转换债券C</w:t>
            </w:r>
          </w:p>
        </w:tc>
      </w:tr>
      <w:tr w:rsidR="00A94A12" w:rsidRPr="001851E5" w:rsidTr="001C33C3">
        <w:trPr>
          <w:trHeight w:val="270"/>
          <w:jc w:val="center"/>
        </w:trPr>
        <w:tc>
          <w:tcPr>
            <w:tcW w:w="850" w:type="dxa"/>
            <w:shd w:val="clear" w:color="auto" w:fill="auto"/>
            <w:noWrap/>
          </w:tcPr>
          <w:p w:rsidR="00A94A12" w:rsidRPr="001C2887" w:rsidRDefault="00A94A12" w:rsidP="00A94A12">
            <w:pPr>
              <w:jc w:val="center"/>
              <w:rPr>
                <w:rFonts w:ascii="宋体" w:hAnsi="宋体"/>
                <w:color w:val="000000"/>
                <w:sz w:val="22"/>
                <w:szCs w:val="22"/>
              </w:rPr>
            </w:pPr>
            <w:r w:rsidRPr="001C2887">
              <w:rPr>
                <w:rFonts w:ascii="宋体" w:hAnsi="宋体" w:hint="eastAsia"/>
                <w:color w:val="000000"/>
                <w:sz w:val="22"/>
                <w:szCs w:val="22"/>
              </w:rPr>
              <w:t>3</w:t>
            </w:r>
          </w:p>
        </w:tc>
        <w:tc>
          <w:tcPr>
            <w:tcW w:w="2512" w:type="dxa"/>
            <w:shd w:val="clear" w:color="auto" w:fill="auto"/>
            <w:noWrap/>
            <w:vAlign w:val="center"/>
          </w:tcPr>
          <w:p w:rsidR="00A94A12" w:rsidRPr="001C2887" w:rsidRDefault="00A94A12" w:rsidP="00A94A12">
            <w:pPr>
              <w:jc w:val="center"/>
              <w:rPr>
                <w:rFonts w:ascii="宋体" w:hAnsi="宋体"/>
                <w:color w:val="000000"/>
                <w:sz w:val="22"/>
                <w:szCs w:val="22"/>
              </w:rPr>
            </w:pPr>
            <w:r w:rsidRPr="001C2887">
              <w:rPr>
                <w:rFonts w:ascii="宋体" w:hAnsi="宋体" w:hint="eastAsia"/>
                <w:color w:val="000000"/>
                <w:sz w:val="22"/>
                <w:szCs w:val="22"/>
              </w:rPr>
              <w:t>000406</w:t>
            </w:r>
          </w:p>
        </w:tc>
        <w:tc>
          <w:tcPr>
            <w:tcW w:w="4777" w:type="dxa"/>
            <w:vAlign w:val="center"/>
          </w:tcPr>
          <w:p w:rsidR="00A94A12" w:rsidRPr="001C2887" w:rsidRDefault="00A94A12" w:rsidP="00A94A12">
            <w:pPr>
              <w:jc w:val="center"/>
              <w:rPr>
                <w:rFonts w:ascii="宋体" w:hAnsi="宋体"/>
                <w:color w:val="000000"/>
                <w:sz w:val="22"/>
                <w:szCs w:val="22"/>
              </w:rPr>
            </w:pPr>
            <w:r w:rsidRPr="001C2887">
              <w:rPr>
                <w:rFonts w:ascii="宋体" w:hAnsi="宋体" w:hint="eastAsia"/>
                <w:sz w:val="22"/>
                <w:szCs w:val="22"/>
              </w:rPr>
              <w:t>汇添富双利增强债券A</w:t>
            </w:r>
          </w:p>
        </w:tc>
      </w:tr>
      <w:tr w:rsidR="00A94A12" w:rsidRPr="001851E5" w:rsidTr="001C33C3">
        <w:trPr>
          <w:trHeight w:val="270"/>
          <w:jc w:val="center"/>
        </w:trPr>
        <w:tc>
          <w:tcPr>
            <w:tcW w:w="850" w:type="dxa"/>
            <w:shd w:val="clear" w:color="auto" w:fill="auto"/>
            <w:noWrap/>
          </w:tcPr>
          <w:p w:rsidR="00A94A12" w:rsidRPr="001C2887" w:rsidRDefault="00A94A12" w:rsidP="00A94A12">
            <w:pPr>
              <w:jc w:val="center"/>
              <w:rPr>
                <w:rFonts w:ascii="宋体" w:hAnsi="宋体"/>
                <w:color w:val="000000"/>
                <w:sz w:val="22"/>
                <w:szCs w:val="22"/>
              </w:rPr>
            </w:pPr>
            <w:r w:rsidRPr="001C2887">
              <w:rPr>
                <w:rFonts w:ascii="宋体" w:hAnsi="宋体" w:hint="eastAsia"/>
                <w:color w:val="000000"/>
                <w:sz w:val="22"/>
                <w:szCs w:val="22"/>
              </w:rPr>
              <w:t>4</w:t>
            </w:r>
          </w:p>
        </w:tc>
        <w:tc>
          <w:tcPr>
            <w:tcW w:w="2512" w:type="dxa"/>
            <w:shd w:val="clear" w:color="auto" w:fill="auto"/>
            <w:noWrap/>
            <w:vAlign w:val="center"/>
          </w:tcPr>
          <w:p w:rsidR="00A94A12" w:rsidRPr="001C2887" w:rsidRDefault="00A94A12" w:rsidP="00A94A12">
            <w:pPr>
              <w:jc w:val="center"/>
              <w:rPr>
                <w:rFonts w:ascii="宋体" w:hAnsi="宋体"/>
                <w:color w:val="000000"/>
                <w:sz w:val="22"/>
                <w:szCs w:val="22"/>
              </w:rPr>
            </w:pPr>
            <w:r w:rsidRPr="001C2887">
              <w:rPr>
                <w:rFonts w:ascii="宋体" w:hAnsi="宋体" w:hint="eastAsia"/>
                <w:color w:val="000000"/>
                <w:sz w:val="22"/>
                <w:szCs w:val="22"/>
              </w:rPr>
              <w:t>000407</w:t>
            </w:r>
          </w:p>
        </w:tc>
        <w:tc>
          <w:tcPr>
            <w:tcW w:w="4777" w:type="dxa"/>
            <w:vAlign w:val="center"/>
          </w:tcPr>
          <w:p w:rsidR="00A94A12" w:rsidRPr="001C2887" w:rsidRDefault="00A94A12" w:rsidP="00A94A12">
            <w:pPr>
              <w:jc w:val="center"/>
              <w:rPr>
                <w:rFonts w:ascii="宋体" w:hAnsi="宋体"/>
                <w:color w:val="000000"/>
                <w:sz w:val="22"/>
                <w:szCs w:val="22"/>
              </w:rPr>
            </w:pPr>
            <w:r w:rsidRPr="001C2887">
              <w:rPr>
                <w:rFonts w:ascii="宋体" w:hAnsi="宋体" w:hint="eastAsia"/>
                <w:sz w:val="22"/>
                <w:szCs w:val="22"/>
              </w:rPr>
              <w:t>汇添富双利增强债券C</w:t>
            </w:r>
          </w:p>
        </w:tc>
      </w:tr>
    </w:tbl>
    <w:p w:rsidR="007848E1" w:rsidRDefault="007848E1" w:rsidP="007848E1">
      <w:pPr>
        <w:adjustRightInd w:val="0"/>
        <w:snapToGrid w:val="0"/>
        <w:spacing w:line="440" w:lineRule="exact"/>
        <w:ind w:firstLineChars="196" w:firstLine="470"/>
        <w:rPr>
          <w:rFonts w:ascii="宋体" w:hAnsi="宋体" w:cs="宋体"/>
          <w:color w:val="000000"/>
          <w:szCs w:val="21"/>
        </w:rPr>
      </w:pPr>
      <w:r w:rsidRPr="007848E1">
        <w:rPr>
          <w:rFonts w:ascii="宋体" w:hAnsi="宋体" w:cs="宋体" w:hint="eastAsia"/>
          <w:color w:val="000000"/>
          <w:szCs w:val="21"/>
        </w:rPr>
        <w:t>自</w:t>
      </w:r>
      <w:r>
        <w:rPr>
          <w:rFonts w:hint="eastAsia"/>
          <w:bCs/>
        </w:rPr>
        <w:t>201</w:t>
      </w:r>
      <w:r>
        <w:rPr>
          <w:bCs/>
        </w:rPr>
        <w:t>9</w:t>
      </w:r>
      <w:r w:rsidRPr="00F557F4">
        <w:rPr>
          <w:rFonts w:hint="eastAsia"/>
          <w:bCs/>
        </w:rPr>
        <w:t>年</w:t>
      </w:r>
      <w:r>
        <w:rPr>
          <w:bCs/>
        </w:rPr>
        <w:t>11</w:t>
      </w:r>
      <w:r w:rsidRPr="00F557F4">
        <w:rPr>
          <w:rFonts w:hint="eastAsia"/>
          <w:bCs/>
        </w:rPr>
        <w:t>月</w:t>
      </w:r>
      <w:r>
        <w:rPr>
          <w:bCs/>
        </w:rPr>
        <w:t>18</w:t>
      </w:r>
      <w:r w:rsidRPr="00F557F4">
        <w:rPr>
          <w:rFonts w:hint="eastAsia"/>
          <w:bCs/>
        </w:rPr>
        <w:t>日</w:t>
      </w:r>
      <w:r w:rsidRPr="007848E1">
        <w:rPr>
          <w:rFonts w:ascii="宋体" w:hAnsi="宋体" w:cs="宋体" w:hint="eastAsia"/>
          <w:color w:val="000000"/>
          <w:szCs w:val="21"/>
        </w:rPr>
        <w:t>起，投资人可通过</w:t>
      </w:r>
      <w:r w:rsidRPr="00B82B00">
        <w:rPr>
          <w:rFonts w:hint="eastAsia"/>
          <w:bCs/>
        </w:rPr>
        <w:t>腾安基金</w:t>
      </w:r>
      <w:r w:rsidRPr="007848E1">
        <w:rPr>
          <w:rFonts w:ascii="宋体" w:hAnsi="宋体" w:cs="宋体" w:hint="eastAsia"/>
          <w:color w:val="000000"/>
          <w:szCs w:val="21"/>
        </w:rPr>
        <w:t>办理上述列表中对应基金的开户、申购、赎回等业务，具体的业务流程、办理方式和费率优惠活动以</w:t>
      </w:r>
      <w:r w:rsidRPr="00B82B00">
        <w:rPr>
          <w:rFonts w:hint="eastAsia"/>
          <w:bCs/>
        </w:rPr>
        <w:t>腾安基金</w:t>
      </w:r>
      <w:r w:rsidRPr="007848E1">
        <w:rPr>
          <w:rFonts w:ascii="宋体" w:hAnsi="宋体" w:cs="宋体" w:hint="eastAsia"/>
          <w:color w:val="000000"/>
          <w:szCs w:val="21"/>
        </w:rPr>
        <w:t>的规定为准。</w:t>
      </w:r>
    </w:p>
    <w:p w:rsidR="007848E1" w:rsidRPr="00D2251E" w:rsidRDefault="007848E1" w:rsidP="007848E1">
      <w:pPr>
        <w:adjustRightInd w:val="0"/>
        <w:snapToGrid w:val="0"/>
        <w:spacing w:line="440" w:lineRule="exact"/>
        <w:ind w:firstLineChars="196" w:firstLine="470"/>
        <w:rPr>
          <w:rFonts w:ascii="宋体" w:hAnsi="宋体" w:hint="eastAsia"/>
          <w:b/>
          <w:color w:val="000000"/>
          <w:szCs w:val="21"/>
        </w:rPr>
      </w:pPr>
      <w:r>
        <w:rPr>
          <w:rFonts w:hint="eastAsia"/>
          <w:bCs/>
        </w:rPr>
        <w:t>上述基金在腾安基金的最低申购金额、</w:t>
      </w:r>
      <w:r w:rsidRPr="00232CB4">
        <w:rPr>
          <w:rFonts w:hint="eastAsia"/>
          <w:bCs/>
        </w:rPr>
        <w:t>最低追加金额</w:t>
      </w:r>
      <w:r>
        <w:rPr>
          <w:rFonts w:hint="eastAsia"/>
          <w:bCs/>
        </w:rPr>
        <w:t>为</w:t>
      </w:r>
      <w:r>
        <w:rPr>
          <w:rFonts w:hint="eastAsia"/>
          <w:bCs/>
        </w:rPr>
        <w:t>1</w:t>
      </w:r>
      <w:r>
        <w:rPr>
          <w:rFonts w:hint="eastAsia"/>
          <w:bCs/>
        </w:rPr>
        <w:t>元</w:t>
      </w:r>
      <w:r>
        <w:rPr>
          <w:bCs/>
        </w:rPr>
        <w:t>，最低赎回份额和</w:t>
      </w:r>
      <w:r w:rsidRPr="00CA524B">
        <w:rPr>
          <w:rFonts w:hint="eastAsia"/>
          <w:bCs/>
        </w:rPr>
        <w:t>最低账户持有份额为</w:t>
      </w:r>
      <w:r>
        <w:rPr>
          <w:rFonts w:hint="eastAsia"/>
          <w:bCs/>
        </w:rPr>
        <w:t>0.</w:t>
      </w:r>
      <w:r>
        <w:rPr>
          <w:bCs/>
        </w:rPr>
        <w:t>1</w:t>
      </w:r>
      <w:r w:rsidRPr="00CA524B">
        <w:rPr>
          <w:rFonts w:hint="eastAsia"/>
          <w:bCs/>
        </w:rPr>
        <w:t>份</w:t>
      </w:r>
      <w:r w:rsidRPr="00455E11">
        <w:rPr>
          <w:rFonts w:hint="eastAsia"/>
          <w:bCs/>
        </w:rPr>
        <w:t>。</w:t>
      </w:r>
      <w:r w:rsidRPr="00F854BB">
        <w:rPr>
          <w:rFonts w:hint="eastAsia"/>
          <w:bCs/>
        </w:rPr>
        <w:t>基金份额持有人在</w:t>
      </w:r>
      <w:r>
        <w:rPr>
          <w:rFonts w:hint="eastAsia"/>
          <w:bCs/>
        </w:rPr>
        <w:t>腾安基金</w:t>
      </w:r>
      <w:r w:rsidRPr="00F854BB">
        <w:rPr>
          <w:rFonts w:hint="eastAsia"/>
          <w:bCs/>
        </w:rPr>
        <w:t>保留的</w:t>
      </w:r>
      <w:r>
        <w:rPr>
          <w:rFonts w:hint="eastAsia"/>
          <w:bCs/>
        </w:rPr>
        <w:t>本基金</w:t>
      </w:r>
      <w:r w:rsidRPr="00F854BB">
        <w:rPr>
          <w:rFonts w:hint="eastAsia"/>
          <w:bCs/>
        </w:rPr>
        <w:t>份额不足</w:t>
      </w:r>
      <w:r>
        <w:rPr>
          <w:rFonts w:hint="eastAsia"/>
          <w:bCs/>
        </w:rPr>
        <w:t>0.</w:t>
      </w:r>
      <w:r w:rsidRPr="00F854BB">
        <w:rPr>
          <w:rFonts w:hint="eastAsia"/>
          <w:bCs/>
        </w:rPr>
        <w:t>1</w:t>
      </w:r>
      <w:r w:rsidRPr="00F854BB">
        <w:rPr>
          <w:rFonts w:hint="eastAsia"/>
          <w:bCs/>
        </w:rPr>
        <w:t>份，登记系统有权将全部剩余份额自动赎回。</w:t>
      </w:r>
    </w:p>
    <w:p w:rsidR="007848E1" w:rsidRDefault="007848E1" w:rsidP="007848E1">
      <w:pPr>
        <w:spacing w:line="360" w:lineRule="auto"/>
        <w:ind w:firstLineChars="200" w:firstLine="480"/>
        <w:rPr>
          <w:bCs/>
        </w:rPr>
      </w:pPr>
      <w:r w:rsidRPr="007848E1">
        <w:rPr>
          <w:rFonts w:ascii="宋体" w:hAnsi="宋体" w:cs="宋体" w:hint="eastAsia"/>
          <w:color w:val="000000"/>
          <w:szCs w:val="21"/>
        </w:rPr>
        <w:t>上述申购、赎回等业务仅适用于处于正常申购期及处于特定开放日和开放时间的基金。基金封闭期等特殊期间的有关规定详见对应基金的《基金合同》和《招募说明书》等相关法律文件及本公司发布的最新业务公告。</w:t>
      </w:r>
    </w:p>
    <w:p w:rsidR="008C4A3D" w:rsidRPr="00CA34E8" w:rsidRDefault="00574DEA" w:rsidP="008C4A3D">
      <w:pPr>
        <w:spacing w:line="360" w:lineRule="auto"/>
        <w:ind w:firstLineChars="200" w:firstLine="482"/>
        <w:rPr>
          <w:b/>
          <w:bCs/>
        </w:rPr>
      </w:pPr>
      <w:r>
        <w:rPr>
          <w:rFonts w:hint="eastAsia"/>
          <w:b/>
          <w:bCs/>
        </w:rPr>
        <w:t>二</w:t>
      </w:r>
      <w:r w:rsidR="008C4A3D" w:rsidRPr="00CA34E8">
        <w:rPr>
          <w:b/>
          <w:bCs/>
        </w:rPr>
        <w:t>、投资者可通过以下途径咨询有关详情</w:t>
      </w:r>
    </w:p>
    <w:p w:rsidR="00CA524B" w:rsidRDefault="00CA524B" w:rsidP="00CA524B">
      <w:pPr>
        <w:spacing w:line="360" w:lineRule="auto"/>
        <w:ind w:firstLineChars="200" w:firstLine="480"/>
        <w:rPr>
          <w:rFonts w:ascii="宋体" w:hAnsi="宋体" w:cs="宋体" w:hint="eastAsia"/>
        </w:rPr>
      </w:pPr>
      <w:r w:rsidRPr="00DA09C4">
        <w:t>1</w:t>
      </w:r>
      <w:r w:rsidRPr="001E1F28">
        <w:t>、</w:t>
      </w:r>
      <w:r w:rsidR="0056074B" w:rsidRPr="0056074B">
        <w:rPr>
          <w:rFonts w:hint="eastAsia"/>
        </w:rPr>
        <w:t>腾安基金销售（深圳）有限公司</w:t>
      </w:r>
    </w:p>
    <w:p w:rsidR="00CA524B" w:rsidRDefault="00CA524B" w:rsidP="00CA524B">
      <w:pPr>
        <w:spacing w:line="360" w:lineRule="auto"/>
        <w:ind w:firstLineChars="200" w:firstLine="480"/>
        <w:rPr>
          <w:rFonts w:hint="eastAsia"/>
        </w:rPr>
      </w:pPr>
      <w:r w:rsidRPr="008B03ED">
        <w:rPr>
          <w:rFonts w:hint="eastAsia"/>
        </w:rPr>
        <w:t>客服电话：</w:t>
      </w:r>
      <w:r w:rsidR="0056074B" w:rsidRPr="0056074B">
        <w:t>95017</w:t>
      </w:r>
      <w:r w:rsidR="00FE22EA" w:rsidRPr="00FE22EA">
        <w:rPr>
          <w:rFonts w:hint="eastAsia"/>
        </w:rPr>
        <w:t>(</w:t>
      </w:r>
      <w:r w:rsidR="00FE22EA" w:rsidRPr="00FE22EA">
        <w:rPr>
          <w:rFonts w:hint="eastAsia"/>
        </w:rPr>
        <w:t>拨通后转</w:t>
      </w:r>
      <w:r w:rsidR="00FE22EA" w:rsidRPr="00FE22EA">
        <w:rPr>
          <w:rFonts w:hint="eastAsia"/>
        </w:rPr>
        <w:t>1</w:t>
      </w:r>
      <w:r w:rsidR="00FE22EA" w:rsidRPr="00FE22EA">
        <w:rPr>
          <w:rFonts w:hint="eastAsia"/>
        </w:rPr>
        <w:t>转</w:t>
      </w:r>
      <w:r w:rsidR="00FE22EA" w:rsidRPr="00FE22EA">
        <w:rPr>
          <w:rFonts w:hint="eastAsia"/>
        </w:rPr>
        <w:t>8)</w:t>
      </w:r>
    </w:p>
    <w:p w:rsidR="00CA524B" w:rsidRDefault="00CA524B" w:rsidP="00CA524B">
      <w:pPr>
        <w:spacing w:line="360" w:lineRule="auto"/>
        <w:ind w:firstLineChars="200" w:firstLine="480"/>
        <w:rPr>
          <w:rFonts w:hint="eastAsia"/>
        </w:rPr>
      </w:pPr>
      <w:r w:rsidRPr="008B03ED">
        <w:rPr>
          <w:rFonts w:hint="eastAsia"/>
        </w:rPr>
        <w:t>网站：</w:t>
      </w:r>
      <w:r w:rsidR="00FE22EA" w:rsidRPr="00FE22EA">
        <w:t>www.txfund.com</w:t>
      </w:r>
      <w:r w:rsidR="0056074B" w:rsidRPr="0056074B" w:rsidDel="0056074B">
        <w:t xml:space="preserve"> </w:t>
      </w:r>
    </w:p>
    <w:p w:rsidR="00CA524B" w:rsidRPr="00581416" w:rsidRDefault="00CA524B" w:rsidP="00CA524B">
      <w:pPr>
        <w:spacing w:line="360" w:lineRule="auto"/>
        <w:ind w:firstLineChars="200" w:firstLine="480"/>
        <w:rPr>
          <w:rFonts w:hAnsi="宋体" w:hint="eastAsia"/>
        </w:rPr>
      </w:pPr>
      <w:r w:rsidRPr="00581416">
        <w:rPr>
          <w:rFonts w:hAnsi="宋体"/>
        </w:rPr>
        <w:t>2</w:t>
      </w:r>
      <w:r w:rsidRPr="00581416">
        <w:rPr>
          <w:rFonts w:hAnsi="宋体" w:hint="eastAsia"/>
        </w:rPr>
        <w:t>、</w:t>
      </w:r>
      <w:r>
        <w:rPr>
          <w:rFonts w:hAnsi="宋体"/>
        </w:rPr>
        <w:t>汇添富基金管理股份有限公司</w:t>
      </w:r>
    </w:p>
    <w:p w:rsidR="00CA524B" w:rsidRPr="00581416" w:rsidRDefault="00CA524B" w:rsidP="00CA524B">
      <w:pPr>
        <w:spacing w:line="360" w:lineRule="auto"/>
        <w:ind w:firstLineChars="200" w:firstLine="480"/>
        <w:outlineLvl w:val="0"/>
        <w:rPr>
          <w:rFonts w:hAnsi="宋体" w:hint="eastAsia"/>
        </w:rPr>
      </w:pPr>
      <w:r w:rsidRPr="00581416">
        <w:rPr>
          <w:rFonts w:hAnsi="宋体"/>
        </w:rPr>
        <w:t>客</w:t>
      </w:r>
      <w:r w:rsidRPr="00581416">
        <w:rPr>
          <w:rFonts w:hAnsi="宋体" w:hint="eastAsia"/>
        </w:rPr>
        <w:t>户服务</w:t>
      </w:r>
      <w:r w:rsidRPr="00581416">
        <w:rPr>
          <w:rFonts w:hAnsi="宋体"/>
        </w:rPr>
        <w:t>热线：</w:t>
      </w:r>
      <w:r w:rsidRPr="00581416">
        <w:rPr>
          <w:rFonts w:hAnsi="宋体"/>
        </w:rPr>
        <w:t>400-888-9918</w:t>
      </w:r>
    </w:p>
    <w:p w:rsidR="00CA524B" w:rsidRPr="00581416" w:rsidRDefault="00CA524B" w:rsidP="00CA524B">
      <w:pPr>
        <w:spacing w:line="360" w:lineRule="auto"/>
        <w:ind w:firstLineChars="200" w:firstLine="480"/>
        <w:outlineLvl w:val="0"/>
        <w:rPr>
          <w:rFonts w:hAnsi="宋体" w:hint="eastAsia"/>
        </w:rPr>
      </w:pPr>
      <w:r w:rsidRPr="00581416">
        <w:rPr>
          <w:rFonts w:hAnsi="宋体" w:hint="eastAsia"/>
        </w:rPr>
        <w:t>公司</w:t>
      </w:r>
      <w:r w:rsidRPr="00581416">
        <w:rPr>
          <w:rFonts w:hAnsi="宋体"/>
        </w:rPr>
        <w:t>网址：</w:t>
      </w:r>
      <w:hyperlink r:id="rId7" w:history="1"/>
      <w:hyperlink r:id="rId8" w:history="1">
        <w:r w:rsidRPr="00581416">
          <w:rPr>
            <w:rFonts w:hAnsi="宋体"/>
          </w:rPr>
          <w:t>www.99fund.com</w:t>
        </w:r>
      </w:hyperlink>
    </w:p>
    <w:p w:rsidR="008C4A3D" w:rsidRPr="00CA34E8" w:rsidRDefault="008C4A3D" w:rsidP="008C4A3D">
      <w:pPr>
        <w:spacing w:line="360" w:lineRule="auto"/>
        <w:ind w:firstLineChars="200" w:firstLine="480"/>
        <w:rPr>
          <w:bCs/>
        </w:rPr>
      </w:pPr>
      <w:r w:rsidRPr="00CA34E8">
        <w:rPr>
          <w:bCs/>
        </w:rPr>
        <w:lastRenderedPageBreak/>
        <w:t>汇添富基金高度重视投资者服务和投资者教育，特此提醒投资者需正确认知基金投资的风险和长期收益，做理性的基金投资人，做明白的基金投资人，享受长期投资的快乐！</w:t>
      </w:r>
    </w:p>
    <w:p w:rsidR="008C4A3D" w:rsidRDefault="008C4A3D" w:rsidP="008C4A3D">
      <w:pPr>
        <w:spacing w:line="360" w:lineRule="auto"/>
        <w:ind w:firstLineChars="200" w:firstLine="480"/>
        <w:rPr>
          <w:bCs/>
        </w:rPr>
      </w:pPr>
      <w:r w:rsidRPr="00CA34E8">
        <w:rPr>
          <w:bCs/>
        </w:rPr>
        <w:t>特此公告。</w:t>
      </w:r>
    </w:p>
    <w:p w:rsidR="0077288C" w:rsidRDefault="0077288C">
      <w:pPr>
        <w:spacing w:line="360" w:lineRule="auto"/>
        <w:jc w:val="right"/>
        <w:rPr>
          <w:rStyle w:val="a5"/>
          <w:b w:val="0"/>
          <w:color w:val="000000"/>
        </w:rPr>
      </w:pPr>
      <w:r>
        <w:rPr>
          <w:rStyle w:val="a5"/>
          <w:rFonts w:hint="eastAsia"/>
          <w:b w:val="0"/>
          <w:color w:val="000000"/>
        </w:rPr>
        <w:t>汇添富基金管理股份有限公司</w:t>
      </w:r>
    </w:p>
    <w:p w:rsidR="0077288C" w:rsidRDefault="00A94A12">
      <w:pPr>
        <w:spacing w:line="360" w:lineRule="auto"/>
        <w:ind w:left="5880" w:firstLine="420"/>
        <w:rPr>
          <w:color w:val="000000"/>
        </w:rPr>
      </w:pPr>
      <w:r>
        <w:rPr>
          <w:rStyle w:val="a5"/>
          <w:b w:val="0"/>
          <w:color w:val="000000"/>
        </w:rPr>
        <w:t>2019</w:t>
      </w:r>
      <w:r>
        <w:rPr>
          <w:rStyle w:val="a5"/>
          <w:rFonts w:hint="eastAsia"/>
          <w:b w:val="0"/>
          <w:color w:val="000000"/>
        </w:rPr>
        <w:t>年</w:t>
      </w:r>
      <w:r>
        <w:rPr>
          <w:rStyle w:val="a5"/>
          <w:b w:val="0"/>
          <w:color w:val="000000"/>
        </w:rPr>
        <w:t>11</w:t>
      </w:r>
      <w:r w:rsidR="00461E3F">
        <w:rPr>
          <w:rStyle w:val="a5"/>
          <w:rFonts w:hint="eastAsia"/>
          <w:b w:val="0"/>
          <w:color w:val="000000"/>
        </w:rPr>
        <w:t>月</w:t>
      </w:r>
      <w:r w:rsidR="00D224E2">
        <w:rPr>
          <w:rStyle w:val="a5"/>
          <w:b w:val="0"/>
          <w:color w:val="000000"/>
        </w:rPr>
        <w:t>18</w:t>
      </w:r>
      <w:r w:rsidR="0077288C">
        <w:rPr>
          <w:rStyle w:val="a5"/>
          <w:rFonts w:hint="eastAsia"/>
          <w:b w:val="0"/>
          <w:color w:val="000000"/>
        </w:rPr>
        <w:t>日</w:t>
      </w:r>
    </w:p>
    <w:sectPr w:rsidR="0077288C">
      <w:footerReference w:type="even" r:id="rId9"/>
      <w:pgSz w:w="11906" w:h="16838"/>
      <w:pgMar w:top="1440" w:right="1701" w:bottom="1440" w:left="1701" w:header="851" w:footer="992" w:gutter="0"/>
      <w:pgNumType w:start="0"/>
      <w:cols w:space="72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0EE" w:rsidRDefault="00A870EE">
      <w:r>
        <w:separator/>
      </w:r>
    </w:p>
  </w:endnote>
  <w:endnote w:type="continuationSeparator" w:id="1">
    <w:p w:rsidR="00A870EE" w:rsidRDefault="00A870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88C" w:rsidRDefault="0077288C">
    <w:pPr>
      <w:pStyle w:val="ab"/>
      <w:framePr w:wrap="around" w:vAnchor="text" w:hAnchor="margin" w:xAlign="center" w:y="1"/>
      <w:rPr>
        <w:rStyle w:val="a4"/>
      </w:rPr>
    </w:pPr>
    <w:r>
      <w:fldChar w:fldCharType="begin"/>
    </w:r>
    <w:r>
      <w:rPr>
        <w:rStyle w:val="a4"/>
      </w:rPr>
      <w:instrText xml:space="preserve">PAGE  </w:instrText>
    </w:r>
    <w:r>
      <w:fldChar w:fldCharType="end"/>
    </w:r>
  </w:p>
  <w:p w:rsidR="0077288C" w:rsidRDefault="0077288C">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0EE" w:rsidRDefault="00A870EE">
      <w:r>
        <w:separator/>
      </w:r>
    </w:p>
  </w:footnote>
  <w:footnote w:type="continuationSeparator" w:id="1">
    <w:p w:rsidR="00A870EE" w:rsidRDefault="00A870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A3E68"/>
    <w:multiLevelType w:val="multilevel"/>
    <w:tmpl w:val="75AA3E68"/>
    <w:lvl w:ilvl="0">
      <w:start w:val="1"/>
      <w:numFmt w:val="japaneseCounting"/>
      <w:lvlText w:val="%1、"/>
      <w:lvlJc w:val="left"/>
      <w:pPr>
        <w:ind w:left="992" w:hanging="51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oNotTrackMoves/>
  <w:defaultTabStop w:val="420"/>
  <w:drawingGridHorizontalSpacing w:val="120"/>
  <w:drawingGridVerticalSpacing w:val="163"/>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6C94"/>
    <w:rsid w:val="00001B10"/>
    <w:rsid w:val="00003376"/>
    <w:rsid w:val="000065FC"/>
    <w:rsid w:val="000075D9"/>
    <w:rsid w:val="000153DF"/>
    <w:rsid w:val="000346D9"/>
    <w:rsid w:val="0003639B"/>
    <w:rsid w:val="00042076"/>
    <w:rsid w:val="00051078"/>
    <w:rsid w:val="00051A2D"/>
    <w:rsid w:val="00053227"/>
    <w:rsid w:val="000549A6"/>
    <w:rsid w:val="00056617"/>
    <w:rsid w:val="00071B46"/>
    <w:rsid w:val="0007234B"/>
    <w:rsid w:val="000918DA"/>
    <w:rsid w:val="000A4A42"/>
    <w:rsid w:val="000B7B94"/>
    <w:rsid w:val="000C24C9"/>
    <w:rsid w:val="000C2E09"/>
    <w:rsid w:val="000D0460"/>
    <w:rsid w:val="000D43EA"/>
    <w:rsid w:val="000E542E"/>
    <w:rsid w:val="000E6598"/>
    <w:rsid w:val="000F44AC"/>
    <w:rsid w:val="000F7C7D"/>
    <w:rsid w:val="001212D7"/>
    <w:rsid w:val="001241C9"/>
    <w:rsid w:val="00125560"/>
    <w:rsid w:val="0013304F"/>
    <w:rsid w:val="00134D24"/>
    <w:rsid w:val="00142662"/>
    <w:rsid w:val="0015596A"/>
    <w:rsid w:val="00157ECC"/>
    <w:rsid w:val="001606DA"/>
    <w:rsid w:val="001851E5"/>
    <w:rsid w:val="00186C05"/>
    <w:rsid w:val="00191BD5"/>
    <w:rsid w:val="001952D3"/>
    <w:rsid w:val="00195F33"/>
    <w:rsid w:val="001A6250"/>
    <w:rsid w:val="001B0FCD"/>
    <w:rsid w:val="001C2887"/>
    <w:rsid w:val="001C3333"/>
    <w:rsid w:val="001C33C3"/>
    <w:rsid w:val="001F1394"/>
    <w:rsid w:val="00203B1D"/>
    <w:rsid w:val="00212A0E"/>
    <w:rsid w:val="00212D55"/>
    <w:rsid w:val="00222939"/>
    <w:rsid w:val="002239D9"/>
    <w:rsid w:val="002244A0"/>
    <w:rsid w:val="00232CB4"/>
    <w:rsid w:val="0023605E"/>
    <w:rsid w:val="00256D86"/>
    <w:rsid w:val="00275B73"/>
    <w:rsid w:val="002841DC"/>
    <w:rsid w:val="00287019"/>
    <w:rsid w:val="002A6B23"/>
    <w:rsid w:val="002B3D44"/>
    <w:rsid w:val="002B6B55"/>
    <w:rsid w:val="002D459A"/>
    <w:rsid w:val="002F5848"/>
    <w:rsid w:val="00304112"/>
    <w:rsid w:val="00310EB9"/>
    <w:rsid w:val="003146D0"/>
    <w:rsid w:val="00333445"/>
    <w:rsid w:val="0033537F"/>
    <w:rsid w:val="003361A5"/>
    <w:rsid w:val="00344C0E"/>
    <w:rsid w:val="003561DA"/>
    <w:rsid w:val="00360063"/>
    <w:rsid w:val="003600BF"/>
    <w:rsid w:val="0036188D"/>
    <w:rsid w:val="00370AA1"/>
    <w:rsid w:val="0037698A"/>
    <w:rsid w:val="00397510"/>
    <w:rsid w:val="003978E4"/>
    <w:rsid w:val="003A1BAA"/>
    <w:rsid w:val="003A4E8B"/>
    <w:rsid w:val="003A56A3"/>
    <w:rsid w:val="003A5DF5"/>
    <w:rsid w:val="003B2562"/>
    <w:rsid w:val="003D0F48"/>
    <w:rsid w:val="003D1604"/>
    <w:rsid w:val="003D3850"/>
    <w:rsid w:val="003E19E7"/>
    <w:rsid w:val="003E4DBA"/>
    <w:rsid w:val="003E5760"/>
    <w:rsid w:val="003E6F5F"/>
    <w:rsid w:val="003E73A0"/>
    <w:rsid w:val="004022DC"/>
    <w:rsid w:val="0040270B"/>
    <w:rsid w:val="00404BBA"/>
    <w:rsid w:val="00414A8C"/>
    <w:rsid w:val="004244E9"/>
    <w:rsid w:val="00426EA4"/>
    <w:rsid w:val="00433E41"/>
    <w:rsid w:val="00440A30"/>
    <w:rsid w:val="00442DC2"/>
    <w:rsid w:val="0044677E"/>
    <w:rsid w:val="0045590F"/>
    <w:rsid w:val="00455E11"/>
    <w:rsid w:val="00461E3F"/>
    <w:rsid w:val="00462E58"/>
    <w:rsid w:val="00470248"/>
    <w:rsid w:val="0047661A"/>
    <w:rsid w:val="004843E5"/>
    <w:rsid w:val="00494320"/>
    <w:rsid w:val="004A1119"/>
    <w:rsid w:val="004A210C"/>
    <w:rsid w:val="004A70E5"/>
    <w:rsid w:val="004B0EC7"/>
    <w:rsid w:val="004B4A98"/>
    <w:rsid w:val="004C0BD0"/>
    <w:rsid w:val="004C11CE"/>
    <w:rsid w:val="004C406A"/>
    <w:rsid w:val="004D231D"/>
    <w:rsid w:val="004D515D"/>
    <w:rsid w:val="004D52F1"/>
    <w:rsid w:val="004D6205"/>
    <w:rsid w:val="004D6AD2"/>
    <w:rsid w:val="004E7680"/>
    <w:rsid w:val="004F13FA"/>
    <w:rsid w:val="004F3E39"/>
    <w:rsid w:val="004F3F86"/>
    <w:rsid w:val="004F6696"/>
    <w:rsid w:val="00507C4B"/>
    <w:rsid w:val="00514F2C"/>
    <w:rsid w:val="005248AC"/>
    <w:rsid w:val="00527C24"/>
    <w:rsid w:val="0053044E"/>
    <w:rsid w:val="005425A2"/>
    <w:rsid w:val="00546347"/>
    <w:rsid w:val="00550CCF"/>
    <w:rsid w:val="00554036"/>
    <w:rsid w:val="0056074B"/>
    <w:rsid w:val="00560A12"/>
    <w:rsid w:val="0056669E"/>
    <w:rsid w:val="005706CC"/>
    <w:rsid w:val="00574DEA"/>
    <w:rsid w:val="00581416"/>
    <w:rsid w:val="00586F5D"/>
    <w:rsid w:val="005903B1"/>
    <w:rsid w:val="0059335D"/>
    <w:rsid w:val="005B18F0"/>
    <w:rsid w:val="005B4C9D"/>
    <w:rsid w:val="005B706B"/>
    <w:rsid w:val="005C5F65"/>
    <w:rsid w:val="005C6AA0"/>
    <w:rsid w:val="005C7D46"/>
    <w:rsid w:val="005D1DED"/>
    <w:rsid w:val="005D4889"/>
    <w:rsid w:val="005F13E9"/>
    <w:rsid w:val="006026BA"/>
    <w:rsid w:val="00604EEF"/>
    <w:rsid w:val="00621A5E"/>
    <w:rsid w:val="00621C63"/>
    <w:rsid w:val="00622923"/>
    <w:rsid w:val="00627F41"/>
    <w:rsid w:val="00651734"/>
    <w:rsid w:val="00672196"/>
    <w:rsid w:val="00674138"/>
    <w:rsid w:val="00684766"/>
    <w:rsid w:val="00684A46"/>
    <w:rsid w:val="00687145"/>
    <w:rsid w:val="0069292F"/>
    <w:rsid w:val="006950DE"/>
    <w:rsid w:val="006B6C9E"/>
    <w:rsid w:val="006B6FD0"/>
    <w:rsid w:val="006C610F"/>
    <w:rsid w:val="006D3B9A"/>
    <w:rsid w:val="006D757F"/>
    <w:rsid w:val="006E65D1"/>
    <w:rsid w:val="0070098F"/>
    <w:rsid w:val="00705BC4"/>
    <w:rsid w:val="007075E9"/>
    <w:rsid w:val="007234E0"/>
    <w:rsid w:val="00727F7C"/>
    <w:rsid w:val="007406A9"/>
    <w:rsid w:val="00741EB2"/>
    <w:rsid w:val="00743636"/>
    <w:rsid w:val="007546D3"/>
    <w:rsid w:val="00755414"/>
    <w:rsid w:val="00762E96"/>
    <w:rsid w:val="00766953"/>
    <w:rsid w:val="00766BC9"/>
    <w:rsid w:val="007678FE"/>
    <w:rsid w:val="00767B51"/>
    <w:rsid w:val="0077288C"/>
    <w:rsid w:val="00774C89"/>
    <w:rsid w:val="00777AB2"/>
    <w:rsid w:val="00782F70"/>
    <w:rsid w:val="007848E1"/>
    <w:rsid w:val="00791E09"/>
    <w:rsid w:val="00792624"/>
    <w:rsid w:val="007A3DF9"/>
    <w:rsid w:val="007B0367"/>
    <w:rsid w:val="007B48B0"/>
    <w:rsid w:val="007B4D46"/>
    <w:rsid w:val="007B6713"/>
    <w:rsid w:val="007C2D06"/>
    <w:rsid w:val="007C44EF"/>
    <w:rsid w:val="007C522A"/>
    <w:rsid w:val="007C5C41"/>
    <w:rsid w:val="007C7935"/>
    <w:rsid w:val="007D398D"/>
    <w:rsid w:val="007D3DA5"/>
    <w:rsid w:val="007D44F2"/>
    <w:rsid w:val="007E0992"/>
    <w:rsid w:val="007F05B0"/>
    <w:rsid w:val="00802F40"/>
    <w:rsid w:val="008133D6"/>
    <w:rsid w:val="0081343A"/>
    <w:rsid w:val="008276D1"/>
    <w:rsid w:val="008412C5"/>
    <w:rsid w:val="008464FD"/>
    <w:rsid w:val="0085001B"/>
    <w:rsid w:val="008528C3"/>
    <w:rsid w:val="0085561B"/>
    <w:rsid w:val="00883B23"/>
    <w:rsid w:val="00883C47"/>
    <w:rsid w:val="00895F5B"/>
    <w:rsid w:val="008A27BF"/>
    <w:rsid w:val="008A2EB9"/>
    <w:rsid w:val="008A5046"/>
    <w:rsid w:val="008B4304"/>
    <w:rsid w:val="008B49EE"/>
    <w:rsid w:val="008C0542"/>
    <w:rsid w:val="008C0CD0"/>
    <w:rsid w:val="008C4A3D"/>
    <w:rsid w:val="008D77DE"/>
    <w:rsid w:val="008F2C1E"/>
    <w:rsid w:val="008F55AE"/>
    <w:rsid w:val="008F6534"/>
    <w:rsid w:val="008F7443"/>
    <w:rsid w:val="00904E62"/>
    <w:rsid w:val="009106A8"/>
    <w:rsid w:val="00910CFC"/>
    <w:rsid w:val="00911146"/>
    <w:rsid w:val="00911863"/>
    <w:rsid w:val="00915D5F"/>
    <w:rsid w:val="00922542"/>
    <w:rsid w:val="00925639"/>
    <w:rsid w:val="00932BEF"/>
    <w:rsid w:val="00934D9F"/>
    <w:rsid w:val="00937422"/>
    <w:rsid w:val="00966949"/>
    <w:rsid w:val="00975D43"/>
    <w:rsid w:val="00990430"/>
    <w:rsid w:val="009A2367"/>
    <w:rsid w:val="009A40FA"/>
    <w:rsid w:val="009A5B1B"/>
    <w:rsid w:val="009B004E"/>
    <w:rsid w:val="009B02DB"/>
    <w:rsid w:val="009B2D38"/>
    <w:rsid w:val="009C04AF"/>
    <w:rsid w:val="009C58EB"/>
    <w:rsid w:val="009D00B0"/>
    <w:rsid w:val="009D216A"/>
    <w:rsid w:val="009D409D"/>
    <w:rsid w:val="009E02E5"/>
    <w:rsid w:val="009E7206"/>
    <w:rsid w:val="009F4394"/>
    <w:rsid w:val="009F4BC3"/>
    <w:rsid w:val="009F4EDA"/>
    <w:rsid w:val="00A1429C"/>
    <w:rsid w:val="00A216B3"/>
    <w:rsid w:val="00A32B4A"/>
    <w:rsid w:val="00A36564"/>
    <w:rsid w:val="00A411B0"/>
    <w:rsid w:val="00A46181"/>
    <w:rsid w:val="00A505A8"/>
    <w:rsid w:val="00A650AB"/>
    <w:rsid w:val="00A76BD4"/>
    <w:rsid w:val="00A85D5A"/>
    <w:rsid w:val="00A870EE"/>
    <w:rsid w:val="00A94A12"/>
    <w:rsid w:val="00A96C94"/>
    <w:rsid w:val="00AA4096"/>
    <w:rsid w:val="00AA56EE"/>
    <w:rsid w:val="00AA6CD8"/>
    <w:rsid w:val="00AD4762"/>
    <w:rsid w:val="00AE21E0"/>
    <w:rsid w:val="00AE23D5"/>
    <w:rsid w:val="00AE683D"/>
    <w:rsid w:val="00AF4DA7"/>
    <w:rsid w:val="00B11471"/>
    <w:rsid w:val="00B11E02"/>
    <w:rsid w:val="00B169C6"/>
    <w:rsid w:val="00B247A5"/>
    <w:rsid w:val="00B253A7"/>
    <w:rsid w:val="00B2697D"/>
    <w:rsid w:val="00B33817"/>
    <w:rsid w:val="00B40819"/>
    <w:rsid w:val="00B52CC3"/>
    <w:rsid w:val="00B578DD"/>
    <w:rsid w:val="00B639D9"/>
    <w:rsid w:val="00B82B00"/>
    <w:rsid w:val="00BB49D4"/>
    <w:rsid w:val="00BC2652"/>
    <w:rsid w:val="00BC5660"/>
    <w:rsid w:val="00BD025A"/>
    <w:rsid w:val="00BE1D51"/>
    <w:rsid w:val="00C00FA0"/>
    <w:rsid w:val="00C02CB8"/>
    <w:rsid w:val="00C030C8"/>
    <w:rsid w:val="00C21BF1"/>
    <w:rsid w:val="00C22460"/>
    <w:rsid w:val="00C3302F"/>
    <w:rsid w:val="00C338BF"/>
    <w:rsid w:val="00C35705"/>
    <w:rsid w:val="00C5423D"/>
    <w:rsid w:val="00C55D9F"/>
    <w:rsid w:val="00C6366B"/>
    <w:rsid w:val="00C92A4A"/>
    <w:rsid w:val="00C96F50"/>
    <w:rsid w:val="00CA0037"/>
    <w:rsid w:val="00CA524B"/>
    <w:rsid w:val="00CD7E60"/>
    <w:rsid w:val="00CE2D78"/>
    <w:rsid w:val="00CE304D"/>
    <w:rsid w:val="00CE3644"/>
    <w:rsid w:val="00CE4617"/>
    <w:rsid w:val="00CE4A70"/>
    <w:rsid w:val="00CE79A4"/>
    <w:rsid w:val="00D008BE"/>
    <w:rsid w:val="00D00FA9"/>
    <w:rsid w:val="00D02366"/>
    <w:rsid w:val="00D03878"/>
    <w:rsid w:val="00D12DF1"/>
    <w:rsid w:val="00D139FD"/>
    <w:rsid w:val="00D154E2"/>
    <w:rsid w:val="00D16784"/>
    <w:rsid w:val="00D224E2"/>
    <w:rsid w:val="00D26821"/>
    <w:rsid w:val="00D45918"/>
    <w:rsid w:val="00D53D59"/>
    <w:rsid w:val="00D60BE0"/>
    <w:rsid w:val="00D808CF"/>
    <w:rsid w:val="00D8646D"/>
    <w:rsid w:val="00D868D5"/>
    <w:rsid w:val="00D95129"/>
    <w:rsid w:val="00DA1AAD"/>
    <w:rsid w:val="00DC21BA"/>
    <w:rsid w:val="00DD225E"/>
    <w:rsid w:val="00DD619F"/>
    <w:rsid w:val="00DD744A"/>
    <w:rsid w:val="00DE255D"/>
    <w:rsid w:val="00DF0642"/>
    <w:rsid w:val="00DF13C8"/>
    <w:rsid w:val="00E233E3"/>
    <w:rsid w:val="00E23968"/>
    <w:rsid w:val="00E240CB"/>
    <w:rsid w:val="00E34CC8"/>
    <w:rsid w:val="00E36F44"/>
    <w:rsid w:val="00E37065"/>
    <w:rsid w:val="00E43055"/>
    <w:rsid w:val="00E55C87"/>
    <w:rsid w:val="00E6255C"/>
    <w:rsid w:val="00E64DF3"/>
    <w:rsid w:val="00E658F9"/>
    <w:rsid w:val="00E80243"/>
    <w:rsid w:val="00E8419E"/>
    <w:rsid w:val="00E86F5F"/>
    <w:rsid w:val="00E93F71"/>
    <w:rsid w:val="00E94AC2"/>
    <w:rsid w:val="00EB19C9"/>
    <w:rsid w:val="00EB5E47"/>
    <w:rsid w:val="00EB6C54"/>
    <w:rsid w:val="00ED40DE"/>
    <w:rsid w:val="00EE75F0"/>
    <w:rsid w:val="00EF75DD"/>
    <w:rsid w:val="00F23C08"/>
    <w:rsid w:val="00F37CD8"/>
    <w:rsid w:val="00F42595"/>
    <w:rsid w:val="00F456C2"/>
    <w:rsid w:val="00F52444"/>
    <w:rsid w:val="00F557F4"/>
    <w:rsid w:val="00F63456"/>
    <w:rsid w:val="00F645B2"/>
    <w:rsid w:val="00F64AEF"/>
    <w:rsid w:val="00F66D6C"/>
    <w:rsid w:val="00F67BEB"/>
    <w:rsid w:val="00F72F25"/>
    <w:rsid w:val="00F84879"/>
    <w:rsid w:val="00F854BB"/>
    <w:rsid w:val="00F86615"/>
    <w:rsid w:val="00F9135C"/>
    <w:rsid w:val="00F93200"/>
    <w:rsid w:val="00F9477D"/>
    <w:rsid w:val="00FA0A26"/>
    <w:rsid w:val="00FA0C59"/>
    <w:rsid w:val="00FB219A"/>
    <w:rsid w:val="00FB6488"/>
    <w:rsid w:val="00FC101F"/>
    <w:rsid w:val="00FC19F0"/>
    <w:rsid w:val="00FD01DF"/>
    <w:rsid w:val="00FE13B0"/>
    <w:rsid w:val="00FE22EA"/>
    <w:rsid w:val="6C854DC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styleId="a4">
    <w:name w:val="page number"/>
    <w:basedOn w:val="a0"/>
  </w:style>
  <w:style w:type="character" w:styleId="a5">
    <w:name w:val="Strong"/>
    <w:qFormat/>
    <w:rPr>
      <w:b/>
      <w:bCs/>
    </w:rPr>
  </w:style>
  <w:style w:type="character" w:styleId="a6">
    <w:name w:val="访问过的超链接"/>
    <w:rPr>
      <w:color w:val="800080"/>
      <w:u w:val="single"/>
    </w:rPr>
  </w:style>
  <w:style w:type="character" w:customStyle="1" w:styleId="Char">
    <w:name w:val="页眉 Char"/>
    <w:link w:val="a7"/>
    <w:rPr>
      <w:sz w:val="18"/>
      <w:szCs w:val="18"/>
    </w:rPr>
  </w:style>
  <w:style w:type="paragraph" w:styleId="a8">
    <w:name w:val="Document Map"/>
    <w:basedOn w:val="a"/>
    <w:semiHidden/>
    <w:pPr>
      <w:shd w:val="clear" w:color="auto" w:fill="000080"/>
    </w:pPr>
  </w:style>
  <w:style w:type="paragraph" w:styleId="a9">
    <w:name w:val="Balloon Text"/>
    <w:basedOn w:val="a"/>
    <w:semiHidden/>
    <w:rPr>
      <w:sz w:val="18"/>
      <w:szCs w:val="18"/>
    </w:rPr>
  </w:style>
  <w:style w:type="paragraph" w:styleId="a7">
    <w:name w:val="header"/>
    <w:basedOn w:val="a"/>
    <w:link w:val="Char"/>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pPr>
      <w:spacing w:before="100" w:beforeAutospacing="1" w:after="100" w:afterAutospacing="1"/>
    </w:pPr>
    <w:rPr>
      <w:rFonts w:ascii="宋体" w:hAnsi="宋体" w:cs="宋体"/>
    </w:rPr>
  </w:style>
  <w:style w:type="paragraph" w:styleId="ab">
    <w:name w:val="footer"/>
    <w:basedOn w:val="a"/>
    <w:pPr>
      <w:widowControl w:val="0"/>
      <w:tabs>
        <w:tab w:val="center" w:pos="4153"/>
        <w:tab w:val="right" w:pos="8306"/>
      </w:tabs>
      <w:snapToGrid w:val="0"/>
    </w:pPr>
    <w:rPr>
      <w:kern w:val="2"/>
      <w:sz w:val="18"/>
      <w:szCs w:val="18"/>
    </w:rPr>
  </w:style>
  <w:style w:type="paragraph" w:customStyle="1" w:styleId="Char0">
    <w:name w:val=" Char"/>
    <w:basedOn w:val="a"/>
    <w:pPr>
      <w:widowControl w:val="0"/>
      <w:tabs>
        <w:tab w:val="left" w:pos="840"/>
      </w:tabs>
      <w:adjustRightInd w:val="0"/>
      <w:spacing w:line="360" w:lineRule="atLeast"/>
      <w:ind w:left="840" w:hanging="360"/>
      <w:jc w:val="both"/>
      <w:textAlignment w:val="baseline"/>
    </w:pPr>
    <w:rPr>
      <w:kern w:val="2"/>
    </w:rPr>
  </w:style>
  <w:style w:type="paragraph" w:styleId="ac">
    <w:name w:val="Revision"/>
    <w:hidden/>
    <w:uiPriority w:val="99"/>
    <w:unhideWhenUsed/>
    <w:rsid w:val="003A1BAA"/>
    <w:rPr>
      <w:sz w:val="24"/>
      <w:szCs w:val="24"/>
    </w:rPr>
  </w:style>
</w:styles>
</file>

<file path=word/webSettings.xml><?xml version="1.0" encoding="utf-8"?>
<w:webSettings xmlns:r="http://schemas.openxmlformats.org/officeDocument/2006/relationships" xmlns:w="http://schemas.openxmlformats.org/wordprocessingml/2006/main">
  <w:divs>
    <w:div w:id="701445873">
      <w:bodyDiv w:val="1"/>
      <w:marLeft w:val="0"/>
      <w:marRight w:val="0"/>
      <w:marTop w:val="0"/>
      <w:marBottom w:val="0"/>
      <w:divBdr>
        <w:top w:val="none" w:sz="0" w:space="0" w:color="auto"/>
        <w:left w:val="none" w:sz="0" w:space="0" w:color="auto"/>
        <w:bottom w:val="none" w:sz="0" w:space="0" w:color="auto"/>
        <w:right w:val="none" w:sz="0" w:space="0" w:color="auto"/>
      </w:divBdr>
    </w:div>
    <w:div w:id="738596413">
      <w:bodyDiv w:val="1"/>
      <w:marLeft w:val="0"/>
      <w:marRight w:val="0"/>
      <w:marTop w:val="0"/>
      <w:marBottom w:val="0"/>
      <w:divBdr>
        <w:top w:val="none" w:sz="0" w:space="0" w:color="auto"/>
        <w:left w:val="none" w:sz="0" w:space="0" w:color="auto"/>
        <w:bottom w:val="none" w:sz="0" w:space="0" w:color="auto"/>
        <w:right w:val="none" w:sz="0" w:space="0" w:color="auto"/>
      </w:divBdr>
    </w:div>
    <w:div w:id="1211381866">
      <w:bodyDiv w:val="1"/>
      <w:marLeft w:val="0"/>
      <w:marRight w:val="0"/>
      <w:marTop w:val="0"/>
      <w:marBottom w:val="0"/>
      <w:divBdr>
        <w:top w:val="none" w:sz="0" w:space="0" w:color="auto"/>
        <w:left w:val="none" w:sz="0" w:space="0" w:color="auto"/>
        <w:bottom w:val="none" w:sz="0" w:space="0" w:color="auto"/>
        <w:right w:val="none" w:sz="0" w:space="0" w:color="auto"/>
      </w:divBdr>
    </w:div>
    <w:div w:id="1402095642">
      <w:bodyDiv w:val="1"/>
      <w:marLeft w:val="0"/>
      <w:marRight w:val="0"/>
      <w:marTop w:val="0"/>
      <w:marBottom w:val="0"/>
      <w:divBdr>
        <w:top w:val="none" w:sz="0" w:space="0" w:color="auto"/>
        <w:left w:val="none" w:sz="0" w:space="0" w:color="auto"/>
        <w:bottom w:val="none" w:sz="0" w:space="0" w:color="auto"/>
        <w:right w:val="none" w:sz="0" w:space="0" w:color="auto"/>
      </w:divBdr>
    </w:div>
    <w:div w:id="154444243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99fund.com/" TargetMode="External"/><Relationship Id="rId3" Type="http://schemas.openxmlformats.org/officeDocument/2006/relationships/settings" Target="settings.xml"/><Relationship Id="rId7" Type="http://schemas.openxmlformats.org/officeDocument/2006/relationships/hyperlink" Target="http://www.huaan.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724</Characters>
  <Application>Microsoft Office Word</Application>
  <DocSecurity>4</DocSecurity>
  <PresentationFormat/>
  <Lines>6</Lines>
  <Paragraphs>1</Paragraphs>
  <Slides>0</Slides>
  <Notes>0</Notes>
  <HiddenSlides>0</HiddenSlides>
  <MMClips>0</MMClips>
  <ScaleCrop>false</ScaleCrop>
  <Company>MC SYSTEM</Company>
  <LinksUpToDate>false</LinksUpToDate>
  <CharactersWithSpaces>849</CharactersWithSpaces>
  <SharedDoc>false</SharedDoc>
  <HLinks>
    <vt:vector size="12" baseType="variant">
      <vt:variant>
        <vt:i4>7602294</vt:i4>
      </vt:variant>
      <vt:variant>
        <vt:i4>3</vt:i4>
      </vt:variant>
      <vt:variant>
        <vt:i4>0</vt:i4>
      </vt:variant>
      <vt:variant>
        <vt:i4>5</vt:i4>
      </vt:variant>
      <vt:variant>
        <vt:lpwstr>http://www.99fund.com/</vt:lpwstr>
      </vt:variant>
      <vt:variant>
        <vt:lpwstr/>
      </vt:variant>
      <vt:variant>
        <vt:i4>917573</vt:i4>
      </vt:variant>
      <vt:variant>
        <vt:i4>0</vt:i4>
      </vt:variant>
      <vt:variant>
        <vt:i4>0</vt:i4>
      </vt:variant>
      <vt:variant>
        <vt:i4>5</vt:i4>
      </vt:variant>
      <vt:variant>
        <vt:lpwstr>http://www.huaan.com.cn/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关于证券投资基金增加代销机构的公告</dc:title>
  <dc:subject/>
  <dc:creator>HTF</dc:creator>
  <cp:keywords/>
  <cp:lastModifiedBy>JonMMx 2000</cp:lastModifiedBy>
  <cp:revision>2</cp:revision>
  <cp:lastPrinted>2017-04-25T09:24:00Z</cp:lastPrinted>
  <dcterms:created xsi:type="dcterms:W3CDTF">2019-11-17T16:03:00Z</dcterms:created>
  <dcterms:modified xsi:type="dcterms:W3CDTF">2019-11-17T16:03:00Z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