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AC" w:rsidRDefault="007374AC" w:rsidP="007374AC">
      <w:pPr>
        <w:spacing w:line="360" w:lineRule="auto"/>
        <w:jc w:val="center"/>
        <w:rPr>
          <w:rFonts w:ascii="宋体" w:hAnsi="宋体" w:hint="eastAsia"/>
          <w:b/>
          <w:sz w:val="28"/>
          <w:szCs w:val="21"/>
          <w:lang/>
        </w:rPr>
      </w:pPr>
      <w:r>
        <w:rPr>
          <w:rFonts w:ascii="宋体" w:hAnsi="宋体" w:hint="eastAsia"/>
          <w:b/>
          <w:sz w:val="28"/>
          <w:szCs w:val="21"/>
          <w:lang/>
        </w:rPr>
        <w:t>关于</w:t>
      </w:r>
      <w:r>
        <w:rPr>
          <w:rFonts w:ascii="宋体" w:hAnsi="宋体" w:hint="eastAsia"/>
          <w:b/>
          <w:sz w:val="28"/>
          <w:szCs w:val="21"/>
        </w:rPr>
        <w:t>泰康资产</w:t>
      </w:r>
      <w:r>
        <w:rPr>
          <w:rFonts w:ascii="宋体" w:hAnsi="宋体" w:hint="eastAsia"/>
          <w:b/>
          <w:sz w:val="28"/>
          <w:szCs w:val="21"/>
          <w:lang/>
        </w:rPr>
        <w:t>管理有限</w:t>
      </w:r>
      <w:r>
        <w:rPr>
          <w:rFonts w:ascii="宋体" w:hAnsi="宋体" w:hint="eastAsia"/>
          <w:b/>
          <w:sz w:val="28"/>
          <w:szCs w:val="21"/>
        </w:rPr>
        <w:t>责任</w:t>
      </w:r>
      <w:r>
        <w:rPr>
          <w:rFonts w:ascii="宋体" w:hAnsi="宋体" w:hint="eastAsia"/>
          <w:b/>
          <w:sz w:val="28"/>
          <w:szCs w:val="21"/>
          <w:lang/>
        </w:rPr>
        <w:t>公司旗下部分开放式基金</w:t>
      </w:r>
      <w:r>
        <w:rPr>
          <w:rFonts w:ascii="宋体" w:hAnsi="宋体" w:hint="eastAsia"/>
          <w:b/>
          <w:sz w:val="28"/>
          <w:szCs w:val="21"/>
        </w:rPr>
        <w:t>新增销售机构</w:t>
      </w:r>
      <w:r>
        <w:rPr>
          <w:rFonts w:ascii="宋体" w:hAnsi="宋体" w:hint="eastAsia"/>
          <w:b/>
          <w:sz w:val="28"/>
          <w:szCs w:val="21"/>
          <w:lang/>
        </w:rPr>
        <w:t>并参加销售机构费率优惠活动的公告</w:t>
      </w:r>
    </w:p>
    <w:p w:rsidR="007374AC" w:rsidRDefault="007374AC" w:rsidP="007374AC">
      <w:pPr>
        <w:spacing w:line="360" w:lineRule="auto"/>
        <w:jc w:val="center"/>
        <w:rPr>
          <w:rFonts w:ascii="宋体" w:hAnsi="宋体" w:hint="eastAsia"/>
          <w:szCs w:val="21"/>
        </w:rPr>
      </w:pPr>
    </w:p>
    <w:p w:rsidR="007374AC" w:rsidRDefault="007374AC" w:rsidP="007374AC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Arial" w:hint="eastAsia"/>
          <w:szCs w:val="21"/>
        </w:rPr>
      </w:pPr>
      <w:r>
        <w:rPr>
          <w:rFonts w:ascii="宋体" w:hAnsi="宋体" w:cs="Arial" w:hint="eastAsia"/>
          <w:szCs w:val="21"/>
        </w:rPr>
        <w:t>根据泰康资产管理有限责任公司（以下简称“本公司”）与相关销售机构签署的基金销售协议，自2019年11月15日起，本公司旗下部分开放式基金将增加销售机构，并参加其费率优惠活动。</w:t>
      </w:r>
    </w:p>
    <w:p w:rsidR="007374AC" w:rsidRDefault="007374AC" w:rsidP="007374A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 w:hint="eastAsia"/>
          <w:b/>
          <w:szCs w:val="21"/>
        </w:rPr>
      </w:pPr>
      <w:r>
        <w:rPr>
          <w:rFonts w:ascii="宋体" w:hAnsi="宋体" w:cs="Arial" w:hint="eastAsia"/>
          <w:b/>
          <w:szCs w:val="21"/>
        </w:rPr>
        <w:t>适用基金范围：</w:t>
      </w:r>
    </w:p>
    <w:tbl>
      <w:tblPr>
        <w:tblW w:w="8222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09"/>
        <w:gridCol w:w="5670"/>
        <w:gridCol w:w="1843"/>
      </w:tblGrid>
      <w:tr w:rsidR="007374AC" w:rsidTr="007374AC">
        <w:trPr>
          <w:trHeight w:val="1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基金代码</w:t>
            </w:r>
          </w:p>
        </w:tc>
      </w:tr>
      <w:tr w:rsidR="007374AC" w:rsidTr="007374AC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泰康薪意保货币市场基金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A类：001477</w:t>
            </w:r>
          </w:p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B类：001478</w:t>
            </w:r>
          </w:p>
        </w:tc>
      </w:tr>
      <w:tr w:rsidR="007374AC" w:rsidTr="007374AC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泰康新回报灵活配置混合型证券投资基金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A类：001798</w:t>
            </w:r>
          </w:p>
        </w:tc>
      </w:tr>
      <w:tr w:rsidR="007374AC" w:rsidTr="007374AC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泰康新机遇灵活配置混合型证券投资基金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001910</w:t>
            </w:r>
          </w:p>
        </w:tc>
      </w:tr>
      <w:tr w:rsidR="007374AC" w:rsidTr="007374AC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泰康稳健增利债券型证券投资基金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A类：002245</w:t>
            </w:r>
          </w:p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C类：002246</w:t>
            </w:r>
          </w:p>
        </w:tc>
      </w:tr>
      <w:tr w:rsidR="007374AC" w:rsidTr="007374AC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泰康安泰回报混合型证券投资基金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002331</w:t>
            </w:r>
          </w:p>
        </w:tc>
      </w:tr>
      <w:tr w:rsidR="007374AC" w:rsidTr="007374AC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泰康安益纯债债券型证券投资基金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A类：002528</w:t>
            </w:r>
          </w:p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C类：002529</w:t>
            </w:r>
          </w:p>
        </w:tc>
      </w:tr>
      <w:tr w:rsidR="007374AC" w:rsidTr="007374AC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泰康沪港深精选灵活配置混合型证券投资基金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002653</w:t>
            </w:r>
          </w:p>
        </w:tc>
      </w:tr>
      <w:tr w:rsidR="007374AC" w:rsidTr="007374AC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泰康宏泰回报混合型证券投资基金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002767</w:t>
            </w:r>
          </w:p>
        </w:tc>
      </w:tr>
      <w:tr w:rsidR="007374AC" w:rsidTr="007374AC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泰康恒泰回报灵活配置混合型证券投资基金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A类：002934</w:t>
            </w:r>
          </w:p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C类：002935</w:t>
            </w:r>
          </w:p>
        </w:tc>
      </w:tr>
      <w:tr w:rsidR="007374AC" w:rsidTr="007374AC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泰康丰盈债券型证券投资基金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002986</w:t>
            </w:r>
          </w:p>
        </w:tc>
      </w:tr>
      <w:tr w:rsidR="007374AC" w:rsidTr="007374AC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泰康安惠纯债债券型证券投资基金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A类：003078</w:t>
            </w:r>
          </w:p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C类：006865</w:t>
            </w:r>
          </w:p>
        </w:tc>
      </w:tr>
      <w:tr w:rsidR="007374AC" w:rsidTr="007374AC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泰康策略优选灵活配置混合型证券投资基金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003378</w:t>
            </w:r>
          </w:p>
        </w:tc>
      </w:tr>
      <w:tr w:rsidR="007374AC" w:rsidTr="007374AC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泰康沪港深价值优选灵活配置混合型证券投资基金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003580</w:t>
            </w:r>
          </w:p>
        </w:tc>
      </w:tr>
      <w:tr w:rsidR="007374AC" w:rsidTr="007374AC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泰康金泰回报3个月定期开放混合型证券投资基金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003813</w:t>
            </w:r>
          </w:p>
        </w:tc>
      </w:tr>
      <w:tr w:rsidR="007374AC" w:rsidTr="007374AC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泰康兴泰回报沪港深混合型证券投资基金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004340</w:t>
            </w:r>
          </w:p>
        </w:tc>
      </w:tr>
      <w:tr w:rsidR="007374AC" w:rsidTr="007374AC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泰康年年红纯债一年定期开放债券型证券投资基金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004859</w:t>
            </w:r>
          </w:p>
        </w:tc>
      </w:tr>
      <w:tr w:rsidR="007374AC" w:rsidTr="007374AC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泰康现金管家货币市场基金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A类：004861</w:t>
            </w:r>
          </w:p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B类：004862</w:t>
            </w:r>
          </w:p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C类：004863</w:t>
            </w:r>
          </w:p>
        </w:tc>
      </w:tr>
      <w:tr w:rsidR="007374AC" w:rsidTr="007374AC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泰康泉林量化价值精选混合型证券投资基金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A类：005000</w:t>
            </w:r>
          </w:p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C类：005111</w:t>
            </w:r>
          </w:p>
        </w:tc>
      </w:tr>
      <w:tr w:rsidR="007374AC" w:rsidTr="007374AC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泰康景泰回报混合型证券投资基金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A类：005014</w:t>
            </w:r>
          </w:p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C类：005015</w:t>
            </w:r>
          </w:p>
        </w:tc>
      </w:tr>
      <w:tr w:rsidR="007374AC" w:rsidTr="007374AC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泰康瑞坤纯债债券型证券投资基金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005054</w:t>
            </w:r>
          </w:p>
        </w:tc>
      </w:tr>
      <w:tr w:rsidR="007374AC" w:rsidTr="007374AC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泰康睿利量化多策略混合型证券投资基金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A类：005381</w:t>
            </w:r>
          </w:p>
        </w:tc>
      </w:tr>
      <w:tr w:rsidR="007374AC" w:rsidTr="007374AC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泰康均衡优选混合型证券投资基金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A类：005474</w:t>
            </w:r>
          </w:p>
        </w:tc>
      </w:tr>
      <w:tr w:rsidR="007374AC" w:rsidTr="007374AC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泰康颐年混合型证券投资基金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A类：005523</w:t>
            </w:r>
          </w:p>
        </w:tc>
      </w:tr>
      <w:tr w:rsidR="007374AC" w:rsidTr="007374AC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泰康颐享混合型证券投资基金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A类：005823</w:t>
            </w:r>
          </w:p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C类：005824</w:t>
            </w:r>
          </w:p>
        </w:tc>
      </w:tr>
      <w:tr w:rsidR="007374AC" w:rsidTr="007374AC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泰康裕泰债券型证券投资基金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A类：006207</w:t>
            </w:r>
          </w:p>
        </w:tc>
      </w:tr>
      <w:tr w:rsidR="007374AC" w:rsidTr="007374AC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泰康产业升级混合型证券投资基金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A类：006904</w:t>
            </w:r>
          </w:p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C类：006905</w:t>
            </w:r>
          </w:p>
        </w:tc>
      </w:tr>
      <w:tr w:rsidR="007374AC" w:rsidTr="007374AC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泰康中证港股通非银行金融主题指数型发起式证券投资基金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A类：06578</w:t>
            </w:r>
          </w:p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C类：06579</w:t>
            </w:r>
          </w:p>
        </w:tc>
      </w:tr>
      <w:tr w:rsidR="007374AC" w:rsidTr="007374AC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泰康中证港股通大消费主题指数型发起式证券投资基金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A类：006786</w:t>
            </w:r>
          </w:p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C类：006787</w:t>
            </w:r>
          </w:p>
        </w:tc>
      </w:tr>
      <w:tr w:rsidR="007374AC" w:rsidTr="007374AC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泰康港股通中证香港银行投资指数型发起式证券投资基金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A类：006809</w:t>
            </w:r>
          </w:p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C类：006810</w:t>
            </w:r>
          </w:p>
        </w:tc>
      </w:tr>
      <w:tr w:rsidR="007374AC" w:rsidTr="007374AC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泰康中证港股通地产指数型发起式证券投资基金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A类：006816</w:t>
            </w:r>
          </w:p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C类：006817</w:t>
            </w:r>
          </w:p>
        </w:tc>
      </w:tr>
      <w:tr w:rsidR="007374AC" w:rsidTr="007374AC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泰康中证港股通TMT主题指数型发起式证券投资基金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A类：006930</w:t>
            </w:r>
          </w:p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C类：006931</w:t>
            </w:r>
          </w:p>
        </w:tc>
      </w:tr>
      <w:tr w:rsidR="007374AC" w:rsidTr="007374AC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泰康安欣纯债债券型证券投资基金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A类：006978</w:t>
            </w:r>
          </w:p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C类：006979</w:t>
            </w:r>
          </w:p>
        </w:tc>
      </w:tr>
      <w:tr w:rsidR="007374AC" w:rsidTr="007374AC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泰康安业政策性金融债债券型证券投资基金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A类：007003</w:t>
            </w:r>
          </w:p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C类：007004</w:t>
            </w:r>
          </w:p>
        </w:tc>
      </w:tr>
      <w:tr w:rsidR="007374AC" w:rsidTr="007374AC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泰康信用精选债券型证券投资基金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A类：007417</w:t>
            </w:r>
          </w:p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C类：007418</w:t>
            </w:r>
          </w:p>
        </w:tc>
      </w:tr>
    </w:tbl>
    <w:p w:rsidR="007374AC" w:rsidRDefault="007374AC" w:rsidP="007374AC">
      <w:pPr>
        <w:adjustRightInd w:val="0"/>
        <w:snapToGrid w:val="0"/>
        <w:spacing w:before="240" w:line="360" w:lineRule="auto"/>
        <w:ind w:firstLineChars="200" w:firstLine="420"/>
        <w:jc w:val="left"/>
        <w:rPr>
          <w:rFonts w:ascii="宋体" w:hAnsi="宋体" w:cs="Arial" w:hint="eastAsia"/>
          <w:szCs w:val="21"/>
        </w:rPr>
      </w:pPr>
      <w:r>
        <w:rPr>
          <w:rFonts w:ascii="宋体" w:hAnsi="宋体" w:cs="Arial" w:hint="eastAsia"/>
          <w:szCs w:val="21"/>
        </w:rPr>
        <w:t>投资者可以通过销售机构办理上述基金的申购、赎回、转换及定投业务。同时，投资者办理上述基金转换业务适用转换范围，请参看本公司相关公告及业务规则。</w:t>
      </w:r>
    </w:p>
    <w:p w:rsidR="007374AC" w:rsidRDefault="007374AC" w:rsidP="007374AC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Arial" w:hint="eastAsia"/>
          <w:szCs w:val="21"/>
        </w:rPr>
      </w:pPr>
      <w:r>
        <w:rPr>
          <w:rFonts w:ascii="宋体" w:hAnsi="宋体" w:cs="Arial" w:hint="eastAsia"/>
          <w:szCs w:val="21"/>
        </w:rPr>
        <w:t>投资者通过销售机构办理上述基金交易的具体程序，以销售机构相关规定为准。</w:t>
      </w:r>
    </w:p>
    <w:p w:rsidR="007374AC" w:rsidRDefault="007374AC" w:rsidP="007374A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 w:hint="eastAsia"/>
          <w:b/>
          <w:szCs w:val="21"/>
        </w:rPr>
      </w:pPr>
      <w:r>
        <w:rPr>
          <w:rFonts w:ascii="宋体" w:hAnsi="宋体" w:cs="Arial" w:hint="eastAsia"/>
          <w:b/>
          <w:szCs w:val="21"/>
        </w:rPr>
        <w:t>适用基金销售机构</w:t>
      </w:r>
    </w:p>
    <w:tbl>
      <w:tblPr>
        <w:tblW w:w="82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685"/>
        <w:gridCol w:w="3686"/>
      </w:tblGrid>
      <w:tr w:rsidR="007374AC" w:rsidTr="007374AC">
        <w:trPr>
          <w:trHeight w:val="46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销售机构名称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咨询方式</w:t>
            </w:r>
          </w:p>
        </w:tc>
      </w:tr>
      <w:tr w:rsidR="007374AC" w:rsidTr="007374AC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C" w:rsidRDefault="007374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C" w:rsidRDefault="007374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C" w:rsidRDefault="007374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374AC" w:rsidTr="007374AC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中信证券股份有限公司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客服电话：95548</w:t>
            </w:r>
          </w:p>
          <w:p w:rsidR="007374AC" w:rsidRDefault="007374AC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网址：www.cs.ecitic.com</w:t>
            </w:r>
          </w:p>
        </w:tc>
      </w:tr>
      <w:tr w:rsidR="007374AC" w:rsidTr="007374AC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中信证券（山东）有限责任公司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客服电话：95548</w:t>
            </w:r>
          </w:p>
          <w:p w:rsidR="007374AC" w:rsidRDefault="007374AC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网址：sd.citics.com</w:t>
            </w:r>
          </w:p>
        </w:tc>
      </w:tr>
      <w:tr w:rsidR="007374AC" w:rsidTr="007374AC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4AC" w:rsidRDefault="00CD33D4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中信期货有限公司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C" w:rsidRDefault="007374AC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客服电话：400-990-8826</w:t>
            </w:r>
          </w:p>
          <w:p w:rsidR="007374AC" w:rsidRDefault="007374AC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网址：www.citicsf.com</w:t>
            </w:r>
          </w:p>
        </w:tc>
      </w:tr>
    </w:tbl>
    <w:p w:rsidR="007374AC" w:rsidRDefault="007374AC" w:rsidP="007374A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 w:hint="eastAsia"/>
          <w:b/>
          <w:szCs w:val="21"/>
        </w:rPr>
      </w:pPr>
      <w:r>
        <w:rPr>
          <w:rFonts w:ascii="宋体" w:hAnsi="宋体" w:cs="Arial" w:hint="eastAsia"/>
          <w:b/>
          <w:szCs w:val="21"/>
        </w:rPr>
        <w:t>优惠方式：</w:t>
      </w:r>
    </w:p>
    <w:p w:rsidR="007374AC" w:rsidRDefault="007374AC" w:rsidP="007374AC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 w:hint="eastAsia"/>
          <w:szCs w:val="21"/>
        </w:rPr>
      </w:pPr>
      <w:r>
        <w:rPr>
          <w:rFonts w:ascii="宋体" w:hAnsi="宋体" w:cs="Arial" w:hint="eastAsia"/>
          <w:szCs w:val="21"/>
        </w:rPr>
        <w:t>自2019年11月15日起，在符合基金相关法律文件及监管部门要求的前提下，投资者通过上述销售机构申购（含定投）上述基金，享有申购费率优惠，具体折扣费率以各销售机构页面公示为准。</w:t>
      </w:r>
    </w:p>
    <w:p w:rsidR="007374AC" w:rsidRDefault="007374AC" w:rsidP="007374A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 w:hint="eastAsia"/>
          <w:b/>
          <w:szCs w:val="21"/>
        </w:rPr>
      </w:pPr>
      <w:r>
        <w:rPr>
          <w:rFonts w:ascii="宋体" w:hAnsi="宋体" w:cs="Arial" w:hint="eastAsia"/>
          <w:b/>
          <w:szCs w:val="21"/>
        </w:rPr>
        <w:t>特别提示</w:t>
      </w:r>
    </w:p>
    <w:p w:rsidR="007374AC" w:rsidRDefault="007374AC" w:rsidP="007374AC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Arial" w:hint="eastAsia"/>
          <w:szCs w:val="21"/>
        </w:rPr>
      </w:pPr>
      <w:r>
        <w:rPr>
          <w:rFonts w:ascii="宋体" w:hAnsi="宋体" w:cs="Arial" w:hint="eastAsia"/>
          <w:szCs w:val="21"/>
        </w:rPr>
        <w:t>1.</w:t>
      </w:r>
      <w:r>
        <w:rPr>
          <w:rFonts w:ascii="宋体" w:hAnsi="宋体" w:cs="Arial" w:hint="eastAsia"/>
          <w:szCs w:val="21"/>
        </w:rPr>
        <w:tab/>
        <w:t>本公告的解释权归各销售机构所有。</w:t>
      </w:r>
    </w:p>
    <w:p w:rsidR="007374AC" w:rsidRDefault="007374AC" w:rsidP="007374AC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Arial" w:hint="eastAsia"/>
          <w:szCs w:val="21"/>
        </w:rPr>
      </w:pPr>
      <w:r>
        <w:rPr>
          <w:rFonts w:ascii="宋体" w:hAnsi="宋体" w:cs="Arial" w:hint="eastAsia"/>
          <w:szCs w:val="21"/>
        </w:rPr>
        <w:t>2.</w:t>
      </w:r>
      <w:r>
        <w:rPr>
          <w:rFonts w:ascii="宋体" w:hAnsi="宋体" w:cs="Arial" w:hint="eastAsia"/>
          <w:szCs w:val="21"/>
        </w:rPr>
        <w:tab/>
        <w:t>优惠活动期间，业务办理的具体时间、流程以各销售机构规定为准。如上述优惠活动调整，本公司及各销售机构将另行公告相关内容。</w:t>
      </w:r>
    </w:p>
    <w:p w:rsidR="007374AC" w:rsidRDefault="007374AC" w:rsidP="007374AC">
      <w:pPr>
        <w:adjustRightInd w:val="0"/>
        <w:snapToGrid w:val="0"/>
        <w:spacing w:before="240" w:line="360" w:lineRule="auto"/>
        <w:ind w:firstLineChars="200" w:firstLine="420"/>
        <w:jc w:val="left"/>
        <w:rPr>
          <w:rFonts w:ascii="宋体" w:hAnsi="宋体" w:cs="Arial" w:hint="eastAsia"/>
          <w:szCs w:val="21"/>
          <w:lang/>
        </w:rPr>
      </w:pPr>
      <w:r>
        <w:rPr>
          <w:rFonts w:ascii="宋体" w:hAnsi="宋体" w:cs="Arial" w:hint="eastAsia"/>
          <w:szCs w:val="21"/>
          <w:lang/>
        </w:rPr>
        <w:t>投资者可通过本基金管理人网站（www.tkfunds.com.cn）或客户服务电话400-18-95522咨询相关情况。</w:t>
      </w:r>
    </w:p>
    <w:p w:rsidR="007374AC" w:rsidRDefault="007374AC" w:rsidP="007374AC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和招募说明书（更新）等法律文件，并选择适合自己风险承受能力的投资品种进行投资。</w:t>
      </w:r>
    </w:p>
    <w:p w:rsidR="007374AC" w:rsidRDefault="007374AC" w:rsidP="007374AC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7374AC" w:rsidRDefault="007374AC" w:rsidP="007374AC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7374AC" w:rsidRDefault="007374AC" w:rsidP="007374AC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333333"/>
          <w:kern w:val="0"/>
          <w:szCs w:val="21"/>
          <w:lang/>
        </w:rPr>
      </w:pPr>
    </w:p>
    <w:p w:rsidR="007374AC" w:rsidRDefault="007374AC" w:rsidP="007374A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Arial" w:hint="eastAsia"/>
          <w:szCs w:val="21"/>
        </w:rPr>
      </w:pPr>
    </w:p>
    <w:p w:rsidR="007374AC" w:rsidRDefault="007374AC" w:rsidP="007374AC">
      <w:pPr>
        <w:autoSpaceDE w:val="0"/>
        <w:autoSpaceDN w:val="0"/>
        <w:adjustRightInd w:val="0"/>
        <w:snapToGrid w:val="0"/>
        <w:spacing w:line="360" w:lineRule="auto"/>
        <w:ind w:firstLine="570"/>
        <w:jc w:val="right"/>
        <w:rPr>
          <w:rFonts w:ascii="宋体" w:hAnsi="宋体" w:cs="Arial" w:hint="eastAsia"/>
          <w:szCs w:val="21"/>
        </w:rPr>
      </w:pPr>
      <w:r>
        <w:rPr>
          <w:rFonts w:ascii="宋体" w:hAnsi="宋体" w:cs="Arial" w:hint="eastAsia"/>
          <w:szCs w:val="21"/>
        </w:rPr>
        <w:t>泰康资产管理有限责任公司</w:t>
      </w:r>
    </w:p>
    <w:p w:rsidR="007374AC" w:rsidRDefault="007374AC" w:rsidP="007374AC">
      <w:pPr>
        <w:autoSpaceDE w:val="0"/>
        <w:autoSpaceDN w:val="0"/>
        <w:adjustRightInd w:val="0"/>
        <w:snapToGrid w:val="0"/>
        <w:spacing w:line="360" w:lineRule="auto"/>
        <w:ind w:left="5250" w:right="90"/>
        <w:jc w:val="right"/>
        <w:rPr>
          <w:rFonts w:ascii="宋体" w:hAnsi="宋体" w:cs="Arial" w:hint="eastAsia"/>
          <w:szCs w:val="21"/>
        </w:rPr>
      </w:pPr>
      <w:r>
        <w:rPr>
          <w:rFonts w:ascii="宋体" w:hAnsi="宋体" w:cs="Arial" w:hint="eastAsia"/>
          <w:szCs w:val="21"/>
        </w:rPr>
        <w:t>2019年11月15日</w:t>
      </w:r>
    </w:p>
    <w:p w:rsidR="00BD7E0E" w:rsidRDefault="00BD7E0E"/>
    <w:sectPr w:rsidR="00BD7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B08" w:rsidRDefault="00936B08" w:rsidP="00CD33D4">
      <w:r>
        <w:separator/>
      </w:r>
    </w:p>
  </w:endnote>
  <w:endnote w:type="continuationSeparator" w:id="1">
    <w:p w:rsidR="00936B08" w:rsidRDefault="00936B08" w:rsidP="00CD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B08" w:rsidRDefault="00936B08" w:rsidP="00CD33D4">
      <w:r>
        <w:separator/>
      </w:r>
    </w:p>
  </w:footnote>
  <w:footnote w:type="continuationSeparator" w:id="1">
    <w:p w:rsidR="00936B08" w:rsidRDefault="00936B08" w:rsidP="00CD3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37CC"/>
    <w:multiLevelType w:val="hybridMultilevel"/>
    <w:tmpl w:val="A492F872"/>
    <w:lvl w:ilvl="0" w:tplc="7070D568">
      <w:start w:val="1"/>
      <w:numFmt w:val="japaneseCounting"/>
      <w:lvlText w:val="%1、"/>
      <w:lvlJc w:val="left"/>
      <w:pPr>
        <w:ind w:left="420" w:hanging="420"/>
      </w:pPr>
      <w:rPr>
        <w:rFonts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4AC"/>
    <w:rsid w:val="00730A7F"/>
    <w:rsid w:val="007374AC"/>
    <w:rsid w:val="00770E4B"/>
    <w:rsid w:val="00936B08"/>
    <w:rsid w:val="00BD7E0E"/>
    <w:rsid w:val="00CD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A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D33D4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3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D33D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3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1787</Characters>
  <Application>Microsoft Office Word</Application>
  <DocSecurity>4</DocSecurity>
  <Lines>14</Lines>
  <Paragraphs>4</Paragraphs>
  <ScaleCrop>false</ScaleCrop>
  <Company>Tkamc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鲁祎</dc:creator>
  <cp:keywords/>
  <dc:description/>
  <cp:lastModifiedBy>JonMMx 2000</cp:lastModifiedBy>
  <cp:revision>2</cp:revision>
  <dcterms:created xsi:type="dcterms:W3CDTF">2019-11-14T16:08:00Z</dcterms:created>
  <dcterms:modified xsi:type="dcterms:W3CDTF">2019-11-14T16:08:00Z</dcterms:modified>
</cp:coreProperties>
</file>