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5ED" w:rsidRPr="006E0812" w:rsidRDefault="007F35ED" w:rsidP="006E0812">
      <w:pPr>
        <w:pStyle w:val="font14"/>
        <w:jc w:val="center"/>
        <w:rPr>
          <w:rFonts w:asciiTheme="minorEastAsia" w:eastAsiaTheme="minorEastAsia" w:hAnsiTheme="minorEastAsia"/>
          <w:b/>
          <w:sz w:val="28"/>
          <w:szCs w:val="24"/>
        </w:rPr>
      </w:pPr>
      <w:r w:rsidRPr="006E0812">
        <w:rPr>
          <w:rFonts w:asciiTheme="minorEastAsia" w:eastAsiaTheme="minorEastAsia" w:hAnsiTheme="minorEastAsia" w:hint="eastAsia"/>
          <w:b/>
          <w:sz w:val="28"/>
          <w:szCs w:val="24"/>
        </w:rPr>
        <w:t>易方达基金管理有限公司关于易方达聚盈分级债券型发起式证券投资基金之聚盈A份额折算和确认结果的公告</w:t>
      </w:r>
    </w:p>
    <w:p w:rsidR="007F35ED" w:rsidRPr="006E0812" w:rsidRDefault="007F35ED" w:rsidP="0076621C">
      <w:pPr>
        <w:widowControl/>
        <w:spacing w:line="360" w:lineRule="auto"/>
        <w:ind w:firstLineChars="200" w:firstLine="480"/>
        <w:jc w:val="left"/>
        <w:rPr>
          <w:rFonts w:asciiTheme="minorEastAsia" w:hAnsiTheme="minorEastAsia" w:cs="宋体"/>
          <w:kern w:val="0"/>
          <w:sz w:val="24"/>
          <w:szCs w:val="24"/>
        </w:rPr>
      </w:pPr>
      <w:bookmarkStart w:id="0" w:name="_GoBack"/>
      <w:bookmarkEnd w:id="0"/>
      <w:r w:rsidRPr="006E0812">
        <w:rPr>
          <w:rFonts w:asciiTheme="minorEastAsia" w:hAnsiTheme="minorEastAsia" w:cs="宋体" w:hint="eastAsia"/>
          <w:kern w:val="0"/>
          <w:sz w:val="24"/>
          <w:szCs w:val="24"/>
        </w:rPr>
        <w:t>易方达基金管理有限公司（以下简称“基金管理人”）于</w:t>
      </w:r>
      <w:r w:rsidR="00A46CF2" w:rsidRPr="006E0812">
        <w:rPr>
          <w:rFonts w:asciiTheme="minorEastAsia" w:hAnsiTheme="minorEastAsia" w:cs="宋体"/>
          <w:kern w:val="0"/>
          <w:sz w:val="24"/>
          <w:szCs w:val="24"/>
        </w:rPr>
        <w:t>201</w:t>
      </w:r>
      <w:r w:rsidR="008D60D3" w:rsidRPr="006E0812">
        <w:rPr>
          <w:rFonts w:asciiTheme="minorEastAsia" w:hAnsiTheme="minorEastAsia" w:cs="宋体"/>
          <w:kern w:val="0"/>
          <w:sz w:val="24"/>
          <w:szCs w:val="24"/>
        </w:rPr>
        <w:t>9</w:t>
      </w:r>
      <w:r w:rsidR="00385333" w:rsidRPr="006E0812">
        <w:rPr>
          <w:rFonts w:asciiTheme="minorEastAsia" w:hAnsiTheme="minorEastAsia" w:cs="宋体" w:hint="eastAsia"/>
          <w:kern w:val="0"/>
          <w:sz w:val="24"/>
          <w:szCs w:val="24"/>
        </w:rPr>
        <w:t>年</w:t>
      </w:r>
      <w:r w:rsidR="00D94285" w:rsidRPr="006E0812">
        <w:rPr>
          <w:rFonts w:asciiTheme="minorEastAsia" w:hAnsiTheme="minorEastAsia" w:cs="宋体"/>
          <w:kern w:val="0"/>
          <w:sz w:val="24"/>
          <w:szCs w:val="24"/>
        </w:rPr>
        <w:t>10</w:t>
      </w:r>
      <w:r w:rsidRPr="006E0812">
        <w:rPr>
          <w:rFonts w:asciiTheme="minorEastAsia" w:hAnsiTheme="minorEastAsia" w:cs="宋体" w:hint="eastAsia"/>
          <w:kern w:val="0"/>
          <w:sz w:val="24"/>
          <w:szCs w:val="24"/>
        </w:rPr>
        <w:t>月</w:t>
      </w:r>
      <w:r w:rsidR="00D94285" w:rsidRPr="006E0812">
        <w:rPr>
          <w:rFonts w:asciiTheme="minorEastAsia" w:hAnsiTheme="minorEastAsia" w:cs="宋体"/>
          <w:kern w:val="0"/>
          <w:sz w:val="24"/>
          <w:szCs w:val="24"/>
        </w:rPr>
        <w:t>28</w:t>
      </w:r>
      <w:r w:rsidRPr="006E0812">
        <w:rPr>
          <w:rFonts w:asciiTheme="minorEastAsia" w:hAnsiTheme="minorEastAsia" w:cs="宋体" w:hint="eastAsia"/>
          <w:kern w:val="0"/>
          <w:sz w:val="24"/>
          <w:szCs w:val="24"/>
        </w:rPr>
        <w:t>日发布了《</w:t>
      </w:r>
      <w:r w:rsidR="00DB6D43" w:rsidRPr="006E0812">
        <w:rPr>
          <w:rFonts w:asciiTheme="minorEastAsia" w:hAnsiTheme="minorEastAsia" w:cs="宋体" w:hint="eastAsia"/>
          <w:kern w:val="0"/>
          <w:sz w:val="24"/>
          <w:szCs w:val="24"/>
        </w:rPr>
        <w:t>易方达基金管理有限公司关于易方达聚盈分级债券型发起式证券投资基金份额折算方案的公告</w:t>
      </w:r>
      <w:r w:rsidRPr="006E0812">
        <w:rPr>
          <w:rFonts w:asciiTheme="minorEastAsia" w:hAnsiTheme="minorEastAsia" w:cs="宋体" w:hint="eastAsia"/>
          <w:kern w:val="0"/>
          <w:sz w:val="24"/>
          <w:szCs w:val="24"/>
        </w:rPr>
        <w:t>》。201</w:t>
      </w:r>
      <w:r w:rsidR="008D60D3" w:rsidRPr="006E0812">
        <w:rPr>
          <w:rFonts w:asciiTheme="minorEastAsia" w:hAnsiTheme="minorEastAsia" w:cs="宋体"/>
          <w:kern w:val="0"/>
          <w:sz w:val="24"/>
          <w:szCs w:val="24"/>
        </w:rPr>
        <w:t>9</w:t>
      </w:r>
      <w:r w:rsidRPr="006E0812">
        <w:rPr>
          <w:rFonts w:asciiTheme="minorEastAsia" w:hAnsiTheme="minorEastAsia" w:cs="宋体" w:hint="eastAsia"/>
          <w:kern w:val="0"/>
          <w:sz w:val="24"/>
          <w:szCs w:val="24"/>
        </w:rPr>
        <w:t>年</w:t>
      </w:r>
      <w:r w:rsidR="0007038F" w:rsidRPr="006E0812">
        <w:rPr>
          <w:rFonts w:asciiTheme="minorEastAsia" w:hAnsiTheme="minorEastAsia" w:cs="宋体"/>
          <w:kern w:val="0"/>
          <w:sz w:val="24"/>
          <w:szCs w:val="24"/>
        </w:rPr>
        <w:t>11</w:t>
      </w:r>
      <w:r w:rsidRPr="006E0812">
        <w:rPr>
          <w:rFonts w:asciiTheme="minorEastAsia" w:hAnsiTheme="minorEastAsia" w:cs="宋体" w:hint="eastAsia"/>
          <w:kern w:val="0"/>
          <w:sz w:val="24"/>
          <w:szCs w:val="24"/>
        </w:rPr>
        <w:t>月</w:t>
      </w:r>
      <w:r w:rsidR="008D60D3" w:rsidRPr="006E0812">
        <w:rPr>
          <w:rFonts w:asciiTheme="minorEastAsia" w:hAnsiTheme="minorEastAsia" w:cs="宋体"/>
          <w:kern w:val="0"/>
          <w:sz w:val="24"/>
          <w:szCs w:val="24"/>
        </w:rPr>
        <w:t>8</w:t>
      </w:r>
      <w:r w:rsidRPr="006E0812">
        <w:rPr>
          <w:rFonts w:asciiTheme="minorEastAsia" w:hAnsiTheme="minorEastAsia" w:cs="宋体" w:hint="eastAsia"/>
          <w:kern w:val="0"/>
          <w:sz w:val="24"/>
          <w:szCs w:val="24"/>
        </w:rPr>
        <w:t>日为聚盈A份额赎回开放日，</w:t>
      </w:r>
      <w:r w:rsidR="0007038F" w:rsidRPr="006E0812">
        <w:rPr>
          <w:rFonts w:asciiTheme="minorEastAsia" w:hAnsiTheme="minorEastAsia" w:cs="宋体"/>
          <w:kern w:val="0"/>
          <w:sz w:val="24"/>
          <w:szCs w:val="24"/>
        </w:rPr>
        <w:t>11</w:t>
      </w:r>
      <w:r w:rsidRPr="006E0812">
        <w:rPr>
          <w:rFonts w:asciiTheme="minorEastAsia" w:hAnsiTheme="minorEastAsia" w:cs="宋体" w:hint="eastAsia"/>
          <w:kern w:val="0"/>
          <w:sz w:val="24"/>
          <w:szCs w:val="24"/>
        </w:rPr>
        <w:t>月</w:t>
      </w:r>
      <w:r w:rsidR="008D60D3" w:rsidRPr="006E0812">
        <w:rPr>
          <w:rFonts w:asciiTheme="minorEastAsia" w:hAnsiTheme="minorEastAsia" w:cs="宋体"/>
          <w:kern w:val="0"/>
          <w:sz w:val="24"/>
          <w:szCs w:val="24"/>
        </w:rPr>
        <w:t>11</w:t>
      </w:r>
      <w:r w:rsidRPr="006E0812">
        <w:rPr>
          <w:rFonts w:asciiTheme="minorEastAsia" w:hAnsiTheme="minorEastAsia" w:cs="宋体" w:hint="eastAsia"/>
          <w:kern w:val="0"/>
          <w:sz w:val="24"/>
          <w:szCs w:val="24"/>
        </w:rPr>
        <w:t>日为聚盈A份额折算基准日，现将相关事项公告如下：</w:t>
      </w:r>
    </w:p>
    <w:p w:rsidR="007F35ED" w:rsidRPr="006E0812" w:rsidRDefault="007F35ED" w:rsidP="00323C4F">
      <w:pPr>
        <w:widowControl/>
        <w:spacing w:line="360" w:lineRule="auto"/>
        <w:ind w:firstLineChars="200" w:firstLine="482"/>
        <w:jc w:val="left"/>
        <w:rPr>
          <w:rFonts w:asciiTheme="minorEastAsia" w:hAnsiTheme="minorEastAsia" w:cs="宋体"/>
          <w:b/>
          <w:kern w:val="0"/>
          <w:sz w:val="24"/>
          <w:szCs w:val="24"/>
        </w:rPr>
      </w:pPr>
      <w:r w:rsidRPr="006E0812">
        <w:rPr>
          <w:rFonts w:asciiTheme="minorEastAsia" w:hAnsiTheme="minorEastAsia" w:cs="宋体"/>
          <w:b/>
          <w:kern w:val="0"/>
          <w:sz w:val="24"/>
          <w:szCs w:val="24"/>
        </w:rPr>
        <w:t>一、本次聚盈A份额折算结果</w:t>
      </w:r>
    </w:p>
    <w:p w:rsidR="007F35ED" w:rsidRPr="006E0812" w:rsidRDefault="007F35ED" w:rsidP="00323C4F">
      <w:pPr>
        <w:widowControl/>
        <w:spacing w:line="360" w:lineRule="auto"/>
        <w:ind w:firstLineChars="200" w:firstLine="480"/>
        <w:jc w:val="left"/>
        <w:rPr>
          <w:rFonts w:asciiTheme="minorEastAsia" w:hAnsiTheme="minorEastAsia" w:cs="宋体"/>
          <w:kern w:val="0"/>
          <w:sz w:val="24"/>
          <w:szCs w:val="24"/>
        </w:rPr>
      </w:pPr>
      <w:r w:rsidRPr="006E0812">
        <w:rPr>
          <w:rFonts w:asciiTheme="minorEastAsia" w:hAnsiTheme="minorEastAsia" w:cs="宋体" w:hint="eastAsia"/>
          <w:kern w:val="0"/>
          <w:sz w:val="24"/>
          <w:szCs w:val="24"/>
        </w:rPr>
        <w:t>201</w:t>
      </w:r>
      <w:r w:rsidR="008D60D3" w:rsidRPr="006E0812">
        <w:rPr>
          <w:rFonts w:asciiTheme="minorEastAsia" w:hAnsiTheme="minorEastAsia" w:cs="宋体"/>
          <w:kern w:val="0"/>
          <w:sz w:val="24"/>
          <w:szCs w:val="24"/>
        </w:rPr>
        <w:t>9</w:t>
      </w:r>
      <w:r w:rsidRPr="006E0812">
        <w:rPr>
          <w:rFonts w:asciiTheme="minorEastAsia" w:hAnsiTheme="minorEastAsia" w:cs="宋体" w:hint="eastAsia"/>
          <w:kern w:val="0"/>
          <w:sz w:val="24"/>
          <w:szCs w:val="24"/>
        </w:rPr>
        <w:t>年</w:t>
      </w:r>
      <w:r w:rsidR="0007038F" w:rsidRPr="006E0812">
        <w:rPr>
          <w:rFonts w:asciiTheme="minorEastAsia" w:hAnsiTheme="minorEastAsia" w:cs="宋体" w:hint="eastAsia"/>
          <w:kern w:val="0"/>
          <w:sz w:val="24"/>
          <w:szCs w:val="24"/>
        </w:rPr>
        <w:t>1</w:t>
      </w:r>
      <w:r w:rsidR="0007038F" w:rsidRPr="006E0812">
        <w:rPr>
          <w:rFonts w:asciiTheme="minorEastAsia" w:hAnsiTheme="minorEastAsia" w:cs="宋体"/>
          <w:kern w:val="0"/>
          <w:sz w:val="24"/>
          <w:szCs w:val="24"/>
        </w:rPr>
        <w:t>1</w:t>
      </w:r>
      <w:r w:rsidRPr="006E0812">
        <w:rPr>
          <w:rFonts w:asciiTheme="minorEastAsia" w:hAnsiTheme="minorEastAsia" w:cs="宋体" w:hint="eastAsia"/>
          <w:kern w:val="0"/>
          <w:sz w:val="24"/>
          <w:szCs w:val="24"/>
        </w:rPr>
        <w:t>月</w:t>
      </w:r>
      <w:r w:rsidR="00CE66A4" w:rsidRPr="006E0812">
        <w:rPr>
          <w:rFonts w:asciiTheme="minorEastAsia" w:hAnsiTheme="minorEastAsia" w:cs="宋体"/>
          <w:kern w:val="0"/>
          <w:sz w:val="24"/>
          <w:szCs w:val="24"/>
        </w:rPr>
        <w:t>1</w:t>
      </w:r>
      <w:r w:rsidR="008D60D3" w:rsidRPr="006E0812">
        <w:rPr>
          <w:rFonts w:asciiTheme="minorEastAsia" w:hAnsiTheme="minorEastAsia" w:cs="宋体"/>
          <w:kern w:val="0"/>
          <w:sz w:val="24"/>
          <w:szCs w:val="24"/>
        </w:rPr>
        <w:t>1</w:t>
      </w:r>
      <w:r w:rsidRPr="006E0812">
        <w:rPr>
          <w:rFonts w:asciiTheme="minorEastAsia" w:hAnsiTheme="minorEastAsia" w:cs="宋体" w:hint="eastAsia"/>
          <w:kern w:val="0"/>
          <w:sz w:val="24"/>
          <w:szCs w:val="24"/>
        </w:rPr>
        <w:t>日折算前聚盈</w:t>
      </w:r>
      <w:r w:rsidRPr="006E0812">
        <w:rPr>
          <w:rFonts w:asciiTheme="minorEastAsia" w:hAnsiTheme="minorEastAsia" w:cs="宋体"/>
          <w:kern w:val="0"/>
          <w:sz w:val="24"/>
          <w:szCs w:val="24"/>
        </w:rPr>
        <w:t>A份额净值为</w:t>
      </w:r>
      <w:r w:rsidR="00027C98" w:rsidRPr="006E0812">
        <w:rPr>
          <w:rFonts w:asciiTheme="minorEastAsia" w:hAnsiTheme="minorEastAsia" w:cs="宋体"/>
          <w:kern w:val="0"/>
          <w:sz w:val="24"/>
          <w:szCs w:val="24"/>
        </w:rPr>
        <w:t>1.007479452</w:t>
      </w:r>
      <w:r w:rsidRPr="006E0812">
        <w:rPr>
          <w:rFonts w:asciiTheme="minorEastAsia" w:hAnsiTheme="minorEastAsia" w:cs="宋体" w:hint="eastAsia"/>
          <w:kern w:val="0"/>
          <w:sz w:val="24"/>
          <w:szCs w:val="24"/>
        </w:rPr>
        <w:t>元，据此计算的聚盈</w:t>
      </w:r>
      <w:r w:rsidRPr="006E0812">
        <w:rPr>
          <w:rFonts w:asciiTheme="minorEastAsia" w:hAnsiTheme="minorEastAsia" w:cs="宋体"/>
          <w:kern w:val="0"/>
          <w:sz w:val="24"/>
          <w:szCs w:val="24"/>
        </w:rPr>
        <w:t>A的折算比例为</w:t>
      </w:r>
      <w:r w:rsidR="00027C98" w:rsidRPr="006E0812">
        <w:rPr>
          <w:rFonts w:asciiTheme="minorEastAsia" w:hAnsiTheme="minorEastAsia" w:cs="宋体"/>
          <w:kern w:val="0"/>
          <w:sz w:val="24"/>
          <w:szCs w:val="24"/>
        </w:rPr>
        <w:t>1.007479452</w:t>
      </w:r>
      <w:r w:rsidRPr="006E0812">
        <w:rPr>
          <w:rFonts w:asciiTheme="minorEastAsia" w:hAnsiTheme="minorEastAsia" w:cs="宋体" w:hint="eastAsia"/>
          <w:kern w:val="0"/>
          <w:sz w:val="24"/>
          <w:szCs w:val="24"/>
        </w:rPr>
        <w:t>，折算后，聚盈</w:t>
      </w:r>
      <w:r w:rsidRPr="006E0812">
        <w:rPr>
          <w:rFonts w:asciiTheme="minorEastAsia" w:hAnsiTheme="minorEastAsia" w:cs="宋体"/>
          <w:kern w:val="0"/>
          <w:sz w:val="24"/>
          <w:szCs w:val="24"/>
        </w:rPr>
        <w:t>A份额净值调整为1.0000元。折算前，聚盈A份额总额为</w:t>
      </w:r>
      <w:r w:rsidR="00E56588" w:rsidRPr="006E0812">
        <w:rPr>
          <w:rFonts w:asciiTheme="minorEastAsia" w:hAnsiTheme="minorEastAsia" w:cs="宋体"/>
          <w:kern w:val="0"/>
          <w:sz w:val="24"/>
          <w:szCs w:val="24"/>
        </w:rPr>
        <w:t>51,092,782.14</w:t>
      </w:r>
      <w:r w:rsidRPr="006E0812">
        <w:rPr>
          <w:rFonts w:asciiTheme="minorEastAsia" w:hAnsiTheme="minorEastAsia" w:cs="宋体" w:hint="eastAsia"/>
          <w:kern w:val="0"/>
          <w:sz w:val="24"/>
          <w:szCs w:val="24"/>
        </w:rPr>
        <w:t>份，折算后，聚盈</w:t>
      </w:r>
      <w:r w:rsidRPr="006E0812">
        <w:rPr>
          <w:rFonts w:asciiTheme="minorEastAsia" w:hAnsiTheme="minorEastAsia" w:cs="宋体"/>
          <w:kern w:val="0"/>
          <w:sz w:val="24"/>
          <w:szCs w:val="24"/>
        </w:rPr>
        <w:t>A份额总额为</w:t>
      </w:r>
      <w:r w:rsidR="00E56588" w:rsidRPr="006E0812">
        <w:rPr>
          <w:rFonts w:asciiTheme="minorEastAsia" w:hAnsiTheme="minorEastAsia" w:cs="宋体"/>
          <w:kern w:val="0"/>
          <w:sz w:val="24"/>
          <w:szCs w:val="24"/>
        </w:rPr>
        <w:t>51,474,928.26</w:t>
      </w:r>
      <w:r w:rsidRPr="006E0812">
        <w:rPr>
          <w:rFonts w:asciiTheme="minorEastAsia" w:hAnsiTheme="minorEastAsia" w:cs="宋体" w:hint="eastAsia"/>
          <w:kern w:val="0"/>
          <w:sz w:val="24"/>
          <w:szCs w:val="24"/>
        </w:rPr>
        <w:t>份。聚盈</w:t>
      </w:r>
      <w:r w:rsidRPr="006E0812">
        <w:rPr>
          <w:rFonts w:asciiTheme="minorEastAsia" w:hAnsiTheme="minorEastAsia" w:cs="宋体"/>
          <w:kern w:val="0"/>
          <w:sz w:val="24"/>
          <w:szCs w:val="24"/>
        </w:rPr>
        <w:t>A经折算后的份额数四舍五入保留到小数点后两位，由此产生的收益或损失由基金财产承担，计算的结果以登记机构的记录为准。投资者自公告之日起可查询其原持有的聚盈A份额的折算结果。</w:t>
      </w:r>
    </w:p>
    <w:p w:rsidR="007F35ED" w:rsidRPr="006E0812" w:rsidRDefault="007F35ED" w:rsidP="00323C4F">
      <w:pPr>
        <w:widowControl/>
        <w:spacing w:line="360" w:lineRule="auto"/>
        <w:ind w:firstLineChars="200" w:firstLine="482"/>
        <w:jc w:val="left"/>
        <w:rPr>
          <w:rFonts w:asciiTheme="minorEastAsia" w:hAnsiTheme="minorEastAsia" w:cs="宋体"/>
          <w:b/>
          <w:kern w:val="0"/>
          <w:sz w:val="24"/>
          <w:szCs w:val="24"/>
        </w:rPr>
      </w:pPr>
      <w:r w:rsidRPr="006E0812">
        <w:rPr>
          <w:rFonts w:asciiTheme="minorEastAsia" w:hAnsiTheme="minorEastAsia" w:cs="宋体" w:hint="eastAsia"/>
          <w:b/>
          <w:kern w:val="0"/>
          <w:sz w:val="24"/>
          <w:szCs w:val="24"/>
        </w:rPr>
        <w:t>二、本次聚盈</w:t>
      </w:r>
      <w:r w:rsidRPr="006E0812">
        <w:rPr>
          <w:rFonts w:asciiTheme="minorEastAsia" w:hAnsiTheme="minorEastAsia" w:cs="宋体"/>
          <w:b/>
          <w:kern w:val="0"/>
          <w:sz w:val="24"/>
          <w:szCs w:val="24"/>
        </w:rPr>
        <w:t>A确认结果</w:t>
      </w:r>
    </w:p>
    <w:p w:rsidR="007F35ED" w:rsidRPr="006E0812" w:rsidRDefault="007F35ED" w:rsidP="00323C4F">
      <w:pPr>
        <w:widowControl/>
        <w:spacing w:line="360" w:lineRule="auto"/>
        <w:ind w:firstLineChars="200" w:firstLine="480"/>
        <w:jc w:val="left"/>
        <w:rPr>
          <w:rFonts w:asciiTheme="minorEastAsia" w:hAnsiTheme="minorEastAsia" w:cs="宋体"/>
          <w:kern w:val="0"/>
          <w:sz w:val="24"/>
          <w:szCs w:val="24"/>
        </w:rPr>
      </w:pPr>
      <w:r w:rsidRPr="006E0812">
        <w:rPr>
          <w:rFonts w:asciiTheme="minorEastAsia" w:hAnsiTheme="minorEastAsia" w:cs="宋体" w:hint="eastAsia"/>
          <w:kern w:val="0"/>
          <w:sz w:val="24"/>
          <w:szCs w:val="24"/>
        </w:rPr>
        <w:t>本次确认成功的聚盈</w:t>
      </w:r>
      <w:r w:rsidRPr="006E0812">
        <w:rPr>
          <w:rFonts w:asciiTheme="minorEastAsia" w:hAnsiTheme="minorEastAsia" w:cs="宋体"/>
          <w:kern w:val="0"/>
          <w:sz w:val="24"/>
          <w:szCs w:val="24"/>
        </w:rPr>
        <w:t>A赎回和转换转出总份额为</w:t>
      </w:r>
      <w:r w:rsidR="00824D3F" w:rsidRPr="006E0812">
        <w:rPr>
          <w:rFonts w:asciiTheme="minorEastAsia" w:hAnsiTheme="minorEastAsia" w:cs="宋体"/>
          <w:kern w:val="0"/>
          <w:sz w:val="24"/>
          <w:szCs w:val="24"/>
        </w:rPr>
        <w:t>151,281,345.34</w:t>
      </w:r>
      <w:r w:rsidRPr="006E0812">
        <w:rPr>
          <w:rFonts w:asciiTheme="minorEastAsia" w:hAnsiTheme="minorEastAsia" w:cs="宋体" w:hint="eastAsia"/>
          <w:kern w:val="0"/>
          <w:sz w:val="24"/>
          <w:szCs w:val="24"/>
        </w:rPr>
        <w:t>份。</w:t>
      </w:r>
    </w:p>
    <w:p w:rsidR="007F35ED" w:rsidRPr="006E0812" w:rsidRDefault="007F35ED" w:rsidP="00323C4F">
      <w:pPr>
        <w:widowControl/>
        <w:spacing w:line="360" w:lineRule="auto"/>
        <w:ind w:firstLineChars="200" w:firstLine="480"/>
        <w:jc w:val="left"/>
        <w:rPr>
          <w:rFonts w:asciiTheme="minorEastAsia" w:hAnsiTheme="minorEastAsia" w:cs="宋体"/>
          <w:kern w:val="0"/>
          <w:sz w:val="24"/>
          <w:szCs w:val="24"/>
        </w:rPr>
      </w:pPr>
      <w:r w:rsidRPr="006E0812">
        <w:rPr>
          <w:rFonts w:asciiTheme="minorEastAsia" w:hAnsiTheme="minorEastAsia" w:cs="宋体" w:hint="eastAsia"/>
          <w:kern w:val="0"/>
          <w:sz w:val="24"/>
          <w:szCs w:val="24"/>
        </w:rPr>
        <w:t>本基金管理人已于201</w:t>
      </w:r>
      <w:r w:rsidR="008D60D3" w:rsidRPr="006E0812">
        <w:rPr>
          <w:rFonts w:asciiTheme="minorEastAsia" w:hAnsiTheme="minorEastAsia" w:cs="宋体"/>
          <w:kern w:val="0"/>
          <w:sz w:val="24"/>
          <w:szCs w:val="24"/>
        </w:rPr>
        <w:t>9</w:t>
      </w:r>
      <w:r w:rsidRPr="006E0812">
        <w:rPr>
          <w:rFonts w:asciiTheme="minorEastAsia" w:hAnsiTheme="minorEastAsia" w:cs="宋体" w:hint="eastAsia"/>
          <w:kern w:val="0"/>
          <w:sz w:val="24"/>
          <w:szCs w:val="24"/>
        </w:rPr>
        <w:t>年</w:t>
      </w:r>
      <w:r w:rsidR="003C5CC3" w:rsidRPr="006E0812">
        <w:rPr>
          <w:rFonts w:asciiTheme="minorEastAsia" w:hAnsiTheme="minorEastAsia" w:cs="宋体"/>
          <w:kern w:val="0"/>
          <w:sz w:val="24"/>
          <w:szCs w:val="24"/>
        </w:rPr>
        <w:t>11</w:t>
      </w:r>
      <w:r w:rsidRPr="006E0812">
        <w:rPr>
          <w:rFonts w:asciiTheme="minorEastAsia" w:hAnsiTheme="minorEastAsia" w:cs="宋体" w:hint="eastAsia"/>
          <w:kern w:val="0"/>
          <w:sz w:val="24"/>
          <w:szCs w:val="24"/>
        </w:rPr>
        <w:t>月</w:t>
      </w:r>
      <w:r w:rsidR="008D60D3" w:rsidRPr="006E0812">
        <w:rPr>
          <w:rFonts w:asciiTheme="minorEastAsia" w:hAnsiTheme="minorEastAsia" w:cs="宋体"/>
          <w:kern w:val="0"/>
          <w:sz w:val="24"/>
          <w:szCs w:val="24"/>
        </w:rPr>
        <w:t>11</w:t>
      </w:r>
      <w:r w:rsidRPr="006E0812">
        <w:rPr>
          <w:rFonts w:asciiTheme="minorEastAsia" w:hAnsiTheme="minorEastAsia" w:cs="宋体" w:hint="eastAsia"/>
          <w:kern w:val="0"/>
          <w:sz w:val="24"/>
          <w:szCs w:val="24"/>
        </w:rPr>
        <w:t>日对本次聚盈A的赎回和转换转出进行了确认，并为投资者办理了有关份额权益的注册登记变更手续。投资者可于T+2日起到各销售网点查询赎回及转换</w:t>
      </w:r>
      <w:r w:rsidR="00F66C86" w:rsidRPr="006E0812">
        <w:rPr>
          <w:rFonts w:asciiTheme="minorEastAsia" w:hAnsiTheme="minorEastAsia" w:cs="宋体" w:hint="eastAsia"/>
          <w:kern w:val="0"/>
          <w:sz w:val="24"/>
          <w:szCs w:val="24"/>
        </w:rPr>
        <w:t>转出</w:t>
      </w:r>
      <w:r w:rsidRPr="006E0812">
        <w:rPr>
          <w:rFonts w:asciiTheme="minorEastAsia" w:hAnsiTheme="minorEastAsia" w:cs="宋体" w:hint="eastAsia"/>
          <w:kern w:val="0"/>
          <w:sz w:val="24"/>
          <w:szCs w:val="24"/>
        </w:rPr>
        <w:t>的确认情况。投资者赎回申请成功后，本基金管理人自201</w:t>
      </w:r>
      <w:r w:rsidR="008D60D3" w:rsidRPr="006E0812">
        <w:rPr>
          <w:rFonts w:asciiTheme="minorEastAsia" w:hAnsiTheme="minorEastAsia" w:cs="宋体"/>
          <w:kern w:val="0"/>
          <w:sz w:val="24"/>
          <w:szCs w:val="24"/>
        </w:rPr>
        <w:t>9</w:t>
      </w:r>
      <w:r w:rsidRPr="006E0812">
        <w:rPr>
          <w:rFonts w:asciiTheme="minorEastAsia" w:hAnsiTheme="minorEastAsia" w:cs="宋体" w:hint="eastAsia"/>
          <w:kern w:val="0"/>
          <w:sz w:val="24"/>
          <w:szCs w:val="24"/>
        </w:rPr>
        <w:t>年</w:t>
      </w:r>
      <w:r w:rsidR="003C5CC3" w:rsidRPr="006E0812">
        <w:rPr>
          <w:rFonts w:asciiTheme="minorEastAsia" w:hAnsiTheme="minorEastAsia" w:cs="宋体"/>
          <w:kern w:val="0"/>
          <w:sz w:val="24"/>
          <w:szCs w:val="24"/>
        </w:rPr>
        <w:t>11</w:t>
      </w:r>
      <w:r w:rsidRPr="006E0812">
        <w:rPr>
          <w:rFonts w:asciiTheme="minorEastAsia" w:hAnsiTheme="minorEastAsia" w:cs="宋体" w:hint="eastAsia"/>
          <w:kern w:val="0"/>
          <w:sz w:val="24"/>
          <w:szCs w:val="24"/>
        </w:rPr>
        <w:t>月</w:t>
      </w:r>
      <w:r w:rsidR="008D60D3" w:rsidRPr="006E0812">
        <w:rPr>
          <w:rFonts w:asciiTheme="minorEastAsia" w:hAnsiTheme="minorEastAsia" w:cs="宋体"/>
          <w:kern w:val="0"/>
          <w:sz w:val="24"/>
          <w:szCs w:val="24"/>
        </w:rPr>
        <w:t>8</w:t>
      </w:r>
      <w:r w:rsidRPr="006E0812">
        <w:rPr>
          <w:rFonts w:asciiTheme="minorEastAsia" w:hAnsiTheme="minorEastAsia" w:cs="宋体" w:hint="eastAsia"/>
          <w:kern w:val="0"/>
          <w:sz w:val="24"/>
          <w:szCs w:val="24"/>
        </w:rPr>
        <w:t>日起</w:t>
      </w:r>
      <w:r w:rsidRPr="006E0812">
        <w:rPr>
          <w:rFonts w:asciiTheme="minorEastAsia" w:hAnsiTheme="minorEastAsia" w:cs="宋体"/>
          <w:kern w:val="0"/>
          <w:sz w:val="24"/>
          <w:szCs w:val="24"/>
        </w:rPr>
        <w:t>2</w:t>
      </w:r>
      <w:r w:rsidRPr="006E0812">
        <w:rPr>
          <w:rFonts w:asciiTheme="minorEastAsia" w:hAnsiTheme="minorEastAsia" w:cs="宋体" w:hint="eastAsia"/>
          <w:kern w:val="0"/>
          <w:sz w:val="24"/>
          <w:szCs w:val="24"/>
        </w:rPr>
        <w:t>个工作日内通过相关销售机构将赎回款项划往基金份额持有人账户。</w:t>
      </w:r>
    </w:p>
    <w:p w:rsidR="007F35ED" w:rsidRPr="006E0812" w:rsidRDefault="007F35ED" w:rsidP="006E0812">
      <w:pPr>
        <w:widowControl/>
        <w:spacing w:line="360" w:lineRule="auto"/>
        <w:ind w:firstLineChars="200" w:firstLine="482"/>
        <w:jc w:val="left"/>
        <w:rPr>
          <w:rFonts w:asciiTheme="minorEastAsia" w:hAnsiTheme="minorEastAsia" w:cs="宋体"/>
          <w:b/>
          <w:kern w:val="0"/>
          <w:sz w:val="24"/>
          <w:szCs w:val="24"/>
        </w:rPr>
      </w:pPr>
      <w:r w:rsidRPr="006E0812">
        <w:rPr>
          <w:rFonts w:asciiTheme="minorEastAsia" w:hAnsiTheme="minorEastAsia" w:cs="宋体" w:hint="eastAsia"/>
          <w:b/>
          <w:kern w:val="0"/>
          <w:sz w:val="24"/>
          <w:szCs w:val="24"/>
        </w:rPr>
        <w:t>三、投资者可通过以下途径了解或咨询详请</w:t>
      </w:r>
      <w:r w:rsidRPr="006E0812">
        <w:rPr>
          <w:rFonts w:asciiTheme="minorEastAsia" w:hAnsiTheme="minorEastAsia" w:cs="宋体"/>
          <w:b/>
          <w:kern w:val="0"/>
          <w:sz w:val="24"/>
          <w:szCs w:val="24"/>
        </w:rPr>
        <w:t xml:space="preserve">: </w:t>
      </w:r>
    </w:p>
    <w:p w:rsidR="007F35ED" w:rsidRPr="006E0812" w:rsidRDefault="007F35ED" w:rsidP="006E0812">
      <w:pPr>
        <w:widowControl/>
        <w:spacing w:line="360" w:lineRule="auto"/>
        <w:ind w:firstLineChars="200" w:firstLine="480"/>
        <w:jc w:val="left"/>
        <w:rPr>
          <w:rFonts w:asciiTheme="minorEastAsia" w:hAnsiTheme="minorEastAsia" w:cs="宋体"/>
          <w:kern w:val="0"/>
          <w:sz w:val="24"/>
          <w:szCs w:val="24"/>
        </w:rPr>
      </w:pPr>
      <w:r w:rsidRPr="006E0812">
        <w:rPr>
          <w:rFonts w:asciiTheme="minorEastAsia" w:hAnsiTheme="minorEastAsia" w:cs="宋体" w:hint="eastAsia"/>
          <w:kern w:val="0"/>
          <w:sz w:val="24"/>
          <w:szCs w:val="24"/>
        </w:rPr>
        <w:t xml:space="preserve">易方达基金管理有限公司网址:http://www.efunds.com.cn </w:t>
      </w:r>
    </w:p>
    <w:p w:rsidR="007F35ED" w:rsidRPr="006E0812" w:rsidRDefault="007F35ED" w:rsidP="006E0812">
      <w:pPr>
        <w:widowControl/>
        <w:spacing w:line="360" w:lineRule="auto"/>
        <w:ind w:firstLineChars="200" w:firstLine="480"/>
        <w:jc w:val="left"/>
        <w:rPr>
          <w:rFonts w:asciiTheme="minorEastAsia" w:hAnsiTheme="minorEastAsia" w:cs="宋体"/>
          <w:kern w:val="0"/>
          <w:sz w:val="24"/>
          <w:szCs w:val="24"/>
        </w:rPr>
      </w:pPr>
      <w:r w:rsidRPr="006E0812">
        <w:rPr>
          <w:rFonts w:asciiTheme="minorEastAsia" w:hAnsiTheme="minorEastAsia" w:cs="宋体" w:hint="eastAsia"/>
          <w:kern w:val="0"/>
          <w:sz w:val="24"/>
          <w:szCs w:val="24"/>
        </w:rPr>
        <w:t>易方达基金管理有限公司客服中心电话: 4008818088</w:t>
      </w:r>
    </w:p>
    <w:p w:rsidR="007F35ED" w:rsidRPr="006E0812" w:rsidRDefault="007F35ED" w:rsidP="006E0812">
      <w:pPr>
        <w:widowControl/>
        <w:spacing w:line="360" w:lineRule="auto"/>
        <w:ind w:firstLineChars="200" w:firstLine="480"/>
        <w:jc w:val="left"/>
        <w:rPr>
          <w:rFonts w:asciiTheme="minorEastAsia" w:hAnsiTheme="minorEastAsia" w:cs="宋体"/>
          <w:kern w:val="0"/>
          <w:sz w:val="24"/>
          <w:szCs w:val="24"/>
        </w:rPr>
      </w:pPr>
      <w:r w:rsidRPr="006E0812">
        <w:rPr>
          <w:rFonts w:asciiTheme="minorEastAsia" w:hAnsiTheme="minorEastAsia" w:cs="宋体" w:hint="eastAsia"/>
          <w:kern w:val="0"/>
          <w:sz w:val="24"/>
          <w:szCs w:val="24"/>
        </w:rPr>
        <w:t xml:space="preserve">易方达基金管理有限公司客服邮箱:service@efunds.com.cn </w:t>
      </w:r>
    </w:p>
    <w:p w:rsidR="007F35ED" w:rsidRPr="006E0812" w:rsidRDefault="007F35ED" w:rsidP="006E0812">
      <w:pPr>
        <w:widowControl/>
        <w:spacing w:line="360" w:lineRule="auto"/>
        <w:ind w:firstLineChars="200" w:firstLine="482"/>
        <w:jc w:val="left"/>
        <w:rPr>
          <w:rFonts w:asciiTheme="minorEastAsia" w:hAnsiTheme="minorEastAsia" w:cs="宋体"/>
          <w:b/>
          <w:kern w:val="0"/>
          <w:sz w:val="24"/>
          <w:szCs w:val="24"/>
        </w:rPr>
      </w:pPr>
      <w:r w:rsidRPr="006E0812">
        <w:rPr>
          <w:rFonts w:asciiTheme="minorEastAsia" w:hAnsiTheme="minorEastAsia" w:cs="宋体" w:hint="eastAsia"/>
          <w:b/>
          <w:kern w:val="0"/>
          <w:sz w:val="24"/>
          <w:szCs w:val="24"/>
        </w:rPr>
        <w:t>四、</w:t>
      </w:r>
      <w:r w:rsidR="00F25474" w:rsidRPr="006E0812">
        <w:rPr>
          <w:rFonts w:asciiTheme="minorEastAsia" w:hAnsiTheme="minorEastAsia" w:cs="宋体" w:hint="eastAsia"/>
          <w:b/>
          <w:kern w:val="0"/>
          <w:sz w:val="24"/>
          <w:szCs w:val="24"/>
        </w:rPr>
        <w:t>重要</w:t>
      </w:r>
      <w:r w:rsidRPr="006E0812">
        <w:rPr>
          <w:rFonts w:asciiTheme="minorEastAsia" w:hAnsiTheme="minorEastAsia" w:cs="宋体" w:hint="eastAsia"/>
          <w:b/>
          <w:kern w:val="0"/>
          <w:sz w:val="24"/>
          <w:szCs w:val="24"/>
        </w:rPr>
        <w:t>提示</w:t>
      </w:r>
    </w:p>
    <w:p w:rsidR="00947106" w:rsidRPr="006E0812" w:rsidRDefault="00947106" w:rsidP="00F25474">
      <w:pPr>
        <w:widowControl/>
        <w:spacing w:line="360" w:lineRule="auto"/>
        <w:ind w:firstLineChars="200" w:firstLine="480"/>
        <w:jc w:val="left"/>
        <w:rPr>
          <w:rFonts w:asciiTheme="minorEastAsia" w:hAnsiTheme="minorEastAsia" w:cs="宋体"/>
          <w:kern w:val="0"/>
          <w:sz w:val="24"/>
          <w:szCs w:val="24"/>
        </w:rPr>
      </w:pPr>
      <w:r w:rsidRPr="006E0812">
        <w:rPr>
          <w:rFonts w:asciiTheme="minorEastAsia" w:hAnsiTheme="minorEastAsia" w:cs="宋体" w:hint="eastAsia"/>
          <w:kern w:val="0"/>
          <w:sz w:val="24"/>
          <w:szCs w:val="24"/>
        </w:rPr>
        <w:t>根据</w:t>
      </w:r>
      <w:r w:rsidR="00F25474" w:rsidRPr="006E0812">
        <w:rPr>
          <w:rFonts w:asciiTheme="minorEastAsia" w:hAnsiTheme="minorEastAsia" w:cs="宋体" w:hint="eastAsia"/>
          <w:kern w:val="0"/>
          <w:sz w:val="24"/>
          <w:szCs w:val="24"/>
        </w:rPr>
        <w:t>本基金管理人于</w:t>
      </w:r>
      <w:r w:rsidRPr="006E0812">
        <w:rPr>
          <w:rFonts w:asciiTheme="minorEastAsia" w:hAnsiTheme="minorEastAsia" w:cs="宋体" w:hint="eastAsia"/>
          <w:kern w:val="0"/>
          <w:sz w:val="24"/>
          <w:szCs w:val="24"/>
        </w:rPr>
        <w:t>2019年11月12日</w:t>
      </w:r>
      <w:r w:rsidR="00D94285" w:rsidRPr="006E0812">
        <w:rPr>
          <w:rFonts w:asciiTheme="minorEastAsia" w:hAnsiTheme="minorEastAsia" w:cs="宋体" w:hint="eastAsia"/>
          <w:kern w:val="0"/>
          <w:sz w:val="24"/>
          <w:szCs w:val="24"/>
        </w:rPr>
        <w:t>发布</w:t>
      </w:r>
      <w:r w:rsidR="00D94285" w:rsidRPr="006E0812">
        <w:rPr>
          <w:rFonts w:asciiTheme="minorEastAsia" w:hAnsiTheme="minorEastAsia" w:cs="宋体"/>
          <w:kern w:val="0"/>
          <w:sz w:val="24"/>
          <w:szCs w:val="24"/>
        </w:rPr>
        <w:t>的</w:t>
      </w:r>
      <w:r w:rsidRPr="006E0812">
        <w:rPr>
          <w:rFonts w:asciiTheme="minorEastAsia" w:hAnsiTheme="minorEastAsia" w:cs="宋体"/>
          <w:kern w:val="0"/>
          <w:sz w:val="24"/>
          <w:szCs w:val="24"/>
        </w:rPr>
        <w:t>《</w:t>
      </w:r>
      <w:r w:rsidRPr="006E0812">
        <w:rPr>
          <w:rFonts w:asciiTheme="minorEastAsia" w:hAnsiTheme="minorEastAsia" w:cs="宋体" w:hint="eastAsia"/>
          <w:kern w:val="0"/>
          <w:sz w:val="24"/>
          <w:szCs w:val="24"/>
        </w:rPr>
        <w:t>易方达聚盈分级债券型发起式证券投资基金基金合同终止及基金财产清算的公告</w:t>
      </w:r>
      <w:r w:rsidRPr="006E0812">
        <w:rPr>
          <w:rFonts w:asciiTheme="minorEastAsia" w:hAnsiTheme="minorEastAsia" w:cs="宋体"/>
          <w:kern w:val="0"/>
          <w:sz w:val="24"/>
          <w:szCs w:val="24"/>
        </w:rPr>
        <w:t>》</w:t>
      </w:r>
      <w:r w:rsidR="009746F5" w:rsidRPr="006E0812">
        <w:rPr>
          <w:rFonts w:asciiTheme="minorEastAsia" w:hAnsiTheme="minorEastAsia" w:cs="宋体" w:hint="eastAsia"/>
          <w:kern w:val="0"/>
          <w:sz w:val="24"/>
          <w:szCs w:val="24"/>
        </w:rPr>
        <w:t>，</w:t>
      </w:r>
      <w:r w:rsidR="00F25474" w:rsidRPr="006E0812">
        <w:rPr>
          <w:rFonts w:asciiTheme="minorEastAsia" w:hAnsiTheme="minorEastAsia" w:cs="宋体" w:hint="eastAsia"/>
          <w:kern w:val="0"/>
          <w:sz w:val="24"/>
          <w:szCs w:val="24"/>
        </w:rPr>
        <w:t>本基金于2019年11月8日开放聚盈B的赎回，2019年11月11日确认完成后聚盈B资产净值低于5000万元，为维护基金份额持有人利益，</w:t>
      </w:r>
      <w:r w:rsidR="009746F5" w:rsidRPr="006E0812">
        <w:rPr>
          <w:rFonts w:asciiTheme="minorEastAsia" w:hAnsiTheme="minorEastAsia" w:cs="宋体" w:hint="eastAsia"/>
          <w:kern w:val="0"/>
          <w:sz w:val="24"/>
          <w:szCs w:val="24"/>
        </w:rPr>
        <w:t>本基金</w:t>
      </w:r>
      <w:r w:rsidR="009746F5" w:rsidRPr="006E0812">
        <w:rPr>
          <w:rFonts w:asciiTheme="minorEastAsia" w:hAnsiTheme="minorEastAsia" w:cs="宋体"/>
          <w:kern w:val="0"/>
          <w:sz w:val="24"/>
          <w:szCs w:val="24"/>
        </w:rPr>
        <w:t>管理人</w:t>
      </w:r>
      <w:r w:rsidR="00F25474" w:rsidRPr="006E0812">
        <w:rPr>
          <w:rFonts w:asciiTheme="minorEastAsia" w:hAnsiTheme="minorEastAsia" w:cs="宋体" w:hint="eastAsia"/>
          <w:kern w:val="0"/>
          <w:sz w:val="24"/>
          <w:szCs w:val="24"/>
        </w:rPr>
        <w:t>根据基金合同的约定，</w:t>
      </w:r>
      <w:r w:rsidR="009746F5" w:rsidRPr="006E0812">
        <w:rPr>
          <w:rFonts w:asciiTheme="minorEastAsia" w:hAnsiTheme="minorEastAsia" w:cs="宋体" w:hint="eastAsia"/>
          <w:kern w:val="0"/>
          <w:sz w:val="24"/>
          <w:szCs w:val="24"/>
        </w:rPr>
        <w:lastRenderedPageBreak/>
        <w:t>经与基金托管人协商一致后，决定终止《易方达聚盈分级债券型发起式证券投资基金基金合同》并依法履行基金财产清算程序，</w:t>
      </w:r>
      <w:r w:rsidR="00F25474" w:rsidRPr="006E0812">
        <w:rPr>
          <w:rFonts w:asciiTheme="minorEastAsia" w:hAnsiTheme="minorEastAsia" w:cs="宋体" w:hint="eastAsia"/>
          <w:kern w:val="0"/>
          <w:sz w:val="24"/>
          <w:szCs w:val="24"/>
        </w:rPr>
        <w:t>自2019年11月12日起本基金进入清算程序，敬</w:t>
      </w:r>
      <w:r w:rsidR="009746F5" w:rsidRPr="006E0812">
        <w:rPr>
          <w:rFonts w:asciiTheme="minorEastAsia" w:hAnsiTheme="minorEastAsia" w:cs="宋体" w:hint="eastAsia"/>
          <w:kern w:val="0"/>
          <w:sz w:val="24"/>
          <w:szCs w:val="24"/>
        </w:rPr>
        <w:t>请投资者</w:t>
      </w:r>
      <w:r w:rsidR="00F25474" w:rsidRPr="006E0812">
        <w:rPr>
          <w:rFonts w:asciiTheme="minorEastAsia" w:hAnsiTheme="minorEastAsia" w:cs="宋体" w:hint="eastAsia"/>
          <w:kern w:val="0"/>
          <w:sz w:val="24"/>
          <w:szCs w:val="24"/>
        </w:rPr>
        <w:t>留意</w:t>
      </w:r>
      <w:r w:rsidRPr="006E0812">
        <w:rPr>
          <w:rFonts w:asciiTheme="minorEastAsia" w:hAnsiTheme="minorEastAsia" w:cs="宋体" w:hint="eastAsia"/>
          <w:kern w:val="0"/>
          <w:sz w:val="24"/>
          <w:szCs w:val="24"/>
        </w:rPr>
        <w:t>。</w:t>
      </w:r>
    </w:p>
    <w:p w:rsidR="00947106" w:rsidRPr="006E0812" w:rsidRDefault="00947106" w:rsidP="006E0812">
      <w:pPr>
        <w:widowControl/>
        <w:spacing w:line="360" w:lineRule="auto"/>
        <w:ind w:firstLineChars="200" w:firstLine="480"/>
        <w:jc w:val="left"/>
        <w:rPr>
          <w:rFonts w:asciiTheme="minorEastAsia" w:hAnsiTheme="minorEastAsia" w:cs="宋体"/>
          <w:kern w:val="0"/>
          <w:sz w:val="24"/>
          <w:szCs w:val="24"/>
        </w:rPr>
      </w:pPr>
      <w:r w:rsidRPr="006E0812">
        <w:rPr>
          <w:rFonts w:ascii="宋体" w:hAnsi="宋体" w:hint="eastAsia"/>
          <w:kern w:val="0"/>
          <w:sz w:val="24"/>
          <w:szCs w:val="24"/>
        </w:rPr>
        <w:t>基金管理人承诺以诚实信用、勤勉尽责的原则管理和运用基金资产，但不保证基金一定盈利，也不保证最低收益。</w:t>
      </w:r>
    </w:p>
    <w:p w:rsidR="007F35ED" w:rsidRPr="006E0812" w:rsidRDefault="007F35ED" w:rsidP="006E0812">
      <w:pPr>
        <w:widowControl/>
        <w:spacing w:line="360" w:lineRule="auto"/>
        <w:ind w:firstLineChars="200" w:firstLine="480"/>
        <w:jc w:val="left"/>
        <w:rPr>
          <w:rFonts w:asciiTheme="minorEastAsia" w:hAnsiTheme="minorEastAsia" w:cs="宋体"/>
          <w:kern w:val="0"/>
          <w:sz w:val="24"/>
          <w:szCs w:val="24"/>
        </w:rPr>
      </w:pPr>
      <w:r w:rsidRPr="006E0812">
        <w:rPr>
          <w:rFonts w:asciiTheme="minorEastAsia" w:hAnsiTheme="minorEastAsia" w:cs="宋体" w:hint="eastAsia"/>
          <w:kern w:val="0"/>
          <w:sz w:val="24"/>
          <w:szCs w:val="24"/>
        </w:rPr>
        <w:t xml:space="preserve">特此公告。 </w:t>
      </w:r>
    </w:p>
    <w:p w:rsidR="007F35ED" w:rsidRPr="006E0812" w:rsidRDefault="007F35ED" w:rsidP="006E0812">
      <w:pPr>
        <w:widowControl/>
        <w:spacing w:line="360" w:lineRule="auto"/>
        <w:ind w:firstLineChars="200" w:firstLine="480"/>
        <w:jc w:val="right"/>
        <w:rPr>
          <w:rFonts w:asciiTheme="minorEastAsia" w:hAnsiTheme="minorEastAsia" w:cs="宋体"/>
          <w:kern w:val="0"/>
          <w:sz w:val="24"/>
          <w:szCs w:val="24"/>
        </w:rPr>
      </w:pPr>
      <w:r w:rsidRPr="006E0812">
        <w:rPr>
          <w:rFonts w:asciiTheme="minorEastAsia" w:hAnsiTheme="minorEastAsia" w:cs="宋体" w:hint="eastAsia"/>
          <w:kern w:val="0"/>
          <w:sz w:val="24"/>
          <w:szCs w:val="24"/>
        </w:rPr>
        <w:t xml:space="preserve">易方达基金管理有限公司 </w:t>
      </w:r>
    </w:p>
    <w:p w:rsidR="007F35ED" w:rsidRPr="006E0812" w:rsidRDefault="007F35ED" w:rsidP="006E0812">
      <w:pPr>
        <w:widowControl/>
        <w:spacing w:line="360" w:lineRule="auto"/>
        <w:ind w:firstLineChars="200" w:firstLine="480"/>
        <w:jc w:val="right"/>
        <w:rPr>
          <w:rFonts w:asciiTheme="minorEastAsia" w:hAnsiTheme="minorEastAsia" w:cs="宋体"/>
          <w:kern w:val="0"/>
          <w:sz w:val="24"/>
          <w:szCs w:val="24"/>
        </w:rPr>
      </w:pPr>
      <w:r w:rsidRPr="006E0812">
        <w:rPr>
          <w:rFonts w:asciiTheme="minorEastAsia" w:hAnsiTheme="minorEastAsia" w:cs="宋体" w:hint="eastAsia"/>
          <w:kern w:val="0"/>
          <w:sz w:val="24"/>
          <w:szCs w:val="24"/>
        </w:rPr>
        <w:t xml:space="preserve">  201</w:t>
      </w:r>
      <w:r w:rsidR="008D60D3" w:rsidRPr="006E0812">
        <w:rPr>
          <w:rFonts w:asciiTheme="minorEastAsia" w:hAnsiTheme="minorEastAsia" w:cs="宋体"/>
          <w:kern w:val="0"/>
          <w:sz w:val="24"/>
          <w:szCs w:val="24"/>
        </w:rPr>
        <w:t>9</w:t>
      </w:r>
      <w:r w:rsidRPr="006E0812">
        <w:rPr>
          <w:rFonts w:asciiTheme="minorEastAsia" w:hAnsiTheme="minorEastAsia" w:cs="宋体" w:hint="eastAsia"/>
          <w:kern w:val="0"/>
          <w:sz w:val="24"/>
          <w:szCs w:val="24"/>
        </w:rPr>
        <w:t>年</w:t>
      </w:r>
      <w:r w:rsidR="00947106" w:rsidRPr="006E0812">
        <w:rPr>
          <w:rFonts w:asciiTheme="minorEastAsia" w:hAnsiTheme="minorEastAsia" w:cs="宋体"/>
          <w:kern w:val="0"/>
          <w:sz w:val="24"/>
          <w:szCs w:val="24"/>
        </w:rPr>
        <w:t>11</w:t>
      </w:r>
      <w:r w:rsidRPr="006E0812">
        <w:rPr>
          <w:rFonts w:asciiTheme="minorEastAsia" w:hAnsiTheme="minorEastAsia" w:cs="宋体" w:hint="eastAsia"/>
          <w:kern w:val="0"/>
          <w:sz w:val="24"/>
          <w:szCs w:val="24"/>
        </w:rPr>
        <w:t>月</w:t>
      </w:r>
      <w:r w:rsidR="00947106" w:rsidRPr="006E0812">
        <w:rPr>
          <w:rFonts w:asciiTheme="minorEastAsia" w:hAnsiTheme="minorEastAsia" w:cs="宋体"/>
          <w:kern w:val="0"/>
          <w:sz w:val="24"/>
          <w:szCs w:val="24"/>
        </w:rPr>
        <w:t>13</w:t>
      </w:r>
      <w:r w:rsidRPr="006E0812">
        <w:rPr>
          <w:rFonts w:asciiTheme="minorEastAsia" w:hAnsiTheme="minorEastAsia" w:cs="宋体" w:hint="eastAsia"/>
          <w:kern w:val="0"/>
          <w:sz w:val="24"/>
          <w:szCs w:val="24"/>
        </w:rPr>
        <w:t>日</w:t>
      </w:r>
      <w:r w:rsidRPr="006E0812">
        <w:rPr>
          <w:rFonts w:asciiTheme="minorEastAsia" w:hAnsiTheme="minorEastAsia" w:cs="宋体" w:hint="eastAsia"/>
          <w:kern w:val="0"/>
          <w:sz w:val="24"/>
          <w:szCs w:val="24"/>
        </w:rPr>
        <w:tab/>
      </w:r>
    </w:p>
    <w:p w:rsidR="00DC5C92" w:rsidRPr="006E0812" w:rsidRDefault="00DC5C92" w:rsidP="006E0812">
      <w:pPr>
        <w:spacing w:line="360" w:lineRule="auto"/>
      </w:pPr>
    </w:p>
    <w:sectPr w:rsidR="00DC5C92" w:rsidRPr="006E0812" w:rsidSect="00344FE1">
      <w:headerReference w:type="even" r:id="rId8"/>
      <w:headerReference w:type="default" r:id="rId9"/>
      <w:pgSz w:w="11906" w:h="16838"/>
      <w:pgMar w:top="1440" w:right="1800" w:bottom="1440" w:left="1800"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7AFE" w:rsidRDefault="000C7AFE" w:rsidP="001F10D9">
      <w:r>
        <w:separator/>
      </w:r>
    </w:p>
  </w:endnote>
  <w:endnote w:type="continuationSeparator" w:id="1">
    <w:p w:rsidR="000C7AFE" w:rsidRDefault="000C7AFE" w:rsidP="001F10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7AFE" w:rsidRDefault="000C7AFE" w:rsidP="001F10D9">
      <w:r>
        <w:separator/>
      </w:r>
    </w:p>
  </w:footnote>
  <w:footnote w:type="continuationSeparator" w:id="1">
    <w:p w:rsidR="000C7AFE" w:rsidRDefault="000C7AFE" w:rsidP="001F10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C4F" w:rsidRDefault="00323C4F" w:rsidP="00323C4F">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C4F" w:rsidRDefault="00323C4F" w:rsidP="00323C4F">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8181E"/>
    <w:rsid w:val="00004EA4"/>
    <w:rsid w:val="00024B9D"/>
    <w:rsid w:val="00027C98"/>
    <w:rsid w:val="00035955"/>
    <w:rsid w:val="0004367E"/>
    <w:rsid w:val="0007038F"/>
    <w:rsid w:val="0007243E"/>
    <w:rsid w:val="00097B67"/>
    <w:rsid w:val="000C7AFE"/>
    <w:rsid w:val="000F04CE"/>
    <w:rsid w:val="000F1E2B"/>
    <w:rsid w:val="0014034C"/>
    <w:rsid w:val="00170389"/>
    <w:rsid w:val="001836A3"/>
    <w:rsid w:val="001A1CC2"/>
    <w:rsid w:val="001C1A3E"/>
    <w:rsid w:val="001D01B0"/>
    <w:rsid w:val="001E1161"/>
    <w:rsid w:val="001F10BC"/>
    <w:rsid w:val="001F10D9"/>
    <w:rsid w:val="002226AC"/>
    <w:rsid w:val="0027056F"/>
    <w:rsid w:val="00273703"/>
    <w:rsid w:val="00277EA5"/>
    <w:rsid w:val="002853DC"/>
    <w:rsid w:val="00287D92"/>
    <w:rsid w:val="002B2EAD"/>
    <w:rsid w:val="002C23B2"/>
    <w:rsid w:val="002F1462"/>
    <w:rsid w:val="0031175E"/>
    <w:rsid w:val="00323C4F"/>
    <w:rsid w:val="00341D74"/>
    <w:rsid w:val="0034240C"/>
    <w:rsid w:val="00385333"/>
    <w:rsid w:val="00385AC3"/>
    <w:rsid w:val="00387622"/>
    <w:rsid w:val="00390C35"/>
    <w:rsid w:val="003C5CC3"/>
    <w:rsid w:val="003F05A8"/>
    <w:rsid w:val="004103D0"/>
    <w:rsid w:val="00426036"/>
    <w:rsid w:val="00433242"/>
    <w:rsid w:val="004A79CA"/>
    <w:rsid w:val="004B739D"/>
    <w:rsid w:val="004D6D6C"/>
    <w:rsid w:val="004E414A"/>
    <w:rsid w:val="004F0CF3"/>
    <w:rsid w:val="00523011"/>
    <w:rsid w:val="005779E5"/>
    <w:rsid w:val="005944B0"/>
    <w:rsid w:val="005B7A34"/>
    <w:rsid w:val="005F0341"/>
    <w:rsid w:val="0060104B"/>
    <w:rsid w:val="00601763"/>
    <w:rsid w:val="00604619"/>
    <w:rsid w:val="0064729C"/>
    <w:rsid w:val="00651FE4"/>
    <w:rsid w:val="00667664"/>
    <w:rsid w:val="00677A6B"/>
    <w:rsid w:val="006A1105"/>
    <w:rsid w:val="006D494A"/>
    <w:rsid w:val="006E0812"/>
    <w:rsid w:val="006F4DE1"/>
    <w:rsid w:val="00731E8B"/>
    <w:rsid w:val="00733337"/>
    <w:rsid w:val="00747048"/>
    <w:rsid w:val="007551B7"/>
    <w:rsid w:val="0076621C"/>
    <w:rsid w:val="00767602"/>
    <w:rsid w:val="00782B92"/>
    <w:rsid w:val="0079770B"/>
    <w:rsid w:val="007A0461"/>
    <w:rsid w:val="007D7010"/>
    <w:rsid w:val="007E5808"/>
    <w:rsid w:val="007F35ED"/>
    <w:rsid w:val="00824D3F"/>
    <w:rsid w:val="00890D38"/>
    <w:rsid w:val="008A4C3F"/>
    <w:rsid w:val="008B0C04"/>
    <w:rsid w:val="008D60D3"/>
    <w:rsid w:val="00946D23"/>
    <w:rsid w:val="00947106"/>
    <w:rsid w:val="00954676"/>
    <w:rsid w:val="009746F5"/>
    <w:rsid w:val="009B6E67"/>
    <w:rsid w:val="009B7065"/>
    <w:rsid w:val="009C1FD4"/>
    <w:rsid w:val="009C72CF"/>
    <w:rsid w:val="009E6360"/>
    <w:rsid w:val="00A16A8B"/>
    <w:rsid w:val="00A279B3"/>
    <w:rsid w:val="00A46CF2"/>
    <w:rsid w:val="00A51944"/>
    <w:rsid w:val="00A54517"/>
    <w:rsid w:val="00A56802"/>
    <w:rsid w:val="00A8181E"/>
    <w:rsid w:val="00A91B13"/>
    <w:rsid w:val="00AA726A"/>
    <w:rsid w:val="00B046CE"/>
    <w:rsid w:val="00B0607F"/>
    <w:rsid w:val="00B45D71"/>
    <w:rsid w:val="00B610F2"/>
    <w:rsid w:val="00B82DAA"/>
    <w:rsid w:val="00C1013D"/>
    <w:rsid w:val="00C144FA"/>
    <w:rsid w:val="00C1757D"/>
    <w:rsid w:val="00C429BC"/>
    <w:rsid w:val="00C604E3"/>
    <w:rsid w:val="00CA7011"/>
    <w:rsid w:val="00CC1D5F"/>
    <w:rsid w:val="00CE0584"/>
    <w:rsid w:val="00CE66A4"/>
    <w:rsid w:val="00D16283"/>
    <w:rsid w:val="00D65554"/>
    <w:rsid w:val="00D80A15"/>
    <w:rsid w:val="00D94285"/>
    <w:rsid w:val="00DA463D"/>
    <w:rsid w:val="00DA56EC"/>
    <w:rsid w:val="00DB4DF1"/>
    <w:rsid w:val="00DB6D43"/>
    <w:rsid w:val="00DB7891"/>
    <w:rsid w:val="00DC5C92"/>
    <w:rsid w:val="00E01791"/>
    <w:rsid w:val="00E258A7"/>
    <w:rsid w:val="00E50DF0"/>
    <w:rsid w:val="00E56588"/>
    <w:rsid w:val="00E76E1A"/>
    <w:rsid w:val="00E90141"/>
    <w:rsid w:val="00EB4925"/>
    <w:rsid w:val="00EC05DC"/>
    <w:rsid w:val="00EF5F3D"/>
    <w:rsid w:val="00F22129"/>
    <w:rsid w:val="00F24EC7"/>
    <w:rsid w:val="00F25474"/>
    <w:rsid w:val="00F60FF1"/>
    <w:rsid w:val="00F65DE3"/>
    <w:rsid w:val="00F66C86"/>
    <w:rsid w:val="00F80A90"/>
    <w:rsid w:val="00FA6A81"/>
    <w:rsid w:val="00FB324E"/>
    <w:rsid w:val="00FB6B6A"/>
    <w:rsid w:val="00FC7EE2"/>
    <w:rsid w:val="00FD68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0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10D9"/>
    <w:pPr>
      <w:pBdr>
        <w:bottom w:val="single" w:sz="6" w:space="1" w:color="auto"/>
      </w:pBdr>
      <w:tabs>
        <w:tab w:val="center" w:pos="4153"/>
        <w:tab w:val="right" w:pos="8306"/>
      </w:tabs>
      <w:snapToGrid w:val="0"/>
      <w:jc w:val="center"/>
    </w:pPr>
    <w:rPr>
      <w:noProof/>
      <w:sz w:val="18"/>
      <w:szCs w:val="18"/>
    </w:rPr>
  </w:style>
  <w:style w:type="character" w:customStyle="1" w:styleId="Char">
    <w:name w:val="页眉 Char"/>
    <w:basedOn w:val="a0"/>
    <w:link w:val="a3"/>
    <w:uiPriority w:val="99"/>
    <w:rsid w:val="001F10D9"/>
    <w:rPr>
      <w:noProof/>
      <w:sz w:val="18"/>
      <w:szCs w:val="18"/>
    </w:rPr>
  </w:style>
  <w:style w:type="paragraph" w:styleId="a4">
    <w:name w:val="footer"/>
    <w:basedOn w:val="a"/>
    <w:link w:val="Char0"/>
    <w:uiPriority w:val="99"/>
    <w:unhideWhenUsed/>
    <w:rsid w:val="001F10D9"/>
    <w:pPr>
      <w:tabs>
        <w:tab w:val="center" w:pos="4153"/>
        <w:tab w:val="right" w:pos="8306"/>
      </w:tabs>
      <w:snapToGrid w:val="0"/>
      <w:jc w:val="left"/>
    </w:pPr>
    <w:rPr>
      <w:noProof/>
      <w:sz w:val="18"/>
      <w:szCs w:val="18"/>
    </w:rPr>
  </w:style>
  <w:style w:type="character" w:customStyle="1" w:styleId="Char0">
    <w:name w:val="页脚 Char"/>
    <w:basedOn w:val="a0"/>
    <w:link w:val="a4"/>
    <w:uiPriority w:val="99"/>
    <w:rsid w:val="001F10D9"/>
    <w:rPr>
      <w:noProof/>
      <w:sz w:val="18"/>
      <w:szCs w:val="18"/>
    </w:rPr>
  </w:style>
  <w:style w:type="paragraph" w:customStyle="1" w:styleId="font14">
    <w:name w:val="font14"/>
    <w:basedOn w:val="a"/>
    <w:rsid w:val="001F10D9"/>
    <w:pPr>
      <w:widowControl/>
      <w:spacing w:line="360" w:lineRule="auto"/>
      <w:jc w:val="left"/>
    </w:pPr>
    <w:rPr>
      <w:rFonts w:ascii="宋体" w:eastAsia="宋体" w:hAnsi="宋体" w:cs="宋体"/>
      <w:kern w:val="0"/>
      <w:sz w:val="18"/>
      <w:szCs w:val="18"/>
    </w:rPr>
  </w:style>
  <w:style w:type="paragraph" w:styleId="a5">
    <w:name w:val="Balloon Text"/>
    <w:basedOn w:val="a"/>
    <w:link w:val="Char1"/>
    <w:uiPriority w:val="99"/>
    <w:semiHidden/>
    <w:unhideWhenUsed/>
    <w:rsid w:val="006D494A"/>
    <w:rPr>
      <w:sz w:val="18"/>
      <w:szCs w:val="18"/>
    </w:rPr>
  </w:style>
  <w:style w:type="character" w:customStyle="1" w:styleId="Char1">
    <w:name w:val="批注框文本 Char"/>
    <w:basedOn w:val="a0"/>
    <w:link w:val="a5"/>
    <w:uiPriority w:val="99"/>
    <w:semiHidden/>
    <w:rsid w:val="006D494A"/>
    <w:rPr>
      <w:sz w:val="18"/>
      <w:szCs w:val="18"/>
    </w:rPr>
  </w:style>
  <w:style w:type="character" w:styleId="a6">
    <w:name w:val="annotation reference"/>
    <w:basedOn w:val="a0"/>
    <w:uiPriority w:val="99"/>
    <w:semiHidden/>
    <w:unhideWhenUsed/>
    <w:rsid w:val="001F10BC"/>
    <w:rPr>
      <w:sz w:val="21"/>
      <w:szCs w:val="21"/>
    </w:rPr>
  </w:style>
  <w:style w:type="paragraph" w:styleId="a7">
    <w:name w:val="annotation text"/>
    <w:basedOn w:val="a"/>
    <w:link w:val="Char2"/>
    <w:uiPriority w:val="99"/>
    <w:semiHidden/>
    <w:unhideWhenUsed/>
    <w:rsid w:val="001F10BC"/>
    <w:pPr>
      <w:jc w:val="left"/>
    </w:pPr>
  </w:style>
  <w:style w:type="character" w:customStyle="1" w:styleId="Char2">
    <w:name w:val="批注文字 Char"/>
    <w:basedOn w:val="a0"/>
    <w:link w:val="a7"/>
    <w:uiPriority w:val="99"/>
    <w:semiHidden/>
    <w:rsid w:val="001F10BC"/>
  </w:style>
  <w:style w:type="paragraph" w:styleId="a8">
    <w:name w:val="annotation subject"/>
    <w:basedOn w:val="a7"/>
    <w:next w:val="a7"/>
    <w:link w:val="Char3"/>
    <w:uiPriority w:val="99"/>
    <w:semiHidden/>
    <w:unhideWhenUsed/>
    <w:rsid w:val="001F10BC"/>
    <w:rPr>
      <w:b/>
      <w:bCs/>
    </w:rPr>
  </w:style>
  <w:style w:type="character" w:customStyle="1" w:styleId="Char3">
    <w:name w:val="批注主题 Char"/>
    <w:basedOn w:val="Char2"/>
    <w:link w:val="a8"/>
    <w:uiPriority w:val="99"/>
    <w:semiHidden/>
    <w:rsid w:val="001F10BC"/>
    <w:rPr>
      <w:b/>
      <w:bCs/>
    </w:rPr>
  </w:style>
</w:styles>
</file>

<file path=word/webSettings.xml><?xml version="1.0" encoding="utf-8"?>
<w:webSettings xmlns:r="http://schemas.openxmlformats.org/officeDocument/2006/relationships" xmlns:w="http://schemas.openxmlformats.org/wordprocessingml/2006/main">
  <w:divs>
    <w:div w:id="154154502">
      <w:bodyDiv w:val="1"/>
      <w:marLeft w:val="0"/>
      <w:marRight w:val="0"/>
      <w:marTop w:val="0"/>
      <w:marBottom w:val="0"/>
      <w:divBdr>
        <w:top w:val="none" w:sz="0" w:space="0" w:color="auto"/>
        <w:left w:val="none" w:sz="0" w:space="0" w:color="auto"/>
        <w:bottom w:val="none" w:sz="0" w:space="0" w:color="auto"/>
        <w:right w:val="none" w:sz="0" w:space="0" w:color="auto"/>
      </w:divBdr>
    </w:div>
    <w:div w:id="165440697">
      <w:bodyDiv w:val="1"/>
      <w:marLeft w:val="0"/>
      <w:marRight w:val="0"/>
      <w:marTop w:val="0"/>
      <w:marBottom w:val="0"/>
      <w:divBdr>
        <w:top w:val="none" w:sz="0" w:space="0" w:color="auto"/>
        <w:left w:val="none" w:sz="0" w:space="0" w:color="auto"/>
        <w:bottom w:val="none" w:sz="0" w:space="0" w:color="auto"/>
        <w:right w:val="none" w:sz="0" w:space="0" w:color="auto"/>
      </w:divBdr>
    </w:div>
    <w:div w:id="766463416">
      <w:bodyDiv w:val="1"/>
      <w:marLeft w:val="0"/>
      <w:marRight w:val="0"/>
      <w:marTop w:val="0"/>
      <w:marBottom w:val="0"/>
      <w:divBdr>
        <w:top w:val="none" w:sz="0" w:space="0" w:color="auto"/>
        <w:left w:val="none" w:sz="0" w:space="0" w:color="auto"/>
        <w:bottom w:val="none" w:sz="0" w:space="0" w:color="auto"/>
        <w:right w:val="none" w:sz="0" w:space="0" w:color="auto"/>
      </w:divBdr>
    </w:div>
    <w:div w:id="1407342654">
      <w:bodyDiv w:val="1"/>
      <w:marLeft w:val="0"/>
      <w:marRight w:val="0"/>
      <w:marTop w:val="0"/>
      <w:marBottom w:val="0"/>
      <w:divBdr>
        <w:top w:val="none" w:sz="0" w:space="0" w:color="auto"/>
        <w:left w:val="none" w:sz="0" w:space="0" w:color="auto"/>
        <w:bottom w:val="none" w:sz="0" w:space="0" w:color="auto"/>
        <w:right w:val="none" w:sz="0" w:space="0" w:color="auto"/>
      </w:divBdr>
    </w:div>
    <w:div w:id="210514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6A0BE-1EA2-4359-8341-2644B9B3E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162</Words>
  <Characters>924</Characters>
  <Application>Microsoft Office Word</Application>
  <DocSecurity>4</DocSecurity>
  <Lines>7</Lines>
  <Paragraphs>2</Paragraphs>
  <ScaleCrop>false</ScaleCrop>
  <Company>E FUND</Company>
  <LinksUpToDate>false</LinksUpToDate>
  <CharactersWithSpaces>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梁虹</dc:creator>
  <cp:lastModifiedBy>JonMMx 2000</cp:lastModifiedBy>
  <cp:revision>2</cp:revision>
  <cp:lastPrinted>2019-11-12T07:39:00Z</cp:lastPrinted>
  <dcterms:created xsi:type="dcterms:W3CDTF">2019-11-12T16:01:00Z</dcterms:created>
  <dcterms:modified xsi:type="dcterms:W3CDTF">2019-11-12T16:01:00Z</dcterms:modified>
</cp:coreProperties>
</file>