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1" w:rsidRPr="00121901" w:rsidRDefault="00E62231" w:rsidP="00E62231">
      <w:pPr>
        <w:widowControl/>
        <w:ind w:firstLineChars="150" w:firstLine="420"/>
        <w:jc w:val="center"/>
        <w:rPr>
          <w:rFonts w:asciiTheme="minorEastAsia" w:hAnsiTheme="minorEastAsia" w:cs="宋体"/>
          <w:b/>
          <w:bCs/>
          <w:noProof w:val="0"/>
          <w:kern w:val="0"/>
          <w:sz w:val="28"/>
          <w:szCs w:val="24"/>
        </w:rPr>
      </w:pPr>
      <w:r w:rsidRPr="00121901">
        <w:rPr>
          <w:rFonts w:asciiTheme="minorEastAsia" w:hAnsiTheme="minorEastAsia" w:cs="宋体"/>
          <w:noProof w:val="0"/>
          <w:kern w:val="0"/>
          <w:sz w:val="28"/>
          <w:szCs w:val="24"/>
        </w:rPr>
        <w:t>易方达基金管理有限公司关于易方达聚盈分级债券型发起式证券投资基金之聚盈B份额折算结果的公告</w:t>
      </w: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易方达基金管理有限公司（以下简称“基金管理人”）于201</w:t>
      </w:r>
      <w:r w:rsidR="008310F3" w:rsidRPr="00121901">
        <w:rPr>
          <w:rFonts w:asciiTheme="minorEastAsia" w:hAnsiTheme="minorEastAsia" w:cs="宋体"/>
          <w:noProof w:val="0"/>
          <w:kern w:val="0"/>
          <w:sz w:val="24"/>
          <w:szCs w:val="24"/>
        </w:rPr>
        <w:t>9</w:t>
      </w:r>
      <w:r w:rsidRPr="00121901">
        <w:rPr>
          <w:rFonts w:asciiTheme="minorEastAsia" w:hAnsiTheme="minorEastAsia" w:cs="宋体" w:hint="eastAsia"/>
          <w:noProof w:val="0"/>
          <w:kern w:val="0"/>
          <w:sz w:val="24"/>
          <w:szCs w:val="24"/>
        </w:rPr>
        <w:t>年</w:t>
      </w:r>
      <w:r w:rsidR="00BA7458" w:rsidRPr="00121901">
        <w:rPr>
          <w:rFonts w:asciiTheme="minorEastAsia" w:hAnsiTheme="minorEastAsia" w:cs="宋体"/>
          <w:noProof w:val="0"/>
          <w:kern w:val="0"/>
          <w:sz w:val="24"/>
          <w:szCs w:val="24"/>
        </w:rPr>
        <w:t>10</w:t>
      </w:r>
      <w:r w:rsidRPr="00121901">
        <w:rPr>
          <w:rFonts w:asciiTheme="minorEastAsia" w:hAnsiTheme="minorEastAsia" w:cs="宋体" w:hint="eastAsia"/>
          <w:noProof w:val="0"/>
          <w:kern w:val="0"/>
          <w:sz w:val="24"/>
          <w:szCs w:val="24"/>
        </w:rPr>
        <w:t>月</w:t>
      </w:r>
      <w:r w:rsidR="00BA7458" w:rsidRPr="00121901">
        <w:rPr>
          <w:rFonts w:asciiTheme="minorEastAsia" w:hAnsiTheme="minorEastAsia" w:cs="宋体"/>
          <w:noProof w:val="0"/>
          <w:kern w:val="0"/>
          <w:sz w:val="24"/>
          <w:szCs w:val="24"/>
        </w:rPr>
        <w:t>28</w:t>
      </w:r>
      <w:r w:rsidRPr="00121901">
        <w:rPr>
          <w:rFonts w:asciiTheme="minorEastAsia" w:hAnsiTheme="minorEastAsia" w:cs="宋体" w:hint="eastAsia"/>
          <w:noProof w:val="0"/>
          <w:kern w:val="0"/>
          <w:sz w:val="24"/>
          <w:szCs w:val="24"/>
        </w:rPr>
        <w:t>日发布了《易方达基金管理有限公司关于易方达聚盈分级债券型发起式证券投资基金份额折算方案的公告》。201</w:t>
      </w:r>
      <w:r w:rsidR="008310F3" w:rsidRPr="00121901">
        <w:rPr>
          <w:rFonts w:asciiTheme="minorEastAsia" w:hAnsiTheme="minorEastAsia" w:cs="宋体"/>
          <w:noProof w:val="0"/>
          <w:kern w:val="0"/>
          <w:sz w:val="24"/>
          <w:szCs w:val="24"/>
        </w:rPr>
        <w:t>9</w:t>
      </w:r>
      <w:r w:rsidRPr="00121901">
        <w:rPr>
          <w:rFonts w:asciiTheme="minorEastAsia" w:hAnsiTheme="minorEastAsia" w:cs="宋体" w:hint="eastAsia"/>
          <w:noProof w:val="0"/>
          <w:kern w:val="0"/>
          <w:sz w:val="24"/>
          <w:szCs w:val="24"/>
        </w:rPr>
        <w:t>年11月</w:t>
      </w:r>
      <w:r w:rsidR="008310F3" w:rsidRPr="00121901">
        <w:rPr>
          <w:rFonts w:asciiTheme="minorEastAsia" w:hAnsiTheme="minorEastAsia" w:cs="宋体"/>
          <w:noProof w:val="0"/>
          <w:kern w:val="0"/>
          <w:sz w:val="24"/>
          <w:szCs w:val="24"/>
        </w:rPr>
        <w:t>8</w:t>
      </w:r>
      <w:r w:rsidRPr="00121901">
        <w:rPr>
          <w:rFonts w:asciiTheme="minorEastAsia" w:hAnsiTheme="minorEastAsia" w:cs="宋体" w:hint="eastAsia"/>
          <w:noProof w:val="0"/>
          <w:kern w:val="0"/>
          <w:sz w:val="24"/>
          <w:szCs w:val="24"/>
        </w:rPr>
        <w:t>日为聚盈B份额</w:t>
      </w:r>
      <w:r w:rsidR="005B71CA" w:rsidRPr="00121901">
        <w:rPr>
          <w:rFonts w:asciiTheme="minorEastAsia" w:hAnsiTheme="minorEastAsia" w:cs="宋体" w:hint="eastAsia"/>
          <w:noProof w:val="0"/>
          <w:kern w:val="0"/>
          <w:sz w:val="24"/>
          <w:szCs w:val="24"/>
        </w:rPr>
        <w:t>的</w:t>
      </w:r>
      <w:r w:rsidRPr="00121901">
        <w:rPr>
          <w:rFonts w:asciiTheme="minorEastAsia" w:hAnsiTheme="minorEastAsia" w:cs="宋体" w:hint="eastAsia"/>
          <w:noProof w:val="0"/>
          <w:kern w:val="0"/>
          <w:sz w:val="24"/>
          <w:szCs w:val="24"/>
        </w:rPr>
        <w:t>赎回开放日，11月</w:t>
      </w:r>
      <w:r w:rsidR="008310F3" w:rsidRPr="00121901">
        <w:rPr>
          <w:rFonts w:asciiTheme="minorEastAsia" w:hAnsiTheme="minorEastAsia" w:cs="宋体"/>
          <w:noProof w:val="0"/>
          <w:kern w:val="0"/>
          <w:sz w:val="24"/>
          <w:szCs w:val="24"/>
        </w:rPr>
        <w:t>6</w:t>
      </w:r>
      <w:r w:rsidRPr="00121901">
        <w:rPr>
          <w:rFonts w:asciiTheme="minorEastAsia" w:hAnsiTheme="minorEastAsia" w:cs="宋体" w:hint="eastAsia"/>
          <w:noProof w:val="0"/>
          <w:kern w:val="0"/>
          <w:sz w:val="24"/>
          <w:szCs w:val="24"/>
        </w:rPr>
        <w:t>日为聚盈B份额</w:t>
      </w:r>
      <w:r w:rsidR="005B71CA" w:rsidRPr="00121901">
        <w:rPr>
          <w:rFonts w:asciiTheme="minorEastAsia" w:hAnsiTheme="minorEastAsia" w:cs="宋体" w:hint="eastAsia"/>
          <w:noProof w:val="0"/>
          <w:kern w:val="0"/>
          <w:sz w:val="24"/>
          <w:szCs w:val="24"/>
        </w:rPr>
        <w:t>的</w:t>
      </w:r>
      <w:r w:rsidRPr="00121901">
        <w:rPr>
          <w:rFonts w:asciiTheme="minorEastAsia" w:hAnsiTheme="minorEastAsia" w:cs="宋体" w:hint="eastAsia"/>
          <w:noProof w:val="0"/>
          <w:kern w:val="0"/>
          <w:sz w:val="24"/>
          <w:szCs w:val="24"/>
        </w:rPr>
        <w:t>折算基准</w:t>
      </w:r>
      <w:bookmarkStart w:id="0" w:name="_GoBack"/>
      <w:bookmarkEnd w:id="0"/>
      <w:r w:rsidRPr="00121901">
        <w:rPr>
          <w:rFonts w:asciiTheme="minorEastAsia" w:hAnsiTheme="minorEastAsia" w:cs="宋体" w:hint="eastAsia"/>
          <w:noProof w:val="0"/>
          <w:kern w:val="0"/>
          <w:sz w:val="24"/>
          <w:szCs w:val="24"/>
        </w:rPr>
        <w:t>日，现将相关事项公告如下：</w:t>
      </w:r>
    </w:p>
    <w:p w:rsidR="00E62231" w:rsidRPr="00121901" w:rsidRDefault="00E62231" w:rsidP="001A6608">
      <w:pPr>
        <w:widowControl/>
        <w:spacing w:line="360" w:lineRule="auto"/>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w:t>
      </w: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一、本次聚盈B份额折算结果</w:t>
      </w:r>
    </w:p>
    <w:p w:rsidR="00E62231" w:rsidRPr="00121901" w:rsidRDefault="00AA2A23"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201</w:t>
      </w:r>
      <w:r w:rsidR="008310F3" w:rsidRPr="00121901">
        <w:rPr>
          <w:rFonts w:asciiTheme="minorEastAsia" w:hAnsiTheme="minorEastAsia" w:cs="宋体"/>
          <w:noProof w:val="0"/>
          <w:kern w:val="0"/>
          <w:sz w:val="24"/>
          <w:szCs w:val="24"/>
        </w:rPr>
        <w:t>9</w:t>
      </w:r>
      <w:r w:rsidR="00E62231" w:rsidRPr="00121901">
        <w:rPr>
          <w:rFonts w:asciiTheme="minorEastAsia" w:hAnsiTheme="minorEastAsia" w:cs="宋体" w:hint="eastAsia"/>
          <w:noProof w:val="0"/>
          <w:kern w:val="0"/>
          <w:sz w:val="24"/>
          <w:szCs w:val="24"/>
        </w:rPr>
        <w:t>年11月</w:t>
      </w:r>
      <w:r w:rsidR="008310F3" w:rsidRPr="00121901">
        <w:rPr>
          <w:rFonts w:asciiTheme="minorEastAsia" w:hAnsiTheme="minorEastAsia" w:cs="宋体"/>
          <w:noProof w:val="0"/>
          <w:kern w:val="0"/>
          <w:sz w:val="24"/>
          <w:szCs w:val="24"/>
        </w:rPr>
        <w:t>6</w:t>
      </w:r>
      <w:r w:rsidR="00E62231" w:rsidRPr="00121901">
        <w:rPr>
          <w:rFonts w:asciiTheme="minorEastAsia" w:hAnsiTheme="minorEastAsia" w:cs="宋体" w:hint="eastAsia"/>
          <w:noProof w:val="0"/>
          <w:kern w:val="0"/>
          <w:sz w:val="24"/>
          <w:szCs w:val="24"/>
        </w:rPr>
        <w:t>日折算前聚盈B份额净值为</w:t>
      </w:r>
      <w:r w:rsidR="00EE673D" w:rsidRPr="00121901">
        <w:rPr>
          <w:rFonts w:asciiTheme="minorEastAsia" w:hAnsiTheme="minorEastAsia" w:cs="宋体"/>
          <w:noProof w:val="0"/>
          <w:kern w:val="0"/>
          <w:sz w:val="24"/>
          <w:szCs w:val="24"/>
        </w:rPr>
        <w:t>1.049379234</w:t>
      </w:r>
      <w:r w:rsidR="00E62231" w:rsidRPr="00121901">
        <w:rPr>
          <w:rFonts w:asciiTheme="minorEastAsia" w:hAnsiTheme="minorEastAsia" w:cs="宋体" w:hint="eastAsia"/>
          <w:noProof w:val="0"/>
          <w:kern w:val="0"/>
          <w:sz w:val="24"/>
          <w:szCs w:val="24"/>
        </w:rPr>
        <w:t>元，据此计算的聚盈B的折算比例为</w:t>
      </w:r>
      <w:r w:rsidR="00EE673D" w:rsidRPr="00121901">
        <w:rPr>
          <w:rFonts w:asciiTheme="minorEastAsia" w:hAnsiTheme="minorEastAsia" w:cs="宋体"/>
          <w:noProof w:val="0"/>
          <w:kern w:val="0"/>
          <w:sz w:val="24"/>
          <w:szCs w:val="24"/>
        </w:rPr>
        <w:t>1.049379234</w:t>
      </w:r>
      <w:r w:rsidR="00E62231" w:rsidRPr="00121901">
        <w:rPr>
          <w:rFonts w:asciiTheme="minorEastAsia" w:hAnsiTheme="minorEastAsia" w:cs="宋体" w:hint="eastAsia"/>
          <w:noProof w:val="0"/>
          <w:kern w:val="0"/>
          <w:sz w:val="24"/>
          <w:szCs w:val="24"/>
        </w:rPr>
        <w:t>，折算后，聚盈B份额净值调整为1.0000元。折算前，聚盈B份额总额为</w:t>
      </w:r>
      <w:r w:rsidR="006E25BD" w:rsidRPr="00121901">
        <w:rPr>
          <w:rFonts w:asciiTheme="minorEastAsia" w:hAnsiTheme="minorEastAsia" w:cs="宋体"/>
          <w:noProof w:val="0"/>
          <w:kern w:val="0"/>
          <w:sz w:val="24"/>
          <w:szCs w:val="24"/>
        </w:rPr>
        <w:t>327,701,144.60</w:t>
      </w:r>
      <w:r w:rsidR="00E62231" w:rsidRPr="00121901">
        <w:rPr>
          <w:rFonts w:asciiTheme="minorEastAsia" w:hAnsiTheme="minorEastAsia" w:cs="宋体" w:hint="eastAsia"/>
          <w:noProof w:val="0"/>
          <w:kern w:val="0"/>
          <w:sz w:val="24"/>
          <w:szCs w:val="24"/>
        </w:rPr>
        <w:t>份，折算后，聚盈B份额总额为</w:t>
      </w:r>
      <w:r w:rsidR="006E25BD" w:rsidRPr="00121901">
        <w:rPr>
          <w:rFonts w:asciiTheme="minorEastAsia" w:hAnsiTheme="minorEastAsia" w:cs="宋体"/>
          <w:noProof w:val="0"/>
          <w:kern w:val="0"/>
          <w:sz w:val="24"/>
          <w:szCs w:val="24"/>
        </w:rPr>
        <w:t>343,882,776.10</w:t>
      </w:r>
      <w:r w:rsidR="00E62231" w:rsidRPr="00121901">
        <w:rPr>
          <w:rFonts w:asciiTheme="minorEastAsia" w:hAnsiTheme="minorEastAsia" w:cs="宋体" w:hint="eastAsia"/>
          <w:noProof w:val="0"/>
          <w:kern w:val="0"/>
          <w:sz w:val="24"/>
          <w:szCs w:val="24"/>
        </w:rPr>
        <w:t>份。聚盈B经折算后的份额数四舍五入保留到小数点后两位，由此产生的收益或损失由基金财产承担，计算的结果以登记机构的记录为准。投资者自公告之日起可查询其原持有的聚盈B份额的折算结果。</w:t>
      </w:r>
    </w:p>
    <w:p w:rsidR="00E62231" w:rsidRPr="00121901" w:rsidRDefault="00E62231" w:rsidP="001A6608">
      <w:pPr>
        <w:widowControl/>
        <w:spacing w:line="360" w:lineRule="auto"/>
        <w:jc w:val="left"/>
        <w:rPr>
          <w:rFonts w:asciiTheme="minorEastAsia" w:hAnsiTheme="minorEastAsia" w:cs="宋体"/>
          <w:noProof w:val="0"/>
          <w:kern w:val="0"/>
          <w:sz w:val="24"/>
          <w:szCs w:val="24"/>
        </w:rPr>
      </w:pP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xml:space="preserve">二、投资者可通过以下途径了解或咨询详请: </w:t>
      </w: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xml:space="preserve">易方达基金管理有限公司网址:http://www.efunds.com.cn </w:t>
      </w: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易方达基金管理有限公司客服中心电话: 4008818088</w:t>
      </w: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xml:space="preserve">易方达基金管理有限公司客服邮箱:service@efunds.com.cn </w:t>
      </w:r>
    </w:p>
    <w:p w:rsidR="00E62231" w:rsidRPr="00121901" w:rsidRDefault="00E62231" w:rsidP="001A6608">
      <w:pPr>
        <w:widowControl/>
        <w:spacing w:line="360" w:lineRule="auto"/>
        <w:jc w:val="left"/>
        <w:rPr>
          <w:rFonts w:asciiTheme="minorEastAsia" w:hAnsiTheme="minorEastAsia" w:cs="宋体"/>
          <w:noProof w:val="0"/>
          <w:kern w:val="0"/>
          <w:sz w:val="24"/>
          <w:szCs w:val="24"/>
        </w:rPr>
      </w:pP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xml:space="preserve">三、风险提示 </w:t>
      </w:r>
    </w:p>
    <w:p w:rsidR="008310F3" w:rsidRPr="00121901" w:rsidRDefault="008310F3" w:rsidP="008310F3">
      <w:pPr>
        <w:widowControl/>
        <w:spacing w:line="360" w:lineRule="auto"/>
        <w:ind w:firstLineChars="200" w:firstLine="480"/>
        <w:jc w:val="left"/>
        <w:rPr>
          <w:rFonts w:asciiTheme="minorEastAsia" w:hAnsiTheme="minorEastAsia" w:cs="宋体"/>
          <w:kern w:val="0"/>
          <w:sz w:val="24"/>
          <w:szCs w:val="24"/>
        </w:rPr>
      </w:pPr>
      <w:r w:rsidRPr="00121901">
        <w:rPr>
          <w:rFonts w:asciiTheme="minorEastAsia" w:hAnsiTheme="minorEastAsia" w:cs="宋体" w:hint="eastAsia"/>
          <w:kern w:val="0"/>
          <w:sz w:val="24"/>
          <w:szCs w:val="24"/>
        </w:rPr>
        <w:t>根据《关于规范金融机构资产管理业务的指导意见》（以下简称《资管新规》）要求，公募产品不得进行份额分级，应在《资管新规》规定的过渡期结束前进行整改规范，请投资者关注相关风险。</w:t>
      </w:r>
    </w:p>
    <w:p w:rsidR="00BA7458" w:rsidRPr="00121901" w:rsidRDefault="00BA7458" w:rsidP="008310F3">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根据《基金合同》第二十部分“基金合同的变更、终止与基金财产的清算”的相关规定，“《基金合同》生效后任一聚盈B开放日的申购赎回确认完成后，聚盈B资产净值低于5000万元时，经管理人与托管人协商后，基金管理人决定不开放聚盈A的申购并终止《基金合同》”，请投资者关注相关风险。</w:t>
      </w:r>
    </w:p>
    <w:p w:rsidR="00E62231" w:rsidRPr="00121901" w:rsidRDefault="008310F3" w:rsidP="008310F3">
      <w:pPr>
        <w:widowControl/>
        <w:spacing w:line="360" w:lineRule="auto"/>
        <w:ind w:firstLineChars="200" w:firstLine="480"/>
        <w:jc w:val="left"/>
        <w:rPr>
          <w:rFonts w:asciiTheme="minorEastAsia" w:hAnsiTheme="minorEastAsia" w:cs="宋体"/>
          <w:noProof w:val="0"/>
          <w:kern w:val="0"/>
          <w:sz w:val="24"/>
          <w:szCs w:val="24"/>
        </w:rPr>
      </w:pPr>
      <w:r w:rsidRPr="00121901">
        <w:rPr>
          <w:rFonts w:ascii="宋体" w:hAnsi="宋体" w:hint="eastAsia"/>
          <w:sz w:val="24"/>
          <w:szCs w:val="24"/>
        </w:rPr>
        <w:lastRenderedPageBreak/>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w:t>
      </w:r>
      <w:r w:rsidRPr="00121901">
        <w:rPr>
          <w:sz w:val="24"/>
          <w:szCs w:val="24"/>
        </w:rPr>
        <w:t>“</w:t>
      </w:r>
      <w:r w:rsidRPr="00121901">
        <w:rPr>
          <w:rFonts w:ascii="宋体" w:hAnsi="宋体" w:hint="eastAsia"/>
          <w:sz w:val="24"/>
          <w:szCs w:val="24"/>
        </w:rPr>
        <w:t>买者自负</w:t>
      </w:r>
      <w:r w:rsidRPr="00121901">
        <w:rPr>
          <w:sz w:val="24"/>
          <w:szCs w:val="24"/>
        </w:rPr>
        <w:t>”</w:t>
      </w:r>
      <w:r w:rsidRPr="00121901">
        <w:rPr>
          <w:rFonts w:ascii="宋体" w:hAnsi="宋体" w:hint="eastAsia"/>
          <w:sz w:val="24"/>
          <w:szCs w:val="24"/>
        </w:rPr>
        <w:t>原则，在投资者作出投资决策后，基金运营状况与基金净值变化引致的投资风险，由投资者自行负责。</w:t>
      </w:r>
    </w:p>
    <w:p w:rsidR="00E62231" w:rsidRPr="00121901" w:rsidRDefault="00E62231" w:rsidP="001A6608">
      <w:pPr>
        <w:widowControl/>
        <w:spacing w:line="360" w:lineRule="auto"/>
        <w:jc w:val="left"/>
        <w:rPr>
          <w:rFonts w:asciiTheme="minorEastAsia" w:hAnsiTheme="minorEastAsia" w:cs="宋体"/>
          <w:noProof w:val="0"/>
          <w:kern w:val="0"/>
          <w:sz w:val="24"/>
          <w:szCs w:val="24"/>
        </w:rPr>
      </w:pPr>
    </w:p>
    <w:p w:rsidR="00E62231" w:rsidRPr="00121901" w:rsidRDefault="00E62231" w:rsidP="001A6608">
      <w:pPr>
        <w:widowControl/>
        <w:spacing w:line="360" w:lineRule="auto"/>
        <w:ind w:firstLineChars="200" w:firstLine="480"/>
        <w:jc w:val="lef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xml:space="preserve">特此公告。 </w:t>
      </w:r>
    </w:p>
    <w:p w:rsidR="00E62231" w:rsidRPr="00121901" w:rsidRDefault="00E62231" w:rsidP="001A6608">
      <w:pPr>
        <w:widowControl/>
        <w:spacing w:line="360" w:lineRule="auto"/>
        <w:jc w:val="left"/>
        <w:rPr>
          <w:rFonts w:asciiTheme="minorEastAsia" w:hAnsiTheme="minorEastAsia" w:cs="宋体"/>
          <w:noProof w:val="0"/>
          <w:kern w:val="0"/>
          <w:sz w:val="24"/>
          <w:szCs w:val="24"/>
        </w:rPr>
      </w:pPr>
    </w:p>
    <w:p w:rsidR="00E62231" w:rsidRPr="00121901" w:rsidRDefault="00E62231" w:rsidP="001A6608">
      <w:pPr>
        <w:widowControl/>
        <w:spacing w:line="360" w:lineRule="auto"/>
        <w:jc w:val="right"/>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 xml:space="preserve"> 易方达基金管理有限公司</w:t>
      </w:r>
    </w:p>
    <w:p w:rsidR="00DC5C92" w:rsidRPr="00121901" w:rsidRDefault="002A75E6" w:rsidP="001A6608">
      <w:pPr>
        <w:spacing w:line="360" w:lineRule="auto"/>
        <w:rPr>
          <w:rFonts w:asciiTheme="minorEastAsia" w:hAnsiTheme="minorEastAsia" w:cs="宋体"/>
          <w:noProof w:val="0"/>
          <w:kern w:val="0"/>
          <w:sz w:val="24"/>
          <w:szCs w:val="24"/>
        </w:rPr>
      </w:pPr>
      <w:r w:rsidRPr="00121901">
        <w:rPr>
          <w:rFonts w:asciiTheme="minorEastAsia" w:hAnsiTheme="minorEastAsia" w:cs="宋体" w:hint="eastAsia"/>
          <w:noProof w:val="0"/>
          <w:kern w:val="0"/>
          <w:sz w:val="24"/>
          <w:szCs w:val="24"/>
        </w:rPr>
        <w:t>201</w:t>
      </w:r>
      <w:r w:rsidR="00892302" w:rsidRPr="00121901">
        <w:rPr>
          <w:rFonts w:asciiTheme="minorEastAsia" w:hAnsiTheme="minorEastAsia" w:cs="宋体"/>
          <w:noProof w:val="0"/>
          <w:kern w:val="0"/>
          <w:sz w:val="24"/>
          <w:szCs w:val="24"/>
        </w:rPr>
        <w:t>9</w:t>
      </w:r>
      <w:r w:rsidRPr="00121901">
        <w:rPr>
          <w:rFonts w:asciiTheme="minorEastAsia" w:hAnsiTheme="minorEastAsia" w:cs="宋体" w:hint="eastAsia"/>
          <w:noProof w:val="0"/>
          <w:kern w:val="0"/>
          <w:sz w:val="24"/>
          <w:szCs w:val="24"/>
        </w:rPr>
        <w:t>年</w:t>
      </w:r>
      <w:r w:rsidR="00BA7458" w:rsidRPr="00121901">
        <w:rPr>
          <w:rFonts w:asciiTheme="minorEastAsia" w:hAnsiTheme="minorEastAsia" w:cs="宋体"/>
          <w:noProof w:val="0"/>
          <w:kern w:val="0"/>
          <w:sz w:val="24"/>
          <w:szCs w:val="24"/>
        </w:rPr>
        <w:t>11</w:t>
      </w:r>
      <w:r w:rsidRPr="00121901">
        <w:rPr>
          <w:rFonts w:asciiTheme="minorEastAsia" w:hAnsiTheme="minorEastAsia" w:cs="宋体" w:hint="eastAsia"/>
          <w:noProof w:val="0"/>
          <w:kern w:val="0"/>
          <w:sz w:val="24"/>
          <w:szCs w:val="24"/>
        </w:rPr>
        <w:t>月</w:t>
      </w:r>
      <w:r w:rsidR="00BA7458" w:rsidRPr="00121901">
        <w:rPr>
          <w:rFonts w:asciiTheme="minorEastAsia" w:hAnsiTheme="minorEastAsia" w:cs="宋体"/>
          <w:noProof w:val="0"/>
          <w:kern w:val="0"/>
          <w:sz w:val="24"/>
          <w:szCs w:val="24"/>
        </w:rPr>
        <w:t>8</w:t>
      </w:r>
      <w:r w:rsidR="00E62231" w:rsidRPr="00121901">
        <w:rPr>
          <w:rFonts w:asciiTheme="minorEastAsia" w:hAnsiTheme="minorEastAsia" w:cs="宋体" w:hint="eastAsia"/>
          <w:noProof w:val="0"/>
          <w:kern w:val="0"/>
          <w:sz w:val="24"/>
          <w:szCs w:val="24"/>
        </w:rPr>
        <w:t>日</w:t>
      </w:r>
    </w:p>
    <w:sectPr w:rsidR="00DC5C92" w:rsidRPr="00121901" w:rsidSect="000F0E97">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8C8" w:rsidRDefault="00FD38C8" w:rsidP="003765DA">
      <w:r>
        <w:separator/>
      </w:r>
    </w:p>
  </w:endnote>
  <w:endnote w:type="continuationSeparator" w:id="1">
    <w:p w:rsidR="00FD38C8" w:rsidRDefault="00FD38C8" w:rsidP="00376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8C8" w:rsidRDefault="00FD38C8" w:rsidP="003765DA">
      <w:r>
        <w:separator/>
      </w:r>
    </w:p>
  </w:footnote>
  <w:footnote w:type="continuationSeparator" w:id="1">
    <w:p w:rsidR="00FD38C8" w:rsidRDefault="00FD38C8" w:rsidP="00376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7A3"/>
    <w:rsid w:val="000B7E5A"/>
    <w:rsid w:val="000F0E97"/>
    <w:rsid w:val="00121901"/>
    <w:rsid w:val="00146AB4"/>
    <w:rsid w:val="00163644"/>
    <w:rsid w:val="001852E6"/>
    <w:rsid w:val="001A46D9"/>
    <w:rsid w:val="001A6608"/>
    <w:rsid w:val="001C5C82"/>
    <w:rsid w:val="001D21C6"/>
    <w:rsid w:val="002147A3"/>
    <w:rsid w:val="002A75E6"/>
    <w:rsid w:val="002B5C57"/>
    <w:rsid w:val="003765DA"/>
    <w:rsid w:val="003F4073"/>
    <w:rsid w:val="00506E4C"/>
    <w:rsid w:val="005509C2"/>
    <w:rsid w:val="005B4D01"/>
    <w:rsid w:val="005B71CA"/>
    <w:rsid w:val="006E09E4"/>
    <w:rsid w:val="006E25BD"/>
    <w:rsid w:val="00787173"/>
    <w:rsid w:val="00795D1E"/>
    <w:rsid w:val="00806CE6"/>
    <w:rsid w:val="008310F3"/>
    <w:rsid w:val="0089022E"/>
    <w:rsid w:val="00892302"/>
    <w:rsid w:val="008C3B9F"/>
    <w:rsid w:val="009E2453"/>
    <w:rsid w:val="00A306A3"/>
    <w:rsid w:val="00AA2A23"/>
    <w:rsid w:val="00B26174"/>
    <w:rsid w:val="00B41B2A"/>
    <w:rsid w:val="00B846D6"/>
    <w:rsid w:val="00BA7458"/>
    <w:rsid w:val="00BB722A"/>
    <w:rsid w:val="00C34831"/>
    <w:rsid w:val="00C63660"/>
    <w:rsid w:val="00C66784"/>
    <w:rsid w:val="00DB28AC"/>
    <w:rsid w:val="00DC5C92"/>
    <w:rsid w:val="00E62231"/>
    <w:rsid w:val="00EB5611"/>
    <w:rsid w:val="00EE673D"/>
    <w:rsid w:val="00F1322F"/>
    <w:rsid w:val="00F53223"/>
    <w:rsid w:val="00F54999"/>
    <w:rsid w:val="00F85779"/>
    <w:rsid w:val="00FD38C8"/>
    <w:rsid w:val="00FE5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97"/>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2231"/>
    <w:rPr>
      <w:b/>
      <w:bCs/>
    </w:rPr>
  </w:style>
  <w:style w:type="paragraph" w:styleId="a4">
    <w:name w:val="header"/>
    <w:basedOn w:val="a"/>
    <w:link w:val="Char"/>
    <w:uiPriority w:val="99"/>
    <w:unhideWhenUsed/>
    <w:rsid w:val="00376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65DA"/>
    <w:rPr>
      <w:noProof/>
      <w:sz w:val="18"/>
      <w:szCs w:val="18"/>
    </w:rPr>
  </w:style>
  <w:style w:type="paragraph" w:styleId="a5">
    <w:name w:val="footer"/>
    <w:basedOn w:val="a"/>
    <w:link w:val="Char0"/>
    <w:uiPriority w:val="99"/>
    <w:unhideWhenUsed/>
    <w:rsid w:val="003765DA"/>
    <w:pPr>
      <w:tabs>
        <w:tab w:val="center" w:pos="4153"/>
        <w:tab w:val="right" w:pos="8306"/>
      </w:tabs>
      <w:snapToGrid w:val="0"/>
      <w:jc w:val="left"/>
    </w:pPr>
    <w:rPr>
      <w:sz w:val="18"/>
      <w:szCs w:val="18"/>
    </w:rPr>
  </w:style>
  <w:style w:type="character" w:customStyle="1" w:styleId="Char0">
    <w:name w:val="页脚 Char"/>
    <w:basedOn w:val="a0"/>
    <w:link w:val="a5"/>
    <w:uiPriority w:val="99"/>
    <w:rsid w:val="003765DA"/>
    <w:rPr>
      <w:noProof/>
      <w:sz w:val="18"/>
      <w:szCs w:val="18"/>
    </w:rPr>
  </w:style>
  <w:style w:type="paragraph" w:styleId="a6">
    <w:name w:val="Balloon Text"/>
    <w:basedOn w:val="a"/>
    <w:link w:val="Char1"/>
    <w:uiPriority w:val="99"/>
    <w:semiHidden/>
    <w:unhideWhenUsed/>
    <w:rsid w:val="00F53223"/>
    <w:rPr>
      <w:sz w:val="18"/>
      <w:szCs w:val="18"/>
    </w:rPr>
  </w:style>
  <w:style w:type="character" w:customStyle="1" w:styleId="Char1">
    <w:name w:val="批注框文本 Char"/>
    <w:basedOn w:val="a0"/>
    <w:link w:val="a6"/>
    <w:uiPriority w:val="99"/>
    <w:semiHidden/>
    <w:rsid w:val="00F53223"/>
    <w:rPr>
      <w:noProo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4</DocSecurity>
  <Lines>7</Lines>
  <Paragraphs>2</Paragraphs>
  <ScaleCrop>false</ScaleCrop>
  <Company>E FUND</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梁虹</dc:creator>
  <cp:keywords/>
  <dc:description/>
  <cp:lastModifiedBy>JonMMx 2000</cp:lastModifiedBy>
  <cp:revision>2</cp:revision>
  <dcterms:created xsi:type="dcterms:W3CDTF">2019-11-07T16:01:00Z</dcterms:created>
  <dcterms:modified xsi:type="dcterms:W3CDTF">2019-11-07T16:01:00Z</dcterms:modified>
</cp:coreProperties>
</file>