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92" w:rsidRPr="00146ADE" w:rsidRDefault="00A567F1" w:rsidP="00A567F1">
      <w:pPr>
        <w:jc w:val="center"/>
        <w:rPr>
          <w:rFonts w:asciiTheme="minorEastAsia" w:hAnsiTheme="minorEastAsia" w:cs="宋体"/>
          <w:b/>
          <w:bCs/>
          <w:noProof w:val="0"/>
          <w:kern w:val="0"/>
          <w:sz w:val="28"/>
          <w:szCs w:val="24"/>
        </w:rPr>
      </w:pPr>
      <w:r w:rsidRPr="00146ADE">
        <w:rPr>
          <w:rFonts w:asciiTheme="minorEastAsia" w:hAnsiTheme="minorEastAsia" w:cs="宋体"/>
          <w:b/>
          <w:bCs/>
          <w:noProof w:val="0"/>
          <w:kern w:val="0"/>
          <w:sz w:val="28"/>
          <w:szCs w:val="24"/>
        </w:rPr>
        <w:t>易方达基金管理有限公司关于易方达聚盈分级债券型发起式证券投资基金之聚盈A份额折算基准日（</w:t>
      </w:r>
      <w:r w:rsidR="003D11FC" w:rsidRPr="00146ADE">
        <w:rPr>
          <w:rFonts w:asciiTheme="minorEastAsia" w:hAnsiTheme="minorEastAsia" w:cs="宋体"/>
          <w:b/>
          <w:bCs/>
          <w:noProof w:val="0"/>
          <w:kern w:val="0"/>
          <w:sz w:val="28"/>
          <w:szCs w:val="24"/>
        </w:rPr>
        <w:t>201</w:t>
      </w:r>
      <w:r w:rsidR="00557BF1" w:rsidRPr="00146ADE">
        <w:rPr>
          <w:rFonts w:asciiTheme="minorEastAsia" w:hAnsiTheme="minorEastAsia" w:cs="宋体"/>
          <w:b/>
          <w:bCs/>
          <w:noProof w:val="0"/>
          <w:kern w:val="0"/>
          <w:sz w:val="28"/>
          <w:szCs w:val="24"/>
        </w:rPr>
        <w:t>9</w:t>
      </w:r>
      <w:r w:rsidR="003D11FC" w:rsidRPr="00146ADE">
        <w:rPr>
          <w:rFonts w:asciiTheme="minorEastAsia" w:hAnsiTheme="minorEastAsia" w:cs="宋体"/>
          <w:b/>
          <w:bCs/>
          <w:noProof w:val="0"/>
          <w:kern w:val="0"/>
          <w:sz w:val="28"/>
          <w:szCs w:val="24"/>
        </w:rPr>
        <w:t>年</w:t>
      </w:r>
      <w:r w:rsidR="00F8056B" w:rsidRPr="00146ADE">
        <w:rPr>
          <w:rFonts w:asciiTheme="minorEastAsia" w:hAnsiTheme="minorEastAsia" w:cs="宋体"/>
          <w:b/>
          <w:bCs/>
          <w:noProof w:val="0"/>
          <w:kern w:val="0"/>
          <w:sz w:val="28"/>
          <w:szCs w:val="24"/>
        </w:rPr>
        <w:t>11</w:t>
      </w:r>
      <w:r w:rsidRPr="00146ADE">
        <w:rPr>
          <w:rFonts w:asciiTheme="minorEastAsia" w:hAnsiTheme="minorEastAsia" w:cs="宋体"/>
          <w:b/>
          <w:bCs/>
          <w:noProof w:val="0"/>
          <w:kern w:val="0"/>
          <w:sz w:val="28"/>
          <w:szCs w:val="24"/>
        </w:rPr>
        <w:t>月</w:t>
      </w:r>
      <w:r w:rsidR="00557BF1" w:rsidRPr="00146ADE">
        <w:rPr>
          <w:rFonts w:asciiTheme="minorEastAsia" w:hAnsiTheme="minorEastAsia" w:cs="宋体"/>
          <w:b/>
          <w:bCs/>
          <w:noProof w:val="0"/>
          <w:kern w:val="0"/>
          <w:sz w:val="28"/>
          <w:szCs w:val="24"/>
        </w:rPr>
        <w:t>11</w:t>
      </w:r>
      <w:r w:rsidRPr="00146ADE">
        <w:rPr>
          <w:rFonts w:asciiTheme="minorEastAsia" w:hAnsiTheme="minorEastAsia" w:cs="宋体"/>
          <w:b/>
          <w:bCs/>
          <w:noProof w:val="0"/>
          <w:kern w:val="0"/>
          <w:sz w:val="28"/>
          <w:szCs w:val="24"/>
        </w:rPr>
        <w:t>日）后约定年收益率的公告</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根据《易方达聚盈分级债券型发起式证券投资基金更新的招募说明书》中约定年收益率的相关规定，基金管理人将在每个折算基准日（聚盈A折算基准日为其赎回开放日的下一工作日，本次折算基准日为</w:t>
      </w:r>
      <w:r w:rsidR="003D11FC" w:rsidRPr="00146ADE">
        <w:rPr>
          <w:rFonts w:asciiTheme="minorEastAsia" w:hAnsiTheme="minorEastAsia" w:cs="宋体" w:hint="eastAsia"/>
          <w:noProof w:val="0"/>
          <w:kern w:val="0"/>
          <w:sz w:val="24"/>
          <w:szCs w:val="24"/>
        </w:rPr>
        <w:t>201</w:t>
      </w:r>
      <w:r w:rsidR="00557BF1" w:rsidRPr="00146ADE">
        <w:rPr>
          <w:rFonts w:asciiTheme="minorEastAsia" w:hAnsiTheme="minorEastAsia" w:cs="宋体"/>
          <w:noProof w:val="0"/>
          <w:kern w:val="0"/>
          <w:sz w:val="24"/>
          <w:szCs w:val="24"/>
        </w:rPr>
        <w:t>9</w:t>
      </w:r>
      <w:r w:rsidR="003D11FC" w:rsidRPr="00146ADE">
        <w:rPr>
          <w:rFonts w:asciiTheme="minorEastAsia" w:hAnsiTheme="minorEastAsia" w:cs="宋体" w:hint="eastAsia"/>
          <w:noProof w:val="0"/>
          <w:kern w:val="0"/>
          <w:sz w:val="24"/>
          <w:szCs w:val="24"/>
        </w:rPr>
        <w:t>年</w:t>
      </w:r>
      <w:r w:rsidR="00F8056B"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月</w:t>
      </w:r>
      <w:r w:rsidR="00557BF1"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日）前公告聚盈A份额约定年收益率，该约定年收益率适用于该折算基准日（不含）到下一折算基准日（含）的时间段。</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聚盈A 的约定年收益率的计算公式如下： </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聚盈A 的约定年收益率（单利）= 一年银行定期存款利率（税后）+利差</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利差的取值范围从0%（含）到 3.0%（含）。</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其中： </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计算聚盈A的约定年收益率所使用的一年银行定期存款利率是指在聚盈A的折算基准日（T 日）前五个工作日（T-5 日）中国人民银行公布并执行的金融机构人民币一年整存整取基准年利率。 </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w:t>
      </w:r>
    </w:p>
    <w:p w:rsidR="00A567F1" w:rsidRPr="00146ADE" w:rsidRDefault="00A567F1" w:rsidP="00557B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鉴于本次折算基准日前五个工作日即</w:t>
      </w:r>
      <w:r w:rsidR="003D11FC" w:rsidRPr="00146ADE">
        <w:rPr>
          <w:rFonts w:asciiTheme="minorEastAsia" w:hAnsiTheme="minorEastAsia" w:cs="宋体"/>
          <w:noProof w:val="0"/>
          <w:kern w:val="0"/>
          <w:sz w:val="24"/>
          <w:szCs w:val="24"/>
        </w:rPr>
        <w:t>201</w:t>
      </w:r>
      <w:r w:rsidR="00557BF1" w:rsidRPr="00146ADE">
        <w:rPr>
          <w:rFonts w:asciiTheme="minorEastAsia" w:hAnsiTheme="minorEastAsia" w:cs="宋体"/>
          <w:noProof w:val="0"/>
          <w:kern w:val="0"/>
          <w:sz w:val="24"/>
          <w:szCs w:val="24"/>
        </w:rPr>
        <w:t>9</w:t>
      </w:r>
      <w:r w:rsidR="003D11FC" w:rsidRPr="00146ADE">
        <w:rPr>
          <w:rFonts w:asciiTheme="minorEastAsia" w:hAnsiTheme="minorEastAsia" w:cs="宋体" w:hint="eastAsia"/>
          <w:noProof w:val="0"/>
          <w:kern w:val="0"/>
          <w:sz w:val="24"/>
          <w:szCs w:val="24"/>
        </w:rPr>
        <w:t>年</w:t>
      </w:r>
      <w:r w:rsidR="0037416E"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月</w:t>
      </w:r>
      <w:r w:rsidR="00557BF1" w:rsidRPr="00146ADE">
        <w:rPr>
          <w:rFonts w:asciiTheme="minorEastAsia" w:hAnsiTheme="minorEastAsia" w:cs="宋体"/>
          <w:noProof w:val="0"/>
          <w:kern w:val="0"/>
          <w:sz w:val="24"/>
          <w:szCs w:val="24"/>
        </w:rPr>
        <w:t>4</w:t>
      </w:r>
      <w:r w:rsidRPr="00146ADE">
        <w:rPr>
          <w:rFonts w:asciiTheme="minorEastAsia" w:hAnsiTheme="minorEastAsia" w:cs="宋体" w:hint="eastAsia"/>
          <w:noProof w:val="0"/>
          <w:kern w:val="0"/>
          <w:sz w:val="24"/>
          <w:szCs w:val="24"/>
        </w:rPr>
        <w:t>日中国人民银行公布并执行的金融机构人民币一年整存整取基准年利率为</w:t>
      </w:r>
      <w:r w:rsidR="009D38C2" w:rsidRPr="00146ADE">
        <w:rPr>
          <w:rFonts w:asciiTheme="minorEastAsia" w:hAnsiTheme="minorEastAsia" w:cs="宋体"/>
          <w:noProof w:val="0"/>
          <w:kern w:val="0"/>
          <w:sz w:val="24"/>
          <w:szCs w:val="24"/>
        </w:rPr>
        <w:t>1.5</w:t>
      </w:r>
      <w:r w:rsidRPr="00146ADE">
        <w:rPr>
          <w:rFonts w:asciiTheme="minorEastAsia" w:hAnsiTheme="minorEastAsia" w:cs="宋体"/>
          <w:noProof w:val="0"/>
          <w:kern w:val="0"/>
          <w:sz w:val="24"/>
          <w:szCs w:val="24"/>
        </w:rPr>
        <w:t>%</w:t>
      </w:r>
      <w:r w:rsidRPr="00146ADE">
        <w:rPr>
          <w:rFonts w:asciiTheme="minorEastAsia" w:hAnsiTheme="minorEastAsia" w:cs="宋体" w:hint="eastAsia"/>
          <w:noProof w:val="0"/>
          <w:kern w:val="0"/>
          <w:sz w:val="24"/>
          <w:szCs w:val="24"/>
        </w:rPr>
        <w:t>，基金管理人将易方达聚盈分级债券型发起式证券投资基金之聚盈</w:t>
      </w:r>
      <w:r w:rsidRPr="00146ADE">
        <w:rPr>
          <w:rFonts w:asciiTheme="minorEastAsia" w:hAnsiTheme="minorEastAsia" w:cs="宋体"/>
          <w:noProof w:val="0"/>
          <w:kern w:val="0"/>
          <w:sz w:val="24"/>
          <w:szCs w:val="24"/>
        </w:rPr>
        <w:t>A份额折算基准日（</w:t>
      </w:r>
      <w:r w:rsidR="0057194C" w:rsidRPr="00146ADE">
        <w:rPr>
          <w:rFonts w:asciiTheme="minorEastAsia" w:hAnsiTheme="minorEastAsia" w:cs="宋体"/>
          <w:noProof w:val="0"/>
          <w:kern w:val="0"/>
          <w:sz w:val="24"/>
          <w:szCs w:val="24"/>
        </w:rPr>
        <w:t>201</w:t>
      </w:r>
      <w:r w:rsidR="00557BF1" w:rsidRPr="00146ADE">
        <w:rPr>
          <w:rFonts w:asciiTheme="minorEastAsia" w:hAnsiTheme="minorEastAsia" w:cs="宋体"/>
          <w:noProof w:val="0"/>
          <w:kern w:val="0"/>
          <w:sz w:val="24"/>
          <w:szCs w:val="24"/>
        </w:rPr>
        <w:t>9</w:t>
      </w:r>
      <w:r w:rsidR="0057194C" w:rsidRPr="00146ADE">
        <w:rPr>
          <w:rFonts w:asciiTheme="minorEastAsia" w:hAnsiTheme="minorEastAsia" w:cs="宋体" w:hint="eastAsia"/>
          <w:noProof w:val="0"/>
          <w:kern w:val="0"/>
          <w:sz w:val="24"/>
          <w:szCs w:val="24"/>
        </w:rPr>
        <w:t>年</w:t>
      </w:r>
      <w:r w:rsidR="0037416E"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月</w:t>
      </w:r>
      <w:r w:rsidR="00557BF1"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日）后约定年收益率中的利差确定为</w:t>
      </w:r>
      <w:r w:rsidR="009D38C2" w:rsidRPr="00146ADE">
        <w:rPr>
          <w:rFonts w:asciiTheme="minorEastAsia" w:hAnsiTheme="minorEastAsia" w:cs="宋体"/>
          <w:noProof w:val="0"/>
          <w:kern w:val="0"/>
          <w:sz w:val="24"/>
          <w:szCs w:val="24"/>
        </w:rPr>
        <w:t>1.4</w:t>
      </w:r>
      <w:r w:rsidRPr="00146ADE">
        <w:rPr>
          <w:rFonts w:asciiTheme="minorEastAsia" w:hAnsiTheme="minorEastAsia" w:cs="宋体"/>
          <w:noProof w:val="0"/>
          <w:kern w:val="0"/>
          <w:sz w:val="24"/>
          <w:szCs w:val="24"/>
        </w:rPr>
        <w:t>%</w:t>
      </w:r>
      <w:r w:rsidRPr="00146ADE">
        <w:rPr>
          <w:rFonts w:asciiTheme="minorEastAsia" w:hAnsiTheme="minorEastAsia" w:cs="宋体" w:hint="eastAsia"/>
          <w:noProof w:val="0"/>
          <w:kern w:val="0"/>
          <w:sz w:val="24"/>
          <w:szCs w:val="24"/>
        </w:rPr>
        <w:t>，因此聚盈</w:t>
      </w:r>
      <w:r w:rsidRPr="00146ADE">
        <w:rPr>
          <w:rFonts w:asciiTheme="minorEastAsia" w:hAnsiTheme="minorEastAsia" w:cs="宋体"/>
          <w:noProof w:val="0"/>
          <w:kern w:val="0"/>
          <w:sz w:val="24"/>
          <w:szCs w:val="24"/>
        </w:rPr>
        <w:t>A份额在折算基准日（</w:t>
      </w:r>
      <w:r w:rsidR="003D11FC" w:rsidRPr="00146ADE">
        <w:rPr>
          <w:rFonts w:asciiTheme="minorEastAsia" w:hAnsiTheme="minorEastAsia" w:cs="宋体"/>
          <w:noProof w:val="0"/>
          <w:kern w:val="0"/>
          <w:sz w:val="24"/>
          <w:szCs w:val="24"/>
        </w:rPr>
        <w:t>201</w:t>
      </w:r>
      <w:r w:rsidR="00557BF1" w:rsidRPr="00146ADE">
        <w:rPr>
          <w:rFonts w:asciiTheme="minorEastAsia" w:hAnsiTheme="minorEastAsia" w:cs="宋体"/>
          <w:noProof w:val="0"/>
          <w:kern w:val="0"/>
          <w:sz w:val="24"/>
          <w:szCs w:val="24"/>
        </w:rPr>
        <w:t>9</w:t>
      </w:r>
      <w:r w:rsidR="003D11FC" w:rsidRPr="00146ADE">
        <w:rPr>
          <w:rFonts w:asciiTheme="minorEastAsia" w:hAnsiTheme="minorEastAsia" w:cs="宋体" w:hint="eastAsia"/>
          <w:noProof w:val="0"/>
          <w:kern w:val="0"/>
          <w:sz w:val="24"/>
          <w:szCs w:val="24"/>
        </w:rPr>
        <w:t>年</w:t>
      </w:r>
      <w:r w:rsidR="0037416E"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月</w:t>
      </w:r>
      <w:r w:rsidR="00557BF1" w:rsidRPr="00146ADE">
        <w:rPr>
          <w:rFonts w:asciiTheme="minorEastAsia" w:hAnsiTheme="minorEastAsia" w:cs="宋体"/>
          <w:noProof w:val="0"/>
          <w:kern w:val="0"/>
          <w:sz w:val="24"/>
          <w:szCs w:val="24"/>
        </w:rPr>
        <w:t>11</w:t>
      </w:r>
      <w:r w:rsidRPr="00146ADE">
        <w:rPr>
          <w:rFonts w:asciiTheme="minorEastAsia" w:hAnsiTheme="minorEastAsia" w:cs="宋体" w:hint="eastAsia"/>
          <w:noProof w:val="0"/>
          <w:kern w:val="0"/>
          <w:sz w:val="24"/>
          <w:szCs w:val="24"/>
        </w:rPr>
        <w:t>日）后的约定年收益率为</w:t>
      </w:r>
      <w:r w:rsidR="009A215B" w:rsidRPr="00146ADE">
        <w:rPr>
          <w:rFonts w:asciiTheme="minorEastAsia" w:hAnsiTheme="minorEastAsia" w:cs="宋体"/>
          <w:noProof w:val="0"/>
          <w:kern w:val="0"/>
          <w:sz w:val="24"/>
          <w:szCs w:val="24"/>
        </w:rPr>
        <w:t>2.9</w:t>
      </w:r>
      <w:r w:rsidR="00D9678E" w:rsidRPr="00146ADE">
        <w:rPr>
          <w:rFonts w:asciiTheme="minorEastAsia" w:hAnsiTheme="minorEastAsia" w:cs="宋体"/>
          <w:noProof w:val="0"/>
          <w:kern w:val="0"/>
          <w:sz w:val="24"/>
          <w:szCs w:val="24"/>
        </w:rPr>
        <w:t>%</w:t>
      </w:r>
      <w:r w:rsidRPr="00146ADE">
        <w:rPr>
          <w:rFonts w:asciiTheme="minorEastAsia" w:hAnsiTheme="minorEastAsia" w:cs="宋体"/>
          <w:noProof w:val="0"/>
          <w:kern w:val="0"/>
          <w:sz w:val="24"/>
          <w:szCs w:val="24"/>
        </w:rPr>
        <w:t>。</w:t>
      </w:r>
    </w:p>
    <w:p w:rsidR="00A567F1" w:rsidRPr="00146ADE" w:rsidRDefault="00A567F1" w:rsidP="00A567F1">
      <w:pPr>
        <w:widowControl/>
        <w:spacing w:line="360" w:lineRule="auto"/>
        <w:ind w:firstLine="42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投资者可通过以下途径了解或咨询详请: </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易方达基金管理有限公司网址:http://www.efunds.com.cn </w:t>
      </w:r>
    </w:p>
    <w:p w:rsidR="00A567F1" w:rsidRPr="00146ADE" w:rsidRDefault="00A567F1" w:rsidP="00A567F1">
      <w:pPr>
        <w:widowControl/>
        <w:spacing w:line="360" w:lineRule="auto"/>
        <w:ind w:firstLine="46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易方达基金管理有限公司客服中心电话: 4008818088</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易方达基金管理有限公司客服邮箱:service@efunds.com.cn </w:t>
      </w:r>
    </w:p>
    <w:p w:rsidR="00A567F1" w:rsidRPr="00146ADE" w:rsidRDefault="00A567F1" w:rsidP="00A567F1">
      <w:pPr>
        <w:widowControl/>
        <w:spacing w:line="360" w:lineRule="auto"/>
        <w:ind w:firstLine="405"/>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w:t>
      </w:r>
    </w:p>
    <w:p w:rsidR="00A567F1" w:rsidRPr="00146ADE" w:rsidRDefault="00A567F1" w:rsidP="00A567F1">
      <w:pPr>
        <w:widowControl/>
        <w:spacing w:line="360" w:lineRule="auto"/>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lastRenderedPageBreak/>
        <w:t xml:space="preserve">    风险提示:</w:t>
      </w:r>
    </w:p>
    <w:p w:rsidR="008709BA" w:rsidRPr="00146ADE" w:rsidRDefault="008709BA" w:rsidP="00146ADE">
      <w:pPr>
        <w:widowControl/>
        <w:spacing w:line="360" w:lineRule="auto"/>
        <w:ind w:firstLine="480"/>
        <w:jc w:val="left"/>
        <w:rPr>
          <w:rFonts w:asciiTheme="minorEastAsia" w:hAnsiTheme="minorEastAsia" w:cs="宋体"/>
          <w:kern w:val="0"/>
          <w:sz w:val="24"/>
          <w:szCs w:val="24"/>
        </w:rPr>
      </w:pPr>
      <w:r w:rsidRPr="00146ADE">
        <w:rPr>
          <w:rFonts w:asciiTheme="minorEastAsia" w:hAnsiTheme="minorEastAsia" w:cs="宋体" w:hint="eastAsia"/>
          <w:kern w:val="0"/>
          <w:sz w:val="24"/>
          <w:szCs w:val="24"/>
        </w:rPr>
        <w:t>根据《关于规范金融机构资产管理业务的指导意见》（以下简称《资管新规》）要求，公募产品不得进行份额分级，应在《资管新规》规定的过渡期结束前进行整改规范，请投资者关注相关风险以及基金管理人届时发布的相关公告。</w:t>
      </w:r>
    </w:p>
    <w:p w:rsidR="009D38C2" w:rsidRPr="00146ADE" w:rsidRDefault="009D38C2" w:rsidP="00146ADE">
      <w:pPr>
        <w:widowControl/>
        <w:spacing w:line="360" w:lineRule="auto"/>
        <w:ind w:firstLine="480"/>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根据《基金合同》第二十部分“基金合同的变更、终止与基金财产的清算”的相关规定，“《基金合同》生效后任一聚盈B开放日的申购赎回确认完成后，聚盈B资产净值低于5000万元时，经管理人与托管人协商后，基金管理人决定不开放聚盈A的申购并终止《基金合同》”，请投资者关注相关风险。</w:t>
      </w:r>
    </w:p>
    <w:p w:rsidR="00A567F1" w:rsidRPr="00146ADE" w:rsidRDefault="008709BA" w:rsidP="004F00F9">
      <w:pPr>
        <w:widowControl/>
        <w:spacing w:line="360" w:lineRule="auto"/>
        <w:ind w:firstLineChars="200" w:firstLine="480"/>
        <w:jc w:val="left"/>
        <w:rPr>
          <w:rFonts w:asciiTheme="minorEastAsia" w:hAnsiTheme="minorEastAsia" w:cs="宋体"/>
          <w:noProof w:val="0"/>
          <w:kern w:val="0"/>
          <w:sz w:val="24"/>
          <w:szCs w:val="24"/>
        </w:rPr>
      </w:pPr>
      <w:r w:rsidRPr="00146ADE">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w:t>
      </w:r>
      <w:r w:rsidRPr="00146ADE">
        <w:rPr>
          <w:sz w:val="24"/>
          <w:szCs w:val="24"/>
        </w:rPr>
        <w:t>“</w:t>
      </w:r>
      <w:r w:rsidRPr="00146ADE">
        <w:rPr>
          <w:rFonts w:ascii="宋体" w:hAnsi="宋体" w:hint="eastAsia"/>
          <w:sz w:val="24"/>
          <w:szCs w:val="24"/>
        </w:rPr>
        <w:t>买者自负</w:t>
      </w:r>
      <w:r w:rsidRPr="00146ADE">
        <w:rPr>
          <w:sz w:val="24"/>
          <w:szCs w:val="24"/>
        </w:rPr>
        <w:t>”</w:t>
      </w:r>
      <w:r w:rsidRPr="00146ADE">
        <w:rPr>
          <w:rFonts w:ascii="宋体" w:hAnsi="宋体" w:hint="eastAsia"/>
          <w:sz w:val="24"/>
          <w:szCs w:val="24"/>
        </w:rPr>
        <w:t>原则，在投资者作出投资决策后，基金运营状况与基金净值变化引致的投资风险，由投资者自行负责。</w:t>
      </w:r>
    </w:p>
    <w:p w:rsidR="00A567F1" w:rsidRPr="00146ADE" w:rsidRDefault="00A567F1" w:rsidP="00A567F1">
      <w:pPr>
        <w:widowControl/>
        <w:spacing w:line="360" w:lineRule="auto"/>
        <w:jc w:val="left"/>
        <w:rPr>
          <w:rFonts w:asciiTheme="minorEastAsia" w:hAnsiTheme="minorEastAsia" w:cs="宋体"/>
          <w:noProof w:val="0"/>
          <w:kern w:val="0"/>
          <w:sz w:val="24"/>
          <w:szCs w:val="24"/>
        </w:rPr>
      </w:pPr>
    </w:p>
    <w:p w:rsidR="00A567F1" w:rsidRPr="00146ADE" w:rsidRDefault="00A567F1" w:rsidP="00A567F1">
      <w:pPr>
        <w:widowControl/>
        <w:spacing w:line="360" w:lineRule="auto"/>
        <w:jc w:val="lef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    特此公告。 </w:t>
      </w:r>
    </w:p>
    <w:p w:rsidR="00A567F1" w:rsidRPr="00146ADE" w:rsidRDefault="00A567F1" w:rsidP="00A567F1">
      <w:pPr>
        <w:widowControl/>
        <w:spacing w:line="360" w:lineRule="auto"/>
        <w:jc w:val="left"/>
        <w:rPr>
          <w:rFonts w:asciiTheme="minorEastAsia" w:hAnsiTheme="minorEastAsia" w:cs="宋体"/>
          <w:noProof w:val="0"/>
          <w:kern w:val="0"/>
          <w:sz w:val="24"/>
          <w:szCs w:val="24"/>
        </w:rPr>
      </w:pPr>
    </w:p>
    <w:p w:rsidR="00A567F1" w:rsidRPr="00146ADE" w:rsidRDefault="00A567F1" w:rsidP="00A567F1">
      <w:pPr>
        <w:widowControl/>
        <w:spacing w:line="360" w:lineRule="auto"/>
        <w:jc w:val="right"/>
        <w:rPr>
          <w:rFonts w:asciiTheme="minorEastAsia" w:hAnsiTheme="minorEastAsia" w:cs="宋体"/>
          <w:noProof w:val="0"/>
          <w:kern w:val="0"/>
          <w:sz w:val="24"/>
          <w:szCs w:val="24"/>
        </w:rPr>
      </w:pPr>
      <w:r w:rsidRPr="00146ADE">
        <w:rPr>
          <w:rFonts w:asciiTheme="minorEastAsia" w:hAnsiTheme="minorEastAsia" w:cs="宋体" w:hint="eastAsia"/>
          <w:noProof w:val="0"/>
          <w:kern w:val="0"/>
          <w:sz w:val="24"/>
          <w:szCs w:val="24"/>
        </w:rPr>
        <w:t xml:space="preserve">    易方达基金管理有限公司 </w:t>
      </w:r>
    </w:p>
    <w:p w:rsidR="00A567F1" w:rsidRPr="00146ADE" w:rsidRDefault="003D11FC" w:rsidP="00A567F1">
      <w:pPr>
        <w:ind w:left="6480" w:hangingChars="2700" w:hanging="6480"/>
        <w:rPr>
          <w:rFonts w:asciiTheme="minorEastAsia" w:hAnsiTheme="minorEastAsia" w:cs="宋体"/>
          <w:noProof w:val="0"/>
          <w:kern w:val="0"/>
          <w:sz w:val="24"/>
          <w:szCs w:val="24"/>
        </w:rPr>
      </w:pPr>
      <w:r w:rsidRPr="00146ADE">
        <w:rPr>
          <w:rFonts w:asciiTheme="minorEastAsia" w:hAnsiTheme="minorEastAsia" w:cs="宋体"/>
          <w:noProof w:val="0"/>
          <w:kern w:val="0"/>
          <w:sz w:val="24"/>
          <w:szCs w:val="24"/>
        </w:rPr>
        <w:t>201</w:t>
      </w:r>
      <w:r w:rsidR="008709BA" w:rsidRPr="00146ADE">
        <w:rPr>
          <w:rFonts w:asciiTheme="minorEastAsia" w:hAnsiTheme="minorEastAsia" w:cs="宋体"/>
          <w:noProof w:val="0"/>
          <w:kern w:val="0"/>
          <w:sz w:val="24"/>
          <w:szCs w:val="24"/>
        </w:rPr>
        <w:t>9</w:t>
      </w:r>
      <w:r w:rsidRPr="00146ADE">
        <w:rPr>
          <w:rFonts w:asciiTheme="minorEastAsia" w:hAnsiTheme="minorEastAsia" w:cs="宋体" w:hint="eastAsia"/>
          <w:noProof w:val="0"/>
          <w:kern w:val="0"/>
          <w:sz w:val="24"/>
          <w:szCs w:val="24"/>
        </w:rPr>
        <w:t>年</w:t>
      </w:r>
      <w:r w:rsidR="009D38C2" w:rsidRPr="00146ADE">
        <w:rPr>
          <w:rFonts w:asciiTheme="minorEastAsia" w:hAnsiTheme="minorEastAsia" w:cs="宋体"/>
          <w:noProof w:val="0"/>
          <w:kern w:val="0"/>
          <w:sz w:val="24"/>
          <w:szCs w:val="24"/>
        </w:rPr>
        <w:t>11</w:t>
      </w:r>
      <w:r w:rsidR="00734A9F" w:rsidRPr="00146ADE">
        <w:rPr>
          <w:rFonts w:asciiTheme="minorEastAsia" w:hAnsiTheme="minorEastAsia" w:cs="宋体" w:hint="eastAsia"/>
          <w:noProof w:val="0"/>
          <w:kern w:val="0"/>
          <w:sz w:val="24"/>
          <w:szCs w:val="24"/>
        </w:rPr>
        <w:t>月</w:t>
      </w:r>
      <w:bookmarkStart w:id="0" w:name="_GoBack"/>
      <w:bookmarkEnd w:id="0"/>
      <w:r w:rsidR="009D38C2" w:rsidRPr="00146ADE">
        <w:rPr>
          <w:rFonts w:asciiTheme="minorEastAsia" w:hAnsiTheme="minorEastAsia" w:cs="宋体"/>
          <w:noProof w:val="0"/>
          <w:kern w:val="0"/>
          <w:sz w:val="24"/>
          <w:szCs w:val="24"/>
        </w:rPr>
        <w:t>6</w:t>
      </w:r>
      <w:r w:rsidR="00A567F1" w:rsidRPr="00146ADE">
        <w:rPr>
          <w:rFonts w:asciiTheme="minorEastAsia" w:hAnsiTheme="minorEastAsia" w:cs="宋体" w:hint="eastAsia"/>
          <w:noProof w:val="0"/>
          <w:kern w:val="0"/>
          <w:sz w:val="24"/>
          <w:szCs w:val="24"/>
        </w:rPr>
        <w:t>日</w:t>
      </w:r>
    </w:p>
    <w:sectPr w:rsidR="00A567F1" w:rsidRPr="00146ADE" w:rsidSect="0010505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AD" w:rsidRDefault="003D46AD" w:rsidP="00734A9F">
      <w:r>
        <w:separator/>
      </w:r>
    </w:p>
  </w:endnote>
  <w:endnote w:type="continuationSeparator" w:id="1">
    <w:p w:rsidR="003D46AD" w:rsidRDefault="003D46AD" w:rsidP="00734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AD" w:rsidRDefault="003D46AD" w:rsidP="00734A9F">
      <w:r>
        <w:separator/>
      </w:r>
    </w:p>
  </w:footnote>
  <w:footnote w:type="continuationSeparator" w:id="1">
    <w:p w:rsidR="003D46AD" w:rsidRDefault="003D46AD" w:rsidP="00734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8DD"/>
    <w:rsid w:val="000013A7"/>
    <w:rsid w:val="000021F6"/>
    <w:rsid w:val="00035A6C"/>
    <w:rsid w:val="00062D71"/>
    <w:rsid w:val="00097930"/>
    <w:rsid w:val="000C7547"/>
    <w:rsid w:val="000D7411"/>
    <w:rsid w:val="0010505F"/>
    <w:rsid w:val="001235CE"/>
    <w:rsid w:val="00143D80"/>
    <w:rsid w:val="00146ADE"/>
    <w:rsid w:val="0016543E"/>
    <w:rsid w:val="00195E88"/>
    <w:rsid w:val="001A7D0F"/>
    <w:rsid w:val="0020269E"/>
    <w:rsid w:val="00221E25"/>
    <w:rsid w:val="00255C6A"/>
    <w:rsid w:val="002B790A"/>
    <w:rsid w:val="002C17AB"/>
    <w:rsid w:val="00334364"/>
    <w:rsid w:val="00364FE9"/>
    <w:rsid w:val="0037145B"/>
    <w:rsid w:val="0037416E"/>
    <w:rsid w:val="00374AC6"/>
    <w:rsid w:val="003D11FC"/>
    <w:rsid w:val="003D46AD"/>
    <w:rsid w:val="003E1755"/>
    <w:rsid w:val="003E2703"/>
    <w:rsid w:val="003F6D72"/>
    <w:rsid w:val="00422BA5"/>
    <w:rsid w:val="0042316A"/>
    <w:rsid w:val="00434BC4"/>
    <w:rsid w:val="00461CA0"/>
    <w:rsid w:val="004E28E1"/>
    <w:rsid w:val="004F00F9"/>
    <w:rsid w:val="00507CE0"/>
    <w:rsid w:val="00557BF1"/>
    <w:rsid w:val="0057194C"/>
    <w:rsid w:val="00594ECA"/>
    <w:rsid w:val="006616E8"/>
    <w:rsid w:val="006946CE"/>
    <w:rsid w:val="006B06AA"/>
    <w:rsid w:val="006F59C3"/>
    <w:rsid w:val="0070275B"/>
    <w:rsid w:val="00734A9F"/>
    <w:rsid w:val="007454E5"/>
    <w:rsid w:val="007B4479"/>
    <w:rsid w:val="007B6BBB"/>
    <w:rsid w:val="007E003E"/>
    <w:rsid w:val="00846BEF"/>
    <w:rsid w:val="00847829"/>
    <w:rsid w:val="008709BA"/>
    <w:rsid w:val="00887AC7"/>
    <w:rsid w:val="008B0024"/>
    <w:rsid w:val="008D38DD"/>
    <w:rsid w:val="008F0ECE"/>
    <w:rsid w:val="009A215B"/>
    <w:rsid w:val="009B0F25"/>
    <w:rsid w:val="009C33F0"/>
    <w:rsid w:val="009D10FC"/>
    <w:rsid w:val="009D38C2"/>
    <w:rsid w:val="00A274DC"/>
    <w:rsid w:val="00A567F1"/>
    <w:rsid w:val="00A60A28"/>
    <w:rsid w:val="00A91901"/>
    <w:rsid w:val="00B40BBD"/>
    <w:rsid w:val="00B4457E"/>
    <w:rsid w:val="00B76567"/>
    <w:rsid w:val="00B81FA7"/>
    <w:rsid w:val="00BC0D90"/>
    <w:rsid w:val="00BD6BC3"/>
    <w:rsid w:val="00C365D4"/>
    <w:rsid w:val="00C7470B"/>
    <w:rsid w:val="00C778D0"/>
    <w:rsid w:val="00CB3FD3"/>
    <w:rsid w:val="00CD5016"/>
    <w:rsid w:val="00D25476"/>
    <w:rsid w:val="00D40C4E"/>
    <w:rsid w:val="00D9678E"/>
    <w:rsid w:val="00DB3675"/>
    <w:rsid w:val="00DC5C92"/>
    <w:rsid w:val="00DD6C24"/>
    <w:rsid w:val="00E6631F"/>
    <w:rsid w:val="00F23B99"/>
    <w:rsid w:val="00F241C0"/>
    <w:rsid w:val="00F8056B"/>
    <w:rsid w:val="00F86302"/>
    <w:rsid w:val="00FF3D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5F"/>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67F1"/>
    <w:rPr>
      <w:b/>
      <w:bCs/>
    </w:rPr>
  </w:style>
  <w:style w:type="paragraph" w:styleId="a4">
    <w:name w:val="header"/>
    <w:basedOn w:val="a"/>
    <w:link w:val="Char"/>
    <w:uiPriority w:val="99"/>
    <w:unhideWhenUsed/>
    <w:rsid w:val="00734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4A9F"/>
    <w:rPr>
      <w:noProof/>
      <w:sz w:val="18"/>
      <w:szCs w:val="18"/>
    </w:rPr>
  </w:style>
  <w:style w:type="paragraph" w:styleId="a5">
    <w:name w:val="footer"/>
    <w:basedOn w:val="a"/>
    <w:link w:val="Char0"/>
    <w:uiPriority w:val="99"/>
    <w:unhideWhenUsed/>
    <w:rsid w:val="00734A9F"/>
    <w:pPr>
      <w:tabs>
        <w:tab w:val="center" w:pos="4153"/>
        <w:tab w:val="right" w:pos="8306"/>
      </w:tabs>
      <w:snapToGrid w:val="0"/>
      <w:jc w:val="left"/>
    </w:pPr>
    <w:rPr>
      <w:sz w:val="18"/>
      <w:szCs w:val="18"/>
    </w:rPr>
  </w:style>
  <w:style w:type="character" w:customStyle="1" w:styleId="Char0">
    <w:name w:val="页脚 Char"/>
    <w:basedOn w:val="a0"/>
    <w:link w:val="a5"/>
    <w:uiPriority w:val="99"/>
    <w:rsid w:val="00734A9F"/>
    <w:rPr>
      <w:noProof/>
      <w:sz w:val="18"/>
      <w:szCs w:val="18"/>
    </w:rPr>
  </w:style>
  <w:style w:type="paragraph" w:styleId="a6">
    <w:name w:val="Balloon Text"/>
    <w:basedOn w:val="a"/>
    <w:link w:val="Char1"/>
    <w:uiPriority w:val="99"/>
    <w:semiHidden/>
    <w:unhideWhenUsed/>
    <w:rsid w:val="00734A9F"/>
    <w:rPr>
      <w:sz w:val="18"/>
      <w:szCs w:val="18"/>
    </w:rPr>
  </w:style>
  <w:style w:type="character" w:customStyle="1" w:styleId="Char1">
    <w:name w:val="批注框文本 Char"/>
    <w:basedOn w:val="a0"/>
    <w:link w:val="a6"/>
    <w:uiPriority w:val="99"/>
    <w:semiHidden/>
    <w:rsid w:val="00734A9F"/>
    <w:rPr>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4</DocSecurity>
  <Lines>9</Lines>
  <Paragraphs>2</Paragraphs>
  <ScaleCrop>false</ScaleCrop>
  <Company>E FUND</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梁虹</dc:creator>
  <cp:keywords/>
  <dc:description/>
  <cp:lastModifiedBy>JonMMx 2000</cp:lastModifiedBy>
  <cp:revision>2</cp:revision>
  <dcterms:created xsi:type="dcterms:W3CDTF">2019-11-05T16:01:00Z</dcterms:created>
  <dcterms:modified xsi:type="dcterms:W3CDTF">2019-11-05T16:01:00Z</dcterms:modified>
</cp:coreProperties>
</file>