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43" w:rsidRDefault="00B95A43">
      <w:pPr>
        <w:pStyle w:val="msonormalfy"/>
      </w:pPr>
    </w:p>
    <w:p w:rsidR="00B95A43" w:rsidRDefault="00B95A43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  <w:szCs w:val="24"/>
        </w:rPr>
      </w:pPr>
    </w:p>
    <w:p w:rsidR="00B95A43" w:rsidRDefault="00B95A43">
      <w:pPr>
        <w:pStyle w:val="msonormalfy"/>
        <w:rPr>
          <w:rFonts w:hint="eastAsia"/>
        </w:rPr>
      </w:pPr>
      <w:r>
        <w:rPr>
          <w:b/>
          <w:bCs/>
        </w:rPr>
        <w:t>东兴未来价值灵活配置混合型证券投资基金封闭期内每周净值公告</w:t>
      </w:r>
    </w:p>
    <w:p w:rsidR="00B95A43" w:rsidRDefault="00B95A43">
      <w:pPr>
        <w:pStyle w:val="biaogecenter"/>
      </w:pPr>
    </w:p>
    <w:p w:rsidR="00B95A43" w:rsidRDefault="00B95A43">
      <w:pPr>
        <w:pStyle w:val="biaogecenter"/>
        <w:rPr>
          <w:rFonts w:hint="eastAsia"/>
        </w:rPr>
      </w:pPr>
    </w:p>
    <w:p w:rsidR="00B95A43" w:rsidRDefault="00B95A43">
      <w:pPr>
        <w:pStyle w:val="msonormalfy"/>
        <w:rPr>
          <w:rFonts w:hint="eastAsia"/>
        </w:rPr>
      </w:pPr>
      <w:r>
        <w:rPr>
          <w:b/>
          <w:bCs/>
        </w:rPr>
        <w:t>估值日期：</w:t>
      </w:r>
      <w:r>
        <w:rPr>
          <w:b/>
          <w:bCs/>
        </w:rPr>
        <w:t>2019</w:t>
      </w:r>
      <w:r>
        <w:rPr>
          <w:b/>
          <w:bCs/>
        </w:rPr>
        <w:t>年</w:t>
      </w:r>
      <w:r>
        <w:rPr>
          <w:b/>
          <w:bCs/>
        </w:rPr>
        <w:t>10</w:t>
      </w:r>
      <w:r>
        <w:rPr>
          <w:b/>
          <w:bCs/>
        </w:rPr>
        <w:t>月</w:t>
      </w:r>
      <w:r>
        <w:rPr>
          <w:b/>
          <w:bCs/>
        </w:rPr>
        <w:t>24</w:t>
      </w:r>
      <w:r>
        <w:rPr>
          <w:b/>
          <w:bCs/>
        </w:rPr>
        <w:t>日</w:t>
      </w:r>
    </w:p>
    <w:p w:rsidR="00B95A43" w:rsidRDefault="00B95A43">
      <w:pPr>
        <w:pStyle w:val="biaogecenter"/>
      </w:pPr>
    </w:p>
    <w:p w:rsidR="00B95A43" w:rsidRDefault="00B95A43">
      <w:pPr>
        <w:pStyle w:val="msonormalfy"/>
        <w:rPr>
          <w:rFonts w:hint="eastAsia"/>
        </w:rPr>
      </w:pPr>
      <w:r>
        <w:rPr>
          <w:b/>
          <w:bCs/>
        </w:rPr>
        <w:t>公告送出日期：</w:t>
      </w:r>
      <w:r>
        <w:rPr>
          <w:b/>
          <w:bCs/>
        </w:rPr>
        <w:t>2019</w:t>
      </w:r>
      <w:r>
        <w:rPr>
          <w:b/>
          <w:bCs/>
        </w:rPr>
        <w:t>年</w:t>
      </w:r>
      <w:r>
        <w:rPr>
          <w:b/>
          <w:bCs/>
        </w:rPr>
        <w:t>10</w:t>
      </w:r>
      <w:r>
        <w:rPr>
          <w:b/>
          <w:bCs/>
        </w:rPr>
        <w:t>月</w:t>
      </w:r>
      <w:r>
        <w:rPr>
          <w:b/>
          <w:bCs/>
        </w:rPr>
        <w:t>25</w:t>
      </w:r>
      <w:r>
        <w:rPr>
          <w:b/>
          <w:bCs/>
        </w:rPr>
        <w:t>日</w:t>
      </w:r>
    </w:p>
    <w:p w:rsidR="00B95A43" w:rsidRDefault="00B95A43">
      <w:pPr>
        <w:pStyle w:val="biaogecenter"/>
      </w:pPr>
    </w:p>
    <w:p w:rsidR="00B95A43" w:rsidRDefault="00B95A43">
      <w:pPr>
        <w:widowControl/>
        <w:autoSpaceDE w:val="0"/>
        <w:autoSpaceDN w:val="0"/>
        <w:adjustRightInd w:val="0"/>
        <w:spacing w:line="288" w:lineRule="auto"/>
        <w:jc w:val="right"/>
        <w:divId w:val="1462068615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金额单位：人民币元</w:t>
      </w:r>
    </w:p>
    <w:tbl>
      <w:tblPr>
        <w:tblW w:w="9045" w:type="dxa"/>
        <w:tblInd w:w="108" w:type="dxa"/>
        <w:tblLook w:val="04A0"/>
      </w:tblPr>
      <w:tblGrid>
        <w:gridCol w:w="3617"/>
        <w:gridCol w:w="2714"/>
        <w:gridCol w:w="2714"/>
      </w:tblGrid>
      <w:tr w:rsidR="00B95A43" w:rsidRPr="0019239C">
        <w:trPr>
          <w:divId w:val="303507493"/>
        </w:trPr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东兴未来价值灵活配置混合型证券投资基金</w:t>
            </w:r>
          </w:p>
        </w:tc>
      </w:tr>
      <w:tr w:rsidR="00B95A43" w:rsidRPr="0019239C">
        <w:trPr>
          <w:divId w:val="303507493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东兴未来价值混合</w:t>
            </w:r>
          </w:p>
        </w:tc>
      </w:tr>
      <w:tr w:rsidR="00B95A43" w:rsidRPr="0019239C">
        <w:trPr>
          <w:divId w:val="303507493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004695</w:t>
            </w:r>
          </w:p>
        </w:tc>
      </w:tr>
      <w:tr w:rsidR="00B95A43" w:rsidRPr="0019239C">
        <w:trPr>
          <w:divId w:val="303507493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基金管理人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东兴证券股份有限公司</w:t>
            </w:r>
          </w:p>
        </w:tc>
      </w:tr>
      <w:tr w:rsidR="00B95A43" w:rsidRPr="0019239C">
        <w:trPr>
          <w:divId w:val="303507493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基金管理人代码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51100000</w:t>
            </w:r>
          </w:p>
        </w:tc>
      </w:tr>
      <w:tr w:rsidR="00B95A43" w:rsidRPr="0019239C">
        <w:trPr>
          <w:divId w:val="303507493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基金托管人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兴业银行股份有限公司</w:t>
            </w:r>
          </w:p>
        </w:tc>
      </w:tr>
      <w:tr w:rsidR="00B95A43" w:rsidRPr="0019239C">
        <w:trPr>
          <w:divId w:val="303507493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基金托管人代码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20120000</w:t>
            </w:r>
          </w:p>
        </w:tc>
      </w:tr>
      <w:tr w:rsidR="00B95A43" w:rsidRPr="0019239C">
        <w:trPr>
          <w:divId w:val="303507493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下属各类别基金的基金简称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东兴未来价值混合A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东兴未来价值混合C</w:t>
            </w:r>
          </w:p>
        </w:tc>
      </w:tr>
      <w:tr w:rsidR="00B95A43" w:rsidRPr="0019239C">
        <w:trPr>
          <w:divId w:val="303507493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下属各类别基金的交易代码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004695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007550</w:t>
            </w:r>
          </w:p>
        </w:tc>
      </w:tr>
      <w:tr w:rsidR="00B95A43" w:rsidRPr="0019239C">
        <w:trPr>
          <w:divId w:val="303507493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下属各类别基金的份额净值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1.0067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1.0064</w:t>
            </w:r>
          </w:p>
        </w:tc>
      </w:tr>
      <w:tr w:rsidR="00B95A43" w:rsidRPr="0019239C">
        <w:trPr>
          <w:divId w:val="303507493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下属各类别基金的份额累计净值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1.0067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1.0064</w:t>
            </w:r>
          </w:p>
        </w:tc>
      </w:tr>
      <w:tr w:rsidR="00B95A43" w:rsidRPr="0019239C">
        <w:trPr>
          <w:divId w:val="303507493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pStyle w:val="biaogeleft"/>
              <w:wordWrap w:val="0"/>
            </w:pPr>
            <w:r>
              <w:rPr>
                <w:rFonts w:hint="eastAsia"/>
              </w:rPr>
              <w:t>基金实施分红等事项的特别说明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4A0"/>
            </w:tblPr>
            <w:tblGrid>
              <w:gridCol w:w="2704"/>
              <w:gridCol w:w="1622"/>
              <w:gridCol w:w="1082"/>
            </w:tblGrid>
            <w:tr w:rsidR="00B95A43" w:rsidRPr="0019239C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B95A43" w:rsidRDefault="00B95A43">
                  <w:pPr>
                    <w:pStyle w:val="biaogecenter"/>
                    <w:wordWrap w:val="0"/>
                  </w:pPr>
                  <w:r>
                    <w:rPr>
                      <w:rFonts w:hAnsi="Calibri" w:hint="eastAsia"/>
                      <w:color w:val="000000"/>
                    </w:rPr>
                    <w:t>除息日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B95A43" w:rsidRDefault="00B95A43">
                  <w:pPr>
                    <w:pStyle w:val="biaogecenter"/>
                    <w:wordWrap w:val="0"/>
                  </w:pPr>
                  <w:r>
                    <w:rPr>
                      <w:rFonts w:hAnsi="Calibri" w:hint="eastAsia"/>
                      <w:color w:val="000000"/>
                    </w:rPr>
                    <w:t>分红金额 （单位：元/10份基金份额）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B95A43" w:rsidRDefault="00B95A43">
                  <w:pPr>
                    <w:pStyle w:val="biaogecenter"/>
                    <w:wordWrap w:val="0"/>
                  </w:pPr>
                  <w:r>
                    <w:rPr>
                      <w:rFonts w:hAnsi="Calibri" w:hint="eastAsia"/>
                      <w:color w:val="000000"/>
                    </w:rPr>
                    <w:t>其他事项说明</w:t>
                  </w:r>
                </w:p>
              </w:tc>
            </w:tr>
          </w:tbl>
          <w:p w:rsidR="00B95A43" w:rsidRDefault="00B95A4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5A43" w:rsidRPr="0019239C">
        <w:trPr>
          <w:divId w:val="303507493"/>
        </w:trPr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43" w:rsidRDefault="00B95A43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4A0"/>
            </w:tblPr>
            <w:tblGrid>
              <w:gridCol w:w="1352"/>
              <w:gridCol w:w="1352"/>
              <w:gridCol w:w="1622"/>
              <w:gridCol w:w="1082"/>
            </w:tblGrid>
            <w:tr w:rsidR="00B95A43" w:rsidRPr="0019239C"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B95A43" w:rsidRDefault="00B95A43">
                  <w:pPr>
                    <w:pStyle w:val="biaogeleft"/>
                    <w:wordWrap w:val="0"/>
                  </w:pPr>
                  <w:r>
                    <w:rPr>
                      <w:rFonts w:hint="eastAsia"/>
                    </w:rPr>
                    <w:t>(场内)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B95A43" w:rsidRDefault="00B95A43">
                  <w:pPr>
                    <w:pStyle w:val="biaogeleft"/>
                    <w:wordWrap w:val="0"/>
                  </w:pPr>
                  <w:r>
                    <w:rPr>
                      <w:rFonts w:hint="eastAsia"/>
                    </w:rPr>
                    <w:t>(场外)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B95A43" w:rsidRDefault="00B95A43">
                  <w:pPr>
                    <w:pStyle w:val="biaogeleft"/>
                    <w:wordWrap w:val="0"/>
                  </w:pPr>
                  <w:r>
                    <w:rPr>
                      <w:rFonts w:hint="eastAsia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B95A43" w:rsidRDefault="00B95A43">
                  <w:pPr>
                    <w:pStyle w:val="biaogeleft"/>
                    <w:wordWrap w:val="0"/>
                  </w:pPr>
                  <w:r>
                    <w:rPr>
                      <w:rFonts w:hint="eastAsia"/>
                    </w:rPr>
                    <w:t xml:space="preserve">- </w:t>
                  </w:r>
                </w:p>
              </w:tc>
            </w:tr>
          </w:tbl>
          <w:p w:rsidR="00B95A43" w:rsidRDefault="00B95A43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B95A43" w:rsidRDefault="00B95A43">
      <w:pPr>
        <w:widowControl/>
        <w:jc w:val="left"/>
        <w:divId w:val="303507493"/>
        <w:rPr>
          <w:rFonts w:ascii="宋体" w:hAnsi="宋体" w:cs="宋体" w:hint="eastAsia"/>
          <w:kern w:val="0"/>
          <w:sz w:val="24"/>
          <w:szCs w:val="24"/>
        </w:rPr>
      </w:pPr>
    </w:p>
    <w:sectPr w:rsidR="00B95A43">
      <w:pgSz w:w="11926" w:h="16867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A43" w:rsidRDefault="00B95A43" w:rsidP="0019239C">
      <w:r>
        <w:separator/>
      </w:r>
    </w:p>
  </w:endnote>
  <w:endnote w:type="continuationSeparator" w:id="1">
    <w:p w:rsidR="00B95A43" w:rsidRDefault="00B95A43" w:rsidP="0019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A43" w:rsidRDefault="00B95A43" w:rsidP="0019239C">
      <w:r>
        <w:separator/>
      </w:r>
    </w:p>
  </w:footnote>
  <w:footnote w:type="continuationSeparator" w:id="1">
    <w:p w:rsidR="00B95A43" w:rsidRDefault="00B95A43" w:rsidP="00192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9C"/>
    <w:rsid w:val="0019239C"/>
    <w:rsid w:val="001F1FE0"/>
    <w:rsid w:val="00B9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kern w:val="2"/>
      <w:sz w:val="29"/>
      <w:szCs w:val="22"/>
    </w:rPr>
  </w:style>
  <w:style w:type="paragraph" w:customStyle="1" w:styleId="msonormal2">
    <w:name w:val="msonormal2"/>
    <w:qFormat/>
    <w:pPr>
      <w:widowControl w:val="0"/>
      <w:jc w:val="center"/>
    </w:pPr>
    <w:rPr>
      <w:kern w:val="2"/>
      <w:sz w:val="21"/>
      <w:szCs w:val="22"/>
    </w:rPr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hAnsi="Times New Roman" w:cs="Times New Roman" w:hint="default"/>
      <w:sz w:val="18"/>
      <w:szCs w:val="18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8615">
          <w:marLeft w:val="15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4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JonMMx 2000</cp:lastModifiedBy>
  <cp:revision>2</cp:revision>
  <dcterms:created xsi:type="dcterms:W3CDTF">2019-10-24T16:01:00Z</dcterms:created>
  <dcterms:modified xsi:type="dcterms:W3CDTF">2019-10-24T16:01:00Z</dcterms:modified>
</cp:coreProperties>
</file>