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015374" w:rsidRDefault="004061AC" w:rsidP="004061AC">
      <w:pPr>
        <w:autoSpaceDE w:val="0"/>
        <w:autoSpaceDN w:val="0"/>
        <w:adjustRightInd w:val="0"/>
        <w:spacing w:line="360" w:lineRule="auto"/>
        <w:jc w:val="left"/>
        <w:rPr>
          <w:color w:val="000000" w:themeColor="text1"/>
          <w:kern w:val="0"/>
        </w:rPr>
      </w:pPr>
    </w:p>
    <w:p w:rsidR="004061AC" w:rsidRPr="00015374" w:rsidRDefault="004061AC" w:rsidP="004061AC">
      <w:pPr>
        <w:autoSpaceDE w:val="0"/>
        <w:autoSpaceDN w:val="0"/>
        <w:adjustRightInd w:val="0"/>
        <w:spacing w:line="360" w:lineRule="auto"/>
        <w:jc w:val="left"/>
        <w:rPr>
          <w:color w:val="000000" w:themeColor="text1"/>
          <w:kern w:val="0"/>
        </w:rPr>
      </w:pPr>
    </w:p>
    <w:p w:rsidR="004061AC" w:rsidRPr="00015374" w:rsidRDefault="004061AC" w:rsidP="004061AC">
      <w:pPr>
        <w:autoSpaceDE w:val="0"/>
        <w:autoSpaceDN w:val="0"/>
        <w:adjustRightInd w:val="0"/>
        <w:spacing w:line="360" w:lineRule="auto"/>
        <w:jc w:val="left"/>
        <w:rPr>
          <w:color w:val="000000" w:themeColor="text1"/>
          <w:kern w:val="0"/>
        </w:rPr>
      </w:pPr>
    </w:p>
    <w:p w:rsidR="000C1E17" w:rsidRPr="00015374" w:rsidRDefault="000C1E17" w:rsidP="004061AC">
      <w:pPr>
        <w:autoSpaceDE w:val="0"/>
        <w:autoSpaceDN w:val="0"/>
        <w:adjustRightInd w:val="0"/>
        <w:spacing w:line="360" w:lineRule="auto"/>
        <w:jc w:val="left"/>
        <w:rPr>
          <w:color w:val="000000" w:themeColor="text1"/>
          <w:kern w:val="0"/>
        </w:rPr>
      </w:pPr>
    </w:p>
    <w:p w:rsidR="000C1E17" w:rsidRPr="00015374" w:rsidRDefault="000C1E17" w:rsidP="004061AC">
      <w:pPr>
        <w:autoSpaceDE w:val="0"/>
        <w:autoSpaceDN w:val="0"/>
        <w:adjustRightInd w:val="0"/>
        <w:spacing w:line="360" w:lineRule="auto"/>
        <w:jc w:val="left"/>
        <w:rPr>
          <w:color w:val="000000" w:themeColor="text1"/>
          <w:kern w:val="0"/>
        </w:rPr>
      </w:pPr>
    </w:p>
    <w:p w:rsidR="0057060B" w:rsidRDefault="00185132">
      <w:pPr>
        <w:spacing w:line="360" w:lineRule="auto"/>
        <w:jc w:val="center"/>
        <w:rPr>
          <w:b/>
          <w:bCs/>
          <w:sz w:val="44"/>
          <w:szCs w:val="44"/>
        </w:rPr>
      </w:pPr>
      <w:r>
        <w:rPr>
          <w:b/>
          <w:bCs/>
          <w:sz w:val="44"/>
          <w:szCs w:val="44"/>
        </w:rPr>
        <w:t>上证主要消费交易型开放式指数发起式</w:t>
      </w:r>
    </w:p>
    <w:p w:rsidR="002279D3" w:rsidRPr="00015374" w:rsidRDefault="002279D3" w:rsidP="00542546">
      <w:pPr>
        <w:spacing w:line="360" w:lineRule="auto"/>
        <w:jc w:val="center"/>
        <w:rPr>
          <w:b/>
          <w:bCs/>
          <w:sz w:val="44"/>
          <w:szCs w:val="44"/>
        </w:rPr>
      </w:pPr>
      <w:r w:rsidRPr="00015374">
        <w:rPr>
          <w:b/>
          <w:bCs/>
          <w:sz w:val="44"/>
          <w:szCs w:val="44"/>
        </w:rPr>
        <w:t>证券投资基金</w:t>
      </w:r>
    </w:p>
    <w:p w:rsidR="009111AA" w:rsidRPr="005F24A1" w:rsidRDefault="002279D3" w:rsidP="005F24A1">
      <w:pPr>
        <w:spacing w:line="360" w:lineRule="auto"/>
        <w:jc w:val="center"/>
        <w:rPr>
          <w:b/>
          <w:bCs/>
          <w:sz w:val="44"/>
          <w:szCs w:val="44"/>
        </w:rPr>
      </w:pPr>
      <w:r w:rsidRPr="00015374">
        <w:rPr>
          <w:b/>
          <w:bCs/>
          <w:sz w:val="44"/>
          <w:szCs w:val="44"/>
        </w:rPr>
        <w:t>2019</w:t>
      </w:r>
      <w:r w:rsidRPr="00015374">
        <w:rPr>
          <w:b/>
          <w:bCs/>
          <w:sz w:val="44"/>
          <w:szCs w:val="44"/>
        </w:rPr>
        <w:t>年第</w:t>
      </w:r>
      <w:r w:rsidRPr="00015374">
        <w:rPr>
          <w:b/>
          <w:bCs/>
          <w:sz w:val="44"/>
          <w:szCs w:val="44"/>
        </w:rPr>
        <w:t>3</w:t>
      </w:r>
      <w:r w:rsidRPr="00015374">
        <w:rPr>
          <w:b/>
          <w:bCs/>
          <w:sz w:val="44"/>
          <w:szCs w:val="44"/>
        </w:rPr>
        <w:t>季度报告</w:t>
      </w:r>
    </w:p>
    <w:p w:rsidR="004061AC" w:rsidRPr="005F24A1" w:rsidRDefault="00655CD8" w:rsidP="00542546">
      <w:pPr>
        <w:spacing w:line="360" w:lineRule="auto"/>
        <w:jc w:val="center"/>
        <w:rPr>
          <w:b/>
          <w:bCs/>
          <w:sz w:val="44"/>
          <w:szCs w:val="44"/>
        </w:rPr>
      </w:pPr>
      <w:r w:rsidRPr="005F24A1">
        <w:rPr>
          <w:b/>
          <w:bCs/>
          <w:sz w:val="44"/>
          <w:szCs w:val="44"/>
        </w:rPr>
        <w:t>2019</w:t>
      </w:r>
      <w:r w:rsidRPr="005F24A1">
        <w:rPr>
          <w:b/>
          <w:bCs/>
          <w:sz w:val="44"/>
          <w:szCs w:val="44"/>
        </w:rPr>
        <w:t>年</w:t>
      </w:r>
      <w:r w:rsidRPr="005F24A1">
        <w:rPr>
          <w:b/>
          <w:bCs/>
          <w:sz w:val="44"/>
          <w:szCs w:val="44"/>
        </w:rPr>
        <w:t>9</w:t>
      </w:r>
      <w:r w:rsidRPr="005F24A1">
        <w:rPr>
          <w:b/>
          <w:bCs/>
          <w:sz w:val="44"/>
          <w:szCs w:val="44"/>
        </w:rPr>
        <w:t>月</w:t>
      </w:r>
      <w:r w:rsidRPr="005F24A1">
        <w:rPr>
          <w:b/>
          <w:bCs/>
          <w:sz w:val="44"/>
          <w:szCs w:val="44"/>
        </w:rPr>
        <w:t>30</w:t>
      </w:r>
      <w:r w:rsidRPr="005F24A1">
        <w:rPr>
          <w:b/>
          <w:bCs/>
          <w:sz w:val="44"/>
          <w:szCs w:val="44"/>
        </w:rPr>
        <w:t>日</w:t>
      </w: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rPr>
          <w:b/>
          <w:bCs/>
          <w:color w:val="000000" w:themeColor="text1"/>
        </w:rPr>
      </w:pPr>
    </w:p>
    <w:p w:rsidR="004061AC" w:rsidRPr="00015374" w:rsidRDefault="004061AC" w:rsidP="009111AA">
      <w:pPr>
        <w:spacing w:line="360" w:lineRule="auto"/>
        <w:ind w:firstLine="2640"/>
        <w:rPr>
          <w:sz w:val="24"/>
          <w:szCs w:val="24"/>
        </w:rPr>
      </w:pPr>
      <w:r w:rsidRPr="00015374">
        <w:rPr>
          <w:sz w:val="24"/>
          <w:szCs w:val="24"/>
        </w:rPr>
        <w:t>基金管理人：华夏基金管理有限公司</w:t>
      </w:r>
    </w:p>
    <w:p w:rsidR="004061AC" w:rsidRPr="00015374" w:rsidRDefault="004061AC" w:rsidP="009111AA">
      <w:pPr>
        <w:spacing w:line="360" w:lineRule="auto"/>
        <w:ind w:firstLine="2640"/>
        <w:rPr>
          <w:sz w:val="24"/>
          <w:szCs w:val="24"/>
        </w:rPr>
      </w:pPr>
      <w:r w:rsidRPr="00015374">
        <w:rPr>
          <w:sz w:val="24"/>
          <w:szCs w:val="24"/>
        </w:rPr>
        <w:t>基金托管人：中国建设银行股份有限公司</w:t>
      </w:r>
    </w:p>
    <w:p w:rsidR="004061AC" w:rsidRPr="00015374" w:rsidRDefault="004061AC" w:rsidP="009111AA">
      <w:pPr>
        <w:spacing w:line="360" w:lineRule="auto"/>
        <w:ind w:firstLine="2640"/>
        <w:rPr>
          <w:sz w:val="24"/>
          <w:szCs w:val="24"/>
        </w:rPr>
        <w:sectPr w:rsidR="004061AC" w:rsidRPr="00015374" w:rsidSect="00304A12">
          <w:pgSz w:w="11926" w:h="15840"/>
          <w:pgMar w:top="1418" w:right="1418" w:bottom="851" w:left="1418" w:header="851" w:footer="992" w:gutter="0"/>
          <w:cols w:space="720"/>
          <w:noEndnote/>
        </w:sectPr>
      </w:pPr>
      <w:r w:rsidRPr="00015374">
        <w:rPr>
          <w:sz w:val="24"/>
          <w:szCs w:val="24"/>
        </w:rPr>
        <w:t>报告送出日期：</w:t>
      </w:r>
      <w:r w:rsidR="00F16E3F" w:rsidRPr="00015374">
        <w:rPr>
          <w:sz w:val="24"/>
          <w:szCs w:val="24"/>
        </w:rPr>
        <w:t>二〇一九年十月二十二日</w:t>
      </w:r>
    </w:p>
    <w:p w:rsidR="004061AC" w:rsidRPr="00015374" w:rsidRDefault="004061AC" w:rsidP="009111AA">
      <w:pPr>
        <w:pStyle w:val="2"/>
        <w:pageBreakBefore/>
        <w:spacing w:line="416" w:lineRule="auto"/>
        <w:jc w:val="center"/>
        <w:rPr>
          <w:rStyle w:val="2CharCharChar"/>
          <w:rFonts w:ascii="Times New Roman" w:hAnsi="Times New Roman"/>
          <w:b/>
          <w:szCs w:val="24"/>
        </w:rPr>
      </w:pPr>
      <w:r w:rsidRPr="00015374">
        <w:rPr>
          <w:rStyle w:val="2CharCharChar"/>
          <w:rFonts w:ascii="Times New Roman" w:hAnsi="Times New Roman"/>
          <w:b/>
          <w:szCs w:val="24"/>
        </w:rPr>
        <w:lastRenderedPageBreak/>
        <w:t>§</w:t>
      </w:r>
      <w:r w:rsidR="00240FF5" w:rsidRPr="00015374">
        <w:rPr>
          <w:rStyle w:val="2CharCharChar"/>
          <w:rFonts w:ascii="Times New Roman" w:hAnsi="Times New Roman"/>
          <w:b/>
          <w:szCs w:val="24"/>
        </w:rPr>
        <w:t xml:space="preserve">1 </w:t>
      </w:r>
      <w:r w:rsidRPr="00015374">
        <w:rPr>
          <w:rStyle w:val="2CharCharChar"/>
          <w:rFonts w:ascii="Times New Roman" w:hAnsi="Times New Roman"/>
          <w:b/>
          <w:szCs w:val="24"/>
        </w:rPr>
        <w:t>重要提示</w:t>
      </w:r>
    </w:p>
    <w:p w:rsidR="0057060B" w:rsidRDefault="00185132">
      <w:pPr>
        <w:pStyle w:val="11"/>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57060B" w:rsidRDefault="00185132">
      <w:pPr>
        <w:pStyle w:val="11"/>
        <w:spacing w:line="360" w:lineRule="auto"/>
        <w:ind w:firstLine="420"/>
        <w:jc w:val="left"/>
        <w:rPr>
          <w:szCs w:val="21"/>
        </w:rPr>
      </w:pPr>
      <w:r>
        <w:rPr>
          <w:szCs w:val="21"/>
        </w:rPr>
        <w:t>基金托管人中国建设银行股份有限公司根据本基金合同规定，于</w:t>
      </w:r>
      <w:r>
        <w:rPr>
          <w:szCs w:val="21"/>
        </w:rPr>
        <w:t>2019</w:t>
      </w:r>
      <w:r>
        <w:rPr>
          <w:szCs w:val="21"/>
        </w:rPr>
        <w:t>年</w:t>
      </w:r>
      <w:r>
        <w:rPr>
          <w:szCs w:val="21"/>
        </w:rPr>
        <w:t>10</w:t>
      </w:r>
      <w:r>
        <w:rPr>
          <w:szCs w:val="21"/>
        </w:rPr>
        <w:t>月</w:t>
      </w:r>
      <w:r>
        <w:rPr>
          <w:szCs w:val="21"/>
        </w:rPr>
        <w:t>18</w:t>
      </w:r>
      <w:r>
        <w:rPr>
          <w:szCs w:val="21"/>
        </w:rPr>
        <w:t>日复核了本报告中的财务指标、净值表现和投资组合报告等内容，保证复核内容不存在虚假记载、误导性陈述或者重大遗漏。</w:t>
      </w:r>
    </w:p>
    <w:p w:rsidR="0057060B" w:rsidRDefault="00185132">
      <w:pPr>
        <w:pStyle w:val="11"/>
        <w:spacing w:line="360" w:lineRule="auto"/>
        <w:ind w:firstLine="420"/>
        <w:jc w:val="left"/>
        <w:rPr>
          <w:szCs w:val="21"/>
        </w:rPr>
      </w:pPr>
      <w:r>
        <w:rPr>
          <w:szCs w:val="21"/>
        </w:rPr>
        <w:t>基金管理人承诺以诚实信用、勤勉尽责的原则管理和运用基金资产，但不保证基金一定盈利。</w:t>
      </w:r>
    </w:p>
    <w:p w:rsidR="0057060B" w:rsidRDefault="00185132">
      <w:pPr>
        <w:pStyle w:val="11"/>
        <w:spacing w:line="360" w:lineRule="auto"/>
        <w:ind w:firstLine="420"/>
        <w:jc w:val="left"/>
        <w:rPr>
          <w:szCs w:val="21"/>
        </w:rPr>
      </w:pPr>
      <w:r>
        <w:rPr>
          <w:szCs w:val="21"/>
        </w:rPr>
        <w:t>基金的过往业绩并不代表其未来表现。投资有风险，投资者在作出投资决策前应仔细阅读本基金的招募说明书。</w:t>
      </w:r>
    </w:p>
    <w:p w:rsidR="0057060B" w:rsidRDefault="00185132">
      <w:pPr>
        <w:pStyle w:val="11"/>
        <w:spacing w:line="360" w:lineRule="auto"/>
        <w:ind w:firstLine="420"/>
        <w:jc w:val="left"/>
        <w:rPr>
          <w:szCs w:val="21"/>
        </w:rPr>
      </w:pPr>
      <w:r>
        <w:rPr>
          <w:szCs w:val="21"/>
        </w:rPr>
        <w:t>本报</w:t>
      </w:r>
      <w:r>
        <w:rPr>
          <w:szCs w:val="21"/>
        </w:rPr>
        <w:t>告中财务资料未经审计。</w:t>
      </w:r>
    </w:p>
    <w:p w:rsidR="004061AC" w:rsidRPr="005E657B" w:rsidRDefault="004061AC" w:rsidP="005E657B">
      <w:pPr>
        <w:pStyle w:val="11"/>
        <w:spacing w:line="360" w:lineRule="auto"/>
        <w:ind w:firstLine="420"/>
        <w:jc w:val="left"/>
        <w:rPr>
          <w:szCs w:val="21"/>
        </w:rPr>
      </w:pPr>
      <w:r w:rsidRPr="005E657B">
        <w:rPr>
          <w:szCs w:val="21"/>
        </w:rPr>
        <w:t>本报告期自</w:t>
      </w:r>
      <w:r w:rsidRPr="005E657B">
        <w:rPr>
          <w:szCs w:val="21"/>
        </w:rPr>
        <w:t>2019</w:t>
      </w:r>
      <w:r w:rsidRPr="005E657B">
        <w:rPr>
          <w:szCs w:val="21"/>
        </w:rPr>
        <w:t>年</w:t>
      </w:r>
      <w:r w:rsidRPr="005E657B">
        <w:rPr>
          <w:szCs w:val="21"/>
        </w:rPr>
        <w:t>7</w:t>
      </w:r>
      <w:r w:rsidRPr="005E657B">
        <w:rPr>
          <w:szCs w:val="21"/>
        </w:rPr>
        <w:t>月</w:t>
      </w:r>
      <w:r w:rsidRPr="005E657B">
        <w:rPr>
          <w:szCs w:val="21"/>
        </w:rPr>
        <w:t>1</w:t>
      </w:r>
      <w:r w:rsidRPr="005E657B">
        <w:rPr>
          <w:szCs w:val="21"/>
        </w:rPr>
        <w:t>日起至</w:t>
      </w:r>
      <w:r w:rsidRPr="005E657B">
        <w:rPr>
          <w:szCs w:val="21"/>
        </w:rPr>
        <w:t>9</w:t>
      </w:r>
      <w:r w:rsidRPr="005E657B">
        <w:rPr>
          <w:szCs w:val="21"/>
        </w:rPr>
        <w:t>月</w:t>
      </w:r>
      <w:r w:rsidRPr="005E657B">
        <w:rPr>
          <w:szCs w:val="21"/>
        </w:rPr>
        <w:t>30</w:t>
      </w:r>
      <w:r w:rsidRPr="005E657B">
        <w:rPr>
          <w:szCs w:val="21"/>
        </w:rPr>
        <w:t>日止。</w:t>
      </w:r>
    </w:p>
    <w:p w:rsidR="004061AC" w:rsidRPr="00015374" w:rsidRDefault="004061AC" w:rsidP="009111AA">
      <w:pPr>
        <w:pStyle w:val="2"/>
        <w:pageBreakBefore/>
        <w:spacing w:line="416" w:lineRule="auto"/>
        <w:jc w:val="center"/>
        <w:rPr>
          <w:rStyle w:val="2CharCharChar"/>
          <w:rFonts w:ascii="Times New Roman" w:hAnsi="Times New Roman"/>
          <w:b/>
          <w:szCs w:val="24"/>
        </w:rPr>
      </w:pPr>
      <w:r w:rsidRPr="00015374">
        <w:rPr>
          <w:rStyle w:val="2CharCharChar"/>
          <w:rFonts w:ascii="Times New Roman" w:hAnsi="Times New Roman"/>
          <w:b/>
          <w:szCs w:val="24"/>
        </w:rPr>
        <w:lastRenderedPageBreak/>
        <w:t>§</w:t>
      </w:r>
      <w:r w:rsidR="00240FF5" w:rsidRPr="00015374">
        <w:rPr>
          <w:rStyle w:val="2CharCharChar"/>
          <w:rFonts w:ascii="Times New Roman" w:hAnsi="Times New Roman"/>
          <w:b/>
          <w:szCs w:val="24"/>
        </w:rPr>
        <w:t xml:space="preserve">2 </w:t>
      </w:r>
      <w:r w:rsidRPr="00015374">
        <w:rPr>
          <w:rStyle w:val="2CharCharChar"/>
          <w:rFonts w:ascii="Times New Roman" w:hAnsi="Times New Roman"/>
          <w:b/>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015374" w:rsidTr="00BF6314">
        <w:tc>
          <w:tcPr>
            <w:tcW w:w="2835" w:type="dxa"/>
            <w:vAlign w:val="center"/>
          </w:tcPr>
          <w:p w:rsidR="004061AC" w:rsidRPr="00015374" w:rsidRDefault="004061AC" w:rsidP="00BF6314">
            <w:pPr>
              <w:adjustRightInd w:val="0"/>
              <w:spacing w:before="29" w:line="360" w:lineRule="auto"/>
              <w:ind w:left="17"/>
              <w:rPr>
                <w:color w:val="000000" w:themeColor="text1"/>
                <w:kern w:val="0"/>
              </w:rPr>
            </w:pPr>
            <w:r w:rsidRPr="00015374">
              <w:rPr>
                <w:color w:val="000000" w:themeColor="text1"/>
                <w:kern w:val="0"/>
              </w:rPr>
              <w:t>基金简称</w:t>
            </w:r>
          </w:p>
        </w:tc>
        <w:tc>
          <w:tcPr>
            <w:tcW w:w="5479" w:type="dxa"/>
            <w:vAlign w:val="center"/>
          </w:tcPr>
          <w:p w:rsidR="004061AC" w:rsidRPr="00015374" w:rsidRDefault="004061AC" w:rsidP="00BF6314">
            <w:pPr>
              <w:adjustRightInd w:val="0"/>
              <w:spacing w:before="29" w:line="360" w:lineRule="auto"/>
              <w:ind w:left="17"/>
              <w:rPr>
                <w:color w:val="000000" w:themeColor="text1"/>
                <w:kern w:val="0"/>
              </w:rPr>
            </w:pPr>
            <w:r w:rsidRPr="00015374">
              <w:rPr>
                <w:color w:val="000000" w:themeColor="text1"/>
                <w:kern w:val="0"/>
              </w:rPr>
              <w:t>华夏消费</w:t>
            </w:r>
            <w:r w:rsidRPr="00015374">
              <w:rPr>
                <w:color w:val="000000" w:themeColor="text1"/>
                <w:kern w:val="0"/>
              </w:rPr>
              <w:t>ETF</w:t>
            </w:r>
          </w:p>
        </w:tc>
      </w:tr>
      <w:tr w:rsidR="00220C32" w:rsidRPr="00015374" w:rsidTr="005600C7">
        <w:trPr>
          <w:trHeight w:val="467"/>
        </w:trPr>
        <w:tc>
          <w:tcPr>
            <w:tcW w:w="2835" w:type="dxa"/>
            <w:vAlign w:val="center"/>
          </w:tcPr>
          <w:p w:rsidR="00C37530" w:rsidRPr="00015374" w:rsidRDefault="00C37530" w:rsidP="00C37530">
            <w:pPr>
              <w:rPr>
                <w:color w:val="000000" w:themeColor="text1"/>
              </w:rPr>
            </w:pPr>
            <w:r w:rsidRPr="00015374">
              <w:rPr>
                <w:color w:val="000000" w:themeColor="text1"/>
              </w:rPr>
              <w:t>场内简称</w:t>
            </w:r>
          </w:p>
        </w:tc>
        <w:tc>
          <w:tcPr>
            <w:tcW w:w="5479" w:type="dxa"/>
            <w:vAlign w:val="center"/>
          </w:tcPr>
          <w:p w:rsidR="00C37530" w:rsidRPr="00015374" w:rsidRDefault="00C37530" w:rsidP="00C37530">
            <w:pPr>
              <w:rPr>
                <w:color w:val="000000" w:themeColor="text1"/>
              </w:rPr>
            </w:pPr>
            <w:r w:rsidRPr="00015374">
              <w:rPr>
                <w:color w:val="000000" w:themeColor="text1"/>
              </w:rPr>
              <w:t>消费行业</w:t>
            </w:r>
          </w:p>
        </w:tc>
      </w:tr>
      <w:tr w:rsidR="00220C32" w:rsidRPr="00015374"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015374" w:rsidRDefault="00D94B8D" w:rsidP="00BF6314">
            <w:pPr>
              <w:adjustRightInd w:val="0"/>
              <w:spacing w:before="29" w:line="360" w:lineRule="auto"/>
              <w:ind w:left="17"/>
              <w:rPr>
                <w:color w:val="000000" w:themeColor="text1"/>
                <w:kern w:val="0"/>
              </w:rPr>
            </w:pPr>
            <w:r w:rsidRPr="00015374">
              <w:rPr>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015374" w:rsidRDefault="00D94B8D" w:rsidP="00BF6314">
            <w:pPr>
              <w:adjustRightInd w:val="0"/>
              <w:spacing w:before="29" w:line="360" w:lineRule="auto"/>
              <w:ind w:left="17"/>
              <w:rPr>
                <w:color w:val="000000" w:themeColor="text1"/>
                <w:kern w:val="0"/>
              </w:rPr>
            </w:pPr>
            <w:r w:rsidRPr="00015374">
              <w:rPr>
                <w:color w:val="000000" w:themeColor="text1"/>
                <w:kern w:val="0"/>
              </w:rPr>
              <w:t>510630</w:t>
            </w:r>
          </w:p>
        </w:tc>
      </w:tr>
      <w:tr w:rsidR="00220C32" w:rsidRPr="00015374"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015374" w:rsidRDefault="001B2F35" w:rsidP="00BF6314">
            <w:pPr>
              <w:adjustRightInd w:val="0"/>
              <w:spacing w:before="29" w:line="360" w:lineRule="auto"/>
              <w:ind w:left="17"/>
              <w:rPr>
                <w:color w:val="000000" w:themeColor="text1"/>
                <w:kern w:val="0"/>
              </w:rPr>
            </w:pPr>
            <w:r w:rsidRPr="00015374">
              <w:rPr>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015374" w:rsidRDefault="00C5218C" w:rsidP="00A10146">
            <w:pPr>
              <w:adjustRightInd w:val="0"/>
              <w:spacing w:before="29" w:line="360" w:lineRule="auto"/>
              <w:ind w:left="17"/>
              <w:rPr>
                <w:color w:val="000000" w:themeColor="text1"/>
                <w:kern w:val="0"/>
              </w:rPr>
            </w:pPr>
            <w:r w:rsidRPr="00015374">
              <w:rPr>
                <w:color w:val="000000" w:themeColor="text1"/>
                <w:kern w:val="0"/>
              </w:rPr>
              <w:t>510630</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基金运作方式</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交易型开放式</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基金合同生效日</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2013</w:t>
            </w:r>
            <w:r w:rsidRPr="00015374">
              <w:rPr>
                <w:color w:val="000000" w:themeColor="text1"/>
                <w:kern w:val="0"/>
              </w:rPr>
              <w:t>年</w:t>
            </w:r>
            <w:r w:rsidRPr="00015374">
              <w:rPr>
                <w:color w:val="000000" w:themeColor="text1"/>
                <w:kern w:val="0"/>
              </w:rPr>
              <w:t>3</w:t>
            </w:r>
            <w:r w:rsidRPr="00015374">
              <w:rPr>
                <w:color w:val="000000" w:themeColor="text1"/>
                <w:kern w:val="0"/>
              </w:rPr>
              <w:t>月</w:t>
            </w:r>
            <w:r w:rsidRPr="00015374">
              <w:rPr>
                <w:color w:val="000000" w:themeColor="text1"/>
                <w:kern w:val="0"/>
              </w:rPr>
              <w:t>28</w:t>
            </w:r>
            <w:r w:rsidRPr="00015374">
              <w:rPr>
                <w:color w:val="000000" w:themeColor="text1"/>
                <w:kern w:val="0"/>
              </w:rPr>
              <w:t>日</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报告期末基金份额总额</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81,090,367</w:t>
            </w:r>
            <w:r w:rsidRPr="00015374">
              <w:rPr>
                <w:color w:val="000000" w:themeColor="text1"/>
                <w:kern w:val="0"/>
              </w:rPr>
              <w:t>份</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投资目标</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紧密跟踪标的指数，追求跟踪偏离度和跟踪误差最小化，以期获得与标的指数收益相似的回报。</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投资策略</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主要采取完全复制法及其他合理方法构建基金的股票投资组合，并根据标的指数成份股及权重的变动对股票投资组合进行相应地调整。如市场流动性不足、个别成份股被限制投资等原因导致基金无法获得足够数量的股票时，基金管理人将搭配使用其他合理方法（如买入非成份股等）进行适当的替代。</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业绩比较基准</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本基金业绩比较基准为上证主要消费行业指数。</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风险收益特征</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本基金属于股票基金，风险与收益高于混合基金、债券基金与货币市场基金。基金主要投资于标的指数成份股及备选成份股，在股票基金中属于较高风险、较高收益的产品。</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基金管理人</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华夏基金管理有限公司</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基金托管人</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中国建设银行股份有限公司</w:t>
            </w:r>
          </w:p>
        </w:tc>
      </w:tr>
    </w:tbl>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 xml:space="preserve">3 </w:t>
      </w:r>
      <w:r w:rsidRPr="00015374">
        <w:rPr>
          <w:rStyle w:val="2CharCharChar"/>
          <w:rFonts w:ascii="Times New Roman" w:hAnsi="Times New Roman" w:cs="Times New Roman"/>
          <w:b/>
          <w:szCs w:val="24"/>
        </w:rPr>
        <w:t>主要财务指标和基金净值表现</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3.1 </w:t>
      </w:r>
      <w:r w:rsidRPr="00015374">
        <w:rPr>
          <w:b w:val="0"/>
          <w:sz w:val="21"/>
          <w:szCs w:val="21"/>
        </w:rPr>
        <w:t>主要财务指标</w:t>
      </w:r>
    </w:p>
    <w:p w:rsidR="004061AC" w:rsidRPr="00015374" w:rsidRDefault="004061AC"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220C32" w:rsidRPr="00015374" w:rsidTr="003C15BA">
        <w:tc>
          <w:tcPr>
            <w:tcW w:w="3402" w:type="dxa"/>
            <w:vAlign w:val="center"/>
          </w:tcPr>
          <w:p w:rsidR="00C21520" w:rsidRPr="00015374" w:rsidRDefault="00C21520" w:rsidP="00237F09">
            <w:pPr>
              <w:adjustRightInd w:val="0"/>
              <w:spacing w:before="29" w:line="360" w:lineRule="auto"/>
              <w:ind w:left="17"/>
              <w:jc w:val="center"/>
              <w:rPr>
                <w:color w:val="000000" w:themeColor="text1"/>
                <w:kern w:val="0"/>
              </w:rPr>
            </w:pPr>
            <w:r w:rsidRPr="00015374">
              <w:rPr>
                <w:color w:val="000000" w:themeColor="text1"/>
                <w:kern w:val="0"/>
              </w:rPr>
              <w:t>主要财务指标</w:t>
            </w:r>
          </w:p>
        </w:tc>
        <w:tc>
          <w:tcPr>
            <w:tcW w:w="4962" w:type="dxa"/>
            <w:hMerge w:val="restart"/>
            <w:vAlign w:val="center"/>
          </w:tcPr>
          <w:p w:rsidR="009C60F7" w:rsidRPr="00015374" w:rsidRDefault="009C60F7" w:rsidP="00237F09">
            <w:pPr>
              <w:adjustRightInd w:val="0"/>
              <w:spacing w:before="29" w:line="360" w:lineRule="auto"/>
              <w:ind w:left="17"/>
              <w:jc w:val="center"/>
              <w:rPr>
                <w:color w:val="000000" w:themeColor="text1"/>
              </w:rPr>
            </w:pPr>
            <w:r w:rsidRPr="00015374">
              <w:rPr>
                <w:color w:val="000000" w:themeColor="text1"/>
              </w:rPr>
              <w:t>报告期</w:t>
            </w:r>
          </w:p>
          <w:p w:rsidR="00C21520" w:rsidRPr="00015374" w:rsidRDefault="009C60F7" w:rsidP="00237F09">
            <w:pPr>
              <w:adjustRightInd w:val="0"/>
              <w:spacing w:before="29" w:line="360" w:lineRule="auto"/>
              <w:ind w:left="17"/>
              <w:jc w:val="center"/>
              <w:rPr>
                <w:color w:val="000000" w:themeColor="text1"/>
              </w:rPr>
            </w:pPr>
            <w:r w:rsidRPr="00015374">
              <w:rPr>
                <w:color w:val="000000" w:themeColor="text1"/>
              </w:rPr>
              <w:t>(2019</w:t>
            </w:r>
            <w:r w:rsidRPr="00015374">
              <w:rPr>
                <w:color w:val="000000" w:themeColor="text1"/>
              </w:rPr>
              <w:t>年</w:t>
            </w:r>
            <w:r w:rsidRPr="00015374">
              <w:rPr>
                <w:color w:val="000000" w:themeColor="text1"/>
              </w:rPr>
              <w:t>7</w:t>
            </w:r>
            <w:r w:rsidRPr="00015374">
              <w:rPr>
                <w:color w:val="000000" w:themeColor="text1"/>
              </w:rPr>
              <w:t>月</w:t>
            </w:r>
            <w:r w:rsidRPr="00015374">
              <w:rPr>
                <w:color w:val="000000" w:themeColor="text1"/>
              </w:rPr>
              <w:t>1</w:t>
            </w:r>
            <w:r w:rsidRPr="00015374">
              <w:rPr>
                <w:color w:val="000000" w:themeColor="text1"/>
              </w:rPr>
              <w:t>日</w:t>
            </w:r>
            <w:r w:rsidRPr="00015374">
              <w:rPr>
                <w:color w:val="000000" w:themeColor="text1"/>
              </w:rPr>
              <w:t>-2019</w:t>
            </w:r>
            <w:r w:rsidRPr="00015374">
              <w:rPr>
                <w:color w:val="000000" w:themeColor="text1"/>
              </w:rPr>
              <w:t>年</w:t>
            </w:r>
            <w:r w:rsidRPr="00015374">
              <w:rPr>
                <w:color w:val="000000" w:themeColor="text1"/>
              </w:rPr>
              <w:t>9</w:t>
            </w:r>
            <w:r w:rsidRPr="00015374">
              <w:rPr>
                <w:color w:val="000000" w:themeColor="text1"/>
              </w:rPr>
              <w:t>月</w:t>
            </w:r>
            <w:r w:rsidRPr="00015374">
              <w:rPr>
                <w:color w:val="000000" w:themeColor="text1"/>
              </w:rPr>
              <w:t>30</w:t>
            </w:r>
            <w:r w:rsidRPr="00015374">
              <w:rPr>
                <w:color w:val="000000" w:themeColor="text1"/>
              </w:rPr>
              <w:t>日</w:t>
            </w:r>
            <w:r w:rsidRPr="00015374">
              <w:rPr>
                <w:color w:val="000000" w:themeColor="text1"/>
              </w:rPr>
              <w:t>)</w:t>
            </w:r>
          </w:p>
        </w:tc>
        <w:tc>
          <w:tcPr>
            <w:tcW w:w="2410" w:type="dxa"/>
            <w:hMerge/>
            <w:vAlign w:val="center"/>
          </w:tcPr>
          <w:p w:rsidR="00C21520" w:rsidRPr="00015374" w:rsidRDefault="00C21520" w:rsidP="00237F09">
            <w:pPr>
              <w:adjustRightInd w:val="0"/>
              <w:spacing w:before="29" w:line="360" w:lineRule="auto"/>
              <w:ind w:left="17"/>
              <w:jc w:val="center"/>
              <w:rPr>
                <w:color w:val="000000" w:themeColor="text1"/>
              </w:rPr>
            </w:pPr>
            <w:r w:rsidRPr="00015374">
              <w:rPr>
                <w:color w:val="000000" w:themeColor="text1"/>
              </w:rPr>
              <w:t>上期金额</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1.</w:t>
            </w:r>
            <w:r w:rsidRPr="00015374">
              <w:rPr>
                <w:color w:val="000000" w:themeColor="text1"/>
                <w:kern w:val="0"/>
              </w:rPr>
              <w:t>本期已实现收益</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23,049,114.59</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2.</w:t>
            </w:r>
            <w:r w:rsidRPr="00015374">
              <w:rPr>
                <w:color w:val="000000" w:themeColor="text1"/>
                <w:kern w:val="0"/>
              </w:rPr>
              <w:t>本期利润</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892,763.03</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3.</w:t>
            </w:r>
            <w:r w:rsidRPr="00015374">
              <w:rPr>
                <w:color w:val="000000" w:themeColor="text1"/>
                <w:kern w:val="0"/>
              </w:rPr>
              <w:t>加权平均基金份额本期利润</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0.0109</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4.</w:t>
            </w:r>
            <w:r w:rsidRPr="00015374">
              <w:rPr>
                <w:color w:val="000000" w:themeColor="text1"/>
                <w:kern w:val="0"/>
              </w:rPr>
              <w:t>期末基金资产净值</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236,354,246.19</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rPr>
          <w:trHeight w:val="158"/>
        </w:trPr>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5.</w:t>
            </w:r>
            <w:r w:rsidRPr="00015374">
              <w:rPr>
                <w:color w:val="000000" w:themeColor="text1"/>
                <w:kern w:val="0"/>
              </w:rPr>
              <w:t>期末基金份额净值</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2.9147</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bl>
    <w:p w:rsidR="0057060B" w:rsidRDefault="00185132">
      <w:pPr>
        <w:pStyle w:val="11"/>
        <w:spacing w:line="360" w:lineRule="auto"/>
        <w:ind w:firstLine="420"/>
        <w:jc w:val="left"/>
        <w:rPr>
          <w:szCs w:val="21"/>
        </w:rPr>
      </w:pPr>
      <w:r>
        <w:rPr>
          <w:szCs w:val="21"/>
        </w:rPr>
        <w:t>注：</w:t>
      </w:r>
      <w:r>
        <w:rPr>
          <w:szCs w:val="21"/>
        </w:rPr>
        <w:t>①</w:t>
      </w:r>
      <w:r>
        <w:rPr>
          <w:szCs w:val="21"/>
        </w:rPr>
        <w:t>所述基金业绩指标不包括持有人认购或交易基金的各项费用，计入费用后实际收益水平要低于所列数字。</w:t>
      </w:r>
    </w:p>
    <w:p w:rsidR="004061AC" w:rsidRPr="00015374" w:rsidRDefault="0027159C" w:rsidP="00183BFC">
      <w:pPr>
        <w:pStyle w:val="11"/>
        <w:spacing w:line="360" w:lineRule="auto"/>
        <w:ind w:firstLine="420"/>
        <w:jc w:val="left"/>
        <w:rPr>
          <w:szCs w:val="21"/>
        </w:rPr>
      </w:pPr>
      <w:r w:rsidRPr="00015374">
        <w:rPr>
          <w:szCs w:val="21"/>
        </w:rPr>
        <w:t>②</w:t>
      </w:r>
      <w:r w:rsidRPr="00015374">
        <w:rPr>
          <w:szCs w:val="21"/>
        </w:rPr>
        <w:t>本期已实现收益指基金本期利息收入、投资收益、其他收入（不含公允价值变动收益）扣除相关费用后的余额，本期利润为本期已实现收益加上本期公允价值变动收益。</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3.2 </w:t>
      </w:r>
      <w:r w:rsidRPr="00015374">
        <w:rPr>
          <w:b w:val="0"/>
          <w:sz w:val="21"/>
          <w:szCs w:val="21"/>
        </w:rPr>
        <w:t>基金净值表现</w:t>
      </w:r>
    </w:p>
    <w:p w:rsidR="00CF6572" w:rsidRPr="00015374" w:rsidRDefault="004061AC" w:rsidP="001C6BC2">
      <w:pPr>
        <w:pStyle w:val="3"/>
        <w:spacing w:before="0" w:after="0" w:line="360" w:lineRule="auto"/>
        <w:jc w:val="left"/>
        <w:rPr>
          <w:b w:val="0"/>
          <w:sz w:val="21"/>
          <w:szCs w:val="21"/>
        </w:rPr>
      </w:pPr>
      <w:r w:rsidRPr="00015374">
        <w:rPr>
          <w:b w:val="0"/>
          <w:sz w:val="21"/>
          <w:szCs w:val="21"/>
        </w:rPr>
        <w:t xml:space="preserve">3.2.1 </w:t>
      </w:r>
      <w:r w:rsidRPr="00015374">
        <w:rPr>
          <w:b w:val="0"/>
          <w:sz w:val="21"/>
          <w:szCs w:val="21"/>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148"/>
      </w:tblGrid>
      <w:tr w:rsidR="00220C32" w:rsidRPr="00015374" w:rsidTr="003C15BA">
        <w:tc>
          <w:tcPr>
            <w:tcW w:w="1395"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阶段</w:t>
            </w:r>
          </w:p>
        </w:tc>
        <w:tc>
          <w:tcPr>
            <w:tcW w:w="1092"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净值增长率</w:t>
            </w:r>
            <w:r w:rsidRPr="00015374">
              <w:rPr>
                <w:rFonts w:ascii="宋体" w:hAnsi="宋体" w:cs="宋体" w:hint="eastAsia"/>
                <w:color w:val="000000" w:themeColor="text1"/>
                <w:sz w:val="21"/>
              </w:rPr>
              <w:t>①</w:t>
            </w:r>
          </w:p>
        </w:tc>
        <w:tc>
          <w:tcPr>
            <w:tcW w:w="1161"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净值增长率标准差</w:t>
            </w:r>
            <w:r w:rsidRPr="00015374">
              <w:rPr>
                <w:rFonts w:ascii="宋体" w:hAnsi="宋体" w:cs="宋体" w:hint="eastAsia"/>
                <w:color w:val="000000" w:themeColor="text1"/>
                <w:sz w:val="21"/>
              </w:rPr>
              <w:t>②</w:t>
            </w:r>
          </w:p>
        </w:tc>
        <w:tc>
          <w:tcPr>
            <w:tcW w:w="1181"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业绩比较基准收益率</w:t>
            </w:r>
            <w:r w:rsidRPr="00015374">
              <w:rPr>
                <w:rFonts w:ascii="宋体" w:hAnsi="宋体" w:cs="宋体" w:hint="eastAsia"/>
                <w:color w:val="000000" w:themeColor="text1"/>
                <w:sz w:val="21"/>
              </w:rPr>
              <w:t>③</w:t>
            </w:r>
          </w:p>
        </w:tc>
        <w:tc>
          <w:tcPr>
            <w:tcW w:w="1188"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业绩比较基准收益率标准差</w:t>
            </w:r>
            <w:r w:rsidRPr="00015374">
              <w:rPr>
                <w:rFonts w:ascii="宋体" w:hAnsi="宋体" w:cs="宋体" w:hint="eastAsia"/>
                <w:color w:val="000000" w:themeColor="text1"/>
                <w:sz w:val="21"/>
              </w:rPr>
              <w:t>④</w:t>
            </w:r>
          </w:p>
        </w:tc>
        <w:tc>
          <w:tcPr>
            <w:tcW w:w="1199"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rFonts w:ascii="宋体" w:hAnsi="宋体" w:cs="宋体" w:hint="eastAsia"/>
                <w:color w:val="000000" w:themeColor="text1"/>
                <w:sz w:val="21"/>
              </w:rPr>
              <w:t>①</w:t>
            </w:r>
            <w:r w:rsidRPr="00015374">
              <w:rPr>
                <w:color w:val="000000" w:themeColor="text1"/>
                <w:sz w:val="21"/>
              </w:rPr>
              <w:t>-</w:t>
            </w:r>
            <w:r w:rsidRPr="00015374">
              <w:rPr>
                <w:rFonts w:ascii="宋体" w:hAnsi="宋体" w:cs="宋体" w:hint="eastAsia"/>
                <w:color w:val="000000" w:themeColor="text1"/>
                <w:sz w:val="21"/>
              </w:rPr>
              <w:t>③</w:t>
            </w:r>
          </w:p>
        </w:tc>
        <w:tc>
          <w:tcPr>
            <w:tcW w:w="1148"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rFonts w:ascii="宋体" w:hAnsi="宋体" w:cs="宋体" w:hint="eastAsia"/>
                <w:color w:val="000000" w:themeColor="text1"/>
                <w:sz w:val="21"/>
              </w:rPr>
              <w:t>②</w:t>
            </w:r>
            <w:r w:rsidRPr="00015374">
              <w:rPr>
                <w:color w:val="000000" w:themeColor="text1"/>
                <w:sz w:val="21"/>
              </w:rPr>
              <w:t>-</w:t>
            </w:r>
            <w:r w:rsidRPr="00015374">
              <w:rPr>
                <w:rFonts w:ascii="宋体" w:hAnsi="宋体" w:cs="宋体" w:hint="eastAsia"/>
                <w:color w:val="000000" w:themeColor="text1"/>
                <w:sz w:val="21"/>
              </w:rPr>
              <w:t>④</w:t>
            </w:r>
          </w:p>
        </w:tc>
      </w:tr>
      <w:tr w:rsidR="0057060B">
        <w:tc>
          <w:tcPr>
            <w:tcW w:w="1395" w:type="dxa"/>
            <w:vAlign w:val="center"/>
          </w:tcPr>
          <w:p w:rsidR="0057060B" w:rsidRDefault="00185132">
            <w:pPr>
              <w:jc w:val="left"/>
            </w:pPr>
            <w:r>
              <w:rPr>
                <w:color w:val="000000" w:themeColor="text1"/>
                <w:sz w:val="21"/>
              </w:rPr>
              <w:t>过去三个月</w:t>
            </w:r>
          </w:p>
        </w:tc>
        <w:tc>
          <w:tcPr>
            <w:tcW w:w="1092" w:type="dxa"/>
            <w:vAlign w:val="center"/>
          </w:tcPr>
          <w:p w:rsidR="0057060B" w:rsidRDefault="00185132">
            <w:pPr>
              <w:jc w:val="right"/>
            </w:pPr>
            <w:r>
              <w:rPr>
                <w:color w:val="000000" w:themeColor="text1"/>
                <w:sz w:val="21"/>
              </w:rPr>
              <w:t>0.25%</w:t>
            </w:r>
          </w:p>
        </w:tc>
        <w:tc>
          <w:tcPr>
            <w:tcW w:w="1161" w:type="dxa"/>
            <w:vAlign w:val="center"/>
          </w:tcPr>
          <w:p w:rsidR="0057060B" w:rsidRDefault="00185132">
            <w:pPr>
              <w:jc w:val="right"/>
            </w:pPr>
            <w:r>
              <w:rPr>
                <w:color w:val="000000" w:themeColor="text1"/>
                <w:sz w:val="21"/>
              </w:rPr>
              <w:t>1.12%</w:t>
            </w:r>
          </w:p>
        </w:tc>
        <w:tc>
          <w:tcPr>
            <w:tcW w:w="1181" w:type="dxa"/>
            <w:vAlign w:val="center"/>
          </w:tcPr>
          <w:p w:rsidR="0057060B" w:rsidRDefault="00185132">
            <w:pPr>
              <w:jc w:val="right"/>
            </w:pPr>
            <w:r>
              <w:rPr>
                <w:color w:val="000000" w:themeColor="text1"/>
                <w:sz w:val="21"/>
              </w:rPr>
              <w:t>-1.50%</w:t>
            </w:r>
          </w:p>
        </w:tc>
        <w:tc>
          <w:tcPr>
            <w:tcW w:w="1188" w:type="dxa"/>
            <w:vAlign w:val="center"/>
          </w:tcPr>
          <w:p w:rsidR="0057060B" w:rsidRDefault="00185132">
            <w:pPr>
              <w:jc w:val="right"/>
            </w:pPr>
            <w:r>
              <w:rPr>
                <w:color w:val="000000" w:themeColor="text1"/>
                <w:sz w:val="21"/>
              </w:rPr>
              <w:t>1.14%</w:t>
            </w:r>
          </w:p>
        </w:tc>
        <w:tc>
          <w:tcPr>
            <w:tcW w:w="1199" w:type="dxa"/>
            <w:vAlign w:val="center"/>
          </w:tcPr>
          <w:p w:rsidR="0057060B" w:rsidRDefault="00185132">
            <w:pPr>
              <w:jc w:val="right"/>
            </w:pPr>
            <w:r>
              <w:rPr>
                <w:color w:val="000000" w:themeColor="text1"/>
                <w:sz w:val="21"/>
              </w:rPr>
              <w:t>1.75%</w:t>
            </w:r>
          </w:p>
        </w:tc>
        <w:tc>
          <w:tcPr>
            <w:tcW w:w="1148" w:type="dxa"/>
            <w:vAlign w:val="center"/>
          </w:tcPr>
          <w:p w:rsidR="0057060B" w:rsidRDefault="00185132">
            <w:pPr>
              <w:jc w:val="right"/>
            </w:pPr>
            <w:r>
              <w:rPr>
                <w:color w:val="000000" w:themeColor="text1"/>
                <w:sz w:val="21"/>
              </w:rPr>
              <w:t>-0.02%</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3.2.2</w:t>
      </w:r>
      <w:r w:rsidR="007B4D7A" w:rsidRPr="00015374">
        <w:rPr>
          <w:b w:val="0"/>
          <w:sz w:val="21"/>
          <w:szCs w:val="21"/>
        </w:rPr>
        <w:t>自基金合同生效以来</w:t>
      </w:r>
      <w:r w:rsidR="00FB0BC9" w:rsidRPr="00015374">
        <w:rPr>
          <w:b w:val="0"/>
          <w:sz w:val="21"/>
          <w:szCs w:val="21"/>
        </w:rPr>
        <w:t>基金累计</w:t>
      </w:r>
      <w:r w:rsidRPr="00015374">
        <w:rPr>
          <w:b w:val="0"/>
          <w:sz w:val="21"/>
          <w:szCs w:val="21"/>
        </w:rPr>
        <w:t>净值增长率变动及其与同期业绩比较基准收益率变动的比较</w:t>
      </w:r>
    </w:p>
    <w:p w:rsidR="008606B6" w:rsidRPr="00015374" w:rsidRDefault="008606B6" w:rsidP="00B84DA9">
      <w:pPr>
        <w:pStyle w:val="31"/>
        <w:spacing w:line="360" w:lineRule="auto"/>
        <w:jc w:val="center"/>
        <w:rPr>
          <w:kern w:val="0"/>
          <w:szCs w:val="21"/>
        </w:rPr>
      </w:pPr>
      <w:r w:rsidRPr="00015374">
        <w:rPr>
          <w:kern w:val="0"/>
          <w:szCs w:val="21"/>
        </w:rPr>
        <w:t>上证主要消费交易型开放式指数发起式证券投资基金</w:t>
      </w:r>
    </w:p>
    <w:p w:rsidR="004061AC" w:rsidRPr="00015374" w:rsidRDefault="00FB0BC9" w:rsidP="00B84DA9">
      <w:pPr>
        <w:pStyle w:val="31"/>
        <w:spacing w:line="360" w:lineRule="auto"/>
        <w:jc w:val="center"/>
        <w:rPr>
          <w:kern w:val="0"/>
          <w:szCs w:val="21"/>
        </w:rPr>
      </w:pPr>
      <w:r w:rsidRPr="00015374">
        <w:rPr>
          <w:kern w:val="0"/>
          <w:szCs w:val="21"/>
        </w:rPr>
        <w:t>累计净值增长率与业绩比较基准收益率</w:t>
      </w:r>
      <w:r w:rsidR="004061AC" w:rsidRPr="00015374">
        <w:rPr>
          <w:kern w:val="0"/>
          <w:szCs w:val="21"/>
        </w:rPr>
        <w:t>历史走势对比图</w:t>
      </w:r>
    </w:p>
    <w:p w:rsidR="00AE7962" w:rsidRPr="00015374" w:rsidRDefault="00AE7962" w:rsidP="00B84DA9">
      <w:pPr>
        <w:pStyle w:val="31"/>
        <w:spacing w:line="360" w:lineRule="auto"/>
        <w:jc w:val="center"/>
        <w:rPr>
          <w:kern w:val="0"/>
          <w:szCs w:val="21"/>
        </w:rPr>
      </w:pPr>
      <w:r w:rsidRPr="00015374">
        <w:rPr>
          <w:kern w:val="0"/>
          <w:szCs w:val="21"/>
        </w:rPr>
        <w:t>(</w:t>
      </w:r>
      <w:r w:rsidR="0042009D" w:rsidRPr="00015374">
        <w:rPr>
          <w:kern w:val="0"/>
          <w:szCs w:val="21"/>
        </w:rPr>
        <w:t>2013</w:t>
      </w:r>
      <w:r w:rsidR="0042009D" w:rsidRPr="00015374">
        <w:rPr>
          <w:kern w:val="0"/>
          <w:szCs w:val="21"/>
        </w:rPr>
        <w:t>年</w:t>
      </w:r>
      <w:r w:rsidR="0042009D" w:rsidRPr="00015374">
        <w:rPr>
          <w:kern w:val="0"/>
          <w:szCs w:val="21"/>
        </w:rPr>
        <w:t>3</w:t>
      </w:r>
      <w:r w:rsidR="0042009D" w:rsidRPr="00015374">
        <w:rPr>
          <w:kern w:val="0"/>
          <w:szCs w:val="21"/>
        </w:rPr>
        <w:t>月</w:t>
      </w:r>
      <w:r w:rsidR="0042009D" w:rsidRPr="00015374">
        <w:rPr>
          <w:kern w:val="0"/>
          <w:szCs w:val="21"/>
        </w:rPr>
        <w:t>28</w:t>
      </w:r>
      <w:r w:rsidR="0042009D" w:rsidRPr="00015374">
        <w:rPr>
          <w:kern w:val="0"/>
          <w:szCs w:val="21"/>
        </w:rPr>
        <w:t>日</w:t>
      </w:r>
      <w:r w:rsidRPr="00015374">
        <w:rPr>
          <w:kern w:val="0"/>
          <w:szCs w:val="21"/>
        </w:rPr>
        <w:t>至</w:t>
      </w:r>
      <w:r w:rsidRPr="00015374">
        <w:rPr>
          <w:kern w:val="0"/>
          <w:szCs w:val="21"/>
        </w:rPr>
        <w:t>2019</w:t>
      </w:r>
      <w:r w:rsidRPr="00015374">
        <w:rPr>
          <w:kern w:val="0"/>
          <w:szCs w:val="21"/>
        </w:rPr>
        <w:t>年</w:t>
      </w:r>
      <w:r w:rsidRPr="00015374">
        <w:rPr>
          <w:kern w:val="0"/>
          <w:szCs w:val="21"/>
        </w:rPr>
        <w:t>9</w:t>
      </w:r>
      <w:r w:rsidRPr="00015374">
        <w:rPr>
          <w:kern w:val="0"/>
          <w:szCs w:val="21"/>
        </w:rPr>
        <w:t>月</w:t>
      </w:r>
      <w:r w:rsidRPr="00015374">
        <w:rPr>
          <w:kern w:val="0"/>
          <w:szCs w:val="21"/>
        </w:rPr>
        <w:t>30</w:t>
      </w:r>
      <w:r w:rsidRPr="00015374">
        <w:rPr>
          <w:kern w:val="0"/>
          <w:szCs w:val="21"/>
        </w:rPr>
        <w:t>日</w:t>
      </w:r>
      <w:r w:rsidRPr="00015374">
        <w:rPr>
          <w:kern w:val="0"/>
          <w:szCs w:val="21"/>
        </w:rPr>
        <w:t>)</w:t>
      </w:r>
    </w:p>
    <w:p w:rsidR="004061AC" w:rsidRPr="00015374" w:rsidRDefault="00866CF2" w:rsidP="004061AC">
      <w:pPr>
        <w:pStyle w:val="a5"/>
        <w:snapToGrid w:val="0"/>
        <w:spacing w:before="120" w:line="360" w:lineRule="auto"/>
        <w:jc w:val="center"/>
        <w:rPr>
          <w:rFonts w:ascii="Times New Roman" w:hAnsi="Times New Roman" w:cs="Times New Roman"/>
          <w:color w:val="000000" w:themeColor="text1"/>
        </w:rPr>
      </w:pPr>
      <w:r w:rsidRPr="00015374">
        <w:rPr>
          <w:rFonts w:ascii="Times New Roman" w:hAnsi="Times New Roman" w:cs="Times New Roman"/>
          <w:noProof/>
          <w:color w:val="000000" w:themeColor="text1"/>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276850" cy="3086100"/>
                    </a:xfrm>
                    <a:prstGeom prst="rect">
                      <a:avLst/>
                    </a:prstGeom>
                    <a:noFill/>
                    <a:ln>
                      <a:noFill/>
                    </a:ln>
                  </pic:spPr>
                </pic:pic>
              </a:graphicData>
            </a:graphic>
          </wp:inline>
        </w:drawing>
      </w:r>
    </w:p>
    <w:p w:rsidR="00693843" w:rsidRPr="00015374" w:rsidRDefault="00693843" w:rsidP="00693843">
      <w:pPr>
        <w:tabs>
          <w:tab w:val="left" w:pos="1800"/>
        </w:tabs>
        <w:spacing w:line="288" w:lineRule="auto"/>
        <w:rPr>
          <w:color w:val="000000" w:themeColor="text1"/>
        </w:rPr>
      </w:pP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4</w:t>
      </w:r>
      <w:r w:rsidRPr="00015374">
        <w:rPr>
          <w:rStyle w:val="2CharCharChar"/>
          <w:rFonts w:ascii="Times New Roman" w:hAnsi="Times New Roman" w:cs="Times New Roman"/>
          <w:b/>
          <w:szCs w:val="24"/>
        </w:rPr>
        <w:t>管理人报告</w:t>
      </w:r>
    </w:p>
    <w:p w:rsidR="00B12B7D" w:rsidRPr="00015374" w:rsidRDefault="004061AC" w:rsidP="001C6BC2">
      <w:pPr>
        <w:pStyle w:val="3"/>
        <w:spacing w:before="0" w:after="0" w:line="360" w:lineRule="auto"/>
        <w:jc w:val="left"/>
        <w:rPr>
          <w:b w:val="0"/>
          <w:sz w:val="21"/>
          <w:szCs w:val="21"/>
        </w:rPr>
      </w:pPr>
      <w:r w:rsidRPr="00015374">
        <w:rPr>
          <w:b w:val="0"/>
          <w:sz w:val="21"/>
          <w:szCs w:val="21"/>
        </w:rPr>
        <w:t xml:space="preserve">4.1 </w:t>
      </w:r>
      <w:r w:rsidRPr="00015374">
        <w:rPr>
          <w:b w:val="0"/>
          <w:sz w:val="21"/>
          <w:szCs w:val="21"/>
        </w:rPr>
        <w:t>基金经理</w:t>
      </w:r>
      <w:r w:rsidR="00D57B7C" w:rsidRPr="00015374">
        <w:rPr>
          <w:b w:val="0"/>
          <w:sz w:val="21"/>
          <w:szCs w:val="21"/>
        </w:rPr>
        <w:t>(</w:t>
      </w:r>
      <w:r w:rsidRPr="00015374">
        <w:rPr>
          <w:b w:val="0"/>
          <w:sz w:val="21"/>
          <w:szCs w:val="21"/>
        </w:rPr>
        <w:t>或基金经理小组</w:t>
      </w:r>
      <w:r w:rsidR="00D57B7C" w:rsidRPr="00015374">
        <w:rPr>
          <w:b w:val="0"/>
          <w:sz w:val="21"/>
          <w:szCs w:val="21"/>
        </w:rPr>
        <w:t>)</w:t>
      </w:r>
      <w:r w:rsidRPr="00015374">
        <w:rPr>
          <w:b w:val="0"/>
          <w:sz w:val="21"/>
          <w:szCs w:val="21"/>
        </w:rPr>
        <w:t>简介</w:t>
      </w:r>
      <w:r w:rsidR="00421FB9" w:rsidRPr="00015374">
        <w:rPr>
          <w:b w:val="0"/>
          <w:sz w:val="21"/>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127"/>
      </w:tblGrid>
      <w:tr w:rsidR="00220C32" w:rsidRPr="00015374" w:rsidTr="003C15BA">
        <w:trPr>
          <w:cantSplit/>
          <w:trHeight w:val="292"/>
        </w:trPr>
        <w:tc>
          <w:tcPr>
            <w:tcW w:w="851"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姓名</w:t>
            </w:r>
          </w:p>
        </w:tc>
        <w:tc>
          <w:tcPr>
            <w:tcW w:w="850"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职务</w:t>
            </w:r>
          </w:p>
        </w:tc>
        <w:tc>
          <w:tcPr>
            <w:tcW w:w="3119" w:type="dxa"/>
            <w:gridSpan w:val="2"/>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任本基金的基金经理期限</w:t>
            </w:r>
          </w:p>
        </w:tc>
        <w:tc>
          <w:tcPr>
            <w:tcW w:w="1417" w:type="dxa"/>
            <w:vMerge w:val="restart"/>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证券从业年限</w:t>
            </w:r>
          </w:p>
        </w:tc>
        <w:tc>
          <w:tcPr>
            <w:tcW w:w="2127"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说明</w:t>
            </w:r>
          </w:p>
        </w:tc>
      </w:tr>
      <w:tr w:rsidR="00220C32" w:rsidRPr="00015374" w:rsidTr="003C15BA">
        <w:trPr>
          <w:cantSplit/>
        </w:trPr>
        <w:tc>
          <w:tcPr>
            <w:tcW w:w="851" w:type="dxa"/>
            <w:vMerge/>
            <w:vAlign w:val="center"/>
          </w:tcPr>
          <w:p w:rsidR="004061AC" w:rsidRPr="00015374" w:rsidRDefault="004061AC" w:rsidP="008014F9">
            <w:pPr>
              <w:widowControl/>
              <w:spacing w:line="360" w:lineRule="auto"/>
              <w:jc w:val="left"/>
              <w:rPr>
                <w:color w:val="000000" w:themeColor="text1"/>
                <w:kern w:val="0"/>
              </w:rPr>
            </w:pPr>
          </w:p>
        </w:tc>
        <w:tc>
          <w:tcPr>
            <w:tcW w:w="850" w:type="dxa"/>
            <w:vMerge/>
            <w:vAlign w:val="center"/>
          </w:tcPr>
          <w:p w:rsidR="004061AC" w:rsidRPr="00015374" w:rsidRDefault="004061AC" w:rsidP="008014F9">
            <w:pPr>
              <w:widowControl/>
              <w:spacing w:line="360" w:lineRule="auto"/>
              <w:jc w:val="left"/>
              <w:rPr>
                <w:color w:val="000000" w:themeColor="text1"/>
                <w:kern w:val="0"/>
              </w:rPr>
            </w:pPr>
          </w:p>
        </w:tc>
        <w:tc>
          <w:tcPr>
            <w:tcW w:w="1560" w:type="dxa"/>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任职日期</w:t>
            </w:r>
          </w:p>
        </w:tc>
        <w:tc>
          <w:tcPr>
            <w:tcW w:w="1559" w:type="dxa"/>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离任日期</w:t>
            </w:r>
          </w:p>
        </w:tc>
        <w:tc>
          <w:tcPr>
            <w:tcW w:w="1417" w:type="dxa"/>
            <w:vMerge/>
            <w:vAlign w:val="center"/>
          </w:tcPr>
          <w:p w:rsidR="004061AC" w:rsidRPr="00015374" w:rsidRDefault="004061AC" w:rsidP="008014F9">
            <w:pPr>
              <w:widowControl/>
              <w:spacing w:line="360" w:lineRule="auto"/>
              <w:jc w:val="left"/>
              <w:rPr>
                <w:color w:val="000000" w:themeColor="text1"/>
                <w:kern w:val="0"/>
              </w:rPr>
            </w:pPr>
          </w:p>
        </w:tc>
        <w:tc>
          <w:tcPr>
            <w:tcW w:w="2127" w:type="dxa"/>
            <w:vMerge/>
            <w:vAlign w:val="center"/>
          </w:tcPr>
          <w:p w:rsidR="004061AC" w:rsidRPr="00015374" w:rsidRDefault="004061AC" w:rsidP="008014F9">
            <w:pPr>
              <w:widowControl/>
              <w:spacing w:line="360" w:lineRule="auto"/>
              <w:jc w:val="left"/>
              <w:rPr>
                <w:color w:val="000000" w:themeColor="text1"/>
                <w:kern w:val="0"/>
              </w:rPr>
            </w:pPr>
          </w:p>
        </w:tc>
      </w:tr>
      <w:tr w:rsidR="0057060B">
        <w:tc>
          <w:tcPr>
            <w:tcW w:w="851" w:type="dxa"/>
            <w:vAlign w:val="center"/>
          </w:tcPr>
          <w:p w:rsidR="0057060B" w:rsidRDefault="00185132">
            <w:pPr>
              <w:jc w:val="center"/>
            </w:pPr>
            <w:r>
              <w:rPr>
                <w:color w:val="000000" w:themeColor="text1"/>
              </w:rPr>
              <w:t>荣膺</w:t>
            </w:r>
          </w:p>
        </w:tc>
        <w:tc>
          <w:tcPr>
            <w:tcW w:w="850" w:type="dxa"/>
            <w:vAlign w:val="center"/>
          </w:tcPr>
          <w:p w:rsidR="0057060B" w:rsidRDefault="00185132">
            <w:pPr>
              <w:jc w:val="center"/>
            </w:pPr>
            <w:r>
              <w:rPr>
                <w:color w:val="000000" w:themeColor="text1"/>
              </w:rPr>
              <w:t>本基金的基金经理、数量投资部高级副总裁</w:t>
            </w:r>
          </w:p>
        </w:tc>
        <w:tc>
          <w:tcPr>
            <w:tcW w:w="1560" w:type="dxa"/>
            <w:vAlign w:val="center"/>
          </w:tcPr>
          <w:p w:rsidR="0057060B" w:rsidRDefault="00185132">
            <w:pPr>
              <w:jc w:val="center"/>
            </w:pPr>
            <w:r>
              <w:rPr>
                <w:color w:val="000000" w:themeColor="text1"/>
              </w:rPr>
              <w:t>2015-11-06</w:t>
            </w:r>
          </w:p>
        </w:tc>
        <w:tc>
          <w:tcPr>
            <w:tcW w:w="1559" w:type="dxa"/>
            <w:vAlign w:val="center"/>
          </w:tcPr>
          <w:p w:rsidR="0057060B" w:rsidRDefault="00185132">
            <w:pPr>
              <w:jc w:val="center"/>
            </w:pPr>
            <w:r>
              <w:rPr>
                <w:color w:val="000000" w:themeColor="text1"/>
              </w:rPr>
              <w:t>-</w:t>
            </w:r>
          </w:p>
        </w:tc>
        <w:tc>
          <w:tcPr>
            <w:tcW w:w="1417" w:type="dxa"/>
            <w:vAlign w:val="center"/>
          </w:tcPr>
          <w:p w:rsidR="0057060B" w:rsidRDefault="00185132">
            <w:pPr>
              <w:jc w:val="center"/>
            </w:pPr>
            <w:r>
              <w:rPr>
                <w:color w:val="000000" w:themeColor="text1"/>
              </w:rPr>
              <w:t>9</w:t>
            </w:r>
            <w:r>
              <w:rPr>
                <w:color w:val="000000" w:themeColor="text1"/>
              </w:rPr>
              <w:t>年</w:t>
            </w:r>
          </w:p>
        </w:tc>
        <w:tc>
          <w:tcPr>
            <w:tcW w:w="2127" w:type="dxa"/>
            <w:vAlign w:val="center"/>
          </w:tcPr>
          <w:p w:rsidR="0057060B" w:rsidRDefault="00185132">
            <w:r>
              <w:rPr>
                <w:color w:val="000000" w:themeColor="text1"/>
              </w:rPr>
              <w:t>北京大学光华管理学院会计学硕士。</w:t>
            </w:r>
            <w:r>
              <w:rPr>
                <w:color w:val="000000" w:themeColor="text1"/>
              </w:rPr>
              <w:t>2010</w:t>
            </w:r>
            <w:r>
              <w:rPr>
                <w:color w:val="000000" w:themeColor="text1"/>
              </w:rPr>
              <w:t>年</w:t>
            </w:r>
            <w:r>
              <w:rPr>
                <w:color w:val="000000" w:themeColor="text1"/>
              </w:rPr>
              <w:t>7</w:t>
            </w:r>
            <w:r>
              <w:rPr>
                <w:color w:val="000000" w:themeColor="text1"/>
              </w:rPr>
              <w:t>月加入华夏基金管理有限公司，曾任研究发展部高级产品经理，数量投资部研究员、投资经理、基金经理助理，</w:t>
            </w:r>
            <w:r>
              <w:rPr>
                <w:color w:val="000000" w:themeColor="text1"/>
              </w:rPr>
              <w:t>MSCI</w:t>
            </w:r>
            <w:r>
              <w:rPr>
                <w:color w:val="000000" w:themeColor="text1"/>
              </w:rPr>
              <w:t>中国</w:t>
            </w:r>
            <w:r>
              <w:rPr>
                <w:color w:val="000000" w:themeColor="text1"/>
              </w:rPr>
              <w:t>A</w:t>
            </w:r>
            <w:r>
              <w:rPr>
                <w:color w:val="000000" w:themeColor="text1"/>
              </w:rPr>
              <w:t>股交易型开放式指数证券投资基金联接基金基金经理（</w:t>
            </w:r>
            <w:r>
              <w:rPr>
                <w:color w:val="000000" w:themeColor="text1"/>
              </w:rPr>
              <w:t>2016</w:t>
            </w:r>
            <w:r>
              <w:rPr>
                <w:color w:val="000000" w:themeColor="text1"/>
              </w:rPr>
              <w:t>年</w:t>
            </w:r>
            <w:r>
              <w:rPr>
                <w:color w:val="000000" w:themeColor="text1"/>
              </w:rPr>
              <w:t>10</w:t>
            </w:r>
            <w:r>
              <w:rPr>
                <w:color w:val="000000" w:themeColor="text1"/>
              </w:rPr>
              <w:t>月</w:t>
            </w:r>
            <w:r>
              <w:rPr>
                <w:color w:val="000000" w:themeColor="text1"/>
              </w:rPr>
              <w:t>20</w:t>
            </w:r>
            <w:r>
              <w:rPr>
                <w:color w:val="000000" w:themeColor="text1"/>
              </w:rPr>
              <w:t>日至</w:t>
            </w:r>
            <w:r>
              <w:rPr>
                <w:color w:val="000000" w:themeColor="text1"/>
              </w:rPr>
              <w:t>2018</w:t>
            </w:r>
            <w:r>
              <w:rPr>
                <w:color w:val="000000" w:themeColor="text1"/>
              </w:rPr>
              <w:t>年</w:t>
            </w:r>
            <w:r>
              <w:rPr>
                <w:color w:val="000000" w:themeColor="text1"/>
              </w:rPr>
              <w:t>9</w:t>
            </w:r>
            <w:r>
              <w:rPr>
                <w:color w:val="000000" w:themeColor="text1"/>
              </w:rPr>
              <w:t>月</w:t>
            </w:r>
            <w:r>
              <w:rPr>
                <w:color w:val="000000" w:themeColor="text1"/>
              </w:rPr>
              <w:t>16</w:t>
            </w:r>
            <w:r>
              <w:rPr>
                <w:color w:val="000000" w:themeColor="text1"/>
              </w:rPr>
              <w:t>日期间）、</w:t>
            </w:r>
            <w:r>
              <w:rPr>
                <w:color w:val="000000" w:themeColor="text1"/>
              </w:rPr>
              <w:t>MSCI</w:t>
            </w:r>
            <w:r>
              <w:rPr>
                <w:color w:val="000000" w:themeColor="text1"/>
              </w:rPr>
              <w:t>中国</w:t>
            </w:r>
            <w:r>
              <w:rPr>
                <w:color w:val="000000" w:themeColor="text1"/>
              </w:rPr>
              <w:t>A</w:t>
            </w:r>
            <w:r>
              <w:rPr>
                <w:color w:val="000000" w:themeColor="text1"/>
              </w:rPr>
              <w:t>股交易型开放式指数证券投资基金基金经理（</w:t>
            </w:r>
            <w:r>
              <w:rPr>
                <w:color w:val="000000" w:themeColor="text1"/>
              </w:rPr>
              <w:t>2016</w:t>
            </w:r>
            <w:r>
              <w:rPr>
                <w:color w:val="000000" w:themeColor="text1"/>
              </w:rPr>
              <w:t>年</w:t>
            </w:r>
            <w:r>
              <w:rPr>
                <w:color w:val="000000" w:themeColor="text1"/>
              </w:rPr>
              <w:t>10</w:t>
            </w:r>
            <w:r>
              <w:rPr>
                <w:color w:val="000000" w:themeColor="text1"/>
              </w:rPr>
              <w:t>月</w:t>
            </w:r>
            <w:r>
              <w:rPr>
                <w:color w:val="000000" w:themeColor="text1"/>
              </w:rPr>
              <w:t>20</w:t>
            </w:r>
            <w:r>
              <w:rPr>
                <w:color w:val="000000" w:themeColor="text1"/>
              </w:rPr>
              <w:t>日至</w:t>
            </w:r>
            <w:r>
              <w:rPr>
                <w:color w:val="000000" w:themeColor="text1"/>
              </w:rPr>
              <w:t>2018</w:t>
            </w:r>
            <w:r>
              <w:rPr>
                <w:color w:val="000000" w:themeColor="text1"/>
              </w:rPr>
              <w:t>年</w:t>
            </w:r>
            <w:r>
              <w:rPr>
                <w:color w:val="000000" w:themeColor="text1"/>
              </w:rPr>
              <w:t>9</w:t>
            </w:r>
            <w:r>
              <w:rPr>
                <w:color w:val="000000" w:themeColor="text1"/>
              </w:rPr>
              <w:t>月</w:t>
            </w:r>
            <w:r>
              <w:rPr>
                <w:color w:val="000000" w:themeColor="text1"/>
              </w:rPr>
              <w:t>16</w:t>
            </w:r>
            <w:r>
              <w:rPr>
                <w:color w:val="000000" w:themeColor="text1"/>
              </w:rPr>
              <w:t>日期间）等。</w:t>
            </w:r>
          </w:p>
        </w:tc>
      </w:tr>
    </w:tbl>
    <w:p w:rsidR="0057060B" w:rsidRDefault="00185132">
      <w:pPr>
        <w:pStyle w:val="11"/>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4061AC" w:rsidRPr="00015374" w:rsidRDefault="0027159C" w:rsidP="00183BFC">
      <w:pPr>
        <w:pStyle w:val="11"/>
        <w:spacing w:line="360" w:lineRule="auto"/>
        <w:ind w:firstLine="420"/>
        <w:jc w:val="left"/>
        <w:rPr>
          <w:szCs w:val="21"/>
        </w:rPr>
      </w:pPr>
      <w:r w:rsidRPr="00015374">
        <w:rPr>
          <w:szCs w:val="21"/>
        </w:rPr>
        <w:t>②</w:t>
      </w:r>
      <w:r w:rsidRPr="00015374">
        <w:rPr>
          <w:szCs w:val="21"/>
        </w:rPr>
        <w:t>证券从业的含义遵从行业协会《证券业从业人员资格管理办法》的相关规定。</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4.2 </w:t>
      </w:r>
      <w:r w:rsidRPr="00015374">
        <w:rPr>
          <w:b w:val="0"/>
          <w:sz w:val="21"/>
          <w:szCs w:val="21"/>
        </w:rPr>
        <w:t>管理人对报告期内本基金运作遵规守信情况的说明</w:t>
      </w:r>
    </w:p>
    <w:p w:rsidR="004061AC" w:rsidRPr="005E657B" w:rsidRDefault="0027159C" w:rsidP="005E657B">
      <w:pPr>
        <w:pStyle w:val="11"/>
        <w:spacing w:line="360" w:lineRule="auto"/>
        <w:ind w:firstLine="420"/>
        <w:jc w:val="left"/>
        <w:rPr>
          <w:szCs w:val="21"/>
        </w:rPr>
      </w:pPr>
      <w:r w:rsidRPr="005E657B">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等法律法规和基金合同，本着诚实信用、勤勉尽责、安全高效的原则管理和运用基金资产，在严格控制投资风险的基础上，为基金份额持有人谋求最大利益，没有损害基金份额持有人利益的行为。</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 </w:t>
      </w:r>
      <w:r w:rsidRPr="00015374">
        <w:rPr>
          <w:b w:val="0"/>
          <w:sz w:val="21"/>
          <w:szCs w:val="21"/>
        </w:rPr>
        <w:t>公平交易专项说明</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4.3.1 </w:t>
      </w:r>
      <w:r w:rsidRPr="00015374">
        <w:rPr>
          <w:b w:val="0"/>
          <w:sz w:val="21"/>
          <w:szCs w:val="21"/>
        </w:rPr>
        <w:t>公平交易制度的执行情况</w:t>
      </w:r>
    </w:p>
    <w:p w:rsidR="004061AC" w:rsidRPr="005E657B" w:rsidRDefault="004061AC" w:rsidP="005E657B">
      <w:pPr>
        <w:pStyle w:val="11"/>
        <w:spacing w:line="360" w:lineRule="auto"/>
        <w:ind w:firstLine="420"/>
        <w:jc w:val="left"/>
        <w:rPr>
          <w:szCs w:val="21"/>
        </w:rPr>
      </w:pPr>
      <w:r w:rsidRPr="005E657B">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4.3.2 </w:t>
      </w:r>
      <w:r w:rsidRPr="00015374">
        <w:rPr>
          <w:b w:val="0"/>
          <w:sz w:val="21"/>
          <w:szCs w:val="21"/>
        </w:rPr>
        <w:t>异常交易行为的专项说明</w:t>
      </w:r>
    </w:p>
    <w:p w:rsidR="0057060B" w:rsidRDefault="00185132">
      <w:pPr>
        <w:pStyle w:val="11"/>
        <w:spacing w:line="360" w:lineRule="auto"/>
        <w:ind w:firstLine="420"/>
        <w:jc w:val="left"/>
        <w:rPr>
          <w:szCs w:val="21"/>
        </w:rPr>
      </w:pPr>
      <w:r>
        <w:rPr>
          <w:szCs w:val="21"/>
        </w:rPr>
        <w:t>报告期内未发现本基金存在异常交易行为。</w:t>
      </w:r>
    </w:p>
    <w:p w:rsidR="004061AC" w:rsidRPr="005E657B" w:rsidRDefault="00957594" w:rsidP="005E657B">
      <w:pPr>
        <w:pStyle w:val="11"/>
        <w:spacing w:line="360" w:lineRule="auto"/>
        <w:ind w:firstLine="420"/>
        <w:jc w:val="left"/>
        <w:rPr>
          <w:szCs w:val="21"/>
        </w:rPr>
      </w:pPr>
      <w:r w:rsidRPr="005E657B">
        <w:rPr>
          <w:szCs w:val="21"/>
        </w:rPr>
        <w:t>报告期内，未出现涉及本基金的交易所公开竞价同日反向交易成交较少的单边交易量超过该证券当日成交量</w:t>
      </w:r>
      <w:r w:rsidRPr="005E657B">
        <w:rPr>
          <w:szCs w:val="21"/>
        </w:rPr>
        <w:t>5%</w:t>
      </w:r>
      <w:r w:rsidRPr="005E657B">
        <w:rPr>
          <w:szCs w:val="21"/>
        </w:rPr>
        <w:t>的情况。</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4.4 </w:t>
      </w:r>
      <w:r w:rsidRPr="00015374">
        <w:rPr>
          <w:b w:val="0"/>
          <w:sz w:val="21"/>
          <w:szCs w:val="21"/>
        </w:rPr>
        <w:t>报告期内基金的投资策略和业绩表现说明</w:t>
      </w:r>
    </w:p>
    <w:p w:rsidR="004061AC" w:rsidRPr="00015374" w:rsidRDefault="004061AC" w:rsidP="001C6BC2">
      <w:pPr>
        <w:pStyle w:val="3"/>
        <w:spacing w:before="0" w:after="0" w:line="360" w:lineRule="auto"/>
        <w:jc w:val="left"/>
        <w:rPr>
          <w:b w:val="0"/>
          <w:sz w:val="21"/>
          <w:szCs w:val="21"/>
        </w:rPr>
      </w:pPr>
      <w:r w:rsidRPr="00015374">
        <w:rPr>
          <w:b w:val="0"/>
          <w:sz w:val="21"/>
          <w:szCs w:val="21"/>
        </w:rPr>
        <w:t>4.4.1</w:t>
      </w:r>
      <w:r w:rsidRPr="00015374">
        <w:rPr>
          <w:b w:val="0"/>
          <w:sz w:val="21"/>
          <w:szCs w:val="21"/>
        </w:rPr>
        <w:t>报告期内基金投资策略和运作分析</w:t>
      </w:r>
    </w:p>
    <w:p w:rsidR="0057060B" w:rsidRDefault="00185132">
      <w:pPr>
        <w:pStyle w:val="11"/>
        <w:spacing w:line="360" w:lineRule="auto"/>
        <w:ind w:firstLine="420"/>
        <w:jc w:val="left"/>
        <w:rPr>
          <w:szCs w:val="21"/>
        </w:rPr>
      </w:pPr>
      <w:r>
        <w:rPr>
          <w:szCs w:val="21"/>
        </w:rPr>
        <w:t>本基金跟踪的标的指数为上证主要消费行业指数，是上证行业指数系列的组成部分。上证行业指数选择上海证券市场各行业中规模大、流动性好的股票组成样本股，自</w:t>
      </w:r>
      <w:r>
        <w:rPr>
          <w:szCs w:val="21"/>
        </w:rPr>
        <w:t>2009</w:t>
      </w:r>
      <w:r>
        <w:rPr>
          <w:szCs w:val="21"/>
        </w:rPr>
        <w:t>年</w:t>
      </w:r>
      <w:r>
        <w:rPr>
          <w:szCs w:val="21"/>
        </w:rPr>
        <w:t>1</w:t>
      </w:r>
      <w:r>
        <w:rPr>
          <w:szCs w:val="21"/>
        </w:rPr>
        <w:t>月</w:t>
      </w:r>
      <w:r>
        <w:rPr>
          <w:szCs w:val="21"/>
        </w:rPr>
        <w:t>9</w:t>
      </w:r>
      <w:r>
        <w:rPr>
          <w:szCs w:val="21"/>
        </w:rPr>
        <w:t>日起正式发布，以反映上海证券市场不同行业公司股票的整体表现。本基金主要采取完全复制法及其他合理方法构建基金的股票投资组合，并根据标的指数成份股及权重的变动对股票投资组合进行相应地调整。</w:t>
      </w:r>
    </w:p>
    <w:p w:rsidR="0057060B" w:rsidRDefault="00185132">
      <w:pPr>
        <w:pStyle w:val="11"/>
        <w:spacing w:line="360" w:lineRule="auto"/>
        <w:ind w:firstLine="420"/>
        <w:jc w:val="left"/>
        <w:rPr>
          <w:szCs w:val="21"/>
        </w:rPr>
      </w:pPr>
      <w:r>
        <w:rPr>
          <w:szCs w:val="21"/>
        </w:rPr>
        <w:t>3</w:t>
      </w:r>
      <w:r>
        <w:rPr>
          <w:szCs w:val="21"/>
        </w:rPr>
        <w:t>季度，国际方面，全球经济增长乏力，美联储两次降息，其他国家也纷纷降息。国内方面，经济并没有明显好转，受猪肉等价格影响，</w:t>
      </w:r>
      <w:r>
        <w:rPr>
          <w:szCs w:val="21"/>
        </w:rPr>
        <w:t>CPI</w:t>
      </w:r>
      <w:r>
        <w:rPr>
          <w:szCs w:val="21"/>
        </w:rPr>
        <w:t>继续维持高位，</w:t>
      </w:r>
      <w:r>
        <w:rPr>
          <w:szCs w:val="21"/>
        </w:rPr>
        <w:t>PPI</w:t>
      </w:r>
      <w:r>
        <w:rPr>
          <w:szCs w:val="21"/>
        </w:rPr>
        <w:t>继续不振，经济的根</w:t>
      </w:r>
      <w:r>
        <w:rPr>
          <w:szCs w:val="21"/>
        </w:rPr>
        <w:t>本问题还是有效需求不足，尤其是出口压力较大。政府加大了逆周期调节力度，推出</w:t>
      </w:r>
      <w:r>
        <w:rPr>
          <w:szCs w:val="21"/>
        </w:rPr>
        <w:t>LPR</w:t>
      </w:r>
      <w:r>
        <w:rPr>
          <w:szCs w:val="21"/>
        </w:rPr>
        <w:t>，意图疏通货币政策传导机制，通过改革的方式降低企业融资成本，另一方面，央行进行降准，确保经济运行在合理区间。</w:t>
      </w:r>
    </w:p>
    <w:p w:rsidR="0057060B" w:rsidRDefault="00185132">
      <w:pPr>
        <w:pStyle w:val="11"/>
        <w:spacing w:line="360" w:lineRule="auto"/>
        <w:ind w:firstLine="420"/>
        <w:jc w:val="left"/>
        <w:rPr>
          <w:szCs w:val="21"/>
        </w:rPr>
      </w:pPr>
      <w:r>
        <w:rPr>
          <w:szCs w:val="21"/>
        </w:rPr>
        <w:t>市场方面，当前市场的一个基本的特征是</w:t>
      </w:r>
      <w:r>
        <w:rPr>
          <w:szCs w:val="21"/>
        </w:rPr>
        <w:t>“</w:t>
      </w:r>
      <w:r>
        <w:rPr>
          <w:szCs w:val="21"/>
        </w:rPr>
        <w:t>资产荒</w:t>
      </w:r>
      <w:r>
        <w:rPr>
          <w:szCs w:val="21"/>
        </w:rPr>
        <w:t>”</w:t>
      </w:r>
      <w:r>
        <w:rPr>
          <w:szCs w:val="21"/>
        </w:rPr>
        <w:t>，流动性较为充裕，资产端，政府关上了资金流往房地产、地方政府隐性负债的门，加之之前金融供给侧改革，对于各种金融乱象的清理，市场有效资产供给不足，出现资产荒的现象。除上述因素之外，全球范围内的</w:t>
      </w:r>
      <w:r>
        <w:rPr>
          <w:szCs w:val="21"/>
        </w:rPr>
        <w:t>“</w:t>
      </w:r>
      <w:r>
        <w:rPr>
          <w:szCs w:val="21"/>
        </w:rPr>
        <w:t>负利率</w:t>
      </w:r>
      <w:r>
        <w:rPr>
          <w:szCs w:val="21"/>
        </w:rPr>
        <w:t>”</w:t>
      </w:r>
      <w:r>
        <w:rPr>
          <w:szCs w:val="21"/>
        </w:rPr>
        <w:t>环境，也促使全球资本在世界范围内寻找配置对象，随着中国金融领域对外开放力度加</w:t>
      </w:r>
      <w:r>
        <w:rPr>
          <w:szCs w:val="21"/>
        </w:rPr>
        <w:t>大，中国资产也成为海外资本的重要布局选项。受上述经济与市场方面因素影响，报告期内市场呈震荡态势。</w:t>
      </w:r>
    </w:p>
    <w:p w:rsidR="0057060B" w:rsidRDefault="00185132">
      <w:pPr>
        <w:pStyle w:val="11"/>
        <w:spacing w:line="360" w:lineRule="auto"/>
        <w:ind w:firstLine="420"/>
        <w:jc w:val="left"/>
        <w:rPr>
          <w:szCs w:val="21"/>
        </w:rPr>
      </w:pPr>
      <w:r>
        <w:rPr>
          <w:szCs w:val="21"/>
        </w:rPr>
        <w:t>基金投资运作方面，报告期内，本基金在做好跟踪标的指数的基础上，认真应对投资者日常申购、赎回等工作。</w:t>
      </w:r>
    </w:p>
    <w:p w:rsidR="004061AC" w:rsidRPr="005E657B" w:rsidRDefault="004061AC" w:rsidP="005E657B">
      <w:pPr>
        <w:pStyle w:val="11"/>
        <w:spacing w:line="360" w:lineRule="auto"/>
        <w:ind w:firstLine="420"/>
        <w:jc w:val="left"/>
        <w:rPr>
          <w:szCs w:val="21"/>
        </w:rPr>
      </w:pPr>
      <w:r w:rsidRPr="005E657B">
        <w:rPr>
          <w:szCs w:val="21"/>
        </w:rPr>
        <w:t>为促进本基金的市场流动性提高和平稳运行，经上海证券交易所同意，部分证券公司被确认为本基金的流动性服务商。目前，本基金的流动性服务商为中国银河证券股份有限公司</w:t>
      </w:r>
      <w:r w:rsidRPr="005E657B">
        <w:rPr>
          <w:szCs w:val="21"/>
        </w:rPr>
        <w:t> </w:t>
      </w:r>
      <w:r w:rsidRPr="005E657B">
        <w:rPr>
          <w:szCs w:val="21"/>
        </w:rPr>
        <w:t>等。</w:t>
      </w:r>
    </w:p>
    <w:p w:rsidR="004061AC" w:rsidRPr="00015374" w:rsidRDefault="004061AC" w:rsidP="001C6BC2">
      <w:pPr>
        <w:pStyle w:val="3"/>
        <w:spacing w:before="0" w:after="0" w:line="360" w:lineRule="auto"/>
        <w:jc w:val="left"/>
        <w:rPr>
          <w:b w:val="0"/>
          <w:sz w:val="21"/>
          <w:szCs w:val="21"/>
        </w:rPr>
      </w:pPr>
      <w:r w:rsidRPr="00015374">
        <w:rPr>
          <w:b w:val="0"/>
          <w:sz w:val="21"/>
          <w:szCs w:val="21"/>
        </w:rPr>
        <w:t>4.4.2</w:t>
      </w:r>
      <w:r w:rsidRPr="00015374">
        <w:rPr>
          <w:b w:val="0"/>
          <w:sz w:val="21"/>
          <w:szCs w:val="21"/>
        </w:rPr>
        <w:t>报告期内基金的业绩表现</w:t>
      </w:r>
    </w:p>
    <w:p w:rsidR="009C5186" w:rsidRPr="005E657B" w:rsidRDefault="0027159C" w:rsidP="005E657B">
      <w:pPr>
        <w:pStyle w:val="11"/>
        <w:spacing w:line="360" w:lineRule="auto"/>
        <w:ind w:firstLine="420"/>
        <w:jc w:val="left"/>
        <w:rPr>
          <w:szCs w:val="21"/>
        </w:rPr>
      </w:pPr>
      <w:r w:rsidRPr="005E657B">
        <w:rPr>
          <w:szCs w:val="21"/>
        </w:rPr>
        <w:t>截至</w:t>
      </w:r>
      <w:r w:rsidRPr="005E657B">
        <w:rPr>
          <w:szCs w:val="21"/>
        </w:rPr>
        <w:t>2019</w:t>
      </w:r>
      <w:r w:rsidRPr="005E657B">
        <w:rPr>
          <w:szCs w:val="21"/>
        </w:rPr>
        <w:t>年</w:t>
      </w:r>
      <w:r w:rsidRPr="005E657B">
        <w:rPr>
          <w:szCs w:val="21"/>
        </w:rPr>
        <w:t>9</w:t>
      </w:r>
      <w:r w:rsidRPr="005E657B">
        <w:rPr>
          <w:szCs w:val="21"/>
        </w:rPr>
        <w:t>月</w:t>
      </w:r>
      <w:r w:rsidRPr="005E657B">
        <w:rPr>
          <w:szCs w:val="21"/>
        </w:rPr>
        <w:t>30</w:t>
      </w:r>
      <w:r w:rsidRPr="005E657B">
        <w:rPr>
          <w:szCs w:val="21"/>
        </w:rPr>
        <w:t>日，本基金份额净值为</w:t>
      </w:r>
      <w:r w:rsidRPr="005E657B">
        <w:rPr>
          <w:szCs w:val="21"/>
        </w:rPr>
        <w:t>2.9147</w:t>
      </w:r>
      <w:r w:rsidRPr="005E657B">
        <w:rPr>
          <w:szCs w:val="21"/>
        </w:rPr>
        <w:t>元，本报告期份额净值增长率为</w:t>
      </w:r>
      <w:r w:rsidRPr="005E657B">
        <w:rPr>
          <w:szCs w:val="21"/>
        </w:rPr>
        <w:t>0.25%</w:t>
      </w:r>
      <w:r w:rsidRPr="005E657B">
        <w:rPr>
          <w:szCs w:val="21"/>
        </w:rPr>
        <w:t>，同期业绩比较基准增长率为</w:t>
      </w:r>
      <w:r w:rsidRPr="005E657B">
        <w:rPr>
          <w:szCs w:val="21"/>
        </w:rPr>
        <w:t>-1.50%</w:t>
      </w:r>
      <w:r w:rsidRPr="005E657B">
        <w:rPr>
          <w:szCs w:val="21"/>
        </w:rPr>
        <w:t>。本基金本报告期跟踪偏离度为</w:t>
      </w:r>
      <w:r w:rsidRPr="005E657B">
        <w:rPr>
          <w:szCs w:val="21"/>
        </w:rPr>
        <w:t>+1.75%</w:t>
      </w:r>
      <w:r w:rsidRPr="005E657B">
        <w:rPr>
          <w:szCs w:val="21"/>
        </w:rPr>
        <w:t>，与业绩比较基准产生偏离的主要原因为日常运作费用、指数结构调整、申购赎回、成份股分红等产生的差异。</w:t>
      </w:r>
    </w:p>
    <w:p w:rsidR="00A04F76" w:rsidRPr="00015374" w:rsidRDefault="006360DC" w:rsidP="001C6BC2">
      <w:pPr>
        <w:pStyle w:val="3"/>
        <w:spacing w:before="0" w:after="0" w:line="360" w:lineRule="auto"/>
        <w:jc w:val="left"/>
        <w:rPr>
          <w:b w:val="0"/>
          <w:sz w:val="21"/>
          <w:szCs w:val="21"/>
        </w:rPr>
      </w:pPr>
      <w:r w:rsidRPr="00015374">
        <w:rPr>
          <w:b w:val="0"/>
          <w:sz w:val="21"/>
          <w:szCs w:val="21"/>
        </w:rPr>
        <w:t>4.5</w:t>
      </w:r>
      <w:r w:rsidR="00A04F76" w:rsidRPr="00015374">
        <w:rPr>
          <w:b w:val="0"/>
          <w:sz w:val="21"/>
          <w:szCs w:val="21"/>
        </w:rPr>
        <w:t>报告期内基金持有人数或基金资产净值预警说明</w:t>
      </w:r>
    </w:p>
    <w:p w:rsidR="00A04F76" w:rsidRPr="005E657B" w:rsidRDefault="00A04F76" w:rsidP="005E657B">
      <w:pPr>
        <w:pStyle w:val="11"/>
        <w:spacing w:line="360" w:lineRule="auto"/>
        <w:ind w:firstLine="420"/>
        <w:jc w:val="left"/>
        <w:rPr>
          <w:szCs w:val="21"/>
        </w:rPr>
      </w:pPr>
      <w:r w:rsidRPr="005E657B">
        <w:rPr>
          <w:szCs w:val="21"/>
        </w:rPr>
        <w:t>报告期内，本基金未出现连续二十个工作日基金份额持有人数量不满二百人或者基金资产净值低于五千万元的情形。</w:t>
      </w: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1C0993" w:rsidRPr="00015374">
        <w:rPr>
          <w:rStyle w:val="2CharCharChar"/>
          <w:rFonts w:ascii="Times New Roman" w:hAnsi="Times New Roman" w:cs="Times New Roman"/>
          <w:b/>
          <w:szCs w:val="24"/>
        </w:rPr>
        <w:t>5</w:t>
      </w:r>
      <w:r w:rsidRPr="00015374">
        <w:rPr>
          <w:rStyle w:val="2CharCharChar"/>
          <w:rFonts w:ascii="Times New Roman" w:hAnsi="Times New Roman" w:cs="Times New Roman"/>
          <w:b/>
          <w:szCs w:val="24"/>
        </w:rPr>
        <w:t>投资组合报告</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5.1 </w:t>
      </w:r>
      <w:r w:rsidRPr="00015374">
        <w:rPr>
          <w:b w:val="0"/>
          <w:sz w:val="21"/>
          <w:szCs w:val="21"/>
        </w:rPr>
        <w:t>报告期末基金资产组合情况</w:t>
      </w:r>
    </w:p>
    <w:tbl>
      <w:tblPr>
        <w:tblStyle w:val="af7"/>
        <w:tblW w:w="8326" w:type="dxa"/>
        <w:jc w:val="center"/>
        <w:tblInd w:w="335" w:type="dxa"/>
        <w:tblLayout w:type="fixed"/>
        <w:tblLook w:val="04A0"/>
      </w:tblPr>
      <w:tblGrid>
        <w:gridCol w:w="813"/>
        <w:gridCol w:w="2929"/>
        <w:gridCol w:w="2481"/>
        <w:gridCol w:w="2103"/>
      </w:tblGrid>
      <w:tr w:rsidR="00220C32" w:rsidRPr="00015374" w:rsidTr="003C15BA">
        <w:trPr>
          <w:jc w:val="center"/>
        </w:trPr>
        <w:tc>
          <w:tcPr>
            <w:tcW w:w="813" w:type="dxa"/>
            <w:vAlign w:val="center"/>
          </w:tcPr>
          <w:p w:rsidR="00853140" w:rsidRPr="00015374" w:rsidRDefault="00853140" w:rsidP="00F71057">
            <w:pPr>
              <w:spacing w:before="29" w:line="360" w:lineRule="auto"/>
              <w:ind w:left="17"/>
              <w:jc w:val="center"/>
              <w:rPr>
                <w:color w:val="000000" w:themeColor="text1"/>
                <w:sz w:val="21"/>
              </w:rPr>
            </w:pPr>
            <w:r w:rsidRPr="00015374">
              <w:rPr>
                <w:color w:val="000000" w:themeColor="text1"/>
                <w:sz w:val="21"/>
              </w:rPr>
              <w:t>序号</w:t>
            </w:r>
          </w:p>
        </w:tc>
        <w:tc>
          <w:tcPr>
            <w:tcW w:w="2929" w:type="dxa"/>
            <w:vAlign w:val="center"/>
          </w:tcPr>
          <w:p w:rsidR="00853140" w:rsidRPr="00015374" w:rsidRDefault="00853140" w:rsidP="00F71057">
            <w:pPr>
              <w:spacing w:before="29" w:line="360" w:lineRule="auto"/>
              <w:ind w:left="17"/>
              <w:jc w:val="center"/>
              <w:rPr>
                <w:color w:val="000000" w:themeColor="text1"/>
                <w:sz w:val="21"/>
              </w:rPr>
            </w:pPr>
            <w:r w:rsidRPr="00015374">
              <w:rPr>
                <w:color w:val="000000" w:themeColor="text1"/>
                <w:sz w:val="21"/>
              </w:rPr>
              <w:t>项目</w:t>
            </w:r>
          </w:p>
        </w:tc>
        <w:tc>
          <w:tcPr>
            <w:tcW w:w="2481" w:type="dxa"/>
            <w:vAlign w:val="center"/>
          </w:tcPr>
          <w:p w:rsidR="00853140" w:rsidRPr="00015374" w:rsidRDefault="00853140" w:rsidP="00316484">
            <w:pPr>
              <w:spacing w:before="29" w:line="360" w:lineRule="auto"/>
              <w:ind w:left="17"/>
              <w:jc w:val="center"/>
              <w:rPr>
                <w:color w:val="000000" w:themeColor="text1"/>
                <w:sz w:val="21"/>
              </w:rPr>
            </w:pPr>
            <w:r w:rsidRPr="00015374">
              <w:rPr>
                <w:color w:val="000000" w:themeColor="text1"/>
                <w:sz w:val="21"/>
              </w:rPr>
              <w:t>金额</w:t>
            </w:r>
            <w:r w:rsidR="00D57B7C" w:rsidRPr="00015374">
              <w:rPr>
                <w:color w:val="000000" w:themeColor="text1"/>
                <w:sz w:val="21"/>
              </w:rPr>
              <w:t>(</w:t>
            </w:r>
            <w:r w:rsidRPr="00015374">
              <w:rPr>
                <w:color w:val="000000" w:themeColor="text1"/>
                <w:sz w:val="21"/>
              </w:rPr>
              <w:t>元</w:t>
            </w:r>
            <w:r w:rsidR="00D57B7C" w:rsidRPr="00015374">
              <w:rPr>
                <w:color w:val="000000" w:themeColor="text1"/>
                <w:sz w:val="21"/>
              </w:rPr>
              <w:t>)</w:t>
            </w:r>
          </w:p>
        </w:tc>
        <w:tc>
          <w:tcPr>
            <w:tcW w:w="2103" w:type="dxa"/>
            <w:vAlign w:val="center"/>
          </w:tcPr>
          <w:p w:rsidR="00853140" w:rsidRPr="00015374" w:rsidRDefault="00853140" w:rsidP="00316484">
            <w:pPr>
              <w:spacing w:before="29" w:line="360" w:lineRule="auto"/>
              <w:ind w:left="17"/>
              <w:jc w:val="center"/>
              <w:rPr>
                <w:color w:val="000000" w:themeColor="text1"/>
                <w:sz w:val="21"/>
              </w:rPr>
            </w:pPr>
            <w:r w:rsidRPr="00015374">
              <w:rPr>
                <w:color w:val="000000" w:themeColor="text1"/>
                <w:sz w:val="21"/>
              </w:rPr>
              <w:t>占基金总资产的比例</w:t>
            </w:r>
            <w:r w:rsidR="00D57B7C" w:rsidRPr="00015374">
              <w:rPr>
                <w:color w:val="000000" w:themeColor="text1"/>
                <w:sz w:val="21"/>
              </w:rPr>
              <w:t>(</w:t>
            </w:r>
            <w:r w:rsidRPr="00015374">
              <w:rPr>
                <w:color w:val="000000" w:themeColor="text1"/>
                <w:sz w:val="21"/>
              </w:rPr>
              <w:t>%</w:t>
            </w:r>
            <w:r w:rsidR="00D57B7C"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r w:rsidRPr="00015374">
              <w:rPr>
                <w:color w:val="000000" w:themeColor="text1"/>
                <w:sz w:val="21"/>
              </w:rPr>
              <w:t>1</w:t>
            </w: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权益投资</w:t>
            </w:r>
          </w:p>
        </w:tc>
        <w:tc>
          <w:tcPr>
            <w:tcW w:w="2481" w:type="dxa"/>
            <w:vAlign w:val="center"/>
          </w:tcPr>
          <w:p w:rsidR="00853140" w:rsidRPr="00015374" w:rsidRDefault="00C77AEF" w:rsidP="00C77AEF">
            <w:pPr>
              <w:spacing w:before="29" w:line="360" w:lineRule="auto"/>
              <w:ind w:left="17"/>
              <w:jc w:val="right"/>
              <w:rPr>
                <w:color w:val="000000" w:themeColor="text1"/>
                <w:sz w:val="21"/>
              </w:rPr>
            </w:pPr>
            <w:r w:rsidRPr="00015374">
              <w:rPr>
                <w:color w:val="000000" w:themeColor="text1"/>
                <w:sz w:val="21"/>
              </w:rPr>
              <w:t>235,274,889.96</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99.41</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其中：股票</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235,274,889.96</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99.41</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r w:rsidRPr="00015374">
              <w:rPr>
                <w:color w:val="000000" w:themeColor="text1"/>
                <w:sz w:val="21"/>
              </w:rPr>
              <w:t>2</w:t>
            </w: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固定收益投资</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其中：债券</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87767E">
            <w:pPr>
              <w:adjustRightInd w:val="0"/>
              <w:snapToGrid w:val="0"/>
              <w:spacing w:line="400" w:lineRule="exact"/>
              <w:ind w:firstLineChars="298" w:firstLine="626"/>
              <w:rPr>
                <w:color w:val="000000" w:themeColor="text1"/>
                <w:sz w:val="21"/>
              </w:rPr>
            </w:pPr>
            <w:r w:rsidRPr="00015374">
              <w:rPr>
                <w:color w:val="000000" w:themeColor="text1"/>
                <w:sz w:val="21"/>
              </w:rPr>
              <w:t>资产支持证券</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E17E2C">
            <w:pPr>
              <w:spacing w:before="29" w:line="360" w:lineRule="auto"/>
              <w:ind w:left="17"/>
              <w:jc w:val="center"/>
              <w:rPr>
                <w:color w:val="000000" w:themeColor="text1"/>
                <w:sz w:val="21"/>
              </w:rPr>
            </w:pPr>
            <w:r w:rsidRPr="00015374">
              <w:rPr>
                <w:color w:val="000000" w:themeColor="text1"/>
                <w:sz w:val="21"/>
              </w:rPr>
              <w:t>3</w:t>
            </w:r>
          </w:p>
        </w:tc>
        <w:tc>
          <w:tcPr>
            <w:tcW w:w="2929" w:type="dxa"/>
            <w:vAlign w:val="center"/>
          </w:tcPr>
          <w:p w:rsidR="001D63BB" w:rsidRPr="00015374" w:rsidRDefault="001D63BB" w:rsidP="00BD177E">
            <w:pPr>
              <w:spacing w:before="29" w:line="360" w:lineRule="auto"/>
              <w:ind w:left="17"/>
              <w:rPr>
                <w:color w:val="000000" w:themeColor="text1"/>
                <w:sz w:val="21"/>
              </w:rPr>
            </w:pPr>
            <w:r w:rsidRPr="00015374">
              <w:rPr>
                <w:color w:val="000000" w:themeColor="text1"/>
                <w:sz w:val="21"/>
              </w:rPr>
              <w:t>贵金属投资</w:t>
            </w:r>
          </w:p>
        </w:tc>
        <w:tc>
          <w:tcPr>
            <w:tcW w:w="2481" w:type="dxa"/>
            <w:vAlign w:val="center"/>
          </w:tcPr>
          <w:p w:rsidR="001D63BB" w:rsidRPr="00015374" w:rsidRDefault="001D63BB" w:rsidP="00392086">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392086">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4</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金融衍生品投资</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5</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买入返售金融资产</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1675CD">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其中：买断式回购的买入返售金融资产</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6</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银行存款和结算备付金合计</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1,403,614.29</w:t>
            </w:r>
          </w:p>
        </w:tc>
        <w:tc>
          <w:tcPr>
            <w:tcW w:w="2103" w:type="dxa"/>
            <w:vAlign w:val="center"/>
          </w:tcPr>
          <w:p w:rsidR="001D63BB" w:rsidRPr="00015374" w:rsidRDefault="001D63BB" w:rsidP="001675CD">
            <w:pPr>
              <w:spacing w:before="29" w:line="360" w:lineRule="auto"/>
              <w:ind w:left="17"/>
              <w:jc w:val="right"/>
              <w:rPr>
                <w:color w:val="000000" w:themeColor="text1"/>
                <w:sz w:val="21"/>
              </w:rPr>
            </w:pPr>
            <w:r w:rsidRPr="00015374">
              <w:rPr>
                <w:color w:val="000000" w:themeColor="text1"/>
                <w:sz w:val="21"/>
              </w:rPr>
              <w:t>0.59</w:t>
            </w:r>
          </w:p>
        </w:tc>
      </w:tr>
      <w:tr w:rsidR="00220C32" w:rsidRPr="00015374" w:rsidTr="003C15BA">
        <w:trPr>
          <w:jc w:val="center"/>
        </w:trPr>
        <w:tc>
          <w:tcPr>
            <w:tcW w:w="813" w:type="dxa"/>
            <w:vAlign w:val="center"/>
          </w:tcPr>
          <w:p w:rsidR="001D63BB" w:rsidRPr="00015374" w:rsidRDefault="001D63BB" w:rsidP="001D63BB">
            <w:pPr>
              <w:spacing w:before="29" w:line="360" w:lineRule="auto"/>
              <w:ind w:left="17"/>
              <w:jc w:val="center"/>
              <w:rPr>
                <w:color w:val="000000" w:themeColor="text1"/>
                <w:sz w:val="21"/>
              </w:rPr>
            </w:pPr>
            <w:r w:rsidRPr="00015374">
              <w:rPr>
                <w:color w:val="000000" w:themeColor="text1"/>
                <w:sz w:val="21"/>
              </w:rPr>
              <w:t>7</w:t>
            </w:r>
          </w:p>
        </w:tc>
        <w:tc>
          <w:tcPr>
            <w:tcW w:w="2929" w:type="dxa"/>
            <w:vAlign w:val="center"/>
          </w:tcPr>
          <w:p w:rsidR="001D63BB" w:rsidRPr="00015374" w:rsidRDefault="001D63BB" w:rsidP="00A03AAC">
            <w:pPr>
              <w:jc w:val="left"/>
              <w:rPr>
                <w:color w:val="000000" w:themeColor="text1"/>
                <w:sz w:val="21"/>
              </w:rPr>
            </w:pPr>
            <w:r w:rsidRPr="00015374">
              <w:rPr>
                <w:color w:val="000000" w:themeColor="text1"/>
                <w:sz w:val="21"/>
              </w:rPr>
              <w:t>其他各项资产</w:t>
            </w:r>
          </w:p>
        </w:tc>
        <w:tc>
          <w:tcPr>
            <w:tcW w:w="2481" w:type="dxa"/>
            <w:vAlign w:val="center"/>
          </w:tcPr>
          <w:p w:rsidR="001D63BB" w:rsidRPr="00015374" w:rsidRDefault="001D63BB" w:rsidP="00A03AAC">
            <w:pPr>
              <w:jc w:val="right"/>
              <w:rPr>
                <w:color w:val="000000" w:themeColor="text1"/>
                <w:sz w:val="21"/>
              </w:rPr>
            </w:pPr>
            <w:r w:rsidRPr="00015374">
              <w:rPr>
                <w:color w:val="000000" w:themeColor="text1"/>
                <w:sz w:val="21"/>
              </w:rPr>
              <w:t>3,424.43</w:t>
            </w:r>
          </w:p>
        </w:tc>
        <w:tc>
          <w:tcPr>
            <w:tcW w:w="2103" w:type="dxa"/>
            <w:vAlign w:val="center"/>
          </w:tcPr>
          <w:p w:rsidR="001D63BB" w:rsidRPr="00015374" w:rsidRDefault="001D63BB" w:rsidP="00A03AAC">
            <w:pPr>
              <w:jc w:val="right"/>
              <w:rPr>
                <w:color w:val="000000" w:themeColor="text1"/>
                <w:sz w:val="21"/>
              </w:rPr>
            </w:pPr>
            <w:r w:rsidRPr="00015374">
              <w:rPr>
                <w:color w:val="000000" w:themeColor="text1"/>
                <w:sz w:val="21"/>
              </w:rPr>
              <w:t>0.00</w:t>
            </w:r>
          </w:p>
        </w:tc>
      </w:tr>
      <w:tr w:rsidR="00220C32" w:rsidRPr="00015374" w:rsidTr="003C15BA">
        <w:trPr>
          <w:jc w:val="center"/>
        </w:trPr>
        <w:tc>
          <w:tcPr>
            <w:tcW w:w="813" w:type="dxa"/>
            <w:vAlign w:val="center"/>
          </w:tcPr>
          <w:p w:rsidR="001D63BB" w:rsidRPr="00015374" w:rsidRDefault="001D63BB" w:rsidP="001D63BB">
            <w:pPr>
              <w:spacing w:before="29" w:line="360" w:lineRule="auto"/>
              <w:ind w:left="17"/>
              <w:jc w:val="center"/>
              <w:rPr>
                <w:color w:val="000000" w:themeColor="text1"/>
                <w:sz w:val="21"/>
              </w:rPr>
            </w:pPr>
            <w:r w:rsidRPr="00015374">
              <w:rPr>
                <w:color w:val="000000" w:themeColor="text1"/>
                <w:sz w:val="21"/>
              </w:rPr>
              <w:t>8</w:t>
            </w:r>
          </w:p>
        </w:tc>
        <w:tc>
          <w:tcPr>
            <w:tcW w:w="2929" w:type="dxa"/>
            <w:vAlign w:val="center"/>
          </w:tcPr>
          <w:p w:rsidR="001D63BB" w:rsidRPr="00015374" w:rsidRDefault="001D63BB" w:rsidP="00A03AAC">
            <w:pPr>
              <w:jc w:val="left"/>
              <w:rPr>
                <w:color w:val="000000" w:themeColor="text1"/>
                <w:sz w:val="21"/>
              </w:rPr>
            </w:pPr>
            <w:r w:rsidRPr="00015374">
              <w:rPr>
                <w:color w:val="000000" w:themeColor="text1"/>
                <w:sz w:val="21"/>
              </w:rPr>
              <w:t>合计</w:t>
            </w:r>
          </w:p>
        </w:tc>
        <w:tc>
          <w:tcPr>
            <w:tcW w:w="2481" w:type="dxa"/>
            <w:vAlign w:val="center"/>
          </w:tcPr>
          <w:p w:rsidR="001D63BB" w:rsidRPr="00015374" w:rsidRDefault="001D63BB" w:rsidP="00A03AAC">
            <w:pPr>
              <w:jc w:val="right"/>
              <w:rPr>
                <w:color w:val="000000" w:themeColor="text1"/>
                <w:sz w:val="21"/>
              </w:rPr>
            </w:pPr>
            <w:r w:rsidRPr="00015374">
              <w:rPr>
                <w:color w:val="000000" w:themeColor="text1"/>
                <w:sz w:val="21"/>
              </w:rPr>
              <w:t>236,681,928.68</w:t>
            </w:r>
          </w:p>
        </w:tc>
        <w:tc>
          <w:tcPr>
            <w:tcW w:w="2103" w:type="dxa"/>
            <w:vAlign w:val="center"/>
          </w:tcPr>
          <w:p w:rsidR="001D63BB" w:rsidRPr="00015374" w:rsidRDefault="001D63BB" w:rsidP="001675CD">
            <w:pPr>
              <w:jc w:val="right"/>
              <w:rPr>
                <w:color w:val="000000" w:themeColor="text1"/>
                <w:sz w:val="21"/>
              </w:rPr>
            </w:pPr>
            <w:r w:rsidRPr="00015374">
              <w:rPr>
                <w:color w:val="000000" w:themeColor="text1"/>
                <w:sz w:val="21"/>
              </w:rPr>
              <w:t>100.00</w:t>
            </w:r>
          </w:p>
        </w:tc>
      </w:tr>
    </w:tbl>
    <w:p w:rsidR="004061AC" w:rsidRPr="00015374" w:rsidRDefault="001675CD" w:rsidP="00183BFC">
      <w:pPr>
        <w:pStyle w:val="11"/>
        <w:spacing w:line="360" w:lineRule="auto"/>
        <w:ind w:firstLine="420"/>
        <w:jc w:val="left"/>
        <w:rPr>
          <w:szCs w:val="21"/>
        </w:rPr>
      </w:pPr>
      <w:r w:rsidRPr="00015374">
        <w:rPr>
          <w:szCs w:val="21"/>
        </w:rPr>
        <w:t>注：股票投资的公允价值包含可退替代款的估值增值。</w:t>
      </w:r>
    </w:p>
    <w:p w:rsidR="00F36B28" w:rsidRPr="00015374" w:rsidRDefault="00F36B28" w:rsidP="001C6BC2">
      <w:pPr>
        <w:pStyle w:val="3"/>
        <w:spacing w:before="0" w:after="0" w:line="360" w:lineRule="auto"/>
        <w:jc w:val="left"/>
        <w:rPr>
          <w:b w:val="0"/>
          <w:sz w:val="21"/>
          <w:szCs w:val="21"/>
        </w:rPr>
      </w:pPr>
      <w:r w:rsidRPr="00015374">
        <w:rPr>
          <w:b w:val="0"/>
          <w:sz w:val="21"/>
          <w:szCs w:val="21"/>
        </w:rPr>
        <w:t xml:space="preserve">5.2 </w:t>
      </w:r>
      <w:r w:rsidRPr="00015374">
        <w:rPr>
          <w:b w:val="0"/>
          <w:sz w:val="21"/>
          <w:szCs w:val="21"/>
        </w:rPr>
        <w:t>报告期末按行业分类的股票投资组合</w:t>
      </w:r>
    </w:p>
    <w:p w:rsidR="00F36B28" w:rsidRPr="00015374" w:rsidRDefault="00F36B28" w:rsidP="001C6BC2">
      <w:pPr>
        <w:pStyle w:val="3"/>
        <w:spacing w:before="0" w:after="0" w:line="360" w:lineRule="auto"/>
        <w:jc w:val="left"/>
        <w:rPr>
          <w:b w:val="0"/>
          <w:sz w:val="21"/>
          <w:szCs w:val="21"/>
        </w:rPr>
      </w:pPr>
      <w:r w:rsidRPr="00015374">
        <w:rPr>
          <w:b w:val="0"/>
          <w:sz w:val="21"/>
          <w:szCs w:val="21"/>
        </w:rPr>
        <w:t xml:space="preserve">5.2.1 </w:t>
      </w:r>
      <w:r w:rsidRPr="00015374">
        <w:rPr>
          <w:b w:val="0"/>
          <w:sz w:val="21"/>
          <w:szCs w:val="21"/>
        </w:rPr>
        <w:t>报告期末按行业分类的境内股票投资组合</w:t>
      </w:r>
    </w:p>
    <w:tbl>
      <w:tblPr>
        <w:tblW w:w="8314"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10"/>
        <w:gridCol w:w="3521"/>
        <w:gridCol w:w="2007"/>
        <w:gridCol w:w="2076"/>
      </w:tblGrid>
      <w:tr w:rsidR="00220C32" w:rsidRPr="00015374" w:rsidTr="003C15BA">
        <w:trPr>
          <w:trHeight w:val="39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代码</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B04CC9">
            <w:pPr>
              <w:adjustRightInd w:val="0"/>
              <w:snapToGrid w:val="0"/>
              <w:spacing w:line="400" w:lineRule="exact"/>
              <w:jc w:val="center"/>
              <w:rPr>
                <w:color w:val="000000" w:themeColor="text1"/>
              </w:rPr>
            </w:pPr>
            <w:r w:rsidRPr="00015374">
              <w:rPr>
                <w:color w:val="000000" w:themeColor="text1"/>
              </w:rPr>
              <w:t>行业类别</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1EF0">
            <w:pPr>
              <w:adjustRightInd w:val="0"/>
              <w:snapToGrid w:val="0"/>
              <w:spacing w:line="400" w:lineRule="exact"/>
              <w:jc w:val="center"/>
              <w:rPr>
                <w:color w:val="000000" w:themeColor="text1"/>
              </w:rPr>
            </w:pPr>
            <w:r w:rsidRPr="00015374">
              <w:rPr>
                <w:color w:val="000000" w:themeColor="text1"/>
              </w:rPr>
              <w:t>公允价值（元）</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1EF0">
            <w:pPr>
              <w:adjustRightInd w:val="0"/>
              <w:snapToGrid w:val="0"/>
              <w:spacing w:line="400" w:lineRule="exact"/>
              <w:jc w:val="center"/>
              <w:rPr>
                <w:color w:val="000000" w:themeColor="text1"/>
              </w:rPr>
            </w:pPr>
            <w:r w:rsidRPr="00015374">
              <w:rPr>
                <w:color w:val="000000" w:themeColor="text1"/>
              </w:rPr>
              <w:t>占基金资产净值比例（％）</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A</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农、林、牧、渔业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1EF0">
            <w:pPr>
              <w:autoSpaceDE w:val="0"/>
              <w:autoSpaceDN w:val="0"/>
              <w:adjustRightInd w:val="0"/>
              <w:spacing w:before="29" w:line="360" w:lineRule="auto"/>
              <w:ind w:left="15"/>
              <w:jc w:val="right"/>
              <w:rPr>
                <w:color w:val="000000" w:themeColor="text1"/>
              </w:rPr>
            </w:pPr>
            <w:r w:rsidRPr="00015374">
              <w:rPr>
                <w:color w:val="000000" w:themeColor="text1"/>
              </w:rPr>
              <w:t>2,729,673.00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1EF0">
            <w:pPr>
              <w:autoSpaceDE w:val="0"/>
              <w:autoSpaceDN w:val="0"/>
              <w:adjustRightInd w:val="0"/>
              <w:spacing w:before="29" w:line="360" w:lineRule="auto"/>
              <w:ind w:left="15"/>
              <w:jc w:val="right"/>
              <w:rPr>
                <w:color w:val="000000" w:themeColor="text1"/>
              </w:rPr>
            </w:pPr>
            <w:r w:rsidRPr="00015374">
              <w:rPr>
                <w:color w:val="000000" w:themeColor="text1"/>
              </w:rPr>
              <w:t>1.15</w:t>
            </w:r>
          </w:p>
        </w:tc>
      </w:tr>
      <w:tr w:rsidR="00220C32" w:rsidRPr="00015374" w:rsidTr="00A374DB">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B</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采矿业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A374DB">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A374DB">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C</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制造业</w:t>
            </w:r>
          </w:p>
        </w:tc>
        <w:tc>
          <w:tcPr>
            <w:tcW w:w="2007" w:type="dxa"/>
            <w:tcBorders>
              <w:top w:val="single" w:sz="4" w:space="0" w:color="000000"/>
              <w:left w:val="single" w:sz="4" w:space="0" w:color="auto"/>
              <w:bottom w:val="single" w:sz="4" w:space="0" w:color="000000"/>
              <w:right w:val="single" w:sz="4" w:space="0" w:color="000000"/>
            </w:tcBorders>
            <w:vAlign w:val="bottom"/>
          </w:tcPr>
          <w:p w:rsidR="00531F10" w:rsidRPr="00015374" w:rsidRDefault="00531F10" w:rsidP="00171EF0">
            <w:pPr>
              <w:jc w:val="right"/>
              <w:rPr>
                <w:color w:val="000000" w:themeColor="text1"/>
              </w:rPr>
            </w:pPr>
            <w:r w:rsidRPr="00015374">
              <w:rPr>
                <w:color w:val="000000" w:themeColor="text1"/>
              </w:rPr>
              <w:t>209,206,695.96</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015374" w:rsidRDefault="00531F10" w:rsidP="00171EF0">
            <w:pPr>
              <w:jc w:val="right"/>
              <w:rPr>
                <w:color w:val="000000" w:themeColor="text1"/>
              </w:rPr>
            </w:pPr>
            <w:r w:rsidRPr="00015374">
              <w:rPr>
                <w:color w:val="000000" w:themeColor="text1"/>
              </w:rPr>
              <w:t>88.51</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D</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电力、热力、燃气及水生产和供应业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E</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建筑业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F</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批发和零售业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22,787,669.40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9.64</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G</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交通运输、仓储和邮政业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H</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住宿和餐饮业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I</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DB308C">
            <w:pPr>
              <w:adjustRightInd w:val="0"/>
              <w:snapToGrid w:val="0"/>
              <w:spacing w:line="400" w:lineRule="exact"/>
              <w:rPr>
                <w:color w:val="000000" w:themeColor="text1"/>
              </w:rPr>
            </w:pPr>
            <w:r w:rsidRPr="00015374">
              <w:rPr>
                <w:color w:val="000000" w:themeColor="text1"/>
              </w:rPr>
              <w:t>信息传输、软件和信息技术服务业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B04CC9" w:rsidP="00642FB7">
            <w:pPr>
              <w:jc w:val="right"/>
              <w:rPr>
                <w:color w:val="000000" w:themeColor="text1"/>
              </w:rPr>
            </w:pPr>
            <w:r w:rsidRPr="00015374">
              <w:rPr>
                <w:color w:val="000000" w:themeColor="text1"/>
                <w:kern w:val="0"/>
              </w:rPr>
              <w:t>550,851.60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B04CC9" w:rsidP="00642FB7">
            <w:pPr>
              <w:jc w:val="right"/>
              <w:rPr>
                <w:color w:val="000000" w:themeColor="text1"/>
              </w:rPr>
            </w:pPr>
            <w:r w:rsidRPr="00015374">
              <w:rPr>
                <w:color w:val="000000" w:themeColor="text1"/>
                <w:kern w:val="0"/>
              </w:rPr>
              <w:t>0.23</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J</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金融业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K</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房地产业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L</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租赁和商务服务业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M</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科学研究和技术服务业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N</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水利、环境和公共设施管理业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O</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居民服务、修理和其他服务业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P</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教育</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Q</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卫生和社会工作</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R</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文化、体育和娱乐业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S</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综合</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合计</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235,274,889.96</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99.54</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5.3 </w:t>
      </w:r>
      <w:r w:rsidRPr="00015374">
        <w:rPr>
          <w:b w:val="0"/>
          <w:sz w:val="21"/>
          <w:szCs w:val="21"/>
        </w:rPr>
        <w:t>报告期末按公允价值占基金资产净值比例大小排序的前十名股票投资明细</w:t>
      </w:r>
    </w:p>
    <w:tbl>
      <w:tblPr>
        <w:tblStyle w:val="af7"/>
        <w:tblW w:w="0" w:type="auto"/>
        <w:tblInd w:w="108" w:type="dxa"/>
        <w:tblLayout w:type="fixed"/>
        <w:tblLook w:val="04A0"/>
      </w:tblPr>
      <w:tblGrid>
        <w:gridCol w:w="709"/>
        <w:gridCol w:w="1276"/>
        <w:gridCol w:w="1701"/>
        <w:gridCol w:w="1276"/>
        <w:gridCol w:w="1842"/>
        <w:gridCol w:w="1560"/>
      </w:tblGrid>
      <w:tr w:rsidR="00220C32" w:rsidRPr="00015374" w:rsidTr="003C15BA">
        <w:tc>
          <w:tcPr>
            <w:tcW w:w="709"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序号</w:t>
            </w:r>
          </w:p>
        </w:tc>
        <w:tc>
          <w:tcPr>
            <w:tcW w:w="1276"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股票代码</w:t>
            </w:r>
          </w:p>
        </w:tc>
        <w:tc>
          <w:tcPr>
            <w:tcW w:w="1701"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股票名称</w:t>
            </w:r>
          </w:p>
        </w:tc>
        <w:tc>
          <w:tcPr>
            <w:tcW w:w="1276"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数量</w:t>
            </w:r>
            <w:r w:rsidR="00D57B7C" w:rsidRPr="00015374">
              <w:rPr>
                <w:color w:val="000000" w:themeColor="text1"/>
                <w:sz w:val="21"/>
              </w:rPr>
              <w:t>(</w:t>
            </w:r>
            <w:r w:rsidRPr="00015374">
              <w:rPr>
                <w:color w:val="000000" w:themeColor="text1"/>
                <w:sz w:val="21"/>
              </w:rPr>
              <w:t>股</w:t>
            </w:r>
            <w:r w:rsidR="00D57B7C" w:rsidRPr="00015374">
              <w:rPr>
                <w:color w:val="000000" w:themeColor="text1"/>
                <w:sz w:val="21"/>
              </w:rPr>
              <w:t>)</w:t>
            </w:r>
          </w:p>
        </w:tc>
        <w:tc>
          <w:tcPr>
            <w:tcW w:w="1842" w:type="dxa"/>
            <w:vAlign w:val="center"/>
          </w:tcPr>
          <w:p w:rsidR="00853140" w:rsidRPr="00015374" w:rsidRDefault="00853140" w:rsidP="006E042A">
            <w:pPr>
              <w:autoSpaceDE w:val="0"/>
              <w:autoSpaceDN w:val="0"/>
              <w:adjustRightInd w:val="0"/>
              <w:spacing w:before="29" w:line="360" w:lineRule="auto"/>
              <w:ind w:left="17"/>
              <w:jc w:val="center"/>
              <w:rPr>
                <w:color w:val="000000" w:themeColor="text1"/>
                <w:sz w:val="21"/>
              </w:rPr>
            </w:pPr>
            <w:r w:rsidRPr="00015374">
              <w:rPr>
                <w:color w:val="000000" w:themeColor="text1"/>
                <w:sz w:val="21"/>
              </w:rPr>
              <w:t>公允价值</w:t>
            </w:r>
            <w:r w:rsidRPr="00015374">
              <w:rPr>
                <w:color w:val="000000" w:themeColor="text1"/>
                <w:sz w:val="21"/>
              </w:rPr>
              <w:t>(</w:t>
            </w:r>
            <w:r w:rsidRPr="00015374">
              <w:rPr>
                <w:color w:val="000000" w:themeColor="text1"/>
                <w:sz w:val="21"/>
              </w:rPr>
              <w:t>元</w:t>
            </w:r>
            <w:r w:rsidRPr="00015374">
              <w:rPr>
                <w:color w:val="000000" w:themeColor="text1"/>
                <w:sz w:val="21"/>
              </w:rPr>
              <w:t>)</w:t>
            </w:r>
          </w:p>
        </w:tc>
        <w:tc>
          <w:tcPr>
            <w:tcW w:w="1560"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占基金资产净值比例</w:t>
            </w:r>
            <w:r w:rsidR="00D57B7C" w:rsidRPr="00015374">
              <w:rPr>
                <w:color w:val="000000" w:themeColor="text1"/>
                <w:sz w:val="21"/>
              </w:rPr>
              <w:t>(</w:t>
            </w:r>
            <w:r w:rsidRPr="00015374">
              <w:rPr>
                <w:color w:val="000000" w:themeColor="text1"/>
                <w:sz w:val="21"/>
              </w:rPr>
              <w:t>％</w:t>
            </w:r>
            <w:r w:rsidR="00D57B7C" w:rsidRPr="00015374">
              <w:rPr>
                <w:color w:val="000000" w:themeColor="text1"/>
                <w:sz w:val="21"/>
              </w:rPr>
              <w:t>)</w:t>
            </w:r>
          </w:p>
        </w:tc>
      </w:tr>
      <w:tr w:rsidR="0057060B">
        <w:tc>
          <w:tcPr>
            <w:tcW w:w="709" w:type="dxa"/>
            <w:vAlign w:val="center"/>
          </w:tcPr>
          <w:p w:rsidR="0057060B" w:rsidRDefault="00185132">
            <w:pPr>
              <w:jc w:val="center"/>
            </w:pPr>
            <w:r>
              <w:rPr>
                <w:color w:val="000000" w:themeColor="text1"/>
                <w:sz w:val="21"/>
              </w:rPr>
              <w:t>1</w:t>
            </w:r>
          </w:p>
        </w:tc>
        <w:tc>
          <w:tcPr>
            <w:tcW w:w="1276" w:type="dxa"/>
            <w:vAlign w:val="center"/>
          </w:tcPr>
          <w:p w:rsidR="0057060B" w:rsidRDefault="00185132">
            <w:pPr>
              <w:jc w:val="center"/>
            </w:pPr>
            <w:r>
              <w:rPr>
                <w:color w:val="000000" w:themeColor="text1"/>
                <w:sz w:val="21"/>
              </w:rPr>
              <w:t>600519</w:t>
            </w:r>
          </w:p>
        </w:tc>
        <w:tc>
          <w:tcPr>
            <w:tcW w:w="1701" w:type="dxa"/>
            <w:vAlign w:val="center"/>
          </w:tcPr>
          <w:p w:rsidR="0057060B" w:rsidRDefault="00185132">
            <w:pPr>
              <w:jc w:val="center"/>
            </w:pPr>
            <w:r>
              <w:rPr>
                <w:color w:val="000000" w:themeColor="text1"/>
                <w:sz w:val="21"/>
              </w:rPr>
              <w:t>贵州茅台</w:t>
            </w:r>
          </w:p>
        </w:tc>
        <w:tc>
          <w:tcPr>
            <w:tcW w:w="1276" w:type="dxa"/>
            <w:vAlign w:val="center"/>
          </w:tcPr>
          <w:p w:rsidR="0057060B" w:rsidRDefault="00185132">
            <w:pPr>
              <w:jc w:val="right"/>
            </w:pPr>
            <w:r>
              <w:rPr>
                <w:color w:val="000000" w:themeColor="text1"/>
                <w:sz w:val="21"/>
              </w:rPr>
              <w:t>38,241</w:t>
            </w:r>
          </w:p>
        </w:tc>
        <w:tc>
          <w:tcPr>
            <w:tcW w:w="1842" w:type="dxa"/>
            <w:vAlign w:val="center"/>
          </w:tcPr>
          <w:p w:rsidR="0057060B" w:rsidRDefault="00185132">
            <w:pPr>
              <w:jc w:val="right"/>
            </w:pPr>
            <w:r>
              <w:rPr>
                <w:color w:val="000000" w:themeColor="text1"/>
                <w:sz w:val="21"/>
              </w:rPr>
              <w:t>43,977,150.00</w:t>
            </w:r>
          </w:p>
        </w:tc>
        <w:tc>
          <w:tcPr>
            <w:tcW w:w="1560" w:type="dxa"/>
            <w:vAlign w:val="center"/>
          </w:tcPr>
          <w:p w:rsidR="0057060B" w:rsidRDefault="00185132">
            <w:pPr>
              <w:jc w:val="right"/>
            </w:pPr>
            <w:r>
              <w:rPr>
                <w:color w:val="000000" w:themeColor="text1"/>
                <w:sz w:val="21"/>
              </w:rPr>
              <w:t>18.61</w:t>
            </w:r>
          </w:p>
        </w:tc>
      </w:tr>
      <w:tr w:rsidR="0057060B">
        <w:tc>
          <w:tcPr>
            <w:tcW w:w="709" w:type="dxa"/>
            <w:vAlign w:val="center"/>
          </w:tcPr>
          <w:p w:rsidR="0057060B" w:rsidRDefault="00185132">
            <w:pPr>
              <w:jc w:val="center"/>
            </w:pPr>
            <w:r>
              <w:rPr>
                <w:color w:val="000000" w:themeColor="text1"/>
                <w:sz w:val="21"/>
              </w:rPr>
              <w:t>2</w:t>
            </w:r>
          </w:p>
        </w:tc>
        <w:tc>
          <w:tcPr>
            <w:tcW w:w="1276" w:type="dxa"/>
            <w:vAlign w:val="center"/>
          </w:tcPr>
          <w:p w:rsidR="0057060B" w:rsidRDefault="00185132">
            <w:pPr>
              <w:jc w:val="center"/>
            </w:pPr>
            <w:r>
              <w:rPr>
                <w:color w:val="000000" w:themeColor="text1"/>
                <w:sz w:val="21"/>
              </w:rPr>
              <w:t>603288</w:t>
            </w:r>
          </w:p>
        </w:tc>
        <w:tc>
          <w:tcPr>
            <w:tcW w:w="1701" w:type="dxa"/>
            <w:vAlign w:val="center"/>
          </w:tcPr>
          <w:p w:rsidR="0057060B" w:rsidRDefault="00185132">
            <w:pPr>
              <w:jc w:val="center"/>
            </w:pPr>
            <w:r>
              <w:rPr>
                <w:color w:val="000000" w:themeColor="text1"/>
                <w:sz w:val="21"/>
              </w:rPr>
              <w:t>海天味业</w:t>
            </w:r>
          </w:p>
        </w:tc>
        <w:tc>
          <w:tcPr>
            <w:tcW w:w="1276" w:type="dxa"/>
            <w:vAlign w:val="center"/>
          </w:tcPr>
          <w:p w:rsidR="0057060B" w:rsidRDefault="00185132">
            <w:pPr>
              <w:jc w:val="right"/>
            </w:pPr>
            <w:r>
              <w:rPr>
                <w:color w:val="000000" w:themeColor="text1"/>
                <w:sz w:val="21"/>
              </w:rPr>
              <w:t>320,290</w:t>
            </w:r>
          </w:p>
        </w:tc>
        <w:tc>
          <w:tcPr>
            <w:tcW w:w="1842" w:type="dxa"/>
            <w:vAlign w:val="center"/>
          </w:tcPr>
          <w:p w:rsidR="0057060B" w:rsidRDefault="00185132">
            <w:pPr>
              <w:jc w:val="right"/>
            </w:pPr>
            <w:r>
              <w:rPr>
                <w:color w:val="000000" w:themeColor="text1"/>
                <w:sz w:val="21"/>
              </w:rPr>
              <w:t>35,203,073.90</w:t>
            </w:r>
          </w:p>
        </w:tc>
        <w:tc>
          <w:tcPr>
            <w:tcW w:w="1560" w:type="dxa"/>
            <w:vAlign w:val="center"/>
          </w:tcPr>
          <w:p w:rsidR="0057060B" w:rsidRDefault="00185132">
            <w:pPr>
              <w:jc w:val="right"/>
            </w:pPr>
            <w:r>
              <w:rPr>
                <w:color w:val="000000" w:themeColor="text1"/>
                <w:sz w:val="21"/>
              </w:rPr>
              <w:t>14.89</w:t>
            </w:r>
          </w:p>
        </w:tc>
      </w:tr>
      <w:tr w:rsidR="0057060B">
        <w:tc>
          <w:tcPr>
            <w:tcW w:w="709" w:type="dxa"/>
            <w:vAlign w:val="center"/>
          </w:tcPr>
          <w:p w:rsidR="0057060B" w:rsidRDefault="00185132">
            <w:pPr>
              <w:jc w:val="center"/>
            </w:pPr>
            <w:r>
              <w:rPr>
                <w:color w:val="000000" w:themeColor="text1"/>
                <w:sz w:val="21"/>
              </w:rPr>
              <w:t>3</w:t>
            </w:r>
          </w:p>
        </w:tc>
        <w:tc>
          <w:tcPr>
            <w:tcW w:w="1276" w:type="dxa"/>
            <w:vAlign w:val="center"/>
          </w:tcPr>
          <w:p w:rsidR="0057060B" w:rsidRDefault="00185132">
            <w:pPr>
              <w:jc w:val="center"/>
            </w:pPr>
            <w:r>
              <w:rPr>
                <w:color w:val="000000" w:themeColor="text1"/>
                <w:sz w:val="21"/>
              </w:rPr>
              <w:t>600887</w:t>
            </w:r>
          </w:p>
        </w:tc>
        <w:tc>
          <w:tcPr>
            <w:tcW w:w="1701" w:type="dxa"/>
            <w:vAlign w:val="center"/>
          </w:tcPr>
          <w:p w:rsidR="0057060B" w:rsidRDefault="00185132">
            <w:pPr>
              <w:jc w:val="center"/>
            </w:pPr>
            <w:r>
              <w:rPr>
                <w:color w:val="000000" w:themeColor="text1"/>
                <w:sz w:val="21"/>
              </w:rPr>
              <w:t>伊利股份</w:t>
            </w:r>
          </w:p>
        </w:tc>
        <w:tc>
          <w:tcPr>
            <w:tcW w:w="1276" w:type="dxa"/>
            <w:vAlign w:val="center"/>
          </w:tcPr>
          <w:p w:rsidR="0057060B" w:rsidRDefault="00185132">
            <w:pPr>
              <w:jc w:val="right"/>
            </w:pPr>
            <w:r>
              <w:rPr>
                <w:color w:val="000000" w:themeColor="text1"/>
                <w:sz w:val="21"/>
              </w:rPr>
              <w:t>1,079,265</w:t>
            </w:r>
          </w:p>
        </w:tc>
        <w:tc>
          <w:tcPr>
            <w:tcW w:w="1842" w:type="dxa"/>
            <w:vAlign w:val="center"/>
          </w:tcPr>
          <w:p w:rsidR="0057060B" w:rsidRDefault="00185132">
            <w:pPr>
              <w:jc w:val="right"/>
            </w:pPr>
            <w:r>
              <w:rPr>
                <w:color w:val="000000" w:themeColor="text1"/>
                <w:sz w:val="21"/>
              </w:rPr>
              <w:t>30,780,637.80</w:t>
            </w:r>
          </w:p>
        </w:tc>
        <w:tc>
          <w:tcPr>
            <w:tcW w:w="1560" w:type="dxa"/>
            <w:vAlign w:val="center"/>
          </w:tcPr>
          <w:p w:rsidR="0057060B" w:rsidRDefault="00185132">
            <w:pPr>
              <w:jc w:val="right"/>
            </w:pPr>
            <w:r>
              <w:rPr>
                <w:color w:val="000000" w:themeColor="text1"/>
                <w:sz w:val="21"/>
              </w:rPr>
              <w:t>13.02</w:t>
            </w:r>
          </w:p>
        </w:tc>
      </w:tr>
      <w:tr w:rsidR="0057060B">
        <w:tc>
          <w:tcPr>
            <w:tcW w:w="709" w:type="dxa"/>
            <w:vAlign w:val="center"/>
          </w:tcPr>
          <w:p w:rsidR="0057060B" w:rsidRDefault="00185132">
            <w:pPr>
              <w:jc w:val="center"/>
            </w:pPr>
            <w:r>
              <w:rPr>
                <w:color w:val="000000" w:themeColor="text1"/>
                <w:sz w:val="21"/>
              </w:rPr>
              <w:t>4</w:t>
            </w:r>
          </w:p>
        </w:tc>
        <w:tc>
          <w:tcPr>
            <w:tcW w:w="1276" w:type="dxa"/>
            <w:vAlign w:val="center"/>
          </w:tcPr>
          <w:p w:rsidR="0057060B" w:rsidRDefault="00185132">
            <w:pPr>
              <w:jc w:val="center"/>
            </w:pPr>
            <w:r>
              <w:rPr>
                <w:color w:val="000000" w:themeColor="text1"/>
                <w:sz w:val="21"/>
              </w:rPr>
              <w:t>601933</w:t>
            </w:r>
          </w:p>
        </w:tc>
        <w:tc>
          <w:tcPr>
            <w:tcW w:w="1701" w:type="dxa"/>
            <w:vAlign w:val="center"/>
          </w:tcPr>
          <w:p w:rsidR="0057060B" w:rsidRDefault="00185132">
            <w:pPr>
              <w:jc w:val="center"/>
            </w:pPr>
            <w:r>
              <w:rPr>
                <w:color w:val="000000" w:themeColor="text1"/>
                <w:sz w:val="21"/>
              </w:rPr>
              <w:t>永辉超市</w:t>
            </w:r>
          </w:p>
        </w:tc>
        <w:tc>
          <w:tcPr>
            <w:tcW w:w="1276" w:type="dxa"/>
            <w:vAlign w:val="center"/>
          </w:tcPr>
          <w:p w:rsidR="0057060B" w:rsidRDefault="00185132">
            <w:pPr>
              <w:jc w:val="right"/>
            </w:pPr>
            <w:r>
              <w:rPr>
                <w:color w:val="000000" w:themeColor="text1"/>
                <w:sz w:val="21"/>
              </w:rPr>
              <w:t>1,514,690</w:t>
            </w:r>
          </w:p>
        </w:tc>
        <w:tc>
          <w:tcPr>
            <w:tcW w:w="1842" w:type="dxa"/>
            <w:vAlign w:val="center"/>
          </w:tcPr>
          <w:p w:rsidR="0057060B" w:rsidRDefault="00185132">
            <w:pPr>
              <w:jc w:val="right"/>
            </w:pPr>
            <w:r>
              <w:rPr>
                <w:color w:val="000000" w:themeColor="text1"/>
                <w:sz w:val="21"/>
              </w:rPr>
              <w:t>13,465,594.10</w:t>
            </w:r>
          </w:p>
        </w:tc>
        <w:tc>
          <w:tcPr>
            <w:tcW w:w="1560" w:type="dxa"/>
            <w:vAlign w:val="center"/>
          </w:tcPr>
          <w:p w:rsidR="0057060B" w:rsidRDefault="00185132">
            <w:pPr>
              <w:jc w:val="right"/>
            </w:pPr>
            <w:r>
              <w:rPr>
                <w:color w:val="000000" w:themeColor="text1"/>
                <w:sz w:val="21"/>
              </w:rPr>
              <w:t>5.70</w:t>
            </w:r>
          </w:p>
        </w:tc>
      </w:tr>
      <w:tr w:rsidR="0057060B">
        <w:tc>
          <w:tcPr>
            <w:tcW w:w="709" w:type="dxa"/>
            <w:vAlign w:val="center"/>
          </w:tcPr>
          <w:p w:rsidR="0057060B" w:rsidRDefault="00185132">
            <w:pPr>
              <w:jc w:val="center"/>
            </w:pPr>
            <w:r>
              <w:rPr>
                <w:color w:val="000000" w:themeColor="text1"/>
                <w:sz w:val="21"/>
              </w:rPr>
              <w:t>5</w:t>
            </w:r>
          </w:p>
        </w:tc>
        <w:tc>
          <w:tcPr>
            <w:tcW w:w="1276" w:type="dxa"/>
            <w:vAlign w:val="center"/>
          </w:tcPr>
          <w:p w:rsidR="0057060B" w:rsidRDefault="00185132">
            <w:pPr>
              <w:jc w:val="center"/>
            </w:pPr>
            <w:r>
              <w:rPr>
                <w:color w:val="000000" w:themeColor="text1"/>
                <w:sz w:val="21"/>
              </w:rPr>
              <w:t>600438</w:t>
            </w:r>
          </w:p>
        </w:tc>
        <w:tc>
          <w:tcPr>
            <w:tcW w:w="1701" w:type="dxa"/>
            <w:vAlign w:val="center"/>
          </w:tcPr>
          <w:p w:rsidR="0057060B" w:rsidRDefault="00185132">
            <w:pPr>
              <w:jc w:val="center"/>
            </w:pPr>
            <w:r>
              <w:rPr>
                <w:color w:val="000000" w:themeColor="text1"/>
                <w:sz w:val="21"/>
              </w:rPr>
              <w:t>通威股份</w:t>
            </w:r>
          </w:p>
        </w:tc>
        <w:tc>
          <w:tcPr>
            <w:tcW w:w="1276" w:type="dxa"/>
            <w:vAlign w:val="center"/>
          </w:tcPr>
          <w:p w:rsidR="0057060B" w:rsidRDefault="00185132">
            <w:pPr>
              <w:jc w:val="right"/>
            </w:pPr>
            <w:r>
              <w:rPr>
                <w:color w:val="000000" w:themeColor="text1"/>
                <w:sz w:val="21"/>
              </w:rPr>
              <w:t>767,800</w:t>
            </w:r>
          </w:p>
        </w:tc>
        <w:tc>
          <w:tcPr>
            <w:tcW w:w="1842" w:type="dxa"/>
            <w:vAlign w:val="center"/>
          </w:tcPr>
          <w:p w:rsidR="0057060B" w:rsidRDefault="00185132">
            <w:pPr>
              <w:jc w:val="right"/>
            </w:pPr>
            <w:r>
              <w:rPr>
                <w:color w:val="000000" w:themeColor="text1"/>
                <w:sz w:val="21"/>
              </w:rPr>
              <w:t>9,781,772.00</w:t>
            </w:r>
          </w:p>
        </w:tc>
        <w:tc>
          <w:tcPr>
            <w:tcW w:w="1560" w:type="dxa"/>
            <w:vAlign w:val="center"/>
          </w:tcPr>
          <w:p w:rsidR="0057060B" w:rsidRDefault="00185132">
            <w:pPr>
              <w:jc w:val="right"/>
            </w:pPr>
            <w:r>
              <w:rPr>
                <w:color w:val="000000" w:themeColor="text1"/>
                <w:sz w:val="21"/>
              </w:rPr>
              <w:t>4.14</w:t>
            </w:r>
          </w:p>
        </w:tc>
      </w:tr>
      <w:tr w:rsidR="0057060B">
        <w:tc>
          <w:tcPr>
            <w:tcW w:w="709" w:type="dxa"/>
            <w:vAlign w:val="center"/>
          </w:tcPr>
          <w:p w:rsidR="0057060B" w:rsidRDefault="00185132">
            <w:pPr>
              <w:jc w:val="center"/>
            </w:pPr>
            <w:r>
              <w:rPr>
                <w:color w:val="000000" w:themeColor="text1"/>
                <w:sz w:val="21"/>
              </w:rPr>
              <w:t>6</w:t>
            </w:r>
          </w:p>
        </w:tc>
        <w:tc>
          <w:tcPr>
            <w:tcW w:w="1276" w:type="dxa"/>
            <w:vAlign w:val="center"/>
          </w:tcPr>
          <w:p w:rsidR="0057060B" w:rsidRDefault="00185132">
            <w:pPr>
              <w:jc w:val="center"/>
            </w:pPr>
            <w:r>
              <w:rPr>
                <w:color w:val="000000" w:themeColor="text1"/>
                <w:sz w:val="21"/>
              </w:rPr>
              <w:t>600872</w:t>
            </w:r>
          </w:p>
        </w:tc>
        <w:tc>
          <w:tcPr>
            <w:tcW w:w="1701" w:type="dxa"/>
            <w:vAlign w:val="center"/>
          </w:tcPr>
          <w:p w:rsidR="0057060B" w:rsidRDefault="00185132">
            <w:pPr>
              <w:jc w:val="center"/>
            </w:pPr>
            <w:r>
              <w:rPr>
                <w:color w:val="000000" w:themeColor="text1"/>
                <w:sz w:val="21"/>
              </w:rPr>
              <w:t>中炬高新</w:t>
            </w:r>
          </w:p>
        </w:tc>
        <w:tc>
          <w:tcPr>
            <w:tcW w:w="1276" w:type="dxa"/>
            <w:vAlign w:val="center"/>
          </w:tcPr>
          <w:p w:rsidR="0057060B" w:rsidRDefault="00185132">
            <w:pPr>
              <w:jc w:val="right"/>
            </w:pPr>
            <w:r>
              <w:rPr>
                <w:color w:val="000000" w:themeColor="text1"/>
                <w:sz w:val="21"/>
              </w:rPr>
              <w:t>220,449</w:t>
            </w:r>
          </w:p>
        </w:tc>
        <w:tc>
          <w:tcPr>
            <w:tcW w:w="1842" w:type="dxa"/>
            <w:vAlign w:val="center"/>
          </w:tcPr>
          <w:p w:rsidR="0057060B" w:rsidRDefault="00185132">
            <w:pPr>
              <w:jc w:val="right"/>
            </w:pPr>
            <w:r>
              <w:rPr>
                <w:color w:val="000000" w:themeColor="text1"/>
                <w:sz w:val="21"/>
              </w:rPr>
              <w:t>9,353,651.07</w:t>
            </w:r>
          </w:p>
        </w:tc>
        <w:tc>
          <w:tcPr>
            <w:tcW w:w="1560" w:type="dxa"/>
            <w:vAlign w:val="center"/>
          </w:tcPr>
          <w:p w:rsidR="0057060B" w:rsidRDefault="00185132">
            <w:pPr>
              <w:jc w:val="right"/>
            </w:pPr>
            <w:r>
              <w:rPr>
                <w:color w:val="000000" w:themeColor="text1"/>
                <w:sz w:val="21"/>
              </w:rPr>
              <w:t>3.96</w:t>
            </w:r>
          </w:p>
        </w:tc>
      </w:tr>
      <w:tr w:rsidR="0057060B">
        <w:tc>
          <w:tcPr>
            <w:tcW w:w="709" w:type="dxa"/>
            <w:vAlign w:val="center"/>
          </w:tcPr>
          <w:p w:rsidR="0057060B" w:rsidRDefault="00185132">
            <w:pPr>
              <w:jc w:val="center"/>
            </w:pPr>
            <w:r>
              <w:rPr>
                <w:color w:val="000000" w:themeColor="text1"/>
                <w:sz w:val="21"/>
              </w:rPr>
              <w:t>7</w:t>
            </w:r>
          </w:p>
        </w:tc>
        <w:tc>
          <w:tcPr>
            <w:tcW w:w="1276" w:type="dxa"/>
            <w:vAlign w:val="center"/>
          </w:tcPr>
          <w:p w:rsidR="0057060B" w:rsidRDefault="00185132">
            <w:pPr>
              <w:jc w:val="center"/>
            </w:pPr>
            <w:r>
              <w:rPr>
                <w:color w:val="000000" w:themeColor="text1"/>
                <w:sz w:val="21"/>
              </w:rPr>
              <w:t>600809</w:t>
            </w:r>
          </w:p>
        </w:tc>
        <w:tc>
          <w:tcPr>
            <w:tcW w:w="1701" w:type="dxa"/>
            <w:vAlign w:val="center"/>
          </w:tcPr>
          <w:p w:rsidR="0057060B" w:rsidRDefault="00185132">
            <w:pPr>
              <w:jc w:val="center"/>
            </w:pPr>
            <w:r>
              <w:rPr>
                <w:color w:val="000000" w:themeColor="text1"/>
                <w:sz w:val="21"/>
              </w:rPr>
              <w:t>山西汾酒</w:t>
            </w:r>
          </w:p>
        </w:tc>
        <w:tc>
          <w:tcPr>
            <w:tcW w:w="1276" w:type="dxa"/>
            <w:vAlign w:val="center"/>
          </w:tcPr>
          <w:p w:rsidR="0057060B" w:rsidRDefault="00185132">
            <w:pPr>
              <w:jc w:val="right"/>
            </w:pPr>
            <w:r>
              <w:rPr>
                <w:color w:val="000000" w:themeColor="text1"/>
                <w:sz w:val="21"/>
              </w:rPr>
              <w:t>103,787</w:t>
            </w:r>
          </w:p>
        </w:tc>
        <w:tc>
          <w:tcPr>
            <w:tcW w:w="1842" w:type="dxa"/>
            <w:vAlign w:val="center"/>
          </w:tcPr>
          <w:p w:rsidR="0057060B" w:rsidRDefault="00185132">
            <w:pPr>
              <w:jc w:val="right"/>
            </w:pPr>
            <w:r>
              <w:rPr>
                <w:color w:val="000000" w:themeColor="text1"/>
                <w:sz w:val="21"/>
              </w:rPr>
              <w:t>8,023,772.97</w:t>
            </w:r>
          </w:p>
        </w:tc>
        <w:tc>
          <w:tcPr>
            <w:tcW w:w="1560" w:type="dxa"/>
            <w:vAlign w:val="center"/>
          </w:tcPr>
          <w:p w:rsidR="0057060B" w:rsidRDefault="00185132">
            <w:pPr>
              <w:jc w:val="right"/>
            </w:pPr>
            <w:r>
              <w:rPr>
                <w:color w:val="000000" w:themeColor="text1"/>
                <w:sz w:val="21"/>
              </w:rPr>
              <w:t>3.39</w:t>
            </w:r>
          </w:p>
        </w:tc>
      </w:tr>
      <w:tr w:rsidR="0057060B">
        <w:tc>
          <w:tcPr>
            <w:tcW w:w="709" w:type="dxa"/>
            <w:vAlign w:val="center"/>
          </w:tcPr>
          <w:p w:rsidR="0057060B" w:rsidRDefault="00185132">
            <w:pPr>
              <w:jc w:val="center"/>
            </w:pPr>
            <w:r>
              <w:rPr>
                <w:color w:val="000000" w:themeColor="text1"/>
                <w:sz w:val="21"/>
              </w:rPr>
              <w:t>8</w:t>
            </w:r>
          </w:p>
        </w:tc>
        <w:tc>
          <w:tcPr>
            <w:tcW w:w="1276" w:type="dxa"/>
            <w:vAlign w:val="center"/>
          </w:tcPr>
          <w:p w:rsidR="0057060B" w:rsidRDefault="00185132">
            <w:pPr>
              <w:jc w:val="center"/>
            </w:pPr>
            <w:r>
              <w:rPr>
                <w:color w:val="000000" w:themeColor="text1"/>
                <w:sz w:val="21"/>
              </w:rPr>
              <w:t>603589</w:t>
            </w:r>
          </w:p>
        </w:tc>
        <w:tc>
          <w:tcPr>
            <w:tcW w:w="1701" w:type="dxa"/>
            <w:vAlign w:val="center"/>
          </w:tcPr>
          <w:p w:rsidR="0057060B" w:rsidRDefault="00185132">
            <w:pPr>
              <w:jc w:val="center"/>
            </w:pPr>
            <w:r>
              <w:rPr>
                <w:color w:val="000000" w:themeColor="text1"/>
                <w:sz w:val="21"/>
              </w:rPr>
              <w:t>口子窖</w:t>
            </w:r>
          </w:p>
        </w:tc>
        <w:tc>
          <w:tcPr>
            <w:tcW w:w="1276" w:type="dxa"/>
            <w:vAlign w:val="center"/>
          </w:tcPr>
          <w:p w:rsidR="0057060B" w:rsidRDefault="00185132">
            <w:pPr>
              <w:jc w:val="right"/>
            </w:pPr>
            <w:r>
              <w:rPr>
                <w:color w:val="000000" w:themeColor="text1"/>
                <w:sz w:val="21"/>
              </w:rPr>
              <w:t>142,300</w:t>
            </w:r>
          </w:p>
        </w:tc>
        <w:tc>
          <w:tcPr>
            <w:tcW w:w="1842" w:type="dxa"/>
            <w:vAlign w:val="center"/>
          </w:tcPr>
          <w:p w:rsidR="0057060B" w:rsidRDefault="00185132">
            <w:pPr>
              <w:jc w:val="right"/>
            </w:pPr>
            <w:r>
              <w:rPr>
                <w:color w:val="000000" w:themeColor="text1"/>
                <w:sz w:val="21"/>
              </w:rPr>
              <w:t>7,937,494.00</w:t>
            </w:r>
          </w:p>
        </w:tc>
        <w:tc>
          <w:tcPr>
            <w:tcW w:w="1560" w:type="dxa"/>
            <w:vAlign w:val="center"/>
          </w:tcPr>
          <w:p w:rsidR="0057060B" w:rsidRDefault="00185132">
            <w:pPr>
              <w:jc w:val="right"/>
            </w:pPr>
            <w:r>
              <w:rPr>
                <w:color w:val="000000" w:themeColor="text1"/>
                <w:sz w:val="21"/>
              </w:rPr>
              <w:t>3.36</w:t>
            </w:r>
          </w:p>
        </w:tc>
      </w:tr>
      <w:tr w:rsidR="0057060B">
        <w:tc>
          <w:tcPr>
            <w:tcW w:w="709" w:type="dxa"/>
            <w:vAlign w:val="center"/>
          </w:tcPr>
          <w:p w:rsidR="0057060B" w:rsidRDefault="00185132">
            <w:pPr>
              <w:jc w:val="center"/>
            </w:pPr>
            <w:r>
              <w:rPr>
                <w:color w:val="000000" w:themeColor="text1"/>
                <w:sz w:val="21"/>
              </w:rPr>
              <w:t>9</w:t>
            </w:r>
          </w:p>
        </w:tc>
        <w:tc>
          <w:tcPr>
            <w:tcW w:w="1276" w:type="dxa"/>
            <w:vAlign w:val="center"/>
          </w:tcPr>
          <w:p w:rsidR="0057060B" w:rsidRDefault="00185132">
            <w:pPr>
              <w:jc w:val="center"/>
            </w:pPr>
            <w:r>
              <w:rPr>
                <w:color w:val="000000" w:themeColor="text1"/>
                <w:sz w:val="21"/>
              </w:rPr>
              <w:t>600600</w:t>
            </w:r>
          </w:p>
        </w:tc>
        <w:tc>
          <w:tcPr>
            <w:tcW w:w="1701" w:type="dxa"/>
            <w:vAlign w:val="center"/>
          </w:tcPr>
          <w:p w:rsidR="0057060B" w:rsidRDefault="00185132">
            <w:pPr>
              <w:jc w:val="center"/>
            </w:pPr>
            <w:r>
              <w:rPr>
                <w:color w:val="000000" w:themeColor="text1"/>
                <w:sz w:val="21"/>
              </w:rPr>
              <w:t>青岛啤酒</w:t>
            </w:r>
          </w:p>
        </w:tc>
        <w:tc>
          <w:tcPr>
            <w:tcW w:w="1276" w:type="dxa"/>
            <w:vAlign w:val="center"/>
          </w:tcPr>
          <w:p w:rsidR="0057060B" w:rsidRDefault="00185132">
            <w:pPr>
              <w:jc w:val="right"/>
            </w:pPr>
            <w:r>
              <w:rPr>
                <w:color w:val="000000" w:themeColor="text1"/>
                <w:sz w:val="21"/>
              </w:rPr>
              <w:t>137,386</w:t>
            </w:r>
          </w:p>
        </w:tc>
        <w:tc>
          <w:tcPr>
            <w:tcW w:w="1842" w:type="dxa"/>
            <w:vAlign w:val="center"/>
          </w:tcPr>
          <w:p w:rsidR="0057060B" w:rsidRDefault="00185132">
            <w:pPr>
              <w:jc w:val="right"/>
            </w:pPr>
            <w:r>
              <w:rPr>
                <w:color w:val="000000" w:themeColor="text1"/>
                <w:sz w:val="21"/>
              </w:rPr>
              <w:t>6,663,221.00</w:t>
            </w:r>
          </w:p>
        </w:tc>
        <w:tc>
          <w:tcPr>
            <w:tcW w:w="1560" w:type="dxa"/>
            <w:vAlign w:val="center"/>
          </w:tcPr>
          <w:p w:rsidR="0057060B" w:rsidRDefault="00185132">
            <w:pPr>
              <w:jc w:val="right"/>
            </w:pPr>
            <w:r>
              <w:rPr>
                <w:color w:val="000000" w:themeColor="text1"/>
                <w:sz w:val="21"/>
              </w:rPr>
              <w:t>2.82</w:t>
            </w:r>
          </w:p>
        </w:tc>
      </w:tr>
      <w:tr w:rsidR="0057060B">
        <w:tc>
          <w:tcPr>
            <w:tcW w:w="709" w:type="dxa"/>
            <w:vAlign w:val="center"/>
          </w:tcPr>
          <w:p w:rsidR="0057060B" w:rsidRDefault="00185132">
            <w:pPr>
              <w:jc w:val="center"/>
            </w:pPr>
            <w:r>
              <w:rPr>
                <w:color w:val="000000" w:themeColor="text1"/>
                <w:sz w:val="21"/>
              </w:rPr>
              <w:t>10</w:t>
            </w:r>
          </w:p>
        </w:tc>
        <w:tc>
          <w:tcPr>
            <w:tcW w:w="1276" w:type="dxa"/>
            <w:vAlign w:val="center"/>
          </w:tcPr>
          <w:p w:rsidR="0057060B" w:rsidRDefault="00185132">
            <w:pPr>
              <w:jc w:val="center"/>
            </w:pPr>
            <w:r>
              <w:rPr>
                <w:color w:val="000000" w:themeColor="text1"/>
                <w:sz w:val="21"/>
              </w:rPr>
              <w:t>603369</w:t>
            </w:r>
          </w:p>
        </w:tc>
        <w:tc>
          <w:tcPr>
            <w:tcW w:w="1701" w:type="dxa"/>
            <w:vAlign w:val="center"/>
          </w:tcPr>
          <w:p w:rsidR="0057060B" w:rsidRDefault="00185132">
            <w:pPr>
              <w:jc w:val="center"/>
            </w:pPr>
            <w:r>
              <w:rPr>
                <w:color w:val="000000" w:themeColor="text1"/>
                <w:sz w:val="21"/>
              </w:rPr>
              <w:t>今世缘</w:t>
            </w:r>
          </w:p>
        </w:tc>
        <w:tc>
          <w:tcPr>
            <w:tcW w:w="1276" w:type="dxa"/>
            <w:vAlign w:val="center"/>
          </w:tcPr>
          <w:p w:rsidR="0057060B" w:rsidRDefault="00185132">
            <w:pPr>
              <w:jc w:val="right"/>
            </w:pPr>
            <w:r>
              <w:rPr>
                <w:color w:val="000000" w:themeColor="text1"/>
                <w:sz w:val="21"/>
              </w:rPr>
              <w:t>198,800</w:t>
            </w:r>
          </w:p>
        </w:tc>
        <w:tc>
          <w:tcPr>
            <w:tcW w:w="1842" w:type="dxa"/>
            <w:vAlign w:val="center"/>
          </w:tcPr>
          <w:p w:rsidR="0057060B" w:rsidRDefault="00185132">
            <w:pPr>
              <w:jc w:val="right"/>
            </w:pPr>
            <w:r>
              <w:rPr>
                <w:color w:val="000000" w:themeColor="text1"/>
                <w:sz w:val="21"/>
              </w:rPr>
              <w:t>6,425,216.00</w:t>
            </w:r>
          </w:p>
        </w:tc>
        <w:tc>
          <w:tcPr>
            <w:tcW w:w="1560" w:type="dxa"/>
            <w:vAlign w:val="center"/>
          </w:tcPr>
          <w:p w:rsidR="0057060B" w:rsidRDefault="00185132">
            <w:pPr>
              <w:jc w:val="right"/>
            </w:pPr>
            <w:r>
              <w:rPr>
                <w:color w:val="000000" w:themeColor="text1"/>
                <w:sz w:val="21"/>
              </w:rPr>
              <w:t>2.72</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5.4 </w:t>
      </w:r>
      <w:r w:rsidRPr="00015374">
        <w:rPr>
          <w:b w:val="0"/>
          <w:sz w:val="21"/>
          <w:szCs w:val="21"/>
        </w:rPr>
        <w:t>报告期末按债券品种分类的债券投资组合</w:t>
      </w:r>
    </w:p>
    <w:p w:rsidR="004061AC" w:rsidRPr="00015374" w:rsidRDefault="00B84DA9" w:rsidP="00183BFC">
      <w:pPr>
        <w:pStyle w:val="11"/>
        <w:spacing w:line="360" w:lineRule="auto"/>
        <w:ind w:firstLine="420"/>
        <w:jc w:val="left"/>
        <w:rPr>
          <w:szCs w:val="21"/>
        </w:rPr>
      </w:pPr>
      <w:r w:rsidRPr="00015374">
        <w:rPr>
          <w:szCs w:val="21"/>
        </w:rPr>
        <w:t>本基金本报告期末未持有债券。</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5.5 </w:t>
      </w:r>
      <w:r w:rsidRPr="00015374">
        <w:rPr>
          <w:b w:val="0"/>
          <w:sz w:val="21"/>
          <w:szCs w:val="21"/>
        </w:rPr>
        <w:t>报告期末按公允价值占基金资产净值比例大小排</w:t>
      </w:r>
      <w:r w:rsidR="001D63BB" w:rsidRPr="00015374">
        <w:rPr>
          <w:b w:val="0"/>
          <w:sz w:val="21"/>
          <w:szCs w:val="21"/>
        </w:rPr>
        <w:t>序</w:t>
      </w:r>
      <w:r w:rsidRPr="00015374">
        <w:rPr>
          <w:b w:val="0"/>
          <w:sz w:val="21"/>
          <w:szCs w:val="21"/>
        </w:rPr>
        <w:t>的前五名债券投资明细</w:t>
      </w:r>
    </w:p>
    <w:p w:rsidR="004061AC" w:rsidRPr="00015374" w:rsidRDefault="0027159C" w:rsidP="00183BFC">
      <w:pPr>
        <w:pStyle w:val="11"/>
        <w:spacing w:line="360" w:lineRule="auto"/>
        <w:ind w:firstLine="420"/>
        <w:jc w:val="left"/>
        <w:rPr>
          <w:szCs w:val="21"/>
        </w:rPr>
      </w:pPr>
      <w:r w:rsidRPr="00015374">
        <w:rPr>
          <w:szCs w:val="21"/>
        </w:rPr>
        <w:t>本基金本报告期末未持有债券。</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5.6 </w:t>
      </w:r>
      <w:r w:rsidRPr="00015374">
        <w:rPr>
          <w:b w:val="0"/>
          <w:sz w:val="21"/>
          <w:szCs w:val="21"/>
        </w:rPr>
        <w:t>报告期末按公允价值占基金资产净值比例大小排</w:t>
      </w:r>
      <w:r w:rsidR="001D63BB" w:rsidRPr="00015374">
        <w:rPr>
          <w:b w:val="0"/>
          <w:sz w:val="21"/>
          <w:szCs w:val="21"/>
        </w:rPr>
        <w:t>序</w:t>
      </w:r>
      <w:r w:rsidRPr="00015374">
        <w:rPr>
          <w:b w:val="0"/>
          <w:sz w:val="21"/>
          <w:szCs w:val="21"/>
        </w:rPr>
        <w:t>的前十名资产支持证券投资明细</w:t>
      </w:r>
    </w:p>
    <w:p w:rsidR="001D63BB" w:rsidRPr="00015374" w:rsidRDefault="00B84DA9" w:rsidP="00183BFC">
      <w:pPr>
        <w:pStyle w:val="11"/>
        <w:spacing w:line="360" w:lineRule="auto"/>
        <w:ind w:firstLine="420"/>
        <w:jc w:val="left"/>
        <w:rPr>
          <w:szCs w:val="21"/>
        </w:rPr>
      </w:pPr>
      <w:r w:rsidRPr="00015374">
        <w:rPr>
          <w:szCs w:val="21"/>
        </w:rPr>
        <w:t>本基金本报告期末未持有资产支持证券。</w:t>
      </w:r>
    </w:p>
    <w:p w:rsidR="001D63BB" w:rsidRPr="00015374" w:rsidRDefault="001D63BB" w:rsidP="001C6BC2">
      <w:pPr>
        <w:pStyle w:val="3"/>
        <w:spacing w:before="0" w:after="0" w:line="360" w:lineRule="auto"/>
        <w:jc w:val="left"/>
        <w:rPr>
          <w:b w:val="0"/>
          <w:sz w:val="21"/>
          <w:szCs w:val="21"/>
        </w:rPr>
      </w:pPr>
      <w:r w:rsidRPr="00015374">
        <w:rPr>
          <w:b w:val="0"/>
          <w:sz w:val="21"/>
          <w:szCs w:val="21"/>
        </w:rPr>
        <w:t xml:space="preserve">5.7 </w:t>
      </w:r>
      <w:r w:rsidRPr="00015374">
        <w:rPr>
          <w:b w:val="0"/>
          <w:sz w:val="21"/>
          <w:szCs w:val="21"/>
        </w:rPr>
        <w:t>报告期末按公允价值占基金资产净值比例大小排序的前五名贵金属投资明细</w:t>
      </w:r>
    </w:p>
    <w:p w:rsidR="004061AC" w:rsidRPr="00015374" w:rsidRDefault="0027159C" w:rsidP="00183BFC">
      <w:pPr>
        <w:pStyle w:val="11"/>
        <w:spacing w:line="360" w:lineRule="auto"/>
        <w:ind w:firstLine="420"/>
        <w:jc w:val="left"/>
        <w:rPr>
          <w:szCs w:val="21"/>
        </w:rPr>
      </w:pPr>
      <w:r w:rsidRPr="00015374">
        <w:rPr>
          <w:szCs w:val="21"/>
        </w:rPr>
        <w:t>本基金本报告期末未持有贵金属。</w:t>
      </w:r>
    </w:p>
    <w:p w:rsidR="004061AC" w:rsidRPr="00015374" w:rsidRDefault="00A917BF" w:rsidP="001C6BC2">
      <w:pPr>
        <w:pStyle w:val="3"/>
        <w:spacing w:before="0" w:after="0" w:line="360" w:lineRule="auto"/>
        <w:jc w:val="left"/>
        <w:rPr>
          <w:b w:val="0"/>
          <w:sz w:val="21"/>
          <w:szCs w:val="21"/>
        </w:rPr>
      </w:pPr>
      <w:r w:rsidRPr="00015374">
        <w:rPr>
          <w:b w:val="0"/>
          <w:sz w:val="21"/>
          <w:szCs w:val="21"/>
        </w:rPr>
        <w:t>5.8</w:t>
      </w:r>
      <w:r w:rsidR="004061AC" w:rsidRPr="00015374">
        <w:rPr>
          <w:b w:val="0"/>
          <w:sz w:val="21"/>
          <w:szCs w:val="21"/>
        </w:rPr>
        <w:t>报告期末按公允价值占基金资产净值比例大小排</w:t>
      </w:r>
      <w:r w:rsidR="001D63BB" w:rsidRPr="00015374">
        <w:rPr>
          <w:b w:val="0"/>
          <w:sz w:val="21"/>
          <w:szCs w:val="21"/>
        </w:rPr>
        <w:t>序</w:t>
      </w:r>
      <w:r w:rsidR="004061AC" w:rsidRPr="00015374">
        <w:rPr>
          <w:b w:val="0"/>
          <w:sz w:val="21"/>
          <w:szCs w:val="21"/>
        </w:rPr>
        <w:t>的前五名权证投资明细</w:t>
      </w:r>
    </w:p>
    <w:p w:rsidR="004061AC" w:rsidRPr="00015374" w:rsidRDefault="00B84DA9" w:rsidP="00183BFC">
      <w:pPr>
        <w:pStyle w:val="11"/>
        <w:spacing w:line="360" w:lineRule="auto"/>
        <w:ind w:firstLine="420"/>
        <w:jc w:val="left"/>
        <w:rPr>
          <w:szCs w:val="21"/>
        </w:rPr>
      </w:pPr>
      <w:r w:rsidRPr="00015374">
        <w:rPr>
          <w:szCs w:val="21"/>
        </w:rPr>
        <w:t>本基金本报告期末未持有权证。</w:t>
      </w:r>
    </w:p>
    <w:p w:rsidR="00275745" w:rsidRPr="00015374" w:rsidRDefault="003259C8" w:rsidP="001C6BC2">
      <w:pPr>
        <w:pStyle w:val="3"/>
        <w:spacing w:before="0" w:after="0" w:line="360" w:lineRule="auto"/>
        <w:jc w:val="left"/>
        <w:rPr>
          <w:b w:val="0"/>
          <w:sz w:val="21"/>
          <w:szCs w:val="21"/>
        </w:rPr>
      </w:pPr>
      <w:r w:rsidRPr="00015374">
        <w:rPr>
          <w:b w:val="0"/>
          <w:sz w:val="21"/>
          <w:szCs w:val="21"/>
        </w:rPr>
        <w:t>5</w:t>
      </w:r>
      <w:r w:rsidR="00A917BF" w:rsidRPr="00015374">
        <w:rPr>
          <w:b w:val="0"/>
          <w:sz w:val="21"/>
          <w:szCs w:val="21"/>
        </w:rPr>
        <w:t>.</w:t>
      </w:r>
      <w:r w:rsidR="0059076B" w:rsidRPr="00015374">
        <w:rPr>
          <w:b w:val="0"/>
          <w:sz w:val="21"/>
          <w:szCs w:val="21"/>
        </w:rPr>
        <w:t>9</w:t>
      </w:r>
      <w:r w:rsidR="00275745" w:rsidRPr="00015374">
        <w:rPr>
          <w:b w:val="0"/>
          <w:sz w:val="21"/>
          <w:szCs w:val="21"/>
        </w:rPr>
        <w:t>报告期末本基金投资的股指期货交易情况说明</w:t>
      </w:r>
    </w:p>
    <w:p w:rsidR="00A96A94" w:rsidRPr="00015374" w:rsidRDefault="003259C8" w:rsidP="001C6BC2">
      <w:pPr>
        <w:pStyle w:val="3"/>
        <w:spacing w:before="0" w:after="0" w:line="360" w:lineRule="auto"/>
        <w:jc w:val="left"/>
        <w:rPr>
          <w:b w:val="0"/>
          <w:sz w:val="21"/>
          <w:szCs w:val="21"/>
        </w:rPr>
      </w:pPr>
      <w:r w:rsidRPr="00015374">
        <w:rPr>
          <w:b w:val="0"/>
          <w:sz w:val="21"/>
          <w:szCs w:val="21"/>
        </w:rPr>
        <w:t>5</w:t>
      </w:r>
      <w:r w:rsidR="0059076B" w:rsidRPr="00015374">
        <w:rPr>
          <w:b w:val="0"/>
          <w:sz w:val="21"/>
          <w:szCs w:val="21"/>
        </w:rPr>
        <w:t>.9.1</w:t>
      </w:r>
      <w:r w:rsidR="00A96A94" w:rsidRPr="00015374">
        <w:rPr>
          <w:b w:val="0"/>
          <w:sz w:val="21"/>
          <w:szCs w:val="21"/>
        </w:rPr>
        <w:t>报告期末本基金投资的股指期货持仓和损益明细</w:t>
      </w:r>
    </w:p>
    <w:p w:rsidR="00AA3A38" w:rsidRPr="00015374" w:rsidRDefault="00AA3A38" w:rsidP="00183BFC">
      <w:pPr>
        <w:pStyle w:val="11"/>
        <w:spacing w:line="360" w:lineRule="auto"/>
        <w:ind w:firstLine="420"/>
        <w:jc w:val="left"/>
        <w:rPr>
          <w:szCs w:val="21"/>
        </w:rPr>
      </w:pPr>
      <w:r w:rsidRPr="00015374">
        <w:rPr>
          <w:szCs w:val="21"/>
        </w:rPr>
        <w:t>本基金本报告期末无股指期货投资。</w:t>
      </w:r>
    </w:p>
    <w:p w:rsidR="00275745" w:rsidRPr="00015374" w:rsidRDefault="003259C8" w:rsidP="001C6BC2">
      <w:pPr>
        <w:pStyle w:val="3"/>
        <w:spacing w:before="0" w:after="0" w:line="360" w:lineRule="auto"/>
        <w:jc w:val="left"/>
        <w:rPr>
          <w:b w:val="0"/>
          <w:sz w:val="21"/>
          <w:szCs w:val="21"/>
        </w:rPr>
      </w:pPr>
      <w:r w:rsidRPr="00015374">
        <w:rPr>
          <w:b w:val="0"/>
          <w:sz w:val="21"/>
          <w:szCs w:val="21"/>
        </w:rPr>
        <w:t>5</w:t>
      </w:r>
      <w:r w:rsidR="0059076B" w:rsidRPr="00015374">
        <w:rPr>
          <w:b w:val="0"/>
          <w:sz w:val="21"/>
          <w:szCs w:val="21"/>
        </w:rPr>
        <w:t>.9.2</w:t>
      </w:r>
      <w:r w:rsidR="00275745" w:rsidRPr="00015374">
        <w:rPr>
          <w:b w:val="0"/>
          <w:sz w:val="21"/>
          <w:szCs w:val="21"/>
        </w:rPr>
        <w:t>本基金投资股指期货的投资政策</w:t>
      </w:r>
    </w:p>
    <w:p w:rsidR="00275745" w:rsidRPr="005E657B" w:rsidRDefault="00B84DA9" w:rsidP="005E657B">
      <w:pPr>
        <w:pStyle w:val="11"/>
        <w:spacing w:line="360" w:lineRule="auto"/>
        <w:ind w:firstLine="420"/>
        <w:jc w:val="left"/>
        <w:rPr>
          <w:szCs w:val="21"/>
        </w:rPr>
      </w:pPr>
      <w:r w:rsidRPr="005E657B">
        <w:rPr>
          <w:szCs w:val="21"/>
        </w:rPr>
        <w:t>本基金本报告期末无股指期货投资。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5.10</w:t>
      </w:r>
      <w:r w:rsidRPr="00015374">
        <w:rPr>
          <w:b w:val="0"/>
          <w:sz w:val="21"/>
          <w:szCs w:val="21"/>
        </w:rPr>
        <w:t>报告期末本基金投资的国债期货交易情况说明</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5.10.1 </w:t>
      </w:r>
      <w:r w:rsidRPr="00015374">
        <w:rPr>
          <w:b w:val="0"/>
          <w:sz w:val="21"/>
          <w:szCs w:val="21"/>
        </w:rPr>
        <w:t>本期国债期货投资政策</w:t>
      </w:r>
    </w:p>
    <w:p w:rsidR="00312A9F" w:rsidRPr="005E657B" w:rsidRDefault="00312A9F" w:rsidP="005E657B">
      <w:pPr>
        <w:pStyle w:val="11"/>
        <w:spacing w:line="360" w:lineRule="auto"/>
        <w:ind w:firstLine="420"/>
        <w:jc w:val="left"/>
        <w:rPr>
          <w:szCs w:val="21"/>
        </w:rPr>
      </w:pPr>
      <w:r w:rsidRPr="005E657B">
        <w:rPr>
          <w:szCs w:val="21"/>
        </w:rPr>
        <w:t>本基金本报告期末无国债期货投资。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5.10.2 </w:t>
      </w:r>
      <w:r w:rsidRPr="00015374">
        <w:rPr>
          <w:b w:val="0"/>
          <w:sz w:val="21"/>
          <w:szCs w:val="21"/>
        </w:rPr>
        <w:t>报告期末本基金投资的国债期货持仓和损益明细</w:t>
      </w:r>
    </w:p>
    <w:p w:rsidR="00312A9F" w:rsidRPr="00015374" w:rsidRDefault="00312A9F" w:rsidP="00183BFC">
      <w:pPr>
        <w:pStyle w:val="11"/>
        <w:spacing w:line="360" w:lineRule="auto"/>
        <w:ind w:firstLine="420"/>
        <w:jc w:val="left"/>
        <w:rPr>
          <w:szCs w:val="21"/>
        </w:rPr>
      </w:pPr>
      <w:r w:rsidRPr="00015374">
        <w:rPr>
          <w:szCs w:val="21"/>
        </w:rPr>
        <w:t>本基金本报告期末无国债期货投资。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5.10.3 </w:t>
      </w:r>
      <w:r w:rsidRPr="00015374">
        <w:rPr>
          <w:b w:val="0"/>
          <w:sz w:val="21"/>
          <w:szCs w:val="21"/>
        </w:rPr>
        <w:t>本期国债期货投资评价</w:t>
      </w:r>
    </w:p>
    <w:p w:rsidR="00312A9F" w:rsidRPr="005E657B" w:rsidRDefault="0027159C" w:rsidP="005E657B">
      <w:pPr>
        <w:pStyle w:val="11"/>
        <w:spacing w:line="360" w:lineRule="auto"/>
        <w:ind w:firstLine="420"/>
        <w:jc w:val="left"/>
        <w:rPr>
          <w:szCs w:val="21"/>
        </w:rPr>
      </w:pPr>
      <w:r w:rsidRPr="005E657B">
        <w:rPr>
          <w:szCs w:val="21"/>
        </w:rPr>
        <w:t>本基金本报告期末无国债期货投资。</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w:t>
      </w:r>
      <w:r w:rsidR="004061AC" w:rsidRPr="00015374">
        <w:rPr>
          <w:b w:val="0"/>
          <w:sz w:val="21"/>
          <w:szCs w:val="21"/>
        </w:rPr>
        <w:t>投资组合报告附注</w:t>
      </w:r>
    </w:p>
    <w:p w:rsidR="004061AC" w:rsidRPr="00015374" w:rsidRDefault="003259C8" w:rsidP="00433BDE">
      <w:pPr>
        <w:spacing w:line="360" w:lineRule="auto"/>
        <w:jc w:val="left"/>
        <w:rPr>
          <w:kern w:val="0"/>
        </w:rPr>
      </w:pPr>
      <w:r w:rsidRPr="00015374">
        <w:rPr>
          <w:kern w:val="0"/>
        </w:rPr>
        <w:t>5</w:t>
      </w:r>
      <w:r w:rsidR="004061AC" w:rsidRPr="00015374">
        <w:rPr>
          <w:kern w:val="0"/>
        </w:rPr>
        <w:t>.</w:t>
      </w:r>
      <w:r w:rsidR="0059076B" w:rsidRPr="00015374">
        <w:rPr>
          <w:kern w:val="0"/>
        </w:rPr>
        <w:t>11</w:t>
      </w:r>
      <w:r w:rsidR="004061AC" w:rsidRPr="00015374">
        <w:rPr>
          <w:kern w:val="0"/>
        </w:rPr>
        <w:t>.</w:t>
      </w:r>
      <w:r w:rsidR="0059076B" w:rsidRPr="00015374">
        <w:rPr>
          <w:kern w:val="0"/>
        </w:rPr>
        <w:t>1</w:t>
      </w:r>
      <w:r w:rsidR="004061AC" w:rsidRPr="00015374">
        <w:rPr>
          <w:kern w:val="0"/>
        </w:rPr>
        <w:t>报告期内，本基金投资决策程序符合相关法律法规的要求，未发现本基金投资的前十名证券的发行主体本期出现被监管部门立案调查，或在报告编制日前一年内受到公开谴责、处罚的情形。</w:t>
      </w:r>
    </w:p>
    <w:p w:rsidR="004061AC" w:rsidRPr="00015374" w:rsidRDefault="003259C8" w:rsidP="00433BDE">
      <w:pPr>
        <w:spacing w:line="360" w:lineRule="auto"/>
        <w:jc w:val="left"/>
        <w:rPr>
          <w:kern w:val="0"/>
        </w:rPr>
      </w:pPr>
      <w:r w:rsidRPr="00015374">
        <w:rPr>
          <w:kern w:val="0"/>
        </w:rPr>
        <w:t>5</w:t>
      </w:r>
      <w:r w:rsidR="00275745" w:rsidRPr="00015374">
        <w:rPr>
          <w:kern w:val="0"/>
        </w:rPr>
        <w:t>.</w:t>
      </w:r>
      <w:r w:rsidR="0059076B" w:rsidRPr="00015374">
        <w:rPr>
          <w:kern w:val="0"/>
        </w:rPr>
        <w:t>11</w:t>
      </w:r>
      <w:r w:rsidR="004061AC" w:rsidRPr="00015374">
        <w:rPr>
          <w:kern w:val="0"/>
        </w:rPr>
        <w:t>.</w:t>
      </w:r>
      <w:r w:rsidR="0059076B" w:rsidRPr="00015374">
        <w:rPr>
          <w:kern w:val="0"/>
        </w:rPr>
        <w:t>2</w:t>
      </w:r>
      <w:r w:rsidR="004061AC" w:rsidRPr="00015374">
        <w:rPr>
          <w:kern w:val="0"/>
        </w:rPr>
        <w:t>基金投资的前十名股票未超出基金合同规定的备选股票库。</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11.3</w:t>
      </w:r>
      <w:r w:rsidR="007016C4" w:rsidRPr="00015374">
        <w:rPr>
          <w:b w:val="0"/>
          <w:sz w:val="21"/>
          <w:szCs w:val="21"/>
        </w:rPr>
        <w:t>其他</w:t>
      </w:r>
      <w:r w:rsidR="004061AC" w:rsidRPr="00015374">
        <w:rPr>
          <w:b w:val="0"/>
          <w:sz w:val="21"/>
          <w:szCs w:val="21"/>
        </w:rPr>
        <w:t>资产构成</w:t>
      </w:r>
    </w:p>
    <w:tbl>
      <w:tblPr>
        <w:tblStyle w:val="af7"/>
        <w:tblW w:w="0" w:type="auto"/>
        <w:tblInd w:w="108" w:type="dxa"/>
        <w:tblLook w:val="04A0"/>
      </w:tblPr>
      <w:tblGrid>
        <w:gridCol w:w="1252"/>
        <w:gridCol w:w="2377"/>
        <w:gridCol w:w="4791"/>
      </w:tblGrid>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序号</w:t>
            </w:r>
          </w:p>
        </w:tc>
        <w:tc>
          <w:tcPr>
            <w:tcW w:w="2377"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名称</w:t>
            </w:r>
          </w:p>
        </w:tc>
        <w:tc>
          <w:tcPr>
            <w:tcW w:w="4791"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金额</w:t>
            </w:r>
            <w:r w:rsidRPr="00015374">
              <w:rPr>
                <w:color w:val="000000" w:themeColor="text1"/>
                <w:sz w:val="21"/>
              </w:rPr>
              <w:t>(</w:t>
            </w:r>
            <w:r w:rsidRPr="00015374">
              <w:rPr>
                <w:color w:val="000000" w:themeColor="text1"/>
                <w:sz w:val="21"/>
              </w:rPr>
              <w:t>元</w:t>
            </w: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1</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存出保证金</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3,137.73</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2</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应收证券清算款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3</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应收股利</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4</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应收利息</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286.70</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5</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应收申购款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6</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其他应收款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EB2C07" w:rsidRPr="00015374" w:rsidRDefault="00EB2C07"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7</w:t>
            </w:r>
          </w:p>
        </w:tc>
        <w:tc>
          <w:tcPr>
            <w:tcW w:w="2377" w:type="dxa"/>
            <w:vAlign w:val="center"/>
          </w:tcPr>
          <w:p w:rsidR="00EB2C07" w:rsidRPr="00015374" w:rsidRDefault="00EB2C07" w:rsidP="00175D4F">
            <w:pPr>
              <w:autoSpaceDE w:val="0"/>
              <w:autoSpaceDN w:val="0"/>
              <w:adjustRightInd w:val="0"/>
              <w:spacing w:before="29" w:line="360" w:lineRule="auto"/>
              <w:ind w:left="15"/>
              <w:rPr>
                <w:color w:val="000000" w:themeColor="text1"/>
                <w:sz w:val="21"/>
              </w:rPr>
            </w:pPr>
            <w:r w:rsidRPr="00015374">
              <w:rPr>
                <w:color w:val="000000" w:themeColor="text1"/>
                <w:sz w:val="21"/>
              </w:rPr>
              <w:t>待摊费用</w:t>
            </w:r>
          </w:p>
        </w:tc>
        <w:tc>
          <w:tcPr>
            <w:tcW w:w="4791" w:type="dxa"/>
            <w:vAlign w:val="center"/>
          </w:tcPr>
          <w:p w:rsidR="00EB2C07" w:rsidRPr="00015374" w:rsidRDefault="00EB2C07"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8</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其他</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9</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合计</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3,424.43</w:t>
            </w:r>
          </w:p>
        </w:tc>
      </w:tr>
    </w:tbl>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11.4</w:t>
      </w:r>
      <w:r w:rsidR="004061AC" w:rsidRPr="00015374">
        <w:rPr>
          <w:b w:val="0"/>
          <w:sz w:val="21"/>
          <w:szCs w:val="21"/>
        </w:rPr>
        <w:t>报告期末持有的处于转股期的可转换债券明细</w:t>
      </w:r>
    </w:p>
    <w:p w:rsidR="002918E3" w:rsidRPr="00015374" w:rsidRDefault="00B84DA9" w:rsidP="00183BFC">
      <w:pPr>
        <w:pStyle w:val="11"/>
        <w:spacing w:line="360" w:lineRule="auto"/>
        <w:ind w:firstLine="420"/>
        <w:jc w:val="left"/>
        <w:rPr>
          <w:szCs w:val="21"/>
        </w:rPr>
      </w:pPr>
      <w:r w:rsidRPr="00015374">
        <w:rPr>
          <w:szCs w:val="21"/>
        </w:rPr>
        <w:t>本基金本报告期末未持有处于转股期的可转换债券。</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4061AC" w:rsidRPr="00015374">
        <w:rPr>
          <w:b w:val="0"/>
          <w:sz w:val="21"/>
          <w:szCs w:val="21"/>
        </w:rPr>
        <w:t>.</w:t>
      </w:r>
      <w:r w:rsidR="0059076B" w:rsidRPr="00015374">
        <w:rPr>
          <w:b w:val="0"/>
          <w:sz w:val="21"/>
          <w:szCs w:val="21"/>
        </w:rPr>
        <w:t>11.5</w:t>
      </w:r>
      <w:r w:rsidR="004061AC" w:rsidRPr="00015374">
        <w:rPr>
          <w:b w:val="0"/>
          <w:sz w:val="21"/>
          <w:szCs w:val="21"/>
        </w:rPr>
        <w:t>报告期末前十名股票中存在流通受限情况的说明</w:t>
      </w:r>
    </w:p>
    <w:p w:rsidR="002918E3" w:rsidRPr="00015374" w:rsidRDefault="0027159C" w:rsidP="00183BFC">
      <w:pPr>
        <w:pStyle w:val="11"/>
        <w:spacing w:line="360" w:lineRule="auto"/>
        <w:ind w:firstLine="420"/>
        <w:jc w:val="left"/>
        <w:rPr>
          <w:szCs w:val="21"/>
        </w:rPr>
      </w:pPr>
      <w:r w:rsidRPr="00015374">
        <w:rPr>
          <w:szCs w:val="21"/>
        </w:rPr>
        <w:t>本基金本报告期末前十名股票中不存在流通受限情况。</w:t>
      </w:r>
    </w:p>
    <w:p w:rsidR="004061AC" w:rsidRPr="00015374" w:rsidRDefault="003259C8" w:rsidP="009111AA">
      <w:pPr>
        <w:pStyle w:val="3"/>
        <w:spacing w:before="0" w:after="0" w:line="360" w:lineRule="auto"/>
        <w:rPr>
          <w:b w:val="0"/>
          <w:sz w:val="21"/>
          <w:szCs w:val="21"/>
        </w:rPr>
      </w:pPr>
      <w:r w:rsidRPr="00015374">
        <w:rPr>
          <w:b w:val="0"/>
          <w:sz w:val="21"/>
          <w:szCs w:val="21"/>
        </w:rPr>
        <w:t>5</w:t>
      </w:r>
      <w:r w:rsidR="004061AC" w:rsidRPr="00015374">
        <w:rPr>
          <w:b w:val="0"/>
          <w:sz w:val="21"/>
          <w:szCs w:val="21"/>
        </w:rPr>
        <w:t>.</w:t>
      </w:r>
      <w:r w:rsidR="0059076B" w:rsidRPr="00015374">
        <w:rPr>
          <w:b w:val="0"/>
          <w:sz w:val="21"/>
          <w:szCs w:val="21"/>
        </w:rPr>
        <w:t>11.6</w:t>
      </w:r>
      <w:r w:rsidR="001675CD" w:rsidRPr="00015374">
        <w:rPr>
          <w:b w:val="0"/>
          <w:sz w:val="21"/>
          <w:szCs w:val="21"/>
        </w:rPr>
        <w:t>投资组合报告附注的其他文字描述部分</w:t>
      </w:r>
    </w:p>
    <w:p w:rsidR="004061AC" w:rsidRPr="005E657B" w:rsidRDefault="004061AC" w:rsidP="005E657B">
      <w:pPr>
        <w:pStyle w:val="11"/>
        <w:spacing w:line="360" w:lineRule="auto"/>
        <w:ind w:firstLine="420"/>
        <w:jc w:val="left"/>
        <w:rPr>
          <w:szCs w:val="21"/>
        </w:rPr>
      </w:pPr>
      <w:r w:rsidRPr="005E657B">
        <w:rPr>
          <w:szCs w:val="21"/>
        </w:rPr>
        <w:t>由于四舍五入的原因，分项之和与合计项之间可能存在尾差。</w:t>
      </w: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015374">
        <w:rPr>
          <w:rStyle w:val="2CharCharChar"/>
          <w:rFonts w:ascii="Times New Roman" w:hAnsi="Times New Roman" w:cs="Times New Roman"/>
          <w:b/>
          <w:szCs w:val="24"/>
        </w:rPr>
        <w:t>6</w:t>
      </w:r>
      <w:r w:rsidRPr="00015374">
        <w:rPr>
          <w:rStyle w:val="2CharCharChar"/>
          <w:rFonts w:ascii="Times New Roman" w:hAnsi="Times New Roman" w:cs="Times New Roman"/>
          <w:b/>
          <w:szCs w:val="24"/>
        </w:rPr>
        <w:t>开放式基金份额变动</w:t>
      </w:r>
    </w:p>
    <w:p w:rsidR="004061AC" w:rsidRPr="00015374" w:rsidRDefault="004061AC"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单位：份</w:t>
      </w:r>
    </w:p>
    <w:tbl>
      <w:tblPr>
        <w:tblW w:w="0" w:type="auto"/>
        <w:tblInd w:w="108" w:type="dxa"/>
        <w:tblLayout w:type="fixed"/>
        <w:tblLook w:val="0000"/>
      </w:tblPr>
      <w:tblGrid>
        <w:gridCol w:w="4395"/>
        <w:gridCol w:w="3969"/>
      </w:tblGrid>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175D4F">
            <w:pPr>
              <w:autoSpaceDE w:val="0"/>
              <w:autoSpaceDN w:val="0"/>
              <w:adjustRightInd w:val="0"/>
              <w:spacing w:before="29" w:line="360" w:lineRule="auto"/>
              <w:ind w:left="17"/>
              <w:rPr>
                <w:color w:val="000000" w:themeColor="text1"/>
                <w:kern w:val="0"/>
              </w:rPr>
            </w:pPr>
            <w:r w:rsidRPr="00015374">
              <w:rPr>
                <w:color w:val="000000" w:themeColor="text1"/>
                <w:kern w:val="0"/>
              </w:rPr>
              <w:t>本报告期期初基金份额总额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6D7FF8" w:rsidP="00924582">
            <w:pPr>
              <w:autoSpaceDE w:val="0"/>
              <w:autoSpaceDN w:val="0"/>
              <w:adjustRightInd w:val="0"/>
              <w:spacing w:before="29" w:line="360" w:lineRule="auto"/>
              <w:ind w:left="17"/>
              <w:jc w:val="right"/>
              <w:rPr>
                <w:color w:val="000000" w:themeColor="text1"/>
              </w:rPr>
            </w:pPr>
            <w:r w:rsidRPr="00015374">
              <w:rPr>
                <w:color w:val="000000" w:themeColor="text1"/>
              </w:rPr>
              <w:t>75,590,367</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FE179F" w:rsidP="00175D4F">
            <w:pPr>
              <w:autoSpaceDE w:val="0"/>
              <w:autoSpaceDN w:val="0"/>
              <w:adjustRightInd w:val="0"/>
              <w:spacing w:before="29" w:line="360" w:lineRule="auto"/>
              <w:ind w:left="17"/>
              <w:rPr>
                <w:color w:val="000000" w:themeColor="text1"/>
                <w:kern w:val="0"/>
              </w:rPr>
            </w:pPr>
            <w:r w:rsidRPr="00015374">
              <w:rPr>
                <w:color w:val="000000" w:themeColor="text1"/>
                <w:kern w:val="0"/>
              </w:rPr>
              <w:t>报告期</w:t>
            </w:r>
            <w:r w:rsidR="004061AC" w:rsidRPr="00015374">
              <w:rPr>
                <w:color w:val="000000" w:themeColor="text1"/>
                <w:kern w:val="0"/>
              </w:rPr>
              <w:t>基金总申购份额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59,000,000</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175D4F">
            <w:pPr>
              <w:autoSpaceDE w:val="0"/>
              <w:autoSpaceDN w:val="0"/>
              <w:adjustRightInd w:val="0"/>
              <w:spacing w:before="29" w:line="360" w:lineRule="auto"/>
              <w:ind w:left="17"/>
              <w:rPr>
                <w:color w:val="000000" w:themeColor="text1"/>
                <w:kern w:val="0"/>
              </w:rPr>
            </w:pPr>
            <w:r w:rsidRPr="00015374">
              <w:rPr>
                <w:color w:val="000000" w:themeColor="text1"/>
                <w:kern w:val="0"/>
              </w:rPr>
              <w:t>减：</w:t>
            </w:r>
            <w:r w:rsidR="00FE179F" w:rsidRPr="00015374">
              <w:rPr>
                <w:color w:val="000000" w:themeColor="text1"/>
                <w:kern w:val="0"/>
              </w:rPr>
              <w:t>报告期</w:t>
            </w:r>
            <w:r w:rsidRPr="00015374">
              <w:rPr>
                <w:color w:val="000000" w:themeColor="text1"/>
                <w:kern w:val="0"/>
              </w:rPr>
              <w:t>基金总赎回份额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53,500,000</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FE179F" w:rsidP="00175D4F">
            <w:pPr>
              <w:autoSpaceDE w:val="0"/>
              <w:autoSpaceDN w:val="0"/>
              <w:adjustRightInd w:val="0"/>
              <w:spacing w:before="29" w:line="360" w:lineRule="auto"/>
              <w:ind w:left="17"/>
              <w:rPr>
                <w:color w:val="000000" w:themeColor="text1"/>
                <w:kern w:val="0"/>
              </w:rPr>
            </w:pPr>
            <w:r w:rsidRPr="00015374">
              <w:rPr>
                <w:color w:val="000000" w:themeColor="text1"/>
                <w:kern w:val="0"/>
              </w:rPr>
              <w:t>报告期</w:t>
            </w:r>
            <w:r w:rsidR="004061AC" w:rsidRPr="00015374">
              <w:rPr>
                <w:color w:val="000000" w:themeColor="text1"/>
                <w:kern w:val="0"/>
              </w:rPr>
              <w:t>基金拆分变动份额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6D7FF8" w:rsidRPr="00015374" w:rsidRDefault="006D7FF8" w:rsidP="00175D4F">
            <w:pPr>
              <w:autoSpaceDE w:val="0"/>
              <w:autoSpaceDN w:val="0"/>
              <w:adjustRightInd w:val="0"/>
              <w:spacing w:before="29" w:line="360" w:lineRule="auto"/>
              <w:ind w:left="17"/>
              <w:rPr>
                <w:color w:val="000000" w:themeColor="text1"/>
                <w:kern w:val="0"/>
              </w:rPr>
            </w:pPr>
            <w:r w:rsidRPr="00015374">
              <w:rPr>
                <w:color w:val="000000" w:themeColor="text1"/>
                <w:kern w:val="0"/>
              </w:rPr>
              <w:t>本报告期期末基金份额总额</w:t>
            </w:r>
          </w:p>
        </w:tc>
        <w:tc>
          <w:tcPr>
            <w:tcW w:w="3969" w:type="dxa"/>
            <w:tcBorders>
              <w:top w:val="single" w:sz="8" w:space="0" w:color="000000"/>
              <w:left w:val="single" w:sz="8" w:space="0" w:color="000000"/>
              <w:bottom w:val="single" w:sz="8" w:space="0" w:color="000000"/>
              <w:right w:val="single" w:sz="8" w:space="0" w:color="000000"/>
            </w:tcBorders>
            <w:vAlign w:val="center"/>
          </w:tcPr>
          <w:p w:rsidR="006D7FF8" w:rsidRPr="00015374" w:rsidRDefault="006D7FF8" w:rsidP="000A2B53">
            <w:pPr>
              <w:autoSpaceDE w:val="0"/>
              <w:autoSpaceDN w:val="0"/>
              <w:adjustRightInd w:val="0"/>
              <w:spacing w:before="29" w:line="360" w:lineRule="auto"/>
              <w:ind w:left="17"/>
              <w:jc w:val="right"/>
              <w:rPr>
                <w:color w:val="000000" w:themeColor="text1"/>
              </w:rPr>
            </w:pPr>
            <w:r w:rsidRPr="00015374">
              <w:rPr>
                <w:color w:val="000000" w:themeColor="text1"/>
              </w:rPr>
              <w:t>81,090,367</w:t>
            </w:r>
          </w:p>
        </w:tc>
      </w:tr>
    </w:tbl>
    <w:p w:rsidR="00EB374A" w:rsidRPr="00015374" w:rsidRDefault="00EB374A"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 xml:space="preserve">7 </w:t>
      </w:r>
      <w:r w:rsidRPr="00015374">
        <w:rPr>
          <w:rStyle w:val="2CharCharChar"/>
          <w:rFonts w:ascii="Times New Roman" w:hAnsi="Times New Roman" w:cs="Times New Roman"/>
          <w:b/>
          <w:szCs w:val="24"/>
        </w:rPr>
        <w:t>基金管理人运用固有资金投资本基金情况</w:t>
      </w:r>
    </w:p>
    <w:p w:rsidR="00EB374A" w:rsidRPr="00015374" w:rsidRDefault="00EB374A" w:rsidP="001C6BC2">
      <w:pPr>
        <w:pStyle w:val="3"/>
        <w:spacing w:before="0" w:after="0" w:line="360" w:lineRule="auto"/>
        <w:jc w:val="left"/>
        <w:rPr>
          <w:b w:val="0"/>
          <w:sz w:val="21"/>
          <w:szCs w:val="21"/>
        </w:rPr>
      </w:pPr>
      <w:r w:rsidRPr="00015374">
        <w:rPr>
          <w:b w:val="0"/>
          <w:sz w:val="21"/>
          <w:szCs w:val="21"/>
        </w:rPr>
        <w:t xml:space="preserve">7.1 </w:t>
      </w:r>
      <w:r w:rsidRPr="00015374">
        <w:rPr>
          <w:b w:val="0"/>
          <w:sz w:val="21"/>
          <w:szCs w:val="21"/>
        </w:rPr>
        <w:t>基金管理人持有本基金份额变动情况</w:t>
      </w:r>
    </w:p>
    <w:p w:rsidR="00EB374A" w:rsidRPr="00015374" w:rsidRDefault="00D967D3" w:rsidP="00183BFC">
      <w:pPr>
        <w:pStyle w:val="11"/>
        <w:spacing w:line="360" w:lineRule="auto"/>
        <w:ind w:firstLine="420"/>
        <w:jc w:val="left"/>
        <w:rPr>
          <w:szCs w:val="21"/>
        </w:rPr>
      </w:pPr>
      <w:r w:rsidRPr="00015374">
        <w:rPr>
          <w:szCs w:val="21"/>
        </w:rPr>
        <w:t>本基金本报告期无基金管理人运用固有资金投资本基金的情况。</w:t>
      </w:r>
    </w:p>
    <w:p w:rsidR="00633BDC" w:rsidRPr="004600A4" w:rsidRDefault="00633BDC" w:rsidP="00633BDC">
      <w:pPr>
        <w:pStyle w:val="3"/>
        <w:spacing w:before="0" w:after="0" w:line="360" w:lineRule="auto"/>
        <w:jc w:val="left"/>
        <w:rPr>
          <w:b w:val="0"/>
          <w:sz w:val="21"/>
          <w:szCs w:val="21"/>
        </w:rPr>
      </w:pPr>
      <w:r w:rsidRPr="004600A4">
        <w:rPr>
          <w:b w:val="0"/>
          <w:sz w:val="21"/>
          <w:szCs w:val="21"/>
        </w:rPr>
        <w:t xml:space="preserve">7.2 </w:t>
      </w:r>
      <w:r w:rsidRPr="004600A4">
        <w:rPr>
          <w:b w:val="0"/>
          <w:sz w:val="21"/>
          <w:szCs w:val="21"/>
        </w:rPr>
        <w:t>基金管理人运用固有资金投资本基金交易明细</w:t>
      </w:r>
    </w:p>
    <w:p w:rsidR="00633BDC" w:rsidRPr="0051626C" w:rsidRDefault="00633BDC" w:rsidP="00633BDC">
      <w:pPr>
        <w:pStyle w:val="11"/>
        <w:spacing w:line="360" w:lineRule="auto"/>
        <w:ind w:firstLine="420"/>
        <w:jc w:val="left"/>
        <w:rPr>
          <w:szCs w:val="21"/>
        </w:rPr>
      </w:pPr>
      <w:r w:rsidRPr="0051626C">
        <w:rPr>
          <w:szCs w:val="21"/>
        </w:rPr>
        <w:t>本基金本报告期无基金管理人运用固有资金投资本基金的情况。</w:t>
      </w:r>
    </w:p>
    <w:p w:rsidR="00D21FFF" w:rsidRPr="000E58A2" w:rsidRDefault="00D21FFF"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6423B9" w:rsidRPr="000E58A2">
        <w:rPr>
          <w:rStyle w:val="2CharCharChar"/>
          <w:rFonts w:ascii="Times New Roman" w:hAnsi="Times New Roman" w:cs="Times New Roman"/>
          <w:b/>
          <w:szCs w:val="24"/>
        </w:rPr>
        <w:t>8</w:t>
      </w:r>
      <w:r w:rsidR="003307FE" w:rsidRPr="000E58A2">
        <w:rPr>
          <w:rStyle w:val="2CharCharChar"/>
          <w:rFonts w:ascii="Times New Roman" w:hAnsi="Times New Roman" w:cs="Times New Roman"/>
          <w:b/>
          <w:szCs w:val="24"/>
        </w:rPr>
        <w:t>报告期末</w:t>
      </w:r>
      <w:r w:rsidRPr="000E58A2">
        <w:rPr>
          <w:rStyle w:val="2CharCharChar"/>
          <w:rFonts w:ascii="Times New Roman" w:hAnsi="Times New Roman" w:cs="Times New Roman"/>
          <w:b/>
          <w:szCs w:val="24"/>
        </w:rPr>
        <w:t>发起式基金发起资金持有份额情况</w:t>
      </w:r>
    </w:p>
    <w:p w:rsidR="00D21FFF" w:rsidRPr="00015374" w:rsidRDefault="00722509" w:rsidP="00183BFC">
      <w:pPr>
        <w:pStyle w:val="11"/>
        <w:spacing w:line="360" w:lineRule="auto"/>
        <w:ind w:firstLine="420"/>
        <w:jc w:val="left"/>
        <w:rPr>
          <w:szCs w:val="21"/>
        </w:rPr>
      </w:pPr>
      <w:r w:rsidRPr="00015374">
        <w:rPr>
          <w:szCs w:val="21"/>
        </w:rPr>
        <w:t>截至</w:t>
      </w:r>
      <w:r w:rsidRPr="00015374">
        <w:rPr>
          <w:szCs w:val="21"/>
        </w:rPr>
        <w:t>2016</w:t>
      </w:r>
      <w:r w:rsidRPr="00015374">
        <w:rPr>
          <w:szCs w:val="21"/>
        </w:rPr>
        <w:t>年</w:t>
      </w:r>
      <w:r w:rsidRPr="00015374">
        <w:rPr>
          <w:szCs w:val="21"/>
        </w:rPr>
        <w:t>3</w:t>
      </w:r>
      <w:r w:rsidRPr="00015374">
        <w:rPr>
          <w:szCs w:val="21"/>
        </w:rPr>
        <w:t>月</w:t>
      </w:r>
      <w:r w:rsidRPr="00015374">
        <w:rPr>
          <w:szCs w:val="21"/>
        </w:rPr>
        <w:t>28</w:t>
      </w:r>
      <w:r w:rsidRPr="00015374">
        <w:rPr>
          <w:szCs w:val="21"/>
        </w:rPr>
        <w:t>日，上证主要消费交易型开放式指数发起式证券投资基金的基金合同生效届满三年。</w:t>
      </w:r>
    </w:p>
    <w:p w:rsidR="004061AC" w:rsidRPr="000E58A2" w:rsidRDefault="004061AC"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676095" w:rsidRPr="000E58A2">
        <w:rPr>
          <w:rStyle w:val="2CharCharChar"/>
          <w:rFonts w:ascii="Times New Roman" w:hAnsi="Times New Roman" w:cs="Times New Roman"/>
          <w:b/>
          <w:szCs w:val="24"/>
        </w:rPr>
        <w:t>9</w:t>
      </w:r>
      <w:r w:rsidRPr="000E58A2">
        <w:rPr>
          <w:rStyle w:val="2CharCharChar"/>
          <w:rFonts w:ascii="Times New Roman" w:hAnsi="Times New Roman" w:cs="Times New Roman"/>
          <w:b/>
          <w:szCs w:val="24"/>
        </w:rPr>
        <w:t>影响投资者决策的其他重要信息</w:t>
      </w:r>
    </w:p>
    <w:p w:rsidR="00B3660F" w:rsidRPr="00B3660F" w:rsidRDefault="00B3660F" w:rsidP="00B3660F">
      <w:pPr>
        <w:pStyle w:val="3"/>
        <w:spacing w:before="0" w:after="0" w:line="360" w:lineRule="auto"/>
        <w:jc w:val="left"/>
        <w:rPr>
          <w:b w:val="0"/>
          <w:sz w:val="21"/>
          <w:szCs w:val="21"/>
        </w:rPr>
      </w:pPr>
      <w:r w:rsidRPr="00B3660F">
        <w:rPr>
          <w:b w:val="0"/>
          <w:sz w:val="21"/>
          <w:szCs w:val="21"/>
        </w:rPr>
        <w:t xml:space="preserve">9.1 </w:t>
      </w:r>
      <w:r w:rsidRPr="00B3660F">
        <w:rPr>
          <w:b w:val="0"/>
          <w:sz w:val="21"/>
          <w:szCs w:val="21"/>
        </w:rPr>
        <w:t>报告期内单一投资者持有基金份额比例达到或超过</w:t>
      </w:r>
      <w:r w:rsidRPr="00B3660F">
        <w:rPr>
          <w:b w:val="0"/>
          <w:sz w:val="21"/>
          <w:szCs w:val="21"/>
        </w:rPr>
        <w:t>20%</w:t>
      </w:r>
      <w:r w:rsidRPr="00B3660F">
        <w:rPr>
          <w:b w:val="0"/>
          <w:sz w:val="21"/>
          <w:szCs w:val="21"/>
        </w:rPr>
        <w:t>的情况</w:t>
      </w:r>
    </w:p>
    <w:tbl>
      <w:tblPr>
        <w:tblStyle w:val="af7"/>
        <w:tblW w:w="0" w:type="auto"/>
        <w:tblInd w:w="108" w:type="dxa"/>
        <w:tblLook w:val="04A0"/>
      </w:tblPr>
      <w:tblGrid>
        <w:gridCol w:w="631"/>
        <w:gridCol w:w="509"/>
        <w:gridCol w:w="1981"/>
        <w:gridCol w:w="1566"/>
        <w:gridCol w:w="590"/>
        <w:gridCol w:w="590"/>
        <w:gridCol w:w="1566"/>
        <w:gridCol w:w="987"/>
      </w:tblGrid>
      <w:tr w:rsidR="00B3660F" w:rsidRPr="00B3660F" w:rsidTr="00E51EE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02325B">
            <w:pPr>
              <w:jc w:val="center"/>
              <w:rPr>
                <w:sz w:val="21"/>
              </w:rPr>
            </w:pPr>
            <w:r w:rsidRPr="00B3660F">
              <w:rPr>
                <w:sz w:val="21"/>
              </w:rPr>
              <w:t>投资者类别</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报告期内持有基金份额变化情况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报告期末持有基金情况</w:t>
            </w:r>
          </w:p>
        </w:tc>
      </w:tr>
      <w:tr w:rsidR="00B3660F" w:rsidRPr="00B3660F" w:rsidTr="00E51EE5">
        <w:tc>
          <w:tcPr>
            <w:tcW w:w="0" w:type="auto"/>
            <w:vMerge/>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02325B">
            <w:pPr>
              <w:widowControl/>
              <w:jc w:val="center"/>
              <w:rPr>
                <w:sz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持有基金份额比例达到或者超过</w:t>
            </w:r>
            <w:r w:rsidRPr="00B3660F">
              <w:rPr>
                <w:sz w:val="21"/>
              </w:rPr>
              <w:t>20%</w:t>
            </w:r>
            <w:r w:rsidRPr="00B3660F">
              <w:rPr>
                <w:sz w:val="21"/>
              </w:rPr>
              <w:t>的时间区间</w:t>
            </w:r>
          </w:p>
        </w:tc>
        <w:tc>
          <w:tcPr>
            <w:tcW w:w="0" w:type="auto"/>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期初份额</w:t>
            </w:r>
          </w:p>
        </w:tc>
        <w:tc>
          <w:tcPr>
            <w:tcW w:w="0" w:type="auto"/>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申购份额</w:t>
            </w:r>
          </w:p>
        </w:tc>
        <w:tc>
          <w:tcPr>
            <w:tcW w:w="0" w:type="auto"/>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赎回份额</w:t>
            </w:r>
          </w:p>
        </w:tc>
        <w:tc>
          <w:tcPr>
            <w:tcW w:w="0" w:type="auto"/>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持有份额</w:t>
            </w:r>
          </w:p>
        </w:tc>
        <w:tc>
          <w:tcPr>
            <w:tcW w:w="0" w:type="auto"/>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B3660F">
            <w:pPr>
              <w:jc w:val="center"/>
              <w:rPr>
                <w:sz w:val="21"/>
              </w:rPr>
            </w:pPr>
            <w:r w:rsidRPr="00B3660F">
              <w:rPr>
                <w:sz w:val="21"/>
              </w:rPr>
              <w:t>份额占比</w:t>
            </w:r>
          </w:p>
        </w:tc>
      </w:tr>
      <w:tr w:rsidR="0057060B">
        <w:tc>
          <w:tcPr>
            <w:tcW w:w="0" w:type="auto"/>
            <w:vMerge w:val="restart"/>
            <w:vAlign w:val="center"/>
          </w:tcPr>
          <w:p w:rsidR="0057060B" w:rsidRDefault="00185132">
            <w:r>
              <w:rPr>
                <w:sz w:val="21"/>
              </w:rPr>
              <w:t>机构</w:t>
            </w:r>
          </w:p>
        </w:tc>
        <w:tc>
          <w:tcPr>
            <w:tcW w:w="0" w:type="auto"/>
            <w:vAlign w:val="center"/>
          </w:tcPr>
          <w:p w:rsidR="0057060B" w:rsidRDefault="00185132">
            <w:pPr>
              <w:jc w:val="center"/>
            </w:pPr>
            <w:r>
              <w:rPr>
                <w:sz w:val="21"/>
              </w:rPr>
              <w:t>1</w:t>
            </w:r>
          </w:p>
        </w:tc>
        <w:tc>
          <w:tcPr>
            <w:tcW w:w="0" w:type="auto"/>
            <w:vAlign w:val="center"/>
          </w:tcPr>
          <w:p w:rsidR="0057060B" w:rsidRDefault="00185132">
            <w:pPr>
              <w:jc w:val="center"/>
            </w:pPr>
            <w:r>
              <w:rPr>
                <w:sz w:val="21"/>
              </w:rPr>
              <w:t>2019-07-01</w:t>
            </w:r>
            <w:r>
              <w:rPr>
                <w:sz w:val="21"/>
              </w:rPr>
              <w:t>至</w:t>
            </w:r>
            <w:r>
              <w:rPr>
                <w:sz w:val="21"/>
              </w:rPr>
              <w:t>2019-09-30</w:t>
            </w:r>
          </w:p>
        </w:tc>
        <w:tc>
          <w:tcPr>
            <w:tcW w:w="0" w:type="auto"/>
            <w:vAlign w:val="center"/>
          </w:tcPr>
          <w:p w:rsidR="0057060B" w:rsidRDefault="00185132">
            <w:pPr>
              <w:jc w:val="right"/>
            </w:pPr>
            <w:r>
              <w:rPr>
                <w:sz w:val="21"/>
              </w:rPr>
              <w:t>50,500,000.00</w:t>
            </w:r>
          </w:p>
        </w:tc>
        <w:tc>
          <w:tcPr>
            <w:tcW w:w="0" w:type="auto"/>
            <w:vAlign w:val="center"/>
          </w:tcPr>
          <w:p w:rsidR="0057060B" w:rsidRDefault="00185132">
            <w:pPr>
              <w:jc w:val="right"/>
            </w:pPr>
            <w:r>
              <w:rPr>
                <w:sz w:val="21"/>
              </w:rPr>
              <w:t>-</w:t>
            </w:r>
          </w:p>
        </w:tc>
        <w:tc>
          <w:tcPr>
            <w:tcW w:w="0" w:type="auto"/>
            <w:vAlign w:val="center"/>
          </w:tcPr>
          <w:p w:rsidR="0057060B" w:rsidRDefault="00185132">
            <w:pPr>
              <w:jc w:val="right"/>
            </w:pPr>
            <w:r>
              <w:rPr>
                <w:sz w:val="21"/>
              </w:rPr>
              <w:t>-</w:t>
            </w:r>
          </w:p>
        </w:tc>
        <w:tc>
          <w:tcPr>
            <w:tcW w:w="0" w:type="auto"/>
            <w:vAlign w:val="center"/>
          </w:tcPr>
          <w:p w:rsidR="0057060B" w:rsidRDefault="00185132">
            <w:pPr>
              <w:jc w:val="right"/>
            </w:pPr>
            <w:r>
              <w:rPr>
                <w:sz w:val="21"/>
              </w:rPr>
              <w:t>50,500,000.00</w:t>
            </w:r>
          </w:p>
        </w:tc>
        <w:tc>
          <w:tcPr>
            <w:tcW w:w="0" w:type="auto"/>
            <w:vAlign w:val="center"/>
          </w:tcPr>
          <w:p w:rsidR="0057060B" w:rsidRDefault="00185132">
            <w:pPr>
              <w:jc w:val="right"/>
            </w:pPr>
            <w:r>
              <w:rPr>
                <w:sz w:val="21"/>
              </w:rPr>
              <w:t>62.28%</w:t>
            </w:r>
          </w:p>
        </w:tc>
      </w:tr>
      <w:tr w:rsidR="00B3660F" w:rsidRPr="00B3660F" w:rsidTr="00E51EE5">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B3660F" w:rsidRPr="00B3660F" w:rsidRDefault="00B3660F" w:rsidP="0002325B">
            <w:pPr>
              <w:autoSpaceDE w:val="0"/>
              <w:autoSpaceDN w:val="0"/>
              <w:adjustRightInd w:val="0"/>
              <w:ind w:firstLine="1126"/>
              <w:jc w:val="center"/>
              <w:rPr>
                <w:sz w:val="21"/>
              </w:rPr>
            </w:pPr>
            <w:r w:rsidRPr="00B3660F">
              <w:rPr>
                <w:color w:val="000000"/>
                <w:sz w:val="21"/>
              </w:rPr>
              <w:t>产品特有风险</w:t>
            </w:r>
          </w:p>
        </w:tc>
      </w:tr>
      <w:tr w:rsidR="00B3660F" w:rsidRPr="00B3660F" w:rsidTr="00E51EE5">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57060B" w:rsidRDefault="00185132">
            <w:pPr>
              <w:autoSpaceDE w:val="0"/>
              <w:autoSpaceDN w:val="0"/>
              <w:adjustRightInd w:val="0"/>
              <w:rPr>
                <w:sz w:val="21"/>
              </w:rPr>
            </w:pPr>
            <w:r>
              <w:rPr>
                <w:sz w:val="21"/>
              </w:rPr>
              <w:t>本基金在报告期内存在单一投资者持有基金份额比例达到或者超过基金总份额</w:t>
            </w:r>
            <w:r>
              <w:rPr>
                <w:sz w:val="21"/>
              </w:rPr>
              <w:t>20%</w:t>
            </w:r>
            <w:r>
              <w:rPr>
                <w:sz w:val="21"/>
              </w:rPr>
              <w:t>的情形，在市场流动性不足的情况下，如遇投资者巨额赎回或集中赎回，基金管理人可能无法以合理的价格及时变现基金资产，有可能对基金净值产生一定的影响，甚至可能引发基金的流动性风险。</w:t>
            </w:r>
          </w:p>
          <w:p w:rsidR="00B3660F" w:rsidRPr="00B3660F" w:rsidRDefault="00B3660F" w:rsidP="006F11B1">
            <w:pPr>
              <w:autoSpaceDE w:val="0"/>
              <w:autoSpaceDN w:val="0"/>
              <w:adjustRightInd w:val="0"/>
              <w:rPr>
                <w:sz w:val="21"/>
              </w:rPr>
            </w:pPr>
            <w:bookmarkStart w:id="0" w:name="_GoBack"/>
            <w:bookmarkEnd w:id="0"/>
            <w:r w:rsidRPr="00B3660F">
              <w:rPr>
                <w:sz w:val="21"/>
              </w:rPr>
              <w:t>在特定情况下，若持有基金份额占比较高的投资者大量赎回本基金，可能导致在其赎回后本基金资产规模持续低于正常运作水平，面临转换运作方式、与其他基金合并或者终止基金合同等情形。</w:t>
            </w:r>
            <w:r w:rsidRPr="00B3660F">
              <w:rPr>
                <w:sz w:val="21"/>
              </w:rPr>
              <w:t> </w:t>
            </w:r>
          </w:p>
        </w:tc>
      </w:tr>
    </w:tbl>
    <w:p w:rsidR="00B3660F" w:rsidRPr="00B3660F" w:rsidRDefault="00B3660F" w:rsidP="00B3660F">
      <w:pPr>
        <w:pStyle w:val="3"/>
        <w:spacing w:before="0" w:after="0" w:line="360" w:lineRule="auto"/>
        <w:jc w:val="left"/>
        <w:rPr>
          <w:b w:val="0"/>
          <w:sz w:val="21"/>
          <w:szCs w:val="21"/>
        </w:rPr>
      </w:pPr>
      <w:r w:rsidRPr="00B3660F">
        <w:rPr>
          <w:b w:val="0"/>
          <w:sz w:val="21"/>
          <w:szCs w:val="21"/>
        </w:rPr>
        <w:t xml:space="preserve">9.2 </w:t>
      </w:r>
      <w:r w:rsidRPr="00B3660F">
        <w:rPr>
          <w:b w:val="0"/>
          <w:sz w:val="21"/>
          <w:szCs w:val="21"/>
        </w:rPr>
        <w:t>影响投资者决策的其他重要信息</w:t>
      </w:r>
    </w:p>
    <w:p w:rsidR="0057060B" w:rsidRDefault="00185132">
      <w:pPr>
        <w:pStyle w:val="11"/>
        <w:spacing w:line="360" w:lineRule="auto"/>
        <w:ind w:firstLine="420"/>
        <w:jc w:val="left"/>
        <w:rPr>
          <w:szCs w:val="21"/>
        </w:rPr>
      </w:pPr>
      <w:r>
        <w:rPr>
          <w:szCs w:val="21"/>
        </w:rPr>
        <w:t>1</w:t>
      </w:r>
      <w:r>
        <w:rPr>
          <w:szCs w:val="21"/>
        </w:rPr>
        <w:t>、报告期内披露的主要事项</w:t>
      </w:r>
    </w:p>
    <w:p w:rsidR="0057060B" w:rsidRDefault="00185132">
      <w:pPr>
        <w:pStyle w:val="11"/>
        <w:spacing w:line="360" w:lineRule="auto"/>
        <w:ind w:firstLine="420"/>
        <w:jc w:val="left"/>
        <w:rPr>
          <w:szCs w:val="21"/>
        </w:rPr>
      </w:pPr>
      <w:r>
        <w:rPr>
          <w:szCs w:val="21"/>
        </w:rPr>
        <w:t>2019</w:t>
      </w:r>
      <w:r>
        <w:rPr>
          <w:szCs w:val="21"/>
        </w:rPr>
        <w:t>年</w:t>
      </w:r>
      <w:r>
        <w:rPr>
          <w:szCs w:val="21"/>
        </w:rPr>
        <w:t>7</w:t>
      </w:r>
      <w:r>
        <w:rPr>
          <w:szCs w:val="21"/>
        </w:rPr>
        <w:t>月</w:t>
      </w:r>
      <w:r>
        <w:rPr>
          <w:szCs w:val="21"/>
        </w:rPr>
        <w:t>17</w:t>
      </w:r>
      <w:r>
        <w:rPr>
          <w:szCs w:val="21"/>
        </w:rPr>
        <w:t>日发布华夏基金管理有限公司关于旗下交易型开放式指数基金在首批科创板股票上市首日的风险提示性公告。</w:t>
      </w:r>
    </w:p>
    <w:p w:rsidR="0057060B" w:rsidRDefault="00185132">
      <w:pPr>
        <w:pStyle w:val="11"/>
        <w:spacing w:line="360" w:lineRule="auto"/>
        <w:ind w:firstLine="420"/>
        <w:jc w:val="left"/>
        <w:rPr>
          <w:szCs w:val="21"/>
        </w:rPr>
      </w:pPr>
      <w:r>
        <w:rPr>
          <w:szCs w:val="21"/>
        </w:rPr>
        <w:t>2019</w:t>
      </w:r>
      <w:r>
        <w:rPr>
          <w:szCs w:val="21"/>
        </w:rPr>
        <w:t>年</w:t>
      </w:r>
      <w:r>
        <w:rPr>
          <w:szCs w:val="21"/>
        </w:rPr>
        <w:t>7</w:t>
      </w:r>
      <w:r>
        <w:rPr>
          <w:szCs w:val="21"/>
        </w:rPr>
        <w:t>月</w:t>
      </w:r>
      <w:r>
        <w:rPr>
          <w:szCs w:val="21"/>
        </w:rPr>
        <w:t>22</w:t>
      </w:r>
      <w:r>
        <w:rPr>
          <w:szCs w:val="21"/>
        </w:rPr>
        <w:t>日发布华夏基金管理有限公司关于旗下交易型开放式指数基金在首批科创板股票上市首日的风险提示性公告。</w:t>
      </w:r>
    </w:p>
    <w:p w:rsidR="0057060B" w:rsidRDefault="00185132">
      <w:pPr>
        <w:pStyle w:val="11"/>
        <w:spacing w:line="360" w:lineRule="auto"/>
        <w:ind w:firstLine="420"/>
        <w:jc w:val="left"/>
        <w:rPr>
          <w:szCs w:val="21"/>
        </w:rPr>
      </w:pPr>
      <w:r>
        <w:rPr>
          <w:szCs w:val="21"/>
        </w:rPr>
        <w:t>2</w:t>
      </w:r>
      <w:r>
        <w:rPr>
          <w:szCs w:val="21"/>
        </w:rPr>
        <w:t>、其他相关信息</w:t>
      </w:r>
    </w:p>
    <w:p w:rsidR="0057060B" w:rsidRDefault="00185132">
      <w:pPr>
        <w:pStyle w:val="11"/>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总部设在北京，在北京、上海、深圳、成都、南京、杭州、广州和青岛设有分公司，在香港、深圳、上海设有子公司。公司是首批全国社保基金管理人、首批企业年金基金管理人、境</w:t>
      </w:r>
      <w:r>
        <w:rPr>
          <w:szCs w:val="21"/>
        </w:rPr>
        <w:t>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基金管理人、首批内地与香港基金互认基金管理人、首批基本养老保险基金投资管理人资格、首家加入联合国责任投资原则组织的公募基金公司、首批公募</w:t>
      </w:r>
      <w:r>
        <w:rPr>
          <w:szCs w:val="21"/>
        </w:rPr>
        <w:t>FOF</w:t>
      </w:r>
      <w:r>
        <w:rPr>
          <w:szCs w:val="21"/>
        </w:rPr>
        <w:t>基金管理人、首批公募养老目标基金管理人、境内首批中日互通</w:t>
      </w:r>
      <w:r>
        <w:rPr>
          <w:szCs w:val="21"/>
        </w:rPr>
        <w:t>ETF</w:t>
      </w:r>
      <w:r>
        <w:rPr>
          <w:szCs w:val="21"/>
        </w:rPr>
        <w:t>基金管理人，首批商品期货</w:t>
      </w:r>
      <w:r>
        <w:rPr>
          <w:szCs w:val="21"/>
        </w:rPr>
        <w:t>ETF</w:t>
      </w:r>
      <w:r>
        <w:rPr>
          <w:szCs w:val="21"/>
        </w:rPr>
        <w:t>基金管理人，以及特定客户资产管理人、保险资金投资管理人，香港子公司是首批</w:t>
      </w:r>
      <w:r>
        <w:rPr>
          <w:szCs w:val="21"/>
        </w:rPr>
        <w:t>RQFII</w:t>
      </w:r>
      <w:r>
        <w:rPr>
          <w:szCs w:val="21"/>
        </w:rPr>
        <w:t>基金管理人。华夏基金是业务领域最广泛的基金管理公司之一。</w:t>
      </w:r>
    </w:p>
    <w:p w:rsidR="0057060B" w:rsidRDefault="00185132">
      <w:pPr>
        <w:pStyle w:val="11"/>
        <w:spacing w:line="360" w:lineRule="auto"/>
        <w:ind w:firstLine="420"/>
        <w:jc w:val="left"/>
        <w:rPr>
          <w:szCs w:val="21"/>
        </w:rPr>
      </w:pPr>
      <w:r>
        <w:rPr>
          <w:szCs w:val="21"/>
        </w:rPr>
        <w:t>华夏基金是境内</w:t>
      </w:r>
      <w:r>
        <w:rPr>
          <w:szCs w:val="21"/>
        </w:rPr>
        <w:t>ETF</w:t>
      </w:r>
      <w:r>
        <w:rPr>
          <w:szCs w:val="21"/>
        </w:rPr>
        <w:t>基金资产管理规模最大的基金管理公司之一，在</w:t>
      </w:r>
      <w:r>
        <w:rPr>
          <w:szCs w:val="21"/>
        </w:rPr>
        <w:t>ET</w:t>
      </w:r>
      <w:r>
        <w:rPr>
          <w:szCs w:val="21"/>
        </w:rPr>
        <w:t>F</w:t>
      </w:r>
      <w:r>
        <w:rPr>
          <w:szCs w:val="21"/>
        </w:rPr>
        <w:t>基金管理方面积累了丰富的经验，目前旗下管理华夏上证</w:t>
      </w:r>
      <w:r>
        <w:rPr>
          <w:szCs w:val="21"/>
        </w:rPr>
        <w:t>50ETF</w:t>
      </w:r>
      <w:r>
        <w:rPr>
          <w:szCs w:val="21"/>
        </w:rPr>
        <w:t>、华夏沪深</w:t>
      </w:r>
      <w:r>
        <w:rPr>
          <w:szCs w:val="21"/>
        </w:rPr>
        <w:t>300ETF</w:t>
      </w:r>
      <w:r>
        <w:rPr>
          <w:szCs w:val="21"/>
        </w:rPr>
        <w:t>、华夏</w:t>
      </w:r>
      <w:r>
        <w:rPr>
          <w:szCs w:val="21"/>
        </w:rPr>
        <w:t>MSCI</w:t>
      </w:r>
      <w:r>
        <w:rPr>
          <w:szCs w:val="21"/>
        </w:rPr>
        <w:t>中国</w:t>
      </w:r>
      <w:r>
        <w:rPr>
          <w:szCs w:val="21"/>
        </w:rPr>
        <w:t>A</w:t>
      </w:r>
      <w:r>
        <w:rPr>
          <w:szCs w:val="21"/>
        </w:rPr>
        <w:t>股国际通</w:t>
      </w:r>
      <w:r>
        <w:rPr>
          <w:szCs w:val="21"/>
        </w:rPr>
        <w:t>ETF</w:t>
      </w:r>
      <w:r>
        <w:rPr>
          <w:szCs w:val="21"/>
        </w:rPr>
        <w:t>、华夏恒生</w:t>
      </w:r>
      <w:r>
        <w:rPr>
          <w:szCs w:val="21"/>
        </w:rPr>
        <w:t>ETF</w:t>
      </w:r>
      <w:r>
        <w:rPr>
          <w:szCs w:val="21"/>
        </w:rPr>
        <w:t>、华夏沪港通恒生</w:t>
      </w:r>
      <w:r>
        <w:rPr>
          <w:szCs w:val="21"/>
        </w:rPr>
        <w:t>ETF</w:t>
      </w:r>
      <w:r>
        <w:rPr>
          <w:szCs w:val="21"/>
        </w:rPr>
        <w:t>、华夏野村日经</w:t>
      </w:r>
      <w:r>
        <w:rPr>
          <w:szCs w:val="21"/>
        </w:rPr>
        <w:t>225ETF</w:t>
      </w:r>
      <w:r>
        <w:rPr>
          <w:szCs w:val="21"/>
        </w:rPr>
        <w:t>、华夏中证</w:t>
      </w:r>
      <w:r>
        <w:rPr>
          <w:szCs w:val="21"/>
        </w:rPr>
        <w:t>500ETF</w:t>
      </w:r>
      <w:r>
        <w:rPr>
          <w:szCs w:val="21"/>
        </w:rPr>
        <w:t>、华夏中小板</w:t>
      </w:r>
      <w:r>
        <w:rPr>
          <w:szCs w:val="21"/>
        </w:rPr>
        <w:t>ETF</w:t>
      </w:r>
      <w:r>
        <w:rPr>
          <w:szCs w:val="21"/>
        </w:rPr>
        <w:t>、华夏创业板</w:t>
      </w:r>
      <w:r>
        <w:rPr>
          <w:szCs w:val="21"/>
        </w:rPr>
        <w:t>ETF</w:t>
      </w:r>
      <w:r>
        <w:rPr>
          <w:szCs w:val="21"/>
        </w:rPr>
        <w:t>、华夏中证央企</w:t>
      </w:r>
      <w:r>
        <w:rPr>
          <w:szCs w:val="21"/>
        </w:rPr>
        <w:t>ETF</w:t>
      </w:r>
      <w:r>
        <w:rPr>
          <w:szCs w:val="21"/>
        </w:rPr>
        <w:t>、华夏中证四川国改</w:t>
      </w:r>
      <w:r>
        <w:rPr>
          <w:szCs w:val="21"/>
        </w:rPr>
        <w:t>ETF</w:t>
      </w:r>
      <w:r>
        <w:rPr>
          <w:szCs w:val="21"/>
        </w:rPr>
        <w:t>、华夏战略新兴成指</w:t>
      </w:r>
      <w:r>
        <w:rPr>
          <w:szCs w:val="21"/>
        </w:rPr>
        <w:t>ETF</w:t>
      </w:r>
      <w:r>
        <w:rPr>
          <w:szCs w:val="21"/>
        </w:rPr>
        <w:t>、</w:t>
      </w:r>
      <w:r>
        <w:rPr>
          <w:szCs w:val="21"/>
        </w:rPr>
        <w:t>5GETF</w:t>
      </w:r>
      <w:r>
        <w:rPr>
          <w:szCs w:val="21"/>
        </w:rPr>
        <w:t>、华夏消费</w:t>
      </w:r>
      <w:r>
        <w:rPr>
          <w:szCs w:val="21"/>
        </w:rPr>
        <w:t>ETF</w:t>
      </w:r>
      <w:r>
        <w:rPr>
          <w:szCs w:val="21"/>
        </w:rPr>
        <w:t>、华夏金融</w:t>
      </w:r>
      <w:r>
        <w:rPr>
          <w:szCs w:val="21"/>
        </w:rPr>
        <w:t>ETF</w:t>
      </w:r>
      <w:r>
        <w:rPr>
          <w:szCs w:val="21"/>
        </w:rPr>
        <w:t>、华夏医药</w:t>
      </w:r>
      <w:r>
        <w:rPr>
          <w:szCs w:val="21"/>
        </w:rPr>
        <w:t>ETF</w:t>
      </w:r>
      <w:r>
        <w:rPr>
          <w:szCs w:val="21"/>
        </w:rPr>
        <w:t>、华夏证券</w:t>
      </w:r>
      <w:r>
        <w:rPr>
          <w:szCs w:val="21"/>
        </w:rPr>
        <w:t>ETF</w:t>
      </w:r>
      <w:r>
        <w:rPr>
          <w:szCs w:val="21"/>
        </w:rPr>
        <w:t>、华夏创蓝筹</w:t>
      </w:r>
      <w:r>
        <w:rPr>
          <w:szCs w:val="21"/>
        </w:rPr>
        <w:t>ETF</w:t>
      </w:r>
      <w:r>
        <w:rPr>
          <w:szCs w:val="21"/>
        </w:rPr>
        <w:t>、华夏创成长</w:t>
      </w:r>
      <w:r>
        <w:rPr>
          <w:szCs w:val="21"/>
        </w:rPr>
        <w:t>ETF</w:t>
      </w:r>
      <w:r>
        <w:rPr>
          <w:szCs w:val="21"/>
        </w:rPr>
        <w:t>、华夏快线货币</w:t>
      </w:r>
      <w:r>
        <w:rPr>
          <w:szCs w:val="21"/>
        </w:rPr>
        <w:t>ETF</w:t>
      </w:r>
      <w:r>
        <w:rPr>
          <w:szCs w:val="21"/>
        </w:rPr>
        <w:t>、华夏</w:t>
      </w:r>
      <w:r>
        <w:rPr>
          <w:szCs w:val="21"/>
        </w:rPr>
        <w:t>3-5</w:t>
      </w:r>
      <w:r>
        <w:rPr>
          <w:szCs w:val="21"/>
        </w:rPr>
        <w:t>年中高级可质押信用债</w:t>
      </w:r>
      <w:r>
        <w:rPr>
          <w:szCs w:val="21"/>
        </w:rPr>
        <w:t>ETF</w:t>
      </w:r>
      <w:r>
        <w:rPr>
          <w:szCs w:val="21"/>
        </w:rPr>
        <w:t>、华夏豆粕</w:t>
      </w:r>
      <w:r>
        <w:rPr>
          <w:szCs w:val="21"/>
        </w:rPr>
        <w:t>ETF</w:t>
      </w:r>
      <w:r>
        <w:rPr>
          <w:szCs w:val="21"/>
        </w:rPr>
        <w:t>，初步形成了覆盖宽</w:t>
      </w:r>
      <w:r>
        <w:rPr>
          <w:szCs w:val="21"/>
        </w:rPr>
        <w:t>基指数、大盘蓝筹指数、中小创指数、主题指数、行业指数、</w:t>
      </w:r>
      <w:r>
        <w:rPr>
          <w:szCs w:val="21"/>
        </w:rPr>
        <w:t>Smart Beta</w:t>
      </w:r>
      <w:r>
        <w:rPr>
          <w:szCs w:val="21"/>
        </w:rPr>
        <w:t>策略、</w:t>
      </w:r>
      <w:r>
        <w:rPr>
          <w:szCs w:val="21"/>
        </w:rPr>
        <w:t>A</w:t>
      </w:r>
      <w:r>
        <w:rPr>
          <w:szCs w:val="21"/>
        </w:rPr>
        <w:t>股市场指数、海外市场指数、信用债指数、商品指数等较为完整的产品线。</w:t>
      </w:r>
    </w:p>
    <w:p w:rsidR="0057060B" w:rsidRDefault="00185132">
      <w:pPr>
        <w:pStyle w:val="11"/>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2019</w:t>
      </w:r>
      <w:r>
        <w:rPr>
          <w:szCs w:val="21"/>
        </w:rPr>
        <w:t>年</w:t>
      </w:r>
      <w:r>
        <w:rPr>
          <w:szCs w:val="21"/>
        </w:rPr>
        <w:t>9</w:t>
      </w:r>
      <w:r>
        <w:rPr>
          <w:szCs w:val="21"/>
        </w:rPr>
        <w:t>月</w:t>
      </w:r>
      <w:r>
        <w:rPr>
          <w:szCs w:val="21"/>
        </w:rPr>
        <w:t>30</w:t>
      </w:r>
      <w:r>
        <w:rPr>
          <w:szCs w:val="21"/>
        </w:rPr>
        <w:t>日数据），华夏移动互联混合</w:t>
      </w:r>
      <w:r>
        <w:rPr>
          <w:szCs w:val="21"/>
        </w:rPr>
        <w:t>(QDII)</w:t>
      </w:r>
      <w:r>
        <w:rPr>
          <w:szCs w:val="21"/>
        </w:rPr>
        <w:t>及华夏全球科技先锋混合</w:t>
      </w:r>
      <w:r>
        <w:rPr>
          <w:szCs w:val="21"/>
        </w:rPr>
        <w:t>(QDII)</w:t>
      </w:r>
      <w:r>
        <w:rPr>
          <w:szCs w:val="21"/>
        </w:rPr>
        <w:t>在</w:t>
      </w:r>
      <w:r>
        <w:rPr>
          <w:szCs w:val="21"/>
        </w:rPr>
        <w:t>“QDII</w:t>
      </w:r>
      <w:r>
        <w:rPr>
          <w:szCs w:val="21"/>
        </w:rPr>
        <w:t>基金</w:t>
      </w:r>
      <w:r>
        <w:rPr>
          <w:szCs w:val="21"/>
        </w:rPr>
        <w:t>-QDII</w:t>
      </w:r>
      <w:r>
        <w:rPr>
          <w:szCs w:val="21"/>
        </w:rPr>
        <w:t>混合基金</w:t>
      </w:r>
      <w:r>
        <w:rPr>
          <w:szCs w:val="21"/>
        </w:rPr>
        <w:t>-QDII</w:t>
      </w:r>
      <w:r>
        <w:rPr>
          <w:szCs w:val="21"/>
        </w:rPr>
        <w:t>混合基金（</w:t>
      </w:r>
      <w:r>
        <w:rPr>
          <w:szCs w:val="21"/>
        </w:rPr>
        <w:t>A</w:t>
      </w:r>
      <w:r>
        <w:rPr>
          <w:szCs w:val="21"/>
        </w:rPr>
        <w:t>类）</w:t>
      </w:r>
      <w:r>
        <w:rPr>
          <w:szCs w:val="21"/>
        </w:rPr>
        <w:t>”</w:t>
      </w:r>
      <w:r>
        <w:rPr>
          <w:szCs w:val="21"/>
        </w:rPr>
        <w:t>中分别排序</w:t>
      </w:r>
      <w:r>
        <w:rPr>
          <w:szCs w:val="21"/>
        </w:rPr>
        <w:t>2/33</w:t>
      </w:r>
      <w:r>
        <w:rPr>
          <w:szCs w:val="21"/>
        </w:rPr>
        <w:t>和</w:t>
      </w:r>
      <w:r>
        <w:rPr>
          <w:szCs w:val="21"/>
        </w:rPr>
        <w:t>7/33</w:t>
      </w:r>
      <w:r>
        <w:rPr>
          <w:szCs w:val="21"/>
        </w:rPr>
        <w:t>；华夏海外收益债券</w:t>
      </w:r>
      <w:r>
        <w:rPr>
          <w:szCs w:val="21"/>
        </w:rPr>
        <w:t>(QDII)( C</w:t>
      </w:r>
      <w:r>
        <w:rPr>
          <w:szCs w:val="21"/>
        </w:rPr>
        <w:t>类</w:t>
      </w:r>
      <w:r>
        <w:rPr>
          <w:szCs w:val="21"/>
        </w:rPr>
        <w:t>)</w:t>
      </w:r>
      <w:r>
        <w:rPr>
          <w:szCs w:val="21"/>
        </w:rPr>
        <w:t>及华</w:t>
      </w:r>
      <w:r>
        <w:rPr>
          <w:szCs w:val="21"/>
        </w:rPr>
        <w:t>夏大中华信用债券</w:t>
      </w:r>
      <w:r>
        <w:rPr>
          <w:szCs w:val="21"/>
        </w:rPr>
        <w:t>(QDII)(C</w:t>
      </w:r>
      <w:r>
        <w:rPr>
          <w:szCs w:val="21"/>
        </w:rPr>
        <w:t>类</w:t>
      </w:r>
      <w:r>
        <w:rPr>
          <w:szCs w:val="21"/>
        </w:rPr>
        <w:t>)</w:t>
      </w:r>
      <w:r>
        <w:rPr>
          <w:szCs w:val="21"/>
        </w:rPr>
        <w:t>在</w:t>
      </w:r>
      <w:r>
        <w:rPr>
          <w:szCs w:val="21"/>
        </w:rPr>
        <w:t>“QDII</w:t>
      </w:r>
      <w:r>
        <w:rPr>
          <w:szCs w:val="21"/>
        </w:rPr>
        <w:t>基金</w:t>
      </w:r>
      <w:r>
        <w:rPr>
          <w:szCs w:val="21"/>
        </w:rPr>
        <w:t>-QDII</w:t>
      </w:r>
      <w:r>
        <w:rPr>
          <w:szCs w:val="21"/>
        </w:rPr>
        <w:t>债券基金</w:t>
      </w:r>
      <w:r>
        <w:rPr>
          <w:szCs w:val="21"/>
        </w:rPr>
        <w:t>-QDII</w:t>
      </w:r>
      <w:r>
        <w:rPr>
          <w:szCs w:val="21"/>
        </w:rPr>
        <w:t>债券型基金（非</w:t>
      </w:r>
      <w:r>
        <w:rPr>
          <w:szCs w:val="21"/>
        </w:rPr>
        <w:t>A</w:t>
      </w:r>
      <w:r>
        <w:rPr>
          <w:szCs w:val="21"/>
        </w:rPr>
        <w:t>类）</w:t>
      </w:r>
      <w:r>
        <w:rPr>
          <w:szCs w:val="21"/>
        </w:rPr>
        <w:t>”</w:t>
      </w:r>
      <w:r>
        <w:rPr>
          <w:szCs w:val="21"/>
        </w:rPr>
        <w:t>中分别排序</w:t>
      </w:r>
      <w:r>
        <w:rPr>
          <w:szCs w:val="21"/>
        </w:rPr>
        <w:t>4/29</w:t>
      </w:r>
      <w:r>
        <w:rPr>
          <w:szCs w:val="21"/>
        </w:rPr>
        <w:t>和</w:t>
      </w:r>
      <w:r>
        <w:rPr>
          <w:szCs w:val="21"/>
        </w:rPr>
        <w:t>8/29</w:t>
      </w:r>
      <w:r>
        <w:rPr>
          <w:szCs w:val="21"/>
        </w:rPr>
        <w:t>；华夏鼎沛债券</w:t>
      </w:r>
      <w:r>
        <w:rPr>
          <w:szCs w:val="21"/>
        </w:rPr>
        <w:t>(A</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普通债券型基金（二级）（</w:t>
      </w:r>
      <w:r>
        <w:rPr>
          <w:szCs w:val="21"/>
        </w:rPr>
        <w:t>A</w:t>
      </w:r>
      <w:r>
        <w:rPr>
          <w:szCs w:val="21"/>
        </w:rPr>
        <w:t>类）</w:t>
      </w:r>
      <w:r>
        <w:rPr>
          <w:szCs w:val="21"/>
        </w:rPr>
        <w:t>”</w:t>
      </w:r>
      <w:r>
        <w:rPr>
          <w:szCs w:val="21"/>
        </w:rPr>
        <w:t>中排序</w:t>
      </w:r>
      <w:r>
        <w:rPr>
          <w:szCs w:val="21"/>
        </w:rPr>
        <w:t>2/225</w:t>
      </w:r>
      <w:r>
        <w:rPr>
          <w:szCs w:val="21"/>
        </w:rPr>
        <w:t>；华夏恒融定开债券在</w:t>
      </w:r>
      <w:r>
        <w:rPr>
          <w:szCs w:val="21"/>
        </w:rPr>
        <w:t>“</w:t>
      </w:r>
      <w:r>
        <w:rPr>
          <w:szCs w:val="21"/>
        </w:rPr>
        <w:t>债券基金</w:t>
      </w:r>
      <w:r>
        <w:rPr>
          <w:szCs w:val="21"/>
        </w:rPr>
        <w:t>-</w:t>
      </w:r>
      <w:r>
        <w:rPr>
          <w:szCs w:val="21"/>
        </w:rPr>
        <w:t>定期开放式普通债券型基金</w:t>
      </w:r>
      <w:r>
        <w:rPr>
          <w:szCs w:val="21"/>
        </w:rPr>
        <w:t>-</w:t>
      </w:r>
      <w:r>
        <w:rPr>
          <w:szCs w:val="21"/>
        </w:rPr>
        <w:t>定期开放式普通债券型基金（二级）（</w:t>
      </w:r>
      <w:r>
        <w:rPr>
          <w:szCs w:val="21"/>
        </w:rPr>
        <w:t>A</w:t>
      </w:r>
      <w:r>
        <w:rPr>
          <w:szCs w:val="21"/>
        </w:rPr>
        <w:t>类）</w:t>
      </w:r>
      <w:r>
        <w:rPr>
          <w:szCs w:val="21"/>
        </w:rPr>
        <w:t>”</w:t>
      </w:r>
      <w:r>
        <w:rPr>
          <w:szCs w:val="21"/>
        </w:rPr>
        <w:t>中排序</w:t>
      </w:r>
      <w:r>
        <w:rPr>
          <w:szCs w:val="21"/>
        </w:rPr>
        <w:t>8/18</w:t>
      </w:r>
      <w:r>
        <w:rPr>
          <w:szCs w:val="21"/>
        </w:rPr>
        <w:t>；华夏债券</w:t>
      </w:r>
      <w:r>
        <w:rPr>
          <w:szCs w:val="21"/>
        </w:rPr>
        <w:t>(C</w:t>
      </w:r>
      <w:r>
        <w:rPr>
          <w:szCs w:val="21"/>
        </w:rPr>
        <w:t>类</w:t>
      </w:r>
      <w:r>
        <w:rPr>
          <w:szCs w:val="21"/>
        </w:rPr>
        <w:t>)</w:t>
      </w:r>
      <w:r>
        <w:rPr>
          <w:szCs w:val="21"/>
        </w:rPr>
        <w:t>及华夏双债债券</w:t>
      </w:r>
      <w:r>
        <w:rPr>
          <w:szCs w:val="21"/>
        </w:rPr>
        <w:t>(C</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普通债券型基金（可投转债）（非</w:t>
      </w:r>
      <w:r>
        <w:rPr>
          <w:szCs w:val="21"/>
        </w:rPr>
        <w:t>A</w:t>
      </w:r>
      <w:r>
        <w:rPr>
          <w:szCs w:val="21"/>
        </w:rPr>
        <w:t>类）</w:t>
      </w:r>
      <w:r>
        <w:rPr>
          <w:szCs w:val="21"/>
        </w:rPr>
        <w:t>”</w:t>
      </w:r>
      <w:r>
        <w:rPr>
          <w:szCs w:val="21"/>
        </w:rPr>
        <w:t>分别排序</w:t>
      </w:r>
      <w:r>
        <w:rPr>
          <w:szCs w:val="21"/>
        </w:rPr>
        <w:t>9/105</w:t>
      </w:r>
      <w:r>
        <w:rPr>
          <w:szCs w:val="21"/>
        </w:rPr>
        <w:t>和</w:t>
      </w:r>
      <w:r>
        <w:rPr>
          <w:szCs w:val="21"/>
        </w:rPr>
        <w:t>7/105</w:t>
      </w:r>
      <w:r>
        <w:rPr>
          <w:szCs w:val="21"/>
        </w:rPr>
        <w:t>；华夏聚利债券在</w:t>
      </w:r>
      <w:r>
        <w:rPr>
          <w:szCs w:val="21"/>
        </w:rPr>
        <w:t>“</w:t>
      </w:r>
      <w:r>
        <w:rPr>
          <w:szCs w:val="21"/>
        </w:rPr>
        <w:t>债券基金</w:t>
      </w:r>
      <w:r>
        <w:rPr>
          <w:szCs w:val="21"/>
        </w:rPr>
        <w:t>-</w:t>
      </w:r>
      <w:r>
        <w:rPr>
          <w:szCs w:val="21"/>
        </w:rPr>
        <w:t>普</w:t>
      </w:r>
      <w:r>
        <w:rPr>
          <w:szCs w:val="21"/>
        </w:rPr>
        <w:t>通债券型基金</w:t>
      </w:r>
      <w:r>
        <w:rPr>
          <w:szCs w:val="21"/>
        </w:rPr>
        <w:t>-</w:t>
      </w:r>
      <w:r>
        <w:rPr>
          <w:szCs w:val="21"/>
        </w:rPr>
        <w:t>普通债券型基金（可投转债）（</w:t>
      </w:r>
      <w:r>
        <w:rPr>
          <w:szCs w:val="21"/>
        </w:rPr>
        <w:t>A</w:t>
      </w:r>
      <w:r>
        <w:rPr>
          <w:szCs w:val="21"/>
        </w:rPr>
        <w:t>类）</w:t>
      </w:r>
      <w:r>
        <w:rPr>
          <w:szCs w:val="21"/>
        </w:rPr>
        <w:t>”</w:t>
      </w:r>
      <w:r>
        <w:rPr>
          <w:szCs w:val="21"/>
        </w:rPr>
        <w:t>中排名</w:t>
      </w:r>
      <w:r>
        <w:rPr>
          <w:szCs w:val="21"/>
        </w:rPr>
        <w:t>9/169</w:t>
      </w:r>
      <w:r>
        <w:rPr>
          <w:szCs w:val="21"/>
        </w:rPr>
        <w:t>；华夏医疗健康混合</w:t>
      </w:r>
      <w:r>
        <w:rPr>
          <w:szCs w:val="21"/>
        </w:rPr>
        <w:t>(C</w:t>
      </w:r>
      <w:r>
        <w:rPr>
          <w:szCs w:val="21"/>
        </w:rPr>
        <w:t>类</w:t>
      </w:r>
      <w:r>
        <w:rPr>
          <w:szCs w:val="21"/>
        </w:rPr>
        <w:t>)</w:t>
      </w:r>
      <w:r>
        <w:rPr>
          <w:szCs w:val="21"/>
        </w:rPr>
        <w:t>在</w:t>
      </w:r>
      <w:r>
        <w:rPr>
          <w:szCs w:val="21"/>
        </w:rPr>
        <w:t>“</w:t>
      </w:r>
      <w:r>
        <w:rPr>
          <w:szCs w:val="21"/>
        </w:rPr>
        <w:t>混合基金</w:t>
      </w:r>
      <w:r>
        <w:rPr>
          <w:szCs w:val="21"/>
        </w:rPr>
        <w:t>-</w:t>
      </w:r>
      <w:r>
        <w:rPr>
          <w:szCs w:val="21"/>
        </w:rPr>
        <w:t>偏股型基金</w:t>
      </w:r>
      <w:r>
        <w:rPr>
          <w:szCs w:val="21"/>
        </w:rPr>
        <w:t>-</w:t>
      </w:r>
      <w:r>
        <w:rPr>
          <w:szCs w:val="21"/>
        </w:rPr>
        <w:t>普通偏股型基金（非</w:t>
      </w:r>
      <w:r>
        <w:rPr>
          <w:szCs w:val="21"/>
        </w:rPr>
        <w:t>A</w:t>
      </w:r>
      <w:r>
        <w:rPr>
          <w:szCs w:val="21"/>
        </w:rPr>
        <w:t>类）</w:t>
      </w:r>
      <w:r>
        <w:rPr>
          <w:szCs w:val="21"/>
        </w:rPr>
        <w:t>”</w:t>
      </w:r>
      <w:r>
        <w:rPr>
          <w:szCs w:val="21"/>
        </w:rPr>
        <w:t>中排序</w:t>
      </w:r>
      <w:r>
        <w:rPr>
          <w:szCs w:val="21"/>
        </w:rPr>
        <w:t>4/19</w:t>
      </w:r>
      <w:r>
        <w:rPr>
          <w:szCs w:val="21"/>
        </w:rPr>
        <w:t>；华夏创业板</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规模指数股票</w:t>
      </w:r>
      <w:r>
        <w:rPr>
          <w:szCs w:val="21"/>
        </w:rPr>
        <w:t>ETF</w:t>
      </w:r>
      <w:r>
        <w:rPr>
          <w:szCs w:val="21"/>
        </w:rPr>
        <w:t>基金</w:t>
      </w:r>
      <w:r>
        <w:rPr>
          <w:szCs w:val="21"/>
        </w:rPr>
        <w:t>”</w:t>
      </w:r>
      <w:r>
        <w:rPr>
          <w:szCs w:val="21"/>
        </w:rPr>
        <w:t>中排序</w:t>
      </w:r>
      <w:r>
        <w:rPr>
          <w:szCs w:val="21"/>
        </w:rPr>
        <w:t>7/59</w:t>
      </w:r>
      <w:r>
        <w:rPr>
          <w:szCs w:val="21"/>
        </w:rPr>
        <w:t>；华夏消费</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行业指数股票</w:t>
      </w:r>
      <w:r>
        <w:rPr>
          <w:szCs w:val="21"/>
        </w:rPr>
        <w:t>ETF</w:t>
      </w:r>
      <w:r>
        <w:rPr>
          <w:szCs w:val="21"/>
        </w:rPr>
        <w:t>基金</w:t>
      </w:r>
      <w:r>
        <w:rPr>
          <w:szCs w:val="21"/>
        </w:rPr>
        <w:t xml:space="preserve">” </w:t>
      </w:r>
      <w:r>
        <w:rPr>
          <w:szCs w:val="21"/>
        </w:rPr>
        <w:t>排序</w:t>
      </w:r>
      <w:r>
        <w:rPr>
          <w:szCs w:val="21"/>
        </w:rPr>
        <w:t>4/31</w:t>
      </w:r>
      <w:r>
        <w:rPr>
          <w:szCs w:val="21"/>
        </w:rPr>
        <w:t>；华夏战略新兴成指</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主题指数股票</w:t>
      </w:r>
      <w:r>
        <w:rPr>
          <w:szCs w:val="21"/>
        </w:rPr>
        <w:t>ETF</w:t>
      </w:r>
      <w:r>
        <w:rPr>
          <w:szCs w:val="21"/>
        </w:rPr>
        <w:t>基金</w:t>
      </w:r>
      <w:r>
        <w:rPr>
          <w:szCs w:val="21"/>
        </w:rPr>
        <w:t>”</w:t>
      </w:r>
      <w:r>
        <w:rPr>
          <w:szCs w:val="21"/>
        </w:rPr>
        <w:t>排序</w:t>
      </w:r>
      <w:r>
        <w:rPr>
          <w:szCs w:val="21"/>
        </w:rPr>
        <w:t>8/31</w:t>
      </w:r>
      <w:r>
        <w:rPr>
          <w:szCs w:val="21"/>
        </w:rPr>
        <w:t>；华夏创业板</w:t>
      </w:r>
      <w:r>
        <w:rPr>
          <w:szCs w:val="21"/>
        </w:rPr>
        <w:t>ETF</w:t>
      </w:r>
      <w:r>
        <w:rPr>
          <w:szCs w:val="21"/>
        </w:rPr>
        <w:t>联接</w:t>
      </w:r>
      <w:r>
        <w:rPr>
          <w:szCs w:val="21"/>
        </w:rPr>
        <w:t xml:space="preserve"> (A</w:t>
      </w:r>
      <w:r>
        <w:rPr>
          <w:szCs w:val="21"/>
        </w:rPr>
        <w:t>类</w:t>
      </w:r>
      <w:r>
        <w:rPr>
          <w:szCs w:val="21"/>
        </w:rPr>
        <w:t>)</w:t>
      </w:r>
      <w:r>
        <w:rPr>
          <w:szCs w:val="21"/>
        </w:rPr>
        <w:t>及华夏</w:t>
      </w:r>
      <w:r>
        <w:rPr>
          <w:szCs w:val="21"/>
        </w:rPr>
        <w:t>MSCI</w:t>
      </w:r>
      <w:r>
        <w:rPr>
          <w:szCs w:val="21"/>
        </w:rPr>
        <w:t>中国</w:t>
      </w:r>
      <w:r>
        <w:rPr>
          <w:szCs w:val="21"/>
        </w:rPr>
        <w:t>A</w:t>
      </w:r>
      <w:r>
        <w:rPr>
          <w:szCs w:val="21"/>
        </w:rPr>
        <w:t>股国际通</w:t>
      </w:r>
      <w:r>
        <w:rPr>
          <w:szCs w:val="21"/>
        </w:rPr>
        <w:t>ETF</w:t>
      </w:r>
      <w:r>
        <w:rPr>
          <w:szCs w:val="21"/>
        </w:rPr>
        <w:t>联接</w:t>
      </w:r>
      <w:r>
        <w:rPr>
          <w:szCs w:val="21"/>
        </w:rPr>
        <w:t>(A</w:t>
      </w:r>
      <w:r>
        <w:rPr>
          <w:szCs w:val="21"/>
        </w:rPr>
        <w:t>类</w:t>
      </w:r>
      <w:r>
        <w:rPr>
          <w:szCs w:val="21"/>
        </w:rPr>
        <w:t>)</w:t>
      </w:r>
      <w:r>
        <w:rPr>
          <w:szCs w:val="21"/>
        </w:rPr>
        <w:t>在</w:t>
      </w:r>
      <w:r>
        <w:rPr>
          <w:szCs w:val="21"/>
        </w:rPr>
        <w:t>“</w:t>
      </w:r>
      <w:r>
        <w:rPr>
          <w:szCs w:val="21"/>
        </w:rPr>
        <w:t>股票基金</w:t>
      </w:r>
      <w:r>
        <w:rPr>
          <w:szCs w:val="21"/>
        </w:rPr>
        <w:t>-</w:t>
      </w:r>
      <w:r>
        <w:rPr>
          <w:szCs w:val="21"/>
        </w:rPr>
        <w:t>股</w:t>
      </w:r>
      <w:r>
        <w:rPr>
          <w:szCs w:val="21"/>
        </w:rPr>
        <w:t>票</w:t>
      </w:r>
      <w:r>
        <w:rPr>
          <w:szCs w:val="21"/>
        </w:rPr>
        <w:t>ETF</w:t>
      </w:r>
      <w:r>
        <w:rPr>
          <w:szCs w:val="21"/>
        </w:rPr>
        <w:t>联接基金</w:t>
      </w:r>
      <w:r>
        <w:rPr>
          <w:szCs w:val="21"/>
        </w:rPr>
        <w:t>-</w:t>
      </w:r>
      <w:r>
        <w:rPr>
          <w:szCs w:val="21"/>
        </w:rPr>
        <w:t>规模指数股票</w:t>
      </w:r>
      <w:r>
        <w:rPr>
          <w:szCs w:val="21"/>
        </w:rPr>
        <w:t>ETF</w:t>
      </w:r>
      <w:r>
        <w:rPr>
          <w:szCs w:val="21"/>
        </w:rPr>
        <w:t>联接基金（</w:t>
      </w:r>
      <w:r>
        <w:rPr>
          <w:szCs w:val="21"/>
        </w:rPr>
        <w:t>A</w:t>
      </w:r>
      <w:r>
        <w:rPr>
          <w:szCs w:val="21"/>
        </w:rPr>
        <w:t>类）</w:t>
      </w:r>
      <w:r>
        <w:rPr>
          <w:szCs w:val="21"/>
        </w:rPr>
        <w:t>”</w:t>
      </w:r>
      <w:r>
        <w:rPr>
          <w:szCs w:val="21"/>
        </w:rPr>
        <w:t>中排序</w:t>
      </w:r>
      <w:r>
        <w:rPr>
          <w:szCs w:val="21"/>
        </w:rPr>
        <w:t>5/46</w:t>
      </w:r>
      <w:r>
        <w:rPr>
          <w:szCs w:val="21"/>
        </w:rPr>
        <w:t>和</w:t>
      </w:r>
      <w:r>
        <w:rPr>
          <w:szCs w:val="21"/>
        </w:rPr>
        <w:t>9/46</w:t>
      </w:r>
      <w:r>
        <w:rPr>
          <w:szCs w:val="21"/>
        </w:rPr>
        <w:t>。</w:t>
      </w:r>
    </w:p>
    <w:p w:rsidR="00B3660F" w:rsidRPr="00B3660F" w:rsidRDefault="00B3660F" w:rsidP="00B3660F">
      <w:pPr>
        <w:pStyle w:val="11"/>
        <w:spacing w:line="360" w:lineRule="auto"/>
        <w:ind w:firstLine="420"/>
        <w:jc w:val="left"/>
        <w:rPr>
          <w:szCs w:val="21"/>
        </w:rPr>
      </w:pPr>
      <w:r w:rsidRPr="00B3660F">
        <w:rPr>
          <w:szCs w:val="21"/>
        </w:rPr>
        <w:t>在客户服务方面，</w:t>
      </w:r>
      <w:r w:rsidRPr="00B3660F">
        <w:rPr>
          <w:szCs w:val="21"/>
        </w:rPr>
        <w:t>3</w:t>
      </w:r>
      <w:r w:rsidRPr="00B3660F">
        <w:rPr>
          <w:szCs w:val="21"/>
        </w:rPr>
        <w:t>季度，华夏基金继续以客户需求为导向，努力提高客户使用的便利性和服务体验：（</w:t>
      </w:r>
      <w:r w:rsidRPr="00B3660F">
        <w:rPr>
          <w:szCs w:val="21"/>
        </w:rPr>
        <w:t>1</w:t>
      </w:r>
      <w:r w:rsidRPr="00B3660F">
        <w:rPr>
          <w:szCs w:val="21"/>
        </w:rPr>
        <w:t>）直销电子交易平台开通华夏沃利货币</w:t>
      </w:r>
      <w:r w:rsidRPr="00B3660F">
        <w:rPr>
          <w:szCs w:val="21"/>
        </w:rPr>
        <w:t>A</w:t>
      </w:r>
      <w:r w:rsidRPr="00B3660F">
        <w:rPr>
          <w:szCs w:val="21"/>
        </w:rPr>
        <w:t>的快速赎回业务，华夏基金管家</w:t>
      </w:r>
      <w:r w:rsidRPr="00B3660F">
        <w:rPr>
          <w:szCs w:val="21"/>
        </w:rPr>
        <w:t>APP</w:t>
      </w:r>
      <w:r w:rsidRPr="00B3660F">
        <w:rPr>
          <w:szCs w:val="21"/>
        </w:rPr>
        <w:t>、华夏基金微信公众号上线智能快取功能，满足了广大投资者对资金流动的迫切需求；（</w:t>
      </w:r>
      <w:r w:rsidRPr="00B3660F">
        <w:rPr>
          <w:szCs w:val="21"/>
        </w:rPr>
        <w:t>2</w:t>
      </w:r>
      <w:r w:rsidRPr="00B3660F">
        <w:rPr>
          <w:szCs w:val="21"/>
        </w:rPr>
        <w:t>）华夏基金净值服务全面升级为微信实时查看、订阅推送模式，方便客户及时、精准查询基金净值变动情况；（</w:t>
      </w:r>
      <w:r w:rsidRPr="00B3660F">
        <w:rPr>
          <w:szCs w:val="21"/>
        </w:rPr>
        <w:t>3</w:t>
      </w:r>
      <w:r w:rsidRPr="00B3660F">
        <w:rPr>
          <w:szCs w:val="21"/>
        </w:rPr>
        <w:t>）与万和证券、五矿证券、阳光人寿等代销机构合作，提供更多便捷的理财渠道；（</w:t>
      </w:r>
      <w:r w:rsidRPr="00B3660F">
        <w:rPr>
          <w:szCs w:val="21"/>
        </w:rPr>
        <w:t>4</w:t>
      </w:r>
      <w:r w:rsidRPr="00B3660F">
        <w:rPr>
          <w:szCs w:val="21"/>
        </w:rPr>
        <w:t>）开展</w:t>
      </w:r>
      <w:r w:rsidRPr="00B3660F">
        <w:rPr>
          <w:szCs w:val="21"/>
        </w:rPr>
        <w:t>“</w:t>
      </w:r>
      <w:r w:rsidRPr="00B3660F">
        <w:rPr>
          <w:szCs w:val="21"/>
        </w:rPr>
        <w:t>微信全勤奖</w:t>
      </w:r>
      <w:r w:rsidRPr="00B3660F">
        <w:rPr>
          <w:szCs w:val="21"/>
        </w:rPr>
        <w:t>”</w:t>
      </w:r>
      <w:r w:rsidRPr="00B3660F">
        <w:rPr>
          <w:szCs w:val="21"/>
        </w:rPr>
        <w:t>、</w:t>
      </w:r>
      <w:r w:rsidRPr="00B3660F">
        <w:rPr>
          <w:szCs w:val="21"/>
        </w:rPr>
        <w:t>“</w:t>
      </w:r>
      <w:r w:rsidRPr="00B3660F">
        <w:rPr>
          <w:szCs w:val="21"/>
        </w:rPr>
        <w:t>户龄（第三期）</w:t>
      </w:r>
      <w:r w:rsidRPr="00B3660F">
        <w:rPr>
          <w:szCs w:val="21"/>
        </w:rPr>
        <w:t>”</w:t>
      </w:r>
      <w:r w:rsidRPr="00B3660F">
        <w:rPr>
          <w:szCs w:val="21"/>
        </w:rPr>
        <w:t>、</w:t>
      </w:r>
      <w:r w:rsidRPr="00B3660F">
        <w:rPr>
          <w:szCs w:val="21"/>
        </w:rPr>
        <w:t>“</w:t>
      </w:r>
      <w:r w:rsidRPr="00B3660F">
        <w:rPr>
          <w:szCs w:val="21"/>
        </w:rPr>
        <w:t>看谁能猜中</w:t>
      </w:r>
      <w:r w:rsidRPr="00B3660F">
        <w:rPr>
          <w:szCs w:val="21"/>
        </w:rPr>
        <w:t>”</w:t>
      </w:r>
      <w:r w:rsidRPr="00B3660F">
        <w:rPr>
          <w:szCs w:val="21"/>
        </w:rPr>
        <w:t>、</w:t>
      </w:r>
      <w:r w:rsidRPr="00B3660F">
        <w:rPr>
          <w:szCs w:val="21"/>
        </w:rPr>
        <w:t>“</w:t>
      </w:r>
      <w:r w:rsidRPr="00B3660F">
        <w:rPr>
          <w:szCs w:val="21"/>
        </w:rPr>
        <w:t>寻人启事</w:t>
      </w:r>
      <w:r w:rsidRPr="00B3660F">
        <w:rPr>
          <w:szCs w:val="21"/>
        </w:rPr>
        <w:t>”</w:t>
      </w:r>
      <w:r w:rsidRPr="00B3660F">
        <w:rPr>
          <w:szCs w:val="21"/>
        </w:rPr>
        <w:t>等活动，为客户提供了多样化的投资者教育和关怀服务。</w:t>
      </w:r>
    </w:p>
    <w:p w:rsidR="004061AC" w:rsidRPr="000E58A2" w:rsidRDefault="004061AC"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D02347" w:rsidRPr="000E58A2">
        <w:rPr>
          <w:rStyle w:val="2CharCharChar"/>
          <w:rFonts w:ascii="Times New Roman" w:hAnsi="Times New Roman" w:cs="Times New Roman"/>
          <w:b/>
          <w:szCs w:val="24"/>
        </w:rPr>
        <w:t>10</w:t>
      </w:r>
      <w:r w:rsidRPr="000E58A2">
        <w:rPr>
          <w:rStyle w:val="2CharCharChar"/>
          <w:rFonts w:ascii="Times New Roman" w:hAnsi="Times New Roman" w:cs="Times New Roman"/>
          <w:b/>
          <w:szCs w:val="24"/>
        </w:rPr>
        <w:t>备查文件目录</w:t>
      </w:r>
    </w:p>
    <w:p w:rsidR="004061AC" w:rsidRPr="00015374" w:rsidRDefault="00D02347" w:rsidP="001C6BC2">
      <w:pPr>
        <w:pStyle w:val="3"/>
        <w:spacing w:before="0" w:after="0" w:line="360" w:lineRule="auto"/>
        <w:jc w:val="left"/>
        <w:rPr>
          <w:b w:val="0"/>
          <w:sz w:val="21"/>
          <w:szCs w:val="21"/>
        </w:rPr>
      </w:pPr>
      <w:r w:rsidRPr="00015374">
        <w:rPr>
          <w:b w:val="0"/>
          <w:sz w:val="21"/>
          <w:szCs w:val="21"/>
        </w:rPr>
        <w:t>10</w:t>
      </w:r>
      <w:r w:rsidR="004061AC" w:rsidRPr="00015374">
        <w:rPr>
          <w:b w:val="0"/>
          <w:sz w:val="21"/>
          <w:szCs w:val="21"/>
        </w:rPr>
        <w:t>.</w:t>
      </w:r>
      <w:r w:rsidR="00676095" w:rsidRPr="00015374">
        <w:rPr>
          <w:b w:val="0"/>
          <w:sz w:val="21"/>
          <w:szCs w:val="21"/>
        </w:rPr>
        <w:t>1</w:t>
      </w:r>
      <w:r w:rsidR="004061AC" w:rsidRPr="00015374">
        <w:rPr>
          <w:b w:val="0"/>
          <w:sz w:val="21"/>
          <w:szCs w:val="21"/>
        </w:rPr>
        <w:t>备查文件目录</w:t>
      </w:r>
    </w:p>
    <w:p w:rsidR="0057060B" w:rsidRDefault="00185132">
      <w:pPr>
        <w:pStyle w:val="11"/>
        <w:spacing w:line="360" w:lineRule="auto"/>
        <w:jc w:val="left"/>
        <w:rPr>
          <w:szCs w:val="21"/>
        </w:rPr>
      </w:pPr>
      <w:r>
        <w:rPr>
          <w:szCs w:val="21"/>
        </w:rPr>
        <w:t>10.1.1</w:t>
      </w:r>
      <w:r>
        <w:rPr>
          <w:szCs w:val="21"/>
        </w:rPr>
        <w:t>中国证监会核准基金募集的文件；</w:t>
      </w:r>
    </w:p>
    <w:p w:rsidR="0057060B" w:rsidRDefault="00185132">
      <w:pPr>
        <w:pStyle w:val="11"/>
        <w:spacing w:line="360" w:lineRule="auto"/>
        <w:jc w:val="left"/>
        <w:rPr>
          <w:szCs w:val="21"/>
        </w:rPr>
      </w:pPr>
      <w:r>
        <w:rPr>
          <w:szCs w:val="21"/>
        </w:rPr>
        <w:t>10.1.2</w:t>
      </w:r>
      <w:r>
        <w:rPr>
          <w:szCs w:val="21"/>
        </w:rPr>
        <w:t>《上证主要消费交易型开放式指数发起式证券投资基金基金合同》；</w:t>
      </w:r>
    </w:p>
    <w:p w:rsidR="0057060B" w:rsidRDefault="00185132">
      <w:pPr>
        <w:pStyle w:val="11"/>
        <w:spacing w:line="360" w:lineRule="auto"/>
        <w:jc w:val="left"/>
        <w:rPr>
          <w:szCs w:val="21"/>
        </w:rPr>
      </w:pPr>
      <w:r>
        <w:rPr>
          <w:szCs w:val="21"/>
        </w:rPr>
        <w:t>10.1.3</w:t>
      </w:r>
      <w:r>
        <w:rPr>
          <w:szCs w:val="21"/>
        </w:rPr>
        <w:t>《上证主要消费交易型开放式指数发起式证券投资基金托管协议》；</w:t>
      </w:r>
    </w:p>
    <w:p w:rsidR="0057060B" w:rsidRDefault="00185132">
      <w:pPr>
        <w:pStyle w:val="11"/>
        <w:spacing w:line="360" w:lineRule="auto"/>
        <w:jc w:val="left"/>
        <w:rPr>
          <w:szCs w:val="21"/>
        </w:rPr>
      </w:pPr>
      <w:r>
        <w:rPr>
          <w:szCs w:val="21"/>
        </w:rPr>
        <w:t>10.1.4</w:t>
      </w:r>
      <w:r>
        <w:rPr>
          <w:szCs w:val="21"/>
        </w:rPr>
        <w:t>法律意见书；</w:t>
      </w:r>
    </w:p>
    <w:p w:rsidR="0057060B" w:rsidRDefault="00185132">
      <w:pPr>
        <w:pStyle w:val="11"/>
        <w:spacing w:line="360" w:lineRule="auto"/>
        <w:jc w:val="left"/>
        <w:rPr>
          <w:szCs w:val="21"/>
        </w:rPr>
      </w:pPr>
      <w:r>
        <w:rPr>
          <w:szCs w:val="21"/>
        </w:rPr>
        <w:t>10.1.5</w:t>
      </w:r>
      <w:r>
        <w:rPr>
          <w:szCs w:val="21"/>
        </w:rPr>
        <w:t>基金管理人业务资格批件、营业执照；</w:t>
      </w:r>
    </w:p>
    <w:p w:rsidR="006A48FD" w:rsidRPr="005E657B" w:rsidRDefault="006D7FF8" w:rsidP="005E657B">
      <w:pPr>
        <w:pStyle w:val="11"/>
        <w:spacing w:line="360" w:lineRule="auto"/>
        <w:jc w:val="left"/>
        <w:rPr>
          <w:szCs w:val="21"/>
        </w:rPr>
      </w:pPr>
      <w:r w:rsidRPr="005E657B">
        <w:rPr>
          <w:szCs w:val="21"/>
        </w:rPr>
        <w:t>10.1.6</w:t>
      </w:r>
      <w:r w:rsidRPr="005E657B">
        <w:rPr>
          <w:szCs w:val="21"/>
        </w:rPr>
        <w:t>基金托管人业务资格批件、营业执照。</w:t>
      </w:r>
    </w:p>
    <w:p w:rsidR="004061AC" w:rsidRPr="00015374" w:rsidRDefault="00D02347" w:rsidP="001C6BC2">
      <w:pPr>
        <w:pStyle w:val="3"/>
        <w:spacing w:before="0" w:after="0" w:line="360" w:lineRule="auto"/>
        <w:jc w:val="left"/>
        <w:rPr>
          <w:b w:val="0"/>
          <w:sz w:val="21"/>
          <w:szCs w:val="21"/>
        </w:rPr>
      </w:pPr>
      <w:r w:rsidRPr="00015374">
        <w:rPr>
          <w:b w:val="0"/>
          <w:sz w:val="21"/>
          <w:szCs w:val="21"/>
        </w:rPr>
        <w:t>10</w:t>
      </w:r>
      <w:r w:rsidR="004061AC" w:rsidRPr="00015374">
        <w:rPr>
          <w:b w:val="0"/>
          <w:sz w:val="21"/>
          <w:szCs w:val="21"/>
        </w:rPr>
        <w:t>.</w:t>
      </w:r>
      <w:r w:rsidR="00676095" w:rsidRPr="00015374">
        <w:rPr>
          <w:b w:val="0"/>
          <w:sz w:val="21"/>
          <w:szCs w:val="21"/>
        </w:rPr>
        <w:t>2</w:t>
      </w:r>
      <w:r w:rsidR="004061AC" w:rsidRPr="00015374">
        <w:rPr>
          <w:b w:val="0"/>
          <w:sz w:val="21"/>
          <w:szCs w:val="21"/>
        </w:rPr>
        <w:t>存放地点</w:t>
      </w:r>
    </w:p>
    <w:p w:rsidR="006A48FD" w:rsidRPr="005E657B" w:rsidRDefault="006D7FF8" w:rsidP="005E657B">
      <w:pPr>
        <w:pStyle w:val="11"/>
        <w:spacing w:line="360" w:lineRule="auto"/>
        <w:ind w:firstLine="420"/>
        <w:jc w:val="left"/>
        <w:rPr>
          <w:szCs w:val="21"/>
        </w:rPr>
      </w:pPr>
      <w:r w:rsidRPr="005E657B">
        <w:rPr>
          <w:szCs w:val="21"/>
        </w:rPr>
        <w:t>备查文件存放于基金管理人和</w:t>
      </w:r>
      <w:r w:rsidRPr="005E657B">
        <w:rPr>
          <w:szCs w:val="21"/>
        </w:rPr>
        <w:t>/</w:t>
      </w:r>
      <w:r w:rsidRPr="005E657B">
        <w:rPr>
          <w:szCs w:val="21"/>
        </w:rPr>
        <w:t>或基金托管人的住所。</w:t>
      </w:r>
    </w:p>
    <w:p w:rsidR="004061AC" w:rsidRPr="00015374" w:rsidRDefault="00D02347" w:rsidP="001C6BC2">
      <w:pPr>
        <w:pStyle w:val="3"/>
        <w:spacing w:before="0" w:after="0" w:line="360" w:lineRule="auto"/>
        <w:jc w:val="left"/>
        <w:rPr>
          <w:b w:val="0"/>
          <w:sz w:val="21"/>
          <w:szCs w:val="21"/>
        </w:rPr>
      </w:pPr>
      <w:r w:rsidRPr="00015374">
        <w:rPr>
          <w:b w:val="0"/>
          <w:sz w:val="21"/>
          <w:szCs w:val="21"/>
        </w:rPr>
        <w:t>10</w:t>
      </w:r>
      <w:r w:rsidR="004061AC" w:rsidRPr="00015374">
        <w:rPr>
          <w:b w:val="0"/>
          <w:sz w:val="21"/>
          <w:szCs w:val="21"/>
        </w:rPr>
        <w:t>.</w:t>
      </w:r>
      <w:r w:rsidR="00676095" w:rsidRPr="00015374">
        <w:rPr>
          <w:b w:val="0"/>
          <w:sz w:val="21"/>
          <w:szCs w:val="21"/>
        </w:rPr>
        <w:t>3</w:t>
      </w:r>
      <w:r w:rsidR="004061AC" w:rsidRPr="00015374">
        <w:rPr>
          <w:b w:val="0"/>
          <w:sz w:val="21"/>
          <w:szCs w:val="21"/>
        </w:rPr>
        <w:t>查阅方式</w:t>
      </w:r>
    </w:p>
    <w:p w:rsidR="00636DB7" w:rsidRPr="005E657B" w:rsidRDefault="006D7FF8" w:rsidP="005E657B">
      <w:pPr>
        <w:pStyle w:val="11"/>
        <w:spacing w:line="360" w:lineRule="auto"/>
        <w:ind w:firstLine="420"/>
        <w:jc w:val="left"/>
        <w:rPr>
          <w:szCs w:val="21"/>
        </w:rPr>
      </w:pPr>
      <w:r w:rsidRPr="005E657B">
        <w:rPr>
          <w:szCs w:val="21"/>
        </w:rPr>
        <w:t>投资者可到基金管理人和</w:t>
      </w:r>
      <w:r w:rsidRPr="005E657B">
        <w:rPr>
          <w:szCs w:val="21"/>
        </w:rPr>
        <w:t>/</w:t>
      </w:r>
      <w:r w:rsidRPr="005E657B">
        <w:rPr>
          <w:szCs w:val="21"/>
        </w:rPr>
        <w:t>或基金托管人的住所免费查阅备查文件。在支付工本费后，投资者可在合理时间内取得备查文件的复制件或复印件。</w:t>
      </w:r>
    </w:p>
    <w:p w:rsidR="004061AC" w:rsidRPr="0091139F" w:rsidRDefault="004061AC" w:rsidP="0091139F">
      <w:pPr>
        <w:spacing w:line="360" w:lineRule="auto"/>
        <w:ind w:firstLineChars="150" w:firstLine="315"/>
        <w:rPr>
          <w:bCs/>
          <w:color w:val="000000"/>
        </w:rPr>
      </w:pPr>
    </w:p>
    <w:p w:rsidR="004061AC" w:rsidRPr="0091139F" w:rsidRDefault="004061AC" w:rsidP="0091139F">
      <w:pPr>
        <w:spacing w:line="360" w:lineRule="auto"/>
        <w:ind w:firstLineChars="150" w:firstLine="315"/>
        <w:rPr>
          <w:bCs/>
          <w:color w:val="000000"/>
        </w:rPr>
      </w:pPr>
    </w:p>
    <w:p w:rsidR="004061AC" w:rsidRPr="00015374" w:rsidRDefault="00832A00" w:rsidP="00C71497">
      <w:pPr>
        <w:spacing w:line="360" w:lineRule="auto"/>
        <w:jc w:val="right"/>
        <w:rPr>
          <w:color w:val="000000"/>
        </w:rPr>
      </w:pPr>
      <w:r w:rsidRPr="00015374">
        <w:rPr>
          <w:color w:val="000000"/>
        </w:rPr>
        <w:t>华夏基金管理有限公司</w:t>
      </w:r>
    </w:p>
    <w:p w:rsidR="00A90049" w:rsidRPr="00015374" w:rsidRDefault="00945AF6" w:rsidP="0091139F">
      <w:pPr>
        <w:spacing w:line="360" w:lineRule="auto"/>
        <w:jc w:val="right"/>
        <w:rPr>
          <w:color w:val="000000" w:themeColor="text1"/>
        </w:rPr>
      </w:pPr>
      <w:r w:rsidRPr="00015374">
        <w:rPr>
          <w:color w:val="000000"/>
        </w:rPr>
        <w:t>二〇一九年十月二十二日</w:t>
      </w:r>
    </w:p>
    <w:sectPr w:rsidR="00A90049" w:rsidRPr="00015374" w:rsidSect="00D61306">
      <w:headerReference w:type="default" r:id="rId9"/>
      <w:footerReference w:type="default" r:id="rId10"/>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DE" w:rsidRDefault="00600CDE" w:rsidP="00876D65">
      <w:r>
        <w:separator/>
      </w:r>
    </w:p>
  </w:endnote>
  <w:endnote w:type="continuationSeparator" w:id="0">
    <w:p w:rsidR="00600CDE" w:rsidRDefault="00600CDE"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042286"/>
      <w:docPartObj>
        <w:docPartGallery w:val="Page Numbers (Bottom of Page)"/>
        <w:docPartUnique/>
      </w:docPartObj>
    </w:sdtPr>
    <w:sdtContent>
      <w:p w:rsidR="00D61306" w:rsidRDefault="0057060B">
        <w:pPr>
          <w:pStyle w:val="a6"/>
          <w:jc w:val="center"/>
        </w:pPr>
        <w:r>
          <w:fldChar w:fldCharType="begin"/>
        </w:r>
        <w:r w:rsidR="00D61306">
          <w:instrText>PAGE   \* MERGEFORMAT</w:instrText>
        </w:r>
        <w:r>
          <w:fldChar w:fldCharType="separate"/>
        </w:r>
        <w:r w:rsidR="00185132" w:rsidRPr="00185132">
          <w:rPr>
            <w:noProof/>
            <w:lang w:val="zh-CN"/>
          </w:rPr>
          <w:t>1</w:t>
        </w:r>
        <w:r>
          <w:fldChar w:fldCharType="end"/>
        </w:r>
      </w:p>
    </w:sdtContent>
  </w:sdt>
  <w:p w:rsidR="00392086" w:rsidRDefault="00392086" w:rsidP="00E84F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DE" w:rsidRDefault="00600CDE" w:rsidP="00876D65">
      <w:r>
        <w:separator/>
      </w:r>
    </w:p>
  </w:footnote>
  <w:footnote w:type="continuationSeparator" w:id="0">
    <w:p w:rsidR="00600CDE" w:rsidRDefault="00600CDE"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7F" w:rsidRPr="007120CC" w:rsidRDefault="00DE337F" w:rsidP="00090A26">
    <w:pPr>
      <w:pStyle w:val="a9"/>
      <w:pBdr>
        <w:bottom w:val="single" w:sz="6" w:space="0" w:color="auto"/>
      </w:pBdr>
      <w:jc w:val="right"/>
    </w:pPr>
    <w:r w:rsidRPr="007120CC">
      <w:rPr>
        <w:rFonts w:hint="eastAsia"/>
      </w:rPr>
      <w:t>上证主要消费交易型开放式指数发起式证券投资基金</w:t>
    </w:r>
    <w:r w:rsidRPr="007120CC">
      <w:rPr>
        <w:rFonts w:hint="eastAsia"/>
      </w:rPr>
      <w:t>2019</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1AC"/>
    <w:rsid w:val="00014099"/>
    <w:rsid w:val="00014580"/>
    <w:rsid w:val="00015374"/>
    <w:rsid w:val="000160C5"/>
    <w:rsid w:val="000210E7"/>
    <w:rsid w:val="00031EBB"/>
    <w:rsid w:val="00033B8D"/>
    <w:rsid w:val="00043852"/>
    <w:rsid w:val="000450DD"/>
    <w:rsid w:val="000463DE"/>
    <w:rsid w:val="000466DF"/>
    <w:rsid w:val="00056198"/>
    <w:rsid w:val="0008313A"/>
    <w:rsid w:val="000907D2"/>
    <w:rsid w:val="00090A26"/>
    <w:rsid w:val="00096733"/>
    <w:rsid w:val="000A2B53"/>
    <w:rsid w:val="000B45EF"/>
    <w:rsid w:val="000B4BB1"/>
    <w:rsid w:val="000B624F"/>
    <w:rsid w:val="000B73C6"/>
    <w:rsid w:val="000C190B"/>
    <w:rsid w:val="000C1E17"/>
    <w:rsid w:val="000C3A61"/>
    <w:rsid w:val="000C5216"/>
    <w:rsid w:val="000C671B"/>
    <w:rsid w:val="000C704B"/>
    <w:rsid w:val="000D0E6C"/>
    <w:rsid w:val="000D3ED4"/>
    <w:rsid w:val="000E58A2"/>
    <w:rsid w:val="000F6CC8"/>
    <w:rsid w:val="00111261"/>
    <w:rsid w:val="00111947"/>
    <w:rsid w:val="00137452"/>
    <w:rsid w:val="001400BB"/>
    <w:rsid w:val="001432CF"/>
    <w:rsid w:val="001445D0"/>
    <w:rsid w:val="00144F93"/>
    <w:rsid w:val="00147376"/>
    <w:rsid w:val="00150E7E"/>
    <w:rsid w:val="001546B3"/>
    <w:rsid w:val="00154BE1"/>
    <w:rsid w:val="00160EDC"/>
    <w:rsid w:val="001631C7"/>
    <w:rsid w:val="00166A20"/>
    <w:rsid w:val="001675CD"/>
    <w:rsid w:val="00171EF0"/>
    <w:rsid w:val="00175D4F"/>
    <w:rsid w:val="001761D2"/>
    <w:rsid w:val="00181253"/>
    <w:rsid w:val="001830D7"/>
    <w:rsid w:val="00183BFC"/>
    <w:rsid w:val="00185132"/>
    <w:rsid w:val="00185A34"/>
    <w:rsid w:val="00196E6C"/>
    <w:rsid w:val="001A73E8"/>
    <w:rsid w:val="001B0A62"/>
    <w:rsid w:val="001B2F35"/>
    <w:rsid w:val="001C0993"/>
    <w:rsid w:val="001C6BC2"/>
    <w:rsid w:val="001C7139"/>
    <w:rsid w:val="001C78B2"/>
    <w:rsid w:val="001C79F2"/>
    <w:rsid w:val="001D63BB"/>
    <w:rsid w:val="001D6A4B"/>
    <w:rsid w:val="001E4630"/>
    <w:rsid w:val="001F0964"/>
    <w:rsid w:val="001F2494"/>
    <w:rsid w:val="001F30DA"/>
    <w:rsid w:val="001F5DC5"/>
    <w:rsid w:val="00200FAB"/>
    <w:rsid w:val="00213821"/>
    <w:rsid w:val="00217B92"/>
    <w:rsid w:val="00220C32"/>
    <w:rsid w:val="002279D3"/>
    <w:rsid w:val="00237F09"/>
    <w:rsid w:val="00240248"/>
    <w:rsid w:val="00240FF5"/>
    <w:rsid w:val="0024363B"/>
    <w:rsid w:val="00261111"/>
    <w:rsid w:val="00264E55"/>
    <w:rsid w:val="0027159C"/>
    <w:rsid w:val="00275745"/>
    <w:rsid w:val="0027688F"/>
    <w:rsid w:val="00276E44"/>
    <w:rsid w:val="002835C9"/>
    <w:rsid w:val="00286BEF"/>
    <w:rsid w:val="00286FA2"/>
    <w:rsid w:val="002912E8"/>
    <w:rsid w:val="002918E3"/>
    <w:rsid w:val="00296604"/>
    <w:rsid w:val="002973A9"/>
    <w:rsid w:val="002B1D1A"/>
    <w:rsid w:val="002D6FB6"/>
    <w:rsid w:val="002E1B9F"/>
    <w:rsid w:val="002E3B09"/>
    <w:rsid w:val="002E52B3"/>
    <w:rsid w:val="00304A12"/>
    <w:rsid w:val="00305636"/>
    <w:rsid w:val="00305A29"/>
    <w:rsid w:val="00311662"/>
    <w:rsid w:val="00312A9F"/>
    <w:rsid w:val="0031490D"/>
    <w:rsid w:val="00315D5D"/>
    <w:rsid w:val="00316484"/>
    <w:rsid w:val="0031663B"/>
    <w:rsid w:val="00316E01"/>
    <w:rsid w:val="00320300"/>
    <w:rsid w:val="00324508"/>
    <w:rsid w:val="003259C8"/>
    <w:rsid w:val="003307FE"/>
    <w:rsid w:val="003470E2"/>
    <w:rsid w:val="00352719"/>
    <w:rsid w:val="00355364"/>
    <w:rsid w:val="00364CCB"/>
    <w:rsid w:val="0039085F"/>
    <w:rsid w:val="00392086"/>
    <w:rsid w:val="00394069"/>
    <w:rsid w:val="003A6061"/>
    <w:rsid w:val="003B6FBC"/>
    <w:rsid w:val="003C15BA"/>
    <w:rsid w:val="003C2B36"/>
    <w:rsid w:val="003E2240"/>
    <w:rsid w:val="003E62FB"/>
    <w:rsid w:val="003F39DF"/>
    <w:rsid w:val="003F63BE"/>
    <w:rsid w:val="004061AC"/>
    <w:rsid w:val="00406C52"/>
    <w:rsid w:val="004149AC"/>
    <w:rsid w:val="0042009D"/>
    <w:rsid w:val="00420767"/>
    <w:rsid w:val="00421FB9"/>
    <w:rsid w:val="00427F58"/>
    <w:rsid w:val="00433805"/>
    <w:rsid w:val="00433BDE"/>
    <w:rsid w:val="00465285"/>
    <w:rsid w:val="00471408"/>
    <w:rsid w:val="00476DE4"/>
    <w:rsid w:val="004858E0"/>
    <w:rsid w:val="004934E9"/>
    <w:rsid w:val="004943C2"/>
    <w:rsid w:val="004A11A7"/>
    <w:rsid w:val="004C702F"/>
    <w:rsid w:val="004D0A43"/>
    <w:rsid w:val="004D234B"/>
    <w:rsid w:val="004D495A"/>
    <w:rsid w:val="004E3005"/>
    <w:rsid w:val="004E474F"/>
    <w:rsid w:val="004E5975"/>
    <w:rsid w:val="004E790A"/>
    <w:rsid w:val="004F50FD"/>
    <w:rsid w:val="00500A03"/>
    <w:rsid w:val="00502355"/>
    <w:rsid w:val="00512200"/>
    <w:rsid w:val="005143CD"/>
    <w:rsid w:val="005144F2"/>
    <w:rsid w:val="005242A5"/>
    <w:rsid w:val="005249DD"/>
    <w:rsid w:val="00531BA5"/>
    <w:rsid w:val="00531F10"/>
    <w:rsid w:val="00532E86"/>
    <w:rsid w:val="005330EE"/>
    <w:rsid w:val="0053353C"/>
    <w:rsid w:val="00542434"/>
    <w:rsid w:val="00542470"/>
    <w:rsid w:val="00542546"/>
    <w:rsid w:val="005454FB"/>
    <w:rsid w:val="00556CA5"/>
    <w:rsid w:val="005600C7"/>
    <w:rsid w:val="00562506"/>
    <w:rsid w:val="005659E4"/>
    <w:rsid w:val="0057060B"/>
    <w:rsid w:val="005761EE"/>
    <w:rsid w:val="005823E3"/>
    <w:rsid w:val="00582D99"/>
    <w:rsid w:val="0058551C"/>
    <w:rsid w:val="0059076B"/>
    <w:rsid w:val="00597CEE"/>
    <w:rsid w:val="005A0F1F"/>
    <w:rsid w:val="005A4397"/>
    <w:rsid w:val="005A6675"/>
    <w:rsid w:val="005B2E9C"/>
    <w:rsid w:val="005B4F93"/>
    <w:rsid w:val="005B73D2"/>
    <w:rsid w:val="005C5E5B"/>
    <w:rsid w:val="005D2B36"/>
    <w:rsid w:val="005D77C1"/>
    <w:rsid w:val="005E1093"/>
    <w:rsid w:val="005E475E"/>
    <w:rsid w:val="005E657B"/>
    <w:rsid w:val="005F24A1"/>
    <w:rsid w:val="005F3996"/>
    <w:rsid w:val="005F6AF6"/>
    <w:rsid w:val="005F6D0A"/>
    <w:rsid w:val="00600CDE"/>
    <w:rsid w:val="006066D2"/>
    <w:rsid w:val="0061286A"/>
    <w:rsid w:val="00614CC4"/>
    <w:rsid w:val="0062025E"/>
    <w:rsid w:val="00626998"/>
    <w:rsid w:val="006269FB"/>
    <w:rsid w:val="00631ED8"/>
    <w:rsid w:val="00633BDC"/>
    <w:rsid w:val="006360DC"/>
    <w:rsid w:val="00636DB7"/>
    <w:rsid w:val="0063783A"/>
    <w:rsid w:val="006423B9"/>
    <w:rsid w:val="00642FB7"/>
    <w:rsid w:val="00654725"/>
    <w:rsid w:val="00654B0D"/>
    <w:rsid w:val="00655CD8"/>
    <w:rsid w:val="006571DC"/>
    <w:rsid w:val="00660D4B"/>
    <w:rsid w:val="00663ECB"/>
    <w:rsid w:val="00664ECC"/>
    <w:rsid w:val="00670989"/>
    <w:rsid w:val="006757DC"/>
    <w:rsid w:val="00676095"/>
    <w:rsid w:val="00686DBD"/>
    <w:rsid w:val="00693843"/>
    <w:rsid w:val="0069426C"/>
    <w:rsid w:val="00694B15"/>
    <w:rsid w:val="00694DFB"/>
    <w:rsid w:val="006A14B5"/>
    <w:rsid w:val="006A182E"/>
    <w:rsid w:val="006A1C62"/>
    <w:rsid w:val="006A48FD"/>
    <w:rsid w:val="006A67F8"/>
    <w:rsid w:val="006A7AF1"/>
    <w:rsid w:val="006B11BB"/>
    <w:rsid w:val="006C12B8"/>
    <w:rsid w:val="006C37FC"/>
    <w:rsid w:val="006C6C01"/>
    <w:rsid w:val="006C7EA3"/>
    <w:rsid w:val="006D132E"/>
    <w:rsid w:val="006D39E9"/>
    <w:rsid w:val="006D3BE3"/>
    <w:rsid w:val="006D7004"/>
    <w:rsid w:val="006D789D"/>
    <w:rsid w:val="006D7FF8"/>
    <w:rsid w:val="006E042A"/>
    <w:rsid w:val="006F11B1"/>
    <w:rsid w:val="006F5E68"/>
    <w:rsid w:val="007016C4"/>
    <w:rsid w:val="00706D60"/>
    <w:rsid w:val="007075E3"/>
    <w:rsid w:val="00707F66"/>
    <w:rsid w:val="007101D9"/>
    <w:rsid w:val="007120CC"/>
    <w:rsid w:val="00720D28"/>
    <w:rsid w:val="00722509"/>
    <w:rsid w:val="007229B9"/>
    <w:rsid w:val="00727FCD"/>
    <w:rsid w:val="00732B05"/>
    <w:rsid w:val="00733DDD"/>
    <w:rsid w:val="00750CDF"/>
    <w:rsid w:val="00752BA5"/>
    <w:rsid w:val="00753A7D"/>
    <w:rsid w:val="00755D86"/>
    <w:rsid w:val="00767C98"/>
    <w:rsid w:val="00770971"/>
    <w:rsid w:val="007919FE"/>
    <w:rsid w:val="0079675B"/>
    <w:rsid w:val="00796CA8"/>
    <w:rsid w:val="00797305"/>
    <w:rsid w:val="007B035B"/>
    <w:rsid w:val="007B4C04"/>
    <w:rsid w:val="007B4D7A"/>
    <w:rsid w:val="007B5AFB"/>
    <w:rsid w:val="007C5862"/>
    <w:rsid w:val="007F6108"/>
    <w:rsid w:val="008014F9"/>
    <w:rsid w:val="0080358B"/>
    <w:rsid w:val="008059BD"/>
    <w:rsid w:val="00806C23"/>
    <w:rsid w:val="0081091B"/>
    <w:rsid w:val="00812D46"/>
    <w:rsid w:val="00815A38"/>
    <w:rsid w:val="0081796C"/>
    <w:rsid w:val="0082103F"/>
    <w:rsid w:val="008279FE"/>
    <w:rsid w:val="00831259"/>
    <w:rsid w:val="0083208A"/>
    <w:rsid w:val="0083218A"/>
    <w:rsid w:val="008323A3"/>
    <w:rsid w:val="00832A00"/>
    <w:rsid w:val="00837845"/>
    <w:rsid w:val="008442C4"/>
    <w:rsid w:val="00846739"/>
    <w:rsid w:val="00853140"/>
    <w:rsid w:val="00854537"/>
    <w:rsid w:val="008606B6"/>
    <w:rsid w:val="00864F98"/>
    <w:rsid w:val="00866CF2"/>
    <w:rsid w:val="008700EC"/>
    <w:rsid w:val="008724D8"/>
    <w:rsid w:val="00876D65"/>
    <w:rsid w:val="0087767E"/>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111AA"/>
    <w:rsid w:val="0091139F"/>
    <w:rsid w:val="0091784B"/>
    <w:rsid w:val="00921AC7"/>
    <w:rsid w:val="00924582"/>
    <w:rsid w:val="00931291"/>
    <w:rsid w:val="0093367D"/>
    <w:rsid w:val="00936B5F"/>
    <w:rsid w:val="00937142"/>
    <w:rsid w:val="009431FA"/>
    <w:rsid w:val="00945AF6"/>
    <w:rsid w:val="009550BE"/>
    <w:rsid w:val="00955531"/>
    <w:rsid w:val="00955BE8"/>
    <w:rsid w:val="00957594"/>
    <w:rsid w:val="009579CA"/>
    <w:rsid w:val="00963F40"/>
    <w:rsid w:val="0097485B"/>
    <w:rsid w:val="0098122D"/>
    <w:rsid w:val="00986596"/>
    <w:rsid w:val="00990685"/>
    <w:rsid w:val="0099405D"/>
    <w:rsid w:val="009A0ABE"/>
    <w:rsid w:val="009A3536"/>
    <w:rsid w:val="009A4564"/>
    <w:rsid w:val="009A561F"/>
    <w:rsid w:val="009B2D4B"/>
    <w:rsid w:val="009C0430"/>
    <w:rsid w:val="009C4E99"/>
    <w:rsid w:val="009C5186"/>
    <w:rsid w:val="009C60F7"/>
    <w:rsid w:val="009D0952"/>
    <w:rsid w:val="009E0273"/>
    <w:rsid w:val="009E31DA"/>
    <w:rsid w:val="009E402C"/>
    <w:rsid w:val="009E5DF3"/>
    <w:rsid w:val="009E7C6A"/>
    <w:rsid w:val="009F451C"/>
    <w:rsid w:val="009F7ED4"/>
    <w:rsid w:val="00A03AAC"/>
    <w:rsid w:val="00A047D1"/>
    <w:rsid w:val="00A04F76"/>
    <w:rsid w:val="00A06F66"/>
    <w:rsid w:val="00A10146"/>
    <w:rsid w:val="00A22AD0"/>
    <w:rsid w:val="00A22DA8"/>
    <w:rsid w:val="00A31671"/>
    <w:rsid w:val="00A374DB"/>
    <w:rsid w:val="00A45320"/>
    <w:rsid w:val="00A52F8F"/>
    <w:rsid w:val="00A5612C"/>
    <w:rsid w:val="00A5689C"/>
    <w:rsid w:val="00A57AE4"/>
    <w:rsid w:val="00A63F19"/>
    <w:rsid w:val="00A66F42"/>
    <w:rsid w:val="00A76625"/>
    <w:rsid w:val="00A8330D"/>
    <w:rsid w:val="00A83500"/>
    <w:rsid w:val="00A90049"/>
    <w:rsid w:val="00A917BF"/>
    <w:rsid w:val="00A96A94"/>
    <w:rsid w:val="00AA3A38"/>
    <w:rsid w:val="00AA3C12"/>
    <w:rsid w:val="00AA4F94"/>
    <w:rsid w:val="00AB047E"/>
    <w:rsid w:val="00AB3D2A"/>
    <w:rsid w:val="00AC592E"/>
    <w:rsid w:val="00AC6C10"/>
    <w:rsid w:val="00AC7004"/>
    <w:rsid w:val="00AC7BC6"/>
    <w:rsid w:val="00AD24AA"/>
    <w:rsid w:val="00AE7962"/>
    <w:rsid w:val="00B04CC9"/>
    <w:rsid w:val="00B12B7D"/>
    <w:rsid w:val="00B16985"/>
    <w:rsid w:val="00B221B8"/>
    <w:rsid w:val="00B27206"/>
    <w:rsid w:val="00B32AA7"/>
    <w:rsid w:val="00B3660F"/>
    <w:rsid w:val="00B4012D"/>
    <w:rsid w:val="00B4083D"/>
    <w:rsid w:val="00B40F64"/>
    <w:rsid w:val="00B42A76"/>
    <w:rsid w:val="00B45E88"/>
    <w:rsid w:val="00B55BAA"/>
    <w:rsid w:val="00B62485"/>
    <w:rsid w:val="00B7378D"/>
    <w:rsid w:val="00B82413"/>
    <w:rsid w:val="00B84DA9"/>
    <w:rsid w:val="00B85352"/>
    <w:rsid w:val="00B87214"/>
    <w:rsid w:val="00B9051B"/>
    <w:rsid w:val="00B92FF5"/>
    <w:rsid w:val="00B959E6"/>
    <w:rsid w:val="00BA0416"/>
    <w:rsid w:val="00BA604D"/>
    <w:rsid w:val="00BC4585"/>
    <w:rsid w:val="00BC50F1"/>
    <w:rsid w:val="00BC73E5"/>
    <w:rsid w:val="00BD177E"/>
    <w:rsid w:val="00BD7473"/>
    <w:rsid w:val="00BD7703"/>
    <w:rsid w:val="00BE420D"/>
    <w:rsid w:val="00BF6314"/>
    <w:rsid w:val="00C21520"/>
    <w:rsid w:val="00C222B2"/>
    <w:rsid w:val="00C225FB"/>
    <w:rsid w:val="00C37530"/>
    <w:rsid w:val="00C44C94"/>
    <w:rsid w:val="00C46B88"/>
    <w:rsid w:val="00C5218C"/>
    <w:rsid w:val="00C52191"/>
    <w:rsid w:val="00C5642F"/>
    <w:rsid w:val="00C63554"/>
    <w:rsid w:val="00C71497"/>
    <w:rsid w:val="00C72F5B"/>
    <w:rsid w:val="00C73BCD"/>
    <w:rsid w:val="00C77AEF"/>
    <w:rsid w:val="00C87129"/>
    <w:rsid w:val="00C911D7"/>
    <w:rsid w:val="00C91E1B"/>
    <w:rsid w:val="00CA5FD5"/>
    <w:rsid w:val="00CA7703"/>
    <w:rsid w:val="00CB0F92"/>
    <w:rsid w:val="00CC773A"/>
    <w:rsid w:val="00CC7D03"/>
    <w:rsid w:val="00CD4E6D"/>
    <w:rsid w:val="00CD5707"/>
    <w:rsid w:val="00CD7702"/>
    <w:rsid w:val="00CD78F8"/>
    <w:rsid w:val="00CE29EA"/>
    <w:rsid w:val="00CE4E13"/>
    <w:rsid w:val="00CF6572"/>
    <w:rsid w:val="00D0102C"/>
    <w:rsid w:val="00D02347"/>
    <w:rsid w:val="00D04755"/>
    <w:rsid w:val="00D13737"/>
    <w:rsid w:val="00D1499C"/>
    <w:rsid w:val="00D14A0D"/>
    <w:rsid w:val="00D15797"/>
    <w:rsid w:val="00D1638E"/>
    <w:rsid w:val="00D17493"/>
    <w:rsid w:val="00D21FFF"/>
    <w:rsid w:val="00D25666"/>
    <w:rsid w:val="00D27130"/>
    <w:rsid w:val="00D272A5"/>
    <w:rsid w:val="00D43AFB"/>
    <w:rsid w:val="00D46493"/>
    <w:rsid w:val="00D57B7C"/>
    <w:rsid w:val="00D61306"/>
    <w:rsid w:val="00D65B44"/>
    <w:rsid w:val="00D73D00"/>
    <w:rsid w:val="00D8099B"/>
    <w:rsid w:val="00D866A8"/>
    <w:rsid w:val="00D8725D"/>
    <w:rsid w:val="00D87D83"/>
    <w:rsid w:val="00D92F47"/>
    <w:rsid w:val="00D94B8D"/>
    <w:rsid w:val="00D967D3"/>
    <w:rsid w:val="00D96C8D"/>
    <w:rsid w:val="00D97909"/>
    <w:rsid w:val="00DA2876"/>
    <w:rsid w:val="00DA365F"/>
    <w:rsid w:val="00DB24D4"/>
    <w:rsid w:val="00DB308C"/>
    <w:rsid w:val="00DB63CE"/>
    <w:rsid w:val="00DC0B51"/>
    <w:rsid w:val="00DE27F7"/>
    <w:rsid w:val="00DE337F"/>
    <w:rsid w:val="00DE7CED"/>
    <w:rsid w:val="00E077AA"/>
    <w:rsid w:val="00E166EF"/>
    <w:rsid w:val="00E17E2C"/>
    <w:rsid w:val="00E44E18"/>
    <w:rsid w:val="00E51EE5"/>
    <w:rsid w:val="00E54301"/>
    <w:rsid w:val="00E55ABD"/>
    <w:rsid w:val="00E56994"/>
    <w:rsid w:val="00E60817"/>
    <w:rsid w:val="00E71F78"/>
    <w:rsid w:val="00E84F2A"/>
    <w:rsid w:val="00E90C35"/>
    <w:rsid w:val="00EA62B1"/>
    <w:rsid w:val="00EA70F1"/>
    <w:rsid w:val="00EB2516"/>
    <w:rsid w:val="00EB2C07"/>
    <w:rsid w:val="00EB374A"/>
    <w:rsid w:val="00ED62BE"/>
    <w:rsid w:val="00EF17AB"/>
    <w:rsid w:val="00EF6FA5"/>
    <w:rsid w:val="00F11104"/>
    <w:rsid w:val="00F13122"/>
    <w:rsid w:val="00F132C7"/>
    <w:rsid w:val="00F13947"/>
    <w:rsid w:val="00F16E3F"/>
    <w:rsid w:val="00F22499"/>
    <w:rsid w:val="00F22B0F"/>
    <w:rsid w:val="00F246CB"/>
    <w:rsid w:val="00F24B42"/>
    <w:rsid w:val="00F24F73"/>
    <w:rsid w:val="00F27299"/>
    <w:rsid w:val="00F31F6E"/>
    <w:rsid w:val="00F3389C"/>
    <w:rsid w:val="00F36B28"/>
    <w:rsid w:val="00F375F2"/>
    <w:rsid w:val="00F54EAE"/>
    <w:rsid w:val="00F635B4"/>
    <w:rsid w:val="00F66A51"/>
    <w:rsid w:val="00F71057"/>
    <w:rsid w:val="00F71A4B"/>
    <w:rsid w:val="00F728CF"/>
    <w:rsid w:val="00F743D4"/>
    <w:rsid w:val="00F83B17"/>
    <w:rsid w:val="00F87EDA"/>
    <w:rsid w:val="00F970EE"/>
    <w:rsid w:val="00FA1999"/>
    <w:rsid w:val="00FA3ED5"/>
    <w:rsid w:val="00FB0BC9"/>
    <w:rsid w:val="00FB298C"/>
    <w:rsid w:val="00FB4074"/>
    <w:rsid w:val="00FB41D3"/>
    <w:rsid w:val="00FB4F70"/>
    <w:rsid w:val="00FB5EFC"/>
    <w:rsid w:val="00FB5F01"/>
    <w:rsid w:val="00FB770F"/>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aliases w:val="2 Char,Chapter X.X. Statement Char,Header 2 Char,Level 2 Head Char,h2 Char,heading 2 Char,l2 Char,标题 2 Char Char Char1"/>
    <w:basedOn w:val="a1"/>
    <w:link w:val="2"/>
    <w:uiPriority w:val="99"/>
    <w:rsid w:val="004061AC"/>
    <w:rPr>
      <w:rFonts w:ascii="Arial" w:eastAsia="宋体" w:hAnsi="Arial" w:cs="Arial"/>
      <w:b/>
      <w:bCs/>
      <w:sz w:val="24"/>
      <w:szCs w:val="24"/>
    </w:rPr>
  </w:style>
  <w:style w:type="character" w:customStyle="1" w:styleId="3Char">
    <w:name w:val="标题 3 Char"/>
    <w:basedOn w:val="a1"/>
    <w:link w:val="3"/>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E56994"/>
    <w:pPr>
      <w:tabs>
        <w:tab w:val="center" w:pos="4153"/>
        <w:tab w:val="right" w:pos="8306"/>
      </w:tabs>
      <w:snapToGrid w:val="0"/>
      <w:jc w:val="center"/>
    </w:pPr>
    <w:rPr>
      <w:sz w:val="18"/>
      <w:szCs w:val="18"/>
    </w:rPr>
  </w:style>
  <w:style w:type="character" w:customStyle="1" w:styleId="Char2">
    <w:name w:val="页眉 Char"/>
    <w:basedOn w:val="a1"/>
    <w:link w:val="a9"/>
    <w:uiPriority w:val="99"/>
    <w:rsid w:val="00E56994"/>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 w:type="character" w:customStyle="1" w:styleId="2CharCharChar">
    <w:name w:val="标题 2 Char Char Char"/>
    <w:rsid w:val="009111AA"/>
    <w:rPr>
      <w:rFonts w:ascii="Arial" w:eastAsia="宋体" w:hAnsi="Arial"/>
      <w:b/>
      <w:kern w:val="2"/>
      <w:sz w:val="28"/>
      <w:szCs w:val="28"/>
      <w:lang w:val="en-US" w:eastAsia="zh-CN" w:bidi="ar-SA"/>
    </w:rPr>
  </w:style>
  <w:style w:type="paragraph" w:customStyle="1" w:styleId="11">
    <w:name w:val="正文_1"/>
    <w:qFormat/>
    <w:rsid w:val="003C15BA"/>
    <w:pPr>
      <w:widowControl w:val="0"/>
      <w:jc w:val="both"/>
    </w:pPr>
    <w:rPr>
      <w:rFonts w:ascii="Times New Roman" w:eastAsia="宋体" w:hAnsi="Times New Roman" w:cs="Times New Roman"/>
      <w:szCs w:val="24"/>
    </w:rPr>
  </w:style>
  <w:style w:type="paragraph" w:customStyle="1" w:styleId="5">
    <w:name w:val="正文_5"/>
    <w:qFormat/>
    <w:rsid w:val="00B84DA9"/>
    <w:pPr>
      <w:widowControl w:val="0"/>
      <w:jc w:val="both"/>
    </w:pPr>
    <w:rPr>
      <w:rFonts w:ascii="Times New Roman" w:eastAsia="宋体" w:hAnsi="Times New Roman" w:cs="Times New Roman"/>
      <w:szCs w:val="24"/>
    </w:rPr>
  </w:style>
  <w:style w:type="paragraph" w:customStyle="1" w:styleId="31">
    <w:name w:val="正文_3"/>
    <w:qFormat/>
    <w:rsid w:val="00B84DA9"/>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18F7-6F5B-4F42-8FD3-0B32D1EC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3</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xxpl</cp:lastModifiedBy>
  <cp:revision>334</cp:revision>
  <dcterms:created xsi:type="dcterms:W3CDTF">2012-10-16T06:07:00Z</dcterms:created>
  <dcterms:modified xsi:type="dcterms:W3CDTF">2019-10-21T03:21:00Z</dcterms:modified>
</cp:coreProperties>
</file>