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3F" w:rsidRPr="00531C33" w:rsidRDefault="00902E3F" w:rsidP="00196812">
      <w:pPr>
        <w:autoSpaceDE w:val="0"/>
        <w:autoSpaceDN w:val="0"/>
        <w:adjustRightInd w:val="0"/>
        <w:spacing w:line="360" w:lineRule="auto"/>
        <w:jc w:val="left"/>
        <w:rPr>
          <w:color w:val="000000" w:themeColor="text1"/>
          <w:kern w:val="0"/>
          <w:szCs w:val="21"/>
        </w:rPr>
      </w:pPr>
    </w:p>
    <w:p w:rsidR="002B45A4" w:rsidRPr="00531C33" w:rsidRDefault="002B45A4" w:rsidP="00196812">
      <w:pPr>
        <w:autoSpaceDE w:val="0"/>
        <w:autoSpaceDN w:val="0"/>
        <w:adjustRightInd w:val="0"/>
        <w:spacing w:line="360" w:lineRule="auto"/>
        <w:jc w:val="left"/>
        <w:rPr>
          <w:color w:val="000000" w:themeColor="text1"/>
          <w:kern w:val="0"/>
          <w:szCs w:val="21"/>
        </w:rPr>
      </w:pPr>
    </w:p>
    <w:p w:rsidR="00575970" w:rsidRPr="00531C33" w:rsidRDefault="00575970" w:rsidP="00196812">
      <w:pPr>
        <w:autoSpaceDE w:val="0"/>
        <w:autoSpaceDN w:val="0"/>
        <w:adjustRightInd w:val="0"/>
        <w:spacing w:line="360" w:lineRule="auto"/>
        <w:jc w:val="left"/>
        <w:rPr>
          <w:color w:val="000000" w:themeColor="text1"/>
          <w:kern w:val="0"/>
          <w:szCs w:val="21"/>
        </w:rPr>
      </w:pPr>
    </w:p>
    <w:p w:rsidR="00B60E27" w:rsidRPr="00531C33" w:rsidRDefault="00B60E27" w:rsidP="00196812">
      <w:pPr>
        <w:autoSpaceDE w:val="0"/>
        <w:autoSpaceDN w:val="0"/>
        <w:adjustRightInd w:val="0"/>
        <w:spacing w:line="360" w:lineRule="auto"/>
        <w:jc w:val="left"/>
        <w:rPr>
          <w:color w:val="000000" w:themeColor="text1"/>
          <w:kern w:val="0"/>
          <w:szCs w:val="21"/>
        </w:rPr>
      </w:pPr>
    </w:p>
    <w:p w:rsidR="00B60E27" w:rsidRPr="00531C33" w:rsidRDefault="00B60E27" w:rsidP="0002085F">
      <w:pPr>
        <w:spacing w:line="360" w:lineRule="auto"/>
        <w:jc w:val="center"/>
        <w:rPr>
          <w:b/>
          <w:bCs/>
          <w:sz w:val="44"/>
          <w:szCs w:val="44"/>
        </w:rPr>
      </w:pPr>
      <w:r w:rsidRPr="00531C33">
        <w:rPr>
          <w:b/>
          <w:bCs/>
          <w:sz w:val="44"/>
          <w:szCs w:val="44"/>
        </w:rPr>
        <w:t>华夏理财</w:t>
      </w:r>
      <w:r w:rsidRPr="00531C33">
        <w:rPr>
          <w:b/>
          <w:bCs/>
          <w:sz w:val="44"/>
          <w:szCs w:val="44"/>
        </w:rPr>
        <w:t>30</w:t>
      </w:r>
      <w:r w:rsidRPr="00531C33">
        <w:rPr>
          <w:b/>
          <w:bCs/>
          <w:sz w:val="44"/>
          <w:szCs w:val="44"/>
        </w:rPr>
        <w:t>天债券型证券投资基金</w:t>
      </w:r>
    </w:p>
    <w:p w:rsidR="00DE5371" w:rsidRPr="00297F54" w:rsidRDefault="00B60E27" w:rsidP="00297F54">
      <w:pPr>
        <w:spacing w:line="360" w:lineRule="auto"/>
        <w:jc w:val="center"/>
        <w:rPr>
          <w:b/>
          <w:bCs/>
          <w:sz w:val="44"/>
          <w:szCs w:val="44"/>
        </w:rPr>
      </w:pPr>
      <w:r w:rsidRPr="00531C33">
        <w:rPr>
          <w:b/>
          <w:bCs/>
          <w:sz w:val="44"/>
          <w:szCs w:val="44"/>
        </w:rPr>
        <w:t>2019</w:t>
      </w:r>
      <w:r w:rsidRPr="00531C33">
        <w:rPr>
          <w:b/>
          <w:bCs/>
          <w:sz w:val="44"/>
          <w:szCs w:val="44"/>
        </w:rPr>
        <w:t>年第</w:t>
      </w:r>
      <w:r w:rsidRPr="00531C33">
        <w:rPr>
          <w:b/>
          <w:bCs/>
          <w:sz w:val="44"/>
          <w:szCs w:val="44"/>
        </w:rPr>
        <w:t>3</w:t>
      </w:r>
      <w:r w:rsidRPr="00531C33">
        <w:rPr>
          <w:b/>
          <w:bCs/>
          <w:sz w:val="44"/>
          <w:szCs w:val="44"/>
        </w:rPr>
        <w:t>季度报告</w:t>
      </w:r>
    </w:p>
    <w:p w:rsidR="002B45A4" w:rsidRPr="00297F54" w:rsidRDefault="00D87D00" w:rsidP="0002085F">
      <w:pPr>
        <w:spacing w:line="360" w:lineRule="auto"/>
        <w:jc w:val="center"/>
        <w:rPr>
          <w:b/>
          <w:bCs/>
          <w:sz w:val="44"/>
          <w:szCs w:val="44"/>
        </w:rPr>
      </w:pPr>
      <w:r w:rsidRPr="00297F54">
        <w:rPr>
          <w:b/>
          <w:bCs/>
          <w:sz w:val="44"/>
          <w:szCs w:val="44"/>
        </w:rPr>
        <w:t>2019</w:t>
      </w:r>
      <w:r w:rsidRPr="00297F54">
        <w:rPr>
          <w:b/>
          <w:bCs/>
          <w:sz w:val="44"/>
          <w:szCs w:val="44"/>
        </w:rPr>
        <w:t>年</w:t>
      </w:r>
      <w:r w:rsidRPr="00297F54">
        <w:rPr>
          <w:b/>
          <w:bCs/>
          <w:sz w:val="44"/>
          <w:szCs w:val="44"/>
        </w:rPr>
        <w:t>9</w:t>
      </w:r>
      <w:r w:rsidRPr="00297F54">
        <w:rPr>
          <w:b/>
          <w:bCs/>
          <w:sz w:val="44"/>
          <w:szCs w:val="44"/>
        </w:rPr>
        <w:t>月</w:t>
      </w:r>
      <w:r w:rsidRPr="00297F54">
        <w:rPr>
          <w:b/>
          <w:bCs/>
          <w:sz w:val="44"/>
          <w:szCs w:val="44"/>
        </w:rPr>
        <w:t>30</w:t>
      </w:r>
      <w:r w:rsidRPr="00297F54">
        <w:rPr>
          <w:b/>
          <w:bCs/>
          <w:sz w:val="44"/>
          <w:szCs w:val="44"/>
        </w:rPr>
        <w:t>日</w:t>
      </w: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jc w:val="center"/>
        <w:rPr>
          <w:b/>
          <w:color w:val="000000" w:themeColor="text1"/>
          <w:szCs w:val="21"/>
        </w:rPr>
      </w:pPr>
    </w:p>
    <w:p w:rsidR="002B45A4" w:rsidRPr="00531C33" w:rsidRDefault="002B45A4" w:rsidP="00196812">
      <w:pPr>
        <w:spacing w:line="360" w:lineRule="auto"/>
        <w:rPr>
          <w:b/>
          <w:color w:val="000000" w:themeColor="text1"/>
          <w:szCs w:val="21"/>
        </w:rPr>
      </w:pPr>
    </w:p>
    <w:p w:rsidR="00F77131" w:rsidRPr="00531C33" w:rsidRDefault="00F77131" w:rsidP="00DE5371">
      <w:pPr>
        <w:spacing w:line="360" w:lineRule="auto"/>
        <w:ind w:firstLine="2640"/>
        <w:rPr>
          <w:sz w:val="24"/>
        </w:rPr>
      </w:pPr>
      <w:r w:rsidRPr="00531C33">
        <w:rPr>
          <w:sz w:val="24"/>
        </w:rPr>
        <w:t>基金管理人：华夏基金管理有限公司</w:t>
      </w:r>
    </w:p>
    <w:p w:rsidR="00F77131" w:rsidRPr="00531C33" w:rsidRDefault="00F77131" w:rsidP="00DE5371">
      <w:pPr>
        <w:spacing w:line="360" w:lineRule="auto"/>
        <w:ind w:firstLine="2640"/>
        <w:rPr>
          <w:sz w:val="24"/>
        </w:rPr>
      </w:pPr>
      <w:r w:rsidRPr="00531C33">
        <w:rPr>
          <w:sz w:val="24"/>
        </w:rPr>
        <w:t>基金托管人：中国建设银行股份有限公司</w:t>
      </w:r>
    </w:p>
    <w:p w:rsidR="00902E3F" w:rsidRPr="00531C33" w:rsidRDefault="00F77131" w:rsidP="00DE5371">
      <w:pPr>
        <w:spacing w:line="360" w:lineRule="auto"/>
        <w:ind w:firstLine="2640"/>
        <w:rPr>
          <w:sz w:val="24"/>
        </w:rPr>
        <w:sectPr w:rsidR="00902E3F" w:rsidRPr="00531C33" w:rsidSect="005633AD">
          <w:pgSz w:w="11926" w:h="15840"/>
          <w:pgMar w:top="1418" w:right="1418" w:bottom="851" w:left="1418" w:header="851" w:footer="992" w:gutter="0"/>
          <w:cols w:space="720"/>
          <w:noEndnote/>
        </w:sectPr>
      </w:pPr>
      <w:r w:rsidRPr="00531C33">
        <w:rPr>
          <w:sz w:val="24"/>
        </w:rPr>
        <w:t>报告送出日期：</w:t>
      </w:r>
      <w:r w:rsidR="00EF56FA" w:rsidRPr="00531C33">
        <w:rPr>
          <w:sz w:val="24"/>
        </w:rPr>
        <w:t>二〇一九年十月二十二日</w:t>
      </w:r>
    </w:p>
    <w:p w:rsidR="00902E3F" w:rsidRPr="00531C33" w:rsidRDefault="00E6096B" w:rsidP="00DE5371">
      <w:pPr>
        <w:pStyle w:val="2"/>
        <w:pageBreakBefore/>
        <w:spacing w:line="416" w:lineRule="auto"/>
        <w:jc w:val="center"/>
        <w:rPr>
          <w:rStyle w:val="2CharCharChar"/>
          <w:rFonts w:ascii="Times New Roman" w:hAnsi="Times New Roman"/>
          <w:b/>
          <w:szCs w:val="24"/>
        </w:rPr>
      </w:pPr>
      <w:r w:rsidRPr="00531C33">
        <w:rPr>
          <w:rStyle w:val="2CharCharChar"/>
          <w:rFonts w:ascii="Times New Roman" w:hAnsi="Times New Roman"/>
          <w:b/>
          <w:szCs w:val="24"/>
        </w:rPr>
        <w:lastRenderedPageBreak/>
        <w:t xml:space="preserve">§1 </w:t>
      </w:r>
      <w:r w:rsidR="00902E3F" w:rsidRPr="00531C33">
        <w:rPr>
          <w:rStyle w:val="2CharCharChar"/>
          <w:rFonts w:ascii="Times New Roman" w:hAnsi="Times New Roman"/>
          <w:b/>
          <w:szCs w:val="24"/>
        </w:rPr>
        <w:t>重要提示</w:t>
      </w:r>
    </w:p>
    <w:p w:rsidR="008C3724" w:rsidRDefault="00D9195D">
      <w:pPr>
        <w:pStyle w:val="10"/>
        <w:spacing w:line="360" w:lineRule="auto"/>
        <w:ind w:firstLine="420"/>
        <w:jc w:val="left"/>
        <w:rPr>
          <w:szCs w:val="21"/>
        </w:rPr>
      </w:pPr>
      <w:r>
        <w:rPr>
          <w:szCs w:val="21"/>
        </w:rPr>
        <w:t>基金管理人的董事会及董事保证本报告所载资料不存在虚假记载、误导性陈述或重大遗漏，并对其内容的真实性、准确性和完整性承担个别及连带责任。</w:t>
      </w:r>
    </w:p>
    <w:p w:rsidR="008C3724" w:rsidRDefault="00D9195D">
      <w:pPr>
        <w:pStyle w:val="10"/>
        <w:spacing w:line="360" w:lineRule="auto"/>
        <w:ind w:firstLine="420"/>
        <w:jc w:val="left"/>
        <w:rPr>
          <w:szCs w:val="21"/>
        </w:rPr>
      </w:pPr>
      <w:r>
        <w:rPr>
          <w:szCs w:val="21"/>
        </w:rPr>
        <w:t>基金托管人中国建设银行股份有限公司根据本基金合同规定，于</w:t>
      </w:r>
      <w:r>
        <w:rPr>
          <w:szCs w:val="21"/>
        </w:rPr>
        <w:t>2019</w:t>
      </w:r>
      <w:r>
        <w:rPr>
          <w:szCs w:val="21"/>
        </w:rPr>
        <w:t>年</w:t>
      </w:r>
      <w:r>
        <w:rPr>
          <w:szCs w:val="21"/>
        </w:rPr>
        <w:t>10</w:t>
      </w:r>
      <w:r>
        <w:rPr>
          <w:szCs w:val="21"/>
        </w:rPr>
        <w:t>月</w:t>
      </w:r>
      <w:r>
        <w:rPr>
          <w:szCs w:val="21"/>
        </w:rPr>
        <w:t>18</w:t>
      </w:r>
      <w:r>
        <w:rPr>
          <w:szCs w:val="21"/>
        </w:rPr>
        <w:t>日复核了本报告中的财务指标、净值表现和投资组合报告等内容，保证复核内容不存在虚假记载、误导性陈述或者重大遗漏。</w:t>
      </w:r>
    </w:p>
    <w:p w:rsidR="008C3724" w:rsidRDefault="00D9195D">
      <w:pPr>
        <w:pStyle w:val="10"/>
        <w:spacing w:line="360" w:lineRule="auto"/>
        <w:ind w:firstLine="420"/>
        <w:jc w:val="left"/>
        <w:rPr>
          <w:szCs w:val="21"/>
        </w:rPr>
      </w:pPr>
      <w:r>
        <w:rPr>
          <w:szCs w:val="21"/>
        </w:rPr>
        <w:t>基金管理人承诺以诚实信用、勤勉尽责的原则管理和运用基金资产，但不保证基金一定盈利。</w:t>
      </w:r>
    </w:p>
    <w:p w:rsidR="008C3724" w:rsidRDefault="00D9195D">
      <w:pPr>
        <w:pStyle w:val="10"/>
        <w:spacing w:line="360" w:lineRule="auto"/>
        <w:ind w:firstLine="420"/>
        <w:jc w:val="left"/>
        <w:rPr>
          <w:szCs w:val="21"/>
        </w:rPr>
      </w:pPr>
      <w:r>
        <w:rPr>
          <w:szCs w:val="21"/>
        </w:rPr>
        <w:t>基金的过往业绩并不代表其未来表现。投资有风险，投资者在作出投资决策前应仔细阅读本基金的招募说明书。</w:t>
      </w:r>
    </w:p>
    <w:p w:rsidR="008C3724" w:rsidRDefault="00D9195D">
      <w:pPr>
        <w:pStyle w:val="10"/>
        <w:spacing w:line="360" w:lineRule="auto"/>
        <w:ind w:firstLine="420"/>
        <w:jc w:val="left"/>
        <w:rPr>
          <w:szCs w:val="21"/>
        </w:rPr>
      </w:pPr>
      <w:r>
        <w:rPr>
          <w:szCs w:val="21"/>
        </w:rPr>
        <w:t>本报</w:t>
      </w:r>
      <w:r>
        <w:rPr>
          <w:szCs w:val="21"/>
        </w:rPr>
        <w:t>告中财务资料未经审计。</w:t>
      </w:r>
    </w:p>
    <w:p w:rsidR="00186667" w:rsidRPr="00ED7E07" w:rsidRDefault="00A805BC" w:rsidP="00ED7E07">
      <w:pPr>
        <w:pStyle w:val="10"/>
        <w:spacing w:line="360" w:lineRule="auto"/>
        <w:ind w:firstLine="420"/>
        <w:jc w:val="left"/>
        <w:rPr>
          <w:szCs w:val="21"/>
        </w:rPr>
      </w:pPr>
      <w:r w:rsidRPr="00ED7E07">
        <w:rPr>
          <w:szCs w:val="21"/>
        </w:rPr>
        <w:t>本报告期自</w:t>
      </w:r>
      <w:r w:rsidRPr="00ED7E07">
        <w:rPr>
          <w:szCs w:val="21"/>
        </w:rPr>
        <w:t>2019</w:t>
      </w:r>
      <w:r w:rsidRPr="00ED7E07">
        <w:rPr>
          <w:szCs w:val="21"/>
        </w:rPr>
        <w:t>年</w:t>
      </w:r>
      <w:r w:rsidRPr="00ED7E07">
        <w:rPr>
          <w:szCs w:val="21"/>
        </w:rPr>
        <w:t>7</w:t>
      </w:r>
      <w:r w:rsidRPr="00ED7E07">
        <w:rPr>
          <w:szCs w:val="21"/>
        </w:rPr>
        <w:t>月</w:t>
      </w:r>
      <w:r w:rsidRPr="00ED7E07">
        <w:rPr>
          <w:szCs w:val="21"/>
        </w:rPr>
        <w:t>1</w:t>
      </w:r>
      <w:r w:rsidRPr="00ED7E07">
        <w:rPr>
          <w:szCs w:val="21"/>
        </w:rPr>
        <w:t>日起至</w:t>
      </w:r>
      <w:r w:rsidRPr="00ED7E07">
        <w:rPr>
          <w:szCs w:val="21"/>
        </w:rPr>
        <w:t>9</w:t>
      </w:r>
      <w:r w:rsidRPr="00ED7E07">
        <w:rPr>
          <w:szCs w:val="21"/>
        </w:rPr>
        <w:t>月</w:t>
      </w:r>
      <w:r w:rsidRPr="00ED7E07">
        <w:rPr>
          <w:szCs w:val="21"/>
        </w:rPr>
        <w:t>30</w:t>
      </w:r>
      <w:r w:rsidRPr="00ED7E07">
        <w:rPr>
          <w:szCs w:val="21"/>
        </w:rPr>
        <w:t>日止。</w:t>
      </w:r>
    </w:p>
    <w:p w:rsidR="00902E3F" w:rsidRPr="00531C33" w:rsidRDefault="00FB2035" w:rsidP="00E6096B">
      <w:pPr>
        <w:pStyle w:val="2"/>
        <w:pageBreakBefore/>
        <w:spacing w:line="416" w:lineRule="auto"/>
        <w:jc w:val="center"/>
        <w:rPr>
          <w:rStyle w:val="2CharCharChar"/>
          <w:rFonts w:ascii="Times New Roman" w:hAnsi="Times New Roman"/>
          <w:b/>
          <w:szCs w:val="24"/>
        </w:rPr>
      </w:pPr>
      <w:r w:rsidRPr="00531C33">
        <w:rPr>
          <w:rStyle w:val="2CharCharChar"/>
          <w:rFonts w:ascii="Times New Roman" w:hAnsi="Times New Roman"/>
          <w:b/>
          <w:szCs w:val="24"/>
        </w:rPr>
        <w:lastRenderedPageBreak/>
        <w:t xml:space="preserve">§2 </w:t>
      </w:r>
      <w:r w:rsidR="00902E3F" w:rsidRPr="00531C33">
        <w:rPr>
          <w:rStyle w:val="2CharCharChar"/>
          <w:rFonts w:ascii="Times New Roman" w:hAnsi="Times New Roman"/>
          <w:b/>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835"/>
        <w:gridCol w:w="2835"/>
      </w:tblGrid>
      <w:tr w:rsidR="00221340" w:rsidRPr="00531C33" w:rsidTr="002D1B54">
        <w:tc>
          <w:tcPr>
            <w:tcW w:w="3402" w:type="dxa"/>
            <w:vAlign w:val="center"/>
          </w:tcPr>
          <w:p w:rsidR="00A805BC" w:rsidRPr="00531C33" w:rsidRDefault="00A805BC" w:rsidP="002D1B54">
            <w:pPr>
              <w:adjustRightInd w:val="0"/>
              <w:spacing w:before="29" w:line="360" w:lineRule="auto"/>
              <w:ind w:left="17"/>
              <w:rPr>
                <w:color w:val="000000" w:themeColor="text1"/>
                <w:kern w:val="0"/>
                <w:szCs w:val="21"/>
              </w:rPr>
            </w:pPr>
            <w:r w:rsidRPr="00531C33">
              <w:rPr>
                <w:color w:val="000000" w:themeColor="text1"/>
                <w:kern w:val="0"/>
                <w:szCs w:val="21"/>
              </w:rPr>
              <w:t>基金简称</w:t>
            </w:r>
          </w:p>
        </w:tc>
        <w:tc>
          <w:tcPr>
            <w:tcW w:w="5670" w:type="dxa"/>
            <w:gridSpan w:val="2"/>
            <w:vAlign w:val="center"/>
          </w:tcPr>
          <w:p w:rsidR="00A805BC" w:rsidRPr="00531C33" w:rsidRDefault="00A805BC" w:rsidP="000C5A36">
            <w:pPr>
              <w:adjustRightInd w:val="0"/>
              <w:spacing w:before="29" w:line="360" w:lineRule="auto"/>
              <w:ind w:left="17"/>
              <w:rPr>
                <w:color w:val="000000" w:themeColor="text1"/>
                <w:kern w:val="0"/>
                <w:szCs w:val="21"/>
              </w:rPr>
            </w:pPr>
            <w:r w:rsidRPr="00531C33">
              <w:rPr>
                <w:color w:val="000000" w:themeColor="text1"/>
                <w:kern w:val="0"/>
                <w:szCs w:val="21"/>
              </w:rPr>
              <w:t>华夏理财</w:t>
            </w:r>
            <w:r w:rsidRPr="00531C33">
              <w:rPr>
                <w:color w:val="000000" w:themeColor="text1"/>
                <w:kern w:val="0"/>
                <w:szCs w:val="21"/>
              </w:rPr>
              <w:t>30</w:t>
            </w:r>
            <w:r w:rsidRPr="00531C33">
              <w:rPr>
                <w:color w:val="000000" w:themeColor="text1"/>
                <w:kern w:val="0"/>
                <w:szCs w:val="21"/>
              </w:rPr>
              <w:t>天债券</w:t>
            </w:r>
          </w:p>
        </w:tc>
      </w:tr>
      <w:tr w:rsidR="00221340" w:rsidRPr="00531C33" w:rsidTr="002D1B54">
        <w:tc>
          <w:tcPr>
            <w:tcW w:w="3402" w:type="dxa"/>
            <w:tcBorders>
              <w:top w:val="single" w:sz="4" w:space="0" w:color="auto"/>
              <w:left w:val="single" w:sz="4" w:space="0" w:color="auto"/>
              <w:bottom w:val="single" w:sz="4" w:space="0" w:color="auto"/>
              <w:right w:val="single" w:sz="4" w:space="0" w:color="auto"/>
            </w:tcBorders>
            <w:vAlign w:val="center"/>
            <w:hideMark/>
          </w:tcPr>
          <w:p w:rsidR="00D06255" w:rsidRPr="00531C33" w:rsidRDefault="00D06255" w:rsidP="002D1B54">
            <w:pPr>
              <w:adjustRightInd w:val="0"/>
              <w:spacing w:before="29" w:line="360" w:lineRule="auto"/>
              <w:ind w:left="17"/>
              <w:rPr>
                <w:color w:val="000000" w:themeColor="text1"/>
                <w:kern w:val="0"/>
                <w:szCs w:val="21"/>
              </w:rPr>
            </w:pPr>
            <w:r w:rsidRPr="00531C33">
              <w:rPr>
                <w:color w:val="000000" w:themeColor="text1"/>
                <w:kern w:val="0"/>
                <w:szCs w:val="21"/>
              </w:rPr>
              <w:t>基金主代码</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06255" w:rsidRPr="00531C33" w:rsidRDefault="00D06255" w:rsidP="000C5A36">
            <w:pPr>
              <w:adjustRightInd w:val="0"/>
              <w:spacing w:before="29" w:line="360" w:lineRule="auto"/>
              <w:ind w:left="17"/>
              <w:rPr>
                <w:color w:val="000000" w:themeColor="text1"/>
                <w:kern w:val="0"/>
                <w:szCs w:val="21"/>
              </w:rPr>
            </w:pPr>
            <w:r w:rsidRPr="00531C33">
              <w:rPr>
                <w:color w:val="000000" w:themeColor="text1"/>
                <w:kern w:val="0"/>
                <w:szCs w:val="21"/>
              </w:rPr>
              <w:t>001057</w:t>
            </w:r>
          </w:p>
        </w:tc>
      </w:tr>
      <w:tr w:rsidR="00221340" w:rsidRPr="00531C33" w:rsidTr="002D1B54">
        <w:tc>
          <w:tcPr>
            <w:tcW w:w="3402" w:type="dxa"/>
            <w:vAlign w:val="center"/>
          </w:tcPr>
          <w:p w:rsidR="00A805BC" w:rsidRPr="00531C33" w:rsidRDefault="00A805BC" w:rsidP="002D1B54">
            <w:pPr>
              <w:adjustRightInd w:val="0"/>
              <w:spacing w:before="29" w:line="360" w:lineRule="auto"/>
              <w:ind w:left="17"/>
              <w:rPr>
                <w:color w:val="000000" w:themeColor="text1"/>
                <w:szCs w:val="21"/>
              </w:rPr>
            </w:pPr>
            <w:r w:rsidRPr="00531C33">
              <w:rPr>
                <w:color w:val="000000" w:themeColor="text1"/>
                <w:kern w:val="0"/>
                <w:szCs w:val="21"/>
              </w:rPr>
              <w:t>基金运作方式</w:t>
            </w:r>
          </w:p>
        </w:tc>
        <w:tc>
          <w:tcPr>
            <w:tcW w:w="5670" w:type="dxa"/>
            <w:gridSpan w:val="2"/>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契约型开放式</w:t>
            </w:r>
          </w:p>
        </w:tc>
      </w:tr>
      <w:tr w:rsidR="00221340" w:rsidRPr="00531C33" w:rsidTr="002D1B54">
        <w:tc>
          <w:tcPr>
            <w:tcW w:w="3402" w:type="dxa"/>
            <w:vAlign w:val="center"/>
          </w:tcPr>
          <w:p w:rsidR="00A805BC" w:rsidRPr="00531C33" w:rsidRDefault="00A805BC" w:rsidP="002D1B54">
            <w:pPr>
              <w:adjustRightInd w:val="0"/>
              <w:spacing w:before="29" w:line="360" w:lineRule="auto"/>
              <w:ind w:left="17"/>
              <w:rPr>
                <w:color w:val="000000" w:themeColor="text1"/>
                <w:szCs w:val="21"/>
              </w:rPr>
            </w:pPr>
            <w:r w:rsidRPr="00531C33">
              <w:rPr>
                <w:color w:val="000000" w:themeColor="text1"/>
                <w:kern w:val="0"/>
                <w:szCs w:val="21"/>
              </w:rPr>
              <w:t>基金合同生效日</w:t>
            </w:r>
          </w:p>
        </w:tc>
        <w:tc>
          <w:tcPr>
            <w:tcW w:w="5670" w:type="dxa"/>
            <w:gridSpan w:val="2"/>
            <w:vAlign w:val="center"/>
          </w:tcPr>
          <w:p w:rsidR="00A805BC" w:rsidRPr="00531C33" w:rsidRDefault="002507FE" w:rsidP="000C5A36">
            <w:pPr>
              <w:adjustRightInd w:val="0"/>
              <w:spacing w:before="29" w:line="360" w:lineRule="auto"/>
              <w:ind w:left="17"/>
              <w:rPr>
                <w:color w:val="000000" w:themeColor="text1"/>
                <w:szCs w:val="21"/>
              </w:rPr>
            </w:pPr>
            <w:r w:rsidRPr="00531C33">
              <w:rPr>
                <w:color w:val="000000" w:themeColor="text1"/>
                <w:kern w:val="0"/>
                <w:szCs w:val="21"/>
              </w:rPr>
              <w:t>2012</w:t>
            </w:r>
            <w:r w:rsidRPr="00531C33">
              <w:rPr>
                <w:color w:val="000000" w:themeColor="text1"/>
                <w:kern w:val="0"/>
                <w:szCs w:val="21"/>
              </w:rPr>
              <w:t>年</w:t>
            </w:r>
            <w:r w:rsidRPr="00531C33">
              <w:rPr>
                <w:color w:val="000000" w:themeColor="text1"/>
                <w:kern w:val="0"/>
                <w:szCs w:val="21"/>
              </w:rPr>
              <w:t>10</w:t>
            </w:r>
            <w:r w:rsidRPr="00531C33">
              <w:rPr>
                <w:color w:val="000000" w:themeColor="text1"/>
                <w:kern w:val="0"/>
                <w:szCs w:val="21"/>
              </w:rPr>
              <w:t>月</w:t>
            </w:r>
            <w:r w:rsidRPr="00531C33">
              <w:rPr>
                <w:color w:val="000000" w:themeColor="text1"/>
                <w:kern w:val="0"/>
                <w:szCs w:val="21"/>
              </w:rPr>
              <w:t>24</w:t>
            </w:r>
            <w:r w:rsidRPr="00531C33">
              <w:rPr>
                <w:color w:val="000000" w:themeColor="text1"/>
                <w:kern w:val="0"/>
                <w:szCs w:val="21"/>
              </w:rPr>
              <w:t>日</w:t>
            </w:r>
          </w:p>
        </w:tc>
      </w:tr>
      <w:tr w:rsidR="00221340" w:rsidRPr="00531C33" w:rsidTr="00F36F0A">
        <w:tc>
          <w:tcPr>
            <w:tcW w:w="3402" w:type="dxa"/>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报告期末基金份额总额</w:t>
            </w:r>
          </w:p>
        </w:tc>
        <w:tc>
          <w:tcPr>
            <w:tcW w:w="5670" w:type="dxa"/>
            <w:gridSpan w:val="2"/>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15,061,843,937.69</w:t>
            </w:r>
            <w:r w:rsidR="00C2005E" w:rsidRPr="00531C33">
              <w:rPr>
                <w:color w:val="000000" w:themeColor="text1"/>
                <w:kern w:val="0"/>
                <w:szCs w:val="21"/>
              </w:rPr>
              <w:t>份</w:t>
            </w:r>
          </w:p>
        </w:tc>
      </w:tr>
      <w:tr w:rsidR="00221340" w:rsidRPr="00531C33" w:rsidTr="00F36F0A">
        <w:tc>
          <w:tcPr>
            <w:tcW w:w="3402" w:type="dxa"/>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投资目标</w:t>
            </w:r>
          </w:p>
        </w:tc>
        <w:tc>
          <w:tcPr>
            <w:tcW w:w="5670" w:type="dxa"/>
            <w:gridSpan w:val="2"/>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在力求安全性的前提下，追求稳定的绝对回报。</w:t>
            </w:r>
          </w:p>
        </w:tc>
      </w:tr>
      <w:tr w:rsidR="00221340" w:rsidRPr="00531C33" w:rsidTr="00F36F0A">
        <w:tc>
          <w:tcPr>
            <w:tcW w:w="3402" w:type="dxa"/>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投资策略</w:t>
            </w:r>
          </w:p>
        </w:tc>
        <w:tc>
          <w:tcPr>
            <w:tcW w:w="5670" w:type="dxa"/>
            <w:gridSpan w:val="2"/>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本基金将采用积极管理型的投资策略，将投资组合的平均剩余期限控制在</w:t>
            </w:r>
            <w:r w:rsidRPr="00531C33">
              <w:rPr>
                <w:color w:val="000000" w:themeColor="text1"/>
                <w:kern w:val="0"/>
                <w:szCs w:val="21"/>
              </w:rPr>
              <w:t>150</w:t>
            </w:r>
            <w:r w:rsidRPr="00531C33">
              <w:rPr>
                <w:color w:val="000000" w:themeColor="text1"/>
                <w:kern w:val="0"/>
                <w:szCs w:val="21"/>
              </w:rPr>
              <w:t>天以内，在控制利率风险、尽量降低基金净值波动风险并满足流动性的前提下，提高基金收益。</w:t>
            </w:r>
          </w:p>
        </w:tc>
      </w:tr>
      <w:tr w:rsidR="00221340" w:rsidRPr="00531C33" w:rsidTr="00F36F0A">
        <w:tc>
          <w:tcPr>
            <w:tcW w:w="3402" w:type="dxa"/>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业绩比较基准</w:t>
            </w:r>
          </w:p>
        </w:tc>
        <w:tc>
          <w:tcPr>
            <w:tcW w:w="5670" w:type="dxa"/>
            <w:gridSpan w:val="2"/>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本基金的业绩比较基准为：七天通知存款税后利率。</w:t>
            </w:r>
          </w:p>
        </w:tc>
      </w:tr>
      <w:tr w:rsidR="00221340" w:rsidRPr="00531C33" w:rsidTr="00F36F0A">
        <w:tc>
          <w:tcPr>
            <w:tcW w:w="3402" w:type="dxa"/>
            <w:vAlign w:val="center"/>
          </w:tcPr>
          <w:p w:rsidR="00A01505" w:rsidRPr="00531C33" w:rsidRDefault="00A01505" w:rsidP="000C5A36">
            <w:pPr>
              <w:adjustRightInd w:val="0"/>
              <w:spacing w:before="29" w:line="360" w:lineRule="auto"/>
              <w:ind w:left="17"/>
              <w:rPr>
                <w:color w:val="000000" w:themeColor="text1"/>
                <w:kern w:val="0"/>
                <w:szCs w:val="21"/>
              </w:rPr>
            </w:pPr>
            <w:r w:rsidRPr="00531C33">
              <w:rPr>
                <w:color w:val="000000" w:themeColor="text1"/>
                <w:kern w:val="0"/>
                <w:szCs w:val="21"/>
              </w:rPr>
              <w:t>风险收益特征</w:t>
            </w:r>
          </w:p>
        </w:tc>
        <w:tc>
          <w:tcPr>
            <w:tcW w:w="5670" w:type="dxa"/>
            <w:gridSpan w:val="2"/>
            <w:vAlign w:val="center"/>
          </w:tcPr>
          <w:p w:rsidR="00A01505" w:rsidRPr="00531C33" w:rsidRDefault="00A01505" w:rsidP="000C5A36">
            <w:pPr>
              <w:adjustRightInd w:val="0"/>
              <w:spacing w:before="29" w:line="360" w:lineRule="auto"/>
              <w:ind w:left="17"/>
              <w:rPr>
                <w:color w:val="000000" w:themeColor="text1"/>
                <w:kern w:val="0"/>
                <w:szCs w:val="21"/>
              </w:rPr>
            </w:pPr>
            <w:r w:rsidRPr="00531C33">
              <w:rPr>
                <w:color w:val="000000" w:themeColor="text1"/>
                <w:kern w:val="0"/>
                <w:szCs w:val="21"/>
              </w:rPr>
              <w:t>本基金属于债券型基金，长期风险收益水平低于股票型基金、混合型基金。</w:t>
            </w:r>
          </w:p>
        </w:tc>
      </w:tr>
      <w:tr w:rsidR="00221340" w:rsidRPr="00531C33" w:rsidTr="00F36F0A">
        <w:tc>
          <w:tcPr>
            <w:tcW w:w="3402" w:type="dxa"/>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基金管理人</w:t>
            </w:r>
          </w:p>
        </w:tc>
        <w:tc>
          <w:tcPr>
            <w:tcW w:w="5670" w:type="dxa"/>
            <w:gridSpan w:val="2"/>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华夏基金管理有限公司</w:t>
            </w:r>
          </w:p>
        </w:tc>
      </w:tr>
      <w:tr w:rsidR="00221340" w:rsidRPr="00531C33" w:rsidTr="00F36F0A">
        <w:tc>
          <w:tcPr>
            <w:tcW w:w="3402" w:type="dxa"/>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基金托管人</w:t>
            </w:r>
          </w:p>
        </w:tc>
        <w:tc>
          <w:tcPr>
            <w:tcW w:w="5670" w:type="dxa"/>
            <w:gridSpan w:val="2"/>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kern w:val="0"/>
                <w:szCs w:val="21"/>
              </w:rPr>
              <w:t>中国建设银行股份有限公司</w:t>
            </w:r>
          </w:p>
        </w:tc>
      </w:tr>
      <w:tr w:rsidR="00221340" w:rsidRPr="00531C33" w:rsidTr="00DB0C11">
        <w:tc>
          <w:tcPr>
            <w:tcW w:w="3402" w:type="dxa"/>
            <w:vAlign w:val="center"/>
          </w:tcPr>
          <w:p w:rsidR="00A805BC" w:rsidRPr="00531C33" w:rsidRDefault="00A805BC" w:rsidP="000C5A36">
            <w:pPr>
              <w:adjustRightInd w:val="0"/>
              <w:spacing w:before="29" w:line="360" w:lineRule="auto"/>
              <w:ind w:left="17"/>
              <w:rPr>
                <w:color w:val="000000" w:themeColor="text1"/>
                <w:kern w:val="0"/>
                <w:szCs w:val="21"/>
              </w:rPr>
            </w:pPr>
            <w:r w:rsidRPr="00531C33">
              <w:rPr>
                <w:color w:val="000000" w:themeColor="text1"/>
                <w:szCs w:val="21"/>
              </w:rPr>
              <w:t>下属</w:t>
            </w:r>
            <w:r w:rsidR="00E11F83" w:rsidRPr="00531C33">
              <w:rPr>
                <w:color w:val="000000" w:themeColor="text1"/>
                <w:szCs w:val="21"/>
              </w:rPr>
              <w:t>分</w:t>
            </w:r>
            <w:r w:rsidRPr="00531C33">
              <w:rPr>
                <w:color w:val="000000" w:themeColor="text1"/>
                <w:szCs w:val="21"/>
              </w:rPr>
              <w:t>级基金的基金简称</w:t>
            </w:r>
          </w:p>
        </w:tc>
        <w:tc>
          <w:tcPr>
            <w:tcW w:w="2835" w:type="dxa"/>
            <w:vAlign w:val="center"/>
          </w:tcPr>
          <w:p w:rsidR="00A805BC" w:rsidRPr="00531C33" w:rsidRDefault="00A805BC" w:rsidP="000C5A36">
            <w:pPr>
              <w:spacing w:line="360" w:lineRule="auto"/>
              <w:rPr>
                <w:color w:val="000000" w:themeColor="text1"/>
                <w:szCs w:val="21"/>
              </w:rPr>
            </w:pPr>
            <w:r w:rsidRPr="00531C33">
              <w:rPr>
                <w:color w:val="000000" w:themeColor="text1"/>
                <w:szCs w:val="21"/>
              </w:rPr>
              <w:t>华夏理财</w:t>
            </w:r>
            <w:r w:rsidRPr="00531C33">
              <w:rPr>
                <w:color w:val="000000" w:themeColor="text1"/>
                <w:szCs w:val="21"/>
              </w:rPr>
              <w:t>30</w:t>
            </w:r>
            <w:r w:rsidRPr="00531C33">
              <w:rPr>
                <w:color w:val="000000" w:themeColor="text1"/>
                <w:szCs w:val="21"/>
              </w:rPr>
              <w:t>天债券</w:t>
            </w:r>
            <w:r w:rsidRPr="00531C33">
              <w:rPr>
                <w:color w:val="000000" w:themeColor="text1"/>
                <w:szCs w:val="21"/>
              </w:rPr>
              <w:t>A</w:t>
            </w:r>
          </w:p>
        </w:tc>
        <w:tc>
          <w:tcPr>
            <w:tcW w:w="2835" w:type="dxa"/>
            <w:vAlign w:val="center"/>
          </w:tcPr>
          <w:p w:rsidR="00A805BC" w:rsidRPr="00531C33" w:rsidRDefault="00A805BC" w:rsidP="000C5A36">
            <w:pPr>
              <w:spacing w:line="360" w:lineRule="auto"/>
              <w:rPr>
                <w:color w:val="000000" w:themeColor="text1"/>
                <w:szCs w:val="21"/>
              </w:rPr>
            </w:pPr>
            <w:r w:rsidRPr="00531C33">
              <w:rPr>
                <w:color w:val="000000" w:themeColor="text1"/>
                <w:szCs w:val="21"/>
              </w:rPr>
              <w:t>华夏理财</w:t>
            </w:r>
            <w:r w:rsidRPr="00531C33">
              <w:rPr>
                <w:color w:val="000000" w:themeColor="text1"/>
                <w:szCs w:val="21"/>
              </w:rPr>
              <w:t>30</w:t>
            </w:r>
            <w:r w:rsidRPr="00531C33">
              <w:rPr>
                <w:color w:val="000000" w:themeColor="text1"/>
                <w:szCs w:val="21"/>
              </w:rPr>
              <w:t>天债券</w:t>
            </w:r>
            <w:r w:rsidRPr="00531C33">
              <w:rPr>
                <w:color w:val="000000" w:themeColor="text1"/>
                <w:szCs w:val="21"/>
              </w:rPr>
              <w:t>B</w:t>
            </w:r>
          </w:p>
        </w:tc>
      </w:tr>
      <w:tr w:rsidR="00221340" w:rsidRPr="00531C33" w:rsidTr="00DB0C11">
        <w:tc>
          <w:tcPr>
            <w:tcW w:w="3402" w:type="dxa"/>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szCs w:val="21"/>
              </w:rPr>
              <w:t>下属</w:t>
            </w:r>
            <w:r w:rsidR="00E11F83" w:rsidRPr="00531C33">
              <w:rPr>
                <w:color w:val="000000" w:themeColor="text1"/>
                <w:szCs w:val="21"/>
              </w:rPr>
              <w:t>分</w:t>
            </w:r>
            <w:r w:rsidRPr="00531C33">
              <w:rPr>
                <w:color w:val="000000" w:themeColor="text1"/>
                <w:szCs w:val="21"/>
              </w:rPr>
              <w:t>级基金的交易代码</w:t>
            </w:r>
          </w:p>
        </w:tc>
        <w:tc>
          <w:tcPr>
            <w:tcW w:w="2835" w:type="dxa"/>
            <w:vAlign w:val="center"/>
          </w:tcPr>
          <w:p w:rsidR="00A805BC" w:rsidRPr="00531C33" w:rsidRDefault="00A805BC" w:rsidP="000C5A36">
            <w:pPr>
              <w:spacing w:line="360" w:lineRule="auto"/>
              <w:rPr>
                <w:color w:val="000000" w:themeColor="text1"/>
                <w:szCs w:val="21"/>
              </w:rPr>
            </w:pPr>
            <w:r w:rsidRPr="00531C33">
              <w:rPr>
                <w:color w:val="000000" w:themeColor="text1"/>
                <w:szCs w:val="21"/>
              </w:rPr>
              <w:t>001057</w:t>
            </w:r>
          </w:p>
        </w:tc>
        <w:tc>
          <w:tcPr>
            <w:tcW w:w="2835" w:type="dxa"/>
            <w:vAlign w:val="center"/>
          </w:tcPr>
          <w:p w:rsidR="00A805BC" w:rsidRPr="00531C33" w:rsidRDefault="00A805BC" w:rsidP="000C5A36">
            <w:pPr>
              <w:spacing w:line="360" w:lineRule="auto"/>
              <w:rPr>
                <w:color w:val="000000" w:themeColor="text1"/>
                <w:szCs w:val="21"/>
              </w:rPr>
            </w:pPr>
            <w:r w:rsidRPr="00531C33">
              <w:rPr>
                <w:color w:val="000000" w:themeColor="text1"/>
                <w:szCs w:val="21"/>
              </w:rPr>
              <w:t>001058</w:t>
            </w:r>
          </w:p>
        </w:tc>
      </w:tr>
      <w:tr w:rsidR="00221340" w:rsidRPr="00531C33" w:rsidTr="00DB0C11">
        <w:tc>
          <w:tcPr>
            <w:tcW w:w="3402" w:type="dxa"/>
            <w:vAlign w:val="center"/>
          </w:tcPr>
          <w:p w:rsidR="00A805BC" w:rsidRPr="00531C33" w:rsidRDefault="00A805BC" w:rsidP="000C5A36">
            <w:pPr>
              <w:adjustRightInd w:val="0"/>
              <w:spacing w:before="29" w:line="360" w:lineRule="auto"/>
              <w:ind w:left="17"/>
              <w:rPr>
                <w:color w:val="000000" w:themeColor="text1"/>
                <w:szCs w:val="21"/>
              </w:rPr>
            </w:pPr>
            <w:r w:rsidRPr="00531C33">
              <w:rPr>
                <w:color w:val="000000" w:themeColor="text1"/>
                <w:szCs w:val="21"/>
              </w:rPr>
              <w:t>报告期末下属</w:t>
            </w:r>
            <w:r w:rsidR="00E11F83" w:rsidRPr="00531C33">
              <w:rPr>
                <w:color w:val="000000" w:themeColor="text1"/>
                <w:szCs w:val="21"/>
              </w:rPr>
              <w:t>分</w:t>
            </w:r>
            <w:r w:rsidRPr="00531C33">
              <w:rPr>
                <w:color w:val="000000" w:themeColor="text1"/>
                <w:szCs w:val="21"/>
              </w:rPr>
              <w:t>级基金的份额总额</w:t>
            </w:r>
          </w:p>
        </w:tc>
        <w:tc>
          <w:tcPr>
            <w:tcW w:w="2835" w:type="dxa"/>
            <w:vAlign w:val="center"/>
          </w:tcPr>
          <w:p w:rsidR="00A805BC" w:rsidRPr="00531C33" w:rsidRDefault="00A805BC" w:rsidP="000C5A36">
            <w:pPr>
              <w:spacing w:line="360" w:lineRule="auto"/>
              <w:rPr>
                <w:color w:val="000000" w:themeColor="text1"/>
                <w:szCs w:val="21"/>
              </w:rPr>
            </w:pPr>
            <w:r w:rsidRPr="00531C33">
              <w:rPr>
                <w:color w:val="000000" w:themeColor="text1"/>
                <w:szCs w:val="21"/>
              </w:rPr>
              <w:t>735,629,682.61</w:t>
            </w:r>
            <w:r w:rsidR="00764CF7" w:rsidRPr="00531C33">
              <w:rPr>
                <w:color w:val="000000" w:themeColor="text1"/>
                <w:szCs w:val="21"/>
              </w:rPr>
              <w:t>份</w:t>
            </w:r>
          </w:p>
        </w:tc>
        <w:tc>
          <w:tcPr>
            <w:tcW w:w="2835" w:type="dxa"/>
            <w:vAlign w:val="center"/>
          </w:tcPr>
          <w:p w:rsidR="00A805BC" w:rsidRPr="00531C33" w:rsidRDefault="00A805BC" w:rsidP="000C5A36">
            <w:pPr>
              <w:spacing w:line="360" w:lineRule="auto"/>
              <w:rPr>
                <w:color w:val="000000" w:themeColor="text1"/>
                <w:szCs w:val="21"/>
              </w:rPr>
            </w:pPr>
            <w:r w:rsidRPr="00531C33">
              <w:rPr>
                <w:color w:val="000000" w:themeColor="text1"/>
                <w:szCs w:val="21"/>
              </w:rPr>
              <w:t>14,326,214,255.08</w:t>
            </w:r>
            <w:r w:rsidR="00764CF7" w:rsidRPr="00531C33">
              <w:rPr>
                <w:color w:val="000000" w:themeColor="text1"/>
                <w:szCs w:val="21"/>
              </w:rPr>
              <w:t>份</w:t>
            </w:r>
          </w:p>
        </w:tc>
      </w:tr>
    </w:tbl>
    <w:p w:rsidR="00902E3F" w:rsidRPr="00531C33" w:rsidRDefault="00FB2035" w:rsidP="00D9195D">
      <w:pPr>
        <w:pStyle w:val="2"/>
        <w:spacing w:beforeLines="100" w:after="0"/>
        <w:jc w:val="center"/>
        <w:rPr>
          <w:rStyle w:val="2CharCharChar"/>
          <w:rFonts w:ascii="Times New Roman" w:hAnsi="Times New Roman" w:cs="Times New Roman"/>
          <w:b/>
        </w:rPr>
      </w:pPr>
      <w:r w:rsidRPr="00531C33">
        <w:rPr>
          <w:rStyle w:val="2CharCharChar"/>
          <w:rFonts w:ascii="Times New Roman" w:hAnsi="Times New Roman" w:cs="Times New Roman"/>
          <w:b/>
        </w:rPr>
        <w:t xml:space="preserve">§3 </w:t>
      </w:r>
      <w:r w:rsidR="00902E3F" w:rsidRPr="00531C33">
        <w:rPr>
          <w:rStyle w:val="2CharCharChar"/>
          <w:rFonts w:ascii="Times New Roman" w:hAnsi="Times New Roman" w:cs="Times New Roman"/>
          <w:b/>
        </w:rPr>
        <w:t>主要财务指标和基金净值表现</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3.1 </w:t>
      </w:r>
      <w:r w:rsidRPr="00531C33">
        <w:rPr>
          <w:b w:val="0"/>
          <w:sz w:val="21"/>
          <w:szCs w:val="21"/>
        </w:rPr>
        <w:t>主要财务指标</w:t>
      </w:r>
    </w:p>
    <w:p w:rsidR="00902E3F" w:rsidRPr="00531C33" w:rsidRDefault="00902E3F" w:rsidP="003A2CAE">
      <w:pPr>
        <w:spacing w:line="360" w:lineRule="auto"/>
        <w:ind w:firstLine="480"/>
        <w:jc w:val="right"/>
        <w:rPr>
          <w:szCs w:val="21"/>
        </w:rPr>
      </w:pPr>
      <w:r w:rsidRPr="00531C33">
        <w:rPr>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835"/>
        <w:gridCol w:w="2835"/>
      </w:tblGrid>
      <w:tr w:rsidR="00221340" w:rsidRPr="00531C33" w:rsidTr="00F36F0A">
        <w:tc>
          <w:tcPr>
            <w:tcW w:w="3402" w:type="dxa"/>
            <w:vMerge w:val="restart"/>
            <w:vAlign w:val="center"/>
          </w:tcPr>
          <w:p w:rsidR="00F31380" w:rsidRPr="00531C33" w:rsidRDefault="00F31380" w:rsidP="00196812">
            <w:pPr>
              <w:adjustRightInd w:val="0"/>
              <w:spacing w:before="29" w:line="360" w:lineRule="auto"/>
              <w:ind w:left="17"/>
              <w:jc w:val="center"/>
              <w:rPr>
                <w:color w:val="000000" w:themeColor="text1"/>
                <w:kern w:val="0"/>
                <w:szCs w:val="21"/>
              </w:rPr>
            </w:pPr>
            <w:r w:rsidRPr="00531C33">
              <w:rPr>
                <w:color w:val="000000" w:themeColor="text1"/>
                <w:kern w:val="0"/>
                <w:szCs w:val="21"/>
              </w:rPr>
              <w:t>主要财务指标</w:t>
            </w:r>
          </w:p>
        </w:tc>
        <w:tc>
          <w:tcPr>
            <w:tcW w:w="5670" w:type="dxa"/>
            <w:gridSpan w:val="2"/>
            <w:vAlign w:val="center"/>
          </w:tcPr>
          <w:p w:rsidR="00F31380" w:rsidRPr="00531C33" w:rsidRDefault="00F31380" w:rsidP="00196812">
            <w:pPr>
              <w:adjustRightInd w:val="0"/>
              <w:spacing w:before="29" w:line="360" w:lineRule="auto"/>
              <w:ind w:left="17"/>
              <w:jc w:val="center"/>
              <w:rPr>
                <w:color w:val="000000" w:themeColor="text1"/>
                <w:szCs w:val="21"/>
              </w:rPr>
            </w:pPr>
            <w:r w:rsidRPr="00531C33">
              <w:rPr>
                <w:color w:val="000000" w:themeColor="text1"/>
                <w:szCs w:val="21"/>
              </w:rPr>
              <w:t>报告期</w:t>
            </w:r>
            <w:r w:rsidRPr="00531C33">
              <w:rPr>
                <w:color w:val="000000" w:themeColor="text1"/>
                <w:szCs w:val="21"/>
              </w:rPr>
              <w:t>(2019</w:t>
            </w:r>
            <w:r w:rsidRPr="00531C33">
              <w:rPr>
                <w:color w:val="000000" w:themeColor="text1"/>
                <w:szCs w:val="21"/>
              </w:rPr>
              <w:t>年</w:t>
            </w:r>
            <w:r w:rsidRPr="00531C33">
              <w:rPr>
                <w:color w:val="000000" w:themeColor="text1"/>
                <w:szCs w:val="21"/>
              </w:rPr>
              <w:t>7</w:t>
            </w:r>
            <w:r w:rsidRPr="00531C33">
              <w:rPr>
                <w:color w:val="000000" w:themeColor="text1"/>
                <w:szCs w:val="21"/>
              </w:rPr>
              <w:t>月</w:t>
            </w:r>
            <w:r w:rsidRPr="00531C33">
              <w:rPr>
                <w:color w:val="000000" w:themeColor="text1"/>
                <w:szCs w:val="21"/>
              </w:rPr>
              <w:t>1</w:t>
            </w:r>
            <w:r w:rsidRPr="00531C33">
              <w:rPr>
                <w:color w:val="000000" w:themeColor="text1"/>
                <w:szCs w:val="21"/>
              </w:rPr>
              <w:t>日</w:t>
            </w:r>
            <w:r w:rsidRPr="00531C33">
              <w:rPr>
                <w:color w:val="000000" w:themeColor="text1"/>
                <w:szCs w:val="21"/>
              </w:rPr>
              <w:t>-2019</w:t>
            </w:r>
            <w:r w:rsidRPr="00531C33">
              <w:rPr>
                <w:color w:val="000000" w:themeColor="text1"/>
                <w:szCs w:val="21"/>
              </w:rPr>
              <w:t>年</w:t>
            </w:r>
            <w:r w:rsidRPr="00531C33">
              <w:rPr>
                <w:color w:val="000000" w:themeColor="text1"/>
                <w:szCs w:val="21"/>
              </w:rPr>
              <w:t>9</w:t>
            </w:r>
            <w:r w:rsidRPr="00531C33">
              <w:rPr>
                <w:color w:val="000000" w:themeColor="text1"/>
                <w:szCs w:val="21"/>
              </w:rPr>
              <w:t>月</w:t>
            </w:r>
            <w:r w:rsidRPr="00531C33">
              <w:rPr>
                <w:color w:val="000000" w:themeColor="text1"/>
                <w:szCs w:val="21"/>
              </w:rPr>
              <w:t>30</w:t>
            </w:r>
            <w:r w:rsidRPr="00531C33">
              <w:rPr>
                <w:color w:val="000000" w:themeColor="text1"/>
                <w:szCs w:val="21"/>
              </w:rPr>
              <w:t>日</w:t>
            </w:r>
            <w:r w:rsidRPr="00531C33">
              <w:rPr>
                <w:color w:val="000000" w:themeColor="text1"/>
                <w:szCs w:val="21"/>
              </w:rPr>
              <w:t>)</w:t>
            </w:r>
          </w:p>
        </w:tc>
      </w:tr>
      <w:tr w:rsidR="00221340" w:rsidRPr="00531C33" w:rsidTr="008B1F5B">
        <w:tc>
          <w:tcPr>
            <w:tcW w:w="3402" w:type="dxa"/>
            <w:vMerge/>
            <w:vAlign w:val="center"/>
          </w:tcPr>
          <w:p w:rsidR="00F31380" w:rsidRPr="00531C33" w:rsidRDefault="00F31380" w:rsidP="00196812">
            <w:pPr>
              <w:adjustRightInd w:val="0"/>
              <w:spacing w:before="29" w:line="360" w:lineRule="auto"/>
              <w:ind w:left="17"/>
              <w:jc w:val="center"/>
              <w:rPr>
                <w:color w:val="000000" w:themeColor="text1"/>
                <w:kern w:val="0"/>
                <w:szCs w:val="21"/>
              </w:rPr>
            </w:pPr>
          </w:p>
        </w:tc>
        <w:tc>
          <w:tcPr>
            <w:tcW w:w="2835" w:type="dxa"/>
            <w:vAlign w:val="center"/>
          </w:tcPr>
          <w:p w:rsidR="00F31380" w:rsidRPr="00531C33" w:rsidRDefault="00F31380" w:rsidP="008B1F5B">
            <w:pPr>
              <w:adjustRightInd w:val="0"/>
              <w:spacing w:before="29" w:line="360" w:lineRule="auto"/>
              <w:ind w:left="17"/>
              <w:jc w:val="center"/>
              <w:rPr>
                <w:color w:val="000000" w:themeColor="text1"/>
                <w:szCs w:val="21"/>
              </w:rPr>
            </w:pPr>
            <w:r w:rsidRPr="00531C33">
              <w:rPr>
                <w:color w:val="000000" w:themeColor="text1"/>
                <w:szCs w:val="21"/>
              </w:rPr>
              <w:t>华夏理财</w:t>
            </w:r>
            <w:r w:rsidRPr="00531C33">
              <w:rPr>
                <w:color w:val="000000" w:themeColor="text1"/>
                <w:szCs w:val="21"/>
              </w:rPr>
              <w:t>30</w:t>
            </w:r>
            <w:r w:rsidRPr="00531C33">
              <w:rPr>
                <w:color w:val="000000" w:themeColor="text1"/>
                <w:szCs w:val="21"/>
              </w:rPr>
              <w:t>天债券</w:t>
            </w:r>
            <w:r w:rsidRPr="00531C33">
              <w:rPr>
                <w:color w:val="000000" w:themeColor="text1"/>
                <w:szCs w:val="21"/>
              </w:rPr>
              <w:t>A</w:t>
            </w:r>
          </w:p>
        </w:tc>
        <w:tc>
          <w:tcPr>
            <w:tcW w:w="2835" w:type="dxa"/>
            <w:vAlign w:val="center"/>
          </w:tcPr>
          <w:p w:rsidR="00F31380" w:rsidRPr="00531C33" w:rsidRDefault="00F31380" w:rsidP="008B1F5B">
            <w:pPr>
              <w:adjustRightInd w:val="0"/>
              <w:spacing w:before="29" w:line="360" w:lineRule="auto"/>
              <w:ind w:left="17"/>
              <w:jc w:val="center"/>
              <w:rPr>
                <w:color w:val="000000" w:themeColor="text1"/>
                <w:szCs w:val="21"/>
              </w:rPr>
            </w:pPr>
            <w:r w:rsidRPr="00531C33">
              <w:rPr>
                <w:color w:val="000000" w:themeColor="text1"/>
                <w:szCs w:val="21"/>
              </w:rPr>
              <w:t>华夏理财</w:t>
            </w:r>
            <w:r w:rsidRPr="00531C33">
              <w:rPr>
                <w:color w:val="000000" w:themeColor="text1"/>
                <w:szCs w:val="21"/>
              </w:rPr>
              <w:t>30</w:t>
            </w:r>
            <w:r w:rsidRPr="00531C33">
              <w:rPr>
                <w:color w:val="000000" w:themeColor="text1"/>
                <w:szCs w:val="21"/>
              </w:rPr>
              <w:t>天债券</w:t>
            </w:r>
            <w:r w:rsidRPr="00531C33">
              <w:rPr>
                <w:color w:val="000000" w:themeColor="text1"/>
                <w:szCs w:val="21"/>
              </w:rPr>
              <w:t>B</w:t>
            </w:r>
          </w:p>
        </w:tc>
      </w:tr>
      <w:tr w:rsidR="00221340" w:rsidRPr="00531C33" w:rsidTr="00F36F0A">
        <w:trPr>
          <w:trHeight w:val="840"/>
        </w:trPr>
        <w:tc>
          <w:tcPr>
            <w:tcW w:w="3402" w:type="dxa"/>
            <w:vAlign w:val="center"/>
          </w:tcPr>
          <w:p w:rsidR="00E8309D" w:rsidRPr="00531C33" w:rsidRDefault="00E8309D" w:rsidP="000C5A36">
            <w:pPr>
              <w:adjustRightInd w:val="0"/>
              <w:spacing w:before="29" w:line="360" w:lineRule="auto"/>
              <w:ind w:left="17"/>
              <w:rPr>
                <w:color w:val="000000" w:themeColor="text1"/>
                <w:kern w:val="0"/>
                <w:szCs w:val="21"/>
              </w:rPr>
            </w:pPr>
            <w:r w:rsidRPr="00531C33">
              <w:rPr>
                <w:color w:val="000000" w:themeColor="text1"/>
                <w:kern w:val="0"/>
                <w:szCs w:val="21"/>
              </w:rPr>
              <w:t>1.</w:t>
            </w:r>
            <w:r w:rsidRPr="00531C33">
              <w:rPr>
                <w:color w:val="000000" w:themeColor="text1"/>
                <w:kern w:val="0"/>
                <w:szCs w:val="21"/>
              </w:rPr>
              <w:t>本期已实现收益</w:t>
            </w:r>
          </w:p>
        </w:tc>
        <w:tc>
          <w:tcPr>
            <w:tcW w:w="2835" w:type="dxa"/>
            <w:vAlign w:val="center"/>
          </w:tcPr>
          <w:p w:rsidR="00E8309D" w:rsidRPr="00531C33" w:rsidRDefault="00E8309D" w:rsidP="007C4D2C">
            <w:pPr>
              <w:adjustRightInd w:val="0"/>
              <w:spacing w:before="29" w:line="360" w:lineRule="auto"/>
              <w:ind w:left="17"/>
              <w:jc w:val="right"/>
              <w:rPr>
                <w:color w:val="000000" w:themeColor="text1"/>
                <w:szCs w:val="21"/>
              </w:rPr>
            </w:pPr>
            <w:r w:rsidRPr="00531C33">
              <w:rPr>
                <w:color w:val="000000" w:themeColor="text1"/>
                <w:szCs w:val="21"/>
              </w:rPr>
              <w:t>5,176,422.44</w:t>
            </w:r>
          </w:p>
        </w:tc>
        <w:tc>
          <w:tcPr>
            <w:tcW w:w="2835" w:type="dxa"/>
            <w:vAlign w:val="center"/>
          </w:tcPr>
          <w:p w:rsidR="00E8309D" w:rsidRPr="00531C33" w:rsidRDefault="00E8309D" w:rsidP="007C4D2C">
            <w:pPr>
              <w:adjustRightInd w:val="0"/>
              <w:spacing w:before="29" w:line="360" w:lineRule="auto"/>
              <w:ind w:left="17"/>
              <w:jc w:val="right"/>
              <w:rPr>
                <w:color w:val="000000" w:themeColor="text1"/>
                <w:szCs w:val="21"/>
              </w:rPr>
            </w:pPr>
            <w:r w:rsidRPr="00531C33">
              <w:rPr>
                <w:color w:val="000000" w:themeColor="text1"/>
                <w:szCs w:val="21"/>
              </w:rPr>
              <w:t>106,562,405.75</w:t>
            </w:r>
          </w:p>
        </w:tc>
      </w:tr>
      <w:tr w:rsidR="00221340" w:rsidRPr="00531C33" w:rsidTr="00F36F0A">
        <w:tc>
          <w:tcPr>
            <w:tcW w:w="3402" w:type="dxa"/>
            <w:vAlign w:val="center"/>
          </w:tcPr>
          <w:p w:rsidR="00E8309D" w:rsidRPr="00531C33" w:rsidRDefault="00E8309D" w:rsidP="000C5A36">
            <w:pPr>
              <w:adjustRightInd w:val="0"/>
              <w:spacing w:before="29" w:line="360" w:lineRule="auto"/>
              <w:ind w:left="17"/>
              <w:rPr>
                <w:color w:val="000000" w:themeColor="text1"/>
                <w:kern w:val="0"/>
                <w:szCs w:val="21"/>
              </w:rPr>
            </w:pPr>
            <w:r w:rsidRPr="00531C33">
              <w:rPr>
                <w:color w:val="000000" w:themeColor="text1"/>
                <w:kern w:val="0"/>
                <w:szCs w:val="21"/>
              </w:rPr>
              <w:t>2.</w:t>
            </w:r>
            <w:r w:rsidRPr="00531C33">
              <w:rPr>
                <w:color w:val="000000" w:themeColor="text1"/>
                <w:kern w:val="0"/>
                <w:szCs w:val="21"/>
              </w:rPr>
              <w:t>本期利润</w:t>
            </w:r>
          </w:p>
        </w:tc>
        <w:tc>
          <w:tcPr>
            <w:tcW w:w="2835" w:type="dxa"/>
            <w:vAlign w:val="center"/>
          </w:tcPr>
          <w:p w:rsidR="00E8309D" w:rsidRPr="00531C33" w:rsidRDefault="00E8309D" w:rsidP="007C4D2C">
            <w:pPr>
              <w:adjustRightInd w:val="0"/>
              <w:spacing w:before="29" w:line="360" w:lineRule="auto"/>
              <w:ind w:left="17"/>
              <w:jc w:val="right"/>
              <w:rPr>
                <w:color w:val="000000" w:themeColor="text1"/>
                <w:szCs w:val="21"/>
              </w:rPr>
            </w:pPr>
            <w:r w:rsidRPr="00531C33">
              <w:rPr>
                <w:color w:val="000000" w:themeColor="text1"/>
                <w:szCs w:val="21"/>
              </w:rPr>
              <w:t>5,176,422.44</w:t>
            </w:r>
          </w:p>
        </w:tc>
        <w:tc>
          <w:tcPr>
            <w:tcW w:w="2835" w:type="dxa"/>
            <w:vAlign w:val="center"/>
          </w:tcPr>
          <w:p w:rsidR="00E8309D" w:rsidRPr="00531C33" w:rsidRDefault="00E8309D" w:rsidP="007C4D2C">
            <w:pPr>
              <w:adjustRightInd w:val="0"/>
              <w:spacing w:before="29" w:line="360" w:lineRule="auto"/>
              <w:ind w:left="17"/>
              <w:jc w:val="right"/>
              <w:rPr>
                <w:color w:val="000000" w:themeColor="text1"/>
                <w:szCs w:val="21"/>
              </w:rPr>
            </w:pPr>
            <w:r w:rsidRPr="00531C33">
              <w:rPr>
                <w:color w:val="000000" w:themeColor="text1"/>
                <w:szCs w:val="21"/>
              </w:rPr>
              <w:t>106,562,405.75</w:t>
            </w:r>
          </w:p>
        </w:tc>
      </w:tr>
      <w:tr w:rsidR="00221340" w:rsidRPr="00531C33" w:rsidTr="00F36F0A">
        <w:tc>
          <w:tcPr>
            <w:tcW w:w="3402" w:type="dxa"/>
            <w:vAlign w:val="center"/>
          </w:tcPr>
          <w:p w:rsidR="00E8309D" w:rsidRPr="00531C33" w:rsidRDefault="00E8309D" w:rsidP="000C5A36">
            <w:pPr>
              <w:adjustRightInd w:val="0"/>
              <w:spacing w:before="29" w:line="360" w:lineRule="auto"/>
              <w:ind w:left="17"/>
              <w:rPr>
                <w:color w:val="000000" w:themeColor="text1"/>
                <w:kern w:val="0"/>
                <w:szCs w:val="21"/>
              </w:rPr>
            </w:pPr>
            <w:r w:rsidRPr="00531C33">
              <w:rPr>
                <w:color w:val="000000" w:themeColor="text1"/>
                <w:kern w:val="0"/>
                <w:szCs w:val="21"/>
              </w:rPr>
              <w:t>3.</w:t>
            </w:r>
            <w:r w:rsidRPr="00531C33">
              <w:rPr>
                <w:color w:val="000000" w:themeColor="text1"/>
                <w:kern w:val="0"/>
                <w:szCs w:val="21"/>
              </w:rPr>
              <w:t>期末基金资产净值</w:t>
            </w:r>
          </w:p>
        </w:tc>
        <w:tc>
          <w:tcPr>
            <w:tcW w:w="2835" w:type="dxa"/>
            <w:vAlign w:val="center"/>
          </w:tcPr>
          <w:p w:rsidR="00E8309D" w:rsidRPr="00531C33" w:rsidRDefault="00E8309D" w:rsidP="007C4D2C">
            <w:pPr>
              <w:adjustRightInd w:val="0"/>
              <w:spacing w:before="29" w:line="360" w:lineRule="auto"/>
              <w:ind w:left="17"/>
              <w:jc w:val="right"/>
              <w:rPr>
                <w:color w:val="000000" w:themeColor="text1"/>
                <w:szCs w:val="21"/>
              </w:rPr>
            </w:pPr>
            <w:r w:rsidRPr="00531C33">
              <w:rPr>
                <w:color w:val="000000" w:themeColor="text1"/>
                <w:szCs w:val="21"/>
              </w:rPr>
              <w:t>735,629,682.61</w:t>
            </w:r>
          </w:p>
        </w:tc>
        <w:tc>
          <w:tcPr>
            <w:tcW w:w="2835" w:type="dxa"/>
            <w:vAlign w:val="center"/>
          </w:tcPr>
          <w:p w:rsidR="00E8309D" w:rsidRPr="00531C33" w:rsidRDefault="00E8309D" w:rsidP="007C4D2C">
            <w:pPr>
              <w:adjustRightInd w:val="0"/>
              <w:spacing w:before="29" w:line="360" w:lineRule="auto"/>
              <w:ind w:left="17"/>
              <w:jc w:val="right"/>
              <w:rPr>
                <w:color w:val="000000" w:themeColor="text1"/>
                <w:szCs w:val="21"/>
              </w:rPr>
            </w:pPr>
            <w:r w:rsidRPr="00531C33">
              <w:rPr>
                <w:color w:val="000000" w:themeColor="text1"/>
                <w:szCs w:val="21"/>
              </w:rPr>
              <w:t>14,326,214,255.08</w:t>
            </w:r>
          </w:p>
        </w:tc>
      </w:tr>
    </w:tbl>
    <w:p w:rsidR="008C3724" w:rsidRDefault="00D9195D">
      <w:pPr>
        <w:pStyle w:val="10"/>
        <w:spacing w:line="360" w:lineRule="auto"/>
        <w:ind w:firstLine="420"/>
        <w:jc w:val="left"/>
        <w:rPr>
          <w:szCs w:val="21"/>
        </w:rPr>
      </w:pPr>
      <w:r>
        <w:rPr>
          <w:szCs w:val="21"/>
        </w:rPr>
        <w:t>注：</w:t>
      </w:r>
      <w:r>
        <w:rPr>
          <w:szCs w:val="21"/>
        </w:rPr>
        <w:t>①</w:t>
      </w:r>
      <w:r>
        <w:rPr>
          <w:szCs w:val="21"/>
        </w:rPr>
        <w:t>本基金无持有人认购或交易基金的各项费用。</w:t>
      </w:r>
    </w:p>
    <w:p w:rsidR="008C3724" w:rsidRDefault="00D9195D">
      <w:pPr>
        <w:pStyle w:val="10"/>
        <w:spacing w:line="360" w:lineRule="auto"/>
        <w:ind w:firstLine="420"/>
        <w:jc w:val="left"/>
        <w:rPr>
          <w:szCs w:val="21"/>
        </w:rPr>
      </w:pPr>
      <w:r>
        <w:rPr>
          <w:szCs w:val="21"/>
        </w:rPr>
        <w:t>②</w:t>
      </w:r>
      <w:r>
        <w:rPr>
          <w:szCs w:val="21"/>
        </w:rPr>
        <w:t>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R="00902E3F" w:rsidRPr="00531C33" w:rsidRDefault="00893021" w:rsidP="00ED7E07">
      <w:pPr>
        <w:pStyle w:val="10"/>
        <w:spacing w:line="360" w:lineRule="auto"/>
        <w:ind w:firstLine="420"/>
        <w:jc w:val="left"/>
        <w:rPr>
          <w:szCs w:val="21"/>
        </w:rPr>
      </w:pPr>
      <w:r w:rsidRPr="00531C33">
        <w:rPr>
          <w:szCs w:val="21"/>
        </w:rPr>
        <w:t>③</w:t>
      </w:r>
      <w:r w:rsidRPr="00531C33">
        <w:rPr>
          <w:szCs w:val="21"/>
        </w:rPr>
        <w:t>本基金每日计算当日收益并分配，并在运作期期末集中支付。</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3.2 </w:t>
      </w:r>
      <w:r w:rsidRPr="00531C33">
        <w:rPr>
          <w:b w:val="0"/>
          <w:sz w:val="21"/>
          <w:szCs w:val="21"/>
        </w:rPr>
        <w:t>基金净值表现</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3.2.1 </w:t>
      </w:r>
      <w:r w:rsidRPr="00531C33">
        <w:rPr>
          <w:b w:val="0"/>
          <w:sz w:val="21"/>
          <w:szCs w:val="21"/>
        </w:rPr>
        <w:t>本报告期基金份额净值收益率及其与同期业绩比较基准收益率的比较</w:t>
      </w:r>
    </w:p>
    <w:p w:rsidR="00DA1983" w:rsidRPr="00531C33" w:rsidRDefault="0024424F" w:rsidP="00DE5371">
      <w:pPr>
        <w:pStyle w:val="3"/>
        <w:spacing w:before="0" w:after="0" w:line="360" w:lineRule="auto"/>
        <w:jc w:val="left"/>
        <w:rPr>
          <w:b w:val="0"/>
          <w:sz w:val="21"/>
          <w:szCs w:val="21"/>
        </w:rPr>
      </w:pPr>
      <w:r w:rsidRPr="00531C33">
        <w:rPr>
          <w:b w:val="0"/>
          <w:sz w:val="21"/>
          <w:szCs w:val="21"/>
        </w:rPr>
        <w:t>华夏理财</w:t>
      </w:r>
      <w:r w:rsidRPr="00531C33">
        <w:rPr>
          <w:b w:val="0"/>
          <w:sz w:val="21"/>
          <w:szCs w:val="21"/>
        </w:rPr>
        <w:t>30</w:t>
      </w:r>
      <w:r w:rsidRPr="00531C33">
        <w:rPr>
          <w:b w:val="0"/>
          <w:sz w:val="21"/>
          <w:szCs w:val="21"/>
        </w:rPr>
        <w:t>天债券</w:t>
      </w:r>
      <w:r w:rsidRPr="00531C33">
        <w:rPr>
          <w:b w:val="0"/>
          <w:sz w:val="21"/>
          <w:szCs w:val="21"/>
        </w:rPr>
        <w:t>A:</w:t>
      </w:r>
    </w:p>
    <w:tbl>
      <w:tblPr>
        <w:tblStyle w:val="aa"/>
        <w:tblW w:w="0" w:type="auto"/>
        <w:tblInd w:w="108" w:type="dxa"/>
        <w:tblLayout w:type="fixed"/>
        <w:tblLook w:val="04A0"/>
      </w:tblPr>
      <w:tblGrid>
        <w:gridCol w:w="1418"/>
        <w:gridCol w:w="1131"/>
        <w:gridCol w:w="1329"/>
        <w:gridCol w:w="1329"/>
        <w:gridCol w:w="1329"/>
        <w:gridCol w:w="1329"/>
        <w:gridCol w:w="1207"/>
      </w:tblGrid>
      <w:tr w:rsidR="00221340" w:rsidRPr="00531C33" w:rsidTr="00F36F0A">
        <w:tc>
          <w:tcPr>
            <w:tcW w:w="1418" w:type="dxa"/>
            <w:vAlign w:val="center"/>
          </w:tcPr>
          <w:p w:rsidR="008B23BD" w:rsidRPr="00531C33" w:rsidRDefault="008B23BD"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阶段</w:t>
            </w:r>
          </w:p>
        </w:tc>
        <w:tc>
          <w:tcPr>
            <w:tcW w:w="1131" w:type="dxa"/>
            <w:vAlign w:val="center"/>
          </w:tcPr>
          <w:p w:rsidR="008B23BD" w:rsidRPr="00531C33" w:rsidRDefault="008B23BD"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净值收益率</w:t>
            </w:r>
            <w:r w:rsidRPr="00531C33">
              <w:rPr>
                <w:rFonts w:cs="宋体" w:hint="eastAsia"/>
                <w:color w:val="000000" w:themeColor="text1"/>
                <w:sz w:val="21"/>
                <w:szCs w:val="21"/>
              </w:rPr>
              <w:t>①</w:t>
            </w:r>
          </w:p>
        </w:tc>
        <w:tc>
          <w:tcPr>
            <w:tcW w:w="1329" w:type="dxa"/>
            <w:vAlign w:val="center"/>
          </w:tcPr>
          <w:p w:rsidR="008B23BD" w:rsidRPr="00531C33" w:rsidRDefault="008B23BD"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净值收益率标准差</w:t>
            </w:r>
            <w:r w:rsidRPr="00531C33">
              <w:rPr>
                <w:rFonts w:cs="宋体" w:hint="eastAsia"/>
                <w:color w:val="000000" w:themeColor="text1"/>
                <w:sz w:val="21"/>
                <w:szCs w:val="21"/>
              </w:rPr>
              <w:t>②</w:t>
            </w:r>
          </w:p>
        </w:tc>
        <w:tc>
          <w:tcPr>
            <w:tcW w:w="1329" w:type="dxa"/>
            <w:vAlign w:val="center"/>
          </w:tcPr>
          <w:p w:rsidR="008B23BD" w:rsidRPr="00531C33" w:rsidRDefault="008B23BD"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业绩比较基准收益率</w:t>
            </w:r>
            <w:r w:rsidRPr="00531C33">
              <w:rPr>
                <w:rFonts w:cs="宋体" w:hint="eastAsia"/>
                <w:color w:val="000000" w:themeColor="text1"/>
                <w:sz w:val="21"/>
                <w:szCs w:val="21"/>
              </w:rPr>
              <w:t>③</w:t>
            </w:r>
          </w:p>
        </w:tc>
        <w:tc>
          <w:tcPr>
            <w:tcW w:w="1329" w:type="dxa"/>
            <w:vAlign w:val="center"/>
          </w:tcPr>
          <w:p w:rsidR="008B23BD" w:rsidRPr="00531C33" w:rsidRDefault="008B23BD"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业绩比较基准收益率标准差</w:t>
            </w:r>
            <w:r w:rsidRPr="00531C33">
              <w:rPr>
                <w:rFonts w:cs="宋体" w:hint="eastAsia"/>
                <w:color w:val="000000" w:themeColor="text1"/>
                <w:sz w:val="21"/>
                <w:szCs w:val="21"/>
              </w:rPr>
              <w:t>④</w:t>
            </w:r>
          </w:p>
        </w:tc>
        <w:tc>
          <w:tcPr>
            <w:tcW w:w="1329" w:type="dxa"/>
            <w:vAlign w:val="center"/>
          </w:tcPr>
          <w:p w:rsidR="008B23BD" w:rsidRPr="00531C33" w:rsidRDefault="008B23BD"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cs="宋体" w:hint="eastAsia"/>
                <w:color w:val="000000" w:themeColor="text1"/>
                <w:sz w:val="21"/>
                <w:szCs w:val="21"/>
              </w:rPr>
              <w:t>①</w:t>
            </w:r>
            <w:r w:rsidRPr="00531C33">
              <w:rPr>
                <w:rFonts w:ascii="Times New Roman" w:hAnsi="Times New Roman"/>
                <w:color w:val="000000" w:themeColor="text1"/>
                <w:sz w:val="21"/>
                <w:szCs w:val="21"/>
              </w:rPr>
              <w:t>-</w:t>
            </w:r>
            <w:r w:rsidRPr="00531C33">
              <w:rPr>
                <w:rFonts w:cs="宋体" w:hint="eastAsia"/>
                <w:color w:val="000000" w:themeColor="text1"/>
                <w:sz w:val="21"/>
                <w:szCs w:val="21"/>
              </w:rPr>
              <w:t>③</w:t>
            </w:r>
          </w:p>
        </w:tc>
        <w:tc>
          <w:tcPr>
            <w:tcW w:w="1207" w:type="dxa"/>
            <w:vAlign w:val="center"/>
          </w:tcPr>
          <w:p w:rsidR="008B23BD" w:rsidRPr="00531C33" w:rsidRDefault="008B23BD"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cs="宋体" w:hint="eastAsia"/>
                <w:color w:val="000000" w:themeColor="text1"/>
                <w:sz w:val="21"/>
                <w:szCs w:val="21"/>
              </w:rPr>
              <w:t>②</w:t>
            </w:r>
            <w:r w:rsidRPr="00531C33">
              <w:rPr>
                <w:rFonts w:ascii="Times New Roman" w:hAnsi="Times New Roman"/>
                <w:color w:val="000000" w:themeColor="text1"/>
                <w:sz w:val="21"/>
                <w:szCs w:val="21"/>
              </w:rPr>
              <w:t>-</w:t>
            </w:r>
            <w:r w:rsidRPr="00531C33">
              <w:rPr>
                <w:rFonts w:cs="宋体" w:hint="eastAsia"/>
                <w:color w:val="000000" w:themeColor="text1"/>
                <w:sz w:val="21"/>
                <w:szCs w:val="21"/>
              </w:rPr>
              <w:t>④</w:t>
            </w:r>
          </w:p>
        </w:tc>
      </w:tr>
      <w:tr w:rsidR="008C3724">
        <w:tc>
          <w:tcPr>
            <w:tcW w:w="1418" w:type="dxa"/>
            <w:vAlign w:val="center"/>
          </w:tcPr>
          <w:p w:rsidR="008C3724" w:rsidRDefault="00D9195D">
            <w:pPr>
              <w:jc w:val="left"/>
            </w:pPr>
            <w:r>
              <w:rPr>
                <w:color w:val="000000" w:themeColor="text1"/>
                <w:kern w:val="0"/>
                <w:szCs w:val="21"/>
              </w:rPr>
              <w:t>过去三个月</w:t>
            </w:r>
          </w:p>
        </w:tc>
        <w:tc>
          <w:tcPr>
            <w:tcW w:w="1131" w:type="dxa"/>
            <w:vAlign w:val="center"/>
          </w:tcPr>
          <w:p w:rsidR="008C3724" w:rsidRDefault="00D9195D">
            <w:pPr>
              <w:jc w:val="right"/>
            </w:pPr>
            <w:r>
              <w:rPr>
                <w:color w:val="000000" w:themeColor="text1"/>
                <w:kern w:val="0"/>
                <w:szCs w:val="21"/>
              </w:rPr>
              <w:t>0.6433%</w:t>
            </w:r>
          </w:p>
        </w:tc>
        <w:tc>
          <w:tcPr>
            <w:tcW w:w="1329" w:type="dxa"/>
            <w:vAlign w:val="center"/>
          </w:tcPr>
          <w:p w:rsidR="008C3724" w:rsidRDefault="00D9195D">
            <w:pPr>
              <w:jc w:val="right"/>
            </w:pPr>
            <w:r>
              <w:rPr>
                <w:color w:val="000000" w:themeColor="text1"/>
                <w:kern w:val="0"/>
                <w:szCs w:val="21"/>
              </w:rPr>
              <w:t>0.0026%</w:t>
            </w:r>
          </w:p>
        </w:tc>
        <w:tc>
          <w:tcPr>
            <w:tcW w:w="1329" w:type="dxa"/>
            <w:vAlign w:val="center"/>
          </w:tcPr>
          <w:p w:rsidR="008C3724" w:rsidRDefault="00D9195D">
            <w:pPr>
              <w:jc w:val="right"/>
            </w:pPr>
            <w:r>
              <w:rPr>
                <w:color w:val="000000" w:themeColor="text1"/>
                <w:kern w:val="0"/>
                <w:szCs w:val="21"/>
              </w:rPr>
              <w:t>0.3403%</w:t>
            </w:r>
          </w:p>
        </w:tc>
        <w:tc>
          <w:tcPr>
            <w:tcW w:w="1329" w:type="dxa"/>
            <w:vAlign w:val="center"/>
          </w:tcPr>
          <w:p w:rsidR="008C3724" w:rsidRDefault="00D9195D">
            <w:pPr>
              <w:jc w:val="right"/>
            </w:pPr>
            <w:r>
              <w:rPr>
                <w:color w:val="000000" w:themeColor="text1"/>
                <w:kern w:val="0"/>
                <w:szCs w:val="21"/>
              </w:rPr>
              <w:t>0.0000%</w:t>
            </w:r>
          </w:p>
        </w:tc>
        <w:tc>
          <w:tcPr>
            <w:tcW w:w="1329" w:type="dxa"/>
            <w:vAlign w:val="center"/>
          </w:tcPr>
          <w:p w:rsidR="008C3724" w:rsidRDefault="00D9195D">
            <w:pPr>
              <w:jc w:val="right"/>
            </w:pPr>
            <w:r>
              <w:rPr>
                <w:color w:val="000000" w:themeColor="text1"/>
                <w:kern w:val="0"/>
                <w:szCs w:val="21"/>
              </w:rPr>
              <w:t>0.3030%</w:t>
            </w:r>
          </w:p>
        </w:tc>
        <w:tc>
          <w:tcPr>
            <w:tcW w:w="1207" w:type="dxa"/>
            <w:vAlign w:val="center"/>
          </w:tcPr>
          <w:p w:rsidR="008C3724" w:rsidRDefault="00D9195D">
            <w:pPr>
              <w:jc w:val="right"/>
            </w:pPr>
            <w:r>
              <w:rPr>
                <w:color w:val="000000" w:themeColor="text1"/>
                <w:kern w:val="0"/>
                <w:szCs w:val="21"/>
              </w:rPr>
              <w:t>0.0026%</w:t>
            </w:r>
          </w:p>
        </w:tc>
      </w:tr>
    </w:tbl>
    <w:p w:rsidR="00186667" w:rsidRPr="00531C33" w:rsidRDefault="000B2044" w:rsidP="00DE5371">
      <w:pPr>
        <w:pStyle w:val="3"/>
        <w:spacing w:before="0" w:after="0" w:line="360" w:lineRule="auto"/>
        <w:jc w:val="left"/>
        <w:rPr>
          <w:b w:val="0"/>
          <w:sz w:val="21"/>
          <w:szCs w:val="21"/>
        </w:rPr>
      </w:pPr>
      <w:r w:rsidRPr="00531C33">
        <w:rPr>
          <w:b w:val="0"/>
          <w:sz w:val="21"/>
          <w:szCs w:val="21"/>
        </w:rPr>
        <w:t>华夏理财</w:t>
      </w:r>
      <w:r w:rsidRPr="00531C33">
        <w:rPr>
          <w:b w:val="0"/>
          <w:sz w:val="21"/>
          <w:szCs w:val="21"/>
        </w:rPr>
        <w:t>30</w:t>
      </w:r>
      <w:r w:rsidRPr="00531C33">
        <w:rPr>
          <w:b w:val="0"/>
          <w:sz w:val="21"/>
          <w:szCs w:val="21"/>
        </w:rPr>
        <w:t>天债券</w:t>
      </w:r>
      <w:r w:rsidRPr="00531C33">
        <w:rPr>
          <w:b w:val="0"/>
          <w:sz w:val="21"/>
          <w:szCs w:val="21"/>
        </w:rPr>
        <w:t>B</w:t>
      </w:r>
      <w:r w:rsidRPr="00531C33">
        <w:rPr>
          <w:b w:val="0"/>
          <w:sz w:val="21"/>
          <w:szCs w:val="21"/>
        </w:rPr>
        <w:t>：</w:t>
      </w:r>
    </w:p>
    <w:tbl>
      <w:tblPr>
        <w:tblStyle w:val="aa"/>
        <w:tblW w:w="0" w:type="auto"/>
        <w:tblInd w:w="108" w:type="dxa"/>
        <w:tblLayout w:type="fixed"/>
        <w:tblLook w:val="04A0"/>
      </w:tblPr>
      <w:tblGrid>
        <w:gridCol w:w="1418"/>
        <w:gridCol w:w="1131"/>
        <w:gridCol w:w="1329"/>
        <w:gridCol w:w="1329"/>
        <w:gridCol w:w="1329"/>
        <w:gridCol w:w="1329"/>
        <w:gridCol w:w="1207"/>
      </w:tblGrid>
      <w:tr w:rsidR="00221340" w:rsidRPr="00531C33" w:rsidTr="00832F10">
        <w:tc>
          <w:tcPr>
            <w:tcW w:w="1418" w:type="dxa"/>
            <w:vAlign w:val="center"/>
          </w:tcPr>
          <w:p w:rsidR="00113777" w:rsidRPr="00531C33" w:rsidRDefault="00113777"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阶段</w:t>
            </w:r>
          </w:p>
        </w:tc>
        <w:tc>
          <w:tcPr>
            <w:tcW w:w="1131" w:type="dxa"/>
            <w:vAlign w:val="center"/>
          </w:tcPr>
          <w:p w:rsidR="00113777" w:rsidRPr="00531C33" w:rsidRDefault="00113777"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净值收益率</w:t>
            </w:r>
            <w:r w:rsidRPr="00531C33">
              <w:rPr>
                <w:rFonts w:cs="宋体" w:hint="eastAsia"/>
                <w:color w:val="000000" w:themeColor="text1"/>
                <w:sz w:val="21"/>
                <w:szCs w:val="21"/>
              </w:rPr>
              <w:t>①</w:t>
            </w:r>
          </w:p>
        </w:tc>
        <w:tc>
          <w:tcPr>
            <w:tcW w:w="1329" w:type="dxa"/>
            <w:vAlign w:val="center"/>
          </w:tcPr>
          <w:p w:rsidR="00113777" w:rsidRPr="00531C33" w:rsidRDefault="00113777"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净值收益率标准差</w:t>
            </w:r>
            <w:r w:rsidRPr="00531C33">
              <w:rPr>
                <w:rFonts w:cs="宋体" w:hint="eastAsia"/>
                <w:color w:val="000000" w:themeColor="text1"/>
                <w:sz w:val="21"/>
                <w:szCs w:val="21"/>
              </w:rPr>
              <w:t>②</w:t>
            </w:r>
          </w:p>
        </w:tc>
        <w:tc>
          <w:tcPr>
            <w:tcW w:w="1329" w:type="dxa"/>
            <w:vAlign w:val="center"/>
          </w:tcPr>
          <w:p w:rsidR="00113777" w:rsidRPr="00531C33" w:rsidRDefault="00113777"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业绩比较基准收益率</w:t>
            </w:r>
            <w:r w:rsidRPr="00531C33">
              <w:rPr>
                <w:rFonts w:cs="宋体" w:hint="eastAsia"/>
                <w:color w:val="000000" w:themeColor="text1"/>
                <w:sz w:val="21"/>
                <w:szCs w:val="21"/>
              </w:rPr>
              <w:t>③</w:t>
            </w:r>
          </w:p>
        </w:tc>
        <w:tc>
          <w:tcPr>
            <w:tcW w:w="1329" w:type="dxa"/>
            <w:vAlign w:val="center"/>
          </w:tcPr>
          <w:p w:rsidR="00113777" w:rsidRPr="00531C33" w:rsidRDefault="00113777"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ascii="Times New Roman" w:hAnsi="Times New Roman"/>
                <w:color w:val="000000" w:themeColor="text1"/>
                <w:sz w:val="21"/>
                <w:szCs w:val="21"/>
              </w:rPr>
              <w:t>业绩比较基准收益率标准差</w:t>
            </w:r>
            <w:r w:rsidRPr="00531C33">
              <w:rPr>
                <w:rFonts w:cs="宋体" w:hint="eastAsia"/>
                <w:color w:val="000000" w:themeColor="text1"/>
                <w:sz w:val="21"/>
                <w:szCs w:val="21"/>
              </w:rPr>
              <w:t>④</w:t>
            </w:r>
          </w:p>
        </w:tc>
        <w:tc>
          <w:tcPr>
            <w:tcW w:w="1329" w:type="dxa"/>
            <w:vAlign w:val="center"/>
          </w:tcPr>
          <w:p w:rsidR="00113777" w:rsidRPr="00531C33" w:rsidRDefault="00113777"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cs="宋体" w:hint="eastAsia"/>
                <w:color w:val="000000" w:themeColor="text1"/>
                <w:sz w:val="21"/>
                <w:szCs w:val="21"/>
              </w:rPr>
              <w:t>①</w:t>
            </w:r>
            <w:r w:rsidRPr="00531C33">
              <w:rPr>
                <w:rFonts w:ascii="Times New Roman" w:hAnsi="Times New Roman"/>
                <w:color w:val="000000" w:themeColor="text1"/>
                <w:sz w:val="21"/>
                <w:szCs w:val="21"/>
              </w:rPr>
              <w:t>-</w:t>
            </w:r>
            <w:r w:rsidRPr="00531C33">
              <w:rPr>
                <w:rFonts w:cs="宋体" w:hint="eastAsia"/>
                <w:color w:val="000000" w:themeColor="text1"/>
                <w:sz w:val="21"/>
                <w:szCs w:val="21"/>
              </w:rPr>
              <w:t>③</w:t>
            </w:r>
          </w:p>
        </w:tc>
        <w:tc>
          <w:tcPr>
            <w:tcW w:w="1207" w:type="dxa"/>
            <w:vAlign w:val="center"/>
          </w:tcPr>
          <w:p w:rsidR="00113777" w:rsidRPr="00531C33" w:rsidRDefault="00113777" w:rsidP="00196812">
            <w:pPr>
              <w:pStyle w:val="ab"/>
              <w:adjustRightInd w:val="0"/>
              <w:snapToGrid w:val="0"/>
              <w:spacing w:before="0" w:beforeAutospacing="0" w:after="0" w:afterAutospacing="0" w:line="360" w:lineRule="auto"/>
              <w:jc w:val="center"/>
              <w:rPr>
                <w:rFonts w:ascii="Times New Roman" w:hAnsi="Times New Roman"/>
                <w:color w:val="000000" w:themeColor="text1"/>
                <w:sz w:val="21"/>
                <w:szCs w:val="21"/>
              </w:rPr>
            </w:pPr>
            <w:r w:rsidRPr="00531C33">
              <w:rPr>
                <w:rFonts w:cs="宋体" w:hint="eastAsia"/>
                <w:color w:val="000000" w:themeColor="text1"/>
                <w:sz w:val="21"/>
                <w:szCs w:val="21"/>
              </w:rPr>
              <w:t>②</w:t>
            </w:r>
            <w:r w:rsidRPr="00531C33">
              <w:rPr>
                <w:rFonts w:ascii="Times New Roman" w:hAnsi="Times New Roman"/>
                <w:color w:val="000000" w:themeColor="text1"/>
                <w:sz w:val="21"/>
                <w:szCs w:val="21"/>
              </w:rPr>
              <w:t>-</w:t>
            </w:r>
            <w:r w:rsidRPr="00531C33">
              <w:rPr>
                <w:rFonts w:cs="宋体" w:hint="eastAsia"/>
                <w:color w:val="000000" w:themeColor="text1"/>
                <w:sz w:val="21"/>
                <w:szCs w:val="21"/>
              </w:rPr>
              <w:t>④</w:t>
            </w:r>
          </w:p>
        </w:tc>
      </w:tr>
      <w:tr w:rsidR="008C3724">
        <w:tc>
          <w:tcPr>
            <w:tcW w:w="1418" w:type="dxa"/>
            <w:vAlign w:val="center"/>
          </w:tcPr>
          <w:p w:rsidR="008C3724" w:rsidRDefault="00D9195D">
            <w:pPr>
              <w:jc w:val="left"/>
            </w:pPr>
            <w:r>
              <w:rPr>
                <w:color w:val="000000" w:themeColor="text1"/>
                <w:kern w:val="0"/>
                <w:szCs w:val="21"/>
              </w:rPr>
              <w:t>过去三个月</w:t>
            </w:r>
          </w:p>
        </w:tc>
        <w:tc>
          <w:tcPr>
            <w:tcW w:w="1131" w:type="dxa"/>
            <w:vAlign w:val="center"/>
          </w:tcPr>
          <w:p w:rsidR="008C3724" w:rsidRDefault="00D9195D">
            <w:pPr>
              <w:jc w:val="right"/>
            </w:pPr>
            <w:r>
              <w:rPr>
                <w:color w:val="000000" w:themeColor="text1"/>
                <w:kern w:val="0"/>
                <w:szCs w:val="21"/>
              </w:rPr>
              <w:t>0.7042%</w:t>
            </w:r>
          </w:p>
        </w:tc>
        <w:tc>
          <w:tcPr>
            <w:tcW w:w="1329" w:type="dxa"/>
            <w:vAlign w:val="center"/>
          </w:tcPr>
          <w:p w:rsidR="008C3724" w:rsidRDefault="00D9195D">
            <w:pPr>
              <w:jc w:val="right"/>
            </w:pPr>
            <w:r>
              <w:rPr>
                <w:color w:val="000000" w:themeColor="text1"/>
                <w:kern w:val="0"/>
                <w:szCs w:val="21"/>
              </w:rPr>
              <w:t>0.0026%</w:t>
            </w:r>
          </w:p>
        </w:tc>
        <w:tc>
          <w:tcPr>
            <w:tcW w:w="1329" w:type="dxa"/>
            <w:vAlign w:val="center"/>
          </w:tcPr>
          <w:p w:rsidR="008C3724" w:rsidRDefault="00D9195D">
            <w:pPr>
              <w:jc w:val="right"/>
            </w:pPr>
            <w:r>
              <w:rPr>
                <w:color w:val="000000" w:themeColor="text1"/>
                <w:kern w:val="0"/>
                <w:szCs w:val="21"/>
              </w:rPr>
              <w:t>0.3403%</w:t>
            </w:r>
          </w:p>
        </w:tc>
        <w:tc>
          <w:tcPr>
            <w:tcW w:w="1329" w:type="dxa"/>
            <w:vAlign w:val="center"/>
          </w:tcPr>
          <w:p w:rsidR="008C3724" w:rsidRDefault="00D9195D">
            <w:pPr>
              <w:jc w:val="right"/>
            </w:pPr>
            <w:r>
              <w:rPr>
                <w:color w:val="000000" w:themeColor="text1"/>
                <w:kern w:val="0"/>
                <w:szCs w:val="21"/>
              </w:rPr>
              <w:t>0.0000%</w:t>
            </w:r>
          </w:p>
        </w:tc>
        <w:tc>
          <w:tcPr>
            <w:tcW w:w="1329" w:type="dxa"/>
            <w:vAlign w:val="center"/>
          </w:tcPr>
          <w:p w:rsidR="008C3724" w:rsidRDefault="00D9195D">
            <w:pPr>
              <w:jc w:val="right"/>
            </w:pPr>
            <w:r>
              <w:rPr>
                <w:color w:val="000000" w:themeColor="text1"/>
                <w:kern w:val="0"/>
                <w:szCs w:val="21"/>
              </w:rPr>
              <w:t>0.3639%</w:t>
            </w:r>
          </w:p>
        </w:tc>
        <w:tc>
          <w:tcPr>
            <w:tcW w:w="1207" w:type="dxa"/>
            <w:vAlign w:val="center"/>
          </w:tcPr>
          <w:p w:rsidR="008C3724" w:rsidRDefault="00D9195D">
            <w:pPr>
              <w:jc w:val="right"/>
            </w:pPr>
            <w:r>
              <w:rPr>
                <w:color w:val="000000" w:themeColor="text1"/>
                <w:kern w:val="0"/>
                <w:szCs w:val="21"/>
              </w:rPr>
              <w:t>0.0026%</w:t>
            </w:r>
          </w:p>
        </w:tc>
      </w:tr>
    </w:tbl>
    <w:p w:rsidR="00902E3F" w:rsidRPr="00531C33" w:rsidRDefault="00902E3F" w:rsidP="00DE5371">
      <w:pPr>
        <w:pStyle w:val="3"/>
        <w:spacing w:before="0" w:after="0" w:line="360" w:lineRule="auto"/>
        <w:jc w:val="left"/>
        <w:rPr>
          <w:b w:val="0"/>
          <w:sz w:val="21"/>
          <w:szCs w:val="21"/>
        </w:rPr>
      </w:pPr>
      <w:r w:rsidRPr="00531C33">
        <w:rPr>
          <w:b w:val="0"/>
          <w:sz w:val="21"/>
          <w:szCs w:val="21"/>
        </w:rPr>
        <w:t>3.2.2</w:t>
      </w:r>
      <w:r w:rsidR="00582A58" w:rsidRPr="00531C33">
        <w:rPr>
          <w:b w:val="0"/>
          <w:sz w:val="21"/>
          <w:szCs w:val="21"/>
        </w:rPr>
        <w:t>自基金合同生效以来</w:t>
      </w:r>
      <w:r w:rsidRPr="00531C33">
        <w:rPr>
          <w:b w:val="0"/>
          <w:sz w:val="21"/>
          <w:szCs w:val="21"/>
        </w:rPr>
        <w:t>基金累计净值收益率变动及其与同期业绩比较基准收益率变动的比较</w:t>
      </w:r>
    </w:p>
    <w:p w:rsidR="00E63B3D" w:rsidRPr="00531C33" w:rsidRDefault="00E63B3D" w:rsidP="007C4D2C">
      <w:pPr>
        <w:pStyle w:val="31"/>
        <w:spacing w:line="360" w:lineRule="auto"/>
        <w:jc w:val="center"/>
        <w:rPr>
          <w:kern w:val="0"/>
          <w:szCs w:val="21"/>
        </w:rPr>
      </w:pPr>
      <w:r w:rsidRPr="00531C33">
        <w:rPr>
          <w:kern w:val="0"/>
          <w:szCs w:val="21"/>
        </w:rPr>
        <w:t>华夏理财</w:t>
      </w:r>
      <w:r w:rsidRPr="00531C33">
        <w:rPr>
          <w:kern w:val="0"/>
          <w:szCs w:val="21"/>
        </w:rPr>
        <w:t>30</w:t>
      </w:r>
      <w:r w:rsidRPr="00531C33">
        <w:rPr>
          <w:kern w:val="0"/>
          <w:szCs w:val="21"/>
        </w:rPr>
        <w:t>天债券型证券投资基金</w:t>
      </w:r>
    </w:p>
    <w:p w:rsidR="00E63B3D" w:rsidRPr="00531C33" w:rsidRDefault="00E63B3D" w:rsidP="007C4D2C">
      <w:pPr>
        <w:pStyle w:val="31"/>
        <w:spacing w:line="360" w:lineRule="auto"/>
        <w:jc w:val="center"/>
        <w:rPr>
          <w:kern w:val="0"/>
          <w:szCs w:val="21"/>
        </w:rPr>
      </w:pPr>
      <w:r w:rsidRPr="00531C33">
        <w:rPr>
          <w:kern w:val="0"/>
          <w:szCs w:val="21"/>
        </w:rPr>
        <w:t>累计净值收益率与业绩比较基准收益率历史走势对比图</w:t>
      </w:r>
    </w:p>
    <w:p w:rsidR="00A7219D" w:rsidRPr="00531C33" w:rsidRDefault="00A7219D" w:rsidP="007C4D2C">
      <w:pPr>
        <w:pStyle w:val="31"/>
        <w:spacing w:line="360" w:lineRule="auto"/>
        <w:jc w:val="center"/>
        <w:rPr>
          <w:kern w:val="0"/>
          <w:szCs w:val="21"/>
        </w:rPr>
      </w:pPr>
      <w:r w:rsidRPr="00531C33">
        <w:rPr>
          <w:kern w:val="0"/>
          <w:szCs w:val="21"/>
        </w:rPr>
        <w:t>(</w:t>
      </w:r>
      <w:r w:rsidR="00D87D00" w:rsidRPr="00531C33">
        <w:rPr>
          <w:kern w:val="0"/>
          <w:szCs w:val="21"/>
        </w:rPr>
        <w:t>2012</w:t>
      </w:r>
      <w:r w:rsidR="00D87D00" w:rsidRPr="00531C33">
        <w:rPr>
          <w:kern w:val="0"/>
          <w:szCs w:val="21"/>
        </w:rPr>
        <w:t>年</w:t>
      </w:r>
      <w:r w:rsidR="00D87D00" w:rsidRPr="00531C33">
        <w:rPr>
          <w:kern w:val="0"/>
          <w:szCs w:val="21"/>
        </w:rPr>
        <w:t>10</w:t>
      </w:r>
      <w:r w:rsidR="00D87D00" w:rsidRPr="00531C33">
        <w:rPr>
          <w:kern w:val="0"/>
          <w:szCs w:val="21"/>
        </w:rPr>
        <w:t>月</w:t>
      </w:r>
      <w:r w:rsidR="00D87D00" w:rsidRPr="00531C33">
        <w:rPr>
          <w:kern w:val="0"/>
          <w:szCs w:val="21"/>
        </w:rPr>
        <w:t>24</w:t>
      </w:r>
      <w:r w:rsidR="00D87D00" w:rsidRPr="00531C33">
        <w:rPr>
          <w:kern w:val="0"/>
          <w:szCs w:val="21"/>
        </w:rPr>
        <w:t>日</w:t>
      </w:r>
      <w:r w:rsidRPr="00531C33">
        <w:rPr>
          <w:kern w:val="0"/>
          <w:szCs w:val="21"/>
        </w:rPr>
        <w:t>至</w:t>
      </w:r>
      <w:r w:rsidRPr="00531C33">
        <w:rPr>
          <w:kern w:val="0"/>
          <w:szCs w:val="21"/>
        </w:rPr>
        <w:t>2019</w:t>
      </w:r>
      <w:r w:rsidRPr="00531C33">
        <w:rPr>
          <w:kern w:val="0"/>
          <w:szCs w:val="21"/>
        </w:rPr>
        <w:t>年</w:t>
      </w:r>
      <w:r w:rsidRPr="00531C33">
        <w:rPr>
          <w:kern w:val="0"/>
          <w:szCs w:val="21"/>
        </w:rPr>
        <w:t>9</w:t>
      </w:r>
      <w:r w:rsidRPr="00531C33">
        <w:rPr>
          <w:kern w:val="0"/>
          <w:szCs w:val="21"/>
        </w:rPr>
        <w:t>月</w:t>
      </w:r>
      <w:r w:rsidRPr="00531C33">
        <w:rPr>
          <w:kern w:val="0"/>
          <w:szCs w:val="21"/>
        </w:rPr>
        <w:t>30</w:t>
      </w:r>
      <w:r w:rsidRPr="00531C33">
        <w:rPr>
          <w:kern w:val="0"/>
          <w:szCs w:val="21"/>
        </w:rPr>
        <w:t>日</w:t>
      </w:r>
      <w:r w:rsidRPr="00531C33">
        <w:rPr>
          <w:kern w:val="0"/>
          <w:szCs w:val="21"/>
        </w:rPr>
        <w:t>)</w:t>
      </w:r>
    </w:p>
    <w:p w:rsidR="00825EA5" w:rsidRPr="00531C33" w:rsidRDefault="00E63B3D" w:rsidP="00DE5371">
      <w:pPr>
        <w:pStyle w:val="3"/>
        <w:spacing w:before="0" w:after="0" w:line="360" w:lineRule="auto"/>
        <w:jc w:val="left"/>
        <w:rPr>
          <w:b w:val="0"/>
          <w:sz w:val="21"/>
          <w:szCs w:val="21"/>
        </w:rPr>
      </w:pPr>
      <w:r w:rsidRPr="00531C33">
        <w:rPr>
          <w:b w:val="0"/>
          <w:sz w:val="21"/>
          <w:szCs w:val="21"/>
        </w:rPr>
        <w:t>华夏理财</w:t>
      </w:r>
      <w:r w:rsidRPr="00531C33">
        <w:rPr>
          <w:b w:val="0"/>
          <w:sz w:val="21"/>
          <w:szCs w:val="21"/>
        </w:rPr>
        <w:t>30</w:t>
      </w:r>
      <w:r w:rsidRPr="00531C33">
        <w:rPr>
          <w:b w:val="0"/>
          <w:sz w:val="21"/>
          <w:szCs w:val="21"/>
        </w:rPr>
        <w:t>天债券</w:t>
      </w:r>
      <w:r w:rsidRPr="00531C33">
        <w:rPr>
          <w:b w:val="0"/>
          <w:sz w:val="21"/>
          <w:szCs w:val="21"/>
        </w:rPr>
        <w:t>A</w:t>
      </w:r>
    </w:p>
    <w:p w:rsidR="00E63B3D" w:rsidRPr="00531C33" w:rsidRDefault="00304E44" w:rsidP="00196812">
      <w:pPr>
        <w:tabs>
          <w:tab w:val="left" w:pos="0"/>
        </w:tabs>
        <w:spacing w:line="360" w:lineRule="auto"/>
        <w:jc w:val="center"/>
        <w:rPr>
          <w:color w:val="000000" w:themeColor="text1"/>
          <w:szCs w:val="21"/>
        </w:rPr>
      </w:pPr>
      <w:r w:rsidRPr="00531C33">
        <w:rPr>
          <w:noProof/>
          <w:color w:val="000000" w:themeColor="text1"/>
          <w:szCs w:val="21"/>
        </w:rPr>
        <w:drawing>
          <wp:inline distT="0" distB="0" distL="0" distR="0">
            <wp:extent cx="5772150" cy="3381375"/>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531C33" w:rsidRDefault="005F668B" w:rsidP="00DE5371">
      <w:pPr>
        <w:pStyle w:val="3"/>
        <w:spacing w:before="0" w:after="0" w:line="360" w:lineRule="auto"/>
        <w:jc w:val="left"/>
        <w:rPr>
          <w:b w:val="0"/>
          <w:sz w:val="21"/>
          <w:szCs w:val="21"/>
        </w:rPr>
      </w:pPr>
      <w:r w:rsidRPr="00531C33">
        <w:rPr>
          <w:b w:val="0"/>
          <w:sz w:val="21"/>
          <w:szCs w:val="21"/>
        </w:rPr>
        <w:t>华夏理财</w:t>
      </w:r>
      <w:r w:rsidRPr="00531C33">
        <w:rPr>
          <w:b w:val="0"/>
          <w:sz w:val="21"/>
          <w:szCs w:val="21"/>
        </w:rPr>
        <w:t>30</w:t>
      </w:r>
      <w:r w:rsidRPr="00531C33">
        <w:rPr>
          <w:b w:val="0"/>
          <w:sz w:val="21"/>
          <w:szCs w:val="21"/>
        </w:rPr>
        <w:t>天债券</w:t>
      </w:r>
      <w:r w:rsidRPr="00531C33">
        <w:rPr>
          <w:b w:val="0"/>
          <w:sz w:val="21"/>
          <w:szCs w:val="21"/>
        </w:rPr>
        <w:t>B</w:t>
      </w:r>
    </w:p>
    <w:p w:rsidR="005F668B" w:rsidRPr="00531C33" w:rsidRDefault="00F45796" w:rsidP="00196812">
      <w:pPr>
        <w:snapToGrid w:val="0"/>
        <w:spacing w:line="360" w:lineRule="auto"/>
        <w:jc w:val="center"/>
        <w:rPr>
          <w:color w:val="000000" w:themeColor="text1"/>
          <w:szCs w:val="21"/>
        </w:rPr>
      </w:pPr>
      <w:r w:rsidRPr="00531C33">
        <w:rPr>
          <w:noProof/>
          <w:color w:val="000000" w:themeColor="text1"/>
          <w:szCs w:val="21"/>
        </w:rPr>
        <w:drawing>
          <wp:inline distT="0" distB="0" distL="0" distR="0">
            <wp:extent cx="5772150" cy="3381375"/>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772150" cy="3381375"/>
                    </a:xfrm>
                    <a:prstGeom prst="rect">
                      <a:avLst/>
                    </a:prstGeom>
                    <a:noFill/>
                    <a:ln>
                      <a:noFill/>
                    </a:ln>
                  </pic:spPr>
                </pic:pic>
              </a:graphicData>
            </a:graphic>
          </wp:inline>
        </w:drawing>
      </w:r>
    </w:p>
    <w:p w:rsidR="00902E3F" w:rsidRPr="00531C33" w:rsidRDefault="00FB2035" w:rsidP="00D9195D">
      <w:pPr>
        <w:pStyle w:val="2"/>
        <w:spacing w:beforeLines="100" w:after="0"/>
        <w:jc w:val="center"/>
        <w:rPr>
          <w:rStyle w:val="2CharCharChar"/>
          <w:rFonts w:ascii="Times New Roman" w:hAnsi="Times New Roman" w:cs="Times New Roman"/>
          <w:b/>
        </w:rPr>
      </w:pPr>
      <w:r w:rsidRPr="00531C33">
        <w:rPr>
          <w:rStyle w:val="2CharCharChar"/>
          <w:rFonts w:ascii="Times New Roman" w:hAnsi="Times New Roman" w:cs="Times New Roman"/>
          <w:b/>
        </w:rPr>
        <w:t>§4</w:t>
      </w:r>
      <w:r w:rsidR="00902E3F" w:rsidRPr="00531C33">
        <w:rPr>
          <w:rStyle w:val="2CharCharChar"/>
          <w:rFonts w:ascii="Times New Roman" w:hAnsi="Times New Roman" w:cs="Times New Roman"/>
          <w:b/>
        </w:rPr>
        <w:t>管理人报告</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4.1 </w:t>
      </w:r>
      <w:r w:rsidRPr="00531C33">
        <w:rPr>
          <w:b w:val="0"/>
          <w:sz w:val="21"/>
          <w:szCs w:val="21"/>
        </w:rPr>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1600"/>
        <w:gridCol w:w="1488"/>
        <w:gridCol w:w="1489"/>
        <w:gridCol w:w="992"/>
        <w:gridCol w:w="2551"/>
      </w:tblGrid>
      <w:tr w:rsidR="00221340" w:rsidRPr="00531C33" w:rsidTr="00F36F0A">
        <w:trPr>
          <w:cantSplit/>
        </w:trPr>
        <w:tc>
          <w:tcPr>
            <w:tcW w:w="952" w:type="dxa"/>
            <w:vMerge w:val="restart"/>
            <w:vAlign w:val="center"/>
          </w:tcPr>
          <w:p w:rsidR="00C4627A" w:rsidRPr="00531C33" w:rsidRDefault="00C4627A" w:rsidP="000C5A36">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姓名</w:t>
            </w:r>
          </w:p>
        </w:tc>
        <w:tc>
          <w:tcPr>
            <w:tcW w:w="1600" w:type="dxa"/>
            <w:vMerge w:val="restart"/>
            <w:vAlign w:val="center"/>
          </w:tcPr>
          <w:p w:rsidR="00C4627A" w:rsidRPr="00531C33" w:rsidRDefault="00C4627A" w:rsidP="000C5A36">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职务</w:t>
            </w:r>
          </w:p>
        </w:tc>
        <w:tc>
          <w:tcPr>
            <w:tcW w:w="2977" w:type="dxa"/>
            <w:gridSpan w:val="2"/>
            <w:vAlign w:val="center"/>
          </w:tcPr>
          <w:p w:rsidR="00C4627A" w:rsidRPr="00531C33" w:rsidRDefault="00C4627A" w:rsidP="000C5A36">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任本基金的基金经理期限</w:t>
            </w:r>
          </w:p>
        </w:tc>
        <w:tc>
          <w:tcPr>
            <w:tcW w:w="992" w:type="dxa"/>
            <w:vMerge w:val="restart"/>
            <w:vAlign w:val="center"/>
          </w:tcPr>
          <w:p w:rsidR="00C4627A" w:rsidRPr="00531C33" w:rsidRDefault="00C4627A"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证券从业年限</w:t>
            </w:r>
          </w:p>
        </w:tc>
        <w:tc>
          <w:tcPr>
            <w:tcW w:w="2551" w:type="dxa"/>
            <w:vMerge w:val="restart"/>
            <w:vAlign w:val="center"/>
          </w:tcPr>
          <w:p w:rsidR="00C4627A" w:rsidRPr="00531C33" w:rsidRDefault="00C4627A"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说明</w:t>
            </w:r>
          </w:p>
        </w:tc>
      </w:tr>
      <w:tr w:rsidR="00221340" w:rsidRPr="00531C33" w:rsidTr="00F36F0A">
        <w:trPr>
          <w:cantSplit/>
        </w:trPr>
        <w:tc>
          <w:tcPr>
            <w:tcW w:w="952" w:type="dxa"/>
            <w:vMerge/>
            <w:vAlign w:val="center"/>
          </w:tcPr>
          <w:p w:rsidR="00C4627A" w:rsidRPr="00531C33" w:rsidRDefault="00C4627A" w:rsidP="000C5A36">
            <w:pPr>
              <w:autoSpaceDE w:val="0"/>
              <w:autoSpaceDN w:val="0"/>
              <w:adjustRightInd w:val="0"/>
              <w:spacing w:before="29" w:line="360" w:lineRule="auto"/>
              <w:ind w:left="15"/>
              <w:jc w:val="center"/>
              <w:rPr>
                <w:color w:val="000000" w:themeColor="text1"/>
                <w:kern w:val="0"/>
                <w:szCs w:val="21"/>
              </w:rPr>
            </w:pPr>
          </w:p>
        </w:tc>
        <w:tc>
          <w:tcPr>
            <w:tcW w:w="1600" w:type="dxa"/>
            <w:vMerge/>
            <w:vAlign w:val="center"/>
          </w:tcPr>
          <w:p w:rsidR="00C4627A" w:rsidRPr="00531C33" w:rsidRDefault="00C4627A" w:rsidP="000C5A36">
            <w:pPr>
              <w:autoSpaceDE w:val="0"/>
              <w:autoSpaceDN w:val="0"/>
              <w:adjustRightInd w:val="0"/>
              <w:spacing w:before="29" w:line="360" w:lineRule="auto"/>
              <w:ind w:left="15"/>
              <w:jc w:val="center"/>
              <w:rPr>
                <w:color w:val="000000" w:themeColor="text1"/>
                <w:kern w:val="0"/>
                <w:szCs w:val="21"/>
              </w:rPr>
            </w:pPr>
          </w:p>
        </w:tc>
        <w:tc>
          <w:tcPr>
            <w:tcW w:w="1488" w:type="dxa"/>
            <w:vAlign w:val="center"/>
          </w:tcPr>
          <w:p w:rsidR="00C4627A" w:rsidRPr="00531C33" w:rsidRDefault="00C4627A" w:rsidP="000C5A36">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任职日期</w:t>
            </w:r>
          </w:p>
        </w:tc>
        <w:tc>
          <w:tcPr>
            <w:tcW w:w="1489" w:type="dxa"/>
            <w:vAlign w:val="center"/>
          </w:tcPr>
          <w:p w:rsidR="00C4627A" w:rsidRPr="00531C33" w:rsidRDefault="00C4627A" w:rsidP="000C5A36">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离任日期</w:t>
            </w:r>
          </w:p>
        </w:tc>
        <w:tc>
          <w:tcPr>
            <w:tcW w:w="992" w:type="dxa"/>
            <w:vMerge/>
            <w:vAlign w:val="center"/>
          </w:tcPr>
          <w:p w:rsidR="00C4627A" w:rsidRPr="00531C33" w:rsidRDefault="00C4627A" w:rsidP="00196812">
            <w:pPr>
              <w:autoSpaceDE w:val="0"/>
              <w:autoSpaceDN w:val="0"/>
              <w:adjustRightInd w:val="0"/>
              <w:spacing w:before="29" w:line="360" w:lineRule="auto"/>
              <w:ind w:left="15"/>
              <w:jc w:val="center"/>
              <w:rPr>
                <w:color w:val="000000" w:themeColor="text1"/>
                <w:kern w:val="0"/>
                <w:szCs w:val="21"/>
              </w:rPr>
            </w:pPr>
          </w:p>
        </w:tc>
        <w:tc>
          <w:tcPr>
            <w:tcW w:w="2551" w:type="dxa"/>
            <w:vMerge/>
            <w:vAlign w:val="center"/>
          </w:tcPr>
          <w:p w:rsidR="00C4627A" w:rsidRPr="00531C33" w:rsidRDefault="00C4627A" w:rsidP="00196812">
            <w:pPr>
              <w:autoSpaceDE w:val="0"/>
              <w:autoSpaceDN w:val="0"/>
              <w:adjustRightInd w:val="0"/>
              <w:spacing w:before="29" w:line="360" w:lineRule="auto"/>
              <w:ind w:left="15"/>
              <w:jc w:val="center"/>
              <w:rPr>
                <w:color w:val="000000" w:themeColor="text1"/>
                <w:kern w:val="0"/>
                <w:szCs w:val="21"/>
              </w:rPr>
            </w:pPr>
          </w:p>
        </w:tc>
      </w:tr>
      <w:tr w:rsidR="008C3724">
        <w:tc>
          <w:tcPr>
            <w:tcW w:w="952" w:type="dxa"/>
            <w:vAlign w:val="center"/>
          </w:tcPr>
          <w:p w:rsidR="008C3724" w:rsidRDefault="00D9195D">
            <w:pPr>
              <w:jc w:val="center"/>
            </w:pPr>
            <w:r>
              <w:rPr>
                <w:color w:val="000000" w:themeColor="text1"/>
                <w:szCs w:val="21"/>
              </w:rPr>
              <w:t>周飞</w:t>
            </w:r>
          </w:p>
        </w:tc>
        <w:tc>
          <w:tcPr>
            <w:tcW w:w="1600" w:type="dxa"/>
            <w:vAlign w:val="center"/>
          </w:tcPr>
          <w:p w:rsidR="008C3724" w:rsidRDefault="00D9195D">
            <w:pPr>
              <w:jc w:val="center"/>
            </w:pPr>
            <w:r>
              <w:rPr>
                <w:color w:val="000000" w:themeColor="text1"/>
                <w:szCs w:val="21"/>
              </w:rPr>
              <w:t>本基金的基金经理、现金管理部高级副总裁</w:t>
            </w:r>
          </w:p>
        </w:tc>
        <w:tc>
          <w:tcPr>
            <w:tcW w:w="1488" w:type="dxa"/>
            <w:vAlign w:val="center"/>
          </w:tcPr>
          <w:p w:rsidR="008C3724" w:rsidRDefault="00D9195D">
            <w:pPr>
              <w:jc w:val="center"/>
            </w:pPr>
            <w:r>
              <w:rPr>
                <w:color w:val="000000" w:themeColor="text1"/>
                <w:szCs w:val="21"/>
              </w:rPr>
              <w:t>2016-10-20</w:t>
            </w:r>
          </w:p>
        </w:tc>
        <w:tc>
          <w:tcPr>
            <w:tcW w:w="1489" w:type="dxa"/>
            <w:vAlign w:val="center"/>
          </w:tcPr>
          <w:p w:rsidR="008C3724" w:rsidRDefault="00D9195D">
            <w:pPr>
              <w:jc w:val="center"/>
            </w:pPr>
            <w:r>
              <w:rPr>
                <w:color w:val="000000" w:themeColor="text1"/>
                <w:szCs w:val="21"/>
              </w:rPr>
              <w:t>-</w:t>
            </w:r>
          </w:p>
        </w:tc>
        <w:tc>
          <w:tcPr>
            <w:tcW w:w="992" w:type="dxa"/>
            <w:vAlign w:val="center"/>
          </w:tcPr>
          <w:p w:rsidR="008C3724" w:rsidRDefault="00D9195D">
            <w:pPr>
              <w:jc w:val="center"/>
            </w:pPr>
            <w:r>
              <w:rPr>
                <w:color w:val="000000" w:themeColor="text1"/>
                <w:szCs w:val="21"/>
              </w:rPr>
              <w:t>9</w:t>
            </w:r>
            <w:r>
              <w:rPr>
                <w:color w:val="000000" w:themeColor="text1"/>
                <w:szCs w:val="21"/>
              </w:rPr>
              <w:t>年</w:t>
            </w:r>
          </w:p>
        </w:tc>
        <w:tc>
          <w:tcPr>
            <w:tcW w:w="2551" w:type="dxa"/>
            <w:vAlign w:val="center"/>
          </w:tcPr>
          <w:p w:rsidR="008C3724" w:rsidRDefault="00D9195D">
            <w:r>
              <w:rPr>
                <w:color w:val="000000" w:themeColor="text1"/>
                <w:szCs w:val="21"/>
              </w:rPr>
              <w:t>中央财经大学理学学士、经济学学士。</w:t>
            </w:r>
            <w:r>
              <w:rPr>
                <w:color w:val="000000" w:themeColor="text1"/>
                <w:szCs w:val="21"/>
              </w:rPr>
              <w:t>2010</w:t>
            </w:r>
            <w:r>
              <w:rPr>
                <w:color w:val="000000" w:themeColor="text1"/>
                <w:szCs w:val="21"/>
              </w:rPr>
              <w:t>年</w:t>
            </w:r>
            <w:r>
              <w:rPr>
                <w:color w:val="000000" w:themeColor="text1"/>
                <w:szCs w:val="21"/>
              </w:rPr>
              <w:t>7</w:t>
            </w:r>
            <w:r>
              <w:rPr>
                <w:color w:val="000000" w:themeColor="text1"/>
                <w:szCs w:val="21"/>
              </w:rPr>
              <w:t>月加入华夏基金管理有限公司，曾任交易管理部交易员、现金管理部基金经理助理等。</w:t>
            </w:r>
          </w:p>
        </w:tc>
      </w:tr>
    </w:tbl>
    <w:p w:rsidR="008C3724" w:rsidRDefault="00D9195D">
      <w:pPr>
        <w:pStyle w:val="10"/>
        <w:spacing w:line="360" w:lineRule="auto"/>
        <w:ind w:firstLine="420"/>
        <w:jc w:val="left"/>
        <w:rPr>
          <w:szCs w:val="21"/>
        </w:rPr>
      </w:pPr>
      <w:r>
        <w:rPr>
          <w:szCs w:val="21"/>
        </w:rPr>
        <w:t>注：</w:t>
      </w:r>
      <w:r>
        <w:rPr>
          <w:szCs w:val="21"/>
        </w:rPr>
        <w:t>①</w:t>
      </w:r>
      <w:r>
        <w:rPr>
          <w:szCs w:val="21"/>
        </w:rPr>
        <w:t>上述任职日期、离任日期根据本基金管理人对外披露的任免日期填写。</w:t>
      </w:r>
    </w:p>
    <w:p w:rsidR="00902E3F" w:rsidRPr="00531C33" w:rsidRDefault="00C4627A" w:rsidP="00ED7E07">
      <w:pPr>
        <w:pStyle w:val="10"/>
        <w:spacing w:line="360" w:lineRule="auto"/>
        <w:ind w:firstLine="420"/>
        <w:jc w:val="left"/>
        <w:rPr>
          <w:szCs w:val="21"/>
        </w:rPr>
      </w:pPr>
      <w:r w:rsidRPr="00531C33">
        <w:rPr>
          <w:szCs w:val="21"/>
        </w:rPr>
        <w:t>②</w:t>
      </w:r>
      <w:r w:rsidRPr="00531C33">
        <w:rPr>
          <w:szCs w:val="21"/>
        </w:rPr>
        <w:t>证券从业的含义遵从行业协会《证券业从业人员资格管理办法》的相关规定。</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4.2 </w:t>
      </w:r>
      <w:r w:rsidR="007F36A6" w:rsidRPr="00531C33">
        <w:rPr>
          <w:b w:val="0"/>
          <w:sz w:val="21"/>
          <w:szCs w:val="21"/>
        </w:rPr>
        <w:t>管理人对</w:t>
      </w:r>
      <w:r w:rsidRPr="00531C33">
        <w:rPr>
          <w:b w:val="0"/>
          <w:sz w:val="21"/>
          <w:szCs w:val="21"/>
        </w:rPr>
        <w:t>报告期内本基金运作遵规守信情况</w:t>
      </w:r>
      <w:r w:rsidR="007F36A6" w:rsidRPr="00531C33">
        <w:rPr>
          <w:b w:val="0"/>
          <w:sz w:val="21"/>
          <w:szCs w:val="21"/>
        </w:rPr>
        <w:t>的</w:t>
      </w:r>
      <w:r w:rsidRPr="00531C33">
        <w:rPr>
          <w:b w:val="0"/>
          <w:sz w:val="21"/>
          <w:szCs w:val="21"/>
        </w:rPr>
        <w:t>说明</w:t>
      </w:r>
    </w:p>
    <w:p w:rsidR="00902E3F" w:rsidRPr="00ED7E07" w:rsidRDefault="00C4627A" w:rsidP="00ED7E07">
      <w:pPr>
        <w:pStyle w:val="10"/>
        <w:spacing w:line="360" w:lineRule="auto"/>
        <w:ind w:firstLine="420"/>
        <w:jc w:val="left"/>
        <w:rPr>
          <w:szCs w:val="21"/>
        </w:rPr>
      </w:pPr>
      <w:r w:rsidRPr="00ED7E07">
        <w:rPr>
          <w:szCs w:val="21"/>
        </w:rPr>
        <w:t>报告期内，本基金管理人严格遵守《中华人民共和国证券投资基金法》、《公开募集证券投资基金运作管理办法》、《证券投资基金管理公司公平交易制度指导意见》、《基金管理公司开展投资、研究活动防控内幕交易指导意见》等法律法规和基金合同，本着诚实信用、勤勉尽责、安全高效的原则管理和运用基金资产，在严格控制投资风险的基础上，为基金份额持有人谋求最大利益，没有损害基金份额持有人利益的行为。</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4.3 </w:t>
      </w:r>
      <w:r w:rsidRPr="00531C33">
        <w:rPr>
          <w:b w:val="0"/>
          <w:sz w:val="21"/>
          <w:szCs w:val="21"/>
        </w:rPr>
        <w:t>公平交易专项说明</w:t>
      </w:r>
    </w:p>
    <w:p w:rsidR="003F43EB" w:rsidRPr="00531C33" w:rsidRDefault="003F43EB" w:rsidP="00DE5371">
      <w:pPr>
        <w:pStyle w:val="3"/>
        <w:spacing w:before="0" w:after="0" w:line="360" w:lineRule="auto"/>
        <w:jc w:val="left"/>
        <w:rPr>
          <w:b w:val="0"/>
          <w:sz w:val="21"/>
          <w:szCs w:val="21"/>
        </w:rPr>
      </w:pPr>
      <w:r w:rsidRPr="00531C33">
        <w:rPr>
          <w:b w:val="0"/>
          <w:sz w:val="21"/>
          <w:szCs w:val="21"/>
        </w:rPr>
        <w:t xml:space="preserve">4.3.1 </w:t>
      </w:r>
      <w:r w:rsidRPr="00531C33">
        <w:rPr>
          <w:b w:val="0"/>
          <w:sz w:val="21"/>
          <w:szCs w:val="21"/>
        </w:rPr>
        <w:t>公平交易制度的执行情况</w:t>
      </w:r>
    </w:p>
    <w:p w:rsidR="00C4627A" w:rsidRPr="00ED7E07" w:rsidRDefault="00C4627A" w:rsidP="00ED7E07">
      <w:pPr>
        <w:pStyle w:val="10"/>
        <w:spacing w:line="360" w:lineRule="auto"/>
        <w:ind w:firstLine="420"/>
        <w:jc w:val="left"/>
        <w:rPr>
          <w:szCs w:val="21"/>
        </w:rPr>
      </w:pPr>
      <w:r w:rsidRPr="00ED7E07">
        <w:rPr>
          <w:szCs w:val="21"/>
        </w:rPr>
        <w:t>本基金管理人一贯公平对待旗下管理的所有基金和组合，制定并严格遵守相应的制度和流程，通过系统和人工等方式在各环节严格控制交易公平执行。报告期内，本公司严格执行了《证券投资基金管理公司公平交易制度指导意见》和《华夏基金管理有限公司公平交易制度》的规定。</w:t>
      </w:r>
    </w:p>
    <w:p w:rsidR="003F43EB" w:rsidRPr="00531C33" w:rsidRDefault="003F43EB" w:rsidP="00DE5371">
      <w:pPr>
        <w:pStyle w:val="3"/>
        <w:spacing w:before="0" w:after="0" w:line="360" w:lineRule="auto"/>
        <w:jc w:val="left"/>
        <w:rPr>
          <w:b w:val="0"/>
          <w:sz w:val="21"/>
          <w:szCs w:val="21"/>
        </w:rPr>
      </w:pPr>
      <w:r w:rsidRPr="00531C33">
        <w:rPr>
          <w:b w:val="0"/>
          <w:sz w:val="21"/>
          <w:szCs w:val="21"/>
        </w:rPr>
        <w:t>4.3.</w:t>
      </w:r>
      <w:r w:rsidR="0007770D" w:rsidRPr="00531C33">
        <w:rPr>
          <w:b w:val="0"/>
          <w:sz w:val="21"/>
          <w:szCs w:val="21"/>
        </w:rPr>
        <w:t>2</w:t>
      </w:r>
      <w:r w:rsidRPr="00531C33">
        <w:rPr>
          <w:b w:val="0"/>
          <w:sz w:val="21"/>
          <w:szCs w:val="21"/>
        </w:rPr>
        <w:t>异常交易行为的专项说明</w:t>
      </w:r>
    </w:p>
    <w:p w:rsidR="008C3724" w:rsidRDefault="00D9195D">
      <w:pPr>
        <w:pStyle w:val="10"/>
        <w:spacing w:line="360" w:lineRule="auto"/>
        <w:ind w:firstLine="420"/>
        <w:jc w:val="left"/>
        <w:rPr>
          <w:szCs w:val="21"/>
        </w:rPr>
      </w:pPr>
      <w:r>
        <w:rPr>
          <w:szCs w:val="21"/>
        </w:rPr>
        <w:t>报告期内未发现本基金存在异常交易行为。</w:t>
      </w:r>
    </w:p>
    <w:p w:rsidR="00BE5584" w:rsidRPr="00ED7E07" w:rsidRDefault="00C4627A" w:rsidP="00ED7E07">
      <w:pPr>
        <w:pStyle w:val="10"/>
        <w:spacing w:line="360" w:lineRule="auto"/>
        <w:ind w:firstLine="420"/>
        <w:jc w:val="left"/>
        <w:rPr>
          <w:szCs w:val="21"/>
        </w:rPr>
      </w:pPr>
      <w:r w:rsidRPr="00ED7E07">
        <w:rPr>
          <w:szCs w:val="21"/>
        </w:rPr>
        <w:t>报告期内，未出现涉及本基金的交易所公开竞价同日反向交易成交较少的单边交易量超过该证券当日成交量</w:t>
      </w:r>
      <w:r w:rsidRPr="00ED7E07">
        <w:rPr>
          <w:szCs w:val="21"/>
        </w:rPr>
        <w:t>5%</w:t>
      </w:r>
      <w:r w:rsidRPr="00ED7E07">
        <w:rPr>
          <w:szCs w:val="21"/>
        </w:rPr>
        <w:t>的情况。</w:t>
      </w:r>
    </w:p>
    <w:p w:rsidR="00323377" w:rsidRPr="00531C33" w:rsidRDefault="00323377" w:rsidP="00DE5371">
      <w:pPr>
        <w:pStyle w:val="3"/>
        <w:spacing w:before="0" w:after="0" w:line="360" w:lineRule="auto"/>
        <w:jc w:val="left"/>
        <w:rPr>
          <w:b w:val="0"/>
          <w:sz w:val="21"/>
          <w:szCs w:val="21"/>
        </w:rPr>
      </w:pPr>
      <w:r w:rsidRPr="00531C33">
        <w:rPr>
          <w:b w:val="0"/>
          <w:sz w:val="21"/>
          <w:szCs w:val="21"/>
        </w:rPr>
        <w:t xml:space="preserve">4.4 </w:t>
      </w:r>
      <w:r w:rsidRPr="00531C33">
        <w:rPr>
          <w:b w:val="0"/>
          <w:sz w:val="21"/>
          <w:szCs w:val="21"/>
        </w:rPr>
        <w:t>报告期内基金的投资策略和业绩表现说明</w:t>
      </w:r>
    </w:p>
    <w:p w:rsidR="00323377" w:rsidRPr="00531C33" w:rsidRDefault="00323377" w:rsidP="00DE5371">
      <w:pPr>
        <w:pStyle w:val="3"/>
        <w:spacing w:before="0" w:after="0" w:line="360" w:lineRule="auto"/>
        <w:jc w:val="left"/>
        <w:rPr>
          <w:b w:val="0"/>
          <w:sz w:val="21"/>
          <w:szCs w:val="21"/>
        </w:rPr>
      </w:pPr>
      <w:r w:rsidRPr="00531C33">
        <w:rPr>
          <w:b w:val="0"/>
          <w:sz w:val="21"/>
          <w:szCs w:val="21"/>
        </w:rPr>
        <w:t>4.4.1</w:t>
      </w:r>
      <w:r w:rsidRPr="00531C33">
        <w:rPr>
          <w:b w:val="0"/>
          <w:sz w:val="21"/>
          <w:szCs w:val="21"/>
        </w:rPr>
        <w:t>报告期内基金投资策略和运作分析</w:t>
      </w:r>
    </w:p>
    <w:p w:rsidR="008C3724" w:rsidRDefault="00D9195D">
      <w:pPr>
        <w:pStyle w:val="10"/>
        <w:spacing w:line="360" w:lineRule="auto"/>
        <w:ind w:firstLine="420"/>
        <w:jc w:val="left"/>
        <w:rPr>
          <w:szCs w:val="21"/>
        </w:rPr>
      </w:pPr>
      <w:r>
        <w:rPr>
          <w:szCs w:val="21"/>
        </w:rPr>
        <w:t>3</w:t>
      </w:r>
      <w:r>
        <w:rPr>
          <w:szCs w:val="21"/>
        </w:rPr>
        <w:t>季度，国际金融市场波澜不惊。中美贸易摩擦未有缓解，汇率压力增加，</w:t>
      </w:r>
      <w:r>
        <w:rPr>
          <w:szCs w:val="21"/>
        </w:rPr>
        <w:t>A</w:t>
      </w:r>
      <w:r>
        <w:rPr>
          <w:szCs w:val="21"/>
        </w:rPr>
        <w:t>股市场经历过山车行情，跌至</w:t>
      </w:r>
      <w:r>
        <w:rPr>
          <w:szCs w:val="21"/>
        </w:rPr>
        <w:t>2733</w:t>
      </w:r>
      <w:r>
        <w:rPr>
          <w:szCs w:val="21"/>
        </w:rPr>
        <w:t>点后又回到</w:t>
      </w:r>
      <w:r>
        <w:rPr>
          <w:szCs w:val="21"/>
        </w:rPr>
        <w:t>3000</w:t>
      </w:r>
      <w:r>
        <w:rPr>
          <w:szCs w:val="21"/>
        </w:rPr>
        <w:t>点附近。</w:t>
      </w:r>
    </w:p>
    <w:p w:rsidR="008C3724" w:rsidRDefault="00D9195D">
      <w:pPr>
        <w:pStyle w:val="10"/>
        <w:spacing w:line="360" w:lineRule="auto"/>
        <w:ind w:firstLine="420"/>
        <w:jc w:val="left"/>
        <w:rPr>
          <w:szCs w:val="21"/>
        </w:rPr>
      </w:pPr>
      <w:r>
        <w:rPr>
          <w:szCs w:val="21"/>
        </w:rPr>
        <w:t>国内市场，政治局会议除地产外政策均较友好，三大攻坚战和去杠杆均未再提，但重提保持流动性合理充裕。央行将继续稳妥推进</w:t>
      </w:r>
      <w:r>
        <w:rPr>
          <w:szCs w:val="21"/>
        </w:rPr>
        <w:t>“</w:t>
      </w:r>
      <w:r>
        <w:rPr>
          <w:szCs w:val="21"/>
        </w:rPr>
        <w:t>两轨合一轨</w:t>
      </w:r>
      <w:r>
        <w:rPr>
          <w:szCs w:val="21"/>
        </w:rPr>
        <w:t>”</w:t>
      </w:r>
      <w:r>
        <w:rPr>
          <w:szCs w:val="21"/>
        </w:rPr>
        <w:t>，深化利率市场化改革，并在此过程中，保持银行负债端成本基本稳定，为降低企业融资成本创造有利条件。报告期间，为支持实体经济发展，降低社会融资实际成本，央行于</w:t>
      </w:r>
      <w:r>
        <w:rPr>
          <w:szCs w:val="21"/>
        </w:rPr>
        <w:t>9</w:t>
      </w:r>
      <w:r>
        <w:rPr>
          <w:szCs w:val="21"/>
        </w:rPr>
        <w:t>月</w:t>
      </w:r>
      <w:r>
        <w:rPr>
          <w:szCs w:val="21"/>
        </w:rPr>
        <w:t>6</w:t>
      </w:r>
      <w:r>
        <w:rPr>
          <w:szCs w:val="21"/>
        </w:rPr>
        <w:t>日决定自</w:t>
      </w:r>
      <w:r>
        <w:rPr>
          <w:szCs w:val="21"/>
        </w:rPr>
        <w:t>2019</w:t>
      </w:r>
      <w:r>
        <w:rPr>
          <w:szCs w:val="21"/>
        </w:rPr>
        <w:t>年</w:t>
      </w:r>
      <w:r>
        <w:rPr>
          <w:szCs w:val="21"/>
        </w:rPr>
        <w:t>9</w:t>
      </w:r>
      <w:r>
        <w:rPr>
          <w:szCs w:val="21"/>
        </w:rPr>
        <w:t>月</w:t>
      </w:r>
      <w:r>
        <w:rPr>
          <w:szCs w:val="21"/>
        </w:rPr>
        <w:t>16</w:t>
      </w:r>
      <w:r>
        <w:rPr>
          <w:szCs w:val="21"/>
        </w:rPr>
        <w:t>日全面下调金融机构存款准备金率</w:t>
      </w:r>
      <w:r>
        <w:rPr>
          <w:szCs w:val="21"/>
        </w:rPr>
        <w:t>0.5</w:t>
      </w:r>
      <w:r>
        <w:rPr>
          <w:szCs w:val="21"/>
        </w:rPr>
        <w:t>个百分点，再额外对仅在省级行政区域内经营的城市商业银行定向下调存款准备金率</w:t>
      </w:r>
      <w:r>
        <w:rPr>
          <w:szCs w:val="21"/>
        </w:rPr>
        <w:t>1</w:t>
      </w:r>
      <w:r>
        <w:rPr>
          <w:szCs w:val="21"/>
        </w:rPr>
        <w:t>个百分点。央行通过逆回</w:t>
      </w:r>
      <w:r>
        <w:rPr>
          <w:szCs w:val="21"/>
        </w:rPr>
        <w:t>购和中期借贷便利（</w:t>
      </w:r>
      <w:r>
        <w:rPr>
          <w:szCs w:val="21"/>
        </w:rPr>
        <w:t>MLF</w:t>
      </w:r>
      <w:r>
        <w:rPr>
          <w:szCs w:val="21"/>
        </w:rPr>
        <w:t>）等定向工具维持市场的合理充裕，继续维持稳健货币政策，资金面结构性分化问题并未有明显改善，但总体处于平稳态势。</w:t>
      </w:r>
    </w:p>
    <w:p w:rsidR="008C3724" w:rsidRDefault="00D9195D">
      <w:pPr>
        <w:pStyle w:val="10"/>
        <w:spacing w:line="360" w:lineRule="auto"/>
        <w:ind w:firstLine="420"/>
        <w:jc w:val="left"/>
        <w:rPr>
          <w:szCs w:val="21"/>
        </w:rPr>
      </w:pPr>
      <w:r>
        <w:rPr>
          <w:szCs w:val="21"/>
        </w:rPr>
        <w:t>市场方面，资金面整体较为平稳，</w:t>
      </w:r>
      <w:r>
        <w:rPr>
          <w:szCs w:val="21"/>
        </w:rPr>
        <w:t>7</w:t>
      </w:r>
      <w:r>
        <w:rPr>
          <w:szCs w:val="21"/>
        </w:rPr>
        <w:t>月至</w:t>
      </w:r>
      <w:r>
        <w:rPr>
          <w:szCs w:val="21"/>
        </w:rPr>
        <w:t>9</w:t>
      </w:r>
      <w:r>
        <w:rPr>
          <w:szCs w:val="21"/>
        </w:rPr>
        <w:t>月资金利率均值逐渐提升，</w:t>
      </w:r>
      <w:r>
        <w:rPr>
          <w:szCs w:val="21"/>
        </w:rPr>
        <w:t>7</w:t>
      </w:r>
      <w:r>
        <w:rPr>
          <w:szCs w:val="21"/>
        </w:rPr>
        <w:t>月初资金面较为宽松，税期央行投放力度较大但仍超预期紧张，</w:t>
      </w:r>
      <w:r>
        <w:rPr>
          <w:szCs w:val="21"/>
        </w:rPr>
        <w:t>7</w:t>
      </w:r>
      <w:r>
        <w:rPr>
          <w:szCs w:val="21"/>
        </w:rPr>
        <w:t>月环比</w:t>
      </w:r>
      <w:r>
        <w:rPr>
          <w:szCs w:val="21"/>
        </w:rPr>
        <w:t>6</w:t>
      </w:r>
      <w:r>
        <w:rPr>
          <w:szCs w:val="21"/>
        </w:rPr>
        <w:t>月资金利率均值小幅上行，但仍处于今年以来中枢偏低水平；</w:t>
      </w:r>
      <w:r>
        <w:rPr>
          <w:szCs w:val="21"/>
        </w:rPr>
        <w:t>8</w:t>
      </w:r>
      <w:r>
        <w:rPr>
          <w:szCs w:val="21"/>
        </w:rPr>
        <w:t>月初资金利率水平高于过去一年以来月初同期水平，资金利率均值明显抬高。</w:t>
      </w:r>
      <w:r>
        <w:rPr>
          <w:szCs w:val="21"/>
        </w:rPr>
        <w:t>9</w:t>
      </w:r>
      <w:r>
        <w:rPr>
          <w:szCs w:val="21"/>
        </w:rPr>
        <w:t>月资金利率一直处于较高水平，央行虽降准但资金面中下旬依然处于紧平衡态势，存单利率先下后上，</w:t>
      </w:r>
      <w:r>
        <w:rPr>
          <w:szCs w:val="21"/>
        </w:rPr>
        <w:t>3</w:t>
      </w:r>
      <w:r>
        <w:rPr>
          <w:szCs w:val="21"/>
        </w:rPr>
        <w:t>个月存单在</w:t>
      </w:r>
      <w:r>
        <w:rPr>
          <w:szCs w:val="21"/>
        </w:rPr>
        <w:t>2.65%-2.7</w:t>
      </w:r>
      <w:r>
        <w:rPr>
          <w:szCs w:val="21"/>
        </w:rPr>
        <w:t>5%</w:t>
      </w:r>
      <w:r>
        <w:rPr>
          <w:szCs w:val="21"/>
        </w:rPr>
        <w:t>水平，</w:t>
      </w:r>
      <w:r>
        <w:rPr>
          <w:szCs w:val="21"/>
        </w:rPr>
        <w:t>6</w:t>
      </w:r>
      <w:r>
        <w:rPr>
          <w:szCs w:val="21"/>
        </w:rPr>
        <w:t>个月存单在</w:t>
      </w:r>
      <w:r>
        <w:rPr>
          <w:szCs w:val="21"/>
        </w:rPr>
        <w:t>2.80%-2.95%</w:t>
      </w:r>
      <w:r>
        <w:rPr>
          <w:szCs w:val="21"/>
        </w:rPr>
        <w:t>的水平，</w:t>
      </w:r>
      <w:r>
        <w:rPr>
          <w:szCs w:val="21"/>
        </w:rPr>
        <w:t>1</w:t>
      </w:r>
      <w:r>
        <w:rPr>
          <w:szCs w:val="21"/>
        </w:rPr>
        <w:t>年存单在</w:t>
      </w:r>
      <w:r>
        <w:rPr>
          <w:szCs w:val="21"/>
        </w:rPr>
        <w:t>3.03%</w:t>
      </w:r>
      <w:r>
        <w:rPr>
          <w:szCs w:val="21"/>
        </w:rPr>
        <w:t>左右震荡。</w:t>
      </w:r>
    </w:p>
    <w:p w:rsidR="00C4627A" w:rsidRPr="00ED7E07" w:rsidRDefault="00C4627A" w:rsidP="00ED7E07">
      <w:pPr>
        <w:pStyle w:val="10"/>
        <w:spacing w:line="360" w:lineRule="auto"/>
        <w:ind w:firstLine="420"/>
        <w:jc w:val="left"/>
        <w:rPr>
          <w:szCs w:val="21"/>
        </w:rPr>
      </w:pPr>
      <w:r w:rsidRPr="00ED7E07">
        <w:rPr>
          <w:szCs w:val="21"/>
        </w:rPr>
        <w:t>报告期内，本基金主要投资于</w:t>
      </w:r>
      <w:r w:rsidRPr="00ED7E07">
        <w:rPr>
          <w:szCs w:val="21"/>
        </w:rPr>
        <w:t>3</w:t>
      </w:r>
      <w:r w:rsidRPr="00ED7E07">
        <w:rPr>
          <w:szCs w:val="21"/>
        </w:rPr>
        <w:t>个月和</w:t>
      </w:r>
      <w:r w:rsidRPr="00ED7E07">
        <w:rPr>
          <w:szCs w:val="21"/>
        </w:rPr>
        <w:t>6</w:t>
      </w:r>
      <w:r w:rsidRPr="00ED7E07">
        <w:rPr>
          <w:szCs w:val="21"/>
        </w:rPr>
        <w:t>个月的同业存款、高等级同业存单和交易所逆回购，并于季末择机进行了高等级信用债和银行间逆回购的投资。期限搭配以及杠杆水平合适，组合整体的流动性较好。</w:t>
      </w:r>
    </w:p>
    <w:p w:rsidR="00323377" w:rsidRPr="00531C33" w:rsidRDefault="00323377" w:rsidP="00DE5371">
      <w:pPr>
        <w:pStyle w:val="3"/>
        <w:spacing w:before="0" w:after="0" w:line="360" w:lineRule="auto"/>
        <w:jc w:val="left"/>
        <w:rPr>
          <w:b w:val="0"/>
          <w:sz w:val="21"/>
          <w:szCs w:val="21"/>
        </w:rPr>
      </w:pPr>
      <w:r w:rsidRPr="00531C33">
        <w:rPr>
          <w:b w:val="0"/>
          <w:sz w:val="21"/>
          <w:szCs w:val="21"/>
        </w:rPr>
        <w:t>4.4.2</w:t>
      </w:r>
      <w:r w:rsidRPr="00531C33">
        <w:rPr>
          <w:b w:val="0"/>
          <w:sz w:val="21"/>
          <w:szCs w:val="21"/>
        </w:rPr>
        <w:t>报告期内基金的业绩表现</w:t>
      </w:r>
    </w:p>
    <w:p w:rsidR="00BE5584" w:rsidRPr="00ED7E07" w:rsidRDefault="00C4627A" w:rsidP="00ED7E07">
      <w:pPr>
        <w:pStyle w:val="10"/>
        <w:spacing w:line="360" w:lineRule="auto"/>
        <w:ind w:firstLine="420"/>
        <w:jc w:val="left"/>
        <w:rPr>
          <w:szCs w:val="21"/>
        </w:rPr>
      </w:pPr>
      <w:r w:rsidRPr="00ED7E07">
        <w:rPr>
          <w:szCs w:val="21"/>
        </w:rPr>
        <w:t>截至</w:t>
      </w:r>
      <w:r w:rsidRPr="00ED7E07">
        <w:rPr>
          <w:szCs w:val="21"/>
        </w:rPr>
        <w:t>2019</w:t>
      </w:r>
      <w:r w:rsidRPr="00ED7E07">
        <w:rPr>
          <w:szCs w:val="21"/>
        </w:rPr>
        <w:t>年</w:t>
      </w:r>
      <w:r w:rsidRPr="00ED7E07">
        <w:rPr>
          <w:szCs w:val="21"/>
        </w:rPr>
        <w:t>9</w:t>
      </w:r>
      <w:r w:rsidRPr="00ED7E07">
        <w:rPr>
          <w:szCs w:val="21"/>
        </w:rPr>
        <w:t>月</w:t>
      </w:r>
      <w:r w:rsidRPr="00ED7E07">
        <w:rPr>
          <w:szCs w:val="21"/>
        </w:rPr>
        <w:t>30</w:t>
      </w:r>
      <w:r w:rsidRPr="00ED7E07">
        <w:rPr>
          <w:szCs w:val="21"/>
        </w:rPr>
        <w:t>日，华夏理财</w:t>
      </w:r>
      <w:r w:rsidRPr="00ED7E07">
        <w:rPr>
          <w:szCs w:val="21"/>
        </w:rPr>
        <w:t>30</w:t>
      </w:r>
      <w:r w:rsidRPr="00ED7E07">
        <w:rPr>
          <w:szCs w:val="21"/>
        </w:rPr>
        <w:t>天债券</w:t>
      </w:r>
      <w:r w:rsidRPr="00ED7E07">
        <w:rPr>
          <w:szCs w:val="21"/>
        </w:rPr>
        <w:t>A</w:t>
      </w:r>
      <w:r w:rsidRPr="00ED7E07">
        <w:rPr>
          <w:szCs w:val="21"/>
        </w:rPr>
        <w:t>本报告期份额净值收益率为</w:t>
      </w:r>
      <w:r w:rsidRPr="00ED7E07">
        <w:rPr>
          <w:szCs w:val="21"/>
        </w:rPr>
        <w:t>0.6433%</w:t>
      </w:r>
      <w:r w:rsidRPr="00ED7E07">
        <w:rPr>
          <w:szCs w:val="21"/>
        </w:rPr>
        <w:t>；华夏理财</w:t>
      </w:r>
      <w:r w:rsidRPr="00ED7E07">
        <w:rPr>
          <w:szCs w:val="21"/>
        </w:rPr>
        <w:t>30</w:t>
      </w:r>
      <w:r w:rsidRPr="00ED7E07">
        <w:rPr>
          <w:szCs w:val="21"/>
        </w:rPr>
        <w:t>天债券</w:t>
      </w:r>
      <w:r w:rsidRPr="00ED7E07">
        <w:rPr>
          <w:szCs w:val="21"/>
        </w:rPr>
        <w:t>B</w:t>
      </w:r>
      <w:r w:rsidRPr="00ED7E07">
        <w:rPr>
          <w:szCs w:val="21"/>
        </w:rPr>
        <w:t>本报告期份额净值收益率为</w:t>
      </w:r>
      <w:r w:rsidRPr="00ED7E07">
        <w:rPr>
          <w:szCs w:val="21"/>
        </w:rPr>
        <w:t>0.7042%</w:t>
      </w:r>
      <w:r w:rsidRPr="00ED7E07">
        <w:rPr>
          <w:szCs w:val="21"/>
        </w:rPr>
        <w:t>。同期业绩比较基准收益率为</w:t>
      </w:r>
      <w:r w:rsidRPr="00ED7E07">
        <w:rPr>
          <w:szCs w:val="21"/>
        </w:rPr>
        <w:t>0.3403%</w:t>
      </w:r>
      <w:r w:rsidRPr="00ED7E07">
        <w:rPr>
          <w:szCs w:val="21"/>
        </w:rPr>
        <w:t>。本基金的业绩比较基准为七天通知存款税后利率。</w:t>
      </w:r>
    </w:p>
    <w:p w:rsidR="007D2D94" w:rsidRPr="00531C33" w:rsidRDefault="005A7B32" w:rsidP="00DE5371">
      <w:pPr>
        <w:pStyle w:val="3"/>
        <w:spacing w:before="0" w:after="0" w:line="360" w:lineRule="auto"/>
        <w:jc w:val="left"/>
        <w:rPr>
          <w:b w:val="0"/>
          <w:sz w:val="21"/>
          <w:szCs w:val="21"/>
        </w:rPr>
      </w:pPr>
      <w:r w:rsidRPr="00531C33">
        <w:rPr>
          <w:b w:val="0"/>
          <w:sz w:val="21"/>
          <w:szCs w:val="21"/>
        </w:rPr>
        <w:t>4.5</w:t>
      </w:r>
      <w:r w:rsidR="007D2D94" w:rsidRPr="00531C33">
        <w:rPr>
          <w:b w:val="0"/>
          <w:sz w:val="21"/>
          <w:szCs w:val="21"/>
        </w:rPr>
        <w:t>报告期内基金持有人数或基金资产净值预警说明</w:t>
      </w:r>
    </w:p>
    <w:p w:rsidR="007D2D94" w:rsidRPr="00ED7E07" w:rsidRDefault="007D2D94" w:rsidP="00ED7E07">
      <w:pPr>
        <w:pStyle w:val="10"/>
        <w:spacing w:line="360" w:lineRule="auto"/>
        <w:ind w:firstLine="420"/>
        <w:jc w:val="left"/>
        <w:rPr>
          <w:szCs w:val="21"/>
        </w:rPr>
      </w:pPr>
      <w:r w:rsidRPr="00ED7E07">
        <w:rPr>
          <w:szCs w:val="21"/>
        </w:rPr>
        <w:t>报告期内，本基金未出现连续二十个工作日基金份额持有人数量不满二百人或者基金资产净值低于五千万元的情形。</w:t>
      </w:r>
    </w:p>
    <w:p w:rsidR="00902E3F" w:rsidRPr="00531C33" w:rsidRDefault="00FB2035" w:rsidP="00D9195D">
      <w:pPr>
        <w:pStyle w:val="2"/>
        <w:spacing w:beforeLines="100" w:after="0"/>
        <w:jc w:val="center"/>
        <w:rPr>
          <w:rStyle w:val="2CharCharChar"/>
          <w:rFonts w:ascii="Times New Roman" w:hAnsi="Times New Roman" w:cs="Times New Roman"/>
          <w:b/>
        </w:rPr>
      </w:pPr>
      <w:r w:rsidRPr="00531C33">
        <w:rPr>
          <w:rStyle w:val="2CharCharChar"/>
          <w:rFonts w:ascii="Times New Roman" w:hAnsi="Times New Roman" w:cs="Times New Roman"/>
          <w:b/>
        </w:rPr>
        <w:t xml:space="preserve">§5 </w:t>
      </w:r>
      <w:r w:rsidR="00902E3F" w:rsidRPr="00531C33">
        <w:rPr>
          <w:rStyle w:val="2CharCharChar"/>
          <w:rFonts w:ascii="Times New Roman" w:hAnsi="Times New Roman" w:cs="Times New Roman"/>
          <w:b/>
        </w:rPr>
        <w:t>投资组合报告</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5.1 </w:t>
      </w:r>
      <w:r w:rsidRPr="00531C33">
        <w:rPr>
          <w:b w:val="0"/>
          <w:sz w:val="21"/>
          <w:szCs w:val="21"/>
        </w:rPr>
        <w:t>报告期末基金资产组合情况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118"/>
        <w:gridCol w:w="3119"/>
        <w:gridCol w:w="1984"/>
      </w:tblGrid>
      <w:tr w:rsidR="00221340" w:rsidRPr="00531C33" w:rsidTr="00F36F0A">
        <w:tc>
          <w:tcPr>
            <w:tcW w:w="851" w:type="dxa"/>
            <w:vAlign w:val="center"/>
          </w:tcPr>
          <w:p w:rsidR="00B4354A" w:rsidRPr="00531C33" w:rsidRDefault="00B4354A" w:rsidP="00196812">
            <w:pPr>
              <w:spacing w:before="29" w:line="360" w:lineRule="auto"/>
              <w:ind w:left="17"/>
              <w:jc w:val="center"/>
              <w:rPr>
                <w:color w:val="000000" w:themeColor="text1"/>
                <w:szCs w:val="21"/>
              </w:rPr>
            </w:pPr>
            <w:r w:rsidRPr="00531C33">
              <w:rPr>
                <w:color w:val="000000" w:themeColor="text1"/>
                <w:szCs w:val="21"/>
              </w:rPr>
              <w:t>序号</w:t>
            </w:r>
          </w:p>
        </w:tc>
        <w:tc>
          <w:tcPr>
            <w:tcW w:w="3118" w:type="dxa"/>
            <w:vAlign w:val="center"/>
          </w:tcPr>
          <w:p w:rsidR="00B4354A" w:rsidRPr="00531C33" w:rsidRDefault="00B4354A" w:rsidP="00196812">
            <w:pPr>
              <w:spacing w:before="29" w:line="360" w:lineRule="auto"/>
              <w:ind w:left="17"/>
              <w:jc w:val="center"/>
              <w:rPr>
                <w:color w:val="000000" w:themeColor="text1"/>
                <w:szCs w:val="21"/>
              </w:rPr>
            </w:pPr>
            <w:r w:rsidRPr="00531C33">
              <w:rPr>
                <w:color w:val="000000" w:themeColor="text1"/>
                <w:szCs w:val="21"/>
              </w:rPr>
              <w:t>项目</w:t>
            </w:r>
          </w:p>
        </w:tc>
        <w:tc>
          <w:tcPr>
            <w:tcW w:w="3119" w:type="dxa"/>
            <w:vAlign w:val="center"/>
          </w:tcPr>
          <w:p w:rsidR="00B4354A" w:rsidRPr="00531C33" w:rsidRDefault="00B4354A" w:rsidP="00196812">
            <w:pPr>
              <w:spacing w:before="29" w:line="360" w:lineRule="auto"/>
              <w:ind w:left="17"/>
              <w:jc w:val="center"/>
              <w:rPr>
                <w:color w:val="000000" w:themeColor="text1"/>
                <w:szCs w:val="21"/>
              </w:rPr>
            </w:pPr>
            <w:r w:rsidRPr="00531C33">
              <w:rPr>
                <w:color w:val="000000" w:themeColor="text1"/>
                <w:szCs w:val="21"/>
              </w:rPr>
              <w:t>金额</w:t>
            </w:r>
            <w:r w:rsidRPr="00531C33">
              <w:rPr>
                <w:color w:val="000000" w:themeColor="text1"/>
                <w:szCs w:val="21"/>
              </w:rPr>
              <w:t>(</w:t>
            </w:r>
            <w:r w:rsidRPr="00531C33">
              <w:rPr>
                <w:color w:val="000000" w:themeColor="text1"/>
                <w:szCs w:val="21"/>
              </w:rPr>
              <w:t>元</w:t>
            </w:r>
            <w:r w:rsidRPr="00531C33">
              <w:rPr>
                <w:color w:val="000000" w:themeColor="text1"/>
                <w:szCs w:val="21"/>
              </w:rPr>
              <w:t>)</w:t>
            </w:r>
          </w:p>
        </w:tc>
        <w:tc>
          <w:tcPr>
            <w:tcW w:w="1984" w:type="dxa"/>
            <w:vAlign w:val="center"/>
          </w:tcPr>
          <w:p w:rsidR="00B4354A" w:rsidRPr="00531C33" w:rsidRDefault="00B4354A" w:rsidP="00196812">
            <w:pPr>
              <w:spacing w:before="29" w:line="360" w:lineRule="auto"/>
              <w:ind w:left="17"/>
              <w:jc w:val="center"/>
              <w:rPr>
                <w:color w:val="000000" w:themeColor="text1"/>
                <w:szCs w:val="21"/>
              </w:rPr>
            </w:pPr>
            <w:r w:rsidRPr="00531C33">
              <w:rPr>
                <w:color w:val="000000" w:themeColor="text1"/>
                <w:szCs w:val="21"/>
              </w:rPr>
              <w:t>占基金总资产的比例</w:t>
            </w:r>
            <w:r w:rsidRPr="00531C33">
              <w:rPr>
                <w:color w:val="000000" w:themeColor="text1"/>
                <w:szCs w:val="21"/>
              </w:rPr>
              <w:t>(%)</w:t>
            </w:r>
          </w:p>
        </w:tc>
      </w:tr>
      <w:tr w:rsidR="00221340" w:rsidRPr="00531C33" w:rsidTr="00F36F0A">
        <w:tc>
          <w:tcPr>
            <w:tcW w:w="851" w:type="dxa"/>
            <w:vAlign w:val="center"/>
          </w:tcPr>
          <w:p w:rsidR="00B4354A" w:rsidRPr="00531C33" w:rsidRDefault="00737060" w:rsidP="00196812">
            <w:pPr>
              <w:spacing w:before="29" w:line="360" w:lineRule="auto"/>
              <w:ind w:left="17"/>
              <w:jc w:val="center"/>
              <w:rPr>
                <w:color w:val="000000" w:themeColor="text1"/>
                <w:szCs w:val="21"/>
              </w:rPr>
            </w:pPr>
            <w:r w:rsidRPr="00531C33">
              <w:rPr>
                <w:color w:val="000000" w:themeColor="text1"/>
                <w:szCs w:val="21"/>
              </w:rPr>
              <w:t>1</w:t>
            </w:r>
          </w:p>
        </w:tc>
        <w:tc>
          <w:tcPr>
            <w:tcW w:w="3118" w:type="dxa"/>
            <w:vAlign w:val="center"/>
          </w:tcPr>
          <w:p w:rsidR="00B4354A" w:rsidRPr="00531C33" w:rsidRDefault="00B4354A" w:rsidP="000C5A36">
            <w:pPr>
              <w:spacing w:before="29" w:line="360" w:lineRule="auto"/>
              <w:ind w:left="17"/>
              <w:rPr>
                <w:color w:val="000000" w:themeColor="text1"/>
                <w:szCs w:val="21"/>
              </w:rPr>
            </w:pPr>
            <w:r w:rsidRPr="00531C33">
              <w:rPr>
                <w:color w:val="000000" w:themeColor="text1"/>
                <w:szCs w:val="21"/>
              </w:rPr>
              <w:t>固定收益投资</w:t>
            </w:r>
          </w:p>
        </w:tc>
        <w:tc>
          <w:tcPr>
            <w:tcW w:w="3119"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14,769,894,829.69</w:t>
            </w:r>
          </w:p>
        </w:tc>
        <w:tc>
          <w:tcPr>
            <w:tcW w:w="1984"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92.42</w:t>
            </w:r>
          </w:p>
        </w:tc>
      </w:tr>
      <w:tr w:rsidR="00221340" w:rsidRPr="00531C33" w:rsidTr="00F36F0A">
        <w:tc>
          <w:tcPr>
            <w:tcW w:w="851" w:type="dxa"/>
            <w:vAlign w:val="center"/>
          </w:tcPr>
          <w:p w:rsidR="00B4354A" w:rsidRPr="00531C33" w:rsidRDefault="00B4354A" w:rsidP="00196812">
            <w:pPr>
              <w:spacing w:before="29" w:line="360" w:lineRule="auto"/>
              <w:ind w:left="17"/>
              <w:jc w:val="center"/>
              <w:rPr>
                <w:color w:val="000000" w:themeColor="text1"/>
                <w:szCs w:val="21"/>
              </w:rPr>
            </w:pPr>
          </w:p>
        </w:tc>
        <w:tc>
          <w:tcPr>
            <w:tcW w:w="3118" w:type="dxa"/>
            <w:vAlign w:val="center"/>
          </w:tcPr>
          <w:p w:rsidR="00B4354A" w:rsidRPr="00531C33" w:rsidRDefault="00B4354A" w:rsidP="000C5A36">
            <w:pPr>
              <w:spacing w:before="29" w:line="360" w:lineRule="auto"/>
              <w:ind w:left="17"/>
              <w:rPr>
                <w:color w:val="000000" w:themeColor="text1"/>
                <w:szCs w:val="21"/>
              </w:rPr>
            </w:pPr>
            <w:r w:rsidRPr="00531C33">
              <w:rPr>
                <w:color w:val="000000" w:themeColor="text1"/>
                <w:szCs w:val="21"/>
              </w:rPr>
              <w:t>其中：债券</w:t>
            </w:r>
          </w:p>
        </w:tc>
        <w:tc>
          <w:tcPr>
            <w:tcW w:w="3119"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14,769,894,829.69</w:t>
            </w:r>
          </w:p>
        </w:tc>
        <w:tc>
          <w:tcPr>
            <w:tcW w:w="1984"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92.42</w:t>
            </w:r>
          </w:p>
        </w:tc>
      </w:tr>
      <w:tr w:rsidR="00221340" w:rsidRPr="00531C33" w:rsidTr="00F36F0A">
        <w:tc>
          <w:tcPr>
            <w:tcW w:w="851" w:type="dxa"/>
            <w:vAlign w:val="center"/>
          </w:tcPr>
          <w:p w:rsidR="00B4354A" w:rsidRPr="00531C33" w:rsidRDefault="00B4354A" w:rsidP="00196812">
            <w:pPr>
              <w:spacing w:before="29" w:line="360" w:lineRule="auto"/>
              <w:ind w:left="17"/>
              <w:jc w:val="center"/>
              <w:rPr>
                <w:color w:val="000000" w:themeColor="text1"/>
                <w:szCs w:val="21"/>
              </w:rPr>
            </w:pPr>
          </w:p>
        </w:tc>
        <w:tc>
          <w:tcPr>
            <w:tcW w:w="3118" w:type="dxa"/>
            <w:vAlign w:val="center"/>
          </w:tcPr>
          <w:p w:rsidR="00B4354A" w:rsidRPr="00531C33" w:rsidRDefault="00B4354A" w:rsidP="000C5A36">
            <w:pPr>
              <w:autoSpaceDE w:val="0"/>
              <w:autoSpaceDN w:val="0"/>
              <w:adjustRightInd w:val="0"/>
              <w:spacing w:before="29" w:line="360" w:lineRule="auto"/>
              <w:ind w:left="17"/>
              <w:rPr>
                <w:color w:val="000000" w:themeColor="text1"/>
                <w:szCs w:val="21"/>
              </w:rPr>
            </w:pPr>
            <w:r w:rsidRPr="00531C33">
              <w:rPr>
                <w:color w:val="000000" w:themeColor="text1"/>
                <w:szCs w:val="21"/>
              </w:rPr>
              <w:t>资产支持证券</w:t>
            </w:r>
          </w:p>
        </w:tc>
        <w:tc>
          <w:tcPr>
            <w:tcW w:w="3119"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w:t>
            </w:r>
          </w:p>
        </w:tc>
        <w:tc>
          <w:tcPr>
            <w:tcW w:w="1984"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w:t>
            </w:r>
          </w:p>
        </w:tc>
      </w:tr>
      <w:tr w:rsidR="00221340" w:rsidRPr="00531C33" w:rsidTr="00F36F0A">
        <w:tc>
          <w:tcPr>
            <w:tcW w:w="851" w:type="dxa"/>
            <w:vAlign w:val="center"/>
          </w:tcPr>
          <w:p w:rsidR="00B4354A" w:rsidRPr="00531C33" w:rsidRDefault="00737060" w:rsidP="00196812">
            <w:pPr>
              <w:spacing w:before="29" w:line="360" w:lineRule="auto"/>
              <w:ind w:left="17"/>
              <w:jc w:val="center"/>
              <w:rPr>
                <w:color w:val="000000" w:themeColor="text1"/>
                <w:szCs w:val="21"/>
              </w:rPr>
            </w:pPr>
            <w:r w:rsidRPr="00531C33">
              <w:rPr>
                <w:color w:val="000000" w:themeColor="text1"/>
                <w:szCs w:val="21"/>
              </w:rPr>
              <w:t>2</w:t>
            </w:r>
          </w:p>
        </w:tc>
        <w:tc>
          <w:tcPr>
            <w:tcW w:w="3118" w:type="dxa"/>
            <w:vAlign w:val="center"/>
          </w:tcPr>
          <w:p w:rsidR="00B4354A" w:rsidRPr="00531C33" w:rsidRDefault="00B4354A" w:rsidP="000C5A36">
            <w:pPr>
              <w:spacing w:before="29" w:line="360" w:lineRule="auto"/>
              <w:ind w:left="17"/>
              <w:rPr>
                <w:color w:val="000000" w:themeColor="text1"/>
                <w:szCs w:val="21"/>
              </w:rPr>
            </w:pPr>
            <w:r w:rsidRPr="00531C33">
              <w:rPr>
                <w:color w:val="000000" w:themeColor="text1"/>
                <w:szCs w:val="21"/>
              </w:rPr>
              <w:t>买入返售金融资产</w:t>
            </w:r>
          </w:p>
        </w:tc>
        <w:tc>
          <w:tcPr>
            <w:tcW w:w="3119"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1,147,400,622.40</w:t>
            </w:r>
          </w:p>
        </w:tc>
        <w:tc>
          <w:tcPr>
            <w:tcW w:w="1984"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7.18</w:t>
            </w:r>
          </w:p>
        </w:tc>
      </w:tr>
      <w:tr w:rsidR="00221340" w:rsidRPr="00531C33" w:rsidTr="00F36F0A">
        <w:tc>
          <w:tcPr>
            <w:tcW w:w="851" w:type="dxa"/>
            <w:vAlign w:val="center"/>
          </w:tcPr>
          <w:p w:rsidR="00B4354A" w:rsidRPr="00531C33" w:rsidRDefault="00B4354A" w:rsidP="00196812">
            <w:pPr>
              <w:spacing w:before="29" w:line="360" w:lineRule="auto"/>
              <w:ind w:left="17"/>
              <w:jc w:val="center"/>
              <w:rPr>
                <w:color w:val="000000" w:themeColor="text1"/>
                <w:szCs w:val="21"/>
              </w:rPr>
            </w:pPr>
          </w:p>
        </w:tc>
        <w:tc>
          <w:tcPr>
            <w:tcW w:w="3118" w:type="dxa"/>
            <w:vAlign w:val="center"/>
          </w:tcPr>
          <w:p w:rsidR="00B4354A" w:rsidRPr="00531C33" w:rsidRDefault="00B4354A" w:rsidP="000C5A36">
            <w:pPr>
              <w:spacing w:before="29" w:line="360" w:lineRule="auto"/>
              <w:ind w:left="17"/>
              <w:rPr>
                <w:color w:val="000000" w:themeColor="text1"/>
                <w:szCs w:val="21"/>
              </w:rPr>
            </w:pPr>
            <w:r w:rsidRPr="00531C33">
              <w:rPr>
                <w:color w:val="000000" w:themeColor="text1"/>
                <w:szCs w:val="21"/>
              </w:rPr>
              <w:t>其中：买断式回购的买入返售金融资产</w:t>
            </w:r>
          </w:p>
        </w:tc>
        <w:tc>
          <w:tcPr>
            <w:tcW w:w="3119"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w:t>
            </w:r>
          </w:p>
        </w:tc>
        <w:tc>
          <w:tcPr>
            <w:tcW w:w="1984"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w:t>
            </w:r>
          </w:p>
        </w:tc>
      </w:tr>
      <w:tr w:rsidR="00221340" w:rsidRPr="00531C33" w:rsidTr="00F36F0A">
        <w:tc>
          <w:tcPr>
            <w:tcW w:w="851" w:type="dxa"/>
            <w:vAlign w:val="center"/>
          </w:tcPr>
          <w:p w:rsidR="00B4354A" w:rsidRPr="00531C33" w:rsidRDefault="005F17EC" w:rsidP="00196812">
            <w:pPr>
              <w:spacing w:before="29" w:line="360" w:lineRule="auto"/>
              <w:ind w:left="17"/>
              <w:jc w:val="center"/>
              <w:rPr>
                <w:color w:val="000000" w:themeColor="text1"/>
                <w:szCs w:val="21"/>
              </w:rPr>
            </w:pPr>
            <w:r w:rsidRPr="00531C33">
              <w:rPr>
                <w:color w:val="000000" w:themeColor="text1"/>
                <w:szCs w:val="21"/>
              </w:rPr>
              <w:t>3</w:t>
            </w:r>
          </w:p>
        </w:tc>
        <w:tc>
          <w:tcPr>
            <w:tcW w:w="3118" w:type="dxa"/>
            <w:vAlign w:val="center"/>
          </w:tcPr>
          <w:p w:rsidR="00B4354A" w:rsidRPr="00531C33" w:rsidRDefault="00B4354A" w:rsidP="000C5A36">
            <w:pPr>
              <w:spacing w:before="29" w:line="360" w:lineRule="auto"/>
              <w:ind w:left="17"/>
              <w:rPr>
                <w:color w:val="000000" w:themeColor="text1"/>
                <w:szCs w:val="21"/>
              </w:rPr>
            </w:pPr>
            <w:r w:rsidRPr="00531C33">
              <w:rPr>
                <w:color w:val="000000" w:themeColor="text1"/>
                <w:szCs w:val="21"/>
              </w:rPr>
              <w:t>银行存款和结算备付金合计</w:t>
            </w:r>
          </w:p>
        </w:tc>
        <w:tc>
          <w:tcPr>
            <w:tcW w:w="3119"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2,312,813.50</w:t>
            </w:r>
          </w:p>
        </w:tc>
        <w:tc>
          <w:tcPr>
            <w:tcW w:w="1984" w:type="dxa"/>
            <w:vAlign w:val="center"/>
          </w:tcPr>
          <w:p w:rsidR="00B4354A" w:rsidRPr="00531C33" w:rsidRDefault="00B4354A" w:rsidP="00196812">
            <w:pPr>
              <w:spacing w:before="29" w:line="360" w:lineRule="auto"/>
              <w:ind w:left="17"/>
              <w:jc w:val="right"/>
              <w:rPr>
                <w:color w:val="000000" w:themeColor="text1"/>
                <w:szCs w:val="21"/>
              </w:rPr>
            </w:pPr>
            <w:r w:rsidRPr="00531C33">
              <w:rPr>
                <w:color w:val="000000" w:themeColor="text1"/>
                <w:szCs w:val="21"/>
              </w:rPr>
              <w:t>0.01</w:t>
            </w:r>
          </w:p>
        </w:tc>
      </w:tr>
      <w:tr w:rsidR="00221340" w:rsidRPr="00531C33" w:rsidTr="00F36F0A">
        <w:tc>
          <w:tcPr>
            <w:tcW w:w="851" w:type="dxa"/>
            <w:vAlign w:val="center"/>
          </w:tcPr>
          <w:p w:rsidR="00B4354A" w:rsidRPr="00531C33" w:rsidRDefault="00B4354A" w:rsidP="00196812">
            <w:pPr>
              <w:spacing w:before="29" w:line="360" w:lineRule="auto"/>
              <w:ind w:left="17"/>
              <w:jc w:val="center"/>
              <w:rPr>
                <w:color w:val="000000" w:themeColor="text1"/>
                <w:szCs w:val="21"/>
              </w:rPr>
            </w:pPr>
            <w:r w:rsidRPr="00531C33">
              <w:rPr>
                <w:color w:val="000000" w:themeColor="text1"/>
                <w:szCs w:val="21"/>
              </w:rPr>
              <w:t>4</w:t>
            </w:r>
          </w:p>
        </w:tc>
        <w:tc>
          <w:tcPr>
            <w:tcW w:w="3118" w:type="dxa"/>
            <w:vAlign w:val="center"/>
          </w:tcPr>
          <w:p w:rsidR="00B4354A" w:rsidRPr="00531C33" w:rsidRDefault="00B4354A" w:rsidP="00DF0A2B">
            <w:pPr>
              <w:spacing w:line="360" w:lineRule="auto"/>
              <w:rPr>
                <w:color w:val="000000" w:themeColor="text1"/>
                <w:szCs w:val="21"/>
              </w:rPr>
            </w:pPr>
            <w:r w:rsidRPr="00531C33">
              <w:rPr>
                <w:color w:val="000000" w:themeColor="text1"/>
                <w:szCs w:val="21"/>
              </w:rPr>
              <w:t>其他资产</w:t>
            </w:r>
          </w:p>
        </w:tc>
        <w:tc>
          <w:tcPr>
            <w:tcW w:w="3119" w:type="dxa"/>
            <w:vAlign w:val="center"/>
          </w:tcPr>
          <w:p w:rsidR="00B4354A" w:rsidRPr="00531C33" w:rsidRDefault="00B4354A" w:rsidP="00196812">
            <w:pPr>
              <w:spacing w:line="360" w:lineRule="auto"/>
              <w:jc w:val="right"/>
              <w:rPr>
                <w:color w:val="000000" w:themeColor="text1"/>
                <w:szCs w:val="21"/>
              </w:rPr>
            </w:pPr>
            <w:r w:rsidRPr="00531C33">
              <w:rPr>
                <w:color w:val="000000" w:themeColor="text1"/>
                <w:szCs w:val="21"/>
              </w:rPr>
              <w:t>61,967,724.18</w:t>
            </w:r>
          </w:p>
        </w:tc>
        <w:tc>
          <w:tcPr>
            <w:tcW w:w="1984" w:type="dxa"/>
            <w:vAlign w:val="center"/>
          </w:tcPr>
          <w:p w:rsidR="00B4354A" w:rsidRPr="00531C33" w:rsidRDefault="00B4354A" w:rsidP="00196812">
            <w:pPr>
              <w:spacing w:line="360" w:lineRule="auto"/>
              <w:jc w:val="right"/>
              <w:rPr>
                <w:color w:val="000000" w:themeColor="text1"/>
                <w:szCs w:val="21"/>
              </w:rPr>
            </w:pPr>
            <w:r w:rsidRPr="00531C33">
              <w:rPr>
                <w:color w:val="000000" w:themeColor="text1"/>
                <w:szCs w:val="21"/>
              </w:rPr>
              <w:t>0.39</w:t>
            </w:r>
          </w:p>
        </w:tc>
      </w:tr>
      <w:tr w:rsidR="00221340" w:rsidRPr="00531C33" w:rsidTr="00F36F0A">
        <w:tc>
          <w:tcPr>
            <w:tcW w:w="851" w:type="dxa"/>
            <w:vAlign w:val="center"/>
          </w:tcPr>
          <w:p w:rsidR="00B4354A" w:rsidRPr="00531C33" w:rsidRDefault="00B4354A" w:rsidP="00196812">
            <w:pPr>
              <w:spacing w:before="29" w:line="360" w:lineRule="auto"/>
              <w:ind w:left="17"/>
              <w:jc w:val="center"/>
              <w:rPr>
                <w:color w:val="000000" w:themeColor="text1"/>
                <w:szCs w:val="21"/>
              </w:rPr>
            </w:pPr>
            <w:r w:rsidRPr="00531C33">
              <w:rPr>
                <w:color w:val="000000" w:themeColor="text1"/>
                <w:szCs w:val="21"/>
              </w:rPr>
              <w:t>5</w:t>
            </w:r>
          </w:p>
        </w:tc>
        <w:tc>
          <w:tcPr>
            <w:tcW w:w="3118" w:type="dxa"/>
            <w:vAlign w:val="center"/>
          </w:tcPr>
          <w:p w:rsidR="00B4354A" w:rsidRPr="00531C33" w:rsidRDefault="00B4354A" w:rsidP="00DF0A2B">
            <w:pPr>
              <w:spacing w:line="360" w:lineRule="auto"/>
              <w:rPr>
                <w:color w:val="000000" w:themeColor="text1"/>
                <w:szCs w:val="21"/>
              </w:rPr>
            </w:pPr>
            <w:r w:rsidRPr="00531C33">
              <w:rPr>
                <w:color w:val="000000" w:themeColor="text1"/>
                <w:szCs w:val="21"/>
              </w:rPr>
              <w:t>合计</w:t>
            </w:r>
          </w:p>
        </w:tc>
        <w:tc>
          <w:tcPr>
            <w:tcW w:w="3119" w:type="dxa"/>
            <w:vAlign w:val="center"/>
          </w:tcPr>
          <w:p w:rsidR="00B4354A" w:rsidRPr="00531C33" w:rsidRDefault="00B4354A" w:rsidP="00196812">
            <w:pPr>
              <w:spacing w:line="360" w:lineRule="auto"/>
              <w:jc w:val="right"/>
              <w:rPr>
                <w:color w:val="000000" w:themeColor="text1"/>
                <w:szCs w:val="21"/>
              </w:rPr>
            </w:pPr>
            <w:r w:rsidRPr="00531C33">
              <w:rPr>
                <w:color w:val="000000" w:themeColor="text1"/>
                <w:szCs w:val="21"/>
              </w:rPr>
              <w:t>15,981,575,989.77</w:t>
            </w:r>
          </w:p>
        </w:tc>
        <w:tc>
          <w:tcPr>
            <w:tcW w:w="1984" w:type="dxa"/>
            <w:vAlign w:val="center"/>
          </w:tcPr>
          <w:p w:rsidR="00B4354A" w:rsidRPr="00531C33" w:rsidRDefault="00B4354A" w:rsidP="00196812">
            <w:pPr>
              <w:spacing w:line="360" w:lineRule="auto"/>
              <w:jc w:val="right"/>
              <w:rPr>
                <w:color w:val="000000" w:themeColor="text1"/>
                <w:szCs w:val="21"/>
              </w:rPr>
            </w:pPr>
            <w:r w:rsidRPr="00531C33">
              <w:rPr>
                <w:color w:val="000000" w:themeColor="text1"/>
                <w:szCs w:val="21"/>
              </w:rPr>
              <w:t>100.00</w:t>
            </w:r>
          </w:p>
        </w:tc>
      </w:tr>
    </w:tbl>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5.2 </w:t>
      </w:r>
      <w:r w:rsidRPr="00531C33">
        <w:rPr>
          <w:b w:val="0"/>
          <w:sz w:val="21"/>
          <w:szCs w:val="21"/>
        </w:rPr>
        <w:t>报告期债券回购融资情况</w:t>
      </w:r>
    </w:p>
    <w:tbl>
      <w:tblPr>
        <w:tblW w:w="0" w:type="auto"/>
        <w:tblInd w:w="108" w:type="dxa"/>
        <w:tblLayout w:type="fixed"/>
        <w:tblLook w:val="0000"/>
      </w:tblPr>
      <w:tblGrid>
        <w:gridCol w:w="861"/>
        <w:gridCol w:w="3108"/>
        <w:gridCol w:w="2977"/>
        <w:gridCol w:w="2126"/>
      </w:tblGrid>
      <w:tr w:rsidR="003F7AEB" w:rsidRPr="00AA4158" w:rsidTr="00A26845">
        <w:tc>
          <w:tcPr>
            <w:tcW w:w="861" w:type="dxa"/>
            <w:tcBorders>
              <w:top w:val="single" w:sz="8" w:space="0" w:color="000000"/>
              <w:left w:val="single" w:sz="8" w:space="0" w:color="000000"/>
              <w:bottom w:val="single" w:sz="8" w:space="0" w:color="000000"/>
              <w:right w:val="single" w:sz="8" w:space="0" w:color="000000"/>
            </w:tcBorders>
            <w:vAlign w:val="center"/>
          </w:tcPr>
          <w:p w:rsidR="003F7AEB" w:rsidRPr="00AA4158" w:rsidRDefault="003F7AEB" w:rsidP="00A26845">
            <w:pPr>
              <w:autoSpaceDE w:val="0"/>
              <w:autoSpaceDN w:val="0"/>
              <w:adjustRightInd w:val="0"/>
              <w:spacing w:before="29" w:line="360" w:lineRule="auto"/>
              <w:ind w:left="15"/>
              <w:jc w:val="center"/>
              <w:rPr>
                <w:color w:val="000000" w:themeColor="text1"/>
                <w:kern w:val="0"/>
                <w:szCs w:val="21"/>
              </w:rPr>
            </w:pPr>
            <w:r w:rsidRPr="00AA4158">
              <w:rPr>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3F7AEB" w:rsidRPr="00AA4158" w:rsidRDefault="003F7AEB" w:rsidP="00A26845">
            <w:pPr>
              <w:autoSpaceDE w:val="0"/>
              <w:autoSpaceDN w:val="0"/>
              <w:adjustRightInd w:val="0"/>
              <w:spacing w:before="29" w:line="360" w:lineRule="auto"/>
              <w:ind w:left="15"/>
              <w:jc w:val="center"/>
              <w:rPr>
                <w:color w:val="000000" w:themeColor="text1"/>
                <w:kern w:val="0"/>
                <w:szCs w:val="21"/>
              </w:rPr>
            </w:pPr>
            <w:r w:rsidRPr="00AA4158">
              <w:rPr>
                <w:color w:val="000000" w:themeColor="text1"/>
                <w:kern w:val="0"/>
                <w:szCs w:val="21"/>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3F7AEB" w:rsidRPr="00AA4158" w:rsidRDefault="003F7AEB" w:rsidP="00A26845">
            <w:pPr>
              <w:autoSpaceDE w:val="0"/>
              <w:autoSpaceDN w:val="0"/>
              <w:adjustRightInd w:val="0"/>
              <w:spacing w:before="29" w:line="360" w:lineRule="auto"/>
              <w:ind w:left="15"/>
              <w:jc w:val="center"/>
              <w:rPr>
                <w:color w:val="000000" w:themeColor="text1"/>
                <w:kern w:val="0"/>
                <w:szCs w:val="21"/>
              </w:rPr>
            </w:pPr>
            <w:r w:rsidRPr="00AA4158">
              <w:rPr>
                <w:color w:val="000000" w:themeColor="text1"/>
                <w:kern w:val="0"/>
                <w:szCs w:val="21"/>
              </w:rPr>
              <w:t>占基金资产净值的比例（％）</w:t>
            </w:r>
          </w:p>
        </w:tc>
      </w:tr>
      <w:tr w:rsidR="003F7AEB" w:rsidRPr="00AA4158" w:rsidTr="00A26845">
        <w:trPr>
          <w:trHeight w:val="256"/>
        </w:trPr>
        <w:tc>
          <w:tcPr>
            <w:tcW w:w="861" w:type="dxa"/>
            <w:vMerge w:val="restart"/>
            <w:tcBorders>
              <w:top w:val="single" w:sz="8" w:space="0" w:color="000000"/>
              <w:left w:val="single" w:sz="8" w:space="0" w:color="000000"/>
              <w:right w:val="single" w:sz="8" w:space="0" w:color="000000"/>
            </w:tcBorders>
            <w:vAlign w:val="center"/>
          </w:tcPr>
          <w:p w:rsidR="003F7AEB" w:rsidRPr="00AA4158" w:rsidRDefault="003F7AEB" w:rsidP="00A26845">
            <w:pPr>
              <w:autoSpaceDE w:val="0"/>
              <w:autoSpaceDN w:val="0"/>
              <w:adjustRightInd w:val="0"/>
              <w:spacing w:before="29" w:line="360" w:lineRule="auto"/>
              <w:ind w:left="15"/>
              <w:jc w:val="center"/>
              <w:rPr>
                <w:color w:val="000000" w:themeColor="text1"/>
                <w:kern w:val="0"/>
                <w:szCs w:val="21"/>
              </w:rPr>
            </w:pPr>
            <w:r w:rsidRPr="00AA4158">
              <w:rPr>
                <w:color w:val="000000" w:themeColor="text1"/>
                <w:kern w:val="0"/>
                <w:szCs w:val="21"/>
              </w:rPr>
              <w:t>1</w:t>
            </w:r>
          </w:p>
        </w:tc>
        <w:tc>
          <w:tcPr>
            <w:tcW w:w="3108" w:type="dxa"/>
            <w:tcBorders>
              <w:top w:val="single" w:sz="8" w:space="0" w:color="000000"/>
              <w:left w:val="single" w:sz="8" w:space="0" w:color="000000"/>
              <w:bottom w:val="single" w:sz="8" w:space="0" w:color="000000"/>
              <w:right w:val="single" w:sz="8" w:space="0" w:color="000000"/>
            </w:tcBorders>
            <w:vAlign w:val="center"/>
          </w:tcPr>
          <w:p w:rsidR="003F7AEB" w:rsidRPr="00AA4158" w:rsidRDefault="003F7AEB" w:rsidP="00A26845">
            <w:pPr>
              <w:rPr>
                <w:color w:val="000000" w:themeColor="text1"/>
                <w:szCs w:val="21"/>
              </w:rPr>
            </w:pPr>
            <w:r w:rsidRPr="00AA4158">
              <w:rPr>
                <w:color w:val="000000" w:themeColor="text1"/>
                <w:szCs w:val="21"/>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3F7AEB" w:rsidRPr="00AA4158" w:rsidRDefault="003F7AEB" w:rsidP="00A26845">
            <w:pPr>
              <w:jc w:val="right"/>
              <w:rPr>
                <w:color w:val="000000" w:themeColor="text1"/>
                <w:szCs w:val="21"/>
              </w:rPr>
            </w:pPr>
            <w:r w:rsidRPr="00AA4158">
              <w:rPr>
                <w:color w:val="000000" w:themeColor="text1"/>
                <w:szCs w:val="21"/>
              </w:rPr>
              <w:t>17.08</w:t>
            </w:r>
          </w:p>
        </w:tc>
      </w:tr>
      <w:tr w:rsidR="003F7AEB" w:rsidRPr="00AA4158" w:rsidTr="00A26845">
        <w:tc>
          <w:tcPr>
            <w:tcW w:w="861" w:type="dxa"/>
            <w:vMerge/>
            <w:tcBorders>
              <w:left w:val="single" w:sz="8" w:space="0" w:color="000000"/>
              <w:bottom w:val="single" w:sz="8" w:space="0" w:color="000000"/>
              <w:right w:val="single" w:sz="8" w:space="0" w:color="000000"/>
            </w:tcBorders>
            <w:vAlign w:val="center"/>
          </w:tcPr>
          <w:p w:rsidR="003F7AEB" w:rsidRPr="00AA4158" w:rsidRDefault="003F7AEB" w:rsidP="00A26845">
            <w:pPr>
              <w:autoSpaceDE w:val="0"/>
              <w:autoSpaceDN w:val="0"/>
              <w:adjustRightInd w:val="0"/>
              <w:spacing w:before="29" w:line="360" w:lineRule="auto"/>
              <w:ind w:left="15"/>
              <w:jc w:val="center"/>
              <w:rPr>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vAlign w:val="center"/>
          </w:tcPr>
          <w:p w:rsidR="003F7AEB" w:rsidRPr="00AA4158" w:rsidRDefault="003F7AEB" w:rsidP="00A26845">
            <w:pPr>
              <w:rPr>
                <w:color w:val="000000" w:themeColor="text1"/>
                <w:szCs w:val="21"/>
              </w:rPr>
            </w:pPr>
            <w:r w:rsidRPr="00AA4158">
              <w:rPr>
                <w:color w:val="000000" w:themeColor="text1"/>
                <w:szCs w:val="21"/>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3F7AEB" w:rsidRPr="00AA4158" w:rsidRDefault="003F7AEB" w:rsidP="00A26845">
            <w:pPr>
              <w:jc w:val="right"/>
              <w:rPr>
                <w:color w:val="000000" w:themeColor="text1"/>
                <w:szCs w:val="21"/>
              </w:rPr>
            </w:pPr>
            <w:r w:rsidRPr="00AA4158">
              <w:rPr>
                <w:color w:val="000000" w:themeColor="text1"/>
                <w:szCs w:val="21"/>
              </w:rPr>
              <w:t>-</w:t>
            </w:r>
          </w:p>
        </w:tc>
      </w:tr>
      <w:tr w:rsidR="003F7AEB" w:rsidRPr="00AA4158" w:rsidTr="00A26845">
        <w:tc>
          <w:tcPr>
            <w:tcW w:w="861" w:type="dxa"/>
            <w:tcBorders>
              <w:left w:val="single" w:sz="8" w:space="0" w:color="000000"/>
              <w:bottom w:val="single" w:sz="8" w:space="0" w:color="000000"/>
              <w:right w:val="single" w:sz="8" w:space="0" w:color="000000"/>
            </w:tcBorders>
            <w:vAlign w:val="center"/>
          </w:tcPr>
          <w:p w:rsidR="003F7AEB" w:rsidRPr="00AA4158" w:rsidRDefault="003F7AEB" w:rsidP="00A26845">
            <w:pPr>
              <w:autoSpaceDE w:val="0"/>
              <w:autoSpaceDN w:val="0"/>
              <w:adjustRightInd w:val="0"/>
              <w:spacing w:before="29" w:line="360" w:lineRule="auto"/>
              <w:ind w:left="15"/>
              <w:jc w:val="center"/>
              <w:rPr>
                <w:color w:val="000000" w:themeColor="text1"/>
                <w:szCs w:val="21"/>
              </w:rPr>
            </w:pPr>
            <w:r w:rsidRPr="00AA4158">
              <w:rPr>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3F7AEB" w:rsidRPr="00AA4158" w:rsidRDefault="003F7AEB" w:rsidP="00A26845">
            <w:pPr>
              <w:jc w:val="center"/>
              <w:rPr>
                <w:color w:val="000000" w:themeColor="text1"/>
                <w:szCs w:val="21"/>
              </w:rPr>
            </w:pPr>
            <w:r w:rsidRPr="00AA4158">
              <w:rPr>
                <w:color w:val="000000" w:themeColor="text1"/>
                <w:szCs w:val="21"/>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3F7AEB" w:rsidRPr="00AA4158" w:rsidRDefault="003F7AEB" w:rsidP="00A26845">
            <w:pPr>
              <w:jc w:val="center"/>
              <w:rPr>
                <w:color w:val="000000" w:themeColor="text1"/>
                <w:szCs w:val="21"/>
              </w:rPr>
            </w:pPr>
            <w:r w:rsidRPr="00AA4158">
              <w:rPr>
                <w:color w:val="000000" w:themeColor="text1"/>
                <w:szCs w:val="21"/>
              </w:rPr>
              <w:t>金额</w:t>
            </w:r>
            <w:r w:rsidRPr="00AA4158">
              <w:rPr>
                <w:color w:val="000000" w:themeColor="text1"/>
                <w:kern w:val="0"/>
                <w:szCs w:val="21"/>
              </w:rPr>
              <w:t>（元）</w:t>
            </w:r>
          </w:p>
        </w:tc>
        <w:tc>
          <w:tcPr>
            <w:tcW w:w="2126" w:type="dxa"/>
            <w:tcBorders>
              <w:top w:val="single" w:sz="8" w:space="0" w:color="000000"/>
              <w:left w:val="single" w:sz="8" w:space="0" w:color="000000"/>
              <w:bottom w:val="single" w:sz="8" w:space="0" w:color="000000"/>
              <w:right w:val="single" w:sz="8" w:space="0" w:color="000000"/>
            </w:tcBorders>
            <w:vAlign w:val="center"/>
          </w:tcPr>
          <w:p w:rsidR="003F7AEB" w:rsidRPr="00AA4158" w:rsidRDefault="003F7AEB" w:rsidP="00A26845">
            <w:pPr>
              <w:jc w:val="center"/>
              <w:rPr>
                <w:color w:val="000000" w:themeColor="text1"/>
                <w:szCs w:val="21"/>
              </w:rPr>
            </w:pPr>
            <w:r w:rsidRPr="00AA4158">
              <w:rPr>
                <w:color w:val="000000" w:themeColor="text1"/>
                <w:kern w:val="0"/>
                <w:szCs w:val="21"/>
              </w:rPr>
              <w:t>占基金资产净值的比例（％）</w:t>
            </w:r>
          </w:p>
        </w:tc>
      </w:tr>
      <w:tr w:rsidR="003F7AEB" w:rsidRPr="00AA4158" w:rsidTr="00A26845">
        <w:tc>
          <w:tcPr>
            <w:tcW w:w="861" w:type="dxa"/>
            <w:vMerge w:val="restart"/>
            <w:tcBorders>
              <w:top w:val="single" w:sz="8" w:space="0" w:color="000000"/>
              <w:left w:val="single" w:sz="8" w:space="0" w:color="000000"/>
              <w:right w:val="single" w:sz="8" w:space="0" w:color="000000"/>
            </w:tcBorders>
            <w:vAlign w:val="center"/>
          </w:tcPr>
          <w:p w:rsidR="003F7AEB" w:rsidRPr="00AA4158" w:rsidRDefault="003F7AEB" w:rsidP="00A26845">
            <w:pPr>
              <w:autoSpaceDE w:val="0"/>
              <w:autoSpaceDN w:val="0"/>
              <w:adjustRightInd w:val="0"/>
              <w:spacing w:before="29" w:line="360" w:lineRule="auto"/>
              <w:ind w:left="15"/>
              <w:jc w:val="center"/>
              <w:rPr>
                <w:color w:val="000000" w:themeColor="text1"/>
                <w:szCs w:val="21"/>
              </w:rPr>
            </w:pPr>
            <w:r w:rsidRPr="00AA4158">
              <w:rPr>
                <w:color w:val="000000" w:themeColor="text1"/>
                <w:szCs w:val="21"/>
              </w:rPr>
              <w:t>2</w:t>
            </w:r>
          </w:p>
        </w:tc>
        <w:tc>
          <w:tcPr>
            <w:tcW w:w="3108" w:type="dxa"/>
            <w:tcBorders>
              <w:top w:val="single" w:sz="8" w:space="0" w:color="000000"/>
              <w:left w:val="single" w:sz="8" w:space="0" w:color="000000"/>
              <w:bottom w:val="single" w:sz="8" w:space="0" w:color="000000"/>
              <w:right w:val="single" w:sz="8" w:space="0" w:color="000000"/>
            </w:tcBorders>
            <w:vAlign w:val="center"/>
          </w:tcPr>
          <w:p w:rsidR="003F7AEB" w:rsidRPr="00AA4158" w:rsidRDefault="003F7AEB" w:rsidP="00A26845">
            <w:pPr>
              <w:rPr>
                <w:color w:val="000000" w:themeColor="text1"/>
                <w:szCs w:val="21"/>
              </w:rPr>
            </w:pPr>
            <w:r w:rsidRPr="00AA4158">
              <w:rPr>
                <w:color w:val="000000" w:themeColor="text1"/>
                <w:szCs w:val="21"/>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3F7AEB" w:rsidRPr="00AA4158" w:rsidRDefault="003F7AEB" w:rsidP="00A26845">
            <w:pPr>
              <w:jc w:val="right"/>
              <w:rPr>
                <w:color w:val="000000" w:themeColor="text1"/>
                <w:szCs w:val="21"/>
              </w:rPr>
            </w:pPr>
            <w:r w:rsidRPr="00AA4158">
              <w:rPr>
                <w:color w:val="000000" w:themeColor="text1"/>
                <w:szCs w:val="21"/>
              </w:rPr>
              <w:t>894,922,177.61</w:t>
            </w:r>
          </w:p>
        </w:tc>
        <w:tc>
          <w:tcPr>
            <w:tcW w:w="2126" w:type="dxa"/>
            <w:tcBorders>
              <w:top w:val="single" w:sz="8" w:space="0" w:color="000000"/>
              <w:left w:val="single" w:sz="8" w:space="0" w:color="000000"/>
              <w:bottom w:val="single" w:sz="8" w:space="0" w:color="000000"/>
              <w:right w:val="single" w:sz="8" w:space="0" w:color="000000"/>
            </w:tcBorders>
            <w:vAlign w:val="center"/>
          </w:tcPr>
          <w:p w:rsidR="003F7AEB" w:rsidRPr="00AA4158" w:rsidRDefault="003F7AEB" w:rsidP="00A26845">
            <w:pPr>
              <w:jc w:val="right"/>
              <w:rPr>
                <w:color w:val="000000" w:themeColor="text1"/>
                <w:szCs w:val="21"/>
              </w:rPr>
            </w:pPr>
            <w:r w:rsidRPr="00AA4158">
              <w:rPr>
                <w:color w:val="000000" w:themeColor="text1"/>
                <w:szCs w:val="21"/>
              </w:rPr>
              <w:t>5.94</w:t>
            </w:r>
          </w:p>
        </w:tc>
      </w:tr>
      <w:tr w:rsidR="003F7AEB" w:rsidRPr="00AA4158" w:rsidTr="00A26845">
        <w:tc>
          <w:tcPr>
            <w:tcW w:w="861" w:type="dxa"/>
            <w:vMerge/>
            <w:tcBorders>
              <w:left w:val="single" w:sz="8" w:space="0" w:color="000000"/>
              <w:bottom w:val="single" w:sz="8" w:space="0" w:color="000000"/>
              <w:right w:val="single" w:sz="8" w:space="0" w:color="000000"/>
            </w:tcBorders>
            <w:vAlign w:val="center"/>
          </w:tcPr>
          <w:p w:rsidR="003F7AEB" w:rsidRPr="00AA4158" w:rsidRDefault="003F7AEB" w:rsidP="00A26845">
            <w:pPr>
              <w:autoSpaceDE w:val="0"/>
              <w:autoSpaceDN w:val="0"/>
              <w:adjustRightInd w:val="0"/>
              <w:spacing w:before="29" w:line="360" w:lineRule="auto"/>
              <w:ind w:left="15"/>
              <w:jc w:val="center"/>
              <w:rPr>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vAlign w:val="center"/>
          </w:tcPr>
          <w:p w:rsidR="003F7AEB" w:rsidRPr="00AA4158" w:rsidRDefault="003F7AEB" w:rsidP="00A26845">
            <w:pPr>
              <w:rPr>
                <w:color w:val="000000" w:themeColor="text1"/>
                <w:szCs w:val="21"/>
              </w:rPr>
            </w:pPr>
            <w:r w:rsidRPr="00AA4158">
              <w:rPr>
                <w:color w:val="000000" w:themeColor="text1"/>
                <w:szCs w:val="21"/>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3F7AEB" w:rsidRPr="00AA4158" w:rsidRDefault="003F7AEB" w:rsidP="00A26845">
            <w:pPr>
              <w:jc w:val="right"/>
              <w:rPr>
                <w:color w:val="000000" w:themeColor="text1"/>
                <w:szCs w:val="21"/>
              </w:rPr>
            </w:pPr>
            <w:r w:rsidRPr="00AA4158">
              <w:rPr>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3F7AEB" w:rsidRPr="00AA4158" w:rsidRDefault="003F7AEB" w:rsidP="00A26845">
            <w:pPr>
              <w:jc w:val="right"/>
              <w:rPr>
                <w:color w:val="000000" w:themeColor="text1"/>
                <w:szCs w:val="21"/>
              </w:rPr>
            </w:pPr>
            <w:r w:rsidRPr="00AA4158">
              <w:rPr>
                <w:color w:val="000000" w:themeColor="text1"/>
                <w:szCs w:val="21"/>
              </w:rPr>
              <w:t>-</w:t>
            </w:r>
          </w:p>
        </w:tc>
      </w:tr>
    </w:tbl>
    <w:p w:rsidR="00DB2873" w:rsidRPr="003F7AEB" w:rsidRDefault="003F7AEB" w:rsidP="003F7AEB">
      <w:pPr>
        <w:pStyle w:val="10"/>
        <w:spacing w:line="360" w:lineRule="auto"/>
        <w:ind w:firstLine="420"/>
        <w:jc w:val="left"/>
        <w:rPr>
          <w:szCs w:val="21"/>
        </w:rPr>
      </w:pPr>
      <w:r w:rsidRPr="00AA4158">
        <w:rPr>
          <w:szCs w:val="21"/>
        </w:rPr>
        <w:t>注：报告期内债券回购融资余额占基金资产净值的比例为报告期内每个交易日融资余额占资产净值比例的简单平均值。</w:t>
      </w:r>
    </w:p>
    <w:p w:rsidR="004771B9" w:rsidRPr="00531C33" w:rsidRDefault="003B7E1E" w:rsidP="00DE5371">
      <w:pPr>
        <w:pStyle w:val="3"/>
        <w:spacing w:before="0" w:after="0" w:line="360" w:lineRule="auto"/>
        <w:jc w:val="left"/>
        <w:rPr>
          <w:b w:val="0"/>
          <w:sz w:val="21"/>
          <w:szCs w:val="21"/>
        </w:rPr>
      </w:pPr>
      <w:r w:rsidRPr="003B7E1E">
        <w:rPr>
          <w:rFonts w:hint="eastAsia"/>
          <w:b w:val="0"/>
          <w:sz w:val="21"/>
          <w:szCs w:val="21"/>
        </w:rPr>
        <w:t>债券正回购的资金余额超过基金资产净值情况的说明</w:t>
      </w:r>
    </w:p>
    <w:p w:rsidR="00902E3F" w:rsidRPr="00531C33" w:rsidRDefault="007521F9" w:rsidP="00ED7E07">
      <w:pPr>
        <w:pStyle w:val="10"/>
        <w:spacing w:line="360" w:lineRule="auto"/>
        <w:ind w:firstLine="420"/>
        <w:jc w:val="left"/>
        <w:rPr>
          <w:szCs w:val="21"/>
        </w:rPr>
      </w:pPr>
      <w:r w:rsidRPr="00531C33">
        <w:rPr>
          <w:szCs w:val="21"/>
        </w:rPr>
        <w:t>本基金合同约定：</w:t>
      </w:r>
      <w:r w:rsidRPr="00531C33">
        <w:rPr>
          <w:szCs w:val="21"/>
        </w:rPr>
        <w:t>“</w:t>
      </w:r>
      <w:r w:rsidRPr="00531C33">
        <w:rPr>
          <w:szCs w:val="21"/>
        </w:rPr>
        <w:t>本基金进入全国银行间同业市场进行债券回购的资金余额不得超过基金资产净值的</w:t>
      </w:r>
      <w:r w:rsidRPr="00531C33">
        <w:rPr>
          <w:szCs w:val="21"/>
        </w:rPr>
        <w:t>40%”</w:t>
      </w:r>
      <w:r w:rsidRPr="00531C33">
        <w:rPr>
          <w:szCs w:val="21"/>
        </w:rPr>
        <w:t>，本报告期内，本基金未发生超标情况。</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5.3 </w:t>
      </w:r>
      <w:r w:rsidRPr="00531C33">
        <w:rPr>
          <w:b w:val="0"/>
          <w:sz w:val="21"/>
          <w:szCs w:val="21"/>
        </w:rPr>
        <w:t>基金投资组合平均剩余期限</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5.3.1 </w:t>
      </w:r>
      <w:r w:rsidRPr="00531C33">
        <w:rPr>
          <w:b w:val="0"/>
          <w:sz w:val="21"/>
          <w:szCs w:val="21"/>
        </w:rPr>
        <w:t>投资组合平均剩余期限基本情况</w:t>
      </w:r>
    </w:p>
    <w:tbl>
      <w:tblPr>
        <w:tblW w:w="0" w:type="auto"/>
        <w:tblInd w:w="108" w:type="dxa"/>
        <w:tblLayout w:type="fixed"/>
        <w:tblLook w:val="0000"/>
      </w:tblPr>
      <w:tblGrid>
        <w:gridCol w:w="4056"/>
        <w:gridCol w:w="5016"/>
      </w:tblGrid>
      <w:tr w:rsidR="00221340" w:rsidRPr="00531C33" w:rsidTr="00F94F30">
        <w:tc>
          <w:tcPr>
            <w:tcW w:w="4056"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B957AE">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项目</w:t>
            </w:r>
          </w:p>
        </w:tc>
        <w:tc>
          <w:tcPr>
            <w:tcW w:w="5016"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F94F30">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天数</w:t>
            </w:r>
          </w:p>
        </w:tc>
      </w:tr>
      <w:tr w:rsidR="00221340" w:rsidRPr="00531C33" w:rsidTr="00F94F30">
        <w:tc>
          <w:tcPr>
            <w:tcW w:w="4056"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F94F30">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报告期末投资组合平均剩余期限</w:t>
            </w:r>
          </w:p>
        </w:tc>
        <w:tc>
          <w:tcPr>
            <w:tcW w:w="5016"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EF3F66">
            <w:pPr>
              <w:spacing w:line="360" w:lineRule="auto"/>
              <w:jc w:val="right"/>
              <w:rPr>
                <w:color w:val="000000" w:themeColor="text1"/>
                <w:szCs w:val="21"/>
              </w:rPr>
            </w:pPr>
            <w:r w:rsidRPr="00531C33">
              <w:rPr>
                <w:color w:val="000000" w:themeColor="text1"/>
                <w:szCs w:val="21"/>
              </w:rPr>
              <w:t>103</w:t>
            </w:r>
          </w:p>
        </w:tc>
      </w:tr>
      <w:tr w:rsidR="00221340" w:rsidRPr="00531C33" w:rsidTr="00F94F30">
        <w:tc>
          <w:tcPr>
            <w:tcW w:w="4056"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F94F30">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报告期内投资组合平均剩余期限最高值</w:t>
            </w:r>
          </w:p>
        </w:tc>
        <w:tc>
          <w:tcPr>
            <w:tcW w:w="5016"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F94F30">
            <w:pPr>
              <w:spacing w:line="360" w:lineRule="auto"/>
              <w:jc w:val="right"/>
              <w:rPr>
                <w:color w:val="000000" w:themeColor="text1"/>
                <w:szCs w:val="21"/>
              </w:rPr>
            </w:pPr>
            <w:r w:rsidRPr="00531C33">
              <w:rPr>
                <w:color w:val="000000" w:themeColor="text1"/>
                <w:szCs w:val="21"/>
              </w:rPr>
              <w:t>117</w:t>
            </w:r>
          </w:p>
        </w:tc>
      </w:tr>
      <w:tr w:rsidR="00221340" w:rsidRPr="00531C33" w:rsidTr="00F94F30">
        <w:tc>
          <w:tcPr>
            <w:tcW w:w="4056"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F94F30">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报告期内投资组合平均剩余期限最低值</w:t>
            </w:r>
          </w:p>
        </w:tc>
        <w:tc>
          <w:tcPr>
            <w:tcW w:w="5016"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EF3F66">
            <w:pPr>
              <w:spacing w:line="360" w:lineRule="auto"/>
              <w:jc w:val="right"/>
              <w:rPr>
                <w:color w:val="000000" w:themeColor="text1"/>
                <w:szCs w:val="21"/>
              </w:rPr>
            </w:pPr>
            <w:r w:rsidRPr="00531C33">
              <w:rPr>
                <w:color w:val="000000" w:themeColor="text1"/>
                <w:szCs w:val="21"/>
              </w:rPr>
              <w:t>84</w:t>
            </w:r>
          </w:p>
        </w:tc>
      </w:tr>
    </w:tbl>
    <w:p w:rsidR="007277D1" w:rsidRPr="00531C33" w:rsidRDefault="00F25F53" w:rsidP="00DE5371">
      <w:pPr>
        <w:pStyle w:val="3"/>
        <w:spacing w:before="0" w:after="0" w:line="360" w:lineRule="auto"/>
        <w:jc w:val="left"/>
        <w:rPr>
          <w:b w:val="0"/>
          <w:sz w:val="21"/>
          <w:szCs w:val="21"/>
        </w:rPr>
      </w:pPr>
      <w:r w:rsidRPr="008D7E3B">
        <w:rPr>
          <w:rFonts w:hint="eastAsia"/>
          <w:b w:val="0"/>
          <w:sz w:val="21"/>
          <w:szCs w:val="21"/>
        </w:rPr>
        <w:t>报告期内投资组合平均剩余期限情况说明</w:t>
      </w:r>
    </w:p>
    <w:p w:rsidR="007521F9" w:rsidRPr="00531C33" w:rsidRDefault="007521F9" w:rsidP="00ED7E07">
      <w:pPr>
        <w:pStyle w:val="10"/>
        <w:spacing w:line="360" w:lineRule="auto"/>
        <w:ind w:firstLine="420"/>
        <w:jc w:val="left"/>
        <w:rPr>
          <w:szCs w:val="21"/>
        </w:rPr>
      </w:pPr>
      <w:r w:rsidRPr="00531C33">
        <w:rPr>
          <w:szCs w:val="21"/>
        </w:rPr>
        <w:t>本基金合同约定：</w:t>
      </w:r>
      <w:r w:rsidRPr="00531C33">
        <w:rPr>
          <w:szCs w:val="21"/>
        </w:rPr>
        <w:t>“</w:t>
      </w:r>
      <w:r w:rsidRPr="00531C33">
        <w:rPr>
          <w:szCs w:val="21"/>
        </w:rPr>
        <w:t>本基金投资组合的平均剩余期限在每个交易日均不得超过</w:t>
      </w:r>
      <w:r w:rsidRPr="00531C33">
        <w:rPr>
          <w:szCs w:val="21"/>
        </w:rPr>
        <w:t>150</w:t>
      </w:r>
      <w:r w:rsidRPr="00531C33">
        <w:rPr>
          <w:szCs w:val="21"/>
        </w:rPr>
        <w:t>天</w:t>
      </w:r>
      <w:r w:rsidRPr="00531C33">
        <w:rPr>
          <w:szCs w:val="21"/>
        </w:rPr>
        <w:t>”</w:t>
      </w:r>
      <w:r w:rsidRPr="00531C33">
        <w:rPr>
          <w:szCs w:val="21"/>
        </w:rPr>
        <w:t>，本报告期内，本基金未发生超标情况。</w:t>
      </w:r>
    </w:p>
    <w:p w:rsidR="00902E3F" w:rsidRPr="00531C33" w:rsidRDefault="00902E3F" w:rsidP="00DE5371">
      <w:pPr>
        <w:pStyle w:val="3"/>
        <w:spacing w:before="0" w:after="0" w:line="360" w:lineRule="auto"/>
        <w:jc w:val="left"/>
        <w:rPr>
          <w:b w:val="0"/>
          <w:sz w:val="21"/>
          <w:szCs w:val="21"/>
        </w:rPr>
      </w:pPr>
      <w:r w:rsidRPr="00531C33">
        <w:rPr>
          <w:b w:val="0"/>
          <w:sz w:val="21"/>
          <w:szCs w:val="21"/>
        </w:rPr>
        <w:t xml:space="preserve">5.3.2 </w:t>
      </w:r>
      <w:r w:rsidRPr="00531C33">
        <w:rPr>
          <w:b w:val="0"/>
          <w:sz w:val="21"/>
          <w:szCs w:val="21"/>
        </w:rPr>
        <w:t>报告期末投资组合平均剩余期限分布比例</w:t>
      </w:r>
    </w:p>
    <w:tbl>
      <w:tblPr>
        <w:tblW w:w="0" w:type="auto"/>
        <w:tblInd w:w="108" w:type="dxa"/>
        <w:tblLayout w:type="fixed"/>
        <w:tblLook w:val="0000"/>
      </w:tblPr>
      <w:tblGrid>
        <w:gridCol w:w="851"/>
        <w:gridCol w:w="3351"/>
        <w:gridCol w:w="2529"/>
        <w:gridCol w:w="2341"/>
      </w:tblGrid>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序号</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570DE6">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平均剩余期限</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各期限资产占基金资产净值的比例</w:t>
            </w:r>
            <w:r w:rsidR="00270C2E" w:rsidRPr="00531C33">
              <w:rPr>
                <w:color w:val="000000" w:themeColor="text1"/>
                <w:kern w:val="0"/>
                <w:szCs w:val="21"/>
              </w:rPr>
              <w:t>（％）</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各期限负债占基金资产净值的比例（％）</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szCs w:val="21"/>
              </w:rPr>
              <w:t>1</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kern w:val="0"/>
                <w:szCs w:val="21"/>
              </w:rPr>
            </w:pPr>
            <w:r w:rsidRPr="00531C33">
              <w:rPr>
                <w:color w:val="000000" w:themeColor="text1"/>
                <w:szCs w:val="21"/>
              </w:rPr>
              <w:t>30</w:t>
            </w:r>
            <w:r w:rsidRPr="00531C33">
              <w:rPr>
                <w:color w:val="000000" w:themeColor="text1"/>
                <w:szCs w:val="21"/>
              </w:rPr>
              <w:t>天以内</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16.13</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5.94</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kern w:val="0"/>
                <w:szCs w:val="21"/>
              </w:rPr>
            </w:pPr>
            <w:r w:rsidRPr="00531C33">
              <w:rPr>
                <w:color w:val="000000" w:themeColor="text1"/>
                <w:szCs w:val="21"/>
              </w:rPr>
              <w:t>其中：剩余存续期超过</w:t>
            </w:r>
            <w:r w:rsidRPr="00531C33">
              <w:rPr>
                <w:color w:val="000000" w:themeColor="text1"/>
                <w:szCs w:val="21"/>
              </w:rPr>
              <w:t>397</w:t>
            </w:r>
            <w:r w:rsidRPr="00531C33">
              <w:rPr>
                <w:color w:val="000000" w:themeColor="text1"/>
                <w:szCs w:val="21"/>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r w:rsidRPr="00531C33">
              <w:rPr>
                <w:color w:val="000000" w:themeColor="text1"/>
                <w:szCs w:val="21"/>
              </w:rPr>
              <w:t>2</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kern w:val="0"/>
                <w:szCs w:val="21"/>
              </w:rPr>
            </w:pPr>
            <w:r w:rsidRPr="00531C33">
              <w:rPr>
                <w:color w:val="000000" w:themeColor="text1"/>
                <w:szCs w:val="21"/>
              </w:rPr>
              <w:t>30</w:t>
            </w:r>
            <w:r w:rsidRPr="00531C33">
              <w:rPr>
                <w:color w:val="000000" w:themeColor="text1"/>
                <w:szCs w:val="21"/>
              </w:rPr>
              <w:t>天（含）</w:t>
            </w:r>
            <w:r w:rsidRPr="00531C33">
              <w:rPr>
                <w:color w:val="000000" w:themeColor="text1"/>
                <w:szCs w:val="21"/>
              </w:rPr>
              <w:t>—60</w:t>
            </w:r>
            <w:r w:rsidRPr="00531C33">
              <w:rPr>
                <w:color w:val="000000" w:themeColor="text1"/>
                <w:szCs w:val="21"/>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19.29</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kern w:val="0"/>
                <w:szCs w:val="21"/>
              </w:rPr>
            </w:pPr>
            <w:r w:rsidRPr="00531C33">
              <w:rPr>
                <w:color w:val="000000" w:themeColor="text1"/>
                <w:szCs w:val="21"/>
              </w:rPr>
              <w:t>其中：剩余存续期超过</w:t>
            </w:r>
            <w:r w:rsidRPr="00531C33">
              <w:rPr>
                <w:color w:val="000000" w:themeColor="text1"/>
                <w:szCs w:val="21"/>
              </w:rPr>
              <w:t>397</w:t>
            </w:r>
            <w:r w:rsidRPr="00531C33">
              <w:rPr>
                <w:color w:val="000000" w:themeColor="text1"/>
                <w:szCs w:val="21"/>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r w:rsidRPr="00531C33">
              <w:rPr>
                <w:color w:val="000000" w:themeColor="text1"/>
                <w:szCs w:val="21"/>
              </w:rPr>
              <w:t>3</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szCs w:val="21"/>
              </w:rPr>
            </w:pPr>
            <w:r w:rsidRPr="00531C33">
              <w:rPr>
                <w:color w:val="000000" w:themeColor="text1"/>
                <w:szCs w:val="21"/>
              </w:rPr>
              <w:t>60</w:t>
            </w:r>
            <w:r w:rsidRPr="00531C33">
              <w:rPr>
                <w:color w:val="000000" w:themeColor="text1"/>
                <w:szCs w:val="21"/>
              </w:rPr>
              <w:t>天（含）</w:t>
            </w:r>
            <w:r w:rsidRPr="00531C33">
              <w:rPr>
                <w:color w:val="000000" w:themeColor="text1"/>
                <w:szCs w:val="21"/>
              </w:rPr>
              <w:t>—90</w:t>
            </w:r>
            <w:r w:rsidRPr="00531C33">
              <w:rPr>
                <w:color w:val="000000" w:themeColor="text1"/>
                <w:szCs w:val="21"/>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24.77</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szCs w:val="21"/>
              </w:rPr>
            </w:pPr>
            <w:r w:rsidRPr="00531C33">
              <w:rPr>
                <w:color w:val="000000" w:themeColor="text1"/>
                <w:szCs w:val="21"/>
              </w:rPr>
              <w:t>其中：剩余存续期超过</w:t>
            </w:r>
            <w:r w:rsidRPr="00531C33">
              <w:rPr>
                <w:color w:val="000000" w:themeColor="text1"/>
                <w:szCs w:val="21"/>
              </w:rPr>
              <w:t>397</w:t>
            </w:r>
            <w:r w:rsidRPr="00531C33">
              <w:rPr>
                <w:color w:val="000000" w:themeColor="text1"/>
                <w:szCs w:val="21"/>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r w:rsidRPr="00531C33">
              <w:rPr>
                <w:color w:val="000000" w:themeColor="text1"/>
                <w:szCs w:val="21"/>
              </w:rPr>
              <w:t>4</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szCs w:val="21"/>
              </w:rPr>
            </w:pPr>
            <w:r w:rsidRPr="00531C33">
              <w:rPr>
                <w:color w:val="000000" w:themeColor="text1"/>
                <w:szCs w:val="21"/>
              </w:rPr>
              <w:t>90</w:t>
            </w:r>
            <w:r w:rsidRPr="00531C33">
              <w:rPr>
                <w:color w:val="000000" w:themeColor="text1"/>
                <w:szCs w:val="21"/>
              </w:rPr>
              <w:t>天（含）</w:t>
            </w:r>
            <w:r w:rsidR="00CE7AB4" w:rsidRPr="00531C33">
              <w:rPr>
                <w:color w:val="000000" w:themeColor="text1"/>
                <w:szCs w:val="21"/>
              </w:rPr>
              <w:t>—12</w:t>
            </w:r>
            <w:r w:rsidRPr="00531C33">
              <w:rPr>
                <w:color w:val="000000" w:themeColor="text1"/>
                <w:szCs w:val="21"/>
              </w:rPr>
              <w:t>0</w:t>
            </w:r>
            <w:r w:rsidRPr="00531C33">
              <w:rPr>
                <w:color w:val="000000" w:themeColor="text1"/>
                <w:szCs w:val="21"/>
              </w:rPr>
              <w:t>天</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2.32</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szCs w:val="21"/>
              </w:rPr>
            </w:pPr>
            <w:r w:rsidRPr="00531C33">
              <w:rPr>
                <w:color w:val="000000" w:themeColor="text1"/>
                <w:szCs w:val="21"/>
              </w:rPr>
              <w:t>其中：剩余存续期超过</w:t>
            </w:r>
            <w:r w:rsidRPr="00531C33">
              <w:rPr>
                <w:color w:val="000000" w:themeColor="text1"/>
                <w:szCs w:val="21"/>
              </w:rPr>
              <w:t>397</w:t>
            </w:r>
            <w:r w:rsidRPr="00531C33">
              <w:rPr>
                <w:color w:val="000000" w:themeColor="text1"/>
                <w:szCs w:val="21"/>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r w:rsidRPr="00531C33">
              <w:rPr>
                <w:color w:val="000000" w:themeColor="text1"/>
                <w:szCs w:val="21"/>
              </w:rPr>
              <w:t>5</w:t>
            </w: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CE7AB4" w:rsidP="00AF557C">
            <w:pPr>
              <w:autoSpaceDE w:val="0"/>
              <w:autoSpaceDN w:val="0"/>
              <w:adjustRightInd w:val="0"/>
              <w:spacing w:before="29" w:line="360" w:lineRule="auto"/>
              <w:ind w:left="15"/>
              <w:rPr>
                <w:color w:val="000000" w:themeColor="text1"/>
                <w:szCs w:val="21"/>
              </w:rPr>
            </w:pPr>
            <w:r w:rsidRPr="00531C33">
              <w:rPr>
                <w:color w:val="000000" w:themeColor="text1"/>
                <w:szCs w:val="21"/>
              </w:rPr>
              <w:t>12</w:t>
            </w:r>
            <w:r w:rsidR="007521F9" w:rsidRPr="00531C33">
              <w:rPr>
                <w:color w:val="000000" w:themeColor="text1"/>
                <w:szCs w:val="21"/>
              </w:rPr>
              <w:t>0</w:t>
            </w:r>
            <w:r w:rsidR="007521F9" w:rsidRPr="00531C33">
              <w:rPr>
                <w:color w:val="000000" w:themeColor="text1"/>
                <w:szCs w:val="21"/>
              </w:rPr>
              <w:t>天（含）</w:t>
            </w:r>
            <w:r w:rsidR="007521F9" w:rsidRPr="00531C33">
              <w:rPr>
                <w:color w:val="000000" w:themeColor="text1"/>
                <w:szCs w:val="21"/>
              </w:rPr>
              <w:t>—397</w:t>
            </w:r>
            <w:r w:rsidR="007521F9" w:rsidRPr="00531C33">
              <w:rPr>
                <w:color w:val="000000" w:themeColor="text1"/>
                <w:szCs w:val="21"/>
              </w:rPr>
              <w:t>天（含）</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43.19</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8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AF557C">
            <w:pPr>
              <w:autoSpaceDE w:val="0"/>
              <w:autoSpaceDN w:val="0"/>
              <w:adjustRightInd w:val="0"/>
              <w:spacing w:before="29" w:line="360" w:lineRule="auto"/>
              <w:ind w:left="15"/>
              <w:rPr>
                <w:color w:val="000000" w:themeColor="text1"/>
                <w:szCs w:val="21"/>
              </w:rPr>
            </w:pPr>
            <w:r w:rsidRPr="00531C33">
              <w:rPr>
                <w:color w:val="000000" w:themeColor="text1"/>
                <w:szCs w:val="21"/>
              </w:rPr>
              <w:t>其中：剩余存续期超过</w:t>
            </w:r>
            <w:r w:rsidRPr="00531C33">
              <w:rPr>
                <w:color w:val="000000" w:themeColor="text1"/>
                <w:szCs w:val="21"/>
              </w:rPr>
              <w:t>397</w:t>
            </w:r>
            <w:r w:rsidRPr="00531C33">
              <w:rPr>
                <w:color w:val="000000" w:themeColor="text1"/>
                <w:szCs w:val="21"/>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w:t>
            </w:r>
          </w:p>
        </w:tc>
      </w:tr>
      <w:tr w:rsidR="00221340" w:rsidRPr="00531C33" w:rsidTr="00235737">
        <w:tc>
          <w:tcPr>
            <w:tcW w:w="4202" w:type="dxa"/>
            <w:gridSpan w:val="2"/>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center"/>
              <w:rPr>
                <w:color w:val="000000" w:themeColor="text1"/>
                <w:szCs w:val="21"/>
              </w:rPr>
            </w:pPr>
            <w:r w:rsidRPr="00531C33">
              <w:rPr>
                <w:color w:val="000000" w:themeColor="text1"/>
                <w:szCs w:val="21"/>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105.69</w:t>
            </w:r>
          </w:p>
        </w:tc>
        <w:tc>
          <w:tcPr>
            <w:tcW w:w="2341" w:type="dxa"/>
            <w:tcBorders>
              <w:top w:val="single" w:sz="8" w:space="0" w:color="000000"/>
              <w:left w:val="single" w:sz="8" w:space="0" w:color="000000"/>
              <w:bottom w:val="single" w:sz="8" w:space="0" w:color="000000"/>
              <w:right w:val="single" w:sz="8" w:space="0" w:color="000000"/>
            </w:tcBorders>
            <w:vAlign w:val="center"/>
          </w:tcPr>
          <w:p w:rsidR="007521F9" w:rsidRPr="00531C33" w:rsidRDefault="007521F9" w:rsidP="00196812">
            <w:pPr>
              <w:autoSpaceDE w:val="0"/>
              <w:autoSpaceDN w:val="0"/>
              <w:adjustRightInd w:val="0"/>
              <w:spacing w:before="29" w:line="360" w:lineRule="auto"/>
              <w:ind w:left="15"/>
              <w:jc w:val="right"/>
              <w:rPr>
                <w:color w:val="000000" w:themeColor="text1"/>
                <w:kern w:val="0"/>
                <w:szCs w:val="21"/>
              </w:rPr>
            </w:pPr>
            <w:r w:rsidRPr="00531C33">
              <w:rPr>
                <w:color w:val="000000" w:themeColor="text1"/>
                <w:szCs w:val="21"/>
              </w:rPr>
              <w:t>5.94</w:t>
            </w:r>
          </w:p>
        </w:tc>
      </w:tr>
    </w:tbl>
    <w:p w:rsidR="00CE7AB4" w:rsidRPr="00531C33" w:rsidRDefault="00CE7AB4" w:rsidP="00C945C6">
      <w:pPr>
        <w:pStyle w:val="3"/>
        <w:spacing w:before="0" w:after="0" w:line="360" w:lineRule="auto"/>
        <w:jc w:val="left"/>
        <w:rPr>
          <w:b w:val="0"/>
          <w:sz w:val="21"/>
          <w:szCs w:val="21"/>
        </w:rPr>
      </w:pPr>
      <w:r w:rsidRPr="00531C33">
        <w:rPr>
          <w:b w:val="0"/>
          <w:sz w:val="21"/>
          <w:szCs w:val="21"/>
        </w:rPr>
        <w:t xml:space="preserve">5.4 </w:t>
      </w:r>
      <w:r w:rsidRPr="00531C33">
        <w:rPr>
          <w:b w:val="0"/>
          <w:sz w:val="21"/>
          <w:szCs w:val="21"/>
        </w:rPr>
        <w:t>报告期内投资组合平均剩余存续期超过</w:t>
      </w:r>
      <w:r w:rsidRPr="00531C33">
        <w:rPr>
          <w:b w:val="0"/>
          <w:sz w:val="21"/>
          <w:szCs w:val="21"/>
        </w:rPr>
        <w:t>240</w:t>
      </w:r>
      <w:r w:rsidRPr="00531C33">
        <w:rPr>
          <w:b w:val="0"/>
          <w:sz w:val="21"/>
          <w:szCs w:val="21"/>
        </w:rPr>
        <w:t>天情况说明</w:t>
      </w:r>
    </w:p>
    <w:p w:rsidR="00CE7AB4" w:rsidRPr="00531C33" w:rsidRDefault="00CE7AB4" w:rsidP="00ED7E07">
      <w:pPr>
        <w:pStyle w:val="10"/>
        <w:spacing w:line="360" w:lineRule="auto"/>
        <w:ind w:firstLine="420"/>
        <w:jc w:val="left"/>
        <w:rPr>
          <w:szCs w:val="21"/>
        </w:rPr>
      </w:pPr>
      <w:r w:rsidRPr="00531C33">
        <w:rPr>
          <w:szCs w:val="21"/>
        </w:rPr>
        <w:t>在本报告期内本基金不存在投资组合平均剩余存续期限超过</w:t>
      </w:r>
      <w:r w:rsidRPr="00531C33">
        <w:rPr>
          <w:szCs w:val="21"/>
        </w:rPr>
        <w:t>240</w:t>
      </w:r>
      <w:r w:rsidRPr="00531C33">
        <w:rPr>
          <w:szCs w:val="21"/>
        </w:rPr>
        <w:t>天的情况。</w:t>
      </w:r>
    </w:p>
    <w:p w:rsidR="00902E3F" w:rsidRPr="00531C33" w:rsidRDefault="00CE7AB4" w:rsidP="00DE5371">
      <w:pPr>
        <w:pStyle w:val="3"/>
        <w:spacing w:before="0" w:after="0" w:line="360" w:lineRule="auto"/>
        <w:jc w:val="left"/>
        <w:rPr>
          <w:b w:val="0"/>
          <w:sz w:val="21"/>
          <w:szCs w:val="21"/>
        </w:rPr>
      </w:pPr>
      <w:r w:rsidRPr="00531C33">
        <w:rPr>
          <w:b w:val="0"/>
          <w:sz w:val="21"/>
          <w:szCs w:val="21"/>
        </w:rPr>
        <w:t>5.5</w:t>
      </w:r>
      <w:r w:rsidR="00902E3F" w:rsidRPr="00531C33">
        <w:rPr>
          <w:b w:val="0"/>
          <w:sz w:val="21"/>
          <w:szCs w:val="21"/>
        </w:rPr>
        <w:t>报告期末按债券品种分类的债券投资组合</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118"/>
        <w:gridCol w:w="3261"/>
        <w:gridCol w:w="1842"/>
      </w:tblGrid>
      <w:tr w:rsidR="00221340" w:rsidRPr="00531C33" w:rsidTr="00235737">
        <w:tc>
          <w:tcPr>
            <w:tcW w:w="851"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序号</w:t>
            </w:r>
          </w:p>
        </w:tc>
        <w:tc>
          <w:tcPr>
            <w:tcW w:w="3118"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债券品种</w:t>
            </w:r>
          </w:p>
        </w:tc>
        <w:tc>
          <w:tcPr>
            <w:tcW w:w="3261" w:type="dxa"/>
            <w:vAlign w:val="center"/>
          </w:tcPr>
          <w:p w:rsidR="007521F9" w:rsidRPr="00531C33" w:rsidRDefault="003D21F4" w:rsidP="00196812">
            <w:pPr>
              <w:spacing w:before="29" w:line="360" w:lineRule="auto"/>
              <w:ind w:left="17"/>
              <w:jc w:val="center"/>
              <w:rPr>
                <w:color w:val="000000" w:themeColor="text1"/>
                <w:szCs w:val="21"/>
              </w:rPr>
            </w:pPr>
            <w:r w:rsidRPr="00531C33">
              <w:rPr>
                <w:color w:val="000000" w:themeColor="text1"/>
                <w:szCs w:val="21"/>
              </w:rPr>
              <w:t>摊余成本</w:t>
            </w:r>
            <w:r w:rsidR="00003FC5" w:rsidRPr="00531C33">
              <w:rPr>
                <w:color w:val="000000" w:themeColor="text1"/>
                <w:kern w:val="0"/>
                <w:szCs w:val="21"/>
              </w:rPr>
              <w:t>（元）</w:t>
            </w:r>
          </w:p>
        </w:tc>
        <w:tc>
          <w:tcPr>
            <w:tcW w:w="1842"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占基金资产净值比例</w:t>
            </w:r>
            <w:r w:rsidR="00003FC5" w:rsidRPr="00531C33">
              <w:rPr>
                <w:color w:val="000000" w:themeColor="text1"/>
                <w:kern w:val="0"/>
                <w:szCs w:val="21"/>
              </w:rPr>
              <w:t>（％）</w:t>
            </w:r>
          </w:p>
        </w:tc>
      </w:tr>
      <w:tr w:rsidR="00221340" w:rsidRPr="00531C33" w:rsidTr="00235737">
        <w:tc>
          <w:tcPr>
            <w:tcW w:w="851"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1</w:t>
            </w:r>
          </w:p>
        </w:tc>
        <w:tc>
          <w:tcPr>
            <w:tcW w:w="3118" w:type="dxa"/>
            <w:vAlign w:val="center"/>
          </w:tcPr>
          <w:p w:rsidR="007521F9" w:rsidRPr="00531C33" w:rsidRDefault="007521F9" w:rsidP="00726997">
            <w:pPr>
              <w:spacing w:before="29" w:line="360" w:lineRule="auto"/>
              <w:ind w:left="17"/>
              <w:rPr>
                <w:color w:val="000000" w:themeColor="text1"/>
                <w:szCs w:val="21"/>
              </w:rPr>
            </w:pPr>
            <w:r w:rsidRPr="00531C33">
              <w:rPr>
                <w:color w:val="000000" w:themeColor="text1"/>
                <w:szCs w:val="21"/>
              </w:rPr>
              <w:t>国家债券</w:t>
            </w:r>
          </w:p>
        </w:tc>
        <w:tc>
          <w:tcPr>
            <w:tcW w:w="3261"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w:t>
            </w:r>
          </w:p>
        </w:tc>
        <w:tc>
          <w:tcPr>
            <w:tcW w:w="1842"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w:t>
            </w:r>
          </w:p>
        </w:tc>
      </w:tr>
      <w:tr w:rsidR="00221340" w:rsidRPr="00531C33" w:rsidTr="00235737">
        <w:tc>
          <w:tcPr>
            <w:tcW w:w="851"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2</w:t>
            </w:r>
          </w:p>
        </w:tc>
        <w:tc>
          <w:tcPr>
            <w:tcW w:w="3118" w:type="dxa"/>
            <w:vAlign w:val="center"/>
          </w:tcPr>
          <w:p w:rsidR="007521F9" w:rsidRPr="00531C33" w:rsidRDefault="007521F9" w:rsidP="00726997">
            <w:pPr>
              <w:spacing w:before="29" w:line="360" w:lineRule="auto"/>
              <w:ind w:left="17"/>
              <w:rPr>
                <w:color w:val="000000" w:themeColor="text1"/>
                <w:szCs w:val="21"/>
              </w:rPr>
            </w:pPr>
            <w:r w:rsidRPr="00531C33">
              <w:rPr>
                <w:color w:val="000000" w:themeColor="text1"/>
                <w:szCs w:val="21"/>
              </w:rPr>
              <w:t>央行票据</w:t>
            </w:r>
          </w:p>
        </w:tc>
        <w:tc>
          <w:tcPr>
            <w:tcW w:w="3261"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w:t>
            </w:r>
          </w:p>
        </w:tc>
        <w:tc>
          <w:tcPr>
            <w:tcW w:w="1842"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w:t>
            </w:r>
          </w:p>
        </w:tc>
      </w:tr>
      <w:tr w:rsidR="00221340" w:rsidRPr="00531C33" w:rsidTr="00235737">
        <w:tc>
          <w:tcPr>
            <w:tcW w:w="851"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3</w:t>
            </w:r>
          </w:p>
        </w:tc>
        <w:tc>
          <w:tcPr>
            <w:tcW w:w="3118" w:type="dxa"/>
            <w:vAlign w:val="center"/>
          </w:tcPr>
          <w:p w:rsidR="007521F9" w:rsidRPr="00531C33" w:rsidRDefault="007521F9" w:rsidP="00726997">
            <w:pPr>
              <w:spacing w:before="29" w:line="360" w:lineRule="auto"/>
              <w:ind w:left="17"/>
              <w:rPr>
                <w:color w:val="000000" w:themeColor="text1"/>
                <w:szCs w:val="21"/>
              </w:rPr>
            </w:pPr>
            <w:r w:rsidRPr="00531C33">
              <w:rPr>
                <w:color w:val="000000" w:themeColor="text1"/>
                <w:szCs w:val="21"/>
              </w:rPr>
              <w:t>金融债券</w:t>
            </w:r>
          </w:p>
        </w:tc>
        <w:tc>
          <w:tcPr>
            <w:tcW w:w="3261"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910,135,493.97</w:t>
            </w:r>
          </w:p>
        </w:tc>
        <w:tc>
          <w:tcPr>
            <w:tcW w:w="1842"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6.04</w:t>
            </w:r>
          </w:p>
        </w:tc>
      </w:tr>
      <w:tr w:rsidR="00221340" w:rsidRPr="00531C33" w:rsidTr="00235737">
        <w:tc>
          <w:tcPr>
            <w:tcW w:w="851" w:type="dxa"/>
            <w:vAlign w:val="center"/>
          </w:tcPr>
          <w:p w:rsidR="007521F9" w:rsidRPr="00531C33" w:rsidRDefault="007521F9" w:rsidP="00196812">
            <w:pPr>
              <w:spacing w:before="29" w:line="360" w:lineRule="auto"/>
              <w:ind w:left="17"/>
              <w:jc w:val="center"/>
              <w:rPr>
                <w:color w:val="000000" w:themeColor="text1"/>
                <w:szCs w:val="21"/>
              </w:rPr>
            </w:pPr>
          </w:p>
        </w:tc>
        <w:tc>
          <w:tcPr>
            <w:tcW w:w="3118" w:type="dxa"/>
            <w:vAlign w:val="center"/>
          </w:tcPr>
          <w:p w:rsidR="007521F9" w:rsidRPr="00531C33" w:rsidRDefault="007521F9" w:rsidP="00873E87">
            <w:pPr>
              <w:spacing w:before="29" w:line="360" w:lineRule="auto"/>
              <w:ind w:left="17"/>
              <w:rPr>
                <w:color w:val="000000" w:themeColor="text1"/>
                <w:szCs w:val="21"/>
              </w:rPr>
            </w:pPr>
            <w:r w:rsidRPr="00531C33">
              <w:rPr>
                <w:color w:val="000000" w:themeColor="text1"/>
                <w:szCs w:val="21"/>
              </w:rPr>
              <w:t>其中：政策性金融债</w:t>
            </w:r>
          </w:p>
        </w:tc>
        <w:tc>
          <w:tcPr>
            <w:tcW w:w="3261"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910,135,493.97</w:t>
            </w:r>
          </w:p>
        </w:tc>
        <w:tc>
          <w:tcPr>
            <w:tcW w:w="1842"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6.04</w:t>
            </w:r>
          </w:p>
        </w:tc>
      </w:tr>
      <w:tr w:rsidR="00221340" w:rsidRPr="00531C33" w:rsidTr="00235737">
        <w:tc>
          <w:tcPr>
            <w:tcW w:w="851"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4</w:t>
            </w:r>
          </w:p>
        </w:tc>
        <w:tc>
          <w:tcPr>
            <w:tcW w:w="3118" w:type="dxa"/>
            <w:vAlign w:val="center"/>
          </w:tcPr>
          <w:p w:rsidR="007521F9" w:rsidRPr="00531C33" w:rsidRDefault="007521F9" w:rsidP="00873E87">
            <w:pPr>
              <w:spacing w:before="29" w:line="360" w:lineRule="auto"/>
              <w:ind w:left="17"/>
              <w:rPr>
                <w:color w:val="000000" w:themeColor="text1"/>
                <w:szCs w:val="21"/>
              </w:rPr>
            </w:pPr>
            <w:r w:rsidRPr="00531C33">
              <w:rPr>
                <w:color w:val="000000" w:themeColor="text1"/>
                <w:szCs w:val="21"/>
              </w:rPr>
              <w:t>企业债券</w:t>
            </w:r>
          </w:p>
        </w:tc>
        <w:tc>
          <w:tcPr>
            <w:tcW w:w="3261"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w:t>
            </w:r>
          </w:p>
        </w:tc>
        <w:tc>
          <w:tcPr>
            <w:tcW w:w="1842"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w:t>
            </w:r>
          </w:p>
        </w:tc>
      </w:tr>
      <w:tr w:rsidR="00221340" w:rsidRPr="00531C33" w:rsidTr="00235737">
        <w:tc>
          <w:tcPr>
            <w:tcW w:w="851"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5</w:t>
            </w:r>
          </w:p>
        </w:tc>
        <w:tc>
          <w:tcPr>
            <w:tcW w:w="3118" w:type="dxa"/>
            <w:vAlign w:val="center"/>
          </w:tcPr>
          <w:p w:rsidR="007521F9" w:rsidRPr="00531C33" w:rsidRDefault="007521F9" w:rsidP="00873E87">
            <w:pPr>
              <w:spacing w:before="29" w:line="360" w:lineRule="auto"/>
              <w:ind w:left="17"/>
              <w:rPr>
                <w:color w:val="000000" w:themeColor="text1"/>
                <w:szCs w:val="21"/>
              </w:rPr>
            </w:pPr>
            <w:r w:rsidRPr="00531C33">
              <w:rPr>
                <w:color w:val="000000" w:themeColor="text1"/>
                <w:szCs w:val="21"/>
              </w:rPr>
              <w:t>企业短期融资</w:t>
            </w:r>
            <w:r w:rsidR="00BC0205" w:rsidRPr="00531C33">
              <w:rPr>
                <w:color w:val="000000" w:themeColor="text1"/>
                <w:szCs w:val="21"/>
              </w:rPr>
              <w:t>券</w:t>
            </w:r>
          </w:p>
        </w:tc>
        <w:tc>
          <w:tcPr>
            <w:tcW w:w="3261"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4,702,225,973.73</w:t>
            </w:r>
          </w:p>
        </w:tc>
        <w:tc>
          <w:tcPr>
            <w:tcW w:w="1842"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31.22</w:t>
            </w:r>
          </w:p>
        </w:tc>
      </w:tr>
      <w:tr w:rsidR="00221340" w:rsidRPr="00531C33" w:rsidTr="00235737">
        <w:tc>
          <w:tcPr>
            <w:tcW w:w="851" w:type="dxa"/>
            <w:vAlign w:val="center"/>
          </w:tcPr>
          <w:p w:rsidR="007521F9" w:rsidRPr="00531C33" w:rsidRDefault="007521F9" w:rsidP="00196812">
            <w:pPr>
              <w:spacing w:before="29" w:line="360" w:lineRule="auto"/>
              <w:ind w:left="17"/>
              <w:jc w:val="center"/>
              <w:rPr>
                <w:color w:val="000000" w:themeColor="text1"/>
                <w:szCs w:val="21"/>
              </w:rPr>
            </w:pPr>
            <w:r w:rsidRPr="00531C33">
              <w:rPr>
                <w:color w:val="000000" w:themeColor="text1"/>
                <w:szCs w:val="21"/>
              </w:rPr>
              <w:t>6</w:t>
            </w:r>
          </w:p>
        </w:tc>
        <w:tc>
          <w:tcPr>
            <w:tcW w:w="3118" w:type="dxa"/>
            <w:vAlign w:val="center"/>
          </w:tcPr>
          <w:p w:rsidR="007521F9" w:rsidRPr="00531C33" w:rsidRDefault="007521F9" w:rsidP="00873E87">
            <w:pPr>
              <w:spacing w:before="29" w:line="360" w:lineRule="auto"/>
              <w:ind w:left="17"/>
              <w:rPr>
                <w:color w:val="000000" w:themeColor="text1"/>
                <w:szCs w:val="21"/>
              </w:rPr>
            </w:pPr>
            <w:r w:rsidRPr="00531C33">
              <w:rPr>
                <w:color w:val="000000" w:themeColor="text1"/>
                <w:szCs w:val="21"/>
              </w:rPr>
              <w:t>中期票据</w:t>
            </w:r>
          </w:p>
        </w:tc>
        <w:tc>
          <w:tcPr>
            <w:tcW w:w="3261"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30,112,496.30</w:t>
            </w:r>
          </w:p>
        </w:tc>
        <w:tc>
          <w:tcPr>
            <w:tcW w:w="1842" w:type="dxa"/>
            <w:vAlign w:val="center"/>
          </w:tcPr>
          <w:p w:rsidR="007521F9" w:rsidRPr="00531C33" w:rsidRDefault="007521F9" w:rsidP="00196812">
            <w:pPr>
              <w:spacing w:before="29" w:line="360" w:lineRule="auto"/>
              <w:ind w:left="17"/>
              <w:jc w:val="right"/>
              <w:rPr>
                <w:color w:val="000000" w:themeColor="text1"/>
                <w:szCs w:val="21"/>
              </w:rPr>
            </w:pPr>
            <w:r w:rsidRPr="00531C33">
              <w:rPr>
                <w:color w:val="000000" w:themeColor="text1"/>
                <w:szCs w:val="21"/>
              </w:rPr>
              <w:t>0.20</w:t>
            </w:r>
          </w:p>
        </w:tc>
      </w:tr>
      <w:tr w:rsidR="00D363CE" w:rsidRPr="00531C33" w:rsidTr="00235737">
        <w:tc>
          <w:tcPr>
            <w:tcW w:w="851" w:type="dxa"/>
            <w:vAlign w:val="center"/>
          </w:tcPr>
          <w:p w:rsidR="00D363CE" w:rsidRPr="00531C33" w:rsidRDefault="00D363CE" w:rsidP="00D234E7">
            <w:pPr>
              <w:spacing w:before="29" w:line="360" w:lineRule="auto"/>
              <w:ind w:left="17"/>
              <w:jc w:val="center"/>
              <w:rPr>
                <w:color w:val="000000" w:themeColor="text1"/>
                <w:szCs w:val="21"/>
              </w:rPr>
            </w:pPr>
            <w:r w:rsidRPr="00531C33">
              <w:rPr>
                <w:color w:val="000000" w:themeColor="text1"/>
                <w:szCs w:val="21"/>
              </w:rPr>
              <w:t>7</w:t>
            </w:r>
          </w:p>
        </w:tc>
        <w:tc>
          <w:tcPr>
            <w:tcW w:w="3118" w:type="dxa"/>
            <w:vAlign w:val="center"/>
          </w:tcPr>
          <w:p w:rsidR="00D363CE" w:rsidRPr="00531C33" w:rsidRDefault="00D363CE" w:rsidP="00D234E7">
            <w:pPr>
              <w:spacing w:before="29" w:line="360" w:lineRule="auto"/>
              <w:ind w:left="17"/>
              <w:jc w:val="left"/>
              <w:rPr>
                <w:color w:val="000000" w:themeColor="text1"/>
                <w:szCs w:val="21"/>
              </w:rPr>
            </w:pPr>
            <w:r w:rsidRPr="00531C33">
              <w:rPr>
                <w:color w:val="000000" w:themeColor="text1"/>
                <w:szCs w:val="21"/>
              </w:rPr>
              <w:t>同业存单</w:t>
            </w:r>
          </w:p>
        </w:tc>
        <w:tc>
          <w:tcPr>
            <w:tcW w:w="3261" w:type="dxa"/>
            <w:vAlign w:val="center"/>
          </w:tcPr>
          <w:p w:rsidR="00D363CE" w:rsidRPr="00531C33" w:rsidRDefault="00D363CE" w:rsidP="00D234E7">
            <w:pPr>
              <w:spacing w:before="29" w:line="360" w:lineRule="auto"/>
              <w:ind w:left="17"/>
              <w:jc w:val="right"/>
              <w:rPr>
                <w:color w:val="000000" w:themeColor="text1"/>
                <w:szCs w:val="21"/>
              </w:rPr>
            </w:pPr>
            <w:r w:rsidRPr="00531C33">
              <w:rPr>
                <w:color w:val="000000" w:themeColor="text1"/>
                <w:szCs w:val="21"/>
              </w:rPr>
              <w:t>9,127,420,865.69</w:t>
            </w:r>
          </w:p>
        </w:tc>
        <w:tc>
          <w:tcPr>
            <w:tcW w:w="1842" w:type="dxa"/>
            <w:vAlign w:val="center"/>
          </w:tcPr>
          <w:p w:rsidR="00D363CE" w:rsidRPr="00531C33" w:rsidRDefault="00D363CE" w:rsidP="00D234E7">
            <w:pPr>
              <w:spacing w:before="29" w:line="360" w:lineRule="auto"/>
              <w:ind w:left="17"/>
              <w:jc w:val="right"/>
              <w:rPr>
                <w:color w:val="000000" w:themeColor="text1"/>
                <w:szCs w:val="21"/>
              </w:rPr>
            </w:pPr>
            <w:r w:rsidRPr="00531C33">
              <w:rPr>
                <w:color w:val="000000" w:themeColor="text1"/>
                <w:szCs w:val="21"/>
              </w:rPr>
              <w:t>60.60</w:t>
            </w:r>
          </w:p>
        </w:tc>
      </w:tr>
      <w:tr w:rsidR="00D363CE" w:rsidRPr="00531C33" w:rsidTr="00235737">
        <w:tc>
          <w:tcPr>
            <w:tcW w:w="851" w:type="dxa"/>
            <w:vAlign w:val="center"/>
          </w:tcPr>
          <w:p w:rsidR="00D363CE" w:rsidRPr="00531C33" w:rsidRDefault="00D363CE" w:rsidP="00196812">
            <w:pPr>
              <w:spacing w:before="29" w:line="360" w:lineRule="auto"/>
              <w:ind w:left="17"/>
              <w:jc w:val="center"/>
              <w:rPr>
                <w:color w:val="000000" w:themeColor="text1"/>
                <w:szCs w:val="21"/>
              </w:rPr>
            </w:pPr>
            <w:r w:rsidRPr="00531C33">
              <w:rPr>
                <w:color w:val="000000" w:themeColor="text1"/>
                <w:szCs w:val="21"/>
              </w:rPr>
              <w:t>8</w:t>
            </w:r>
          </w:p>
        </w:tc>
        <w:tc>
          <w:tcPr>
            <w:tcW w:w="3118" w:type="dxa"/>
            <w:vAlign w:val="center"/>
          </w:tcPr>
          <w:p w:rsidR="00D363CE" w:rsidRPr="00531C33" w:rsidRDefault="00D363CE" w:rsidP="00873E87">
            <w:pPr>
              <w:spacing w:before="29" w:line="360" w:lineRule="auto"/>
              <w:ind w:left="17"/>
              <w:rPr>
                <w:color w:val="000000" w:themeColor="text1"/>
                <w:szCs w:val="21"/>
              </w:rPr>
            </w:pPr>
            <w:r w:rsidRPr="00531C33">
              <w:rPr>
                <w:color w:val="000000" w:themeColor="text1"/>
                <w:szCs w:val="21"/>
              </w:rPr>
              <w:t>其他</w:t>
            </w:r>
          </w:p>
        </w:tc>
        <w:tc>
          <w:tcPr>
            <w:tcW w:w="3261" w:type="dxa"/>
            <w:vAlign w:val="center"/>
          </w:tcPr>
          <w:p w:rsidR="00D363CE" w:rsidRPr="00531C33" w:rsidRDefault="00D363CE" w:rsidP="00196812">
            <w:pPr>
              <w:spacing w:before="29" w:line="360" w:lineRule="auto"/>
              <w:ind w:left="17"/>
              <w:jc w:val="right"/>
              <w:rPr>
                <w:color w:val="000000" w:themeColor="text1"/>
                <w:szCs w:val="21"/>
              </w:rPr>
            </w:pPr>
            <w:r w:rsidRPr="00531C33">
              <w:rPr>
                <w:color w:val="000000" w:themeColor="text1"/>
                <w:szCs w:val="21"/>
              </w:rPr>
              <w:t>-</w:t>
            </w:r>
          </w:p>
        </w:tc>
        <w:tc>
          <w:tcPr>
            <w:tcW w:w="1842" w:type="dxa"/>
            <w:vAlign w:val="center"/>
          </w:tcPr>
          <w:p w:rsidR="00D363CE" w:rsidRPr="00531C33" w:rsidRDefault="00D363CE" w:rsidP="00196812">
            <w:pPr>
              <w:spacing w:before="29" w:line="360" w:lineRule="auto"/>
              <w:ind w:left="17"/>
              <w:jc w:val="right"/>
              <w:rPr>
                <w:color w:val="000000" w:themeColor="text1"/>
                <w:szCs w:val="21"/>
              </w:rPr>
            </w:pPr>
            <w:r w:rsidRPr="00531C33">
              <w:rPr>
                <w:color w:val="000000" w:themeColor="text1"/>
                <w:szCs w:val="21"/>
              </w:rPr>
              <w:t>-</w:t>
            </w:r>
          </w:p>
        </w:tc>
      </w:tr>
      <w:tr w:rsidR="00D363CE" w:rsidRPr="00531C33" w:rsidTr="00235737">
        <w:tc>
          <w:tcPr>
            <w:tcW w:w="851" w:type="dxa"/>
            <w:vAlign w:val="center"/>
          </w:tcPr>
          <w:p w:rsidR="00D363CE" w:rsidRPr="00531C33" w:rsidRDefault="00D363CE" w:rsidP="00196812">
            <w:pPr>
              <w:spacing w:before="29" w:line="360" w:lineRule="auto"/>
              <w:ind w:left="17"/>
              <w:jc w:val="center"/>
              <w:rPr>
                <w:color w:val="000000" w:themeColor="text1"/>
                <w:szCs w:val="21"/>
              </w:rPr>
            </w:pPr>
            <w:r w:rsidRPr="00531C33">
              <w:rPr>
                <w:color w:val="000000" w:themeColor="text1"/>
                <w:szCs w:val="21"/>
              </w:rPr>
              <w:t>9</w:t>
            </w:r>
          </w:p>
        </w:tc>
        <w:tc>
          <w:tcPr>
            <w:tcW w:w="3118" w:type="dxa"/>
            <w:vAlign w:val="center"/>
          </w:tcPr>
          <w:p w:rsidR="00D363CE" w:rsidRPr="00531C33" w:rsidRDefault="00D363CE" w:rsidP="00873E87">
            <w:pPr>
              <w:spacing w:before="29" w:line="360" w:lineRule="auto"/>
              <w:ind w:left="17"/>
              <w:rPr>
                <w:color w:val="000000" w:themeColor="text1"/>
                <w:szCs w:val="21"/>
              </w:rPr>
            </w:pPr>
            <w:r w:rsidRPr="00531C33">
              <w:rPr>
                <w:color w:val="000000" w:themeColor="text1"/>
                <w:szCs w:val="21"/>
              </w:rPr>
              <w:t>合计</w:t>
            </w:r>
          </w:p>
        </w:tc>
        <w:tc>
          <w:tcPr>
            <w:tcW w:w="3261" w:type="dxa"/>
            <w:vAlign w:val="center"/>
          </w:tcPr>
          <w:p w:rsidR="00D363CE" w:rsidRPr="00531C33" w:rsidRDefault="00D363CE" w:rsidP="00196812">
            <w:pPr>
              <w:spacing w:before="29" w:line="360" w:lineRule="auto"/>
              <w:ind w:left="17"/>
              <w:jc w:val="right"/>
              <w:rPr>
                <w:color w:val="000000" w:themeColor="text1"/>
                <w:szCs w:val="21"/>
              </w:rPr>
            </w:pPr>
            <w:r w:rsidRPr="00531C33">
              <w:rPr>
                <w:color w:val="000000" w:themeColor="text1"/>
                <w:szCs w:val="21"/>
              </w:rPr>
              <w:t>14,769,894,829.69</w:t>
            </w:r>
          </w:p>
        </w:tc>
        <w:tc>
          <w:tcPr>
            <w:tcW w:w="1842" w:type="dxa"/>
            <w:vAlign w:val="center"/>
          </w:tcPr>
          <w:p w:rsidR="00D363CE" w:rsidRPr="00531C33" w:rsidRDefault="00D363CE" w:rsidP="00196812">
            <w:pPr>
              <w:spacing w:before="29" w:line="360" w:lineRule="auto"/>
              <w:ind w:left="17"/>
              <w:jc w:val="right"/>
              <w:rPr>
                <w:color w:val="000000" w:themeColor="text1"/>
                <w:szCs w:val="21"/>
              </w:rPr>
            </w:pPr>
            <w:r w:rsidRPr="00531C33">
              <w:rPr>
                <w:color w:val="000000" w:themeColor="text1"/>
                <w:szCs w:val="21"/>
              </w:rPr>
              <w:t>98.06</w:t>
            </w:r>
          </w:p>
        </w:tc>
      </w:tr>
      <w:tr w:rsidR="00D363CE" w:rsidRPr="00531C33" w:rsidTr="00235737">
        <w:tc>
          <w:tcPr>
            <w:tcW w:w="851" w:type="dxa"/>
            <w:vAlign w:val="center"/>
          </w:tcPr>
          <w:p w:rsidR="00D363CE" w:rsidRPr="00531C33" w:rsidRDefault="00D363CE" w:rsidP="00196812">
            <w:pPr>
              <w:spacing w:before="29" w:line="360" w:lineRule="auto"/>
              <w:ind w:left="17"/>
              <w:jc w:val="center"/>
              <w:rPr>
                <w:color w:val="000000" w:themeColor="text1"/>
                <w:szCs w:val="21"/>
              </w:rPr>
            </w:pPr>
            <w:r w:rsidRPr="00531C33">
              <w:rPr>
                <w:color w:val="000000" w:themeColor="text1"/>
                <w:szCs w:val="21"/>
              </w:rPr>
              <w:t>10</w:t>
            </w:r>
          </w:p>
        </w:tc>
        <w:tc>
          <w:tcPr>
            <w:tcW w:w="3118" w:type="dxa"/>
            <w:vAlign w:val="center"/>
          </w:tcPr>
          <w:p w:rsidR="00D363CE" w:rsidRPr="00531C33" w:rsidRDefault="00D363CE" w:rsidP="00873E87">
            <w:pPr>
              <w:spacing w:before="29" w:line="360" w:lineRule="auto"/>
              <w:ind w:left="17"/>
              <w:rPr>
                <w:color w:val="000000" w:themeColor="text1"/>
                <w:szCs w:val="21"/>
              </w:rPr>
            </w:pPr>
            <w:r w:rsidRPr="00531C33">
              <w:rPr>
                <w:color w:val="000000" w:themeColor="text1"/>
                <w:szCs w:val="21"/>
              </w:rPr>
              <w:t>剩余存续期超过</w:t>
            </w:r>
            <w:r w:rsidRPr="00531C33">
              <w:rPr>
                <w:color w:val="000000" w:themeColor="text1"/>
                <w:szCs w:val="21"/>
              </w:rPr>
              <w:t>397</w:t>
            </w:r>
            <w:r w:rsidRPr="00531C33">
              <w:rPr>
                <w:color w:val="000000" w:themeColor="text1"/>
                <w:szCs w:val="21"/>
              </w:rPr>
              <w:t>天的浮动利率债券</w:t>
            </w:r>
          </w:p>
        </w:tc>
        <w:tc>
          <w:tcPr>
            <w:tcW w:w="3261" w:type="dxa"/>
            <w:vAlign w:val="center"/>
          </w:tcPr>
          <w:p w:rsidR="00D363CE" w:rsidRPr="00531C33" w:rsidRDefault="00D363CE" w:rsidP="00196812">
            <w:pPr>
              <w:spacing w:before="29" w:line="360" w:lineRule="auto"/>
              <w:ind w:left="17"/>
              <w:jc w:val="right"/>
              <w:rPr>
                <w:color w:val="000000" w:themeColor="text1"/>
                <w:szCs w:val="21"/>
              </w:rPr>
            </w:pPr>
            <w:r w:rsidRPr="00531C33">
              <w:rPr>
                <w:color w:val="000000" w:themeColor="text1"/>
                <w:szCs w:val="21"/>
              </w:rPr>
              <w:t>-</w:t>
            </w:r>
          </w:p>
        </w:tc>
        <w:tc>
          <w:tcPr>
            <w:tcW w:w="1842" w:type="dxa"/>
            <w:vAlign w:val="center"/>
          </w:tcPr>
          <w:p w:rsidR="00D363CE" w:rsidRPr="00531C33" w:rsidRDefault="00D363CE" w:rsidP="00196812">
            <w:pPr>
              <w:spacing w:before="29" w:line="360" w:lineRule="auto"/>
              <w:ind w:left="17"/>
              <w:jc w:val="right"/>
              <w:rPr>
                <w:color w:val="000000" w:themeColor="text1"/>
                <w:szCs w:val="21"/>
              </w:rPr>
            </w:pPr>
            <w:r w:rsidRPr="00531C33">
              <w:rPr>
                <w:color w:val="000000" w:themeColor="text1"/>
                <w:szCs w:val="21"/>
              </w:rPr>
              <w:t>-</w:t>
            </w:r>
          </w:p>
        </w:tc>
      </w:tr>
    </w:tbl>
    <w:p w:rsidR="00902E3F" w:rsidRPr="00531C33" w:rsidRDefault="00CE7AB4" w:rsidP="00DE5371">
      <w:pPr>
        <w:pStyle w:val="3"/>
        <w:spacing w:before="0" w:after="0" w:line="360" w:lineRule="auto"/>
        <w:jc w:val="left"/>
        <w:rPr>
          <w:b w:val="0"/>
          <w:sz w:val="21"/>
          <w:szCs w:val="21"/>
        </w:rPr>
      </w:pPr>
      <w:r w:rsidRPr="00531C33">
        <w:rPr>
          <w:b w:val="0"/>
          <w:sz w:val="21"/>
          <w:szCs w:val="21"/>
        </w:rPr>
        <w:t>5.6</w:t>
      </w:r>
      <w:r w:rsidR="00902E3F" w:rsidRPr="00531C33">
        <w:rPr>
          <w:b w:val="0"/>
          <w:sz w:val="21"/>
          <w:szCs w:val="21"/>
        </w:rPr>
        <w:t>报告期末按摊余成本占基金资产净值比例大小排名的前十名债券投资明细</w:t>
      </w:r>
    </w:p>
    <w:tbl>
      <w:tblPr>
        <w:tblStyle w:val="aa"/>
        <w:tblW w:w="0" w:type="auto"/>
        <w:tblInd w:w="108" w:type="dxa"/>
        <w:tblLayout w:type="fixed"/>
        <w:tblLook w:val="04A0"/>
      </w:tblPr>
      <w:tblGrid>
        <w:gridCol w:w="1309"/>
        <w:gridCol w:w="1369"/>
        <w:gridCol w:w="1369"/>
        <w:gridCol w:w="1517"/>
        <w:gridCol w:w="1815"/>
        <w:gridCol w:w="1693"/>
      </w:tblGrid>
      <w:tr w:rsidR="00221340" w:rsidRPr="00531C33" w:rsidTr="00235737">
        <w:tc>
          <w:tcPr>
            <w:tcW w:w="1309" w:type="dxa"/>
            <w:vAlign w:val="center"/>
          </w:tcPr>
          <w:p w:rsidR="00343648" w:rsidRPr="00531C33" w:rsidRDefault="00343648"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序号</w:t>
            </w:r>
          </w:p>
        </w:tc>
        <w:tc>
          <w:tcPr>
            <w:tcW w:w="1369" w:type="dxa"/>
            <w:vAlign w:val="center"/>
          </w:tcPr>
          <w:p w:rsidR="00343648" w:rsidRPr="00531C33" w:rsidRDefault="00343648"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债券代码</w:t>
            </w:r>
          </w:p>
        </w:tc>
        <w:tc>
          <w:tcPr>
            <w:tcW w:w="1369" w:type="dxa"/>
            <w:vAlign w:val="center"/>
          </w:tcPr>
          <w:p w:rsidR="00343648" w:rsidRPr="00531C33" w:rsidRDefault="00343648"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债券名称</w:t>
            </w:r>
          </w:p>
        </w:tc>
        <w:tc>
          <w:tcPr>
            <w:tcW w:w="1517" w:type="dxa"/>
            <w:vAlign w:val="center"/>
          </w:tcPr>
          <w:p w:rsidR="00343648" w:rsidRPr="00531C33" w:rsidRDefault="00343648"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债券数量</w:t>
            </w:r>
          </w:p>
          <w:p w:rsidR="00343648" w:rsidRPr="00531C33" w:rsidRDefault="00343648"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w:t>
            </w:r>
            <w:r w:rsidRPr="00531C33">
              <w:rPr>
                <w:color w:val="000000" w:themeColor="text1"/>
                <w:kern w:val="0"/>
                <w:szCs w:val="21"/>
              </w:rPr>
              <w:t>张</w:t>
            </w:r>
            <w:r w:rsidRPr="00531C33">
              <w:rPr>
                <w:color w:val="000000" w:themeColor="text1"/>
                <w:kern w:val="0"/>
                <w:szCs w:val="21"/>
              </w:rPr>
              <w:t>)</w:t>
            </w:r>
          </w:p>
        </w:tc>
        <w:tc>
          <w:tcPr>
            <w:tcW w:w="1815" w:type="dxa"/>
            <w:vAlign w:val="center"/>
          </w:tcPr>
          <w:p w:rsidR="00343648" w:rsidRPr="00531C33" w:rsidRDefault="00343648"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摊余成本（元）</w:t>
            </w:r>
          </w:p>
        </w:tc>
        <w:tc>
          <w:tcPr>
            <w:tcW w:w="1693" w:type="dxa"/>
            <w:vAlign w:val="center"/>
          </w:tcPr>
          <w:p w:rsidR="00343648" w:rsidRPr="00531C33" w:rsidRDefault="00343648"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占基金资产净值比例（％）</w:t>
            </w:r>
          </w:p>
        </w:tc>
      </w:tr>
      <w:tr w:rsidR="008C3724">
        <w:tc>
          <w:tcPr>
            <w:tcW w:w="1309" w:type="dxa"/>
            <w:vAlign w:val="center"/>
          </w:tcPr>
          <w:p w:rsidR="008C3724" w:rsidRDefault="00D9195D">
            <w:pPr>
              <w:jc w:val="center"/>
            </w:pPr>
            <w:r>
              <w:rPr>
                <w:color w:val="000000" w:themeColor="text1"/>
                <w:szCs w:val="21"/>
              </w:rPr>
              <w:t>1</w:t>
            </w:r>
          </w:p>
        </w:tc>
        <w:tc>
          <w:tcPr>
            <w:tcW w:w="1369" w:type="dxa"/>
            <w:vAlign w:val="center"/>
          </w:tcPr>
          <w:p w:rsidR="008C3724" w:rsidRDefault="00D9195D">
            <w:pPr>
              <w:jc w:val="center"/>
            </w:pPr>
            <w:r>
              <w:rPr>
                <w:color w:val="000000" w:themeColor="text1"/>
                <w:szCs w:val="21"/>
              </w:rPr>
              <w:t>111988841</w:t>
            </w:r>
          </w:p>
        </w:tc>
        <w:tc>
          <w:tcPr>
            <w:tcW w:w="1369" w:type="dxa"/>
            <w:vAlign w:val="center"/>
          </w:tcPr>
          <w:p w:rsidR="008C3724" w:rsidRDefault="00D9195D">
            <w:pPr>
              <w:jc w:val="center"/>
            </w:pPr>
            <w:r>
              <w:rPr>
                <w:color w:val="000000" w:themeColor="text1"/>
                <w:szCs w:val="21"/>
              </w:rPr>
              <w:t>19</w:t>
            </w:r>
            <w:r>
              <w:rPr>
                <w:color w:val="000000" w:themeColor="text1"/>
                <w:szCs w:val="21"/>
              </w:rPr>
              <w:t>徽商银行</w:t>
            </w:r>
            <w:r>
              <w:rPr>
                <w:color w:val="000000" w:themeColor="text1"/>
                <w:szCs w:val="21"/>
              </w:rPr>
              <w:t>CD096</w:t>
            </w:r>
          </w:p>
        </w:tc>
        <w:tc>
          <w:tcPr>
            <w:tcW w:w="1517" w:type="dxa"/>
            <w:vAlign w:val="center"/>
          </w:tcPr>
          <w:p w:rsidR="008C3724" w:rsidRDefault="00D9195D">
            <w:pPr>
              <w:jc w:val="right"/>
            </w:pPr>
            <w:r>
              <w:rPr>
                <w:color w:val="000000" w:themeColor="text1"/>
                <w:szCs w:val="21"/>
              </w:rPr>
              <w:t>11,000,000</w:t>
            </w:r>
          </w:p>
        </w:tc>
        <w:tc>
          <w:tcPr>
            <w:tcW w:w="1815" w:type="dxa"/>
            <w:vAlign w:val="center"/>
          </w:tcPr>
          <w:p w:rsidR="008C3724" w:rsidRDefault="00D9195D">
            <w:pPr>
              <w:jc w:val="right"/>
            </w:pPr>
            <w:r>
              <w:rPr>
                <w:color w:val="000000" w:themeColor="text1"/>
                <w:szCs w:val="21"/>
              </w:rPr>
              <w:t>1,084,360,332.91</w:t>
            </w:r>
          </w:p>
        </w:tc>
        <w:tc>
          <w:tcPr>
            <w:tcW w:w="1693" w:type="dxa"/>
            <w:vAlign w:val="center"/>
          </w:tcPr>
          <w:p w:rsidR="008C3724" w:rsidRDefault="00D9195D">
            <w:pPr>
              <w:jc w:val="right"/>
            </w:pPr>
            <w:r>
              <w:rPr>
                <w:color w:val="000000" w:themeColor="text1"/>
                <w:szCs w:val="21"/>
              </w:rPr>
              <w:t>7.20</w:t>
            </w:r>
          </w:p>
        </w:tc>
      </w:tr>
      <w:tr w:rsidR="008C3724">
        <w:tc>
          <w:tcPr>
            <w:tcW w:w="1309" w:type="dxa"/>
            <w:vAlign w:val="center"/>
          </w:tcPr>
          <w:p w:rsidR="008C3724" w:rsidRDefault="00D9195D">
            <w:pPr>
              <w:jc w:val="center"/>
            </w:pPr>
            <w:r>
              <w:rPr>
                <w:color w:val="000000" w:themeColor="text1"/>
                <w:szCs w:val="21"/>
              </w:rPr>
              <w:t>2</w:t>
            </w:r>
          </w:p>
        </w:tc>
        <w:tc>
          <w:tcPr>
            <w:tcW w:w="1369" w:type="dxa"/>
            <w:vAlign w:val="center"/>
          </w:tcPr>
          <w:p w:rsidR="008C3724" w:rsidRDefault="00D9195D">
            <w:pPr>
              <w:jc w:val="center"/>
            </w:pPr>
            <w:r>
              <w:rPr>
                <w:color w:val="000000" w:themeColor="text1"/>
                <w:szCs w:val="21"/>
              </w:rPr>
              <w:t>180410</w:t>
            </w:r>
          </w:p>
        </w:tc>
        <w:tc>
          <w:tcPr>
            <w:tcW w:w="1369" w:type="dxa"/>
            <w:vAlign w:val="center"/>
          </w:tcPr>
          <w:p w:rsidR="008C3724" w:rsidRDefault="00D9195D">
            <w:pPr>
              <w:jc w:val="center"/>
            </w:pPr>
            <w:r>
              <w:rPr>
                <w:color w:val="000000" w:themeColor="text1"/>
                <w:szCs w:val="21"/>
              </w:rPr>
              <w:t>18</w:t>
            </w:r>
            <w:r>
              <w:rPr>
                <w:color w:val="000000" w:themeColor="text1"/>
                <w:szCs w:val="21"/>
              </w:rPr>
              <w:t>农发</w:t>
            </w:r>
            <w:r>
              <w:rPr>
                <w:color w:val="000000" w:themeColor="text1"/>
                <w:szCs w:val="21"/>
              </w:rPr>
              <w:t>10</w:t>
            </w:r>
          </w:p>
        </w:tc>
        <w:tc>
          <w:tcPr>
            <w:tcW w:w="1517" w:type="dxa"/>
            <w:vAlign w:val="center"/>
          </w:tcPr>
          <w:p w:rsidR="008C3724" w:rsidRDefault="00D9195D">
            <w:pPr>
              <w:jc w:val="right"/>
            </w:pPr>
            <w:r>
              <w:rPr>
                <w:color w:val="000000" w:themeColor="text1"/>
                <w:szCs w:val="21"/>
              </w:rPr>
              <w:t>9,100,000</w:t>
            </w:r>
          </w:p>
        </w:tc>
        <w:tc>
          <w:tcPr>
            <w:tcW w:w="1815" w:type="dxa"/>
            <w:vAlign w:val="center"/>
          </w:tcPr>
          <w:p w:rsidR="008C3724" w:rsidRDefault="00D9195D">
            <w:pPr>
              <w:jc w:val="right"/>
            </w:pPr>
            <w:r>
              <w:rPr>
                <w:color w:val="000000" w:themeColor="text1"/>
                <w:szCs w:val="21"/>
              </w:rPr>
              <w:t>910,135,493.97</w:t>
            </w:r>
          </w:p>
        </w:tc>
        <w:tc>
          <w:tcPr>
            <w:tcW w:w="1693" w:type="dxa"/>
            <w:vAlign w:val="center"/>
          </w:tcPr>
          <w:p w:rsidR="008C3724" w:rsidRDefault="00D9195D">
            <w:pPr>
              <w:jc w:val="right"/>
            </w:pPr>
            <w:r>
              <w:rPr>
                <w:color w:val="000000" w:themeColor="text1"/>
                <w:szCs w:val="21"/>
              </w:rPr>
              <w:t>6.04</w:t>
            </w:r>
          </w:p>
        </w:tc>
      </w:tr>
      <w:tr w:rsidR="008C3724">
        <w:tc>
          <w:tcPr>
            <w:tcW w:w="1309" w:type="dxa"/>
            <w:vAlign w:val="center"/>
          </w:tcPr>
          <w:p w:rsidR="008C3724" w:rsidRDefault="00D9195D">
            <w:pPr>
              <w:jc w:val="center"/>
            </w:pPr>
            <w:r>
              <w:rPr>
                <w:color w:val="000000" w:themeColor="text1"/>
                <w:szCs w:val="21"/>
              </w:rPr>
              <w:t>3</w:t>
            </w:r>
          </w:p>
        </w:tc>
        <w:tc>
          <w:tcPr>
            <w:tcW w:w="1369" w:type="dxa"/>
            <w:vAlign w:val="center"/>
          </w:tcPr>
          <w:p w:rsidR="008C3724" w:rsidRDefault="00D9195D">
            <w:pPr>
              <w:jc w:val="center"/>
            </w:pPr>
            <w:r>
              <w:rPr>
                <w:color w:val="000000" w:themeColor="text1"/>
                <w:szCs w:val="21"/>
              </w:rPr>
              <w:t>111918200</w:t>
            </w:r>
          </w:p>
        </w:tc>
        <w:tc>
          <w:tcPr>
            <w:tcW w:w="1369" w:type="dxa"/>
            <w:vAlign w:val="center"/>
          </w:tcPr>
          <w:p w:rsidR="008C3724" w:rsidRDefault="00D9195D">
            <w:pPr>
              <w:jc w:val="center"/>
            </w:pPr>
            <w:r>
              <w:rPr>
                <w:color w:val="000000" w:themeColor="text1"/>
                <w:szCs w:val="21"/>
              </w:rPr>
              <w:t>19</w:t>
            </w:r>
            <w:r>
              <w:rPr>
                <w:color w:val="000000" w:themeColor="text1"/>
                <w:szCs w:val="21"/>
              </w:rPr>
              <w:t>华夏银行</w:t>
            </w:r>
            <w:r>
              <w:rPr>
                <w:color w:val="000000" w:themeColor="text1"/>
                <w:szCs w:val="21"/>
              </w:rPr>
              <w:t>CD200</w:t>
            </w:r>
          </w:p>
        </w:tc>
        <w:tc>
          <w:tcPr>
            <w:tcW w:w="1517" w:type="dxa"/>
            <w:vAlign w:val="center"/>
          </w:tcPr>
          <w:p w:rsidR="008C3724" w:rsidRDefault="00D9195D">
            <w:pPr>
              <w:jc w:val="right"/>
            </w:pPr>
            <w:r>
              <w:rPr>
                <w:color w:val="000000" w:themeColor="text1"/>
                <w:szCs w:val="21"/>
              </w:rPr>
              <w:t>7,500,000</w:t>
            </w:r>
          </w:p>
        </w:tc>
        <w:tc>
          <w:tcPr>
            <w:tcW w:w="1815" w:type="dxa"/>
            <w:vAlign w:val="center"/>
          </w:tcPr>
          <w:p w:rsidR="008C3724" w:rsidRDefault="00D9195D">
            <w:pPr>
              <w:jc w:val="right"/>
            </w:pPr>
            <w:r>
              <w:rPr>
                <w:color w:val="000000" w:themeColor="text1"/>
                <w:szCs w:val="21"/>
              </w:rPr>
              <w:t>745,353,411.87</w:t>
            </w:r>
          </w:p>
        </w:tc>
        <w:tc>
          <w:tcPr>
            <w:tcW w:w="1693" w:type="dxa"/>
            <w:vAlign w:val="center"/>
          </w:tcPr>
          <w:p w:rsidR="008C3724" w:rsidRDefault="00D9195D">
            <w:pPr>
              <w:jc w:val="right"/>
            </w:pPr>
            <w:r>
              <w:rPr>
                <w:color w:val="000000" w:themeColor="text1"/>
                <w:szCs w:val="21"/>
              </w:rPr>
              <w:t>4.95</w:t>
            </w:r>
          </w:p>
        </w:tc>
      </w:tr>
      <w:tr w:rsidR="008C3724">
        <w:tc>
          <w:tcPr>
            <w:tcW w:w="1309" w:type="dxa"/>
            <w:vAlign w:val="center"/>
          </w:tcPr>
          <w:p w:rsidR="008C3724" w:rsidRDefault="00D9195D">
            <w:pPr>
              <w:jc w:val="center"/>
            </w:pPr>
            <w:r>
              <w:rPr>
                <w:color w:val="000000" w:themeColor="text1"/>
                <w:szCs w:val="21"/>
              </w:rPr>
              <w:t>4</w:t>
            </w:r>
          </w:p>
        </w:tc>
        <w:tc>
          <w:tcPr>
            <w:tcW w:w="1369" w:type="dxa"/>
            <w:vAlign w:val="center"/>
          </w:tcPr>
          <w:p w:rsidR="008C3724" w:rsidRDefault="00D9195D">
            <w:pPr>
              <w:jc w:val="center"/>
            </w:pPr>
            <w:r>
              <w:rPr>
                <w:color w:val="000000" w:themeColor="text1"/>
                <w:szCs w:val="21"/>
              </w:rPr>
              <w:t>111918211</w:t>
            </w:r>
          </w:p>
        </w:tc>
        <w:tc>
          <w:tcPr>
            <w:tcW w:w="1369" w:type="dxa"/>
            <w:vAlign w:val="center"/>
          </w:tcPr>
          <w:p w:rsidR="008C3724" w:rsidRDefault="00D9195D">
            <w:pPr>
              <w:jc w:val="center"/>
            </w:pPr>
            <w:r>
              <w:rPr>
                <w:color w:val="000000" w:themeColor="text1"/>
                <w:szCs w:val="21"/>
              </w:rPr>
              <w:t>19</w:t>
            </w:r>
            <w:r>
              <w:rPr>
                <w:color w:val="000000" w:themeColor="text1"/>
                <w:szCs w:val="21"/>
              </w:rPr>
              <w:t>华夏银行</w:t>
            </w:r>
            <w:r>
              <w:rPr>
                <w:color w:val="000000" w:themeColor="text1"/>
                <w:szCs w:val="21"/>
              </w:rPr>
              <w:t>CD211</w:t>
            </w:r>
          </w:p>
        </w:tc>
        <w:tc>
          <w:tcPr>
            <w:tcW w:w="1517" w:type="dxa"/>
            <w:vAlign w:val="center"/>
          </w:tcPr>
          <w:p w:rsidR="008C3724" w:rsidRDefault="00D9195D">
            <w:pPr>
              <w:jc w:val="right"/>
            </w:pPr>
            <w:r>
              <w:rPr>
                <w:color w:val="000000" w:themeColor="text1"/>
                <w:szCs w:val="21"/>
              </w:rPr>
              <w:t>7,100,000</w:t>
            </w:r>
          </w:p>
        </w:tc>
        <w:tc>
          <w:tcPr>
            <w:tcW w:w="1815" w:type="dxa"/>
            <w:vAlign w:val="center"/>
          </w:tcPr>
          <w:p w:rsidR="008C3724" w:rsidRDefault="00D9195D">
            <w:pPr>
              <w:jc w:val="right"/>
            </w:pPr>
            <w:r>
              <w:rPr>
                <w:color w:val="000000" w:themeColor="text1"/>
                <w:szCs w:val="21"/>
              </w:rPr>
              <w:t>699,737,712.81</w:t>
            </w:r>
          </w:p>
        </w:tc>
        <w:tc>
          <w:tcPr>
            <w:tcW w:w="1693" w:type="dxa"/>
            <w:vAlign w:val="center"/>
          </w:tcPr>
          <w:p w:rsidR="008C3724" w:rsidRDefault="00D9195D">
            <w:pPr>
              <w:jc w:val="right"/>
            </w:pPr>
            <w:r>
              <w:rPr>
                <w:color w:val="000000" w:themeColor="text1"/>
                <w:szCs w:val="21"/>
              </w:rPr>
              <w:t>4.65</w:t>
            </w:r>
          </w:p>
        </w:tc>
      </w:tr>
      <w:tr w:rsidR="008C3724">
        <w:tc>
          <w:tcPr>
            <w:tcW w:w="1309" w:type="dxa"/>
            <w:vAlign w:val="center"/>
          </w:tcPr>
          <w:p w:rsidR="008C3724" w:rsidRDefault="00D9195D">
            <w:pPr>
              <w:jc w:val="center"/>
            </w:pPr>
            <w:r>
              <w:rPr>
                <w:color w:val="000000" w:themeColor="text1"/>
                <w:szCs w:val="21"/>
              </w:rPr>
              <w:t>5</w:t>
            </w:r>
          </w:p>
        </w:tc>
        <w:tc>
          <w:tcPr>
            <w:tcW w:w="1369" w:type="dxa"/>
            <w:vAlign w:val="center"/>
          </w:tcPr>
          <w:p w:rsidR="008C3724" w:rsidRDefault="00D9195D">
            <w:pPr>
              <w:jc w:val="center"/>
            </w:pPr>
            <w:r>
              <w:rPr>
                <w:color w:val="000000" w:themeColor="text1"/>
                <w:szCs w:val="21"/>
              </w:rPr>
              <w:t>111906173</w:t>
            </w:r>
          </w:p>
        </w:tc>
        <w:tc>
          <w:tcPr>
            <w:tcW w:w="1369" w:type="dxa"/>
            <w:vAlign w:val="center"/>
          </w:tcPr>
          <w:p w:rsidR="008C3724" w:rsidRDefault="00D9195D">
            <w:pPr>
              <w:jc w:val="center"/>
            </w:pPr>
            <w:r>
              <w:rPr>
                <w:color w:val="000000" w:themeColor="text1"/>
                <w:szCs w:val="21"/>
              </w:rPr>
              <w:t>19</w:t>
            </w:r>
            <w:r>
              <w:rPr>
                <w:color w:val="000000" w:themeColor="text1"/>
                <w:szCs w:val="21"/>
              </w:rPr>
              <w:t>交通银行</w:t>
            </w:r>
            <w:r>
              <w:rPr>
                <w:color w:val="000000" w:themeColor="text1"/>
                <w:szCs w:val="21"/>
              </w:rPr>
              <w:t>CD173</w:t>
            </w:r>
          </w:p>
        </w:tc>
        <w:tc>
          <w:tcPr>
            <w:tcW w:w="1517" w:type="dxa"/>
            <w:vAlign w:val="center"/>
          </w:tcPr>
          <w:p w:rsidR="008C3724" w:rsidRDefault="00D9195D">
            <w:pPr>
              <w:jc w:val="right"/>
            </w:pPr>
            <w:r>
              <w:rPr>
                <w:color w:val="000000" w:themeColor="text1"/>
                <w:szCs w:val="21"/>
              </w:rPr>
              <w:t>5,500,000</w:t>
            </w:r>
          </w:p>
        </w:tc>
        <w:tc>
          <w:tcPr>
            <w:tcW w:w="1815" w:type="dxa"/>
            <w:vAlign w:val="center"/>
          </w:tcPr>
          <w:p w:rsidR="008C3724" w:rsidRDefault="00D9195D">
            <w:pPr>
              <w:jc w:val="right"/>
            </w:pPr>
            <w:r>
              <w:rPr>
                <w:color w:val="000000" w:themeColor="text1"/>
                <w:szCs w:val="21"/>
              </w:rPr>
              <w:t>546,592,634.66</w:t>
            </w:r>
          </w:p>
        </w:tc>
        <w:tc>
          <w:tcPr>
            <w:tcW w:w="1693" w:type="dxa"/>
            <w:vAlign w:val="center"/>
          </w:tcPr>
          <w:p w:rsidR="008C3724" w:rsidRDefault="00D9195D">
            <w:pPr>
              <w:jc w:val="right"/>
            </w:pPr>
            <w:r>
              <w:rPr>
                <w:color w:val="000000" w:themeColor="text1"/>
                <w:szCs w:val="21"/>
              </w:rPr>
              <w:t>3.63</w:t>
            </w:r>
          </w:p>
        </w:tc>
      </w:tr>
      <w:tr w:rsidR="008C3724">
        <w:tc>
          <w:tcPr>
            <w:tcW w:w="1309" w:type="dxa"/>
            <w:vAlign w:val="center"/>
          </w:tcPr>
          <w:p w:rsidR="008C3724" w:rsidRDefault="00D9195D">
            <w:pPr>
              <w:jc w:val="center"/>
            </w:pPr>
            <w:r>
              <w:rPr>
                <w:color w:val="000000" w:themeColor="text1"/>
                <w:szCs w:val="21"/>
              </w:rPr>
              <w:t>6</w:t>
            </w:r>
          </w:p>
        </w:tc>
        <w:tc>
          <w:tcPr>
            <w:tcW w:w="1369" w:type="dxa"/>
            <w:vAlign w:val="center"/>
          </w:tcPr>
          <w:p w:rsidR="008C3724" w:rsidRDefault="00D9195D">
            <w:pPr>
              <w:jc w:val="center"/>
            </w:pPr>
            <w:r>
              <w:rPr>
                <w:color w:val="000000" w:themeColor="text1"/>
                <w:szCs w:val="21"/>
              </w:rPr>
              <w:t>111997324</w:t>
            </w:r>
          </w:p>
        </w:tc>
        <w:tc>
          <w:tcPr>
            <w:tcW w:w="1369" w:type="dxa"/>
            <w:vAlign w:val="center"/>
          </w:tcPr>
          <w:p w:rsidR="008C3724" w:rsidRDefault="00D9195D">
            <w:pPr>
              <w:jc w:val="center"/>
            </w:pPr>
            <w:r>
              <w:rPr>
                <w:color w:val="000000" w:themeColor="text1"/>
                <w:szCs w:val="21"/>
              </w:rPr>
              <w:t>19</w:t>
            </w:r>
            <w:r>
              <w:rPr>
                <w:color w:val="000000" w:themeColor="text1"/>
                <w:szCs w:val="21"/>
              </w:rPr>
              <w:t>成都银行</w:t>
            </w:r>
            <w:r>
              <w:rPr>
                <w:color w:val="000000" w:themeColor="text1"/>
                <w:szCs w:val="21"/>
              </w:rPr>
              <w:t>CD103</w:t>
            </w:r>
          </w:p>
        </w:tc>
        <w:tc>
          <w:tcPr>
            <w:tcW w:w="1517" w:type="dxa"/>
            <w:vAlign w:val="center"/>
          </w:tcPr>
          <w:p w:rsidR="008C3724" w:rsidRDefault="00D9195D">
            <w:pPr>
              <w:jc w:val="right"/>
            </w:pPr>
            <w:r>
              <w:rPr>
                <w:color w:val="000000" w:themeColor="text1"/>
                <w:szCs w:val="21"/>
              </w:rPr>
              <w:t>5,000,000</w:t>
            </w:r>
          </w:p>
        </w:tc>
        <w:tc>
          <w:tcPr>
            <w:tcW w:w="1815" w:type="dxa"/>
            <w:vAlign w:val="center"/>
          </w:tcPr>
          <w:p w:rsidR="008C3724" w:rsidRDefault="00D9195D">
            <w:pPr>
              <w:jc w:val="right"/>
            </w:pPr>
            <w:r>
              <w:rPr>
                <w:color w:val="000000" w:themeColor="text1"/>
                <w:szCs w:val="21"/>
              </w:rPr>
              <w:t>498,196,331.87</w:t>
            </w:r>
          </w:p>
        </w:tc>
        <w:tc>
          <w:tcPr>
            <w:tcW w:w="1693" w:type="dxa"/>
            <w:vAlign w:val="center"/>
          </w:tcPr>
          <w:p w:rsidR="008C3724" w:rsidRDefault="00D9195D">
            <w:pPr>
              <w:jc w:val="right"/>
            </w:pPr>
            <w:r>
              <w:rPr>
                <w:color w:val="000000" w:themeColor="text1"/>
                <w:szCs w:val="21"/>
              </w:rPr>
              <w:t>3.31</w:t>
            </w:r>
          </w:p>
        </w:tc>
      </w:tr>
      <w:tr w:rsidR="008C3724">
        <w:tc>
          <w:tcPr>
            <w:tcW w:w="1309" w:type="dxa"/>
            <w:vAlign w:val="center"/>
          </w:tcPr>
          <w:p w:rsidR="008C3724" w:rsidRDefault="00D9195D">
            <w:pPr>
              <w:jc w:val="center"/>
            </w:pPr>
            <w:r>
              <w:rPr>
                <w:color w:val="000000" w:themeColor="text1"/>
                <w:szCs w:val="21"/>
              </w:rPr>
              <w:t>7</w:t>
            </w:r>
          </w:p>
        </w:tc>
        <w:tc>
          <w:tcPr>
            <w:tcW w:w="1369" w:type="dxa"/>
            <w:vAlign w:val="center"/>
          </w:tcPr>
          <w:p w:rsidR="008C3724" w:rsidRDefault="00D9195D">
            <w:pPr>
              <w:jc w:val="center"/>
            </w:pPr>
            <w:r>
              <w:rPr>
                <w:color w:val="000000" w:themeColor="text1"/>
                <w:szCs w:val="21"/>
              </w:rPr>
              <w:t>111999924</w:t>
            </w:r>
          </w:p>
        </w:tc>
        <w:tc>
          <w:tcPr>
            <w:tcW w:w="1369" w:type="dxa"/>
            <w:vAlign w:val="center"/>
          </w:tcPr>
          <w:p w:rsidR="008C3724" w:rsidRDefault="00D9195D">
            <w:pPr>
              <w:jc w:val="center"/>
            </w:pPr>
            <w:r>
              <w:rPr>
                <w:color w:val="000000" w:themeColor="text1"/>
                <w:szCs w:val="21"/>
              </w:rPr>
              <w:t>19</w:t>
            </w:r>
            <w:r>
              <w:rPr>
                <w:color w:val="000000" w:themeColor="text1"/>
                <w:szCs w:val="21"/>
              </w:rPr>
              <w:t>徽商银行</w:t>
            </w:r>
            <w:r>
              <w:rPr>
                <w:color w:val="000000" w:themeColor="text1"/>
                <w:szCs w:val="21"/>
              </w:rPr>
              <w:t>CD044</w:t>
            </w:r>
          </w:p>
        </w:tc>
        <w:tc>
          <w:tcPr>
            <w:tcW w:w="1517" w:type="dxa"/>
            <w:vAlign w:val="center"/>
          </w:tcPr>
          <w:p w:rsidR="008C3724" w:rsidRDefault="00D9195D">
            <w:pPr>
              <w:jc w:val="right"/>
            </w:pPr>
            <w:r>
              <w:rPr>
                <w:color w:val="000000" w:themeColor="text1"/>
                <w:szCs w:val="21"/>
              </w:rPr>
              <w:t>5,000,000</w:t>
            </w:r>
          </w:p>
        </w:tc>
        <w:tc>
          <w:tcPr>
            <w:tcW w:w="1815" w:type="dxa"/>
            <w:vAlign w:val="center"/>
          </w:tcPr>
          <w:p w:rsidR="008C3724" w:rsidRDefault="00D9195D">
            <w:pPr>
              <w:jc w:val="right"/>
            </w:pPr>
            <w:r>
              <w:rPr>
                <w:color w:val="000000" w:themeColor="text1"/>
                <w:szCs w:val="21"/>
              </w:rPr>
              <w:t>496,756,420.61</w:t>
            </w:r>
          </w:p>
        </w:tc>
        <w:tc>
          <w:tcPr>
            <w:tcW w:w="1693" w:type="dxa"/>
            <w:vAlign w:val="center"/>
          </w:tcPr>
          <w:p w:rsidR="008C3724" w:rsidRDefault="00D9195D">
            <w:pPr>
              <w:jc w:val="right"/>
            </w:pPr>
            <w:r>
              <w:rPr>
                <w:color w:val="000000" w:themeColor="text1"/>
                <w:szCs w:val="21"/>
              </w:rPr>
              <w:t>3.30</w:t>
            </w:r>
          </w:p>
        </w:tc>
      </w:tr>
      <w:tr w:rsidR="008C3724">
        <w:tc>
          <w:tcPr>
            <w:tcW w:w="1309" w:type="dxa"/>
            <w:vAlign w:val="center"/>
          </w:tcPr>
          <w:p w:rsidR="008C3724" w:rsidRDefault="00D9195D">
            <w:pPr>
              <w:jc w:val="center"/>
            </w:pPr>
            <w:r>
              <w:rPr>
                <w:color w:val="000000" w:themeColor="text1"/>
                <w:szCs w:val="21"/>
              </w:rPr>
              <w:t>8</w:t>
            </w:r>
          </w:p>
        </w:tc>
        <w:tc>
          <w:tcPr>
            <w:tcW w:w="1369" w:type="dxa"/>
            <w:vAlign w:val="center"/>
          </w:tcPr>
          <w:p w:rsidR="008C3724" w:rsidRDefault="00D9195D">
            <w:pPr>
              <w:jc w:val="center"/>
            </w:pPr>
            <w:r>
              <w:rPr>
                <w:color w:val="000000" w:themeColor="text1"/>
                <w:szCs w:val="21"/>
              </w:rPr>
              <w:t>111980101</w:t>
            </w:r>
          </w:p>
        </w:tc>
        <w:tc>
          <w:tcPr>
            <w:tcW w:w="1369" w:type="dxa"/>
            <w:vAlign w:val="center"/>
          </w:tcPr>
          <w:p w:rsidR="008C3724" w:rsidRDefault="00D9195D">
            <w:pPr>
              <w:jc w:val="center"/>
            </w:pPr>
            <w:r>
              <w:rPr>
                <w:color w:val="000000" w:themeColor="text1"/>
                <w:szCs w:val="21"/>
              </w:rPr>
              <w:t>19</w:t>
            </w:r>
            <w:r>
              <w:rPr>
                <w:color w:val="000000" w:themeColor="text1"/>
                <w:szCs w:val="21"/>
              </w:rPr>
              <w:t>厦门国际银行</w:t>
            </w:r>
            <w:r>
              <w:rPr>
                <w:color w:val="000000" w:themeColor="text1"/>
                <w:szCs w:val="21"/>
              </w:rPr>
              <w:t>CD096</w:t>
            </w:r>
          </w:p>
        </w:tc>
        <w:tc>
          <w:tcPr>
            <w:tcW w:w="1517" w:type="dxa"/>
            <w:vAlign w:val="center"/>
          </w:tcPr>
          <w:p w:rsidR="008C3724" w:rsidRDefault="00D9195D">
            <w:pPr>
              <w:jc w:val="right"/>
            </w:pPr>
            <w:r>
              <w:rPr>
                <w:color w:val="000000" w:themeColor="text1"/>
                <w:szCs w:val="21"/>
              </w:rPr>
              <w:t>5,000,000</w:t>
            </w:r>
          </w:p>
        </w:tc>
        <w:tc>
          <w:tcPr>
            <w:tcW w:w="1815" w:type="dxa"/>
            <w:vAlign w:val="center"/>
          </w:tcPr>
          <w:p w:rsidR="008C3724" w:rsidRDefault="00D9195D">
            <w:pPr>
              <w:jc w:val="right"/>
            </w:pPr>
            <w:r>
              <w:rPr>
                <w:color w:val="000000" w:themeColor="text1"/>
                <w:szCs w:val="21"/>
              </w:rPr>
              <w:t>496,640,870.40</w:t>
            </w:r>
          </w:p>
        </w:tc>
        <w:tc>
          <w:tcPr>
            <w:tcW w:w="1693" w:type="dxa"/>
            <w:vAlign w:val="center"/>
          </w:tcPr>
          <w:p w:rsidR="008C3724" w:rsidRDefault="00D9195D">
            <w:pPr>
              <w:jc w:val="right"/>
            </w:pPr>
            <w:r>
              <w:rPr>
                <w:color w:val="000000" w:themeColor="text1"/>
                <w:szCs w:val="21"/>
              </w:rPr>
              <w:t>3.30</w:t>
            </w:r>
          </w:p>
        </w:tc>
      </w:tr>
      <w:tr w:rsidR="008C3724">
        <w:tc>
          <w:tcPr>
            <w:tcW w:w="1309" w:type="dxa"/>
            <w:vAlign w:val="center"/>
          </w:tcPr>
          <w:p w:rsidR="008C3724" w:rsidRDefault="00D9195D">
            <w:pPr>
              <w:jc w:val="center"/>
            </w:pPr>
            <w:r>
              <w:rPr>
                <w:color w:val="000000" w:themeColor="text1"/>
                <w:szCs w:val="21"/>
              </w:rPr>
              <w:t>9</w:t>
            </w:r>
          </w:p>
        </w:tc>
        <w:tc>
          <w:tcPr>
            <w:tcW w:w="1369" w:type="dxa"/>
            <w:vAlign w:val="center"/>
          </w:tcPr>
          <w:p w:rsidR="008C3724" w:rsidRDefault="00D9195D">
            <w:pPr>
              <w:jc w:val="center"/>
            </w:pPr>
            <w:r>
              <w:rPr>
                <w:color w:val="000000" w:themeColor="text1"/>
                <w:szCs w:val="21"/>
              </w:rPr>
              <w:t>111988120</w:t>
            </w:r>
          </w:p>
        </w:tc>
        <w:tc>
          <w:tcPr>
            <w:tcW w:w="1369" w:type="dxa"/>
            <w:vAlign w:val="center"/>
          </w:tcPr>
          <w:p w:rsidR="008C3724" w:rsidRDefault="00D9195D">
            <w:pPr>
              <w:jc w:val="center"/>
            </w:pPr>
            <w:r>
              <w:rPr>
                <w:color w:val="000000" w:themeColor="text1"/>
                <w:szCs w:val="21"/>
              </w:rPr>
              <w:t>19</w:t>
            </w:r>
            <w:r>
              <w:rPr>
                <w:color w:val="000000" w:themeColor="text1"/>
                <w:szCs w:val="21"/>
              </w:rPr>
              <w:t>广州农村商业银行</w:t>
            </w:r>
            <w:r>
              <w:rPr>
                <w:color w:val="000000" w:themeColor="text1"/>
                <w:szCs w:val="21"/>
              </w:rPr>
              <w:t>CD106</w:t>
            </w:r>
          </w:p>
        </w:tc>
        <w:tc>
          <w:tcPr>
            <w:tcW w:w="1517" w:type="dxa"/>
            <w:vAlign w:val="center"/>
          </w:tcPr>
          <w:p w:rsidR="008C3724" w:rsidRDefault="00D9195D">
            <w:pPr>
              <w:jc w:val="right"/>
            </w:pPr>
            <w:r>
              <w:rPr>
                <w:color w:val="000000" w:themeColor="text1"/>
                <w:szCs w:val="21"/>
              </w:rPr>
              <w:t>5,000,000</w:t>
            </w:r>
          </w:p>
        </w:tc>
        <w:tc>
          <w:tcPr>
            <w:tcW w:w="1815" w:type="dxa"/>
            <w:vAlign w:val="center"/>
          </w:tcPr>
          <w:p w:rsidR="008C3724" w:rsidRDefault="00D9195D">
            <w:pPr>
              <w:jc w:val="right"/>
            </w:pPr>
            <w:r>
              <w:rPr>
                <w:color w:val="000000" w:themeColor="text1"/>
                <w:szCs w:val="21"/>
              </w:rPr>
              <w:t>493,396,346.08</w:t>
            </w:r>
          </w:p>
        </w:tc>
        <w:tc>
          <w:tcPr>
            <w:tcW w:w="1693" w:type="dxa"/>
            <w:vAlign w:val="center"/>
          </w:tcPr>
          <w:p w:rsidR="008C3724" w:rsidRDefault="00D9195D">
            <w:pPr>
              <w:jc w:val="right"/>
            </w:pPr>
            <w:r>
              <w:rPr>
                <w:color w:val="000000" w:themeColor="text1"/>
                <w:szCs w:val="21"/>
              </w:rPr>
              <w:t>3.28</w:t>
            </w:r>
          </w:p>
        </w:tc>
      </w:tr>
      <w:tr w:rsidR="008C3724">
        <w:tc>
          <w:tcPr>
            <w:tcW w:w="1309" w:type="dxa"/>
            <w:vAlign w:val="center"/>
          </w:tcPr>
          <w:p w:rsidR="008C3724" w:rsidRDefault="00D9195D">
            <w:pPr>
              <w:jc w:val="center"/>
            </w:pPr>
            <w:r>
              <w:rPr>
                <w:color w:val="000000" w:themeColor="text1"/>
                <w:szCs w:val="21"/>
              </w:rPr>
              <w:t>10</w:t>
            </w:r>
          </w:p>
        </w:tc>
        <w:tc>
          <w:tcPr>
            <w:tcW w:w="1369" w:type="dxa"/>
            <w:vAlign w:val="center"/>
          </w:tcPr>
          <w:p w:rsidR="008C3724" w:rsidRDefault="00D9195D">
            <w:pPr>
              <w:jc w:val="center"/>
            </w:pPr>
            <w:r>
              <w:rPr>
                <w:color w:val="000000" w:themeColor="text1"/>
                <w:szCs w:val="21"/>
              </w:rPr>
              <w:t>111989132</w:t>
            </w:r>
          </w:p>
        </w:tc>
        <w:tc>
          <w:tcPr>
            <w:tcW w:w="1369" w:type="dxa"/>
            <w:vAlign w:val="center"/>
          </w:tcPr>
          <w:p w:rsidR="008C3724" w:rsidRDefault="00D9195D">
            <w:pPr>
              <w:jc w:val="center"/>
            </w:pPr>
            <w:r>
              <w:rPr>
                <w:color w:val="000000" w:themeColor="text1"/>
                <w:szCs w:val="21"/>
              </w:rPr>
              <w:t>19</w:t>
            </w:r>
            <w:r>
              <w:rPr>
                <w:color w:val="000000" w:themeColor="text1"/>
                <w:szCs w:val="21"/>
              </w:rPr>
              <w:t>苏州银行</w:t>
            </w:r>
            <w:r>
              <w:rPr>
                <w:color w:val="000000" w:themeColor="text1"/>
                <w:szCs w:val="21"/>
              </w:rPr>
              <w:t>CD275</w:t>
            </w:r>
          </w:p>
        </w:tc>
        <w:tc>
          <w:tcPr>
            <w:tcW w:w="1517" w:type="dxa"/>
            <w:vAlign w:val="center"/>
          </w:tcPr>
          <w:p w:rsidR="008C3724" w:rsidRDefault="00D9195D">
            <w:pPr>
              <w:jc w:val="right"/>
            </w:pPr>
            <w:r>
              <w:rPr>
                <w:color w:val="000000" w:themeColor="text1"/>
                <w:szCs w:val="21"/>
              </w:rPr>
              <w:t>4,000,000</w:t>
            </w:r>
          </w:p>
        </w:tc>
        <w:tc>
          <w:tcPr>
            <w:tcW w:w="1815" w:type="dxa"/>
            <w:vAlign w:val="center"/>
          </w:tcPr>
          <w:p w:rsidR="008C3724" w:rsidRDefault="00D9195D">
            <w:pPr>
              <w:jc w:val="right"/>
            </w:pPr>
            <w:r>
              <w:rPr>
                <w:color w:val="000000" w:themeColor="text1"/>
                <w:szCs w:val="21"/>
              </w:rPr>
              <w:t>399,165,092.53</w:t>
            </w:r>
          </w:p>
        </w:tc>
        <w:tc>
          <w:tcPr>
            <w:tcW w:w="1693" w:type="dxa"/>
            <w:vAlign w:val="center"/>
          </w:tcPr>
          <w:p w:rsidR="008C3724" w:rsidRDefault="00D9195D">
            <w:pPr>
              <w:jc w:val="right"/>
            </w:pPr>
            <w:r>
              <w:rPr>
                <w:color w:val="000000" w:themeColor="text1"/>
                <w:szCs w:val="21"/>
              </w:rPr>
              <w:t>2.65</w:t>
            </w:r>
          </w:p>
        </w:tc>
      </w:tr>
    </w:tbl>
    <w:p w:rsidR="00902E3F" w:rsidRPr="00531C33" w:rsidRDefault="00CE7AB4" w:rsidP="00DE5371">
      <w:pPr>
        <w:pStyle w:val="3"/>
        <w:spacing w:before="0" w:after="0" w:line="360" w:lineRule="auto"/>
        <w:jc w:val="left"/>
        <w:rPr>
          <w:b w:val="0"/>
          <w:sz w:val="21"/>
          <w:szCs w:val="21"/>
        </w:rPr>
      </w:pPr>
      <w:r w:rsidRPr="00531C33">
        <w:rPr>
          <w:b w:val="0"/>
          <w:sz w:val="21"/>
          <w:szCs w:val="21"/>
        </w:rPr>
        <w:t>5.7</w:t>
      </w:r>
      <w:r w:rsidR="00902E3F" w:rsidRPr="00531C33">
        <w:rPr>
          <w:b w:val="0"/>
          <w:sz w:val="21"/>
          <w:szCs w:val="21"/>
        </w:rPr>
        <w:t>“</w:t>
      </w:r>
      <w:r w:rsidR="00902E3F" w:rsidRPr="00531C33">
        <w:rPr>
          <w:b w:val="0"/>
          <w:sz w:val="21"/>
          <w:szCs w:val="21"/>
        </w:rPr>
        <w:t>影子定价</w:t>
      </w:r>
      <w:r w:rsidR="00902E3F" w:rsidRPr="00531C33">
        <w:rPr>
          <w:b w:val="0"/>
          <w:sz w:val="21"/>
          <w:szCs w:val="21"/>
        </w:rPr>
        <w:t>”</w:t>
      </w:r>
      <w:r w:rsidR="00902E3F" w:rsidRPr="00531C33">
        <w:rPr>
          <w:b w:val="0"/>
          <w:sz w:val="21"/>
          <w:szCs w:val="21"/>
        </w:rPr>
        <w:t>与</w:t>
      </w:r>
      <w:r w:rsidR="00902E3F" w:rsidRPr="00531C33">
        <w:rPr>
          <w:b w:val="0"/>
          <w:sz w:val="21"/>
          <w:szCs w:val="21"/>
        </w:rPr>
        <w:t>“</w:t>
      </w:r>
      <w:r w:rsidR="00902E3F" w:rsidRPr="00531C33">
        <w:rPr>
          <w:b w:val="0"/>
          <w:sz w:val="21"/>
          <w:szCs w:val="21"/>
        </w:rPr>
        <w:t>摊余成本法</w:t>
      </w:r>
      <w:r w:rsidR="00902E3F" w:rsidRPr="00531C33">
        <w:rPr>
          <w:b w:val="0"/>
          <w:sz w:val="21"/>
          <w:szCs w:val="21"/>
        </w:rPr>
        <w:t>”</w:t>
      </w:r>
      <w:r w:rsidR="00902E3F" w:rsidRPr="00531C33">
        <w:rPr>
          <w:b w:val="0"/>
          <w:sz w:val="21"/>
          <w:szCs w:val="21"/>
        </w:rPr>
        <w:t>确定的基金资产净值的偏离</w:t>
      </w:r>
    </w:p>
    <w:tbl>
      <w:tblPr>
        <w:tblW w:w="0" w:type="auto"/>
        <w:tblInd w:w="108" w:type="dxa"/>
        <w:tblLayout w:type="fixed"/>
        <w:tblLook w:val="0000"/>
      </w:tblPr>
      <w:tblGrid>
        <w:gridCol w:w="5812"/>
        <w:gridCol w:w="3260"/>
      </w:tblGrid>
      <w:tr w:rsidR="00221340" w:rsidRPr="00531C33" w:rsidTr="00235737">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项目</w:t>
            </w:r>
          </w:p>
        </w:tc>
        <w:tc>
          <w:tcPr>
            <w:tcW w:w="3260"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196812">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偏离情况</w:t>
            </w:r>
          </w:p>
        </w:tc>
      </w:tr>
      <w:tr w:rsidR="00221340" w:rsidRPr="00531C33" w:rsidTr="00235737">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报告期内偏离度的绝对值在</w:t>
            </w:r>
            <w:r w:rsidRPr="00531C33">
              <w:rPr>
                <w:color w:val="000000" w:themeColor="text1"/>
                <w:kern w:val="0"/>
                <w:szCs w:val="21"/>
              </w:rPr>
              <w:t>0.25(</w:t>
            </w:r>
            <w:r w:rsidRPr="00531C33">
              <w:rPr>
                <w:color w:val="000000" w:themeColor="text1"/>
                <w:kern w:val="0"/>
                <w:szCs w:val="21"/>
              </w:rPr>
              <w:t>含</w:t>
            </w:r>
            <w:r w:rsidRPr="00531C33">
              <w:rPr>
                <w:color w:val="000000" w:themeColor="text1"/>
                <w:kern w:val="0"/>
                <w:szCs w:val="21"/>
              </w:rPr>
              <w:t>)-0.5%</w:t>
            </w:r>
            <w:r w:rsidRPr="00531C33">
              <w:rPr>
                <w:color w:val="000000" w:themeColor="text1"/>
                <w:kern w:val="0"/>
                <w:szCs w:val="21"/>
              </w:rPr>
              <w:t>间的次数</w:t>
            </w:r>
          </w:p>
        </w:tc>
        <w:tc>
          <w:tcPr>
            <w:tcW w:w="3260"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C17D68">
            <w:pPr>
              <w:spacing w:line="360" w:lineRule="auto"/>
              <w:jc w:val="right"/>
              <w:rPr>
                <w:color w:val="000000" w:themeColor="text1"/>
                <w:szCs w:val="21"/>
              </w:rPr>
            </w:pPr>
            <w:r w:rsidRPr="00531C33">
              <w:rPr>
                <w:color w:val="000000" w:themeColor="text1"/>
                <w:szCs w:val="21"/>
              </w:rPr>
              <w:t>0</w:t>
            </w:r>
            <w:r w:rsidRPr="00531C33">
              <w:rPr>
                <w:color w:val="000000" w:themeColor="text1"/>
                <w:szCs w:val="21"/>
              </w:rPr>
              <w:t>次</w:t>
            </w:r>
            <w:bookmarkStart w:id="0" w:name="_GoBack"/>
            <w:bookmarkEnd w:id="0"/>
          </w:p>
        </w:tc>
      </w:tr>
      <w:tr w:rsidR="00221340" w:rsidRPr="00531C33" w:rsidTr="00235737">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报告期内偏离度的最高值</w:t>
            </w:r>
          </w:p>
        </w:tc>
        <w:tc>
          <w:tcPr>
            <w:tcW w:w="3260"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C17D68">
            <w:pPr>
              <w:spacing w:line="360" w:lineRule="auto"/>
              <w:jc w:val="right"/>
              <w:rPr>
                <w:color w:val="000000" w:themeColor="text1"/>
                <w:szCs w:val="21"/>
              </w:rPr>
            </w:pPr>
            <w:r w:rsidRPr="00531C33">
              <w:rPr>
                <w:color w:val="000000" w:themeColor="text1"/>
                <w:szCs w:val="21"/>
              </w:rPr>
              <w:t>0.17%</w:t>
            </w:r>
          </w:p>
        </w:tc>
      </w:tr>
      <w:tr w:rsidR="00221340" w:rsidRPr="00531C33" w:rsidTr="00235737">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报告期内偏离度的最低值</w:t>
            </w:r>
          </w:p>
        </w:tc>
        <w:tc>
          <w:tcPr>
            <w:tcW w:w="3260"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C17D68">
            <w:pPr>
              <w:spacing w:line="360" w:lineRule="auto"/>
              <w:jc w:val="right"/>
              <w:rPr>
                <w:color w:val="000000" w:themeColor="text1"/>
                <w:szCs w:val="21"/>
              </w:rPr>
            </w:pPr>
            <w:r w:rsidRPr="00531C33">
              <w:rPr>
                <w:color w:val="000000" w:themeColor="text1"/>
                <w:szCs w:val="21"/>
              </w:rPr>
              <w:t>0.07%</w:t>
            </w:r>
          </w:p>
        </w:tc>
      </w:tr>
      <w:tr w:rsidR="00221340" w:rsidRPr="00531C33" w:rsidTr="00235737">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046F4B"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报告期内每个工作</w:t>
            </w:r>
            <w:r w:rsidR="00E76F1F" w:rsidRPr="00531C33">
              <w:rPr>
                <w:color w:val="000000" w:themeColor="text1"/>
                <w:kern w:val="0"/>
                <w:szCs w:val="21"/>
              </w:rPr>
              <w:t>日偏离度的绝对值的简单平均值</w:t>
            </w:r>
          </w:p>
        </w:tc>
        <w:tc>
          <w:tcPr>
            <w:tcW w:w="3260" w:type="dxa"/>
            <w:tcBorders>
              <w:top w:val="single" w:sz="8" w:space="0" w:color="000000"/>
              <w:left w:val="single" w:sz="8" w:space="0" w:color="000000"/>
              <w:bottom w:val="single" w:sz="8" w:space="0" w:color="000000"/>
              <w:right w:val="single" w:sz="8" w:space="0" w:color="000000"/>
            </w:tcBorders>
            <w:vAlign w:val="center"/>
          </w:tcPr>
          <w:p w:rsidR="00E76F1F" w:rsidRPr="00531C33" w:rsidRDefault="00E76F1F" w:rsidP="00C17D68">
            <w:pPr>
              <w:spacing w:line="360" w:lineRule="auto"/>
              <w:jc w:val="right"/>
              <w:rPr>
                <w:color w:val="000000" w:themeColor="text1"/>
                <w:szCs w:val="21"/>
              </w:rPr>
            </w:pPr>
            <w:r w:rsidRPr="00531C33">
              <w:rPr>
                <w:color w:val="000000" w:themeColor="text1"/>
                <w:szCs w:val="21"/>
              </w:rPr>
              <w:t>0.12%</w:t>
            </w:r>
          </w:p>
        </w:tc>
      </w:tr>
    </w:tbl>
    <w:p w:rsidR="00CE7AB4" w:rsidRPr="00531C33" w:rsidRDefault="00CE7AB4" w:rsidP="001B64F0">
      <w:pPr>
        <w:pStyle w:val="3"/>
        <w:spacing w:before="0" w:after="0" w:line="360" w:lineRule="auto"/>
        <w:jc w:val="left"/>
        <w:rPr>
          <w:b w:val="0"/>
          <w:sz w:val="21"/>
          <w:szCs w:val="21"/>
        </w:rPr>
      </w:pPr>
      <w:r w:rsidRPr="00531C33">
        <w:rPr>
          <w:b w:val="0"/>
          <w:sz w:val="21"/>
          <w:szCs w:val="21"/>
        </w:rPr>
        <w:t>报告期内负偏离度的绝对值达到</w:t>
      </w:r>
      <w:r w:rsidRPr="00531C33">
        <w:rPr>
          <w:b w:val="0"/>
          <w:sz w:val="21"/>
          <w:szCs w:val="21"/>
        </w:rPr>
        <w:t>0.25%</w:t>
      </w:r>
      <w:r w:rsidRPr="00531C33">
        <w:rPr>
          <w:b w:val="0"/>
          <w:sz w:val="21"/>
          <w:szCs w:val="21"/>
        </w:rPr>
        <w:t>情况说明</w:t>
      </w:r>
    </w:p>
    <w:p w:rsidR="00CE7AB4" w:rsidRPr="00531C33" w:rsidRDefault="00CE7AB4" w:rsidP="00ED7E07">
      <w:pPr>
        <w:pStyle w:val="10"/>
        <w:spacing w:line="360" w:lineRule="auto"/>
        <w:ind w:firstLine="420"/>
        <w:jc w:val="left"/>
        <w:rPr>
          <w:szCs w:val="21"/>
        </w:rPr>
      </w:pPr>
      <w:r w:rsidRPr="00531C33">
        <w:rPr>
          <w:szCs w:val="21"/>
        </w:rPr>
        <w:t>本基金本报告期内不存在负偏离度的绝对值达到</w:t>
      </w:r>
      <w:r w:rsidRPr="00531C33">
        <w:rPr>
          <w:szCs w:val="21"/>
        </w:rPr>
        <w:t>0.25%</w:t>
      </w:r>
      <w:r w:rsidRPr="00531C33">
        <w:rPr>
          <w:szCs w:val="21"/>
        </w:rPr>
        <w:t>的情况。</w:t>
      </w:r>
    </w:p>
    <w:p w:rsidR="00CE7AB4" w:rsidRPr="00531C33" w:rsidRDefault="00CE7AB4" w:rsidP="00B703CD">
      <w:pPr>
        <w:pStyle w:val="3"/>
        <w:spacing w:before="0" w:after="0" w:line="360" w:lineRule="auto"/>
        <w:jc w:val="left"/>
        <w:rPr>
          <w:b w:val="0"/>
          <w:sz w:val="21"/>
          <w:szCs w:val="21"/>
        </w:rPr>
      </w:pPr>
      <w:r w:rsidRPr="00531C33">
        <w:rPr>
          <w:b w:val="0"/>
          <w:sz w:val="21"/>
          <w:szCs w:val="21"/>
        </w:rPr>
        <w:t>报告期内正偏离度的绝对值达到</w:t>
      </w:r>
      <w:r w:rsidRPr="00531C33">
        <w:rPr>
          <w:b w:val="0"/>
          <w:sz w:val="21"/>
          <w:szCs w:val="21"/>
        </w:rPr>
        <w:t>0.5%</w:t>
      </w:r>
      <w:r w:rsidRPr="00531C33">
        <w:rPr>
          <w:b w:val="0"/>
          <w:sz w:val="21"/>
          <w:szCs w:val="21"/>
        </w:rPr>
        <w:t>情况说明</w:t>
      </w:r>
    </w:p>
    <w:p w:rsidR="00BE5584" w:rsidRPr="00531C33" w:rsidRDefault="00CE7AB4" w:rsidP="00ED7E07">
      <w:pPr>
        <w:pStyle w:val="10"/>
        <w:spacing w:line="360" w:lineRule="auto"/>
        <w:ind w:firstLine="420"/>
        <w:jc w:val="left"/>
        <w:rPr>
          <w:szCs w:val="21"/>
        </w:rPr>
      </w:pPr>
      <w:r w:rsidRPr="00531C33">
        <w:rPr>
          <w:szCs w:val="21"/>
        </w:rPr>
        <w:t>本基金本报告期内不存在正偏离度的绝对值达到</w:t>
      </w:r>
      <w:r w:rsidRPr="00531C33">
        <w:rPr>
          <w:szCs w:val="21"/>
        </w:rPr>
        <w:t>0.5%</w:t>
      </w:r>
      <w:r w:rsidRPr="00531C33">
        <w:rPr>
          <w:szCs w:val="21"/>
        </w:rPr>
        <w:t>的情况。</w:t>
      </w:r>
    </w:p>
    <w:p w:rsidR="00902E3F" w:rsidRPr="00531C33" w:rsidRDefault="00902E3F" w:rsidP="00DE5371">
      <w:pPr>
        <w:pStyle w:val="3"/>
        <w:spacing w:before="0" w:after="0" w:line="360" w:lineRule="auto"/>
        <w:jc w:val="left"/>
        <w:rPr>
          <w:b w:val="0"/>
          <w:sz w:val="21"/>
          <w:szCs w:val="21"/>
        </w:rPr>
      </w:pPr>
      <w:r w:rsidRPr="00531C33">
        <w:rPr>
          <w:b w:val="0"/>
          <w:sz w:val="21"/>
          <w:szCs w:val="21"/>
        </w:rPr>
        <w:t>5.</w:t>
      </w:r>
      <w:r w:rsidR="00CE7AB4" w:rsidRPr="00531C33">
        <w:rPr>
          <w:b w:val="0"/>
          <w:sz w:val="21"/>
          <w:szCs w:val="21"/>
        </w:rPr>
        <w:t>8</w:t>
      </w:r>
      <w:r w:rsidRPr="00531C33">
        <w:rPr>
          <w:b w:val="0"/>
          <w:sz w:val="21"/>
          <w:szCs w:val="21"/>
        </w:rPr>
        <w:t>报告期末按公允价值占基金资产净值比例大小排名的前十名资产支持证券投资明细</w:t>
      </w:r>
    </w:p>
    <w:p w:rsidR="00D40363" w:rsidRPr="00531C33" w:rsidRDefault="00835BDD" w:rsidP="00ED7E07">
      <w:pPr>
        <w:pStyle w:val="10"/>
        <w:spacing w:line="360" w:lineRule="auto"/>
        <w:ind w:firstLine="420"/>
        <w:jc w:val="left"/>
        <w:rPr>
          <w:szCs w:val="21"/>
        </w:rPr>
      </w:pPr>
      <w:r w:rsidRPr="00531C33">
        <w:rPr>
          <w:szCs w:val="21"/>
        </w:rPr>
        <w:t>本基金本报告期末未持有资产支持证券。</w:t>
      </w:r>
    </w:p>
    <w:p w:rsidR="00815CDE" w:rsidRPr="00531C33" w:rsidRDefault="00CE7AB4" w:rsidP="00DE5371">
      <w:pPr>
        <w:pStyle w:val="3"/>
        <w:spacing w:before="0" w:after="0" w:line="360" w:lineRule="auto"/>
        <w:jc w:val="left"/>
        <w:rPr>
          <w:b w:val="0"/>
          <w:sz w:val="21"/>
          <w:szCs w:val="21"/>
        </w:rPr>
      </w:pPr>
      <w:r w:rsidRPr="00531C33">
        <w:rPr>
          <w:b w:val="0"/>
          <w:sz w:val="21"/>
          <w:szCs w:val="21"/>
        </w:rPr>
        <w:t>5.</w:t>
      </w:r>
      <w:r w:rsidR="00815CDE" w:rsidRPr="00531C33">
        <w:rPr>
          <w:b w:val="0"/>
          <w:sz w:val="21"/>
          <w:szCs w:val="21"/>
        </w:rPr>
        <w:t xml:space="preserve">9 </w:t>
      </w:r>
      <w:r w:rsidR="00815CDE" w:rsidRPr="00531C33">
        <w:rPr>
          <w:b w:val="0"/>
          <w:sz w:val="21"/>
          <w:szCs w:val="21"/>
        </w:rPr>
        <w:t>投资组合报告附注</w:t>
      </w:r>
    </w:p>
    <w:p w:rsidR="00815CDE" w:rsidRPr="00531C33" w:rsidRDefault="00815CDE" w:rsidP="00DE5371">
      <w:pPr>
        <w:pStyle w:val="3"/>
        <w:spacing w:before="0" w:after="0" w:line="360" w:lineRule="auto"/>
        <w:jc w:val="left"/>
        <w:rPr>
          <w:b w:val="0"/>
          <w:sz w:val="21"/>
          <w:szCs w:val="21"/>
        </w:rPr>
      </w:pPr>
      <w:r w:rsidRPr="00531C33">
        <w:rPr>
          <w:b w:val="0"/>
          <w:sz w:val="21"/>
          <w:szCs w:val="21"/>
        </w:rPr>
        <w:t>5.9.1</w:t>
      </w:r>
      <w:r w:rsidRPr="00531C33">
        <w:rPr>
          <w:b w:val="0"/>
          <w:sz w:val="21"/>
          <w:szCs w:val="21"/>
        </w:rPr>
        <w:t>基金计价方法说明</w:t>
      </w:r>
    </w:p>
    <w:p w:rsidR="008C3724" w:rsidRDefault="00D9195D">
      <w:pPr>
        <w:pStyle w:val="10"/>
        <w:spacing w:line="360" w:lineRule="auto"/>
        <w:ind w:firstLine="420"/>
        <w:jc w:val="left"/>
        <w:rPr>
          <w:szCs w:val="21"/>
        </w:rPr>
      </w:pPr>
      <w:r>
        <w:rPr>
          <w:szCs w:val="21"/>
        </w:rPr>
        <w:t>本基金采用摊余成本法计算基金资产净值，即本基金按持有债券投资的票面利率或商定利率每日计提应收利息，并按实际利率法在其剩余期限内摊销其买入时的溢价或折价，以摊余的成本计算基金资产净值。</w:t>
      </w:r>
    </w:p>
    <w:p w:rsidR="00815CDE" w:rsidRPr="00ED7E07" w:rsidRDefault="00815CDE" w:rsidP="00ED7E07">
      <w:pPr>
        <w:pStyle w:val="10"/>
        <w:spacing w:line="360" w:lineRule="auto"/>
        <w:ind w:firstLine="420"/>
        <w:jc w:val="left"/>
        <w:rPr>
          <w:szCs w:val="21"/>
        </w:rPr>
      </w:pPr>
      <w:r w:rsidRPr="00ED7E07">
        <w:rPr>
          <w:szCs w:val="21"/>
        </w:rPr>
        <w:t>为了避免采用摊余成本法计算的基金资产净值与按市场利率或交易市价计算的基金资产净值发生重大偏离，从而对基金持有人的利益产生稀释或不公平的结果，基金管理人采用</w:t>
      </w:r>
      <w:r w:rsidRPr="00ED7E07">
        <w:rPr>
          <w:szCs w:val="21"/>
        </w:rPr>
        <w:t>“</w:t>
      </w:r>
      <w:r w:rsidRPr="00ED7E07">
        <w:rPr>
          <w:szCs w:val="21"/>
        </w:rPr>
        <w:t>影子定价</w:t>
      </w:r>
      <w:r w:rsidRPr="00ED7E07">
        <w:rPr>
          <w:szCs w:val="21"/>
        </w:rPr>
        <w:t>”</w:t>
      </w:r>
      <w:r w:rsidRPr="00ED7E07">
        <w:rPr>
          <w:szCs w:val="21"/>
        </w:rPr>
        <w:t>，即于每一计价日采用市场利率和交易价格对基金持有的计价对象进行重新评估，当基金资产净值与其他可参考公允价值指标产生重大偏离的，应按其他公允价值指标对组合的账面价值进行调整，调整差额确认为</w:t>
      </w:r>
      <w:r w:rsidRPr="00ED7E07">
        <w:rPr>
          <w:szCs w:val="21"/>
        </w:rPr>
        <w:t>“</w:t>
      </w:r>
      <w:r w:rsidRPr="00ED7E07">
        <w:rPr>
          <w:szCs w:val="21"/>
        </w:rPr>
        <w:t>公允价值变动损益</w:t>
      </w:r>
      <w:r w:rsidRPr="00ED7E07">
        <w:rPr>
          <w:szCs w:val="21"/>
        </w:rPr>
        <w:t>”</w:t>
      </w:r>
      <w:r w:rsidRPr="00ED7E07">
        <w:rPr>
          <w:szCs w:val="21"/>
        </w:rPr>
        <w:t>，并按其他公允价值指标进行后续计量。如基金份额净值恢复至</w:t>
      </w:r>
      <w:r w:rsidRPr="00ED7E07">
        <w:rPr>
          <w:szCs w:val="21"/>
        </w:rPr>
        <w:t>1.00</w:t>
      </w:r>
      <w:r w:rsidRPr="00ED7E07">
        <w:rPr>
          <w:szCs w:val="21"/>
        </w:rPr>
        <w:t>元，可恢复使用摊余成本法估算公允价值。如有确凿证据表明按上述规定不能客观反映基金资产公允价值的，基金管理人可根据具体情况，在与基金托管人商议后，按最能反映基金资产公允价值的方法估值。</w:t>
      </w:r>
    </w:p>
    <w:p w:rsidR="00815CDE" w:rsidRPr="00531C33" w:rsidRDefault="000E01A5" w:rsidP="00EB1EAE">
      <w:pPr>
        <w:spacing w:line="360" w:lineRule="auto"/>
        <w:jc w:val="left"/>
        <w:rPr>
          <w:kern w:val="0"/>
          <w:szCs w:val="21"/>
        </w:rPr>
      </w:pPr>
      <w:r w:rsidRPr="00531C33">
        <w:rPr>
          <w:kern w:val="0"/>
          <w:szCs w:val="21"/>
        </w:rPr>
        <w:t>5.9.2</w:t>
      </w:r>
      <w:r w:rsidRPr="00531C33">
        <w:rPr>
          <w:kern w:val="0"/>
          <w:szCs w:val="21"/>
        </w:rPr>
        <w:t>本基金投资的前十名证券的发行主体中，华夏银行股份有限公司、交通银行股份有限公司、苏州银行股份有限公司出现在报告编制日前一年内受到监管部门公开谴责、处罚的情况。本基金对上述主体发行的相关证券的投资决策程序符合相关法律法规及基金合同的要求。</w:t>
      </w:r>
    </w:p>
    <w:p w:rsidR="00815CDE" w:rsidRPr="00531C33" w:rsidRDefault="00815CDE" w:rsidP="00DE5371">
      <w:pPr>
        <w:pStyle w:val="3"/>
        <w:spacing w:before="0" w:after="0" w:line="360" w:lineRule="auto"/>
        <w:jc w:val="left"/>
        <w:rPr>
          <w:b w:val="0"/>
          <w:sz w:val="21"/>
          <w:szCs w:val="21"/>
        </w:rPr>
      </w:pPr>
      <w:r w:rsidRPr="00531C33">
        <w:rPr>
          <w:b w:val="0"/>
          <w:sz w:val="21"/>
          <w:szCs w:val="21"/>
        </w:rPr>
        <w:t>5.9.3</w:t>
      </w:r>
      <w:r w:rsidR="00AC2F06" w:rsidRPr="00531C33">
        <w:rPr>
          <w:b w:val="0"/>
          <w:sz w:val="21"/>
          <w:szCs w:val="21"/>
        </w:rPr>
        <w:t>其他</w:t>
      </w:r>
      <w:r w:rsidRPr="00531C33">
        <w:rPr>
          <w:b w:val="0"/>
          <w:sz w:val="21"/>
          <w:szCs w:val="21"/>
        </w:rPr>
        <w:t>资产构成</w:t>
      </w:r>
    </w:p>
    <w:tbl>
      <w:tblPr>
        <w:tblStyle w:val="aa"/>
        <w:tblW w:w="0" w:type="auto"/>
        <w:tblInd w:w="108" w:type="dxa"/>
        <w:tblLayout w:type="fixed"/>
        <w:tblLook w:val="04A0"/>
      </w:tblPr>
      <w:tblGrid>
        <w:gridCol w:w="851"/>
        <w:gridCol w:w="3535"/>
        <w:gridCol w:w="4686"/>
      </w:tblGrid>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7"/>
              <w:jc w:val="center"/>
              <w:rPr>
                <w:color w:val="000000" w:themeColor="text1"/>
                <w:kern w:val="0"/>
                <w:szCs w:val="21"/>
              </w:rPr>
            </w:pPr>
            <w:r w:rsidRPr="00531C33">
              <w:rPr>
                <w:color w:val="000000" w:themeColor="text1"/>
                <w:kern w:val="0"/>
                <w:szCs w:val="21"/>
              </w:rPr>
              <w:t>序号</w:t>
            </w:r>
          </w:p>
        </w:tc>
        <w:tc>
          <w:tcPr>
            <w:tcW w:w="3535" w:type="dxa"/>
            <w:vAlign w:val="center"/>
          </w:tcPr>
          <w:p w:rsidR="00815CDE" w:rsidRPr="00531C33" w:rsidRDefault="00815CDE" w:rsidP="000C5A36">
            <w:pPr>
              <w:autoSpaceDE w:val="0"/>
              <w:autoSpaceDN w:val="0"/>
              <w:adjustRightInd w:val="0"/>
              <w:spacing w:before="29" w:line="360" w:lineRule="auto"/>
              <w:ind w:left="17"/>
              <w:jc w:val="center"/>
              <w:rPr>
                <w:color w:val="000000" w:themeColor="text1"/>
                <w:kern w:val="0"/>
                <w:szCs w:val="21"/>
              </w:rPr>
            </w:pPr>
            <w:r w:rsidRPr="00531C33">
              <w:rPr>
                <w:color w:val="000000" w:themeColor="text1"/>
                <w:kern w:val="0"/>
                <w:szCs w:val="21"/>
              </w:rPr>
              <w:t>名称</w:t>
            </w:r>
          </w:p>
        </w:tc>
        <w:tc>
          <w:tcPr>
            <w:tcW w:w="4686" w:type="dxa"/>
            <w:vAlign w:val="center"/>
          </w:tcPr>
          <w:p w:rsidR="00815CDE" w:rsidRPr="00531C33" w:rsidRDefault="00815CDE" w:rsidP="000C5A36">
            <w:pPr>
              <w:autoSpaceDE w:val="0"/>
              <w:autoSpaceDN w:val="0"/>
              <w:adjustRightInd w:val="0"/>
              <w:spacing w:before="29" w:line="360" w:lineRule="auto"/>
              <w:ind w:left="17"/>
              <w:jc w:val="center"/>
              <w:rPr>
                <w:color w:val="000000" w:themeColor="text1"/>
                <w:kern w:val="0"/>
                <w:szCs w:val="21"/>
              </w:rPr>
            </w:pPr>
            <w:r w:rsidRPr="00531C33">
              <w:rPr>
                <w:color w:val="000000" w:themeColor="text1"/>
                <w:kern w:val="0"/>
                <w:szCs w:val="21"/>
              </w:rPr>
              <w:t>金额</w:t>
            </w:r>
            <w:r w:rsidRPr="00531C33">
              <w:rPr>
                <w:color w:val="000000" w:themeColor="text1"/>
                <w:kern w:val="0"/>
                <w:szCs w:val="21"/>
              </w:rPr>
              <w:t>(</w:t>
            </w:r>
            <w:r w:rsidRPr="00531C33">
              <w:rPr>
                <w:color w:val="000000" w:themeColor="text1"/>
                <w:kern w:val="0"/>
                <w:szCs w:val="21"/>
              </w:rPr>
              <w:t>元</w:t>
            </w:r>
            <w:r w:rsidRPr="00531C33">
              <w:rPr>
                <w:color w:val="000000" w:themeColor="text1"/>
                <w:kern w:val="0"/>
                <w:szCs w:val="21"/>
              </w:rPr>
              <w:t>)</w:t>
            </w:r>
          </w:p>
        </w:tc>
      </w:tr>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5"/>
              <w:jc w:val="center"/>
              <w:rPr>
                <w:color w:val="000000" w:themeColor="text1"/>
                <w:kern w:val="0"/>
                <w:szCs w:val="21"/>
              </w:rPr>
            </w:pPr>
            <w:r w:rsidRPr="00531C33">
              <w:rPr>
                <w:color w:val="000000" w:themeColor="text1"/>
                <w:szCs w:val="21"/>
              </w:rPr>
              <w:t>1</w:t>
            </w:r>
          </w:p>
        </w:tc>
        <w:tc>
          <w:tcPr>
            <w:tcW w:w="3535" w:type="dxa"/>
            <w:vAlign w:val="center"/>
          </w:tcPr>
          <w:p w:rsidR="00815CDE" w:rsidRPr="00531C33" w:rsidRDefault="00815CDE"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存出保证金</w:t>
            </w:r>
          </w:p>
        </w:tc>
        <w:tc>
          <w:tcPr>
            <w:tcW w:w="4686" w:type="dxa"/>
            <w:vAlign w:val="center"/>
          </w:tcPr>
          <w:p w:rsidR="00815CDE" w:rsidRPr="00531C33" w:rsidRDefault="00815CDE" w:rsidP="000C5A36">
            <w:pPr>
              <w:autoSpaceDE w:val="0"/>
              <w:autoSpaceDN w:val="0"/>
              <w:adjustRightInd w:val="0"/>
              <w:spacing w:before="29" w:line="360" w:lineRule="auto"/>
              <w:ind w:left="15"/>
              <w:jc w:val="right"/>
              <w:rPr>
                <w:color w:val="000000" w:themeColor="text1"/>
                <w:kern w:val="0"/>
                <w:szCs w:val="21"/>
              </w:rPr>
            </w:pPr>
            <w:r w:rsidRPr="00531C33">
              <w:rPr>
                <w:color w:val="000000" w:themeColor="text1"/>
                <w:kern w:val="0"/>
                <w:szCs w:val="21"/>
              </w:rPr>
              <w:t>-</w:t>
            </w:r>
          </w:p>
        </w:tc>
      </w:tr>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5"/>
              <w:jc w:val="center"/>
              <w:rPr>
                <w:color w:val="000000" w:themeColor="text1"/>
                <w:szCs w:val="21"/>
              </w:rPr>
            </w:pPr>
            <w:r w:rsidRPr="00531C33">
              <w:rPr>
                <w:color w:val="000000" w:themeColor="text1"/>
                <w:szCs w:val="21"/>
              </w:rPr>
              <w:t>2</w:t>
            </w:r>
          </w:p>
        </w:tc>
        <w:tc>
          <w:tcPr>
            <w:tcW w:w="3535" w:type="dxa"/>
            <w:vAlign w:val="center"/>
          </w:tcPr>
          <w:p w:rsidR="00815CDE" w:rsidRPr="00531C33" w:rsidRDefault="00815CDE"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应收证券清算款</w:t>
            </w:r>
          </w:p>
        </w:tc>
        <w:tc>
          <w:tcPr>
            <w:tcW w:w="4686" w:type="dxa"/>
            <w:vAlign w:val="center"/>
          </w:tcPr>
          <w:p w:rsidR="00815CDE" w:rsidRPr="00531C33" w:rsidRDefault="00815CDE" w:rsidP="000C5A36">
            <w:pPr>
              <w:autoSpaceDE w:val="0"/>
              <w:autoSpaceDN w:val="0"/>
              <w:adjustRightInd w:val="0"/>
              <w:spacing w:before="29" w:line="360" w:lineRule="auto"/>
              <w:ind w:left="15"/>
              <w:jc w:val="right"/>
              <w:rPr>
                <w:color w:val="000000" w:themeColor="text1"/>
                <w:kern w:val="0"/>
                <w:szCs w:val="21"/>
              </w:rPr>
            </w:pPr>
            <w:r w:rsidRPr="00531C33">
              <w:rPr>
                <w:color w:val="000000" w:themeColor="text1"/>
                <w:kern w:val="0"/>
                <w:szCs w:val="21"/>
              </w:rPr>
              <w:t>-</w:t>
            </w:r>
          </w:p>
        </w:tc>
      </w:tr>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5"/>
              <w:jc w:val="center"/>
              <w:rPr>
                <w:color w:val="000000" w:themeColor="text1"/>
                <w:szCs w:val="21"/>
              </w:rPr>
            </w:pPr>
            <w:r w:rsidRPr="00531C33">
              <w:rPr>
                <w:color w:val="000000" w:themeColor="text1"/>
                <w:szCs w:val="21"/>
              </w:rPr>
              <w:t>3</w:t>
            </w:r>
          </w:p>
        </w:tc>
        <w:tc>
          <w:tcPr>
            <w:tcW w:w="3535" w:type="dxa"/>
            <w:vAlign w:val="center"/>
          </w:tcPr>
          <w:p w:rsidR="00815CDE" w:rsidRPr="00531C33" w:rsidRDefault="00815CDE"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应收利息</w:t>
            </w:r>
          </w:p>
        </w:tc>
        <w:tc>
          <w:tcPr>
            <w:tcW w:w="4686" w:type="dxa"/>
            <w:vAlign w:val="center"/>
          </w:tcPr>
          <w:p w:rsidR="00815CDE" w:rsidRPr="00531C33" w:rsidRDefault="00815CDE" w:rsidP="000C5A36">
            <w:pPr>
              <w:autoSpaceDE w:val="0"/>
              <w:autoSpaceDN w:val="0"/>
              <w:adjustRightInd w:val="0"/>
              <w:spacing w:before="29" w:line="360" w:lineRule="auto"/>
              <w:ind w:left="15"/>
              <w:jc w:val="right"/>
              <w:rPr>
                <w:color w:val="000000" w:themeColor="text1"/>
                <w:kern w:val="0"/>
                <w:szCs w:val="21"/>
              </w:rPr>
            </w:pPr>
            <w:r w:rsidRPr="00531C33">
              <w:rPr>
                <w:color w:val="000000" w:themeColor="text1"/>
                <w:kern w:val="0"/>
                <w:szCs w:val="21"/>
              </w:rPr>
              <w:t>61,750,896.18</w:t>
            </w:r>
          </w:p>
        </w:tc>
      </w:tr>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5"/>
              <w:jc w:val="center"/>
              <w:rPr>
                <w:color w:val="000000" w:themeColor="text1"/>
                <w:szCs w:val="21"/>
              </w:rPr>
            </w:pPr>
            <w:r w:rsidRPr="00531C33">
              <w:rPr>
                <w:color w:val="000000" w:themeColor="text1"/>
                <w:szCs w:val="21"/>
              </w:rPr>
              <w:t>4</w:t>
            </w:r>
          </w:p>
        </w:tc>
        <w:tc>
          <w:tcPr>
            <w:tcW w:w="3535" w:type="dxa"/>
            <w:vAlign w:val="center"/>
          </w:tcPr>
          <w:p w:rsidR="00815CDE" w:rsidRPr="00531C33" w:rsidRDefault="00815CDE"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应收申购款</w:t>
            </w:r>
          </w:p>
        </w:tc>
        <w:tc>
          <w:tcPr>
            <w:tcW w:w="4686" w:type="dxa"/>
            <w:vAlign w:val="center"/>
          </w:tcPr>
          <w:p w:rsidR="00815CDE" w:rsidRPr="00531C33" w:rsidRDefault="00815CDE" w:rsidP="000C5A36">
            <w:pPr>
              <w:autoSpaceDE w:val="0"/>
              <w:autoSpaceDN w:val="0"/>
              <w:adjustRightInd w:val="0"/>
              <w:spacing w:before="29" w:line="360" w:lineRule="auto"/>
              <w:ind w:left="15"/>
              <w:jc w:val="right"/>
              <w:rPr>
                <w:color w:val="000000" w:themeColor="text1"/>
                <w:kern w:val="0"/>
                <w:szCs w:val="21"/>
              </w:rPr>
            </w:pPr>
            <w:r w:rsidRPr="00531C33">
              <w:rPr>
                <w:color w:val="000000" w:themeColor="text1"/>
                <w:kern w:val="0"/>
                <w:szCs w:val="21"/>
              </w:rPr>
              <w:t>216,828.00</w:t>
            </w:r>
          </w:p>
        </w:tc>
      </w:tr>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5"/>
              <w:jc w:val="center"/>
              <w:rPr>
                <w:color w:val="000000" w:themeColor="text1"/>
                <w:szCs w:val="21"/>
              </w:rPr>
            </w:pPr>
            <w:r w:rsidRPr="00531C33">
              <w:rPr>
                <w:color w:val="000000" w:themeColor="text1"/>
                <w:szCs w:val="21"/>
              </w:rPr>
              <w:t>5</w:t>
            </w:r>
          </w:p>
        </w:tc>
        <w:tc>
          <w:tcPr>
            <w:tcW w:w="3535" w:type="dxa"/>
            <w:vAlign w:val="center"/>
          </w:tcPr>
          <w:p w:rsidR="00815CDE" w:rsidRPr="00531C33" w:rsidRDefault="00815CDE"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其他应收款</w:t>
            </w:r>
          </w:p>
        </w:tc>
        <w:tc>
          <w:tcPr>
            <w:tcW w:w="4686" w:type="dxa"/>
            <w:vAlign w:val="center"/>
          </w:tcPr>
          <w:p w:rsidR="00815CDE" w:rsidRPr="00531C33" w:rsidRDefault="00815CDE" w:rsidP="000C5A36">
            <w:pPr>
              <w:autoSpaceDE w:val="0"/>
              <w:autoSpaceDN w:val="0"/>
              <w:adjustRightInd w:val="0"/>
              <w:spacing w:before="29" w:line="360" w:lineRule="auto"/>
              <w:ind w:left="15"/>
              <w:jc w:val="right"/>
              <w:rPr>
                <w:color w:val="000000" w:themeColor="text1"/>
                <w:kern w:val="0"/>
                <w:szCs w:val="21"/>
              </w:rPr>
            </w:pPr>
            <w:r w:rsidRPr="00531C33">
              <w:rPr>
                <w:color w:val="000000" w:themeColor="text1"/>
                <w:kern w:val="0"/>
                <w:szCs w:val="21"/>
              </w:rPr>
              <w:t>-</w:t>
            </w:r>
          </w:p>
        </w:tc>
      </w:tr>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5"/>
              <w:jc w:val="center"/>
              <w:rPr>
                <w:color w:val="000000" w:themeColor="text1"/>
                <w:szCs w:val="21"/>
              </w:rPr>
            </w:pPr>
            <w:r w:rsidRPr="00531C33">
              <w:rPr>
                <w:color w:val="000000" w:themeColor="text1"/>
                <w:szCs w:val="21"/>
              </w:rPr>
              <w:t>6</w:t>
            </w:r>
          </w:p>
        </w:tc>
        <w:tc>
          <w:tcPr>
            <w:tcW w:w="3535" w:type="dxa"/>
            <w:vAlign w:val="center"/>
          </w:tcPr>
          <w:p w:rsidR="00815CDE" w:rsidRPr="00531C33" w:rsidRDefault="00815CDE"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待摊费用</w:t>
            </w:r>
          </w:p>
        </w:tc>
        <w:tc>
          <w:tcPr>
            <w:tcW w:w="4686" w:type="dxa"/>
            <w:vAlign w:val="center"/>
          </w:tcPr>
          <w:p w:rsidR="00815CDE" w:rsidRPr="00531C33" w:rsidRDefault="00815CDE" w:rsidP="000C5A36">
            <w:pPr>
              <w:autoSpaceDE w:val="0"/>
              <w:autoSpaceDN w:val="0"/>
              <w:adjustRightInd w:val="0"/>
              <w:spacing w:before="29" w:line="360" w:lineRule="auto"/>
              <w:ind w:left="15"/>
              <w:jc w:val="right"/>
              <w:rPr>
                <w:color w:val="000000" w:themeColor="text1"/>
                <w:kern w:val="0"/>
                <w:szCs w:val="21"/>
              </w:rPr>
            </w:pPr>
            <w:r w:rsidRPr="00531C33">
              <w:rPr>
                <w:color w:val="000000" w:themeColor="text1"/>
                <w:kern w:val="0"/>
                <w:szCs w:val="21"/>
              </w:rPr>
              <w:t>-</w:t>
            </w:r>
          </w:p>
        </w:tc>
      </w:tr>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5"/>
              <w:jc w:val="center"/>
              <w:rPr>
                <w:color w:val="000000" w:themeColor="text1"/>
                <w:szCs w:val="21"/>
              </w:rPr>
            </w:pPr>
            <w:r w:rsidRPr="00531C33">
              <w:rPr>
                <w:color w:val="000000" w:themeColor="text1"/>
                <w:szCs w:val="21"/>
              </w:rPr>
              <w:t>7</w:t>
            </w:r>
          </w:p>
        </w:tc>
        <w:tc>
          <w:tcPr>
            <w:tcW w:w="3535" w:type="dxa"/>
            <w:vAlign w:val="center"/>
          </w:tcPr>
          <w:p w:rsidR="00815CDE" w:rsidRPr="00531C33" w:rsidRDefault="00815CDE"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其他</w:t>
            </w:r>
          </w:p>
        </w:tc>
        <w:tc>
          <w:tcPr>
            <w:tcW w:w="4686" w:type="dxa"/>
            <w:vAlign w:val="center"/>
          </w:tcPr>
          <w:p w:rsidR="00815CDE" w:rsidRPr="00531C33" w:rsidRDefault="00815CDE" w:rsidP="000C5A36">
            <w:pPr>
              <w:autoSpaceDE w:val="0"/>
              <w:autoSpaceDN w:val="0"/>
              <w:adjustRightInd w:val="0"/>
              <w:spacing w:before="29" w:line="360" w:lineRule="auto"/>
              <w:ind w:left="15"/>
              <w:jc w:val="right"/>
              <w:rPr>
                <w:color w:val="000000" w:themeColor="text1"/>
                <w:kern w:val="0"/>
                <w:szCs w:val="21"/>
              </w:rPr>
            </w:pPr>
            <w:r w:rsidRPr="00531C33">
              <w:rPr>
                <w:color w:val="000000" w:themeColor="text1"/>
                <w:kern w:val="0"/>
                <w:szCs w:val="21"/>
              </w:rPr>
              <w:t>-</w:t>
            </w:r>
          </w:p>
        </w:tc>
      </w:tr>
      <w:tr w:rsidR="00221340" w:rsidRPr="00531C33" w:rsidTr="00235737">
        <w:tc>
          <w:tcPr>
            <w:tcW w:w="851" w:type="dxa"/>
            <w:vAlign w:val="center"/>
          </w:tcPr>
          <w:p w:rsidR="00815CDE" w:rsidRPr="00531C33" w:rsidRDefault="00815CDE" w:rsidP="000C5A36">
            <w:pPr>
              <w:autoSpaceDE w:val="0"/>
              <w:autoSpaceDN w:val="0"/>
              <w:adjustRightInd w:val="0"/>
              <w:spacing w:before="29" w:line="360" w:lineRule="auto"/>
              <w:ind w:left="15"/>
              <w:jc w:val="center"/>
              <w:rPr>
                <w:color w:val="000000" w:themeColor="text1"/>
                <w:szCs w:val="21"/>
              </w:rPr>
            </w:pPr>
            <w:r w:rsidRPr="00531C33">
              <w:rPr>
                <w:color w:val="000000" w:themeColor="text1"/>
                <w:szCs w:val="21"/>
              </w:rPr>
              <w:t>8</w:t>
            </w:r>
          </w:p>
        </w:tc>
        <w:tc>
          <w:tcPr>
            <w:tcW w:w="3535" w:type="dxa"/>
            <w:vAlign w:val="center"/>
          </w:tcPr>
          <w:p w:rsidR="00815CDE" w:rsidRPr="00531C33" w:rsidRDefault="00815CDE" w:rsidP="00C17D68">
            <w:pPr>
              <w:autoSpaceDE w:val="0"/>
              <w:autoSpaceDN w:val="0"/>
              <w:adjustRightInd w:val="0"/>
              <w:spacing w:before="29" w:line="360" w:lineRule="auto"/>
              <w:ind w:left="15"/>
              <w:rPr>
                <w:color w:val="000000" w:themeColor="text1"/>
                <w:kern w:val="0"/>
                <w:szCs w:val="21"/>
              </w:rPr>
            </w:pPr>
            <w:r w:rsidRPr="00531C33">
              <w:rPr>
                <w:color w:val="000000" w:themeColor="text1"/>
                <w:kern w:val="0"/>
                <w:szCs w:val="21"/>
              </w:rPr>
              <w:t>合计</w:t>
            </w:r>
          </w:p>
        </w:tc>
        <w:tc>
          <w:tcPr>
            <w:tcW w:w="4686" w:type="dxa"/>
            <w:vAlign w:val="center"/>
          </w:tcPr>
          <w:p w:rsidR="00815CDE" w:rsidRPr="00531C33" w:rsidRDefault="00815CDE" w:rsidP="000C5A36">
            <w:pPr>
              <w:autoSpaceDE w:val="0"/>
              <w:autoSpaceDN w:val="0"/>
              <w:adjustRightInd w:val="0"/>
              <w:spacing w:before="29" w:line="360" w:lineRule="auto"/>
              <w:ind w:left="15"/>
              <w:jc w:val="right"/>
              <w:rPr>
                <w:color w:val="000000" w:themeColor="text1"/>
                <w:kern w:val="0"/>
                <w:szCs w:val="21"/>
              </w:rPr>
            </w:pPr>
            <w:r w:rsidRPr="00531C33">
              <w:rPr>
                <w:color w:val="000000" w:themeColor="text1"/>
                <w:kern w:val="0"/>
                <w:szCs w:val="21"/>
              </w:rPr>
              <w:t>61,967,724.18</w:t>
            </w:r>
          </w:p>
        </w:tc>
      </w:tr>
    </w:tbl>
    <w:p w:rsidR="00815CDE" w:rsidRPr="00531C33" w:rsidRDefault="00815CDE" w:rsidP="00DE5371">
      <w:pPr>
        <w:pStyle w:val="3"/>
        <w:spacing w:before="0" w:after="0" w:line="360" w:lineRule="auto"/>
        <w:jc w:val="left"/>
        <w:rPr>
          <w:b w:val="0"/>
          <w:sz w:val="21"/>
          <w:szCs w:val="21"/>
        </w:rPr>
      </w:pPr>
      <w:r w:rsidRPr="00531C33">
        <w:rPr>
          <w:b w:val="0"/>
          <w:sz w:val="21"/>
          <w:szCs w:val="21"/>
        </w:rPr>
        <w:t>5.9.4</w:t>
      </w:r>
      <w:r w:rsidRPr="00531C33">
        <w:rPr>
          <w:b w:val="0"/>
          <w:sz w:val="21"/>
          <w:szCs w:val="21"/>
        </w:rPr>
        <w:t>投资组合报告附注的其他文字描述部分</w:t>
      </w:r>
    </w:p>
    <w:p w:rsidR="008C3724" w:rsidRDefault="00D9195D">
      <w:pPr>
        <w:pStyle w:val="10"/>
        <w:spacing w:line="360" w:lineRule="auto"/>
        <w:ind w:firstLine="420"/>
        <w:jc w:val="left"/>
        <w:rPr>
          <w:szCs w:val="21"/>
        </w:rPr>
      </w:pPr>
      <w:r>
        <w:rPr>
          <w:szCs w:val="21"/>
        </w:rPr>
        <w:t>5.9.4.1</w:t>
      </w:r>
      <w:r>
        <w:rPr>
          <w:szCs w:val="21"/>
        </w:rPr>
        <w:t>本报告期内没有需特别说明的证券投资决策程序。</w:t>
      </w:r>
    </w:p>
    <w:p w:rsidR="00815CDE" w:rsidRPr="00ED7E07" w:rsidRDefault="00815CDE" w:rsidP="00ED7E07">
      <w:pPr>
        <w:pStyle w:val="10"/>
        <w:spacing w:line="360" w:lineRule="auto"/>
        <w:ind w:firstLine="420"/>
        <w:jc w:val="left"/>
        <w:rPr>
          <w:szCs w:val="21"/>
        </w:rPr>
      </w:pPr>
      <w:r w:rsidRPr="00ED7E07">
        <w:rPr>
          <w:szCs w:val="21"/>
        </w:rPr>
        <w:t>5.9.4.2</w:t>
      </w:r>
      <w:r w:rsidRPr="00ED7E07">
        <w:rPr>
          <w:szCs w:val="21"/>
        </w:rPr>
        <w:t>由于四舍五入的原因，分项之和与合计项之间可能存在尾差。</w:t>
      </w:r>
    </w:p>
    <w:p w:rsidR="00902E3F" w:rsidRPr="00531C33" w:rsidRDefault="00FB2035" w:rsidP="00D9195D">
      <w:pPr>
        <w:pStyle w:val="2"/>
        <w:spacing w:beforeLines="100" w:after="0"/>
        <w:jc w:val="center"/>
        <w:rPr>
          <w:rStyle w:val="2CharCharChar"/>
          <w:rFonts w:ascii="Times New Roman" w:hAnsi="Times New Roman" w:cs="Times New Roman"/>
          <w:b/>
        </w:rPr>
      </w:pPr>
      <w:r w:rsidRPr="00531C33">
        <w:rPr>
          <w:rStyle w:val="2CharCharChar"/>
          <w:rFonts w:ascii="Times New Roman" w:hAnsi="Times New Roman" w:cs="Times New Roman"/>
          <w:b/>
        </w:rPr>
        <w:t xml:space="preserve">§6 </w:t>
      </w:r>
      <w:r w:rsidR="00902E3F" w:rsidRPr="00531C33">
        <w:rPr>
          <w:rStyle w:val="2CharCharChar"/>
          <w:rFonts w:ascii="Times New Roman" w:hAnsi="Times New Roman" w:cs="Times New Roman"/>
          <w:b/>
        </w:rPr>
        <w:t>开放式基金份额变动</w:t>
      </w:r>
    </w:p>
    <w:p w:rsidR="00902E3F" w:rsidRPr="00531C33" w:rsidRDefault="00902E3F" w:rsidP="003A2CAE">
      <w:pPr>
        <w:spacing w:line="360" w:lineRule="auto"/>
        <w:ind w:firstLine="480"/>
        <w:jc w:val="right"/>
        <w:rPr>
          <w:szCs w:val="21"/>
        </w:rPr>
      </w:pPr>
      <w:r w:rsidRPr="00531C33">
        <w:rPr>
          <w:szCs w:val="21"/>
        </w:rPr>
        <w:t>单位：份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2637"/>
        <w:gridCol w:w="2409"/>
      </w:tblGrid>
      <w:tr w:rsidR="00221340" w:rsidRPr="00531C33" w:rsidTr="00235737">
        <w:tc>
          <w:tcPr>
            <w:tcW w:w="4026" w:type="dxa"/>
            <w:vAlign w:val="center"/>
          </w:tcPr>
          <w:p w:rsidR="006F1C55" w:rsidRPr="00531C33" w:rsidRDefault="006F1C55" w:rsidP="00C17D68">
            <w:pPr>
              <w:autoSpaceDE w:val="0"/>
              <w:autoSpaceDN w:val="0"/>
              <w:adjustRightInd w:val="0"/>
              <w:spacing w:before="29" w:line="360" w:lineRule="auto"/>
              <w:ind w:left="15"/>
              <w:jc w:val="center"/>
              <w:rPr>
                <w:color w:val="000000" w:themeColor="text1"/>
                <w:kern w:val="0"/>
                <w:szCs w:val="21"/>
              </w:rPr>
            </w:pPr>
            <w:r w:rsidRPr="00531C33">
              <w:rPr>
                <w:color w:val="000000" w:themeColor="text1"/>
                <w:kern w:val="0"/>
                <w:szCs w:val="21"/>
              </w:rPr>
              <w:t>项目</w:t>
            </w:r>
          </w:p>
        </w:tc>
        <w:tc>
          <w:tcPr>
            <w:tcW w:w="2637" w:type="dxa"/>
            <w:vAlign w:val="center"/>
          </w:tcPr>
          <w:p w:rsidR="006F1C55" w:rsidRPr="00531C33" w:rsidRDefault="006F1C55" w:rsidP="00C17D68">
            <w:pPr>
              <w:autoSpaceDE w:val="0"/>
              <w:autoSpaceDN w:val="0"/>
              <w:adjustRightInd w:val="0"/>
              <w:spacing w:before="29" w:line="360" w:lineRule="auto"/>
              <w:ind w:left="15"/>
              <w:jc w:val="center"/>
              <w:rPr>
                <w:color w:val="000000" w:themeColor="text1"/>
                <w:kern w:val="0"/>
                <w:szCs w:val="21"/>
              </w:rPr>
            </w:pPr>
            <w:r w:rsidRPr="00531C33">
              <w:rPr>
                <w:color w:val="000000" w:themeColor="text1"/>
                <w:szCs w:val="21"/>
              </w:rPr>
              <w:t>华夏理财</w:t>
            </w:r>
            <w:r w:rsidRPr="00531C33">
              <w:rPr>
                <w:color w:val="000000" w:themeColor="text1"/>
                <w:szCs w:val="21"/>
              </w:rPr>
              <w:t>30</w:t>
            </w:r>
            <w:r w:rsidRPr="00531C33">
              <w:rPr>
                <w:color w:val="000000" w:themeColor="text1"/>
                <w:szCs w:val="21"/>
              </w:rPr>
              <w:t>天债券</w:t>
            </w:r>
            <w:r w:rsidRPr="00531C33">
              <w:rPr>
                <w:color w:val="000000" w:themeColor="text1"/>
                <w:szCs w:val="21"/>
              </w:rPr>
              <w:t>A</w:t>
            </w:r>
          </w:p>
        </w:tc>
        <w:tc>
          <w:tcPr>
            <w:tcW w:w="2409" w:type="dxa"/>
            <w:vAlign w:val="center"/>
          </w:tcPr>
          <w:p w:rsidR="006F1C55" w:rsidRPr="00531C33" w:rsidRDefault="006F1C55" w:rsidP="00C17D68">
            <w:pPr>
              <w:autoSpaceDE w:val="0"/>
              <w:autoSpaceDN w:val="0"/>
              <w:adjustRightInd w:val="0"/>
              <w:spacing w:before="29" w:line="360" w:lineRule="auto"/>
              <w:ind w:left="15"/>
              <w:jc w:val="center"/>
              <w:rPr>
                <w:color w:val="000000" w:themeColor="text1"/>
                <w:kern w:val="0"/>
                <w:szCs w:val="21"/>
              </w:rPr>
            </w:pPr>
            <w:r w:rsidRPr="00531C33">
              <w:rPr>
                <w:color w:val="000000" w:themeColor="text1"/>
                <w:szCs w:val="21"/>
              </w:rPr>
              <w:t>华夏理财</w:t>
            </w:r>
            <w:r w:rsidRPr="00531C33">
              <w:rPr>
                <w:color w:val="000000" w:themeColor="text1"/>
                <w:szCs w:val="21"/>
              </w:rPr>
              <w:t>30</w:t>
            </w:r>
            <w:r w:rsidRPr="00531C33">
              <w:rPr>
                <w:color w:val="000000" w:themeColor="text1"/>
                <w:szCs w:val="21"/>
              </w:rPr>
              <w:t>天债券</w:t>
            </w:r>
            <w:r w:rsidRPr="00531C33">
              <w:rPr>
                <w:color w:val="000000" w:themeColor="text1"/>
                <w:szCs w:val="21"/>
              </w:rPr>
              <w:t>B</w:t>
            </w:r>
          </w:p>
        </w:tc>
      </w:tr>
      <w:tr w:rsidR="00221340" w:rsidRPr="00531C33" w:rsidTr="00235737">
        <w:tc>
          <w:tcPr>
            <w:tcW w:w="4026" w:type="dxa"/>
            <w:vAlign w:val="center"/>
          </w:tcPr>
          <w:p w:rsidR="00D03770" w:rsidRPr="00531C33" w:rsidRDefault="00D03770" w:rsidP="00C17D68">
            <w:pPr>
              <w:autoSpaceDE w:val="0"/>
              <w:autoSpaceDN w:val="0"/>
              <w:adjustRightInd w:val="0"/>
              <w:spacing w:before="29" w:line="360" w:lineRule="auto"/>
              <w:ind w:left="17"/>
              <w:rPr>
                <w:color w:val="000000" w:themeColor="text1"/>
                <w:kern w:val="0"/>
                <w:szCs w:val="21"/>
              </w:rPr>
            </w:pPr>
            <w:r w:rsidRPr="00531C33">
              <w:rPr>
                <w:color w:val="000000" w:themeColor="text1"/>
                <w:kern w:val="0"/>
                <w:szCs w:val="21"/>
              </w:rPr>
              <w:t>本报告期期初基金份额总额</w:t>
            </w:r>
          </w:p>
        </w:tc>
        <w:tc>
          <w:tcPr>
            <w:tcW w:w="2637" w:type="dxa"/>
            <w:vAlign w:val="center"/>
          </w:tcPr>
          <w:p w:rsidR="00D03770" w:rsidRPr="00531C33" w:rsidRDefault="00D03770" w:rsidP="000C5A36">
            <w:pPr>
              <w:autoSpaceDE w:val="0"/>
              <w:autoSpaceDN w:val="0"/>
              <w:adjustRightInd w:val="0"/>
              <w:spacing w:before="29" w:line="360" w:lineRule="auto"/>
              <w:ind w:left="17"/>
              <w:jc w:val="right"/>
              <w:rPr>
                <w:color w:val="000000" w:themeColor="text1"/>
                <w:szCs w:val="21"/>
              </w:rPr>
            </w:pPr>
            <w:r w:rsidRPr="00531C33">
              <w:rPr>
                <w:color w:val="000000" w:themeColor="text1"/>
                <w:szCs w:val="21"/>
              </w:rPr>
              <w:t>893,916,220.15</w:t>
            </w:r>
          </w:p>
        </w:tc>
        <w:tc>
          <w:tcPr>
            <w:tcW w:w="2409" w:type="dxa"/>
            <w:vAlign w:val="center"/>
          </w:tcPr>
          <w:p w:rsidR="00D03770" w:rsidRPr="00531C33" w:rsidRDefault="00D03770" w:rsidP="00D03770">
            <w:pPr>
              <w:autoSpaceDE w:val="0"/>
              <w:autoSpaceDN w:val="0"/>
              <w:adjustRightInd w:val="0"/>
              <w:spacing w:before="29" w:line="360" w:lineRule="auto"/>
              <w:ind w:left="17"/>
              <w:jc w:val="right"/>
              <w:rPr>
                <w:color w:val="000000" w:themeColor="text1"/>
                <w:szCs w:val="21"/>
              </w:rPr>
            </w:pPr>
            <w:r w:rsidRPr="00531C33">
              <w:rPr>
                <w:color w:val="000000" w:themeColor="text1"/>
                <w:szCs w:val="21"/>
              </w:rPr>
              <w:t>16,616,617,213.70</w:t>
            </w:r>
          </w:p>
        </w:tc>
      </w:tr>
      <w:tr w:rsidR="00221340" w:rsidRPr="00531C33" w:rsidTr="00235737">
        <w:tc>
          <w:tcPr>
            <w:tcW w:w="4026" w:type="dxa"/>
            <w:vAlign w:val="center"/>
          </w:tcPr>
          <w:p w:rsidR="00D03770" w:rsidRPr="00531C33" w:rsidRDefault="00D03770" w:rsidP="00C17D68">
            <w:pPr>
              <w:adjustRightInd w:val="0"/>
              <w:snapToGrid w:val="0"/>
              <w:spacing w:line="340" w:lineRule="exact"/>
              <w:rPr>
                <w:color w:val="000000" w:themeColor="text1"/>
                <w:szCs w:val="21"/>
              </w:rPr>
            </w:pPr>
            <w:r w:rsidRPr="00531C33">
              <w:rPr>
                <w:color w:val="000000" w:themeColor="text1"/>
                <w:kern w:val="0"/>
                <w:szCs w:val="21"/>
              </w:rPr>
              <w:t>报告期</w:t>
            </w:r>
            <w:r w:rsidRPr="00531C33">
              <w:rPr>
                <w:color w:val="000000" w:themeColor="text1"/>
                <w:szCs w:val="21"/>
              </w:rPr>
              <w:t>基金总申购份额</w:t>
            </w:r>
          </w:p>
        </w:tc>
        <w:tc>
          <w:tcPr>
            <w:tcW w:w="2637" w:type="dxa"/>
            <w:vAlign w:val="center"/>
          </w:tcPr>
          <w:p w:rsidR="00D03770" w:rsidRPr="00531C33" w:rsidRDefault="00D03770" w:rsidP="000C5A36">
            <w:pPr>
              <w:autoSpaceDE w:val="0"/>
              <w:autoSpaceDN w:val="0"/>
              <w:adjustRightInd w:val="0"/>
              <w:spacing w:before="29" w:line="360" w:lineRule="auto"/>
              <w:ind w:left="17"/>
              <w:jc w:val="right"/>
              <w:rPr>
                <w:color w:val="000000" w:themeColor="text1"/>
                <w:szCs w:val="21"/>
              </w:rPr>
            </w:pPr>
            <w:r w:rsidRPr="00531C33">
              <w:rPr>
                <w:color w:val="000000" w:themeColor="text1"/>
                <w:szCs w:val="21"/>
              </w:rPr>
              <w:t>13,469,125.33</w:t>
            </w:r>
          </w:p>
        </w:tc>
        <w:tc>
          <w:tcPr>
            <w:tcW w:w="2409" w:type="dxa"/>
            <w:vAlign w:val="center"/>
          </w:tcPr>
          <w:p w:rsidR="00D03770" w:rsidRPr="00531C33" w:rsidRDefault="00D03770" w:rsidP="00D03770">
            <w:pPr>
              <w:autoSpaceDE w:val="0"/>
              <w:autoSpaceDN w:val="0"/>
              <w:adjustRightInd w:val="0"/>
              <w:spacing w:before="29" w:line="360" w:lineRule="auto"/>
              <w:ind w:left="17"/>
              <w:jc w:val="right"/>
              <w:rPr>
                <w:color w:val="000000" w:themeColor="text1"/>
                <w:szCs w:val="21"/>
              </w:rPr>
            </w:pPr>
            <w:r w:rsidRPr="00531C33">
              <w:rPr>
                <w:color w:val="000000" w:themeColor="text1"/>
                <w:szCs w:val="21"/>
              </w:rPr>
              <w:t>604,577,144.79</w:t>
            </w:r>
          </w:p>
        </w:tc>
      </w:tr>
      <w:tr w:rsidR="00221340" w:rsidRPr="00531C33" w:rsidTr="00235737">
        <w:tc>
          <w:tcPr>
            <w:tcW w:w="4026" w:type="dxa"/>
            <w:vAlign w:val="center"/>
          </w:tcPr>
          <w:p w:rsidR="00D03770" w:rsidRPr="00531C33" w:rsidRDefault="00D03770" w:rsidP="00C17D68">
            <w:pPr>
              <w:adjustRightInd w:val="0"/>
              <w:snapToGrid w:val="0"/>
              <w:spacing w:line="340" w:lineRule="exact"/>
              <w:rPr>
                <w:color w:val="000000" w:themeColor="text1"/>
                <w:szCs w:val="21"/>
              </w:rPr>
            </w:pPr>
            <w:r w:rsidRPr="00531C33">
              <w:rPr>
                <w:color w:val="000000" w:themeColor="text1"/>
                <w:kern w:val="0"/>
                <w:szCs w:val="21"/>
              </w:rPr>
              <w:t>报告期</w:t>
            </w:r>
            <w:r w:rsidRPr="00531C33">
              <w:rPr>
                <w:color w:val="000000" w:themeColor="text1"/>
                <w:szCs w:val="21"/>
              </w:rPr>
              <w:t>基金总赎回份额</w:t>
            </w:r>
          </w:p>
        </w:tc>
        <w:tc>
          <w:tcPr>
            <w:tcW w:w="2637" w:type="dxa"/>
            <w:vAlign w:val="center"/>
          </w:tcPr>
          <w:p w:rsidR="00D03770" w:rsidRPr="00531C33" w:rsidRDefault="00D03770" w:rsidP="000C5A36">
            <w:pPr>
              <w:autoSpaceDE w:val="0"/>
              <w:autoSpaceDN w:val="0"/>
              <w:adjustRightInd w:val="0"/>
              <w:spacing w:before="29" w:line="360" w:lineRule="auto"/>
              <w:ind w:left="17"/>
              <w:jc w:val="right"/>
              <w:rPr>
                <w:color w:val="000000" w:themeColor="text1"/>
                <w:szCs w:val="21"/>
              </w:rPr>
            </w:pPr>
            <w:r w:rsidRPr="00531C33">
              <w:rPr>
                <w:color w:val="000000" w:themeColor="text1"/>
                <w:szCs w:val="21"/>
              </w:rPr>
              <w:t>171,755,662.87</w:t>
            </w:r>
          </w:p>
        </w:tc>
        <w:tc>
          <w:tcPr>
            <w:tcW w:w="2409" w:type="dxa"/>
            <w:vAlign w:val="center"/>
          </w:tcPr>
          <w:p w:rsidR="00D03770" w:rsidRPr="00531C33" w:rsidRDefault="00D03770" w:rsidP="00D03770">
            <w:pPr>
              <w:autoSpaceDE w:val="0"/>
              <w:autoSpaceDN w:val="0"/>
              <w:adjustRightInd w:val="0"/>
              <w:spacing w:before="29" w:line="360" w:lineRule="auto"/>
              <w:ind w:left="17"/>
              <w:jc w:val="right"/>
              <w:rPr>
                <w:color w:val="000000" w:themeColor="text1"/>
                <w:szCs w:val="21"/>
              </w:rPr>
            </w:pPr>
            <w:r w:rsidRPr="00531C33">
              <w:rPr>
                <w:color w:val="000000" w:themeColor="text1"/>
                <w:szCs w:val="21"/>
              </w:rPr>
              <w:t>2,894,980,103.41</w:t>
            </w:r>
          </w:p>
        </w:tc>
      </w:tr>
      <w:tr w:rsidR="00221340" w:rsidRPr="00531C33" w:rsidTr="00235737">
        <w:tc>
          <w:tcPr>
            <w:tcW w:w="4026" w:type="dxa"/>
            <w:vAlign w:val="center"/>
          </w:tcPr>
          <w:p w:rsidR="00D03770" w:rsidRPr="00531C33" w:rsidRDefault="00D03770" w:rsidP="00C17D68">
            <w:pPr>
              <w:adjustRightInd w:val="0"/>
              <w:snapToGrid w:val="0"/>
              <w:spacing w:line="340" w:lineRule="exact"/>
              <w:rPr>
                <w:color w:val="000000" w:themeColor="text1"/>
                <w:szCs w:val="21"/>
              </w:rPr>
            </w:pPr>
            <w:r w:rsidRPr="00531C33">
              <w:rPr>
                <w:color w:val="000000" w:themeColor="text1"/>
                <w:szCs w:val="21"/>
              </w:rPr>
              <w:t>报告期期末基金份额总额</w:t>
            </w:r>
          </w:p>
        </w:tc>
        <w:tc>
          <w:tcPr>
            <w:tcW w:w="2637" w:type="dxa"/>
            <w:vAlign w:val="center"/>
          </w:tcPr>
          <w:p w:rsidR="00D03770" w:rsidRPr="00531C33" w:rsidRDefault="00D03770" w:rsidP="000C5A36">
            <w:pPr>
              <w:autoSpaceDE w:val="0"/>
              <w:autoSpaceDN w:val="0"/>
              <w:adjustRightInd w:val="0"/>
              <w:spacing w:before="29" w:line="360" w:lineRule="auto"/>
              <w:ind w:left="17"/>
              <w:jc w:val="right"/>
              <w:rPr>
                <w:color w:val="000000" w:themeColor="text1"/>
                <w:szCs w:val="21"/>
              </w:rPr>
            </w:pPr>
            <w:r w:rsidRPr="00531C33">
              <w:rPr>
                <w:color w:val="000000" w:themeColor="text1"/>
                <w:szCs w:val="21"/>
              </w:rPr>
              <w:t>735,629,682.61</w:t>
            </w:r>
          </w:p>
        </w:tc>
        <w:tc>
          <w:tcPr>
            <w:tcW w:w="2409" w:type="dxa"/>
            <w:vAlign w:val="center"/>
          </w:tcPr>
          <w:p w:rsidR="00D03770" w:rsidRPr="00531C33" w:rsidRDefault="00D03770" w:rsidP="00D03770">
            <w:pPr>
              <w:autoSpaceDE w:val="0"/>
              <w:autoSpaceDN w:val="0"/>
              <w:adjustRightInd w:val="0"/>
              <w:spacing w:before="29" w:line="360" w:lineRule="auto"/>
              <w:ind w:left="17"/>
              <w:jc w:val="right"/>
              <w:rPr>
                <w:color w:val="000000" w:themeColor="text1"/>
                <w:szCs w:val="21"/>
              </w:rPr>
            </w:pPr>
            <w:r w:rsidRPr="00531C33">
              <w:rPr>
                <w:color w:val="000000" w:themeColor="text1"/>
                <w:szCs w:val="21"/>
              </w:rPr>
              <w:t>14,326,214,255.08</w:t>
            </w:r>
          </w:p>
        </w:tc>
      </w:tr>
    </w:tbl>
    <w:p w:rsidR="008C3724" w:rsidRDefault="00D9195D">
      <w:pPr>
        <w:pStyle w:val="10"/>
        <w:spacing w:line="360" w:lineRule="auto"/>
        <w:ind w:firstLine="420"/>
        <w:jc w:val="left"/>
        <w:rPr>
          <w:szCs w:val="21"/>
        </w:rPr>
      </w:pPr>
      <w:r>
        <w:rPr>
          <w:szCs w:val="21"/>
        </w:rPr>
        <w:t>注：</w:t>
      </w:r>
      <w:r>
        <w:rPr>
          <w:szCs w:val="21"/>
        </w:rPr>
        <w:t>①</w:t>
      </w:r>
      <w:r>
        <w:rPr>
          <w:szCs w:val="21"/>
        </w:rPr>
        <w:t>上述</w:t>
      </w:r>
      <w:r>
        <w:rPr>
          <w:szCs w:val="21"/>
        </w:rPr>
        <w:t>“</w:t>
      </w:r>
      <w:r>
        <w:rPr>
          <w:szCs w:val="21"/>
        </w:rPr>
        <w:t>本报告期基金总申购份额</w:t>
      </w:r>
      <w:r>
        <w:rPr>
          <w:szCs w:val="21"/>
        </w:rPr>
        <w:t>”</w:t>
      </w:r>
      <w:r>
        <w:rPr>
          <w:szCs w:val="21"/>
        </w:rPr>
        <w:t>、</w:t>
      </w:r>
      <w:r>
        <w:rPr>
          <w:szCs w:val="21"/>
        </w:rPr>
        <w:t>“</w:t>
      </w:r>
      <w:r>
        <w:rPr>
          <w:szCs w:val="21"/>
        </w:rPr>
        <w:t>本报告期基金总赎回份额</w:t>
      </w:r>
      <w:r>
        <w:rPr>
          <w:szCs w:val="21"/>
        </w:rPr>
        <w:t>”</w:t>
      </w:r>
      <w:r>
        <w:rPr>
          <w:szCs w:val="21"/>
        </w:rPr>
        <w:t>包含</w:t>
      </w:r>
      <w:r>
        <w:rPr>
          <w:szCs w:val="21"/>
        </w:rPr>
        <w:t>A</w:t>
      </w:r>
      <w:r>
        <w:rPr>
          <w:szCs w:val="21"/>
        </w:rPr>
        <w:t>级基金份额、</w:t>
      </w:r>
      <w:r>
        <w:rPr>
          <w:szCs w:val="21"/>
        </w:rPr>
        <w:t>B</w:t>
      </w:r>
      <w:r>
        <w:rPr>
          <w:szCs w:val="21"/>
        </w:rPr>
        <w:t>级基金份额间升降级的基金份额。</w:t>
      </w:r>
    </w:p>
    <w:p w:rsidR="00AA5B03" w:rsidRPr="00531C33" w:rsidRDefault="00AA5B03" w:rsidP="00ED7E07">
      <w:pPr>
        <w:pStyle w:val="10"/>
        <w:spacing w:line="360" w:lineRule="auto"/>
        <w:ind w:firstLine="420"/>
        <w:jc w:val="left"/>
        <w:rPr>
          <w:szCs w:val="21"/>
        </w:rPr>
      </w:pPr>
      <w:r w:rsidRPr="00531C33">
        <w:rPr>
          <w:szCs w:val="21"/>
        </w:rPr>
        <w:t>②</w:t>
      </w:r>
      <w:r w:rsidRPr="00531C33">
        <w:rPr>
          <w:szCs w:val="21"/>
        </w:rPr>
        <w:t>本基金目前已暂停申购业务。</w:t>
      </w:r>
    </w:p>
    <w:p w:rsidR="000F2DA3" w:rsidRPr="00531C33" w:rsidRDefault="000F2DA3" w:rsidP="00D9195D">
      <w:pPr>
        <w:pStyle w:val="2"/>
        <w:spacing w:beforeLines="100" w:after="0"/>
        <w:jc w:val="center"/>
        <w:rPr>
          <w:rStyle w:val="2CharCharChar"/>
          <w:rFonts w:ascii="Times New Roman" w:hAnsi="Times New Roman" w:cs="Times New Roman"/>
          <w:b/>
        </w:rPr>
      </w:pPr>
      <w:r w:rsidRPr="00531C33">
        <w:rPr>
          <w:rStyle w:val="2CharCharChar"/>
          <w:rFonts w:ascii="Times New Roman" w:hAnsi="Times New Roman" w:cs="Times New Roman"/>
          <w:b/>
        </w:rPr>
        <w:t>§</w:t>
      </w:r>
      <w:r w:rsidR="00FB2035" w:rsidRPr="00531C33">
        <w:rPr>
          <w:rStyle w:val="2CharCharChar"/>
          <w:rFonts w:ascii="Times New Roman" w:hAnsi="Times New Roman" w:cs="Times New Roman"/>
          <w:b/>
        </w:rPr>
        <w:t>7</w:t>
      </w:r>
      <w:r w:rsidR="0081122D" w:rsidRPr="008D7DE0">
        <w:rPr>
          <w:rStyle w:val="2CharCharChar"/>
          <w:rFonts w:ascii="Times New Roman" w:hAnsi="Times New Roman" w:cs="Times New Roman"/>
          <w:b/>
        </w:rPr>
        <w:t>基金管理人运用固有资金投资本基金情况</w:t>
      </w:r>
    </w:p>
    <w:p w:rsidR="004600A4" w:rsidRPr="004600A4" w:rsidRDefault="004600A4" w:rsidP="004600A4">
      <w:pPr>
        <w:pStyle w:val="3"/>
        <w:spacing w:before="0" w:after="0" w:line="360" w:lineRule="auto"/>
        <w:jc w:val="left"/>
        <w:rPr>
          <w:b w:val="0"/>
          <w:sz w:val="21"/>
          <w:szCs w:val="21"/>
        </w:rPr>
      </w:pPr>
      <w:r w:rsidRPr="004600A4">
        <w:rPr>
          <w:b w:val="0"/>
          <w:sz w:val="21"/>
          <w:szCs w:val="21"/>
        </w:rPr>
        <w:t xml:space="preserve">7.1 </w:t>
      </w:r>
      <w:r w:rsidRPr="004600A4">
        <w:rPr>
          <w:b w:val="0"/>
          <w:sz w:val="21"/>
          <w:szCs w:val="21"/>
        </w:rPr>
        <w:t>基金管理人持有本基金份额变动情况</w:t>
      </w:r>
    </w:p>
    <w:p w:rsidR="004600A4" w:rsidRPr="0051626C" w:rsidRDefault="004600A4" w:rsidP="00ED7E07">
      <w:pPr>
        <w:pStyle w:val="10"/>
        <w:spacing w:line="360" w:lineRule="auto"/>
        <w:ind w:firstLine="420"/>
        <w:jc w:val="left"/>
        <w:rPr>
          <w:szCs w:val="21"/>
        </w:rPr>
      </w:pPr>
      <w:r w:rsidRPr="0051626C">
        <w:rPr>
          <w:szCs w:val="21"/>
        </w:rPr>
        <w:t>本基金本报告期无基金管理人运用固有资金投资本基金的情况。</w:t>
      </w:r>
    </w:p>
    <w:p w:rsidR="004600A4" w:rsidRPr="004600A4" w:rsidRDefault="004600A4" w:rsidP="004600A4">
      <w:pPr>
        <w:pStyle w:val="3"/>
        <w:spacing w:before="0" w:after="0" w:line="360" w:lineRule="auto"/>
        <w:jc w:val="left"/>
        <w:rPr>
          <w:b w:val="0"/>
          <w:sz w:val="21"/>
          <w:szCs w:val="21"/>
        </w:rPr>
      </w:pPr>
      <w:r w:rsidRPr="004600A4">
        <w:rPr>
          <w:b w:val="0"/>
          <w:sz w:val="21"/>
          <w:szCs w:val="21"/>
        </w:rPr>
        <w:t xml:space="preserve">7.2 </w:t>
      </w:r>
      <w:r w:rsidRPr="004600A4">
        <w:rPr>
          <w:b w:val="0"/>
          <w:sz w:val="21"/>
          <w:szCs w:val="21"/>
        </w:rPr>
        <w:t>基金管理人运用固有资金投资本基金交易明细</w:t>
      </w:r>
    </w:p>
    <w:p w:rsidR="004600A4" w:rsidRPr="0051626C" w:rsidRDefault="004600A4" w:rsidP="00ED7E07">
      <w:pPr>
        <w:pStyle w:val="10"/>
        <w:spacing w:line="360" w:lineRule="auto"/>
        <w:ind w:firstLine="420"/>
        <w:jc w:val="left"/>
        <w:rPr>
          <w:szCs w:val="21"/>
        </w:rPr>
      </w:pPr>
      <w:r w:rsidRPr="0051626C">
        <w:rPr>
          <w:szCs w:val="21"/>
        </w:rPr>
        <w:t>本基金本报告期无基金管理人运用固有资金投资本基金的情况。</w:t>
      </w:r>
    </w:p>
    <w:p w:rsidR="009D74FC" w:rsidRPr="00531C33" w:rsidRDefault="009D74FC" w:rsidP="00D9195D">
      <w:pPr>
        <w:pStyle w:val="2"/>
        <w:spacing w:beforeLines="100" w:after="0"/>
        <w:jc w:val="center"/>
        <w:rPr>
          <w:rStyle w:val="2CharCharChar"/>
          <w:rFonts w:ascii="Times New Roman" w:hAnsi="Times New Roman" w:cs="Times New Roman"/>
          <w:b/>
        </w:rPr>
      </w:pPr>
      <w:r w:rsidRPr="00531C33">
        <w:rPr>
          <w:rStyle w:val="2CharCharChar"/>
          <w:rFonts w:ascii="Times New Roman" w:hAnsi="Times New Roman" w:cs="Times New Roman"/>
          <w:b/>
        </w:rPr>
        <w:t>§</w:t>
      </w:r>
      <w:r w:rsidR="00AF3D19" w:rsidRPr="00531C33">
        <w:rPr>
          <w:rStyle w:val="2CharCharChar"/>
          <w:rFonts w:ascii="Times New Roman" w:hAnsi="Times New Roman" w:cs="Times New Roman"/>
          <w:b/>
        </w:rPr>
        <w:t>8</w:t>
      </w:r>
      <w:r w:rsidRPr="00531C33">
        <w:rPr>
          <w:rStyle w:val="2CharCharChar"/>
          <w:rFonts w:ascii="Times New Roman" w:hAnsi="Times New Roman" w:cs="Times New Roman"/>
          <w:b/>
        </w:rPr>
        <w:t>影响投资者决策的其他重要信息</w:t>
      </w:r>
    </w:p>
    <w:p w:rsidR="00CE7AB4" w:rsidRPr="00531C33" w:rsidRDefault="00CE7AB4" w:rsidP="007725F2">
      <w:pPr>
        <w:pStyle w:val="3"/>
        <w:spacing w:before="0" w:after="0" w:line="360" w:lineRule="auto"/>
        <w:jc w:val="left"/>
        <w:rPr>
          <w:b w:val="0"/>
          <w:sz w:val="21"/>
          <w:szCs w:val="21"/>
        </w:rPr>
      </w:pPr>
      <w:r w:rsidRPr="00531C33">
        <w:rPr>
          <w:b w:val="0"/>
          <w:sz w:val="21"/>
          <w:szCs w:val="21"/>
        </w:rPr>
        <w:t xml:space="preserve">8.1 </w:t>
      </w:r>
      <w:r w:rsidRPr="00531C33">
        <w:rPr>
          <w:b w:val="0"/>
          <w:sz w:val="21"/>
          <w:szCs w:val="21"/>
        </w:rPr>
        <w:t>报告期内单一投资者持有基金份额比例达到或超过</w:t>
      </w:r>
      <w:r w:rsidRPr="00531C33">
        <w:rPr>
          <w:b w:val="0"/>
          <w:sz w:val="21"/>
          <w:szCs w:val="21"/>
        </w:rPr>
        <w:t>20%</w:t>
      </w:r>
      <w:r w:rsidRPr="00531C33">
        <w:rPr>
          <w:b w:val="0"/>
          <w:sz w:val="21"/>
          <w:szCs w:val="21"/>
        </w:rPr>
        <w:t>的情况</w:t>
      </w:r>
    </w:p>
    <w:tbl>
      <w:tblPr>
        <w:tblStyle w:val="aa"/>
        <w:tblW w:w="0" w:type="auto"/>
        <w:tblInd w:w="108" w:type="dxa"/>
        <w:tblLook w:val="04A0"/>
      </w:tblPr>
      <w:tblGrid>
        <w:gridCol w:w="548"/>
        <w:gridCol w:w="474"/>
        <w:gridCol w:w="1660"/>
        <w:gridCol w:w="1773"/>
        <w:gridCol w:w="1503"/>
        <w:gridCol w:w="522"/>
        <w:gridCol w:w="1780"/>
        <w:gridCol w:w="934"/>
      </w:tblGrid>
      <w:tr w:rsidR="00CE7AB4" w:rsidRPr="00531C33" w:rsidTr="0075213F">
        <w:tc>
          <w:tcPr>
            <w:tcW w:w="0" w:type="auto"/>
            <w:vMerge w:val="restart"/>
            <w:vAlign w:val="center"/>
          </w:tcPr>
          <w:p w:rsidR="00CE7AB4" w:rsidRPr="00531C33" w:rsidRDefault="00CE7AB4" w:rsidP="006E590C">
            <w:pPr>
              <w:pStyle w:val="af0"/>
              <w:jc w:val="center"/>
              <w:rPr>
                <w:rFonts w:ascii="Times New Roman" w:eastAsia="宋体" w:hAnsi="Times New Roman" w:cs="Times New Roman"/>
              </w:rPr>
            </w:pPr>
            <w:r w:rsidRPr="00531C33">
              <w:rPr>
                <w:rFonts w:ascii="Times New Roman" w:eastAsia="宋体" w:hAnsi="Times New Roman" w:cs="Times New Roman"/>
              </w:rPr>
              <w:t>投资者类别</w:t>
            </w:r>
            <w:r w:rsidRPr="00531C33">
              <w:rPr>
                <w:rFonts w:ascii="Times New Roman" w:eastAsia="宋体" w:hAnsi="Times New Roman" w:cs="Times New Roman"/>
              </w:rPr>
              <w:t xml:space="preserve">  </w:t>
            </w:r>
          </w:p>
        </w:tc>
        <w:tc>
          <w:tcPr>
            <w:tcW w:w="0" w:type="auto"/>
            <w:gridSpan w:val="5"/>
            <w:vAlign w:val="center"/>
          </w:tcPr>
          <w:p w:rsidR="00CE7AB4" w:rsidRPr="00531C33" w:rsidRDefault="00CE7AB4" w:rsidP="006E590C">
            <w:pPr>
              <w:pStyle w:val="af0"/>
              <w:jc w:val="center"/>
              <w:rPr>
                <w:rFonts w:ascii="Times New Roman" w:eastAsia="宋体" w:hAnsi="Times New Roman" w:cs="Times New Roman"/>
              </w:rPr>
            </w:pPr>
            <w:r w:rsidRPr="00531C33">
              <w:rPr>
                <w:rFonts w:ascii="Times New Roman" w:eastAsia="宋体" w:hAnsi="Times New Roman" w:cs="Times New Roman"/>
              </w:rPr>
              <w:t>报告期内持有基金份额变化情况</w:t>
            </w:r>
          </w:p>
        </w:tc>
        <w:tc>
          <w:tcPr>
            <w:tcW w:w="0" w:type="auto"/>
            <w:gridSpan w:val="2"/>
            <w:vAlign w:val="center"/>
          </w:tcPr>
          <w:p w:rsidR="00CE7AB4" w:rsidRPr="00531C33" w:rsidRDefault="00CE7AB4" w:rsidP="006E590C">
            <w:pPr>
              <w:pStyle w:val="af0"/>
              <w:jc w:val="center"/>
              <w:rPr>
                <w:rFonts w:ascii="Times New Roman" w:eastAsia="宋体" w:hAnsi="Times New Roman" w:cs="Times New Roman"/>
              </w:rPr>
            </w:pPr>
            <w:r w:rsidRPr="00531C33">
              <w:rPr>
                <w:rFonts w:ascii="Times New Roman" w:eastAsia="宋体" w:hAnsi="Times New Roman" w:cs="Times New Roman"/>
              </w:rPr>
              <w:t>报告期末持有基金情况</w:t>
            </w:r>
          </w:p>
        </w:tc>
      </w:tr>
      <w:tr w:rsidR="00F11612" w:rsidRPr="00531C33" w:rsidTr="0075213F">
        <w:tc>
          <w:tcPr>
            <w:tcW w:w="0" w:type="auto"/>
            <w:vMerge/>
            <w:vAlign w:val="center"/>
          </w:tcPr>
          <w:p w:rsidR="00CE7AB4" w:rsidRPr="00531C33" w:rsidRDefault="00CE7AB4" w:rsidP="006E590C">
            <w:pPr>
              <w:autoSpaceDE w:val="0"/>
              <w:autoSpaceDN w:val="0"/>
              <w:adjustRightInd w:val="0"/>
              <w:jc w:val="center"/>
              <w:rPr>
                <w:b/>
                <w:bCs/>
                <w:color w:val="000000" w:themeColor="text1"/>
                <w:szCs w:val="21"/>
              </w:rPr>
            </w:pPr>
          </w:p>
        </w:tc>
        <w:tc>
          <w:tcPr>
            <w:tcW w:w="0" w:type="auto"/>
            <w:vAlign w:val="center"/>
          </w:tcPr>
          <w:p w:rsidR="00CE7AB4" w:rsidRPr="00531C33" w:rsidRDefault="00CE7AB4" w:rsidP="006E590C">
            <w:pPr>
              <w:pStyle w:val="af0"/>
              <w:jc w:val="center"/>
              <w:rPr>
                <w:rFonts w:ascii="Times New Roman" w:eastAsia="宋体" w:hAnsi="Times New Roman" w:cs="Times New Roman"/>
              </w:rPr>
            </w:pPr>
            <w:r w:rsidRPr="00531C33">
              <w:rPr>
                <w:rFonts w:ascii="Times New Roman" w:eastAsia="宋体" w:hAnsi="Times New Roman" w:cs="Times New Roman"/>
              </w:rPr>
              <w:t>序号</w:t>
            </w:r>
          </w:p>
        </w:tc>
        <w:tc>
          <w:tcPr>
            <w:tcW w:w="0" w:type="auto"/>
            <w:vAlign w:val="center"/>
          </w:tcPr>
          <w:p w:rsidR="00CE7AB4" w:rsidRPr="00531C33" w:rsidRDefault="00CE7AB4" w:rsidP="006E590C">
            <w:pPr>
              <w:pStyle w:val="af0"/>
              <w:jc w:val="center"/>
              <w:rPr>
                <w:rFonts w:ascii="Times New Roman" w:eastAsia="宋体" w:hAnsi="Times New Roman" w:cs="Times New Roman"/>
              </w:rPr>
            </w:pPr>
            <w:r w:rsidRPr="00531C33">
              <w:rPr>
                <w:rFonts w:ascii="Times New Roman" w:eastAsia="宋体" w:hAnsi="Times New Roman" w:cs="Times New Roman"/>
              </w:rPr>
              <w:t>持有基金份额比例达到或者超过</w:t>
            </w:r>
            <w:r w:rsidRPr="00531C33">
              <w:rPr>
                <w:rFonts w:ascii="Times New Roman" w:eastAsia="宋体" w:hAnsi="Times New Roman" w:cs="Times New Roman"/>
              </w:rPr>
              <w:t>20%</w:t>
            </w:r>
            <w:r w:rsidRPr="00531C33">
              <w:rPr>
                <w:rFonts w:ascii="Times New Roman" w:eastAsia="宋体" w:hAnsi="Times New Roman" w:cs="Times New Roman"/>
              </w:rPr>
              <w:t>的时间区间</w:t>
            </w:r>
          </w:p>
        </w:tc>
        <w:tc>
          <w:tcPr>
            <w:tcW w:w="0" w:type="auto"/>
            <w:vAlign w:val="center"/>
          </w:tcPr>
          <w:p w:rsidR="00CE7AB4" w:rsidRPr="00531C33" w:rsidRDefault="00CE7AB4" w:rsidP="006E590C">
            <w:pPr>
              <w:pStyle w:val="af0"/>
              <w:jc w:val="center"/>
              <w:rPr>
                <w:rFonts w:ascii="Times New Roman" w:eastAsia="宋体" w:hAnsi="Times New Roman" w:cs="Times New Roman"/>
              </w:rPr>
            </w:pPr>
            <w:r w:rsidRPr="00531C33">
              <w:rPr>
                <w:rFonts w:ascii="Times New Roman" w:eastAsia="宋体" w:hAnsi="Times New Roman" w:cs="Times New Roman"/>
              </w:rPr>
              <w:t>期初份额</w:t>
            </w:r>
          </w:p>
        </w:tc>
        <w:tc>
          <w:tcPr>
            <w:tcW w:w="0" w:type="auto"/>
            <w:vAlign w:val="center"/>
          </w:tcPr>
          <w:p w:rsidR="00CE7AB4" w:rsidRPr="00531C33" w:rsidRDefault="00CE7AB4" w:rsidP="006E590C">
            <w:pPr>
              <w:pStyle w:val="af0"/>
              <w:jc w:val="center"/>
              <w:rPr>
                <w:rFonts w:ascii="Times New Roman" w:eastAsia="宋体" w:hAnsi="Times New Roman" w:cs="Times New Roman"/>
              </w:rPr>
            </w:pPr>
            <w:r w:rsidRPr="00531C33">
              <w:rPr>
                <w:rFonts w:ascii="Times New Roman" w:eastAsia="宋体" w:hAnsi="Times New Roman" w:cs="Times New Roman"/>
              </w:rPr>
              <w:t>申购份额</w:t>
            </w:r>
          </w:p>
        </w:tc>
        <w:tc>
          <w:tcPr>
            <w:tcW w:w="0" w:type="auto"/>
            <w:vAlign w:val="center"/>
          </w:tcPr>
          <w:p w:rsidR="00CE7AB4" w:rsidRPr="00531C33" w:rsidRDefault="00CE7AB4" w:rsidP="006E590C">
            <w:pPr>
              <w:pStyle w:val="af0"/>
              <w:jc w:val="center"/>
              <w:rPr>
                <w:rFonts w:ascii="Times New Roman" w:eastAsia="宋体" w:hAnsi="Times New Roman" w:cs="Times New Roman"/>
              </w:rPr>
            </w:pPr>
            <w:r w:rsidRPr="00531C33">
              <w:rPr>
                <w:rFonts w:ascii="Times New Roman" w:eastAsia="宋体" w:hAnsi="Times New Roman" w:cs="Times New Roman"/>
              </w:rPr>
              <w:t>赎回份额</w:t>
            </w:r>
          </w:p>
        </w:tc>
        <w:tc>
          <w:tcPr>
            <w:tcW w:w="0" w:type="auto"/>
            <w:vAlign w:val="center"/>
          </w:tcPr>
          <w:p w:rsidR="00CE7AB4" w:rsidRPr="00531C33" w:rsidRDefault="00CE7AB4" w:rsidP="006E590C">
            <w:pPr>
              <w:pStyle w:val="af0"/>
              <w:jc w:val="center"/>
              <w:rPr>
                <w:rFonts w:ascii="Times New Roman" w:eastAsia="宋体" w:hAnsi="Times New Roman" w:cs="Times New Roman"/>
              </w:rPr>
            </w:pPr>
            <w:r w:rsidRPr="00531C33">
              <w:rPr>
                <w:rFonts w:ascii="Times New Roman" w:eastAsia="宋体" w:hAnsi="Times New Roman" w:cs="Times New Roman"/>
              </w:rPr>
              <w:t>持有份额</w:t>
            </w:r>
          </w:p>
        </w:tc>
        <w:tc>
          <w:tcPr>
            <w:tcW w:w="0" w:type="auto"/>
            <w:vAlign w:val="center"/>
          </w:tcPr>
          <w:p w:rsidR="00CE7AB4" w:rsidRPr="00531C33" w:rsidRDefault="00CE7AB4" w:rsidP="006E590C">
            <w:pPr>
              <w:pStyle w:val="af0"/>
              <w:jc w:val="center"/>
              <w:rPr>
                <w:rFonts w:ascii="Times New Roman" w:eastAsia="宋体" w:hAnsi="Times New Roman" w:cs="Times New Roman"/>
              </w:rPr>
            </w:pPr>
            <w:r w:rsidRPr="00531C33">
              <w:rPr>
                <w:rFonts w:ascii="Times New Roman" w:eastAsia="宋体" w:hAnsi="Times New Roman" w:cs="Times New Roman"/>
              </w:rPr>
              <w:t>份额占比</w:t>
            </w:r>
          </w:p>
        </w:tc>
      </w:tr>
      <w:tr w:rsidR="008C3724">
        <w:tc>
          <w:tcPr>
            <w:tcW w:w="0" w:type="auto"/>
            <w:vMerge w:val="restart"/>
            <w:vAlign w:val="center"/>
          </w:tcPr>
          <w:p w:rsidR="008C3724" w:rsidRDefault="00D9195D">
            <w:r>
              <w:t>机构</w:t>
            </w:r>
          </w:p>
        </w:tc>
        <w:tc>
          <w:tcPr>
            <w:tcW w:w="0" w:type="auto"/>
            <w:vAlign w:val="center"/>
          </w:tcPr>
          <w:p w:rsidR="008C3724" w:rsidRDefault="00D9195D">
            <w:pPr>
              <w:jc w:val="center"/>
            </w:pPr>
            <w:r>
              <w:t>1</w:t>
            </w:r>
          </w:p>
        </w:tc>
        <w:tc>
          <w:tcPr>
            <w:tcW w:w="0" w:type="auto"/>
            <w:vAlign w:val="center"/>
          </w:tcPr>
          <w:p w:rsidR="008C3724" w:rsidRDefault="00D9195D">
            <w:pPr>
              <w:jc w:val="center"/>
            </w:pPr>
            <w:r>
              <w:t>2019-07-01</w:t>
            </w:r>
            <w:r>
              <w:t>至</w:t>
            </w:r>
            <w:r>
              <w:t>2019-09-30</w:t>
            </w:r>
          </w:p>
        </w:tc>
        <w:tc>
          <w:tcPr>
            <w:tcW w:w="0" w:type="auto"/>
            <w:vAlign w:val="center"/>
          </w:tcPr>
          <w:p w:rsidR="008C3724" w:rsidRDefault="00D9195D">
            <w:pPr>
              <w:jc w:val="right"/>
            </w:pPr>
            <w:r>
              <w:t>5,242,411,915.57</w:t>
            </w:r>
          </w:p>
        </w:tc>
        <w:tc>
          <w:tcPr>
            <w:tcW w:w="0" w:type="auto"/>
            <w:vAlign w:val="center"/>
          </w:tcPr>
          <w:p w:rsidR="008C3724" w:rsidRDefault="00D9195D">
            <w:pPr>
              <w:jc w:val="right"/>
            </w:pPr>
            <w:r>
              <w:t>36,334,245.10</w:t>
            </w:r>
          </w:p>
        </w:tc>
        <w:tc>
          <w:tcPr>
            <w:tcW w:w="0" w:type="auto"/>
            <w:vAlign w:val="center"/>
          </w:tcPr>
          <w:p w:rsidR="008C3724" w:rsidRDefault="00D9195D">
            <w:pPr>
              <w:jc w:val="right"/>
            </w:pPr>
            <w:r>
              <w:t>-</w:t>
            </w:r>
          </w:p>
        </w:tc>
        <w:tc>
          <w:tcPr>
            <w:tcW w:w="0" w:type="auto"/>
            <w:vAlign w:val="center"/>
          </w:tcPr>
          <w:p w:rsidR="008C3724" w:rsidRDefault="00D9195D">
            <w:pPr>
              <w:jc w:val="right"/>
            </w:pPr>
            <w:r>
              <w:t>5,278,746,160.67</w:t>
            </w:r>
          </w:p>
        </w:tc>
        <w:tc>
          <w:tcPr>
            <w:tcW w:w="0" w:type="auto"/>
            <w:vAlign w:val="center"/>
          </w:tcPr>
          <w:p w:rsidR="008C3724" w:rsidRDefault="00D9195D">
            <w:pPr>
              <w:jc w:val="right"/>
            </w:pPr>
            <w:r>
              <w:t>35.05%</w:t>
            </w:r>
          </w:p>
        </w:tc>
      </w:tr>
      <w:tr w:rsidR="00CE7AB4" w:rsidRPr="00531C33" w:rsidTr="0075213F">
        <w:trPr>
          <w:trHeight w:val="483"/>
        </w:trPr>
        <w:tc>
          <w:tcPr>
            <w:tcW w:w="0" w:type="auto"/>
            <w:gridSpan w:val="8"/>
            <w:vAlign w:val="center"/>
          </w:tcPr>
          <w:p w:rsidR="00CE7AB4" w:rsidRPr="00531C33" w:rsidRDefault="00CE7AB4" w:rsidP="006E590C">
            <w:pPr>
              <w:pStyle w:val="af0"/>
              <w:jc w:val="center"/>
              <w:rPr>
                <w:rFonts w:ascii="Times New Roman" w:eastAsia="宋体" w:hAnsi="Times New Roman" w:cs="Times New Roman"/>
              </w:rPr>
            </w:pPr>
            <w:r w:rsidRPr="00531C33">
              <w:rPr>
                <w:rFonts w:ascii="Times New Roman" w:eastAsia="宋体" w:hAnsi="Times New Roman" w:cs="Times New Roman"/>
              </w:rPr>
              <w:t>产品特有风险</w:t>
            </w:r>
          </w:p>
        </w:tc>
      </w:tr>
      <w:tr w:rsidR="00CE7AB4" w:rsidRPr="00531C33" w:rsidTr="0075213F">
        <w:trPr>
          <w:trHeight w:val="688"/>
        </w:trPr>
        <w:tc>
          <w:tcPr>
            <w:tcW w:w="0" w:type="auto"/>
            <w:gridSpan w:val="8"/>
            <w:vAlign w:val="center"/>
          </w:tcPr>
          <w:p w:rsidR="008C3724" w:rsidRDefault="00D9195D">
            <w:pPr>
              <w:pStyle w:val="af0"/>
              <w:jc w:val="both"/>
              <w:rPr>
                <w:rFonts w:ascii="Times New Roman" w:eastAsia="宋体" w:hAnsi="Times New Roman" w:cs="Times New Roman"/>
              </w:rPr>
            </w:pPr>
            <w:r>
              <w:rPr>
                <w:rFonts w:ascii="Times New Roman" w:eastAsia="宋体" w:hAnsi="Times New Roman" w:cs="Times New Roman"/>
              </w:rPr>
              <w:t>本基金在报告期内存在单一投资者持有基金份额比例达到或者超过基金总份额</w:t>
            </w:r>
            <w:r>
              <w:rPr>
                <w:rFonts w:ascii="Times New Roman" w:eastAsia="宋体" w:hAnsi="Times New Roman" w:cs="Times New Roman"/>
              </w:rPr>
              <w:t>20%</w:t>
            </w:r>
            <w:r>
              <w:rPr>
                <w:rFonts w:ascii="Times New Roman" w:eastAsia="宋体" w:hAnsi="Times New Roman" w:cs="Times New Roman"/>
              </w:rPr>
              <w:t>的情形，在市场流动性不足的情况下，如遇投资者巨额赎回或集中赎回，基金管理人可能无法以合理的价格及时变现基金资产，有可能对基金净值产生一定的影响，甚至可能引发基金的流动性风险。</w:t>
            </w:r>
          </w:p>
          <w:p w:rsidR="00CE7AB4" w:rsidRPr="00531C33" w:rsidRDefault="00CE7AB4" w:rsidP="0003239B">
            <w:pPr>
              <w:pStyle w:val="af0"/>
              <w:jc w:val="both"/>
              <w:rPr>
                <w:rFonts w:ascii="Times New Roman" w:eastAsia="宋体" w:hAnsi="Times New Roman" w:cs="Times New Roman"/>
              </w:rPr>
            </w:pPr>
            <w:r w:rsidRPr="00531C33">
              <w:rPr>
                <w:rFonts w:ascii="Times New Roman" w:eastAsia="宋体" w:hAnsi="Times New Roman" w:cs="Times New Roman"/>
              </w:rPr>
              <w:t>在特定情况下，若持有基金份额占比较高的投资者大量赎回本基金，可能导致在其赎回后本基金资产规模持续低于正常运作水平，面临转换运作方式、与其他基金合并或者终止基金合同等情形。</w:t>
            </w:r>
            <w:r w:rsidRPr="00531C33">
              <w:rPr>
                <w:rFonts w:ascii="Times New Roman" w:eastAsia="宋体" w:hAnsi="Times New Roman" w:cs="Times New Roman"/>
              </w:rPr>
              <w:t> </w:t>
            </w:r>
          </w:p>
        </w:tc>
      </w:tr>
    </w:tbl>
    <w:p w:rsidR="00CE7AB4" w:rsidRPr="00531C33" w:rsidRDefault="00CE7AB4" w:rsidP="000B043B">
      <w:pPr>
        <w:pStyle w:val="3"/>
        <w:spacing w:before="0" w:after="0" w:line="360" w:lineRule="auto"/>
        <w:jc w:val="left"/>
        <w:rPr>
          <w:b w:val="0"/>
          <w:sz w:val="21"/>
          <w:szCs w:val="21"/>
        </w:rPr>
      </w:pPr>
      <w:r w:rsidRPr="00531C33">
        <w:rPr>
          <w:b w:val="0"/>
          <w:sz w:val="21"/>
          <w:szCs w:val="21"/>
        </w:rPr>
        <w:t xml:space="preserve">8.2 </w:t>
      </w:r>
      <w:r w:rsidRPr="00531C33">
        <w:rPr>
          <w:b w:val="0"/>
          <w:sz w:val="21"/>
          <w:szCs w:val="21"/>
        </w:rPr>
        <w:t>影响投资者决策的其他重要信息</w:t>
      </w:r>
    </w:p>
    <w:p w:rsidR="008C3724" w:rsidRDefault="00D9195D">
      <w:pPr>
        <w:pStyle w:val="10"/>
        <w:spacing w:line="360" w:lineRule="auto"/>
        <w:ind w:firstLine="420"/>
        <w:jc w:val="left"/>
        <w:rPr>
          <w:szCs w:val="21"/>
        </w:rPr>
      </w:pPr>
      <w:r>
        <w:rPr>
          <w:szCs w:val="21"/>
        </w:rPr>
        <w:t>1</w:t>
      </w:r>
      <w:r>
        <w:rPr>
          <w:szCs w:val="21"/>
        </w:rPr>
        <w:t>、报告期内披露的主要事项</w:t>
      </w:r>
    </w:p>
    <w:p w:rsidR="008C3724" w:rsidRDefault="00D9195D">
      <w:pPr>
        <w:pStyle w:val="10"/>
        <w:spacing w:line="360" w:lineRule="auto"/>
        <w:ind w:firstLine="420"/>
        <w:jc w:val="left"/>
        <w:rPr>
          <w:szCs w:val="21"/>
        </w:rPr>
      </w:pPr>
      <w:r>
        <w:rPr>
          <w:szCs w:val="21"/>
        </w:rPr>
        <w:t>2019</w:t>
      </w:r>
      <w:r>
        <w:rPr>
          <w:szCs w:val="21"/>
        </w:rPr>
        <w:t>年</w:t>
      </w:r>
      <w:r>
        <w:rPr>
          <w:szCs w:val="21"/>
        </w:rPr>
        <w:t>7</w:t>
      </w:r>
      <w:r>
        <w:rPr>
          <w:szCs w:val="21"/>
        </w:rPr>
        <w:t>月</w:t>
      </w:r>
      <w:r>
        <w:rPr>
          <w:szCs w:val="21"/>
        </w:rPr>
        <w:t>25</w:t>
      </w:r>
      <w:r>
        <w:rPr>
          <w:szCs w:val="21"/>
        </w:rPr>
        <w:t>日发布华夏基金管理有限公司关于旗下部分开放式基金新增北京百度百盈基金销售有限公司为代销机构的公告。</w:t>
      </w:r>
    </w:p>
    <w:p w:rsidR="008C3724" w:rsidRDefault="00D9195D">
      <w:pPr>
        <w:pStyle w:val="10"/>
        <w:spacing w:line="360" w:lineRule="auto"/>
        <w:ind w:firstLine="420"/>
        <w:jc w:val="left"/>
        <w:rPr>
          <w:szCs w:val="21"/>
        </w:rPr>
      </w:pPr>
      <w:r>
        <w:rPr>
          <w:szCs w:val="21"/>
        </w:rPr>
        <w:t>2019</w:t>
      </w:r>
      <w:r>
        <w:rPr>
          <w:szCs w:val="21"/>
        </w:rPr>
        <w:t>年</w:t>
      </w:r>
      <w:r>
        <w:rPr>
          <w:szCs w:val="21"/>
        </w:rPr>
        <w:t>8</w:t>
      </w:r>
      <w:r>
        <w:rPr>
          <w:szCs w:val="21"/>
        </w:rPr>
        <w:t>月</w:t>
      </w:r>
      <w:r>
        <w:rPr>
          <w:szCs w:val="21"/>
        </w:rPr>
        <w:t>1</w:t>
      </w:r>
      <w:r>
        <w:rPr>
          <w:szCs w:val="21"/>
        </w:rPr>
        <w:t>日发布华夏基金管理有限公司关于旗下部分开放式基金新增江苏汇林保大基金销售有限公司为代销机构的公告。</w:t>
      </w:r>
    </w:p>
    <w:p w:rsidR="008C3724" w:rsidRDefault="00D9195D">
      <w:pPr>
        <w:pStyle w:val="10"/>
        <w:spacing w:line="360" w:lineRule="auto"/>
        <w:ind w:firstLine="420"/>
        <w:jc w:val="left"/>
        <w:rPr>
          <w:szCs w:val="21"/>
        </w:rPr>
      </w:pPr>
      <w:r>
        <w:rPr>
          <w:szCs w:val="21"/>
        </w:rPr>
        <w:t>2019</w:t>
      </w:r>
      <w:r>
        <w:rPr>
          <w:szCs w:val="21"/>
        </w:rPr>
        <w:t>年</w:t>
      </w:r>
      <w:r>
        <w:rPr>
          <w:szCs w:val="21"/>
        </w:rPr>
        <w:t>8</w:t>
      </w:r>
      <w:r>
        <w:rPr>
          <w:szCs w:val="21"/>
        </w:rPr>
        <w:t>月</w:t>
      </w:r>
      <w:r>
        <w:rPr>
          <w:szCs w:val="21"/>
        </w:rPr>
        <w:t>2</w:t>
      </w:r>
      <w:r>
        <w:rPr>
          <w:szCs w:val="21"/>
        </w:rPr>
        <w:t>日发布华夏基金管理有限公司关于华夏理财</w:t>
      </w:r>
      <w:r>
        <w:rPr>
          <w:szCs w:val="21"/>
        </w:rPr>
        <w:t>30</w:t>
      </w:r>
      <w:r>
        <w:rPr>
          <w:szCs w:val="21"/>
        </w:rPr>
        <w:t>天债券型证券投资基金恢复并限制申购业务的公告。</w:t>
      </w:r>
    </w:p>
    <w:p w:rsidR="008C3724" w:rsidRDefault="00D9195D">
      <w:pPr>
        <w:pStyle w:val="10"/>
        <w:spacing w:line="360" w:lineRule="auto"/>
        <w:ind w:firstLine="420"/>
        <w:jc w:val="left"/>
        <w:rPr>
          <w:szCs w:val="21"/>
        </w:rPr>
      </w:pPr>
      <w:r>
        <w:rPr>
          <w:szCs w:val="21"/>
        </w:rPr>
        <w:t>2</w:t>
      </w:r>
      <w:r>
        <w:rPr>
          <w:szCs w:val="21"/>
        </w:rPr>
        <w:t>、其他相关信息</w:t>
      </w:r>
    </w:p>
    <w:p w:rsidR="008C3724" w:rsidRDefault="00D9195D">
      <w:pPr>
        <w:pStyle w:val="10"/>
        <w:spacing w:line="360" w:lineRule="auto"/>
        <w:ind w:firstLine="420"/>
        <w:jc w:val="left"/>
        <w:rPr>
          <w:szCs w:val="21"/>
        </w:rPr>
      </w:pPr>
      <w:r>
        <w:rPr>
          <w:szCs w:val="21"/>
        </w:rPr>
        <w:t>华夏基金管理有限公司成立于</w:t>
      </w:r>
      <w:r>
        <w:rPr>
          <w:szCs w:val="21"/>
        </w:rPr>
        <w:t>1998</w:t>
      </w:r>
      <w:r>
        <w:rPr>
          <w:szCs w:val="21"/>
        </w:rPr>
        <w:t>年</w:t>
      </w:r>
      <w:r>
        <w:rPr>
          <w:szCs w:val="21"/>
        </w:rPr>
        <w:t>4</w:t>
      </w:r>
      <w:r>
        <w:rPr>
          <w:szCs w:val="21"/>
        </w:rPr>
        <w:t>月</w:t>
      </w:r>
      <w:r>
        <w:rPr>
          <w:szCs w:val="21"/>
        </w:rPr>
        <w:t>9</w:t>
      </w:r>
      <w:r>
        <w:rPr>
          <w:szCs w:val="21"/>
        </w:rPr>
        <w:t>日，是经中国证监会批准成立的首批全国性基金管理公司之一。公司总部设在北京，在北京、上海、深圳、成都、南京、杭州、广州和青岛设有分公司，在香港、深圳、上海设有子公司。公司是首批全国社保基金管理人、首批企业年金基金管理人、境内首批</w:t>
      </w:r>
      <w:r>
        <w:rPr>
          <w:szCs w:val="21"/>
        </w:rPr>
        <w:t>QDII</w:t>
      </w:r>
      <w:r>
        <w:rPr>
          <w:szCs w:val="21"/>
        </w:rPr>
        <w:t>基金管理人、境内首只</w:t>
      </w:r>
      <w:r>
        <w:rPr>
          <w:szCs w:val="21"/>
        </w:rPr>
        <w:t>ETF</w:t>
      </w:r>
      <w:r>
        <w:rPr>
          <w:szCs w:val="21"/>
        </w:rPr>
        <w:t>基金管理人、境内首只沪港通</w:t>
      </w:r>
      <w:r>
        <w:rPr>
          <w:szCs w:val="21"/>
        </w:rPr>
        <w:t>ETF</w:t>
      </w:r>
      <w:r>
        <w:rPr>
          <w:szCs w:val="21"/>
        </w:rPr>
        <w:t>基金管理人、首批内地与香港基金互认基金管理人、首批基本</w:t>
      </w:r>
      <w:r>
        <w:rPr>
          <w:szCs w:val="21"/>
        </w:rPr>
        <w:t>养老保险基金投资管理人资格、首家加入联合国责任投资原则组织的公募基金公司、首批公募</w:t>
      </w:r>
      <w:r>
        <w:rPr>
          <w:szCs w:val="21"/>
        </w:rPr>
        <w:t>FOF</w:t>
      </w:r>
      <w:r>
        <w:rPr>
          <w:szCs w:val="21"/>
        </w:rPr>
        <w:t>基金管理人、首批公募养老目标基金管理人、境内首批中日互通</w:t>
      </w:r>
      <w:r>
        <w:rPr>
          <w:szCs w:val="21"/>
        </w:rPr>
        <w:t>ETF</w:t>
      </w:r>
      <w:r>
        <w:rPr>
          <w:szCs w:val="21"/>
        </w:rPr>
        <w:t>基金管理人，首批商品期货</w:t>
      </w:r>
      <w:r>
        <w:rPr>
          <w:szCs w:val="21"/>
        </w:rPr>
        <w:t>ETF</w:t>
      </w:r>
      <w:r>
        <w:rPr>
          <w:szCs w:val="21"/>
        </w:rPr>
        <w:t>基金管理人，以及特定客户资产管理人、保险资金投资管理人，香港子公司是首批</w:t>
      </w:r>
      <w:r>
        <w:rPr>
          <w:szCs w:val="21"/>
        </w:rPr>
        <w:t>RQFII</w:t>
      </w:r>
      <w:r>
        <w:rPr>
          <w:szCs w:val="21"/>
        </w:rPr>
        <w:t>基金管理人。华夏基金是业务领域最广泛的基金管理公司之一。</w:t>
      </w:r>
    </w:p>
    <w:p w:rsidR="008C3724" w:rsidRDefault="00D9195D">
      <w:pPr>
        <w:pStyle w:val="10"/>
        <w:spacing w:line="360" w:lineRule="auto"/>
        <w:ind w:firstLine="420"/>
        <w:jc w:val="left"/>
        <w:rPr>
          <w:szCs w:val="21"/>
        </w:rPr>
      </w:pPr>
      <w:r>
        <w:rPr>
          <w:szCs w:val="21"/>
        </w:rPr>
        <w:t>华夏基金是境内</w:t>
      </w:r>
      <w:r>
        <w:rPr>
          <w:szCs w:val="21"/>
        </w:rPr>
        <w:t>ETF</w:t>
      </w:r>
      <w:r>
        <w:rPr>
          <w:szCs w:val="21"/>
        </w:rPr>
        <w:t>基金资产管理规模最大的基金管理公司之一，在</w:t>
      </w:r>
      <w:r>
        <w:rPr>
          <w:szCs w:val="21"/>
        </w:rPr>
        <w:t>ETF</w:t>
      </w:r>
      <w:r>
        <w:rPr>
          <w:szCs w:val="21"/>
        </w:rPr>
        <w:t>基金管理方面积累了丰富的经验，目前旗下管理华夏上证</w:t>
      </w:r>
      <w:r>
        <w:rPr>
          <w:szCs w:val="21"/>
        </w:rPr>
        <w:t>50ETF</w:t>
      </w:r>
      <w:r>
        <w:rPr>
          <w:szCs w:val="21"/>
        </w:rPr>
        <w:t>、华夏沪深</w:t>
      </w:r>
      <w:r>
        <w:rPr>
          <w:szCs w:val="21"/>
        </w:rPr>
        <w:t>300ETF</w:t>
      </w:r>
      <w:r>
        <w:rPr>
          <w:szCs w:val="21"/>
        </w:rPr>
        <w:t>、华夏</w:t>
      </w:r>
      <w:r>
        <w:rPr>
          <w:szCs w:val="21"/>
        </w:rPr>
        <w:t>MSCI</w:t>
      </w:r>
      <w:r>
        <w:rPr>
          <w:szCs w:val="21"/>
        </w:rPr>
        <w:t>中国</w:t>
      </w:r>
      <w:r>
        <w:rPr>
          <w:szCs w:val="21"/>
        </w:rPr>
        <w:t>A</w:t>
      </w:r>
      <w:r>
        <w:rPr>
          <w:szCs w:val="21"/>
        </w:rPr>
        <w:t>股国际通</w:t>
      </w:r>
      <w:r>
        <w:rPr>
          <w:szCs w:val="21"/>
        </w:rPr>
        <w:t>ETF</w:t>
      </w:r>
      <w:r>
        <w:rPr>
          <w:szCs w:val="21"/>
        </w:rPr>
        <w:t>、华夏恒</w:t>
      </w:r>
      <w:r>
        <w:rPr>
          <w:szCs w:val="21"/>
        </w:rPr>
        <w:t>生</w:t>
      </w:r>
      <w:r>
        <w:rPr>
          <w:szCs w:val="21"/>
        </w:rPr>
        <w:t>ETF</w:t>
      </w:r>
      <w:r>
        <w:rPr>
          <w:szCs w:val="21"/>
        </w:rPr>
        <w:t>、华夏沪港通恒生</w:t>
      </w:r>
      <w:r>
        <w:rPr>
          <w:szCs w:val="21"/>
        </w:rPr>
        <w:t>ETF</w:t>
      </w:r>
      <w:r>
        <w:rPr>
          <w:szCs w:val="21"/>
        </w:rPr>
        <w:t>、华夏野村日经</w:t>
      </w:r>
      <w:r>
        <w:rPr>
          <w:szCs w:val="21"/>
        </w:rPr>
        <w:t>225ETF</w:t>
      </w:r>
      <w:r>
        <w:rPr>
          <w:szCs w:val="21"/>
        </w:rPr>
        <w:t>、华夏中证</w:t>
      </w:r>
      <w:r>
        <w:rPr>
          <w:szCs w:val="21"/>
        </w:rPr>
        <w:t>500ETF</w:t>
      </w:r>
      <w:r>
        <w:rPr>
          <w:szCs w:val="21"/>
        </w:rPr>
        <w:t>、华夏中小板</w:t>
      </w:r>
      <w:r>
        <w:rPr>
          <w:szCs w:val="21"/>
        </w:rPr>
        <w:t>ETF</w:t>
      </w:r>
      <w:r>
        <w:rPr>
          <w:szCs w:val="21"/>
        </w:rPr>
        <w:t>、华夏创业板</w:t>
      </w:r>
      <w:r>
        <w:rPr>
          <w:szCs w:val="21"/>
        </w:rPr>
        <w:t>ETF</w:t>
      </w:r>
      <w:r>
        <w:rPr>
          <w:szCs w:val="21"/>
        </w:rPr>
        <w:t>、华夏中证央企</w:t>
      </w:r>
      <w:r>
        <w:rPr>
          <w:szCs w:val="21"/>
        </w:rPr>
        <w:t>ETF</w:t>
      </w:r>
      <w:r>
        <w:rPr>
          <w:szCs w:val="21"/>
        </w:rPr>
        <w:t>、华夏中证四川国改</w:t>
      </w:r>
      <w:r>
        <w:rPr>
          <w:szCs w:val="21"/>
        </w:rPr>
        <w:t>ETF</w:t>
      </w:r>
      <w:r>
        <w:rPr>
          <w:szCs w:val="21"/>
        </w:rPr>
        <w:t>、华夏战略新兴成指</w:t>
      </w:r>
      <w:r>
        <w:rPr>
          <w:szCs w:val="21"/>
        </w:rPr>
        <w:t>ETF</w:t>
      </w:r>
      <w:r>
        <w:rPr>
          <w:szCs w:val="21"/>
        </w:rPr>
        <w:t>、</w:t>
      </w:r>
      <w:r>
        <w:rPr>
          <w:szCs w:val="21"/>
        </w:rPr>
        <w:t>5GETF</w:t>
      </w:r>
      <w:r>
        <w:rPr>
          <w:szCs w:val="21"/>
        </w:rPr>
        <w:t>、华夏消费</w:t>
      </w:r>
      <w:r>
        <w:rPr>
          <w:szCs w:val="21"/>
        </w:rPr>
        <w:t>ETF</w:t>
      </w:r>
      <w:r>
        <w:rPr>
          <w:szCs w:val="21"/>
        </w:rPr>
        <w:t>、华夏金融</w:t>
      </w:r>
      <w:r>
        <w:rPr>
          <w:szCs w:val="21"/>
        </w:rPr>
        <w:t>ETF</w:t>
      </w:r>
      <w:r>
        <w:rPr>
          <w:szCs w:val="21"/>
        </w:rPr>
        <w:t>、华夏医药</w:t>
      </w:r>
      <w:r>
        <w:rPr>
          <w:szCs w:val="21"/>
        </w:rPr>
        <w:t>ETF</w:t>
      </w:r>
      <w:r>
        <w:rPr>
          <w:szCs w:val="21"/>
        </w:rPr>
        <w:t>、华夏证券</w:t>
      </w:r>
      <w:r>
        <w:rPr>
          <w:szCs w:val="21"/>
        </w:rPr>
        <w:t>ETF</w:t>
      </w:r>
      <w:r>
        <w:rPr>
          <w:szCs w:val="21"/>
        </w:rPr>
        <w:t>、华夏创蓝筹</w:t>
      </w:r>
      <w:r>
        <w:rPr>
          <w:szCs w:val="21"/>
        </w:rPr>
        <w:t>ETF</w:t>
      </w:r>
      <w:r>
        <w:rPr>
          <w:szCs w:val="21"/>
        </w:rPr>
        <w:t>、华夏创成长</w:t>
      </w:r>
      <w:r>
        <w:rPr>
          <w:szCs w:val="21"/>
        </w:rPr>
        <w:t>ETF</w:t>
      </w:r>
      <w:r>
        <w:rPr>
          <w:szCs w:val="21"/>
        </w:rPr>
        <w:t>、华夏快线货币</w:t>
      </w:r>
      <w:r>
        <w:rPr>
          <w:szCs w:val="21"/>
        </w:rPr>
        <w:t>ETF</w:t>
      </w:r>
      <w:r>
        <w:rPr>
          <w:szCs w:val="21"/>
        </w:rPr>
        <w:t>、华夏</w:t>
      </w:r>
      <w:r>
        <w:rPr>
          <w:szCs w:val="21"/>
        </w:rPr>
        <w:t>3-5</w:t>
      </w:r>
      <w:r>
        <w:rPr>
          <w:szCs w:val="21"/>
        </w:rPr>
        <w:t>年中高级可质押信用债</w:t>
      </w:r>
      <w:r>
        <w:rPr>
          <w:szCs w:val="21"/>
        </w:rPr>
        <w:t>ETF</w:t>
      </w:r>
      <w:r>
        <w:rPr>
          <w:szCs w:val="21"/>
        </w:rPr>
        <w:t>、华夏豆粕</w:t>
      </w:r>
      <w:r>
        <w:rPr>
          <w:szCs w:val="21"/>
        </w:rPr>
        <w:t>ETF</w:t>
      </w:r>
      <w:r>
        <w:rPr>
          <w:szCs w:val="21"/>
        </w:rPr>
        <w:t>，初步形成了覆盖宽基指数、大盘蓝筹指数、中小创指数、主题指数、行业指数、</w:t>
      </w:r>
      <w:r>
        <w:rPr>
          <w:szCs w:val="21"/>
        </w:rPr>
        <w:t>Smart Beta</w:t>
      </w:r>
      <w:r>
        <w:rPr>
          <w:szCs w:val="21"/>
        </w:rPr>
        <w:t>策略、</w:t>
      </w:r>
      <w:r>
        <w:rPr>
          <w:szCs w:val="21"/>
        </w:rPr>
        <w:t>A</w:t>
      </w:r>
      <w:r>
        <w:rPr>
          <w:szCs w:val="21"/>
        </w:rPr>
        <w:t>股市场指数、海外市场指数、信用债指数、商品指</w:t>
      </w:r>
      <w:r>
        <w:rPr>
          <w:szCs w:val="21"/>
        </w:rPr>
        <w:t>数等较为完整的产品线。</w:t>
      </w:r>
    </w:p>
    <w:p w:rsidR="008C3724" w:rsidRDefault="00D9195D">
      <w:pPr>
        <w:pStyle w:val="10"/>
        <w:spacing w:line="360" w:lineRule="auto"/>
        <w:ind w:firstLine="420"/>
        <w:jc w:val="left"/>
        <w:rPr>
          <w:szCs w:val="21"/>
        </w:rPr>
      </w:pPr>
      <w:r>
        <w:rPr>
          <w:szCs w:val="21"/>
        </w:rPr>
        <w:t>华夏基金以深入的投资研究为基础，尽力捕捉市场机会，为投资人谋求良好的回报。根据银河证券基金研究中心基金业绩统计报告，在基金分类排名中（截至</w:t>
      </w:r>
      <w:r>
        <w:rPr>
          <w:szCs w:val="21"/>
        </w:rPr>
        <w:t>2019</w:t>
      </w:r>
      <w:r>
        <w:rPr>
          <w:szCs w:val="21"/>
        </w:rPr>
        <w:t>年</w:t>
      </w:r>
      <w:r>
        <w:rPr>
          <w:szCs w:val="21"/>
        </w:rPr>
        <w:t>9</w:t>
      </w:r>
      <w:r>
        <w:rPr>
          <w:szCs w:val="21"/>
        </w:rPr>
        <w:t>月</w:t>
      </w:r>
      <w:r>
        <w:rPr>
          <w:szCs w:val="21"/>
        </w:rPr>
        <w:t>30</w:t>
      </w:r>
      <w:r>
        <w:rPr>
          <w:szCs w:val="21"/>
        </w:rPr>
        <w:t>日数据），华夏移动互联混合</w:t>
      </w:r>
      <w:r>
        <w:rPr>
          <w:szCs w:val="21"/>
        </w:rPr>
        <w:t>(QDII)</w:t>
      </w:r>
      <w:r>
        <w:rPr>
          <w:szCs w:val="21"/>
        </w:rPr>
        <w:t>及华夏全球科技先锋混合</w:t>
      </w:r>
      <w:r>
        <w:rPr>
          <w:szCs w:val="21"/>
        </w:rPr>
        <w:t>(QDII)</w:t>
      </w:r>
      <w:r>
        <w:rPr>
          <w:szCs w:val="21"/>
        </w:rPr>
        <w:t>在</w:t>
      </w:r>
      <w:r>
        <w:rPr>
          <w:szCs w:val="21"/>
        </w:rPr>
        <w:t>“QDII</w:t>
      </w:r>
      <w:r>
        <w:rPr>
          <w:szCs w:val="21"/>
        </w:rPr>
        <w:t>基金</w:t>
      </w:r>
      <w:r>
        <w:rPr>
          <w:szCs w:val="21"/>
        </w:rPr>
        <w:t>-QDII</w:t>
      </w:r>
      <w:r>
        <w:rPr>
          <w:szCs w:val="21"/>
        </w:rPr>
        <w:t>混合基金</w:t>
      </w:r>
      <w:r>
        <w:rPr>
          <w:szCs w:val="21"/>
        </w:rPr>
        <w:t>-QDII</w:t>
      </w:r>
      <w:r>
        <w:rPr>
          <w:szCs w:val="21"/>
        </w:rPr>
        <w:t>混合基金（</w:t>
      </w:r>
      <w:r>
        <w:rPr>
          <w:szCs w:val="21"/>
        </w:rPr>
        <w:t>A</w:t>
      </w:r>
      <w:r>
        <w:rPr>
          <w:szCs w:val="21"/>
        </w:rPr>
        <w:t>类）</w:t>
      </w:r>
      <w:r>
        <w:rPr>
          <w:szCs w:val="21"/>
        </w:rPr>
        <w:t>”</w:t>
      </w:r>
      <w:r>
        <w:rPr>
          <w:szCs w:val="21"/>
        </w:rPr>
        <w:t>中分别排序</w:t>
      </w:r>
      <w:r>
        <w:rPr>
          <w:szCs w:val="21"/>
        </w:rPr>
        <w:t>2/33</w:t>
      </w:r>
      <w:r>
        <w:rPr>
          <w:szCs w:val="21"/>
        </w:rPr>
        <w:t>和</w:t>
      </w:r>
      <w:r>
        <w:rPr>
          <w:szCs w:val="21"/>
        </w:rPr>
        <w:t>7/33</w:t>
      </w:r>
      <w:r>
        <w:rPr>
          <w:szCs w:val="21"/>
        </w:rPr>
        <w:t>；华夏海外收益债券</w:t>
      </w:r>
      <w:r>
        <w:rPr>
          <w:szCs w:val="21"/>
        </w:rPr>
        <w:t>(QDII)( C</w:t>
      </w:r>
      <w:r>
        <w:rPr>
          <w:szCs w:val="21"/>
        </w:rPr>
        <w:t>类</w:t>
      </w:r>
      <w:r>
        <w:rPr>
          <w:szCs w:val="21"/>
        </w:rPr>
        <w:t>)</w:t>
      </w:r>
      <w:r>
        <w:rPr>
          <w:szCs w:val="21"/>
        </w:rPr>
        <w:t>及华夏大中华信用债券</w:t>
      </w:r>
      <w:r>
        <w:rPr>
          <w:szCs w:val="21"/>
        </w:rPr>
        <w:t>(QDII)(C</w:t>
      </w:r>
      <w:r>
        <w:rPr>
          <w:szCs w:val="21"/>
        </w:rPr>
        <w:t>类</w:t>
      </w:r>
      <w:r>
        <w:rPr>
          <w:szCs w:val="21"/>
        </w:rPr>
        <w:t>)</w:t>
      </w:r>
      <w:r>
        <w:rPr>
          <w:szCs w:val="21"/>
        </w:rPr>
        <w:t>在</w:t>
      </w:r>
      <w:r>
        <w:rPr>
          <w:szCs w:val="21"/>
        </w:rPr>
        <w:t>“QDII</w:t>
      </w:r>
      <w:r>
        <w:rPr>
          <w:szCs w:val="21"/>
        </w:rPr>
        <w:t>基金</w:t>
      </w:r>
      <w:r>
        <w:rPr>
          <w:szCs w:val="21"/>
        </w:rPr>
        <w:t>-QDII</w:t>
      </w:r>
      <w:r>
        <w:rPr>
          <w:szCs w:val="21"/>
        </w:rPr>
        <w:t>债券基金</w:t>
      </w:r>
      <w:r>
        <w:rPr>
          <w:szCs w:val="21"/>
        </w:rPr>
        <w:t>-QDII</w:t>
      </w:r>
      <w:r>
        <w:rPr>
          <w:szCs w:val="21"/>
        </w:rPr>
        <w:t>债券型基金（非</w:t>
      </w:r>
      <w:r>
        <w:rPr>
          <w:szCs w:val="21"/>
        </w:rPr>
        <w:t>A</w:t>
      </w:r>
      <w:r>
        <w:rPr>
          <w:szCs w:val="21"/>
        </w:rPr>
        <w:t>类）</w:t>
      </w:r>
      <w:r>
        <w:rPr>
          <w:szCs w:val="21"/>
        </w:rPr>
        <w:t>”</w:t>
      </w:r>
      <w:r>
        <w:rPr>
          <w:szCs w:val="21"/>
        </w:rPr>
        <w:t>中分别排序</w:t>
      </w:r>
      <w:r>
        <w:rPr>
          <w:szCs w:val="21"/>
        </w:rPr>
        <w:t>4/29</w:t>
      </w:r>
      <w:r>
        <w:rPr>
          <w:szCs w:val="21"/>
        </w:rPr>
        <w:t>和</w:t>
      </w:r>
      <w:r>
        <w:rPr>
          <w:szCs w:val="21"/>
        </w:rPr>
        <w:t>8/</w:t>
      </w:r>
      <w:r>
        <w:rPr>
          <w:szCs w:val="21"/>
        </w:rPr>
        <w:t>29</w:t>
      </w:r>
      <w:r>
        <w:rPr>
          <w:szCs w:val="21"/>
        </w:rPr>
        <w:t>；华夏鼎沛债券</w:t>
      </w:r>
      <w:r>
        <w:rPr>
          <w:szCs w:val="21"/>
        </w:rPr>
        <w:t>(A</w:t>
      </w:r>
      <w:r>
        <w:rPr>
          <w:szCs w:val="21"/>
        </w:rPr>
        <w:t>类</w:t>
      </w:r>
      <w:r>
        <w:rPr>
          <w:szCs w:val="21"/>
        </w:rPr>
        <w:t>)</w:t>
      </w:r>
      <w:r>
        <w:rPr>
          <w:szCs w:val="21"/>
        </w:rPr>
        <w:t>在</w:t>
      </w:r>
      <w:r>
        <w:rPr>
          <w:szCs w:val="21"/>
        </w:rPr>
        <w:t>“</w:t>
      </w:r>
      <w:r>
        <w:rPr>
          <w:szCs w:val="21"/>
        </w:rPr>
        <w:t>债券基金</w:t>
      </w:r>
      <w:r>
        <w:rPr>
          <w:szCs w:val="21"/>
        </w:rPr>
        <w:t>-</w:t>
      </w:r>
      <w:r>
        <w:rPr>
          <w:szCs w:val="21"/>
        </w:rPr>
        <w:t>普通债券型基金</w:t>
      </w:r>
      <w:r>
        <w:rPr>
          <w:szCs w:val="21"/>
        </w:rPr>
        <w:t>-</w:t>
      </w:r>
      <w:r>
        <w:rPr>
          <w:szCs w:val="21"/>
        </w:rPr>
        <w:t>普通债券型基金（二级）（</w:t>
      </w:r>
      <w:r>
        <w:rPr>
          <w:szCs w:val="21"/>
        </w:rPr>
        <w:t>A</w:t>
      </w:r>
      <w:r>
        <w:rPr>
          <w:szCs w:val="21"/>
        </w:rPr>
        <w:t>类）</w:t>
      </w:r>
      <w:r>
        <w:rPr>
          <w:szCs w:val="21"/>
        </w:rPr>
        <w:t>”</w:t>
      </w:r>
      <w:r>
        <w:rPr>
          <w:szCs w:val="21"/>
        </w:rPr>
        <w:t>中排序</w:t>
      </w:r>
      <w:r>
        <w:rPr>
          <w:szCs w:val="21"/>
        </w:rPr>
        <w:t>2/225</w:t>
      </w:r>
      <w:r>
        <w:rPr>
          <w:szCs w:val="21"/>
        </w:rPr>
        <w:t>；华夏恒融定开债券在</w:t>
      </w:r>
      <w:r>
        <w:rPr>
          <w:szCs w:val="21"/>
        </w:rPr>
        <w:t>“</w:t>
      </w:r>
      <w:r>
        <w:rPr>
          <w:szCs w:val="21"/>
        </w:rPr>
        <w:t>债券基金</w:t>
      </w:r>
      <w:r>
        <w:rPr>
          <w:szCs w:val="21"/>
        </w:rPr>
        <w:t>-</w:t>
      </w:r>
      <w:r>
        <w:rPr>
          <w:szCs w:val="21"/>
        </w:rPr>
        <w:t>定期开放式普通债券型基金</w:t>
      </w:r>
      <w:r>
        <w:rPr>
          <w:szCs w:val="21"/>
        </w:rPr>
        <w:t>-</w:t>
      </w:r>
      <w:r>
        <w:rPr>
          <w:szCs w:val="21"/>
        </w:rPr>
        <w:t>定期开放式普通债券型基金（二级）（</w:t>
      </w:r>
      <w:r>
        <w:rPr>
          <w:szCs w:val="21"/>
        </w:rPr>
        <w:t>A</w:t>
      </w:r>
      <w:r>
        <w:rPr>
          <w:szCs w:val="21"/>
        </w:rPr>
        <w:t>类）</w:t>
      </w:r>
      <w:r>
        <w:rPr>
          <w:szCs w:val="21"/>
        </w:rPr>
        <w:t>”</w:t>
      </w:r>
      <w:r>
        <w:rPr>
          <w:szCs w:val="21"/>
        </w:rPr>
        <w:t>中排序</w:t>
      </w:r>
      <w:r>
        <w:rPr>
          <w:szCs w:val="21"/>
        </w:rPr>
        <w:t>8/18</w:t>
      </w:r>
      <w:r>
        <w:rPr>
          <w:szCs w:val="21"/>
        </w:rPr>
        <w:t>；华夏债券</w:t>
      </w:r>
      <w:r>
        <w:rPr>
          <w:szCs w:val="21"/>
        </w:rPr>
        <w:t>(C</w:t>
      </w:r>
      <w:r>
        <w:rPr>
          <w:szCs w:val="21"/>
        </w:rPr>
        <w:t>类</w:t>
      </w:r>
      <w:r>
        <w:rPr>
          <w:szCs w:val="21"/>
        </w:rPr>
        <w:t>)</w:t>
      </w:r>
      <w:r>
        <w:rPr>
          <w:szCs w:val="21"/>
        </w:rPr>
        <w:t>及华夏双债债券</w:t>
      </w:r>
      <w:r>
        <w:rPr>
          <w:szCs w:val="21"/>
        </w:rPr>
        <w:t>(C</w:t>
      </w:r>
      <w:r>
        <w:rPr>
          <w:szCs w:val="21"/>
        </w:rPr>
        <w:t>类</w:t>
      </w:r>
      <w:r>
        <w:rPr>
          <w:szCs w:val="21"/>
        </w:rPr>
        <w:t>)</w:t>
      </w:r>
      <w:r>
        <w:rPr>
          <w:szCs w:val="21"/>
        </w:rPr>
        <w:t>在</w:t>
      </w:r>
      <w:r>
        <w:rPr>
          <w:szCs w:val="21"/>
        </w:rPr>
        <w:t>“</w:t>
      </w:r>
      <w:r>
        <w:rPr>
          <w:szCs w:val="21"/>
        </w:rPr>
        <w:t>债券基金</w:t>
      </w:r>
      <w:r>
        <w:rPr>
          <w:szCs w:val="21"/>
        </w:rPr>
        <w:t>-</w:t>
      </w:r>
      <w:r>
        <w:rPr>
          <w:szCs w:val="21"/>
        </w:rPr>
        <w:t>普通债券型基金</w:t>
      </w:r>
      <w:r>
        <w:rPr>
          <w:szCs w:val="21"/>
        </w:rPr>
        <w:t>-</w:t>
      </w:r>
      <w:r>
        <w:rPr>
          <w:szCs w:val="21"/>
        </w:rPr>
        <w:t>普通债券型基金（可投转债）（非</w:t>
      </w:r>
      <w:r>
        <w:rPr>
          <w:szCs w:val="21"/>
        </w:rPr>
        <w:t>A</w:t>
      </w:r>
      <w:r>
        <w:rPr>
          <w:szCs w:val="21"/>
        </w:rPr>
        <w:t>类）</w:t>
      </w:r>
      <w:r>
        <w:rPr>
          <w:szCs w:val="21"/>
        </w:rPr>
        <w:t>”</w:t>
      </w:r>
      <w:r>
        <w:rPr>
          <w:szCs w:val="21"/>
        </w:rPr>
        <w:t>分别排序</w:t>
      </w:r>
      <w:r>
        <w:rPr>
          <w:szCs w:val="21"/>
        </w:rPr>
        <w:t>9/105</w:t>
      </w:r>
      <w:r>
        <w:rPr>
          <w:szCs w:val="21"/>
        </w:rPr>
        <w:t>和</w:t>
      </w:r>
      <w:r>
        <w:rPr>
          <w:szCs w:val="21"/>
        </w:rPr>
        <w:t>7/105</w:t>
      </w:r>
      <w:r>
        <w:rPr>
          <w:szCs w:val="21"/>
        </w:rPr>
        <w:t>；华夏聚利债券在</w:t>
      </w:r>
      <w:r>
        <w:rPr>
          <w:szCs w:val="21"/>
        </w:rPr>
        <w:t>“</w:t>
      </w:r>
      <w:r>
        <w:rPr>
          <w:szCs w:val="21"/>
        </w:rPr>
        <w:t>债券基金</w:t>
      </w:r>
      <w:r>
        <w:rPr>
          <w:szCs w:val="21"/>
        </w:rPr>
        <w:t>-</w:t>
      </w:r>
      <w:r>
        <w:rPr>
          <w:szCs w:val="21"/>
        </w:rPr>
        <w:t>普通债券型基金</w:t>
      </w:r>
      <w:r>
        <w:rPr>
          <w:szCs w:val="21"/>
        </w:rPr>
        <w:t>-</w:t>
      </w:r>
      <w:r>
        <w:rPr>
          <w:szCs w:val="21"/>
        </w:rPr>
        <w:t>普通债券型基金（可投转债）（</w:t>
      </w:r>
      <w:r>
        <w:rPr>
          <w:szCs w:val="21"/>
        </w:rPr>
        <w:t>A</w:t>
      </w:r>
      <w:r>
        <w:rPr>
          <w:szCs w:val="21"/>
        </w:rPr>
        <w:t>类）</w:t>
      </w:r>
      <w:r>
        <w:rPr>
          <w:szCs w:val="21"/>
        </w:rPr>
        <w:t>”</w:t>
      </w:r>
      <w:r>
        <w:rPr>
          <w:szCs w:val="21"/>
        </w:rPr>
        <w:t>中排名</w:t>
      </w:r>
      <w:r>
        <w:rPr>
          <w:szCs w:val="21"/>
        </w:rPr>
        <w:t>9/169</w:t>
      </w:r>
      <w:r>
        <w:rPr>
          <w:szCs w:val="21"/>
        </w:rPr>
        <w:t>；华夏医疗健康混合</w:t>
      </w:r>
      <w:r>
        <w:rPr>
          <w:szCs w:val="21"/>
        </w:rPr>
        <w:t>(C</w:t>
      </w:r>
      <w:r>
        <w:rPr>
          <w:szCs w:val="21"/>
        </w:rPr>
        <w:t>类</w:t>
      </w:r>
      <w:r>
        <w:rPr>
          <w:szCs w:val="21"/>
        </w:rPr>
        <w:t>)</w:t>
      </w:r>
      <w:r>
        <w:rPr>
          <w:szCs w:val="21"/>
        </w:rPr>
        <w:t>在</w:t>
      </w:r>
      <w:r>
        <w:rPr>
          <w:szCs w:val="21"/>
        </w:rPr>
        <w:t>“</w:t>
      </w:r>
      <w:r>
        <w:rPr>
          <w:szCs w:val="21"/>
        </w:rPr>
        <w:t>混合基金</w:t>
      </w:r>
      <w:r>
        <w:rPr>
          <w:szCs w:val="21"/>
        </w:rPr>
        <w:t>-</w:t>
      </w:r>
      <w:r>
        <w:rPr>
          <w:szCs w:val="21"/>
        </w:rPr>
        <w:t>偏股型基金</w:t>
      </w:r>
      <w:r>
        <w:rPr>
          <w:szCs w:val="21"/>
        </w:rPr>
        <w:t>-</w:t>
      </w:r>
      <w:r>
        <w:rPr>
          <w:szCs w:val="21"/>
        </w:rPr>
        <w:t>普通偏股</w:t>
      </w:r>
      <w:r>
        <w:rPr>
          <w:szCs w:val="21"/>
        </w:rPr>
        <w:t>型基金（非</w:t>
      </w:r>
      <w:r>
        <w:rPr>
          <w:szCs w:val="21"/>
        </w:rPr>
        <w:t>A</w:t>
      </w:r>
      <w:r>
        <w:rPr>
          <w:szCs w:val="21"/>
        </w:rPr>
        <w:t>类）</w:t>
      </w:r>
      <w:r>
        <w:rPr>
          <w:szCs w:val="21"/>
        </w:rPr>
        <w:t>”</w:t>
      </w:r>
      <w:r>
        <w:rPr>
          <w:szCs w:val="21"/>
        </w:rPr>
        <w:t>中排序</w:t>
      </w:r>
      <w:r>
        <w:rPr>
          <w:szCs w:val="21"/>
        </w:rPr>
        <w:t>4/19</w:t>
      </w:r>
      <w:r>
        <w:rPr>
          <w:szCs w:val="21"/>
        </w:rPr>
        <w:t>；华夏创业板</w:t>
      </w:r>
      <w:r>
        <w:rPr>
          <w:szCs w:val="21"/>
        </w:rPr>
        <w:t>ETF</w:t>
      </w:r>
      <w:r>
        <w:rPr>
          <w:szCs w:val="21"/>
        </w:rPr>
        <w:t>在</w:t>
      </w:r>
      <w:r>
        <w:rPr>
          <w:szCs w:val="21"/>
        </w:rPr>
        <w:t>“</w:t>
      </w:r>
      <w:r>
        <w:rPr>
          <w:szCs w:val="21"/>
        </w:rPr>
        <w:t>股票基金</w:t>
      </w:r>
      <w:r>
        <w:rPr>
          <w:szCs w:val="21"/>
        </w:rPr>
        <w:t>-</w:t>
      </w:r>
      <w:r>
        <w:rPr>
          <w:szCs w:val="21"/>
        </w:rPr>
        <w:t>股票</w:t>
      </w:r>
      <w:r>
        <w:rPr>
          <w:szCs w:val="21"/>
        </w:rPr>
        <w:t>ETF</w:t>
      </w:r>
      <w:r>
        <w:rPr>
          <w:szCs w:val="21"/>
        </w:rPr>
        <w:t>基金</w:t>
      </w:r>
      <w:r>
        <w:rPr>
          <w:szCs w:val="21"/>
        </w:rPr>
        <w:t>-</w:t>
      </w:r>
      <w:r>
        <w:rPr>
          <w:szCs w:val="21"/>
        </w:rPr>
        <w:t>规模指数股票</w:t>
      </w:r>
      <w:r>
        <w:rPr>
          <w:szCs w:val="21"/>
        </w:rPr>
        <w:t>ETF</w:t>
      </w:r>
      <w:r>
        <w:rPr>
          <w:szCs w:val="21"/>
        </w:rPr>
        <w:t>基金</w:t>
      </w:r>
      <w:r>
        <w:rPr>
          <w:szCs w:val="21"/>
        </w:rPr>
        <w:t>”</w:t>
      </w:r>
      <w:r>
        <w:rPr>
          <w:szCs w:val="21"/>
        </w:rPr>
        <w:t>中排序</w:t>
      </w:r>
      <w:r>
        <w:rPr>
          <w:szCs w:val="21"/>
        </w:rPr>
        <w:t>7/59</w:t>
      </w:r>
      <w:r>
        <w:rPr>
          <w:szCs w:val="21"/>
        </w:rPr>
        <w:t>；华夏消费</w:t>
      </w:r>
      <w:r>
        <w:rPr>
          <w:szCs w:val="21"/>
        </w:rPr>
        <w:t>ETF</w:t>
      </w:r>
      <w:r>
        <w:rPr>
          <w:szCs w:val="21"/>
        </w:rPr>
        <w:t>在</w:t>
      </w:r>
      <w:r>
        <w:rPr>
          <w:szCs w:val="21"/>
        </w:rPr>
        <w:t>“</w:t>
      </w:r>
      <w:r>
        <w:rPr>
          <w:szCs w:val="21"/>
        </w:rPr>
        <w:t>股票基金</w:t>
      </w:r>
      <w:r>
        <w:rPr>
          <w:szCs w:val="21"/>
        </w:rPr>
        <w:t>-</w:t>
      </w:r>
      <w:r>
        <w:rPr>
          <w:szCs w:val="21"/>
        </w:rPr>
        <w:t>股票</w:t>
      </w:r>
      <w:r>
        <w:rPr>
          <w:szCs w:val="21"/>
        </w:rPr>
        <w:t>ETF</w:t>
      </w:r>
      <w:r>
        <w:rPr>
          <w:szCs w:val="21"/>
        </w:rPr>
        <w:t>基金</w:t>
      </w:r>
      <w:r>
        <w:rPr>
          <w:szCs w:val="21"/>
        </w:rPr>
        <w:t>-</w:t>
      </w:r>
      <w:r>
        <w:rPr>
          <w:szCs w:val="21"/>
        </w:rPr>
        <w:t>行业指数股票</w:t>
      </w:r>
      <w:r>
        <w:rPr>
          <w:szCs w:val="21"/>
        </w:rPr>
        <w:t>ETF</w:t>
      </w:r>
      <w:r>
        <w:rPr>
          <w:szCs w:val="21"/>
        </w:rPr>
        <w:t>基金</w:t>
      </w:r>
      <w:r>
        <w:rPr>
          <w:szCs w:val="21"/>
        </w:rPr>
        <w:t xml:space="preserve">” </w:t>
      </w:r>
      <w:r>
        <w:rPr>
          <w:szCs w:val="21"/>
        </w:rPr>
        <w:t>排序</w:t>
      </w:r>
      <w:r>
        <w:rPr>
          <w:szCs w:val="21"/>
        </w:rPr>
        <w:t>4/31</w:t>
      </w:r>
      <w:r>
        <w:rPr>
          <w:szCs w:val="21"/>
        </w:rPr>
        <w:t>；华夏战略新兴成指</w:t>
      </w:r>
      <w:r>
        <w:rPr>
          <w:szCs w:val="21"/>
        </w:rPr>
        <w:t>ETF</w:t>
      </w:r>
      <w:r>
        <w:rPr>
          <w:szCs w:val="21"/>
        </w:rPr>
        <w:t>在</w:t>
      </w:r>
      <w:r>
        <w:rPr>
          <w:szCs w:val="21"/>
        </w:rPr>
        <w:t>“</w:t>
      </w:r>
      <w:r>
        <w:rPr>
          <w:szCs w:val="21"/>
        </w:rPr>
        <w:t>股票基金</w:t>
      </w:r>
      <w:r>
        <w:rPr>
          <w:szCs w:val="21"/>
        </w:rPr>
        <w:t>-</w:t>
      </w:r>
      <w:r>
        <w:rPr>
          <w:szCs w:val="21"/>
        </w:rPr>
        <w:t>股票</w:t>
      </w:r>
      <w:r>
        <w:rPr>
          <w:szCs w:val="21"/>
        </w:rPr>
        <w:t>ETF</w:t>
      </w:r>
      <w:r>
        <w:rPr>
          <w:szCs w:val="21"/>
        </w:rPr>
        <w:t>基金</w:t>
      </w:r>
      <w:r>
        <w:rPr>
          <w:szCs w:val="21"/>
        </w:rPr>
        <w:t>-</w:t>
      </w:r>
      <w:r>
        <w:rPr>
          <w:szCs w:val="21"/>
        </w:rPr>
        <w:t>主题指数股票</w:t>
      </w:r>
      <w:r>
        <w:rPr>
          <w:szCs w:val="21"/>
        </w:rPr>
        <w:t>ETF</w:t>
      </w:r>
      <w:r>
        <w:rPr>
          <w:szCs w:val="21"/>
        </w:rPr>
        <w:t>基金</w:t>
      </w:r>
      <w:r>
        <w:rPr>
          <w:szCs w:val="21"/>
        </w:rPr>
        <w:t>”</w:t>
      </w:r>
      <w:r>
        <w:rPr>
          <w:szCs w:val="21"/>
        </w:rPr>
        <w:t>排序</w:t>
      </w:r>
      <w:r>
        <w:rPr>
          <w:szCs w:val="21"/>
        </w:rPr>
        <w:t>8/31</w:t>
      </w:r>
      <w:r>
        <w:rPr>
          <w:szCs w:val="21"/>
        </w:rPr>
        <w:t>；华夏创业板</w:t>
      </w:r>
      <w:r>
        <w:rPr>
          <w:szCs w:val="21"/>
        </w:rPr>
        <w:t>ETF</w:t>
      </w:r>
      <w:r>
        <w:rPr>
          <w:szCs w:val="21"/>
        </w:rPr>
        <w:t>联接</w:t>
      </w:r>
      <w:r>
        <w:rPr>
          <w:szCs w:val="21"/>
        </w:rPr>
        <w:t xml:space="preserve"> (A</w:t>
      </w:r>
      <w:r>
        <w:rPr>
          <w:szCs w:val="21"/>
        </w:rPr>
        <w:t>类</w:t>
      </w:r>
      <w:r>
        <w:rPr>
          <w:szCs w:val="21"/>
        </w:rPr>
        <w:t>)</w:t>
      </w:r>
      <w:r>
        <w:rPr>
          <w:szCs w:val="21"/>
        </w:rPr>
        <w:t>及华夏</w:t>
      </w:r>
      <w:r>
        <w:rPr>
          <w:szCs w:val="21"/>
        </w:rPr>
        <w:t>MSCI</w:t>
      </w:r>
      <w:r>
        <w:rPr>
          <w:szCs w:val="21"/>
        </w:rPr>
        <w:t>中国</w:t>
      </w:r>
      <w:r>
        <w:rPr>
          <w:szCs w:val="21"/>
        </w:rPr>
        <w:t>A</w:t>
      </w:r>
      <w:r>
        <w:rPr>
          <w:szCs w:val="21"/>
        </w:rPr>
        <w:t>股国际通</w:t>
      </w:r>
      <w:r>
        <w:rPr>
          <w:szCs w:val="21"/>
        </w:rPr>
        <w:t>ETF</w:t>
      </w:r>
      <w:r>
        <w:rPr>
          <w:szCs w:val="21"/>
        </w:rPr>
        <w:t>联接</w:t>
      </w:r>
      <w:r>
        <w:rPr>
          <w:szCs w:val="21"/>
        </w:rPr>
        <w:t>(A</w:t>
      </w:r>
      <w:r>
        <w:rPr>
          <w:szCs w:val="21"/>
        </w:rPr>
        <w:t>类</w:t>
      </w:r>
      <w:r>
        <w:rPr>
          <w:szCs w:val="21"/>
        </w:rPr>
        <w:t>)</w:t>
      </w:r>
      <w:r>
        <w:rPr>
          <w:szCs w:val="21"/>
        </w:rPr>
        <w:t>在</w:t>
      </w:r>
      <w:r>
        <w:rPr>
          <w:szCs w:val="21"/>
        </w:rPr>
        <w:t>“</w:t>
      </w:r>
      <w:r>
        <w:rPr>
          <w:szCs w:val="21"/>
        </w:rPr>
        <w:t>股票基金</w:t>
      </w:r>
      <w:r>
        <w:rPr>
          <w:szCs w:val="21"/>
        </w:rPr>
        <w:t>-</w:t>
      </w:r>
      <w:r>
        <w:rPr>
          <w:szCs w:val="21"/>
        </w:rPr>
        <w:t>股票</w:t>
      </w:r>
      <w:r>
        <w:rPr>
          <w:szCs w:val="21"/>
        </w:rPr>
        <w:t>ETF</w:t>
      </w:r>
      <w:r>
        <w:rPr>
          <w:szCs w:val="21"/>
        </w:rPr>
        <w:t>联接基金</w:t>
      </w:r>
      <w:r>
        <w:rPr>
          <w:szCs w:val="21"/>
        </w:rPr>
        <w:t>-</w:t>
      </w:r>
      <w:r>
        <w:rPr>
          <w:szCs w:val="21"/>
        </w:rPr>
        <w:t>规模指数股票</w:t>
      </w:r>
      <w:r>
        <w:rPr>
          <w:szCs w:val="21"/>
        </w:rPr>
        <w:t>ETF</w:t>
      </w:r>
      <w:r>
        <w:rPr>
          <w:szCs w:val="21"/>
        </w:rPr>
        <w:t>联接基金（</w:t>
      </w:r>
      <w:r>
        <w:rPr>
          <w:szCs w:val="21"/>
        </w:rPr>
        <w:t>A</w:t>
      </w:r>
      <w:r>
        <w:rPr>
          <w:szCs w:val="21"/>
        </w:rPr>
        <w:t>类）</w:t>
      </w:r>
      <w:r>
        <w:rPr>
          <w:szCs w:val="21"/>
        </w:rPr>
        <w:t>”</w:t>
      </w:r>
      <w:r>
        <w:rPr>
          <w:szCs w:val="21"/>
        </w:rPr>
        <w:t>中排序</w:t>
      </w:r>
      <w:r>
        <w:rPr>
          <w:szCs w:val="21"/>
        </w:rPr>
        <w:t>5/46</w:t>
      </w:r>
      <w:r>
        <w:rPr>
          <w:szCs w:val="21"/>
        </w:rPr>
        <w:t>和</w:t>
      </w:r>
      <w:r>
        <w:rPr>
          <w:szCs w:val="21"/>
        </w:rPr>
        <w:t>9/46</w:t>
      </w:r>
      <w:r>
        <w:rPr>
          <w:szCs w:val="21"/>
        </w:rPr>
        <w:t>。</w:t>
      </w:r>
    </w:p>
    <w:p w:rsidR="00CE7AB4" w:rsidRPr="00ED7E07" w:rsidRDefault="00CE7AB4" w:rsidP="00ED7E07">
      <w:pPr>
        <w:pStyle w:val="10"/>
        <w:spacing w:line="360" w:lineRule="auto"/>
        <w:ind w:firstLine="420"/>
        <w:jc w:val="left"/>
        <w:rPr>
          <w:szCs w:val="21"/>
        </w:rPr>
      </w:pPr>
      <w:r w:rsidRPr="00ED7E07">
        <w:rPr>
          <w:szCs w:val="21"/>
        </w:rPr>
        <w:t>在客户服务方面，</w:t>
      </w:r>
      <w:r w:rsidRPr="00ED7E07">
        <w:rPr>
          <w:szCs w:val="21"/>
        </w:rPr>
        <w:t>3</w:t>
      </w:r>
      <w:r w:rsidRPr="00ED7E07">
        <w:rPr>
          <w:szCs w:val="21"/>
        </w:rPr>
        <w:t>季度，华夏基金继续以客户需求为导向，努力提高客户使用的便利性和服务体验：（</w:t>
      </w:r>
      <w:r w:rsidRPr="00ED7E07">
        <w:rPr>
          <w:szCs w:val="21"/>
        </w:rPr>
        <w:t>1</w:t>
      </w:r>
      <w:r w:rsidRPr="00ED7E07">
        <w:rPr>
          <w:szCs w:val="21"/>
        </w:rPr>
        <w:t>）直销电子交易平台开通华夏沃利货币</w:t>
      </w:r>
      <w:r w:rsidRPr="00ED7E07">
        <w:rPr>
          <w:szCs w:val="21"/>
        </w:rPr>
        <w:t>A</w:t>
      </w:r>
      <w:r w:rsidRPr="00ED7E07">
        <w:rPr>
          <w:szCs w:val="21"/>
        </w:rPr>
        <w:t>的快速赎回业务，华夏基金管家</w:t>
      </w:r>
      <w:r w:rsidRPr="00ED7E07">
        <w:rPr>
          <w:szCs w:val="21"/>
        </w:rPr>
        <w:t>APP</w:t>
      </w:r>
      <w:r w:rsidRPr="00ED7E07">
        <w:rPr>
          <w:szCs w:val="21"/>
        </w:rPr>
        <w:t>、华夏基金微信公众号上线智能快取功能，满足了广大投资者对资金流动的迫切需求；（</w:t>
      </w:r>
      <w:r w:rsidRPr="00ED7E07">
        <w:rPr>
          <w:szCs w:val="21"/>
        </w:rPr>
        <w:t>2</w:t>
      </w:r>
      <w:r w:rsidRPr="00ED7E07">
        <w:rPr>
          <w:szCs w:val="21"/>
        </w:rPr>
        <w:t>）华夏基金净值服务全面升级为微信实时查看、订阅推送模式，方便客户及时、精准查询基金净值变动情况；（</w:t>
      </w:r>
      <w:r w:rsidRPr="00ED7E07">
        <w:rPr>
          <w:szCs w:val="21"/>
        </w:rPr>
        <w:t>3</w:t>
      </w:r>
      <w:r w:rsidRPr="00ED7E07">
        <w:rPr>
          <w:szCs w:val="21"/>
        </w:rPr>
        <w:t>）与万和证券、五矿证券、阳光人寿等代销机构合作，提供更多便捷的理财渠道；（</w:t>
      </w:r>
      <w:r w:rsidRPr="00ED7E07">
        <w:rPr>
          <w:szCs w:val="21"/>
        </w:rPr>
        <w:t>4</w:t>
      </w:r>
      <w:r w:rsidRPr="00ED7E07">
        <w:rPr>
          <w:szCs w:val="21"/>
        </w:rPr>
        <w:t>）开展</w:t>
      </w:r>
      <w:r w:rsidRPr="00ED7E07">
        <w:rPr>
          <w:szCs w:val="21"/>
        </w:rPr>
        <w:t>“</w:t>
      </w:r>
      <w:r w:rsidRPr="00ED7E07">
        <w:rPr>
          <w:szCs w:val="21"/>
        </w:rPr>
        <w:t>微信全勤奖</w:t>
      </w:r>
      <w:r w:rsidRPr="00ED7E07">
        <w:rPr>
          <w:szCs w:val="21"/>
        </w:rPr>
        <w:t>”</w:t>
      </w:r>
      <w:r w:rsidRPr="00ED7E07">
        <w:rPr>
          <w:szCs w:val="21"/>
        </w:rPr>
        <w:t>、</w:t>
      </w:r>
      <w:r w:rsidRPr="00ED7E07">
        <w:rPr>
          <w:szCs w:val="21"/>
        </w:rPr>
        <w:t>“</w:t>
      </w:r>
      <w:r w:rsidRPr="00ED7E07">
        <w:rPr>
          <w:szCs w:val="21"/>
        </w:rPr>
        <w:t>户龄（第三期）</w:t>
      </w:r>
      <w:r w:rsidRPr="00ED7E07">
        <w:rPr>
          <w:szCs w:val="21"/>
        </w:rPr>
        <w:t>”</w:t>
      </w:r>
      <w:r w:rsidRPr="00ED7E07">
        <w:rPr>
          <w:szCs w:val="21"/>
        </w:rPr>
        <w:t>、</w:t>
      </w:r>
      <w:r w:rsidRPr="00ED7E07">
        <w:rPr>
          <w:szCs w:val="21"/>
        </w:rPr>
        <w:t>“</w:t>
      </w:r>
      <w:r w:rsidRPr="00ED7E07">
        <w:rPr>
          <w:szCs w:val="21"/>
        </w:rPr>
        <w:t>看谁能猜中</w:t>
      </w:r>
      <w:r w:rsidRPr="00ED7E07">
        <w:rPr>
          <w:szCs w:val="21"/>
        </w:rPr>
        <w:t>”</w:t>
      </w:r>
      <w:r w:rsidRPr="00ED7E07">
        <w:rPr>
          <w:szCs w:val="21"/>
        </w:rPr>
        <w:t>、</w:t>
      </w:r>
      <w:r w:rsidRPr="00ED7E07">
        <w:rPr>
          <w:szCs w:val="21"/>
        </w:rPr>
        <w:t>“</w:t>
      </w:r>
      <w:r w:rsidRPr="00ED7E07">
        <w:rPr>
          <w:szCs w:val="21"/>
        </w:rPr>
        <w:t>寻人启事</w:t>
      </w:r>
      <w:r w:rsidRPr="00ED7E07">
        <w:rPr>
          <w:szCs w:val="21"/>
        </w:rPr>
        <w:t>”</w:t>
      </w:r>
      <w:r w:rsidRPr="00ED7E07">
        <w:rPr>
          <w:szCs w:val="21"/>
        </w:rPr>
        <w:t>等活动，为客户提供了多样化的投资者教育和关怀服务。</w:t>
      </w:r>
    </w:p>
    <w:p w:rsidR="009D74FC" w:rsidRPr="00531C33" w:rsidRDefault="009D74FC" w:rsidP="00D9195D">
      <w:pPr>
        <w:pStyle w:val="2"/>
        <w:spacing w:beforeLines="100" w:after="0"/>
        <w:jc w:val="center"/>
        <w:rPr>
          <w:rStyle w:val="2CharCharChar"/>
          <w:rFonts w:ascii="Times New Roman" w:hAnsi="Times New Roman" w:cs="Times New Roman"/>
          <w:b/>
        </w:rPr>
      </w:pPr>
      <w:r w:rsidRPr="00531C33">
        <w:rPr>
          <w:rStyle w:val="2CharCharChar"/>
          <w:rFonts w:ascii="Times New Roman" w:hAnsi="Times New Roman" w:cs="Times New Roman"/>
          <w:b/>
        </w:rPr>
        <w:t>§</w:t>
      </w:r>
      <w:r w:rsidR="00DA5831" w:rsidRPr="00531C33">
        <w:rPr>
          <w:rStyle w:val="2CharCharChar"/>
          <w:rFonts w:ascii="Times New Roman" w:hAnsi="Times New Roman" w:cs="Times New Roman"/>
          <w:b/>
        </w:rPr>
        <w:t>9</w:t>
      </w:r>
      <w:r w:rsidRPr="00531C33">
        <w:rPr>
          <w:rStyle w:val="2CharCharChar"/>
          <w:rFonts w:ascii="Times New Roman" w:hAnsi="Times New Roman" w:cs="Times New Roman"/>
          <w:b/>
        </w:rPr>
        <w:t>备查文件目录</w:t>
      </w:r>
    </w:p>
    <w:p w:rsidR="00AB373C" w:rsidRPr="00531C33" w:rsidRDefault="00DA5831" w:rsidP="00DE5371">
      <w:pPr>
        <w:pStyle w:val="3"/>
        <w:spacing w:before="0" w:after="0" w:line="360" w:lineRule="auto"/>
        <w:jc w:val="left"/>
        <w:rPr>
          <w:b w:val="0"/>
          <w:sz w:val="21"/>
          <w:szCs w:val="21"/>
        </w:rPr>
      </w:pPr>
      <w:r w:rsidRPr="00531C33">
        <w:rPr>
          <w:b w:val="0"/>
          <w:sz w:val="21"/>
          <w:szCs w:val="21"/>
        </w:rPr>
        <w:t>9</w:t>
      </w:r>
      <w:r w:rsidR="00AB373C" w:rsidRPr="00531C33">
        <w:rPr>
          <w:b w:val="0"/>
          <w:sz w:val="21"/>
          <w:szCs w:val="21"/>
        </w:rPr>
        <w:t>.</w:t>
      </w:r>
      <w:r w:rsidR="00F1658B" w:rsidRPr="00531C33">
        <w:rPr>
          <w:b w:val="0"/>
          <w:sz w:val="21"/>
          <w:szCs w:val="21"/>
        </w:rPr>
        <w:t>1</w:t>
      </w:r>
      <w:r w:rsidR="00AB373C" w:rsidRPr="00531C33">
        <w:rPr>
          <w:b w:val="0"/>
          <w:sz w:val="21"/>
          <w:szCs w:val="21"/>
        </w:rPr>
        <w:t>备查文件目录</w:t>
      </w:r>
    </w:p>
    <w:p w:rsidR="008C3724" w:rsidRDefault="00D9195D">
      <w:pPr>
        <w:pStyle w:val="10"/>
        <w:spacing w:line="360" w:lineRule="auto"/>
        <w:jc w:val="left"/>
        <w:rPr>
          <w:szCs w:val="21"/>
        </w:rPr>
      </w:pPr>
      <w:r>
        <w:rPr>
          <w:szCs w:val="21"/>
        </w:rPr>
        <w:t>9.1.1</w:t>
      </w:r>
      <w:r>
        <w:rPr>
          <w:szCs w:val="21"/>
        </w:rPr>
        <w:t>中国证监会核准基金募集的文件；</w:t>
      </w:r>
    </w:p>
    <w:p w:rsidR="008C3724" w:rsidRDefault="00D9195D">
      <w:pPr>
        <w:pStyle w:val="10"/>
        <w:spacing w:line="360" w:lineRule="auto"/>
        <w:jc w:val="left"/>
        <w:rPr>
          <w:szCs w:val="21"/>
        </w:rPr>
      </w:pPr>
      <w:r>
        <w:rPr>
          <w:szCs w:val="21"/>
        </w:rPr>
        <w:t>9.1.2</w:t>
      </w:r>
      <w:r>
        <w:rPr>
          <w:szCs w:val="21"/>
        </w:rPr>
        <w:t>《华夏理财</w:t>
      </w:r>
      <w:r>
        <w:rPr>
          <w:szCs w:val="21"/>
        </w:rPr>
        <w:t>30</w:t>
      </w:r>
      <w:r>
        <w:rPr>
          <w:szCs w:val="21"/>
        </w:rPr>
        <w:t>天债券型证券投资基金基金合同》；</w:t>
      </w:r>
    </w:p>
    <w:p w:rsidR="008C3724" w:rsidRDefault="00D9195D">
      <w:pPr>
        <w:pStyle w:val="10"/>
        <w:spacing w:line="360" w:lineRule="auto"/>
        <w:jc w:val="left"/>
        <w:rPr>
          <w:szCs w:val="21"/>
        </w:rPr>
      </w:pPr>
      <w:r>
        <w:rPr>
          <w:szCs w:val="21"/>
        </w:rPr>
        <w:t>9.1.3</w:t>
      </w:r>
      <w:r>
        <w:rPr>
          <w:szCs w:val="21"/>
        </w:rPr>
        <w:t>《华夏理财</w:t>
      </w:r>
      <w:r>
        <w:rPr>
          <w:szCs w:val="21"/>
        </w:rPr>
        <w:t>30</w:t>
      </w:r>
      <w:r>
        <w:rPr>
          <w:szCs w:val="21"/>
        </w:rPr>
        <w:t>天债券型证券投资基金托管协议》；</w:t>
      </w:r>
    </w:p>
    <w:p w:rsidR="008C3724" w:rsidRDefault="00D9195D">
      <w:pPr>
        <w:pStyle w:val="10"/>
        <w:spacing w:line="360" w:lineRule="auto"/>
        <w:jc w:val="left"/>
        <w:rPr>
          <w:szCs w:val="21"/>
        </w:rPr>
      </w:pPr>
      <w:r>
        <w:rPr>
          <w:szCs w:val="21"/>
        </w:rPr>
        <w:t>9.1.4</w:t>
      </w:r>
      <w:r>
        <w:rPr>
          <w:szCs w:val="21"/>
        </w:rPr>
        <w:t>法律意见书；</w:t>
      </w:r>
    </w:p>
    <w:p w:rsidR="008C3724" w:rsidRDefault="00D9195D">
      <w:pPr>
        <w:pStyle w:val="10"/>
        <w:spacing w:line="360" w:lineRule="auto"/>
        <w:jc w:val="left"/>
        <w:rPr>
          <w:szCs w:val="21"/>
        </w:rPr>
      </w:pPr>
      <w:r>
        <w:rPr>
          <w:szCs w:val="21"/>
        </w:rPr>
        <w:t>9.1.5</w:t>
      </w:r>
      <w:r>
        <w:rPr>
          <w:szCs w:val="21"/>
        </w:rPr>
        <w:t>基金管理人业务资格批件、营业执照；</w:t>
      </w:r>
    </w:p>
    <w:p w:rsidR="00162222" w:rsidRPr="00ED7E07" w:rsidRDefault="00AB373C" w:rsidP="00ED7E07">
      <w:pPr>
        <w:pStyle w:val="10"/>
        <w:spacing w:line="360" w:lineRule="auto"/>
        <w:jc w:val="left"/>
        <w:rPr>
          <w:szCs w:val="21"/>
        </w:rPr>
      </w:pPr>
      <w:r w:rsidRPr="00ED7E07">
        <w:rPr>
          <w:szCs w:val="21"/>
        </w:rPr>
        <w:t>9.1.6</w:t>
      </w:r>
      <w:r w:rsidRPr="00ED7E07">
        <w:rPr>
          <w:szCs w:val="21"/>
        </w:rPr>
        <w:t>基金托管人业务资格批件、营业执照。</w:t>
      </w:r>
    </w:p>
    <w:p w:rsidR="00AB373C" w:rsidRPr="00531C33" w:rsidRDefault="00DA5831" w:rsidP="00DE5371">
      <w:pPr>
        <w:pStyle w:val="3"/>
        <w:spacing w:before="0" w:after="0" w:line="360" w:lineRule="auto"/>
        <w:jc w:val="left"/>
        <w:rPr>
          <w:b w:val="0"/>
          <w:sz w:val="21"/>
          <w:szCs w:val="21"/>
        </w:rPr>
      </w:pPr>
      <w:r w:rsidRPr="00531C33">
        <w:rPr>
          <w:b w:val="0"/>
          <w:sz w:val="21"/>
          <w:szCs w:val="21"/>
        </w:rPr>
        <w:t>9</w:t>
      </w:r>
      <w:r w:rsidR="00AB373C" w:rsidRPr="00531C33">
        <w:rPr>
          <w:b w:val="0"/>
          <w:sz w:val="21"/>
          <w:szCs w:val="21"/>
        </w:rPr>
        <w:t>.</w:t>
      </w:r>
      <w:r w:rsidR="00F1658B" w:rsidRPr="00531C33">
        <w:rPr>
          <w:b w:val="0"/>
          <w:sz w:val="21"/>
          <w:szCs w:val="21"/>
        </w:rPr>
        <w:t>2</w:t>
      </w:r>
      <w:r w:rsidR="00AB373C" w:rsidRPr="00531C33">
        <w:rPr>
          <w:b w:val="0"/>
          <w:sz w:val="21"/>
          <w:szCs w:val="21"/>
        </w:rPr>
        <w:t>存放地点</w:t>
      </w:r>
    </w:p>
    <w:p w:rsidR="00162222" w:rsidRPr="00ED7E07" w:rsidRDefault="00AB373C" w:rsidP="00ED7E07">
      <w:pPr>
        <w:pStyle w:val="10"/>
        <w:spacing w:line="360" w:lineRule="auto"/>
        <w:ind w:firstLine="420"/>
        <w:jc w:val="left"/>
        <w:rPr>
          <w:szCs w:val="21"/>
        </w:rPr>
      </w:pPr>
      <w:r w:rsidRPr="00ED7E07">
        <w:rPr>
          <w:szCs w:val="21"/>
        </w:rPr>
        <w:t>备查文件存放于基金管理人和</w:t>
      </w:r>
      <w:r w:rsidRPr="00ED7E07">
        <w:rPr>
          <w:szCs w:val="21"/>
        </w:rPr>
        <w:t>/</w:t>
      </w:r>
      <w:r w:rsidRPr="00ED7E07">
        <w:rPr>
          <w:szCs w:val="21"/>
        </w:rPr>
        <w:t>或基金托管人的住所。</w:t>
      </w:r>
    </w:p>
    <w:p w:rsidR="00AB373C" w:rsidRPr="00531C33" w:rsidRDefault="00DA5831" w:rsidP="00DE5371">
      <w:pPr>
        <w:pStyle w:val="3"/>
        <w:spacing w:before="0" w:after="0" w:line="360" w:lineRule="auto"/>
        <w:jc w:val="left"/>
        <w:rPr>
          <w:b w:val="0"/>
          <w:sz w:val="21"/>
          <w:szCs w:val="21"/>
        </w:rPr>
      </w:pPr>
      <w:r w:rsidRPr="00531C33">
        <w:rPr>
          <w:b w:val="0"/>
          <w:sz w:val="21"/>
          <w:szCs w:val="21"/>
        </w:rPr>
        <w:t>9</w:t>
      </w:r>
      <w:r w:rsidR="00AB373C" w:rsidRPr="00531C33">
        <w:rPr>
          <w:b w:val="0"/>
          <w:sz w:val="21"/>
          <w:szCs w:val="21"/>
        </w:rPr>
        <w:t>.</w:t>
      </w:r>
      <w:r w:rsidR="00F1658B" w:rsidRPr="00531C33">
        <w:rPr>
          <w:b w:val="0"/>
          <w:sz w:val="21"/>
          <w:szCs w:val="21"/>
        </w:rPr>
        <w:t>3</w:t>
      </w:r>
      <w:r w:rsidR="00AB373C" w:rsidRPr="00531C33">
        <w:rPr>
          <w:b w:val="0"/>
          <w:sz w:val="21"/>
          <w:szCs w:val="21"/>
        </w:rPr>
        <w:t>查阅方式</w:t>
      </w:r>
    </w:p>
    <w:p w:rsidR="009D74FC" w:rsidRPr="00ED7E07" w:rsidRDefault="00AB373C" w:rsidP="00ED7E07">
      <w:pPr>
        <w:pStyle w:val="10"/>
        <w:spacing w:line="360" w:lineRule="auto"/>
        <w:ind w:firstLine="420"/>
        <w:jc w:val="left"/>
        <w:rPr>
          <w:szCs w:val="21"/>
        </w:rPr>
      </w:pPr>
      <w:r w:rsidRPr="00ED7E07">
        <w:rPr>
          <w:szCs w:val="21"/>
        </w:rPr>
        <w:t>投资者可到基金管理人和</w:t>
      </w:r>
      <w:r w:rsidRPr="00ED7E07">
        <w:rPr>
          <w:szCs w:val="21"/>
        </w:rPr>
        <w:t>/</w:t>
      </w:r>
      <w:r w:rsidRPr="00ED7E07">
        <w:rPr>
          <w:szCs w:val="21"/>
        </w:rPr>
        <w:t>或基金托管人的住所免费查阅备查文件。在支付工本费后，投资者可在合理时间内取得备查文件的复制件或复印件。</w:t>
      </w:r>
    </w:p>
    <w:p w:rsidR="00162222" w:rsidRPr="00C03D9E" w:rsidRDefault="00162222" w:rsidP="00C03D9E">
      <w:pPr>
        <w:spacing w:line="360" w:lineRule="auto"/>
        <w:ind w:firstLineChars="150" w:firstLine="315"/>
        <w:rPr>
          <w:bCs/>
          <w:color w:val="000000"/>
          <w:szCs w:val="21"/>
        </w:rPr>
      </w:pPr>
    </w:p>
    <w:p w:rsidR="003B6DC6" w:rsidRPr="00C03D9E" w:rsidRDefault="003B6DC6" w:rsidP="00C03D9E">
      <w:pPr>
        <w:spacing w:line="360" w:lineRule="auto"/>
        <w:ind w:firstLineChars="150" w:firstLine="315"/>
        <w:rPr>
          <w:bCs/>
          <w:color w:val="000000"/>
          <w:szCs w:val="21"/>
        </w:rPr>
      </w:pPr>
    </w:p>
    <w:p w:rsidR="002611C3" w:rsidRPr="00531C33" w:rsidRDefault="002611C3" w:rsidP="00394BC1">
      <w:pPr>
        <w:spacing w:line="360" w:lineRule="auto"/>
        <w:jc w:val="right"/>
        <w:rPr>
          <w:color w:val="000000"/>
          <w:szCs w:val="21"/>
        </w:rPr>
      </w:pPr>
      <w:r w:rsidRPr="00531C33">
        <w:rPr>
          <w:color w:val="000000"/>
          <w:szCs w:val="21"/>
        </w:rPr>
        <w:t>华夏基金管理有限公司</w:t>
      </w:r>
    </w:p>
    <w:p w:rsidR="003B6DC6" w:rsidRPr="00531C33" w:rsidRDefault="00D87D00" w:rsidP="00394BC1">
      <w:pPr>
        <w:spacing w:line="360" w:lineRule="auto"/>
        <w:jc w:val="right"/>
        <w:rPr>
          <w:color w:val="000000"/>
          <w:szCs w:val="21"/>
        </w:rPr>
      </w:pPr>
      <w:r w:rsidRPr="00531C33">
        <w:rPr>
          <w:color w:val="000000"/>
          <w:szCs w:val="21"/>
        </w:rPr>
        <w:t>二〇一九年十月二十二日</w:t>
      </w:r>
    </w:p>
    <w:sectPr w:rsidR="003B6DC6" w:rsidRPr="00531C33" w:rsidSect="00F73B1A">
      <w:headerReference w:type="default" r:id="rId9"/>
      <w:footerReference w:type="default" r:id="rId10"/>
      <w:pgSz w:w="11926" w:h="15840"/>
      <w:pgMar w:top="1420" w:right="1420" w:bottom="852" w:left="1420" w:header="851" w:footer="992" w:gutter="0"/>
      <w:pgNumType w:start="1"/>
      <w:cols w:space="720"/>
      <w:noEndnote/>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A79" w:rsidRDefault="009C4A79">
      <w:r>
        <w:separator/>
      </w:r>
    </w:p>
  </w:endnote>
  <w:endnote w:type="continuationSeparator" w:id="0">
    <w:p w:rsidR="009C4A79" w:rsidRDefault="009C4A7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087339"/>
      <w:docPartObj>
        <w:docPartGallery w:val="Page Numbers (Bottom of Page)"/>
        <w:docPartUnique/>
      </w:docPartObj>
    </w:sdtPr>
    <w:sdtContent>
      <w:p w:rsidR="00F73B1A" w:rsidRDefault="008C3724">
        <w:pPr>
          <w:pStyle w:val="a5"/>
          <w:jc w:val="center"/>
        </w:pPr>
        <w:r>
          <w:fldChar w:fldCharType="begin"/>
        </w:r>
        <w:r w:rsidR="00F73B1A">
          <w:instrText>PAGE   \* MERGEFORMAT</w:instrText>
        </w:r>
        <w:r>
          <w:fldChar w:fldCharType="separate"/>
        </w:r>
        <w:r w:rsidR="00D9195D" w:rsidRPr="00D9195D">
          <w:rPr>
            <w:noProof/>
            <w:lang w:val="zh-CN"/>
          </w:rPr>
          <w:t>1</w:t>
        </w:r>
        <w:r>
          <w:fldChar w:fldCharType="end"/>
        </w:r>
      </w:p>
    </w:sdtContent>
  </w:sdt>
  <w:p w:rsidR="00F73B1A" w:rsidRPr="00F73B1A" w:rsidRDefault="00F73B1A" w:rsidP="00F73B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A79" w:rsidRDefault="009C4A79">
      <w:r>
        <w:separator/>
      </w:r>
    </w:p>
  </w:footnote>
  <w:footnote w:type="continuationSeparator" w:id="0">
    <w:p w:rsidR="009C4A79" w:rsidRDefault="009C4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06" w:rsidRPr="000C5A36" w:rsidRDefault="00E44806" w:rsidP="008379E2">
    <w:pPr>
      <w:pStyle w:val="a4"/>
      <w:pBdr>
        <w:bottom w:val="single" w:sz="6" w:space="0" w:color="auto"/>
      </w:pBdr>
      <w:jc w:val="right"/>
    </w:pPr>
    <w:r w:rsidRPr="000C5A36">
      <w:t>华夏理财</w:t>
    </w:r>
    <w:r w:rsidRPr="000C5A36">
      <w:t>30</w:t>
    </w:r>
    <w:r w:rsidRPr="000C5A36">
      <w:t>天债券型证券投资基金</w:t>
    </w:r>
    <w:r w:rsidRPr="000C5A36">
      <w:t>2019</w:t>
    </w:r>
    <w:r w:rsidRPr="000C5A36">
      <w:t>年第</w:t>
    </w:r>
    <w:r w:rsidRPr="000C5A36">
      <w:t>3</w:t>
    </w:r>
    <w:r w:rsidRPr="000C5A36">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7283"/>
    <w:rsid w:val="000028CE"/>
    <w:rsid w:val="00003FC5"/>
    <w:rsid w:val="00004DE7"/>
    <w:rsid w:val="00005433"/>
    <w:rsid w:val="0001552D"/>
    <w:rsid w:val="0001566B"/>
    <w:rsid w:val="0002085F"/>
    <w:rsid w:val="00024266"/>
    <w:rsid w:val="00026DAD"/>
    <w:rsid w:val="0003239B"/>
    <w:rsid w:val="00035596"/>
    <w:rsid w:val="000417E0"/>
    <w:rsid w:val="00044724"/>
    <w:rsid w:val="00046F4B"/>
    <w:rsid w:val="0005005D"/>
    <w:rsid w:val="00052CA4"/>
    <w:rsid w:val="0005518A"/>
    <w:rsid w:val="00057D26"/>
    <w:rsid w:val="00063BA4"/>
    <w:rsid w:val="0006697D"/>
    <w:rsid w:val="00067FDD"/>
    <w:rsid w:val="00070092"/>
    <w:rsid w:val="0007109E"/>
    <w:rsid w:val="00075BBB"/>
    <w:rsid w:val="00075CA2"/>
    <w:rsid w:val="0007770D"/>
    <w:rsid w:val="0009769D"/>
    <w:rsid w:val="000A7480"/>
    <w:rsid w:val="000B043B"/>
    <w:rsid w:val="000B2044"/>
    <w:rsid w:val="000B2266"/>
    <w:rsid w:val="000B679E"/>
    <w:rsid w:val="000C469F"/>
    <w:rsid w:val="000C5A36"/>
    <w:rsid w:val="000D0F44"/>
    <w:rsid w:val="000D6294"/>
    <w:rsid w:val="000D66F0"/>
    <w:rsid w:val="000E01A5"/>
    <w:rsid w:val="000E0F6E"/>
    <w:rsid w:val="000E23A7"/>
    <w:rsid w:val="000E7D73"/>
    <w:rsid w:val="000F2DA3"/>
    <w:rsid w:val="000F3C21"/>
    <w:rsid w:val="000F4826"/>
    <w:rsid w:val="000F5947"/>
    <w:rsid w:val="00101278"/>
    <w:rsid w:val="001038EF"/>
    <w:rsid w:val="00103B93"/>
    <w:rsid w:val="001074D6"/>
    <w:rsid w:val="00113777"/>
    <w:rsid w:val="00114C97"/>
    <w:rsid w:val="001302DB"/>
    <w:rsid w:val="00157B55"/>
    <w:rsid w:val="00160010"/>
    <w:rsid w:val="00162222"/>
    <w:rsid w:val="001635C7"/>
    <w:rsid w:val="00172ADE"/>
    <w:rsid w:val="0018401C"/>
    <w:rsid w:val="00186067"/>
    <w:rsid w:val="00186667"/>
    <w:rsid w:val="00190877"/>
    <w:rsid w:val="00191B28"/>
    <w:rsid w:val="00193BCF"/>
    <w:rsid w:val="00195C6F"/>
    <w:rsid w:val="00196812"/>
    <w:rsid w:val="00197ED0"/>
    <w:rsid w:val="001A0580"/>
    <w:rsid w:val="001A2524"/>
    <w:rsid w:val="001B42BE"/>
    <w:rsid w:val="001B437D"/>
    <w:rsid w:val="001B64F0"/>
    <w:rsid w:val="001B72D6"/>
    <w:rsid w:val="001B7CC6"/>
    <w:rsid w:val="001C4175"/>
    <w:rsid w:val="001C5BF3"/>
    <w:rsid w:val="001C5D80"/>
    <w:rsid w:val="001D0D4C"/>
    <w:rsid w:val="001D0DB0"/>
    <w:rsid w:val="001D3FAC"/>
    <w:rsid w:val="001D65C8"/>
    <w:rsid w:val="001D6ECD"/>
    <w:rsid w:val="001D75D9"/>
    <w:rsid w:val="001E688B"/>
    <w:rsid w:val="001F0286"/>
    <w:rsid w:val="00203624"/>
    <w:rsid w:val="0020640F"/>
    <w:rsid w:val="0021251E"/>
    <w:rsid w:val="00221340"/>
    <w:rsid w:val="00232095"/>
    <w:rsid w:val="00233014"/>
    <w:rsid w:val="00235737"/>
    <w:rsid w:val="00237885"/>
    <w:rsid w:val="00240174"/>
    <w:rsid w:val="0024424F"/>
    <w:rsid w:val="002507FE"/>
    <w:rsid w:val="002525C7"/>
    <w:rsid w:val="002611C3"/>
    <w:rsid w:val="002622E8"/>
    <w:rsid w:val="0026450B"/>
    <w:rsid w:val="00267283"/>
    <w:rsid w:val="00270C2E"/>
    <w:rsid w:val="00274FAC"/>
    <w:rsid w:val="00297F54"/>
    <w:rsid w:val="002A1D94"/>
    <w:rsid w:val="002A4B7F"/>
    <w:rsid w:val="002B1BE6"/>
    <w:rsid w:val="002B45A4"/>
    <w:rsid w:val="002C1B60"/>
    <w:rsid w:val="002D1B54"/>
    <w:rsid w:val="002D3ADF"/>
    <w:rsid w:val="002E040C"/>
    <w:rsid w:val="002E0F4A"/>
    <w:rsid w:val="002F0E9D"/>
    <w:rsid w:val="002F6539"/>
    <w:rsid w:val="00304E44"/>
    <w:rsid w:val="00307062"/>
    <w:rsid w:val="00311ADA"/>
    <w:rsid w:val="00311AEB"/>
    <w:rsid w:val="003201C5"/>
    <w:rsid w:val="00321D5A"/>
    <w:rsid w:val="00322B07"/>
    <w:rsid w:val="0032323A"/>
    <w:rsid w:val="00323377"/>
    <w:rsid w:val="00327FB0"/>
    <w:rsid w:val="00340292"/>
    <w:rsid w:val="00340C3A"/>
    <w:rsid w:val="00343648"/>
    <w:rsid w:val="00343AF0"/>
    <w:rsid w:val="003446AD"/>
    <w:rsid w:val="00346359"/>
    <w:rsid w:val="00346B82"/>
    <w:rsid w:val="0035022C"/>
    <w:rsid w:val="0035215C"/>
    <w:rsid w:val="00362E2A"/>
    <w:rsid w:val="00365983"/>
    <w:rsid w:val="00371E26"/>
    <w:rsid w:val="00373AAB"/>
    <w:rsid w:val="00383631"/>
    <w:rsid w:val="00384942"/>
    <w:rsid w:val="003850F0"/>
    <w:rsid w:val="00386A4E"/>
    <w:rsid w:val="00394BC1"/>
    <w:rsid w:val="003A0EC1"/>
    <w:rsid w:val="003A2CAE"/>
    <w:rsid w:val="003A7296"/>
    <w:rsid w:val="003B36B4"/>
    <w:rsid w:val="003B6DC6"/>
    <w:rsid w:val="003B7E1E"/>
    <w:rsid w:val="003C0E8C"/>
    <w:rsid w:val="003C1137"/>
    <w:rsid w:val="003C495A"/>
    <w:rsid w:val="003D1ECF"/>
    <w:rsid w:val="003D21F4"/>
    <w:rsid w:val="003E14FE"/>
    <w:rsid w:val="003E565B"/>
    <w:rsid w:val="003F43EB"/>
    <w:rsid w:val="003F7AEB"/>
    <w:rsid w:val="00402654"/>
    <w:rsid w:val="00403ED2"/>
    <w:rsid w:val="004250C5"/>
    <w:rsid w:val="00425438"/>
    <w:rsid w:val="00433C1E"/>
    <w:rsid w:val="004369B0"/>
    <w:rsid w:val="00440828"/>
    <w:rsid w:val="0044257C"/>
    <w:rsid w:val="004450B9"/>
    <w:rsid w:val="00446474"/>
    <w:rsid w:val="004503DD"/>
    <w:rsid w:val="004527E3"/>
    <w:rsid w:val="00452D31"/>
    <w:rsid w:val="00460000"/>
    <w:rsid w:val="004600A4"/>
    <w:rsid w:val="00461A70"/>
    <w:rsid w:val="004702DF"/>
    <w:rsid w:val="00473E10"/>
    <w:rsid w:val="00473EC9"/>
    <w:rsid w:val="00474896"/>
    <w:rsid w:val="004771B9"/>
    <w:rsid w:val="0049581A"/>
    <w:rsid w:val="00496B2E"/>
    <w:rsid w:val="004A2432"/>
    <w:rsid w:val="004A357E"/>
    <w:rsid w:val="004A46A0"/>
    <w:rsid w:val="004B1C09"/>
    <w:rsid w:val="004C5B7C"/>
    <w:rsid w:val="004D14BF"/>
    <w:rsid w:val="004D22E1"/>
    <w:rsid w:val="004E041A"/>
    <w:rsid w:val="004E3452"/>
    <w:rsid w:val="004E4E63"/>
    <w:rsid w:val="00506EF6"/>
    <w:rsid w:val="005141F5"/>
    <w:rsid w:val="00515166"/>
    <w:rsid w:val="0051578D"/>
    <w:rsid w:val="005212AE"/>
    <w:rsid w:val="00525A8C"/>
    <w:rsid w:val="00531C33"/>
    <w:rsid w:val="00533490"/>
    <w:rsid w:val="00543750"/>
    <w:rsid w:val="0054464B"/>
    <w:rsid w:val="0054785C"/>
    <w:rsid w:val="00555883"/>
    <w:rsid w:val="00557261"/>
    <w:rsid w:val="00560F94"/>
    <w:rsid w:val="005633AD"/>
    <w:rsid w:val="00570DE6"/>
    <w:rsid w:val="00570F8C"/>
    <w:rsid w:val="00575970"/>
    <w:rsid w:val="00582960"/>
    <w:rsid w:val="00582A58"/>
    <w:rsid w:val="00584E1B"/>
    <w:rsid w:val="00592D0A"/>
    <w:rsid w:val="00594DCA"/>
    <w:rsid w:val="00595285"/>
    <w:rsid w:val="005952D5"/>
    <w:rsid w:val="005A0BDB"/>
    <w:rsid w:val="005A4772"/>
    <w:rsid w:val="005A60B7"/>
    <w:rsid w:val="005A7B32"/>
    <w:rsid w:val="005B3DF8"/>
    <w:rsid w:val="005B527B"/>
    <w:rsid w:val="005B7559"/>
    <w:rsid w:val="005C19C2"/>
    <w:rsid w:val="005C4337"/>
    <w:rsid w:val="005C7EA1"/>
    <w:rsid w:val="005D596C"/>
    <w:rsid w:val="005D6807"/>
    <w:rsid w:val="005E05CC"/>
    <w:rsid w:val="005E2087"/>
    <w:rsid w:val="005E6FA5"/>
    <w:rsid w:val="005F17EC"/>
    <w:rsid w:val="005F41D2"/>
    <w:rsid w:val="005F668B"/>
    <w:rsid w:val="005F6B28"/>
    <w:rsid w:val="005F783B"/>
    <w:rsid w:val="00602095"/>
    <w:rsid w:val="00613327"/>
    <w:rsid w:val="006214E4"/>
    <w:rsid w:val="0063302E"/>
    <w:rsid w:val="00633177"/>
    <w:rsid w:val="006331F2"/>
    <w:rsid w:val="006354CB"/>
    <w:rsid w:val="00636261"/>
    <w:rsid w:val="00636B17"/>
    <w:rsid w:val="0064191E"/>
    <w:rsid w:val="00664834"/>
    <w:rsid w:val="00672BEF"/>
    <w:rsid w:val="00673BA5"/>
    <w:rsid w:val="00676DA7"/>
    <w:rsid w:val="00684757"/>
    <w:rsid w:val="006911A1"/>
    <w:rsid w:val="00693EE6"/>
    <w:rsid w:val="00695E58"/>
    <w:rsid w:val="006A1E40"/>
    <w:rsid w:val="006A2D00"/>
    <w:rsid w:val="006A7B2B"/>
    <w:rsid w:val="006B4C67"/>
    <w:rsid w:val="006D27DD"/>
    <w:rsid w:val="006D4647"/>
    <w:rsid w:val="006D4C22"/>
    <w:rsid w:val="006E4EB5"/>
    <w:rsid w:val="006F1C55"/>
    <w:rsid w:val="006F3CEE"/>
    <w:rsid w:val="006F4E01"/>
    <w:rsid w:val="006F622C"/>
    <w:rsid w:val="00707CB2"/>
    <w:rsid w:val="00710487"/>
    <w:rsid w:val="007138FB"/>
    <w:rsid w:val="00714B3D"/>
    <w:rsid w:val="00726997"/>
    <w:rsid w:val="007277D1"/>
    <w:rsid w:val="00727EA0"/>
    <w:rsid w:val="0073105A"/>
    <w:rsid w:val="007339CE"/>
    <w:rsid w:val="00734B8E"/>
    <w:rsid w:val="00737060"/>
    <w:rsid w:val="00741288"/>
    <w:rsid w:val="0074455F"/>
    <w:rsid w:val="0075213F"/>
    <w:rsid w:val="007521F9"/>
    <w:rsid w:val="00756489"/>
    <w:rsid w:val="00756EA2"/>
    <w:rsid w:val="00757F37"/>
    <w:rsid w:val="00762E87"/>
    <w:rsid w:val="00764CF7"/>
    <w:rsid w:val="00770439"/>
    <w:rsid w:val="007723FD"/>
    <w:rsid w:val="007725F2"/>
    <w:rsid w:val="00772687"/>
    <w:rsid w:val="00774E1E"/>
    <w:rsid w:val="00777A49"/>
    <w:rsid w:val="00780252"/>
    <w:rsid w:val="00782061"/>
    <w:rsid w:val="00785C32"/>
    <w:rsid w:val="00795606"/>
    <w:rsid w:val="007B082A"/>
    <w:rsid w:val="007B1C3E"/>
    <w:rsid w:val="007C42E5"/>
    <w:rsid w:val="007C4D2C"/>
    <w:rsid w:val="007D2D94"/>
    <w:rsid w:val="007E0C02"/>
    <w:rsid w:val="007F1DE3"/>
    <w:rsid w:val="007F22E7"/>
    <w:rsid w:val="007F36A6"/>
    <w:rsid w:val="007F39C4"/>
    <w:rsid w:val="007F5A8D"/>
    <w:rsid w:val="007F7BD7"/>
    <w:rsid w:val="008056FA"/>
    <w:rsid w:val="0081122D"/>
    <w:rsid w:val="008115B6"/>
    <w:rsid w:val="00813897"/>
    <w:rsid w:val="00814461"/>
    <w:rsid w:val="00815CDE"/>
    <w:rsid w:val="00824D84"/>
    <w:rsid w:val="00825EA5"/>
    <w:rsid w:val="00832F10"/>
    <w:rsid w:val="00833555"/>
    <w:rsid w:val="008347B3"/>
    <w:rsid w:val="00835BDD"/>
    <w:rsid w:val="00837049"/>
    <w:rsid w:val="008379E2"/>
    <w:rsid w:val="008442B1"/>
    <w:rsid w:val="00852119"/>
    <w:rsid w:val="0085498E"/>
    <w:rsid w:val="0086245E"/>
    <w:rsid w:val="008651E1"/>
    <w:rsid w:val="00865DEA"/>
    <w:rsid w:val="008705EA"/>
    <w:rsid w:val="00873E87"/>
    <w:rsid w:val="00880EE6"/>
    <w:rsid w:val="00882323"/>
    <w:rsid w:val="00885549"/>
    <w:rsid w:val="008906A6"/>
    <w:rsid w:val="00893021"/>
    <w:rsid w:val="008B1F5B"/>
    <w:rsid w:val="008B23BD"/>
    <w:rsid w:val="008C2D16"/>
    <w:rsid w:val="008C3724"/>
    <w:rsid w:val="008D0A39"/>
    <w:rsid w:val="008E4638"/>
    <w:rsid w:val="008E71D2"/>
    <w:rsid w:val="008F108E"/>
    <w:rsid w:val="008F44F3"/>
    <w:rsid w:val="008F602A"/>
    <w:rsid w:val="009004F7"/>
    <w:rsid w:val="00902E3F"/>
    <w:rsid w:val="00903E98"/>
    <w:rsid w:val="00906C9B"/>
    <w:rsid w:val="00907CF9"/>
    <w:rsid w:val="009106EB"/>
    <w:rsid w:val="00910FB5"/>
    <w:rsid w:val="00911C0E"/>
    <w:rsid w:val="00912621"/>
    <w:rsid w:val="009153D7"/>
    <w:rsid w:val="00920D1F"/>
    <w:rsid w:val="00935019"/>
    <w:rsid w:val="0094213C"/>
    <w:rsid w:val="00943AFD"/>
    <w:rsid w:val="0095186C"/>
    <w:rsid w:val="009527D8"/>
    <w:rsid w:val="0097021E"/>
    <w:rsid w:val="00971C19"/>
    <w:rsid w:val="00971D35"/>
    <w:rsid w:val="00975639"/>
    <w:rsid w:val="0099296A"/>
    <w:rsid w:val="009965A5"/>
    <w:rsid w:val="009A540F"/>
    <w:rsid w:val="009A56D7"/>
    <w:rsid w:val="009A755D"/>
    <w:rsid w:val="009B15FD"/>
    <w:rsid w:val="009B2693"/>
    <w:rsid w:val="009B3C3F"/>
    <w:rsid w:val="009B4EB9"/>
    <w:rsid w:val="009B73A7"/>
    <w:rsid w:val="009C1A42"/>
    <w:rsid w:val="009C1C97"/>
    <w:rsid w:val="009C4A79"/>
    <w:rsid w:val="009D49B8"/>
    <w:rsid w:val="009D60EB"/>
    <w:rsid w:val="009D74FC"/>
    <w:rsid w:val="009E07F4"/>
    <w:rsid w:val="009E2BAA"/>
    <w:rsid w:val="009E3E0B"/>
    <w:rsid w:val="009F480F"/>
    <w:rsid w:val="009F76C6"/>
    <w:rsid w:val="00A01505"/>
    <w:rsid w:val="00A13EA4"/>
    <w:rsid w:val="00A1530B"/>
    <w:rsid w:val="00A16747"/>
    <w:rsid w:val="00A16D78"/>
    <w:rsid w:val="00A21EC2"/>
    <w:rsid w:val="00A24DC0"/>
    <w:rsid w:val="00A27322"/>
    <w:rsid w:val="00A37710"/>
    <w:rsid w:val="00A42A96"/>
    <w:rsid w:val="00A455A0"/>
    <w:rsid w:val="00A50D92"/>
    <w:rsid w:val="00A62DD4"/>
    <w:rsid w:val="00A65A66"/>
    <w:rsid w:val="00A7219D"/>
    <w:rsid w:val="00A805BC"/>
    <w:rsid w:val="00A80EA5"/>
    <w:rsid w:val="00A80F9F"/>
    <w:rsid w:val="00A81075"/>
    <w:rsid w:val="00A87550"/>
    <w:rsid w:val="00A95FA9"/>
    <w:rsid w:val="00AA5B03"/>
    <w:rsid w:val="00AA68D4"/>
    <w:rsid w:val="00AB0CDE"/>
    <w:rsid w:val="00AB373C"/>
    <w:rsid w:val="00AB5159"/>
    <w:rsid w:val="00AC2B47"/>
    <w:rsid w:val="00AC2F06"/>
    <w:rsid w:val="00AC3D9E"/>
    <w:rsid w:val="00AC446F"/>
    <w:rsid w:val="00AC6C3D"/>
    <w:rsid w:val="00AD1ADB"/>
    <w:rsid w:val="00AE17F1"/>
    <w:rsid w:val="00AE2FB9"/>
    <w:rsid w:val="00AE342F"/>
    <w:rsid w:val="00AE4F96"/>
    <w:rsid w:val="00AE6D9A"/>
    <w:rsid w:val="00AE7435"/>
    <w:rsid w:val="00AF2397"/>
    <w:rsid w:val="00AF27F9"/>
    <w:rsid w:val="00AF3D19"/>
    <w:rsid w:val="00AF4470"/>
    <w:rsid w:val="00AF557C"/>
    <w:rsid w:val="00B040BC"/>
    <w:rsid w:val="00B0441A"/>
    <w:rsid w:val="00B044FC"/>
    <w:rsid w:val="00B06458"/>
    <w:rsid w:val="00B1233A"/>
    <w:rsid w:val="00B14E2C"/>
    <w:rsid w:val="00B25119"/>
    <w:rsid w:val="00B27004"/>
    <w:rsid w:val="00B33F45"/>
    <w:rsid w:val="00B33FA5"/>
    <w:rsid w:val="00B415B8"/>
    <w:rsid w:val="00B420AC"/>
    <w:rsid w:val="00B4354A"/>
    <w:rsid w:val="00B516D6"/>
    <w:rsid w:val="00B54CC5"/>
    <w:rsid w:val="00B60E27"/>
    <w:rsid w:val="00B64D62"/>
    <w:rsid w:val="00B703CD"/>
    <w:rsid w:val="00B70CF5"/>
    <w:rsid w:val="00B83944"/>
    <w:rsid w:val="00B83AFB"/>
    <w:rsid w:val="00B92C8E"/>
    <w:rsid w:val="00B94B49"/>
    <w:rsid w:val="00B957AE"/>
    <w:rsid w:val="00BA7AF1"/>
    <w:rsid w:val="00BB03CC"/>
    <w:rsid w:val="00BB080E"/>
    <w:rsid w:val="00BB252C"/>
    <w:rsid w:val="00BB5126"/>
    <w:rsid w:val="00BB7518"/>
    <w:rsid w:val="00BC0205"/>
    <w:rsid w:val="00BC14F5"/>
    <w:rsid w:val="00BC2146"/>
    <w:rsid w:val="00BC4025"/>
    <w:rsid w:val="00BD6918"/>
    <w:rsid w:val="00BE2167"/>
    <w:rsid w:val="00BE439F"/>
    <w:rsid w:val="00BE53B4"/>
    <w:rsid w:val="00BE5584"/>
    <w:rsid w:val="00BF1111"/>
    <w:rsid w:val="00BF3886"/>
    <w:rsid w:val="00C009AF"/>
    <w:rsid w:val="00C02FCF"/>
    <w:rsid w:val="00C03D9E"/>
    <w:rsid w:val="00C17D68"/>
    <w:rsid w:val="00C2005E"/>
    <w:rsid w:val="00C205E4"/>
    <w:rsid w:val="00C2782D"/>
    <w:rsid w:val="00C3040F"/>
    <w:rsid w:val="00C31398"/>
    <w:rsid w:val="00C31708"/>
    <w:rsid w:val="00C36C15"/>
    <w:rsid w:val="00C4213A"/>
    <w:rsid w:val="00C4371A"/>
    <w:rsid w:val="00C4627A"/>
    <w:rsid w:val="00C637D1"/>
    <w:rsid w:val="00C640B8"/>
    <w:rsid w:val="00C7033B"/>
    <w:rsid w:val="00C83157"/>
    <w:rsid w:val="00C927D5"/>
    <w:rsid w:val="00C945C6"/>
    <w:rsid w:val="00CA0730"/>
    <w:rsid w:val="00CA1C04"/>
    <w:rsid w:val="00CA3808"/>
    <w:rsid w:val="00CA65DD"/>
    <w:rsid w:val="00CB0E8A"/>
    <w:rsid w:val="00CC05B9"/>
    <w:rsid w:val="00CC3F83"/>
    <w:rsid w:val="00CC57FC"/>
    <w:rsid w:val="00CC7DB0"/>
    <w:rsid w:val="00CD5F24"/>
    <w:rsid w:val="00CE0E18"/>
    <w:rsid w:val="00CE193A"/>
    <w:rsid w:val="00CE6A71"/>
    <w:rsid w:val="00CE7AB4"/>
    <w:rsid w:val="00CF38CA"/>
    <w:rsid w:val="00CF6DF0"/>
    <w:rsid w:val="00D0349F"/>
    <w:rsid w:val="00D03770"/>
    <w:rsid w:val="00D06255"/>
    <w:rsid w:val="00D15D82"/>
    <w:rsid w:val="00D1705E"/>
    <w:rsid w:val="00D2301C"/>
    <w:rsid w:val="00D25602"/>
    <w:rsid w:val="00D30BD3"/>
    <w:rsid w:val="00D33791"/>
    <w:rsid w:val="00D33BA8"/>
    <w:rsid w:val="00D363CE"/>
    <w:rsid w:val="00D364EB"/>
    <w:rsid w:val="00D40363"/>
    <w:rsid w:val="00D451BC"/>
    <w:rsid w:val="00D47B59"/>
    <w:rsid w:val="00D51E96"/>
    <w:rsid w:val="00D568BB"/>
    <w:rsid w:val="00D63255"/>
    <w:rsid w:val="00D63B9E"/>
    <w:rsid w:val="00D65023"/>
    <w:rsid w:val="00D65D90"/>
    <w:rsid w:val="00D66016"/>
    <w:rsid w:val="00D6715A"/>
    <w:rsid w:val="00D769BA"/>
    <w:rsid w:val="00D8034F"/>
    <w:rsid w:val="00D81755"/>
    <w:rsid w:val="00D85366"/>
    <w:rsid w:val="00D8617C"/>
    <w:rsid w:val="00D87D00"/>
    <w:rsid w:val="00D9195D"/>
    <w:rsid w:val="00D94E23"/>
    <w:rsid w:val="00DA1983"/>
    <w:rsid w:val="00DA2F1E"/>
    <w:rsid w:val="00DA5831"/>
    <w:rsid w:val="00DB0538"/>
    <w:rsid w:val="00DB0C11"/>
    <w:rsid w:val="00DB2873"/>
    <w:rsid w:val="00DC4482"/>
    <w:rsid w:val="00DD5028"/>
    <w:rsid w:val="00DE4955"/>
    <w:rsid w:val="00DE5371"/>
    <w:rsid w:val="00DF0A2B"/>
    <w:rsid w:val="00DF1198"/>
    <w:rsid w:val="00E11F83"/>
    <w:rsid w:val="00E12082"/>
    <w:rsid w:val="00E21589"/>
    <w:rsid w:val="00E24D9E"/>
    <w:rsid w:val="00E257C8"/>
    <w:rsid w:val="00E26581"/>
    <w:rsid w:val="00E2722E"/>
    <w:rsid w:val="00E3447D"/>
    <w:rsid w:val="00E431CE"/>
    <w:rsid w:val="00E445F8"/>
    <w:rsid w:val="00E44806"/>
    <w:rsid w:val="00E503E4"/>
    <w:rsid w:val="00E55E02"/>
    <w:rsid w:val="00E571C4"/>
    <w:rsid w:val="00E6096B"/>
    <w:rsid w:val="00E63B3D"/>
    <w:rsid w:val="00E64479"/>
    <w:rsid w:val="00E67D99"/>
    <w:rsid w:val="00E75556"/>
    <w:rsid w:val="00E76F1F"/>
    <w:rsid w:val="00E80BE2"/>
    <w:rsid w:val="00E8309D"/>
    <w:rsid w:val="00E90A9C"/>
    <w:rsid w:val="00E92BEC"/>
    <w:rsid w:val="00E95356"/>
    <w:rsid w:val="00E966E5"/>
    <w:rsid w:val="00EA132B"/>
    <w:rsid w:val="00EA3D96"/>
    <w:rsid w:val="00EA6B69"/>
    <w:rsid w:val="00EA6B7B"/>
    <w:rsid w:val="00EB1EAE"/>
    <w:rsid w:val="00EB1F78"/>
    <w:rsid w:val="00EB25E4"/>
    <w:rsid w:val="00EB3D8B"/>
    <w:rsid w:val="00ED1B77"/>
    <w:rsid w:val="00ED5511"/>
    <w:rsid w:val="00ED57D1"/>
    <w:rsid w:val="00ED7E07"/>
    <w:rsid w:val="00EE00A6"/>
    <w:rsid w:val="00EF3B7C"/>
    <w:rsid w:val="00EF3F66"/>
    <w:rsid w:val="00EF56FA"/>
    <w:rsid w:val="00EF6216"/>
    <w:rsid w:val="00EF6E42"/>
    <w:rsid w:val="00F0613C"/>
    <w:rsid w:val="00F067EF"/>
    <w:rsid w:val="00F10ED9"/>
    <w:rsid w:val="00F11244"/>
    <w:rsid w:val="00F11612"/>
    <w:rsid w:val="00F14A7B"/>
    <w:rsid w:val="00F1658B"/>
    <w:rsid w:val="00F2540D"/>
    <w:rsid w:val="00F25F53"/>
    <w:rsid w:val="00F26602"/>
    <w:rsid w:val="00F31380"/>
    <w:rsid w:val="00F333BF"/>
    <w:rsid w:val="00F34499"/>
    <w:rsid w:val="00F3498A"/>
    <w:rsid w:val="00F36F0A"/>
    <w:rsid w:val="00F406E3"/>
    <w:rsid w:val="00F40C82"/>
    <w:rsid w:val="00F44E3E"/>
    <w:rsid w:val="00F45796"/>
    <w:rsid w:val="00F5114E"/>
    <w:rsid w:val="00F53B1A"/>
    <w:rsid w:val="00F54568"/>
    <w:rsid w:val="00F57249"/>
    <w:rsid w:val="00F62DE3"/>
    <w:rsid w:val="00F73B1A"/>
    <w:rsid w:val="00F77131"/>
    <w:rsid w:val="00F85D7E"/>
    <w:rsid w:val="00F92B0F"/>
    <w:rsid w:val="00F94F30"/>
    <w:rsid w:val="00FA4C13"/>
    <w:rsid w:val="00FB2035"/>
    <w:rsid w:val="00FB345F"/>
    <w:rsid w:val="00FB4DA5"/>
    <w:rsid w:val="00FC57A1"/>
    <w:rsid w:val="00FD3820"/>
    <w:rsid w:val="00FE3337"/>
    <w:rsid w:val="00FE3C23"/>
    <w:rsid w:val="00FE6BCF"/>
    <w:rsid w:val="00FE6E6D"/>
    <w:rsid w:val="00FF0DAE"/>
    <w:rsid w:val="00FF3092"/>
    <w:rsid w:val="00FF4FEC"/>
    <w:rsid w:val="00FF6A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Char"/>
    <w:qFormat/>
    <w:rsid w:val="00CA65DD"/>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0"/>
    <w:link w:val="2Char"/>
    <w:qFormat/>
    <w:rsid w:val="009D74FC"/>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qFormat/>
    <w:rsid w:val="00DE537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5C19C2"/>
    <w:pPr>
      <w:tabs>
        <w:tab w:val="center" w:pos="4153"/>
        <w:tab w:val="right" w:pos="8306"/>
      </w:tabs>
      <w:snapToGrid w:val="0"/>
      <w:jc w:val="center"/>
    </w:pPr>
    <w:rPr>
      <w:sz w:val="18"/>
      <w:szCs w:val="18"/>
    </w:rPr>
  </w:style>
  <w:style w:type="paragraph" w:styleId="a5">
    <w:name w:val="footer"/>
    <w:basedOn w:val="a"/>
    <w:link w:val="Char0"/>
    <w:uiPriority w:val="99"/>
    <w:rsid w:val="00613327"/>
    <w:pPr>
      <w:tabs>
        <w:tab w:val="center" w:pos="4153"/>
        <w:tab w:val="right" w:pos="8306"/>
      </w:tabs>
      <w:snapToGrid w:val="0"/>
      <w:jc w:val="left"/>
    </w:pPr>
    <w:rPr>
      <w:sz w:val="18"/>
      <w:szCs w:val="18"/>
    </w:rPr>
  </w:style>
  <w:style w:type="paragraph" w:customStyle="1" w:styleId="Char1">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link w:val="Char2"/>
    <w:uiPriority w:val="99"/>
    <w:rsid w:val="004771B9"/>
    <w:rPr>
      <w:rFonts w:ascii="宋体" w:hAnsi="Courier New"/>
      <w:szCs w:val="21"/>
    </w:rPr>
  </w:style>
  <w:style w:type="paragraph" w:styleId="30">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 w:type="character" w:customStyle="1" w:styleId="Char2">
    <w:name w:val="纯文本 Char"/>
    <w:link w:val="a6"/>
    <w:uiPriority w:val="99"/>
    <w:rsid w:val="00E63B3D"/>
    <w:rPr>
      <w:rFonts w:ascii="宋体" w:hAnsi="Courier New"/>
      <w:kern w:val="2"/>
      <w:sz w:val="21"/>
      <w:szCs w:val="21"/>
    </w:rPr>
  </w:style>
  <w:style w:type="paragraph" w:styleId="a8">
    <w:name w:val="Balloon Text"/>
    <w:basedOn w:val="a"/>
    <w:link w:val="Char3"/>
    <w:rsid w:val="00E63B3D"/>
    <w:rPr>
      <w:sz w:val="18"/>
      <w:szCs w:val="18"/>
    </w:rPr>
  </w:style>
  <w:style w:type="character" w:customStyle="1" w:styleId="Char3">
    <w:name w:val="批注框文本 Char"/>
    <w:basedOn w:val="a1"/>
    <w:link w:val="a8"/>
    <w:rsid w:val="00E63B3D"/>
    <w:rPr>
      <w:kern w:val="2"/>
      <w:sz w:val="18"/>
      <w:szCs w:val="18"/>
    </w:rPr>
  </w:style>
  <w:style w:type="paragraph" w:styleId="a9">
    <w:name w:val="List Paragraph"/>
    <w:basedOn w:val="a"/>
    <w:uiPriority w:val="34"/>
    <w:qFormat/>
    <w:rsid w:val="005F668B"/>
    <w:pPr>
      <w:ind w:firstLineChars="200" w:firstLine="420"/>
    </w:pPr>
  </w:style>
  <w:style w:type="table" w:styleId="aa">
    <w:name w:val="Table Grid"/>
    <w:basedOn w:val="a2"/>
    <w:qFormat/>
    <w:rsid w:val="005A60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Char">
    <w:name w:val="页眉 Char"/>
    <w:basedOn w:val="a1"/>
    <w:link w:val="a4"/>
    <w:uiPriority w:val="99"/>
    <w:rsid w:val="005C19C2"/>
    <w:rPr>
      <w:kern w:val="2"/>
      <w:sz w:val="18"/>
      <w:szCs w:val="18"/>
    </w:rPr>
  </w:style>
  <w:style w:type="character" w:customStyle="1" w:styleId="1Char">
    <w:name w:val="标题 1 Char"/>
    <w:basedOn w:val="a1"/>
    <w:link w:val="1"/>
    <w:rsid w:val="00CA65DD"/>
    <w:rPr>
      <w:b/>
      <w:bCs/>
      <w:kern w:val="44"/>
      <w:sz w:val="44"/>
      <w:szCs w:val="44"/>
    </w:rPr>
  </w:style>
  <w:style w:type="paragraph" w:styleId="ac">
    <w:name w:val="Date"/>
    <w:basedOn w:val="a"/>
    <w:next w:val="a"/>
    <w:link w:val="Char4"/>
    <w:rsid w:val="00D66016"/>
    <w:rPr>
      <w:sz w:val="24"/>
      <w:szCs w:val="20"/>
    </w:rPr>
  </w:style>
  <w:style w:type="character" w:customStyle="1" w:styleId="Char4">
    <w:name w:val="日期 Char"/>
    <w:basedOn w:val="a1"/>
    <w:link w:val="ac"/>
    <w:rsid w:val="00D66016"/>
    <w:rPr>
      <w:kern w:val="2"/>
      <w:sz w:val="24"/>
    </w:rPr>
  </w:style>
  <w:style w:type="paragraph" w:styleId="ad">
    <w:name w:val="footnote text"/>
    <w:basedOn w:val="a"/>
    <w:link w:val="Char5"/>
    <w:rsid w:val="00D03770"/>
    <w:pPr>
      <w:snapToGrid w:val="0"/>
      <w:jc w:val="left"/>
    </w:pPr>
    <w:rPr>
      <w:sz w:val="18"/>
      <w:szCs w:val="18"/>
    </w:rPr>
  </w:style>
  <w:style w:type="character" w:customStyle="1" w:styleId="Char5">
    <w:name w:val="脚注文本 Char"/>
    <w:basedOn w:val="a1"/>
    <w:link w:val="ad"/>
    <w:rsid w:val="00D03770"/>
    <w:rPr>
      <w:kern w:val="2"/>
      <w:sz w:val="18"/>
      <w:szCs w:val="18"/>
    </w:rPr>
  </w:style>
  <w:style w:type="character" w:styleId="ae">
    <w:name w:val="footnote reference"/>
    <w:rsid w:val="00D03770"/>
    <w:rPr>
      <w:vertAlign w:val="superscript"/>
    </w:rPr>
  </w:style>
  <w:style w:type="character" w:styleId="af">
    <w:name w:val="Strong"/>
    <w:basedOn w:val="a1"/>
    <w:uiPriority w:val="22"/>
    <w:qFormat/>
    <w:rsid w:val="00582A58"/>
    <w:rPr>
      <w:b/>
      <w:bCs/>
    </w:rPr>
  </w:style>
  <w:style w:type="character" w:customStyle="1" w:styleId="Char0">
    <w:name w:val="页脚 Char"/>
    <w:basedOn w:val="a1"/>
    <w:link w:val="a5"/>
    <w:uiPriority w:val="99"/>
    <w:rsid w:val="00F73B1A"/>
    <w:rPr>
      <w:kern w:val="2"/>
      <w:sz w:val="18"/>
      <w:szCs w:val="18"/>
    </w:rPr>
  </w:style>
  <w:style w:type="character" w:customStyle="1" w:styleId="2CharCharChar">
    <w:name w:val="标题 2 Char Char Char"/>
    <w:rsid w:val="00DE5371"/>
    <w:rPr>
      <w:rFonts w:ascii="Arial" w:eastAsia="宋体" w:hAnsi="Arial"/>
      <w:b/>
      <w:kern w:val="2"/>
      <w:sz w:val="28"/>
      <w:szCs w:val="28"/>
      <w:lang w:val="en-US" w:eastAsia="zh-CN" w:bidi="ar-SA"/>
    </w:rPr>
  </w:style>
  <w:style w:type="character" w:customStyle="1" w:styleId="3Char">
    <w:name w:val="标题 3 Char"/>
    <w:basedOn w:val="a1"/>
    <w:link w:val="3"/>
    <w:rsid w:val="00DE5371"/>
    <w:rPr>
      <w:b/>
      <w:bCs/>
      <w:kern w:val="2"/>
      <w:sz w:val="32"/>
      <w:szCs w:val="32"/>
    </w:rPr>
  </w:style>
  <w:style w:type="paragraph" w:customStyle="1" w:styleId="10">
    <w:name w:val="正文_1"/>
    <w:qFormat/>
    <w:rsid w:val="006F4E01"/>
    <w:pPr>
      <w:widowControl w:val="0"/>
      <w:jc w:val="both"/>
    </w:pPr>
    <w:rPr>
      <w:kern w:val="2"/>
      <w:sz w:val="21"/>
      <w:szCs w:val="24"/>
    </w:rPr>
  </w:style>
  <w:style w:type="paragraph" w:customStyle="1" w:styleId="31">
    <w:name w:val="正文_3"/>
    <w:qFormat/>
    <w:rsid w:val="007C4D2C"/>
    <w:pPr>
      <w:widowControl w:val="0"/>
      <w:jc w:val="both"/>
    </w:pPr>
    <w:rPr>
      <w:kern w:val="2"/>
      <w:sz w:val="21"/>
      <w:szCs w:val="24"/>
    </w:rPr>
  </w:style>
  <w:style w:type="paragraph" w:customStyle="1" w:styleId="xx">
    <w:name w:val="x.x三级"/>
    <w:basedOn w:val="a"/>
    <w:link w:val="xxChar"/>
    <w:qFormat/>
    <w:rsid w:val="00CE7AB4"/>
    <w:pPr>
      <w:keepNext/>
      <w:keepLines/>
      <w:widowControl/>
      <w:spacing w:before="260" w:after="260"/>
      <w:ind w:firstLine="360"/>
      <w:jc w:val="left"/>
      <w:outlineLvl w:val="2"/>
    </w:pPr>
    <w:rPr>
      <w:rFonts w:asciiTheme="minorHAnsi" w:hAnsiTheme="minorHAnsi" w:cstheme="minorBidi"/>
      <w:b/>
      <w:bCs/>
      <w:sz w:val="24"/>
    </w:rPr>
  </w:style>
  <w:style w:type="character" w:customStyle="1" w:styleId="xxChar">
    <w:name w:val="x.x三级 Char"/>
    <w:basedOn w:val="a1"/>
    <w:link w:val="xx"/>
    <w:rsid w:val="00CE7AB4"/>
    <w:rPr>
      <w:rFonts w:asciiTheme="minorHAnsi" w:hAnsiTheme="minorHAnsi" w:cstheme="minorBidi"/>
      <w:b/>
      <w:bCs/>
      <w:kern w:val="2"/>
      <w:sz w:val="24"/>
      <w:szCs w:val="24"/>
    </w:rPr>
  </w:style>
  <w:style w:type="paragraph" w:styleId="af0">
    <w:name w:val="No Spacing"/>
    <w:basedOn w:val="a"/>
    <w:link w:val="Char6"/>
    <w:uiPriority w:val="1"/>
    <w:qFormat/>
    <w:rsid w:val="00CE7AB4"/>
    <w:pPr>
      <w:widowControl/>
      <w:jc w:val="left"/>
    </w:pPr>
    <w:rPr>
      <w:rFonts w:asciiTheme="minorHAnsi" w:eastAsiaTheme="minorEastAsia" w:hAnsiTheme="minorHAnsi" w:cstheme="minorBidi"/>
      <w:szCs w:val="21"/>
    </w:rPr>
  </w:style>
  <w:style w:type="character" w:customStyle="1" w:styleId="Char6">
    <w:name w:val="无间隔 Char"/>
    <w:basedOn w:val="a1"/>
    <w:link w:val="af0"/>
    <w:uiPriority w:val="1"/>
    <w:rsid w:val="00CE7AB4"/>
    <w:rPr>
      <w:rFonts w:asciiTheme="minorHAnsi" w:eastAsiaTheme="minorEastAsia" w:hAnsiTheme="minorHAnsi" w:cstheme="minorBidi"/>
      <w:kern w:val="2"/>
      <w:sz w:val="21"/>
      <w:szCs w:val="21"/>
    </w:rPr>
  </w:style>
  <w:style w:type="paragraph" w:customStyle="1" w:styleId="new">
    <w:name w:val="正文new"/>
    <w:basedOn w:val="a"/>
    <w:link w:val="newChar"/>
    <w:qFormat/>
    <w:rsid w:val="00CE7AB4"/>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CE7AB4"/>
    <w:rPr>
      <w:rFonts w:asciiTheme="minorEastAsia" w:eastAsiaTheme="minorEastAsia" w:hAnsiTheme="minorEastAsia" w:cstheme="minorBidi"/>
      <w:kern w:val="2"/>
      <w:sz w:val="21"/>
      <w:szCs w:val="21"/>
    </w:rPr>
  </w:style>
  <w:style w:type="paragraph" w:customStyle="1" w:styleId="new0">
    <w:name w:val="正文小标题new"/>
    <w:basedOn w:val="a"/>
    <w:link w:val="newChar0"/>
    <w:qFormat/>
    <w:rsid w:val="00CE7AB4"/>
    <w:pPr>
      <w:widowControl/>
      <w:autoSpaceDE w:val="0"/>
      <w:autoSpaceDN w:val="0"/>
      <w:adjustRightInd w:val="0"/>
      <w:spacing w:line="360" w:lineRule="auto"/>
      <w:ind w:firstLine="360"/>
      <w:jc w:val="left"/>
    </w:pPr>
    <w:rPr>
      <w:rFonts w:ascii="宋体" w:eastAsiaTheme="minorEastAsia" w:hAnsi="宋体" w:cstheme="minorBidi"/>
      <w:b/>
      <w:color w:val="000000" w:themeColor="text1"/>
      <w:szCs w:val="21"/>
    </w:rPr>
  </w:style>
  <w:style w:type="character" w:customStyle="1" w:styleId="newChar0">
    <w:name w:val="正文小标题new Char"/>
    <w:basedOn w:val="a1"/>
    <w:link w:val="new0"/>
    <w:rsid w:val="00CE7AB4"/>
    <w:rPr>
      <w:rFonts w:ascii="宋体" w:eastAsiaTheme="minorEastAsia" w:hAnsi="宋体" w:cstheme="minorBidi"/>
      <w:b/>
      <w:color w:val="000000" w:themeColor="text1"/>
      <w:kern w:val="2"/>
      <w:sz w:val="21"/>
      <w:szCs w:val="21"/>
    </w:rPr>
  </w:style>
  <w:style w:type="character" w:customStyle="1" w:styleId="2Char">
    <w:name w:val="标题 2 Char"/>
    <w:aliases w:val="2 Char,Chapter X.X. Statement Char,Header 2 Char,Level 2 Head Char,h2 Char,heading 2 Char,l2 Char,标题 2 Char Char Char1"/>
    <w:basedOn w:val="a1"/>
    <w:link w:val="2"/>
    <w:uiPriority w:val="99"/>
    <w:rsid w:val="00E6096B"/>
    <w:rPr>
      <w:rFonts w:ascii="Arial" w:hAnsi="Arial" w:cs="Arial"/>
      <w:b/>
      <w:bCs/>
      <w:kern w:val="2"/>
      <w:sz w:val="24"/>
      <w:szCs w:val="28"/>
    </w:rPr>
  </w:style>
</w:styles>
</file>

<file path=word/webSettings.xml><?xml version="1.0" encoding="utf-8"?>
<w:webSettings xmlns:r="http://schemas.openxmlformats.org/officeDocument/2006/relationships" xmlns:w="http://schemas.openxmlformats.org/wordprocessingml/2006/main">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3</Pages>
  <Words>1432</Words>
  <Characters>8167</Characters>
  <Application>Microsoft Office Word</Application>
  <DocSecurity>0</DocSecurity>
  <Lines>68</Lines>
  <Paragraphs>19</Paragraphs>
  <ScaleCrop>false</ScaleCrop>
  <Company>jysld</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xxpl</cp:lastModifiedBy>
  <cp:revision>287</cp:revision>
  <cp:lastPrinted>2009-01-22T10:11:00Z</cp:lastPrinted>
  <dcterms:created xsi:type="dcterms:W3CDTF">2012-11-21T05:49:00Z</dcterms:created>
  <dcterms:modified xsi:type="dcterms:W3CDTF">2019-10-21T03:21:00Z</dcterms:modified>
</cp:coreProperties>
</file>