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C9" w:rsidRDefault="009C34C9">
      <w:pPr>
        <w:pStyle w:val="biaogecenter"/>
        <w:rPr>
          <w:sz w:val="30"/>
          <w:szCs w:val="30"/>
        </w:rPr>
      </w:pPr>
      <w:r>
        <w:rPr>
          <w:rFonts w:hint="eastAsia"/>
          <w:b/>
          <w:bCs/>
          <w:sz w:val="30"/>
          <w:szCs w:val="30"/>
        </w:rPr>
        <w:t>东兴未来价值灵活配置混合型证券投资基金开放日常申购（赎回、转换、定期定额投资）业务公告</w:t>
      </w:r>
    </w:p>
    <w:p w:rsidR="009C34C9" w:rsidRDefault="009C34C9">
      <w:pPr>
        <w:pStyle w:val="biaogecenter"/>
        <w:rPr>
          <w:rFonts w:hint="eastAsia"/>
        </w:rPr>
      </w:pPr>
    </w:p>
    <w:p w:rsidR="009C34C9" w:rsidRDefault="009C34C9">
      <w:pPr>
        <w:pStyle w:val="biaogecenter"/>
        <w:rPr>
          <w:rFonts w:hint="eastAsia"/>
        </w:rPr>
      </w:pPr>
      <w:r>
        <w:rPr>
          <w:rFonts w:hint="eastAsia"/>
        </w:rPr>
        <w:t>送出日期：2019年10月22日</w:t>
      </w:r>
    </w:p>
    <w:p w:rsidR="009C34C9" w:rsidRDefault="009C34C9">
      <w:pPr>
        <w:pStyle w:val="dazhangjie"/>
        <w:rPr>
          <w:rFonts w:hint="eastAsia"/>
        </w:rPr>
      </w:pPr>
      <w:r>
        <w:rPr>
          <w:rFonts w:hAnsi="Calibri" w:hint="eastAsia"/>
          <w:b/>
          <w:color w:val="000000"/>
        </w:rPr>
        <w:t>1 公告基本信息</w:t>
      </w:r>
    </w:p>
    <w:p w:rsidR="009C34C9" w:rsidRDefault="009C34C9">
      <w:pPr>
        <w:widowControl/>
        <w:jc w:val="left"/>
        <w:rPr>
          <w:rFonts w:ascii="宋体" w:hAnsi="宋体" w:cs="宋体" w:hint="eastAsia"/>
          <w:kern w:val="0"/>
          <w:sz w:val="24"/>
          <w:szCs w:val="24"/>
        </w:rPr>
      </w:pPr>
    </w:p>
    <w:tbl>
      <w:tblPr>
        <w:tblW w:w="0" w:type="auto"/>
        <w:tblInd w:w="108" w:type="dxa"/>
        <w:tblLayout w:type="fixed"/>
        <w:tblLook w:val="0000"/>
      </w:tblPr>
      <w:tblGrid>
        <w:gridCol w:w="3300"/>
        <w:gridCol w:w="2475"/>
        <w:gridCol w:w="2475"/>
      </w:tblGrid>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东兴未来价值灵活配置混合型证券投资基金</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基金简称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东兴未来价值混合</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基金主代码</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004695</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基金运作方式</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契约型开放式</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基金合同生效日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2019年07月26日</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基金管理人名称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东兴证券股份有限公司</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基金托管人名称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兴业银行股份有限公司</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基金注册登记机构名称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东兴证券股份有限公司</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公告依据</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中华人民共和国证券投资基金法》、《公开募集证券投资基金信息披露管理办法》、《公开募集证券投资基金运作管理办法》以及《东兴未来价值灵活配置混合型证券投资基金基金合同》、《东兴未来价值灵活配置混合型证券投资基金招募说明书》等。</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申购起始日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rPr>
                <w:rFonts w:hint="eastAsia"/>
              </w:rPr>
            </w:pPr>
            <w:r>
              <w:rPr>
                <w:rFonts w:hint="eastAsia"/>
              </w:rPr>
              <w:t>2019-10-25</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赎回起始日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rPr>
                <w:rFonts w:hint="eastAsia"/>
              </w:rPr>
            </w:pPr>
            <w:r>
              <w:rPr>
                <w:rFonts w:hint="eastAsia"/>
              </w:rPr>
              <w:t>2019-10-25</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定期定额投资起始日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rPr>
                <w:rFonts w:hint="eastAsia"/>
              </w:rPr>
            </w:pPr>
            <w:r>
              <w:rPr>
                <w:rFonts w:hint="eastAsia"/>
              </w:rPr>
              <w:t>2019-10-25</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下属分级基金的基金简称</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东兴未来价值混合A</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东兴未来价值混合C</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下属分级基金的交易代码</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004695</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007550</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该分级基金是否开放申购、赎回（转换、定期定额投资）</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是</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是</w:t>
            </w:r>
          </w:p>
        </w:tc>
      </w:tr>
    </w:tbl>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2 日常申购、赎回（转换、定期定额投资）业务的办理时间</w:t>
      </w:r>
    </w:p>
    <w:p w:rsidR="009C34C9" w:rsidRDefault="009C34C9">
      <w:pPr>
        <w:pStyle w:val="neirong"/>
        <w:rPr>
          <w:rFonts w:hint="eastAsia"/>
        </w:rPr>
      </w:pPr>
      <w:r>
        <w:rPr>
          <w:rFonts w:hint="eastAsia"/>
        </w:rPr>
        <w:t>  东兴未来价值灵活配置混合型证券投资基金(以下简称"本基金")的投资人在开放日办理基金份额的申购、赎回、定期定额投资业务，具体办理时间为上海证券交易所、深圳证券交易所的正常交易日的交易时间，但基金管理人根据法律法规、中国证监会的要求或基金合同的规定公告暂停申购、赎回、定期定额投资业务时除外。</w:t>
      </w:r>
      <w:r>
        <w:rPr>
          <w:rFonts w:hint="eastAsia"/>
        </w:rPr>
        <w:br/>
      </w:r>
      <w:r>
        <w:rPr>
          <w:rFonts w:hint="eastAsia"/>
        </w:rPr>
        <w:lastRenderedPageBreak/>
        <w:t>  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r>
        <w:rPr>
          <w:rFonts w:hint="eastAsia"/>
        </w:rPr>
        <w:br/>
        <w:t>  基金管理人不得在基金合同约定之外的日期或者时间办理基金份额的申购、赎回、定期定额投资业务。投资人在基金合同约定之外的日期和时间提出申购、赎回、定期定额投资申请且基金份额登记机构确认接受的，其基金份额申购、赎回、定期定额申购价格为下一开放日基金份额申购、赎回、定期定额申购的价格。</w:t>
      </w:r>
    </w:p>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3 日常申购业务</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3.1 申购金额限制</w:t>
      </w:r>
    </w:p>
    <w:p w:rsidR="009C34C9" w:rsidRDefault="009C34C9">
      <w:pPr>
        <w:spacing w:line="360" w:lineRule="auto"/>
        <w:ind w:firstLineChars="200" w:firstLine="480"/>
        <w:rPr>
          <w:rFonts w:ascii="宋体" w:hAnsi="宋体" w:cs="宋体" w:hint="eastAsia"/>
          <w:kern w:val="0"/>
          <w:sz w:val="24"/>
          <w:szCs w:val="24"/>
        </w:rPr>
      </w:pPr>
      <w:r>
        <w:rPr>
          <w:rFonts w:ascii="宋体" w:hAnsi="宋体" w:cs="宋体" w:hint="eastAsia"/>
          <w:kern w:val="0"/>
          <w:sz w:val="24"/>
          <w:szCs w:val="24"/>
        </w:rPr>
        <w:t>1、投资者通过直销机构申购A类基金份额，首次单笔最低申购金额为10.00元（含申购费），追加申购最低金额为10.00元（含申购费）。投资人通过直销机构申购C类基金份额，首次单笔最低申购金额为5,000,000.00元（已持有C类基金份额的投资者可以适用首次单笔最低申购金额10.00元），追加申购最低金额为10.00元。由于各份额类别的起始申购金额不同，投资者在申购时须注意选择相应的份额类别，否则可能导致申购失败。具体业务办理请遵循各销售机构的相关规定。</w:t>
      </w:r>
    </w:p>
    <w:p w:rsidR="009C34C9" w:rsidRDefault="009C34C9">
      <w:pPr>
        <w:pStyle w:val="neirong"/>
        <w:ind w:left="0" w:firstLineChars="100" w:firstLine="240"/>
        <w:rPr>
          <w:rFonts w:hint="eastAsia"/>
        </w:rPr>
      </w:pPr>
      <w:r>
        <w:rPr>
          <w:rFonts w:hint="eastAsia"/>
        </w:rPr>
        <w:t> 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hint="eastAsia"/>
        </w:rPr>
        <w:br/>
        <w:t>  3、基金管理人可以在法律法规允许的情况下，调整上述规定申购金额和赎回份额的数量限制。基金管理人必须在调整前依照《信息披露办法》的有关规定在指定媒介上公告</w:t>
      </w:r>
      <w:r>
        <w:rPr>
          <w:rStyle w:val="a7"/>
          <w:rFonts w:ascii="Calibri" w:hAnsi="Calibri" w:cs="Times New Roman"/>
          <w:kern w:val="2"/>
        </w:rPr>
        <w:commentReference w:id="0"/>
      </w:r>
      <w:r>
        <w:rPr>
          <w:rFonts w:hint="eastAsia"/>
        </w:rPr>
        <w:t>。</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3.2 申购费率</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3.2.1 前端收费</w:t>
      </w:r>
    </w:p>
    <w:tbl>
      <w:tblPr>
        <w:tblW w:w="0" w:type="auto"/>
        <w:tblInd w:w="108" w:type="dxa"/>
        <w:tblLayout w:type="fixed"/>
        <w:tblLook w:val="0000"/>
      </w:tblPr>
      <w:tblGrid>
        <w:gridCol w:w="8594"/>
      </w:tblGrid>
      <w:tr w:rsidR="009C34C9">
        <w:tc>
          <w:tcPr>
            <w:tcW w:w="8594" w:type="dxa"/>
            <w:vAlign w:val="center"/>
          </w:tcPr>
          <w:tbl>
            <w:tblPr>
              <w:tblW w:w="0" w:type="auto"/>
              <w:tblInd w:w="108" w:type="dxa"/>
              <w:tblLayout w:type="fixed"/>
              <w:tblLook w:val="0000"/>
            </w:tblPr>
            <w:tblGrid>
              <w:gridCol w:w="3300"/>
              <w:gridCol w:w="2475"/>
              <w:gridCol w:w="2475"/>
            </w:tblGrid>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东兴未来价值混合A申购金额(M)</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申购费率</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备注</w:t>
                  </w: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M&lt;100万</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1.50%</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rPr>
                      <w:rFonts w:ascii="宋体" w:hAnsi="宋体" w:cs="宋体"/>
                      <w:kern w:val="0"/>
                      <w:sz w:val="24"/>
                      <w:szCs w:val="24"/>
                    </w:rPr>
                  </w:pP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100万≤M&lt;200万</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1.00%</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rPr>
                      <w:rFonts w:ascii="宋体" w:hAnsi="宋体" w:cs="宋体"/>
                      <w:kern w:val="0"/>
                      <w:sz w:val="24"/>
                      <w:szCs w:val="24"/>
                    </w:rPr>
                  </w:pP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lastRenderedPageBreak/>
                    <w:t>200万≤M&lt;500万</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0.50%</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rPr>
                      <w:rFonts w:ascii="宋体" w:hAnsi="宋体" w:cs="宋体"/>
                      <w:kern w:val="0"/>
                      <w:sz w:val="24"/>
                      <w:szCs w:val="24"/>
                    </w:rPr>
                  </w:pPr>
                </w:p>
              </w:tc>
            </w:tr>
            <w:tr w:rsidR="009C34C9">
              <w:tc>
                <w:tcPr>
                  <w:tcW w:w="33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500万≤M</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1000.00元/笔</w:t>
                  </w:r>
                </w:p>
              </w:tc>
              <w:tc>
                <w:tcPr>
                  <w:tcW w:w="2475" w:type="dxa"/>
                  <w:tcBorders>
                    <w:top w:val="single" w:sz="8" w:space="0" w:color="000000"/>
                    <w:left w:val="single" w:sz="8" w:space="0" w:color="000000"/>
                    <w:bottom w:val="single" w:sz="6" w:space="0" w:color="000000"/>
                    <w:right w:val="single" w:sz="8" w:space="0" w:color="000000"/>
                  </w:tcBorders>
                  <w:vAlign w:val="center"/>
                </w:tcPr>
                <w:p w:rsidR="009C34C9" w:rsidRDefault="009C34C9">
                  <w:pPr>
                    <w:rPr>
                      <w:rFonts w:ascii="宋体" w:hAnsi="宋体" w:cs="宋体"/>
                      <w:kern w:val="0"/>
                      <w:sz w:val="24"/>
                      <w:szCs w:val="24"/>
                    </w:rPr>
                  </w:pPr>
                </w:p>
              </w:tc>
            </w:tr>
          </w:tbl>
          <w:p w:rsidR="009C34C9" w:rsidRDefault="009C34C9">
            <w:pPr>
              <w:widowControl/>
              <w:jc w:val="left"/>
              <w:rPr>
                <w:rFonts w:ascii="宋体" w:hAnsi="宋体" w:cs="宋体"/>
                <w:kern w:val="0"/>
                <w:sz w:val="24"/>
                <w:szCs w:val="24"/>
              </w:rPr>
            </w:pPr>
            <w:r>
              <w:rPr>
                <w:rFonts w:ascii="宋体" w:hAnsi="宋体" w:cs="宋体" w:hint="eastAsia"/>
                <w:kern w:val="0"/>
                <w:sz w:val="24"/>
                <w:szCs w:val="24"/>
              </w:rPr>
              <w:br/>
            </w:r>
          </w:p>
        </w:tc>
      </w:tr>
    </w:tbl>
    <w:p w:rsidR="009C34C9" w:rsidRDefault="009C34C9">
      <w:pPr>
        <w:pStyle w:val="neirong"/>
        <w:rPr>
          <w:rFonts w:hint="eastAsia"/>
        </w:rPr>
      </w:pPr>
      <w:r>
        <w:rPr>
          <w:rFonts w:hint="eastAsia"/>
        </w:rPr>
        <w:lastRenderedPageBreak/>
        <w:t>  本基金C类份额不收取申购费用。</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3.2.2 后端收费</w:t>
      </w:r>
    </w:p>
    <w:tbl>
      <w:tblPr>
        <w:tblW w:w="0" w:type="auto"/>
        <w:tblInd w:w="108" w:type="dxa"/>
        <w:tblLayout w:type="fixed"/>
        <w:tblLook w:val="0000"/>
      </w:tblPr>
      <w:tblGrid>
        <w:gridCol w:w="236"/>
      </w:tblGrid>
      <w:tr w:rsidR="009C34C9">
        <w:tc>
          <w:tcPr>
            <w:tcW w:w="236" w:type="dxa"/>
            <w:vAlign w:val="center"/>
          </w:tcPr>
          <w:p w:rsidR="009C34C9" w:rsidRDefault="009C34C9">
            <w:pPr>
              <w:widowControl/>
              <w:jc w:val="left"/>
              <w:rPr>
                <w:rFonts w:ascii="宋体" w:hAnsi="宋体" w:cs="宋体"/>
                <w:kern w:val="0"/>
                <w:sz w:val="24"/>
                <w:szCs w:val="24"/>
              </w:rPr>
            </w:pPr>
          </w:p>
        </w:tc>
      </w:tr>
    </w:tbl>
    <w:p w:rsidR="009C34C9" w:rsidRDefault="009C34C9">
      <w:pPr>
        <w:pStyle w:val="neirong"/>
        <w:rPr>
          <w:rFonts w:hint="eastAsia"/>
        </w:rPr>
      </w:pPr>
      <w:r>
        <w:rPr>
          <w:rFonts w:hint="eastAsia"/>
        </w:rPr>
        <w:t>  本基金无后端收费。</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3.3 其他与申购相关的事项</w:t>
      </w:r>
    </w:p>
    <w:p w:rsidR="009C34C9" w:rsidRDefault="009C34C9">
      <w:pPr>
        <w:pStyle w:val="biaogeleft"/>
        <w:ind w:firstLine="480"/>
        <w:rPr>
          <w:rFonts w:hint="eastAsia"/>
        </w:rPr>
      </w:pPr>
      <w:r>
        <w:rPr>
          <w:rFonts w:hint="eastAsia"/>
        </w:rPr>
        <w:t>1、本基金A类基金份额的申购费用应在投资人申购基金份额时收取，不列入基金财产，主要用于本基金的市场推广、销售、注册登记等各项费用。投资人可以多次申购本基金，申购费用按单笔申购金额确定申购费率，以每笔申购申请单独计算费用。</w:t>
      </w:r>
    </w:p>
    <w:p w:rsidR="009C34C9" w:rsidRDefault="009C34C9">
      <w:pPr>
        <w:pStyle w:val="biaogeleft"/>
        <w:ind w:firstLine="480"/>
        <w:rPr>
          <w:rFonts w:hint="eastAsia"/>
        </w:rPr>
      </w:pPr>
      <w:r>
        <w:rPr>
          <w:rFonts w:hint="eastAsia"/>
        </w:rPr>
        <w:t>2、关于参与申购费率优惠活动的说明</w:t>
      </w:r>
    </w:p>
    <w:p w:rsidR="009C34C9" w:rsidRDefault="009C34C9">
      <w:pPr>
        <w:pStyle w:val="biaogeleft"/>
        <w:ind w:firstLine="480"/>
        <w:rPr>
          <w:rFonts w:hint="eastAsia"/>
        </w:rPr>
      </w:pPr>
      <w:r>
        <w:rPr>
          <w:rFonts w:hint="eastAsia"/>
        </w:rPr>
        <w:t>本基金自2019年10月25日起参与东兴证券股份有限公司（以下简称"本公司"）各分支机构、本公司基金网上交易系统及其他基金销售机构开展的基金申购费率优惠活动，上述销售机构的优惠活动详情及活动期限请查阅本公司或销售机构的相关公告或通知。</w:t>
      </w:r>
    </w:p>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4 日常赎回业务</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b/>
          <w:bCs/>
        </w:rPr>
      </w:pPr>
      <w:r>
        <w:rPr>
          <w:rFonts w:hint="eastAsia"/>
          <w:b/>
          <w:bCs/>
        </w:rPr>
        <w:t>4.1 赎回份额限制</w:t>
      </w:r>
    </w:p>
    <w:p w:rsidR="009C34C9" w:rsidRDefault="009C34C9">
      <w:pPr>
        <w:spacing w:line="360" w:lineRule="auto"/>
        <w:ind w:firstLineChars="200" w:firstLine="480"/>
        <w:rPr>
          <w:rFonts w:ascii="宋体" w:hAnsi="宋体" w:cs="宋体" w:hint="eastAsia"/>
          <w:kern w:val="0"/>
          <w:sz w:val="24"/>
          <w:szCs w:val="24"/>
        </w:rPr>
      </w:pPr>
      <w:r>
        <w:rPr>
          <w:rFonts w:ascii="宋体" w:hAnsi="宋体" w:cs="宋体" w:hint="eastAsia"/>
          <w:kern w:val="0"/>
          <w:sz w:val="24"/>
          <w:szCs w:val="24"/>
        </w:rPr>
        <w:t>1、基金份额持有人在销售机构赎回时，每次赎回申请不得低于100份基金份额。基金份额持有人赎回时或赎回后在销售机构（网点）单个交易账户保留的基金份额余额不足100份的，余额部分基金份额在赎回时需同时全部赎回。</w:t>
      </w:r>
    </w:p>
    <w:p w:rsidR="009C34C9" w:rsidRDefault="009C34C9">
      <w:pPr>
        <w:pStyle w:val="neirong"/>
        <w:ind w:left="0" w:firstLineChars="100" w:firstLine="240"/>
        <w:rPr>
          <w:rFonts w:hint="eastAsia"/>
        </w:rPr>
      </w:pPr>
      <w:r>
        <w:rPr>
          <w:rFonts w:hint="eastAsia"/>
        </w:rPr>
        <w:t> 2、基金管理人可以在法律法规允许的情况下，调整上述规定赎回份额的数量限制。基金管理人必须在调整前依照《信息披露办法》的有关规定在指定媒介上公告</w:t>
      </w:r>
      <w:r>
        <w:rPr>
          <w:rStyle w:val="a7"/>
          <w:rFonts w:ascii="Calibri" w:hAnsi="Calibri" w:cs="Times New Roman"/>
          <w:kern w:val="2"/>
        </w:rPr>
        <w:commentReference w:id="1"/>
      </w:r>
      <w:r>
        <w:rPr>
          <w:rFonts w:hint="eastAsia"/>
        </w:rPr>
        <w:t>。</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4.2 赎回费率</w:t>
      </w:r>
    </w:p>
    <w:tbl>
      <w:tblPr>
        <w:tblW w:w="0" w:type="auto"/>
        <w:tblInd w:w="108" w:type="dxa"/>
        <w:tblLayout w:type="fixed"/>
        <w:tblLook w:val="0000"/>
      </w:tblPr>
      <w:tblGrid>
        <w:gridCol w:w="3600"/>
        <w:gridCol w:w="2400"/>
      </w:tblGrid>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commentRangeStart w:id="2"/>
            <w:r>
              <w:rPr>
                <w:rFonts w:hint="eastAsia"/>
              </w:rPr>
              <w:t>东兴未来价值混合A持有期限(N)</w:t>
            </w:r>
            <w:commentRangeEnd w:id="2"/>
            <w:r>
              <w:rPr>
                <w:rStyle w:val="a7"/>
                <w:rFonts w:ascii="Calibri" w:hAnsi="Calibri" w:cs="Times New Roman"/>
                <w:kern w:val="2"/>
              </w:rPr>
              <w:commentReference w:id="2"/>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赎回费率</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N＜7天</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1.50%</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7天≤N＜30天</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1.00%</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30天≤N＜3个月</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0.75%</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3个月≤N＜6个月</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0.75%</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rPr>
                <w:rFonts w:hint="eastAsia"/>
              </w:rPr>
            </w:pPr>
            <w:r>
              <w:rPr>
                <w:rFonts w:hint="eastAsia"/>
              </w:rPr>
              <w:t>6个月≤N＜1年</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0.35%</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1年≤N</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0.00%</w:t>
            </w:r>
          </w:p>
        </w:tc>
      </w:tr>
    </w:tbl>
    <w:p w:rsidR="009C34C9" w:rsidRDefault="009C34C9">
      <w:pPr>
        <w:widowControl/>
        <w:jc w:val="left"/>
        <w:rPr>
          <w:rFonts w:ascii="宋体" w:hAnsi="宋体" w:cs="宋体" w:hint="eastAsia"/>
          <w:kern w:val="0"/>
          <w:sz w:val="24"/>
          <w:szCs w:val="24"/>
        </w:rPr>
      </w:pPr>
    </w:p>
    <w:tbl>
      <w:tblPr>
        <w:tblW w:w="0" w:type="auto"/>
        <w:tblInd w:w="108" w:type="dxa"/>
        <w:tblLayout w:type="fixed"/>
        <w:tblLook w:val="0000"/>
      </w:tblPr>
      <w:tblGrid>
        <w:gridCol w:w="3600"/>
        <w:gridCol w:w="2400"/>
      </w:tblGrid>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东兴未来价值混合C持有期限(N)</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赎回费率</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N＜7天</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1.50%</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7天≤N＜30天</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0.50%</w:t>
            </w:r>
          </w:p>
        </w:tc>
      </w:tr>
      <w:tr w:rsidR="009C34C9">
        <w:tc>
          <w:tcPr>
            <w:tcW w:w="36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30天≤N</w:t>
            </w:r>
          </w:p>
        </w:tc>
        <w:tc>
          <w:tcPr>
            <w:tcW w:w="2400" w:type="dxa"/>
            <w:tcBorders>
              <w:top w:val="single" w:sz="8" w:space="0" w:color="000000"/>
              <w:left w:val="single" w:sz="8" w:space="0" w:color="000000"/>
              <w:bottom w:val="single" w:sz="6" w:space="0" w:color="000000"/>
              <w:right w:val="single" w:sz="8" w:space="0" w:color="000000"/>
            </w:tcBorders>
            <w:vAlign w:val="center"/>
          </w:tcPr>
          <w:p w:rsidR="009C34C9" w:rsidRDefault="009C34C9">
            <w:pPr>
              <w:pStyle w:val="biaogeleft"/>
              <w:wordWrap w:val="0"/>
            </w:pPr>
            <w:r>
              <w:rPr>
                <w:rFonts w:hint="eastAsia"/>
              </w:rPr>
              <w:t>0.00%</w:t>
            </w:r>
          </w:p>
        </w:tc>
      </w:tr>
    </w:tbl>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4.3 其他与赎回相关的事项</w:t>
      </w:r>
    </w:p>
    <w:p w:rsidR="009C34C9" w:rsidRDefault="009C34C9">
      <w:pPr>
        <w:pStyle w:val="biaogeleft"/>
        <w:ind w:firstLine="480"/>
        <w:rPr>
          <w:rFonts w:hint="eastAsia"/>
        </w:rPr>
      </w:pPr>
      <w:r>
        <w:rPr>
          <w:rFonts w:hint="eastAsia"/>
        </w:rPr>
        <w:t>1、投资者可将其持有的全部或部分基金份额赎回。赎回费用由赎回基金份额的基金份额持有人承担，在基金份额持有人赎回基金份额时收取。</w:t>
      </w:r>
    </w:p>
    <w:p w:rsidR="009C34C9" w:rsidRDefault="009C34C9">
      <w:pPr>
        <w:pStyle w:val="biaogeleft"/>
        <w:ind w:firstLine="480"/>
        <w:rPr>
          <w:rFonts w:hint="eastAsia"/>
        </w:rPr>
      </w:pPr>
      <w:r>
        <w:rPr>
          <w:rFonts w:hint="eastAsia"/>
        </w:rPr>
        <w:t>2、基金管理人可以按照《基金合同》的相关规定调整申购、赎回费率或调整收费方式，基金管理人最迟应于新的费率或收费方式实施日前依照《信息披露办法》的有关规定在指定媒介上公告。</w:t>
      </w:r>
    </w:p>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5 日常转换业务</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5.1 其他与转换相关的事项</w:t>
      </w:r>
    </w:p>
    <w:p w:rsidR="009C34C9" w:rsidRDefault="009C34C9">
      <w:pPr>
        <w:pStyle w:val="neirong"/>
        <w:rPr>
          <w:rFonts w:hint="eastAsia"/>
        </w:rPr>
      </w:pPr>
      <w:r>
        <w:rPr>
          <w:rFonts w:hint="eastAsia"/>
        </w:rPr>
        <w:t>  本基金暂不开通转换业务。</w:t>
      </w:r>
    </w:p>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6 定期定额投资业务</w:t>
      </w:r>
    </w:p>
    <w:p w:rsidR="009C34C9" w:rsidRDefault="009C34C9">
      <w:pPr>
        <w:pStyle w:val="neirong"/>
        <w:rPr>
          <w:rFonts w:hint="eastAsia"/>
        </w:rPr>
      </w:pPr>
      <w:r>
        <w:rPr>
          <w:rFonts w:hint="eastAsia"/>
        </w:rPr>
        <w:t>  (1)、定期定额投资业务是指投资者可通过销售机构提交申请，约定每期扣款时间、扣款金额，由销售机构于每期约定扣款日在投资者指定资金账户内自动完成扣款，并提交基金申购申请的一种长期投资方式。 </w:t>
      </w:r>
      <w:r>
        <w:rPr>
          <w:rFonts w:hint="eastAsia"/>
        </w:rPr>
        <w:br/>
        <w:t>  (2)、除另有公告外，定期定额投资费率与申购费率相同。 </w:t>
      </w:r>
      <w:r>
        <w:rPr>
          <w:rFonts w:hint="eastAsia"/>
        </w:rPr>
        <w:br/>
        <w:t>  (3)、投资者可通过开通本基金定期定额投资业务的销售机构投资本基金，敬请广大投资者关注各销售机构开通上述业务的公告或咨询相关销售机构。</w:t>
      </w:r>
      <w:r>
        <w:rPr>
          <w:rFonts w:hint="eastAsia"/>
        </w:rPr>
        <w:br/>
        <w:t>  (4)、本基金的定投业务每期扣款金额最低为10元人民币。投资者在各销售机构办理定投业务应遵循各销售机构相关的具体规定。</w:t>
      </w:r>
      <w:r>
        <w:rPr>
          <w:rFonts w:hint="eastAsia"/>
        </w:rPr>
        <w:br/>
        <w:t>  (5)、关于参与销售机构定期定额投资费率优惠活动的说明</w:t>
      </w:r>
      <w:r>
        <w:rPr>
          <w:rFonts w:hint="eastAsia"/>
        </w:rPr>
        <w:br/>
        <w:t>  本基金自2019年10月25日起参与本公司各分支机构、本公司基金网上交易系统及其他基金销售机构开展的基金定期定额申购申购费率优惠活动，上述销售机构的优惠活动详情及活动期限请查阅本公司或销售机构的相关公告或通知。</w:t>
      </w:r>
    </w:p>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7 基金销售机构</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7.1 场外销售机构</w:t>
      </w:r>
    </w:p>
    <w:p w:rsidR="009C34C9" w:rsidRDefault="009C34C9">
      <w:pPr>
        <w:pStyle w:val="zhangjiep"/>
        <w:rPr>
          <w:rFonts w:hint="eastAsia"/>
        </w:rPr>
      </w:pPr>
      <w:r>
        <w:rPr>
          <w:rFonts w:hint="eastAsia"/>
          <w:b/>
          <w:bCs/>
        </w:rPr>
        <w:t>7.1.1 直销机构</w:t>
      </w:r>
    </w:p>
    <w:p w:rsidR="009C34C9" w:rsidRDefault="009C34C9">
      <w:pPr>
        <w:pStyle w:val="neirong"/>
        <w:rPr>
          <w:rFonts w:hint="eastAsia"/>
        </w:rPr>
      </w:pPr>
      <w:r>
        <w:rPr>
          <w:rFonts w:hint="eastAsia"/>
        </w:rPr>
        <w:t>  （1）东兴证券股份有限公司直销中心和东兴证券的分支机构</w:t>
      </w:r>
      <w:r>
        <w:rPr>
          <w:rFonts w:hint="eastAsia"/>
        </w:rPr>
        <w:br/>
        <w:t>  办公地址：北京市西城区平安里西大街28号中海国际大厦6层、北京西城区金融大街5号新盛大厦B座6层</w:t>
      </w:r>
      <w:r>
        <w:rPr>
          <w:rFonts w:hint="eastAsia"/>
        </w:rPr>
        <w:br/>
        <w:t>  联系人：陈智勇</w:t>
      </w:r>
      <w:r>
        <w:rPr>
          <w:rFonts w:hint="eastAsia"/>
        </w:rPr>
        <w:br/>
        <w:t>  直销中心电话：010-57307309 </w:t>
      </w:r>
      <w:r>
        <w:rPr>
          <w:rFonts w:hint="eastAsia"/>
        </w:rPr>
        <w:br/>
        <w:t>  传真：010-57307388 </w:t>
      </w:r>
      <w:r>
        <w:rPr>
          <w:rFonts w:hint="eastAsia"/>
        </w:rPr>
        <w:br/>
        <w:t>  公司网站：http://www.dxzq.net </w:t>
      </w:r>
      <w:r>
        <w:rPr>
          <w:rFonts w:hint="eastAsia"/>
        </w:rPr>
        <w:br/>
        <w:t>  （2）东兴证券股份有限公司网上直销系统</w:t>
      </w:r>
      <w:r>
        <w:rPr>
          <w:rFonts w:hint="eastAsia"/>
        </w:rPr>
        <w:br/>
        <w:t>  交易系统网址：https://tradefund.dxzq.net/etrading/</w:t>
      </w:r>
    </w:p>
    <w:p w:rsidR="009C34C9" w:rsidRDefault="009C34C9">
      <w:pPr>
        <w:pStyle w:val="zhangjiep"/>
        <w:rPr>
          <w:rFonts w:hint="eastAsia"/>
          <w:b/>
          <w:bCs/>
          <w:rPrChange w:id="3" w:author="戴頔" w:date="2019-10-17T13:50:00Z">
            <w:rPr>
              <w:rFonts w:hint="eastAsia"/>
            </w:rPr>
          </w:rPrChange>
        </w:rPr>
      </w:pPr>
      <w:commentRangeStart w:id="4"/>
      <w:r>
        <w:rPr>
          <w:rFonts w:hint="eastAsia"/>
          <w:b/>
          <w:bCs/>
        </w:rPr>
        <w:t>7.1.2 场外非直销机构</w:t>
      </w:r>
      <w:commentRangeEnd w:id="4"/>
      <w:r>
        <w:rPr>
          <w:rStyle w:val="a7"/>
          <w:rFonts w:hint="eastAsia"/>
          <w:b/>
          <w:bCs/>
          <w:rPrChange w:id="5" w:author="戴頔" w:date="2019-10-17T13:50:00Z">
            <w:rPr>
              <w:rStyle w:val="a7"/>
              <w:rFonts w:ascii="Calibri" w:hAnsi="Calibri" w:cs="Times New Roman"/>
              <w:kern w:val="2"/>
            </w:rPr>
          </w:rPrChange>
        </w:rPr>
        <w:commentReference w:id="4"/>
      </w:r>
    </w:p>
    <w:p w:rsidR="009C34C9" w:rsidRDefault="009C34C9">
      <w:pPr>
        <w:pStyle w:val="2"/>
      </w:pPr>
      <w:r>
        <w:rPr>
          <w:rFonts w:hint="eastAsia"/>
        </w:rPr>
        <w:t>（</w:t>
      </w:r>
      <w:r>
        <w:rPr>
          <w:rFonts w:hint="eastAsia"/>
        </w:rPr>
        <w:t>1</w:t>
      </w:r>
      <w:r>
        <w:rPr>
          <w:rFonts w:hint="eastAsia"/>
        </w:rPr>
        <w:t>）上海天天基金销售有限公司</w:t>
      </w:r>
    </w:p>
    <w:p w:rsidR="009C34C9" w:rsidRDefault="009C34C9">
      <w:pPr>
        <w:pStyle w:val="2"/>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C34C9" w:rsidRDefault="009C34C9">
      <w:pPr>
        <w:pStyle w:val="2"/>
        <w:rPr>
          <w:rFonts w:hint="eastAsia"/>
          <w:szCs w:val="22"/>
        </w:rPr>
      </w:pPr>
      <w:r>
        <w:rPr>
          <w:rFonts w:hint="eastAsia"/>
        </w:rPr>
        <w:t>公司网址：</w:t>
      </w:r>
      <w:hyperlink r:id="rId8" w:history="1">
        <w:r>
          <w:rPr>
            <w:rFonts w:hint="eastAsia"/>
            <w:szCs w:val="22"/>
          </w:rPr>
          <w:t>www.1234657.com.cn</w:t>
        </w:r>
      </w:hyperlink>
    </w:p>
    <w:p w:rsidR="009C34C9" w:rsidRDefault="009C34C9">
      <w:pPr>
        <w:pStyle w:val="2"/>
      </w:pPr>
      <w:r>
        <w:rPr>
          <w:rFonts w:hint="eastAsia"/>
        </w:rPr>
        <w:t>（</w:t>
      </w:r>
      <w:r>
        <w:rPr>
          <w:rFonts w:hint="eastAsia"/>
        </w:rPr>
        <w:t>2</w:t>
      </w:r>
      <w:r>
        <w:rPr>
          <w:rFonts w:hint="eastAsia"/>
        </w:rPr>
        <w:t>）上海好买基金销售有限公司</w:t>
      </w:r>
    </w:p>
    <w:p w:rsidR="009C34C9" w:rsidRDefault="009C34C9">
      <w:pPr>
        <w:pStyle w:val="2"/>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9C34C9" w:rsidRDefault="009C34C9">
      <w:pPr>
        <w:pStyle w:val="2"/>
        <w:rPr>
          <w:rFonts w:hint="eastAsia"/>
          <w:szCs w:val="22"/>
        </w:rPr>
      </w:pPr>
      <w:r>
        <w:rPr>
          <w:rFonts w:hint="eastAsia"/>
        </w:rPr>
        <w:t>公司网站：</w:t>
      </w:r>
      <w:hyperlink r:id="rId9" w:history="1">
        <w:r>
          <w:rPr>
            <w:rFonts w:hint="eastAsia"/>
            <w:szCs w:val="22"/>
          </w:rPr>
          <w:t>www.ehowbuy.com</w:t>
        </w:r>
      </w:hyperlink>
    </w:p>
    <w:p w:rsidR="009C34C9" w:rsidRDefault="009C34C9">
      <w:pPr>
        <w:pStyle w:val="2"/>
      </w:pPr>
      <w:r>
        <w:rPr>
          <w:rFonts w:hint="eastAsia"/>
        </w:rPr>
        <w:t>（</w:t>
      </w:r>
      <w:r>
        <w:rPr>
          <w:rFonts w:hint="eastAsia"/>
        </w:rPr>
        <w:t>3</w:t>
      </w:r>
      <w:r>
        <w:rPr>
          <w:rFonts w:hint="eastAsia"/>
        </w:rPr>
        <w:t>）大连网金基金销售有限公司</w:t>
      </w:r>
    </w:p>
    <w:p w:rsidR="009C34C9" w:rsidRDefault="009C34C9">
      <w:pPr>
        <w:pStyle w:val="2"/>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C34C9" w:rsidRDefault="009C34C9">
      <w:pPr>
        <w:pStyle w:val="2"/>
        <w:ind w:firstLineChars="0" w:firstLine="0"/>
      </w:pPr>
      <w:r>
        <w:rPr>
          <w:rFonts w:hint="eastAsia"/>
        </w:rPr>
        <w:t xml:space="preserve">        </w:t>
      </w:r>
      <w:r>
        <w:rPr>
          <w:rFonts w:hint="eastAsia"/>
        </w:rPr>
        <w:t>公司网站：</w:t>
      </w:r>
      <w:r>
        <w:rPr>
          <w:rFonts w:hint="eastAsia"/>
        </w:rPr>
        <w:t>http://www.yibaijin.com/</w:t>
      </w:r>
    </w:p>
    <w:p w:rsidR="009C34C9" w:rsidRDefault="009C34C9">
      <w:pPr>
        <w:pStyle w:val="2"/>
      </w:pPr>
      <w:r>
        <w:rPr>
          <w:rFonts w:hint="eastAsia"/>
        </w:rPr>
        <w:t>（</w:t>
      </w:r>
      <w:r>
        <w:rPr>
          <w:rFonts w:hint="eastAsia"/>
        </w:rPr>
        <w:t>4</w:t>
      </w:r>
      <w:r>
        <w:rPr>
          <w:rFonts w:hint="eastAsia"/>
        </w:rPr>
        <w:t>）北京恒天明泽基金销售有限公司</w:t>
      </w:r>
    </w:p>
    <w:p w:rsidR="009C34C9" w:rsidRDefault="009C34C9">
      <w:pPr>
        <w:pStyle w:val="2"/>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9C34C9" w:rsidRDefault="009C34C9">
      <w:pPr>
        <w:pStyle w:val="2"/>
      </w:pPr>
      <w:r>
        <w:rPr>
          <w:rFonts w:hint="eastAsia"/>
        </w:rPr>
        <w:t>公司网站：</w:t>
      </w:r>
      <w:r>
        <w:rPr>
          <w:rFonts w:hint="eastAsia"/>
        </w:rPr>
        <w:t>https://www.chtwm.com/</w:t>
      </w:r>
    </w:p>
    <w:p w:rsidR="009C34C9" w:rsidRDefault="009C34C9">
      <w:pPr>
        <w:pStyle w:val="2"/>
      </w:pPr>
      <w:r>
        <w:rPr>
          <w:rFonts w:hint="eastAsia"/>
        </w:rPr>
        <w:t>（</w:t>
      </w:r>
      <w:r>
        <w:rPr>
          <w:rFonts w:hint="eastAsia"/>
        </w:rPr>
        <w:t>5</w:t>
      </w:r>
      <w:r>
        <w:rPr>
          <w:rFonts w:hint="eastAsia"/>
        </w:rPr>
        <w:t>）北京汇成基金销售有限公司</w:t>
      </w:r>
    </w:p>
    <w:p w:rsidR="009C34C9" w:rsidRDefault="009C34C9">
      <w:pPr>
        <w:pStyle w:val="2"/>
      </w:pPr>
      <w:r>
        <w:rPr>
          <w:rFonts w:hint="eastAsia"/>
        </w:rPr>
        <w:t>注册地址：北京市海淀区中关村大街</w:t>
      </w:r>
      <w:r>
        <w:rPr>
          <w:rFonts w:hint="eastAsia"/>
        </w:rPr>
        <w:t>11</w:t>
      </w:r>
      <w:r>
        <w:rPr>
          <w:rFonts w:hint="eastAsia"/>
        </w:rPr>
        <w:t>号</w:t>
      </w:r>
      <w:r>
        <w:rPr>
          <w:rFonts w:hint="eastAsia"/>
        </w:rPr>
        <w:t>11</w:t>
      </w:r>
      <w:r>
        <w:rPr>
          <w:rFonts w:hint="eastAsia"/>
        </w:rPr>
        <w:t>层</w:t>
      </w:r>
      <w:r>
        <w:rPr>
          <w:rFonts w:hint="eastAsia"/>
        </w:rPr>
        <w:t>1108</w:t>
      </w:r>
      <w:r>
        <w:rPr>
          <w:rFonts w:hint="eastAsia"/>
        </w:rPr>
        <w:t>号</w:t>
      </w:r>
    </w:p>
    <w:p w:rsidR="009C34C9" w:rsidRDefault="009C34C9">
      <w:pPr>
        <w:pStyle w:val="2"/>
      </w:pPr>
      <w:r>
        <w:rPr>
          <w:rFonts w:hint="eastAsia"/>
        </w:rPr>
        <w:t>公司网站：</w:t>
      </w:r>
      <w:r>
        <w:rPr>
          <w:rFonts w:hint="eastAsia"/>
        </w:rPr>
        <w:t>www.fundzone.cn</w:t>
      </w:r>
    </w:p>
    <w:p w:rsidR="009C34C9" w:rsidRDefault="009C34C9">
      <w:pPr>
        <w:pStyle w:val="2"/>
      </w:pPr>
      <w:r>
        <w:rPr>
          <w:rFonts w:hint="eastAsia"/>
        </w:rPr>
        <w:t>（</w:t>
      </w:r>
      <w:r>
        <w:rPr>
          <w:rFonts w:hint="eastAsia"/>
        </w:rPr>
        <w:t>6</w:t>
      </w:r>
      <w:r>
        <w:rPr>
          <w:rFonts w:hint="eastAsia"/>
        </w:rPr>
        <w:t>）上海利得基金销售有限公司</w:t>
      </w:r>
    </w:p>
    <w:p w:rsidR="009C34C9" w:rsidRDefault="009C34C9">
      <w:pPr>
        <w:pStyle w:val="2"/>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9C34C9" w:rsidRDefault="009C34C9">
      <w:pPr>
        <w:pStyle w:val="2"/>
        <w:rPr>
          <w:rFonts w:hint="eastAsia"/>
          <w:szCs w:val="22"/>
        </w:rPr>
      </w:pPr>
      <w:r>
        <w:rPr>
          <w:rFonts w:hint="eastAsia"/>
        </w:rPr>
        <w:t>公司网站：</w:t>
      </w:r>
      <w:hyperlink r:id="rId10" w:history="1">
        <w:r>
          <w:rPr>
            <w:rFonts w:hint="eastAsia"/>
            <w:szCs w:val="22"/>
          </w:rPr>
          <w:t>www.leadbank.com.cn</w:t>
        </w:r>
      </w:hyperlink>
    </w:p>
    <w:p w:rsidR="009C34C9" w:rsidRDefault="009C34C9">
      <w:pPr>
        <w:pStyle w:val="2"/>
      </w:pPr>
      <w:r>
        <w:rPr>
          <w:rFonts w:hint="eastAsia"/>
        </w:rPr>
        <w:t>（</w:t>
      </w:r>
      <w:r>
        <w:rPr>
          <w:rFonts w:hint="eastAsia"/>
        </w:rPr>
        <w:t>7</w:t>
      </w:r>
      <w:r>
        <w:rPr>
          <w:rFonts w:hint="eastAsia"/>
        </w:rPr>
        <w:t>）上海基煜基金销售有限公司</w:t>
      </w:r>
    </w:p>
    <w:p w:rsidR="009C34C9" w:rsidRDefault="009C34C9">
      <w:pPr>
        <w:pStyle w:val="2"/>
      </w:pPr>
      <w:r>
        <w:rPr>
          <w:rFonts w:hint="eastAsia"/>
        </w:rPr>
        <w:t>注册地址：上海市崇明县长兴镇路潘园公路</w:t>
      </w:r>
      <w:r>
        <w:t>1800</w:t>
      </w:r>
      <w:r>
        <w:rPr>
          <w:rFonts w:hint="eastAsia"/>
        </w:rPr>
        <w:t>号</w:t>
      </w:r>
      <w:r>
        <w:t>2</w:t>
      </w:r>
      <w:r>
        <w:rPr>
          <w:rFonts w:hint="eastAsia"/>
        </w:rPr>
        <w:t>号楼</w:t>
      </w:r>
      <w:r>
        <w:t>6153</w:t>
      </w:r>
      <w:r>
        <w:rPr>
          <w:rFonts w:hint="eastAsia"/>
        </w:rPr>
        <w:t>室（上海泰和经济发展区）</w:t>
      </w:r>
    </w:p>
    <w:p w:rsidR="009C34C9" w:rsidRDefault="009C34C9">
      <w:pPr>
        <w:pStyle w:val="2"/>
      </w:pPr>
      <w:r>
        <w:rPr>
          <w:rFonts w:hint="eastAsia"/>
        </w:rPr>
        <w:t>公司网站：</w:t>
      </w:r>
      <w:r>
        <w:rPr>
          <w:sz w:val="21"/>
          <w:szCs w:val="24"/>
        </w:rPr>
        <w:t>www.jiyufund.com.cn</w:t>
      </w:r>
    </w:p>
    <w:p w:rsidR="009C34C9" w:rsidRDefault="009C34C9">
      <w:pPr>
        <w:pStyle w:val="2"/>
      </w:pPr>
      <w:r>
        <w:rPr>
          <w:rFonts w:hint="eastAsia"/>
        </w:rPr>
        <w:t>（</w:t>
      </w:r>
      <w:r>
        <w:rPr>
          <w:rFonts w:hint="eastAsia"/>
        </w:rPr>
        <w:t>8</w:t>
      </w:r>
      <w:r>
        <w:rPr>
          <w:rFonts w:hint="eastAsia"/>
        </w:rPr>
        <w:t>）乾道盈泰基金销售（北京）有限公司</w:t>
      </w:r>
    </w:p>
    <w:p w:rsidR="009C34C9" w:rsidRDefault="009C34C9">
      <w:pPr>
        <w:pStyle w:val="2"/>
        <w:rPr>
          <w:rFonts w:ascii="宋体" w:hAnsi="宋体"/>
          <w:szCs w:val="21"/>
        </w:rPr>
      </w:pPr>
      <w:r>
        <w:rPr>
          <w:rFonts w:ascii="宋体" w:hAnsi="宋体" w:hint="eastAsia"/>
          <w:szCs w:val="21"/>
        </w:rPr>
        <w:t>注册地址： 北京市西城区德胜门外大街13号院1号楼1302</w:t>
      </w:r>
    </w:p>
    <w:p w:rsidR="009C34C9" w:rsidRDefault="009C34C9">
      <w:pPr>
        <w:pStyle w:val="2"/>
        <w:rPr>
          <w:rFonts w:hint="eastAsia"/>
          <w:szCs w:val="22"/>
        </w:rPr>
      </w:pPr>
      <w:r>
        <w:rPr>
          <w:rFonts w:hint="eastAsia"/>
          <w:szCs w:val="22"/>
        </w:rPr>
        <w:t>公司网站：</w:t>
      </w:r>
      <w:r>
        <w:rPr>
          <w:rFonts w:hint="eastAsia"/>
          <w:szCs w:val="22"/>
        </w:rPr>
        <w:t>https://www.qiandaojr.com/</w:t>
      </w:r>
    </w:p>
    <w:p w:rsidR="009C34C9" w:rsidRDefault="009C34C9">
      <w:pPr>
        <w:pStyle w:val="2"/>
      </w:pPr>
      <w:r>
        <w:rPr>
          <w:rFonts w:hint="eastAsia"/>
        </w:rPr>
        <w:t>（</w:t>
      </w:r>
      <w:r>
        <w:rPr>
          <w:rFonts w:hint="eastAsia"/>
        </w:rPr>
        <w:t>9</w:t>
      </w:r>
      <w:r>
        <w:rPr>
          <w:rFonts w:hint="eastAsia"/>
        </w:rPr>
        <w:t>）南京苏宁基金销售有限公司</w:t>
      </w:r>
    </w:p>
    <w:p w:rsidR="009C34C9" w:rsidRDefault="009C34C9">
      <w:pPr>
        <w:pStyle w:val="2"/>
      </w:pPr>
      <w:r>
        <w:rPr>
          <w:rFonts w:hint="eastAsia"/>
        </w:rPr>
        <w:t>注册地址：南京市玄武区苏宁大道</w:t>
      </w:r>
      <w:r>
        <w:rPr>
          <w:rFonts w:hint="eastAsia"/>
        </w:rPr>
        <w:t>1-5</w:t>
      </w:r>
      <w:r>
        <w:rPr>
          <w:rFonts w:hint="eastAsia"/>
        </w:rPr>
        <w:t>号</w:t>
      </w:r>
    </w:p>
    <w:p w:rsidR="009C34C9" w:rsidRDefault="009C34C9">
      <w:pPr>
        <w:pStyle w:val="2"/>
      </w:pPr>
      <w:r>
        <w:rPr>
          <w:rFonts w:hint="eastAsia"/>
        </w:rPr>
        <w:t>公司网站：</w:t>
      </w:r>
      <w:r>
        <w:rPr>
          <w:sz w:val="21"/>
          <w:szCs w:val="24"/>
        </w:rPr>
        <w:t>www.snjijin.com/</w:t>
      </w:r>
    </w:p>
    <w:p w:rsidR="009C34C9" w:rsidRDefault="009C34C9">
      <w:pPr>
        <w:pStyle w:val="2"/>
      </w:pPr>
      <w:r>
        <w:rPr>
          <w:rFonts w:hint="eastAsia"/>
        </w:rPr>
        <w:t>（</w:t>
      </w:r>
      <w:r>
        <w:rPr>
          <w:rFonts w:hint="eastAsia"/>
        </w:rPr>
        <w:t>10</w:t>
      </w:r>
      <w:r>
        <w:rPr>
          <w:rFonts w:hint="eastAsia"/>
        </w:rPr>
        <w:t>）北京植信基金销售有限公司</w:t>
      </w:r>
    </w:p>
    <w:p w:rsidR="009C34C9" w:rsidRDefault="009C34C9">
      <w:pPr>
        <w:pStyle w:val="2"/>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9C34C9" w:rsidRDefault="009C34C9">
      <w:pPr>
        <w:pStyle w:val="2"/>
        <w:rPr>
          <w:rFonts w:hint="eastAsia"/>
          <w:szCs w:val="22"/>
        </w:rPr>
      </w:pPr>
      <w:r>
        <w:rPr>
          <w:rFonts w:hint="eastAsia"/>
        </w:rPr>
        <w:t>公司网站：</w:t>
      </w:r>
      <w:hyperlink r:id="rId11" w:history="1">
        <w:r>
          <w:rPr>
            <w:rFonts w:hint="eastAsia"/>
            <w:szCs w:val="22"/>
          </w:rPr>
          <w:t>www.zhixin-inv.com</w:t>
        </w:r>
      </w:hyperlink>
    </w:p>
    <w:p w:rsidR="009C34C9" w:rsidRDefault="009C34C9">
      <w:pPr>
        <w:pStyle w:val="2"/>
      </w:pPr>
      <w:r>
        <w:rPr>
          <w:rFonts w:hint="eastAsia"/>
          <w:szCs w:val="22"/>
        </w:rPr>
        <w:t>（</w:t>
      </w:r>
      <w:r>
        <w:rPr>
          <w:rFonts w:hint="eastAsia"/>
          <w:szCs w:val="22"/>
        </w:rPr>
        <w:t>11</w:t>
      </w:r>
      <w:r>
        <w:rPr>
          <w:rFonts w:hint="eastAsia"/>
          <w:szCs w:val="22"/>
        </w:rPr>
        <w:t>）济安财富（北京）基金销售</w:t>
      </w:r>
      <w:r>
        <w:rPr>
          <w:rFonts w:hint="eastAsia"/>
        </w:rPr>
        <w:t>有限公司</w:t>
      </w:r>
    </w:p>
    <w:p w:rsidR="009C34C9" w:rsidRDefault="009C34C9">
      <w:pPr>
        <w:pStyle w:val="2"/>
      </w:pPr>
      <w:r>
        <w:rPr>
          <w:rFonts w:hint="eastAsia"/>
        </w:rPr>
        <w:t>注册地址：北京市朝阳区太阳宫中路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9C34C9" w:rsidRDefault="009C34C9">
      <w:pPr>
        <w:pStyle w:val="2"/>
      </w:pPr>
      <w:r>
        <w:rPr>
          <w:rFonts w:hint="eastAsia"/>
        </w:rPr>
        <w:t>公司网站：</w:t>
      </w:r>
      <w:r>
        <w:t>www.</w:t>
      </w:r>
      <w:r>
        <w:rPr>
          <w:rFonts w:hint="eastAsia"/>
        </w:rPr>
        <w:t>jianfortune</w:t>
      </w:r>
      <w:r>
        <w:t>.com</w:t>
      </w:r>
    </w:p>
    <w:p w:rsidR="009C34C9" w:rsidRDefault="009C34C9">
      <w:pPr>
        <w:pStyle w:val="2"/>
      </w:pPr>
      <w:r>
        <w:rPr>
          <w:rFonts w:hint="eastAsia"/>
        </w:rPr>
        <w:t>（</w:t>
      </w:r>
      <w:r>
        <w:rPr>
          <w:rFonts w:hint="eastAsia"/>
        </w:rPr>
        <w:t>12</w:t>
      </w:r>
      <w:r>
        <w:rPr>
          <w:rFonts w:hint="eastAsia"/>
        </w:rPr>
        <w:t>）上海联泰基金销售有限公司</w:t>
      </w:r>
    </w:p>
    <w:p w:rsidR="009C34C9" w:rsidRDefault="009C34C9">
      <w:pPr>
        <w:pStyle w:val="2"/>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9C34C9" w:rsidRDefault="009C34C9">
      <w:pPr>
        <w:pStyle w:val="2"/>
      </w:pPr>
      <w:r>
        <w:rPr>
          <w:rFonts w:hint="eastAsia"/>
        </w:rPr>
        <w:t>公司网站：</w:t>
      </w:r>
      <w:r>
        <w:rPr>
          <w:sz w:val="21"/>
          <w:szCs w:val="24"/>
        </w:rPr>
        <w:t>www.</w:t>
      </w:r>
      <w:r>
        <w:rPr>
          <w:rFonts w:hint="eastAsia"/>
        </w:rPr>
        <w:t>66liantai</w:t>
      </w:r>
      <w:r>
        <w:rPr>
          <w:sz w:val="21"/>
          <w:szCs w:val="24"/>
        </w:rPr>
        <w:t>.com</w:t>
      </w:r>
    </w:p>
    <w:p w:rsidR="009C34C9" w:rsidRDefault="009C34C9">
      <w:pPr>
        <w:pStyle w:val="2"/>
      </w:pPr>
      <w:r>
        <w:rPr>
          <w:rFonts w:hint="eastAsia"/>
        </w:rPr>
        <w:t>（</w:t>
      </w:r>
      <w:r>
        <w:rPr>
          <w:rFonts w:hint="eastAsia"/>
        </w:rPr>
        <w:t>13</w:t>
      </w:r>
      <w:r>
        <w:rPr>
          <w:rFonts w:hint="eastAsia"/>
        </w:rPr>
        <w:t>）天津万家财富</w:t>
      </w:r>
      <w:r w:rsidR="00A25543">
        <w:rPr>
          <w:rFonts w:hint="eastAsia"/>
        </w:rPr>
        <w:t>基金销售</w:t>
      </w:r>
      <w:r>
        <w:rPr>
          <w:rFonts w:hint="eastAsia"/>
        </w:rPr>
        <w:t>有限公司</w:t>
      </w:r>
    </w:p>
    <w:p w:rsidR="009C34C9" w:rsidRDefault="009C34C9">
      <w:pPr>
        <w:pStyle w:val="2"/>
        <w:rPr>
          <w:szCs w:val="24"/>
        </w:rPr>
      </w:pPr>
      <w:r>
        <w:rPr>
          <w:rFonts w:hint="eastAsia"/>
        </w:rPr>
        <w:t>注册地址：天津自贸区（中心商务区）</w:t>
      </w:r>
      <w:r>
        <w:t>迎宾大道</w:t>
      </w:r>
      <w:r>
        <w:t>1988</w:t>
      </w:r>
      <w:r>
        <w:t>号滨海浙商大厦公寓</w:t>
      </w:r>
      <w:r>
        <w:t>2-2413</w:t>
      </w:r>
      <w:r>
        <w:rPr>
          <w:rFonts w:ascii="Arial" w:hAnsi="Arial" w:cs="Arial"/>
          <w:color w:val="000000"/>
          <w:szCs w:val="24"/>
        </w:rPr>
        <w:t>室</w:t>
      </w:r>
    </w:p>
    <w:p w:rsidR="009C34C9" w:rsidRDefault="009C34C9">
      <w:pPr>
        <w:pStyle w:val="2"/>
      </w:pPr>
      <w:r>
        <w:rPr>
          <w:rFonts w:hint="eastAsia"/>
        </w:rPr>
        <w:t>公司网站：</w:t>
      </w:r>
      <w:r>
        <w:rPr>
          <w:sz w:val="21"/>
          <w:szCs w:val="24"/>
        </w:rPr>
        <w:t>www.</w:t>
      </w:r>
      <w:r>
        <w:rPr>
          <w:rFonts w:hint="eastAsia"/>
        </w:rPr>
        <w:t>wanjiawealth</w:t>
      </w:r>
      <w:r>
        <w:rPr>
          <w:sz w:val="21"/>
          <w:szCs w:val="24"/>
        </w:rPr>
        <w:t>.com</w:t>
      </w:r>
    </w:p>
    <w:p w:rsidR="009C34C9" w:rsidRDefault="009C34C9">
      <w:pPr>
        <w:pStyle w:val="2"/>
      </w:pPr>
      <w:r>
        <w:rPr>
          <w:rFonts w:hint="eastAsia"/>
        </w:rPr>
        <w:t>（</w:t>
      </w:r>
      <w:r>
        <w:rPr>
          <w:rFonts w:hint="eastAsia"/>
        </w:rPr>
        <w:t>14</w:t>
      </w:r>
      <w:r>
        <w:rPr>
          <w:rFonts w:hint="eastAsia"/>
        </w:rPr>
        <w:t>）北京蛋卷基金销售有限公司</w:t>
      </w:r>
    </w:p>
    <w:p w:rsidR="009C34C9" w:rsidRDefault="009C34C9">
      <w:pPr>
        <w:pStyle w:val="2"/>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9C34C9" w:rsidRDefault="009C34C9">
      <w:pPr>
        <w:pStyle w:val="2"/>
      </w:pPr>
      <w:r>
        <w:rPr>
          <w:rFonts w:hint="eastAsia"/>
        </w:rPr>
        <w:t>公司网站：</w:t>
      </w:r>
      <w:r>
        <w:rPr>
          <w:sz w:val="21"/>
          <w:szCs w:val="24"/>
        </w:rPr>
        <w:t>www.</w:t>
      </w:r>
      <w:r>
        <w:rPr>
          <w:rFonts w:hint="eastAsia"/>
        </w:rPr>
        <w:t>danjuanapp</w:t>
      </w:r>
      <w:r>
        <w:rPr>
          <w:sz w:val="21"/>
          <w:szCs w:val="24"/>
        </w:rPr>
        <w:t>.com</w:t>
      </w:r>
    </w:p>
    <w:p w:rsidR="009C34C9" w:rsidRDefault="009C34C9">
      <w:pPr>
        <w:pStyle w:val="2"/>
      </w:pPr>
      <w:r>
        <w:rPr>
          <w:rFonts w:hint="eastAsia"/>
        </w:rPr>
        <w:t>（</w:t>
      </w:r>
      <w:r>
        <w:rPr>
          <w:rFonts w:hint="eastAsia"/>
        </w:rPr>
        <w:t>15</w:t>
      </w:r>
      <w:r>
        <w:rPr>
          <w:rFonts w:hint="eastAsia"/>
        </w:rPr>
        <w:t>）嘉实财富管理有限公司</w:t>
      </w:r>
    </w:p>
    <w:p w:rsidR="009C34C9" w:rsidRDefault="009C34C9">
      <w:pPr>
        <w:pStyle w:val="2"/>
      </w:pPr>
      <w:r>
        <w:rPr>
          <w:rFonts w:hint="eastAsia"/>
        </w:rPr>
        <w:t>注册地址：中国（上海）自由贸易试验区世纪大道</w:t>
      </w:r>
      <w:r>
        <w:rPr>
          <w:rFonts w:hint="eastAsia"/>
        </w:rPr>
        <w:t>8</w:t>
      </w:r>
      <w:r>
        <w:rPr>
          <w:rFonts w:hint="eastAsia"/>
        </w:rPr>
        <w:t>号上海国金中心办公楼二期</w:t>
      </w:r>
      <w:r>
        <w:rPr>
          <w:rFonts w:hint="eastAsia"/>
        </w:rPr>
        <w:t>53</w:t>
      </w:r>
      <w:r>
        <w:rPr>
          <w:rFonts w:hint="eastAsia"/>
        </w:rPr>
        <w:t>层</w:t>
      </w:r>
      <w:r>
        <w:rPr>
          <w:rFonts w:hint="eastAsia"/>
        </w:rPr>
        <w:t>5312-15</w:t>
      </w:r>
      <w:r>
        <w:rPr>
          <w:rFonts w:hint="eastAsia"/>
        </w:rPr>
        <w:t>单元</w:t>
      </w:r>
    </w:p>
    <w:p w:rsidR="009C34C9" w:rsidRDefault="009C34C9">
      <w:pPr>
        <w:pStyle w:val="2"/>
      </w:pPr>
      <w:r>
        <w:rPr>
          <w:rFonts w:hint="eastAsia"/>
        </w:rPr>
        <w:t>公司网站：</w:t>
      </w:r>
      <w:r>
        <w:rPr>
          <w:sz w:val="21"/>
          <w:szCs w:val="24"/>
        </w:rPr>
        <w:t>www.</w:t>
      </w:r>
      <w:r>
        <w:rPr>
          <w:rFonts w:hint="eastAsia"/>
        </w:rPr>
        <w:t>harvestwm</w:t>
      </w:r>
      <w:r>
        <w:rPr>
          <w:sz w:val="21"/>
          <w:szCs w:val="24"/>
        </w:rPr>
        <w:t>.c</w:t>
      </w:r>
      <w:r>
        <w:rPr>
          <w:rFonts w:hint="eastAsia"/>
        </w:rPr>
        <w:t>n</w:t>
      </w:r>
    </w:p>
    <w:p w:rsidR="009C34C9" w:rsidRDefault="009C34C9">
      <w:pPr>
        <w:pStyle w:val="2"/>
      </w:pPr>
      <w:r>
        <w:rPr>
          <w:rFonts w:hint="eastAsia"/>
        </w:rPr>
        <w:t>（</w:t>
      </w:r>
      <w:r>
        <w:rPr>
          <w:rFonts w:hint="eastAsia"/>
        </w:rPr>
        <w:t>16</w:t>
      </w:r>
      <w:r>
        <w:rPr>
          <w:rFonts w:hint="eastAsia"/>
        </w:rPr>
        <w:t>）深圳众禄基金销售股份有限公司</w:t>
      </w:r>
    </w:p>
    <w:p w:rsidR="009C34C9" w:rsidRDefault="009C34C9">
      <w:pPr>
        <w:pStyle w:val="2"/>
        <w:rPr>
          <w:rFonts w:ascii="宋体" w:hAnsi="宋体"/>
          <w:color w:val="202020"/>
          <w:szCs w:val="24"/>
        </w:rPr>
      </w:pPr>
      <w:r>
        <w:rPr>
          <w:rFonts w:hint="eastAsia"/>
        </w:rPr>
        <w:t>注册地址：</w:t>
      </w:r>
      <w:r>
        <w:rPr>
          <w:rFonts w:ascii="宋体" w:hAnsi="宋体" w:hint="eastAsia"/>
          <w:color w:val="202020"/>
          <w:szCs w:val="24"/>
        </w:rPr>
        <w:t>深圳市罗湖区笋岗街道梨园路物资控股置地大厦8楼801</w:t>
      </w:r>
    </w:p>
    <w:p w:rsidR="009C34C9" w:rsidRDefault="009C34C9">
      <w:pPr>
        <w:pStyle w:val="2"/>
      </w:pPr>
      <w:r>
        <w:rPr>
          <w:rFonts w:hint="eastAsia"/>
        </w:rPr>
        <w:t>公司网站：</w:t>
      </w:r>
      <w:r>
        <w:rPr>
          <w:sz w:val="21"/>
          <w:szCs w:val="24"/>
        </w:rPr>
        <w:t>www.</w:t>
      </w:r>
      <w:r>
        <w:rPr>
          <w:rFonts w:hint="eastAsia"/>
        </w:rPr>
        <w:t>zlfund</w:t>
      </w:r>
      <w:r>
        <w:rPr>
          <w:sz w:val="21"/>
          <w:szCs w:val="24"/>
        </w:rPr>
        <w:t>.c</w:t>
      </w:r>
      <w:r>
        <w:rPr>
          <w:rFonts w:hint="eastAsia"/>
        </w:rPr>
        <w:t>n</w:t>
      </w:r>
    </w:p>
    <w:p w:rsidR="009C34C9" w:rsidRDefault="009C34C9">
      <w:pPr>
        <w:pStyle w:val="2"/>
      </w:pPr>
      <w:r>
        <w:rPr>
          <w:rFonts w:hint="eastAsia"/>
        </w:rPr>
        <w:t>（</w:t>
      </w:r>
      <w:r>
        <w:rPr>
          <w:rFonts w:hint="eastAsia"/>
        </w:rPr>
        <w:t>17</w:t>
      </w:r>
      <w:r>
        <w:rPr>
          <w:rFonts w:hint="eastAsia"/>
        </w:rPr>
        <w:t>）兴业银行股份有限公司</w:t>
      </w:r>
    </w:p>
    <w:p w:rsidR="009C34C9" w:rsidRDefault="009C34C9">
      <w:pPr>
        <w:pStyle w:val="2"/>
      </w:pPr>
      <w:r>
        <w:rPr>
          <w:rFonts w:hint="eastAsia"/>
        </w:rPr>
        <w:t>注册地址：福建省福州市湖东路</w:t>
      </w:r>
      <w:r>
        <w:rPr>
          <w:rFonts w:hint="eastAsia"/>
        </w:rPr>
        <w:t>154</w:t>
      </w:r>
      <w:r>
        <w:rPr>
          <w:rFonts w:hint="eastAsia"/>
        </w:rPr>
        <w:t>号</w:t>
      </w:r>
    </w:p>
    <w:p w:rsidR="009C34C9" w:rsidRDefault="009C34C9">
      <w:pPr>
        <w:pStyle w:val="2"/>
        <w:rPr>
          <w:rFonts w:hint="eastAsia"/>
          <w:sz w:val="21"/>
          <w:szCs w:val="24"/>
        </w:rPr>
      </w:pPr>
      <w:r>
        <w:rPr>
          <w:rFonts w:hint="eastAsia"/>
        </w:rPr>
        <w:t>公司网站：</w:t>
      </w:r>
      <w:hyperlink r:id="rId12" w:history="1">
        <w:r>
          <w:rPr>
            <w:rFonts w:hint="eastAsia"/>
            <w:sz w:val="21"/>
            <w:szCs w:val="24"/>
          </w:rPr>
          <w:t>https://www.cib.com.cn</w:t>
        </w:r>
      </w:hyperlink>
    </w:p>
    <w:p w:rsidR="009C34C9" w:rsidRDefault="009C34C9">
      <w:pPr>
        <w:pStyle w:val="2"/>
        <w:rPr>
          <w:rFonts w:hint="eastAsia"/>
          <w:szCs w:val="22"/>
        </w:rPr>
      </w:pPr>
      <w:r>
        <w:rPr>
          <w:rFonts w:hint="eastAsia"/>
          <w:szCs w:val="22"/>
        </w:rPr>
        <w:t>（</w:t>
      </w:r>
      <w:r>
        <w:rPr>
          <w:rFonts w:hint="eastAsia"/>
          <w:szCs w:val="22"/>
        </w:rPr>
        <w:t>18</w:t>
      </w:r>
      <w:r>
        <w:rPr>
          <w:rFonts w:hint="eastAsia"/>
          <w:szCs w:val="22"/>
        </w:rPr>
        <w:t>）大连银行股份有限公司</w:t>
      </w:r>
    </w:p>
    <w:p w:rsidR="009C34C9" w:rsidRDefault="009C34C9">
      <w:pPr>
        <w:pStyle w:val="2"/>
        <w:rPr>
          <w:rFonts w:hint="eastAsia"/>
          <w:szCs w:val="22"/>
        </w:rPr>
      </w:pPr>
      <w:r>
        <w:rPr>
          <w:rFonts w:hint="eastAsia"/>
          <w:szCs w:val="22"/>
        </w:rPr>
        <w:t>注册地址：辽宁省大连市中山区中山路</w:t>
      </w:r>
      <w:r>
        <w:rPr>
          <w:rFonts w:hint="eastAsia"/>
          <w:szCs w:val="22"/>
        </w:rPr>
        <w:t>88</w:t>
      </w:r>
      <w:r>
        <w:rPr>
          <w:rFonts w:hint="eastAsia"/>
          <w:szCs w:val="22"/>
        </w:rPr>
        <w:t>号</w:t>
      </w:r>
    </w:p>
    <w:p w:rsidR="009C34C9" w:rsidRDefault="009C34C9">
      <w:pPr>
        <w:pStyle w:val="2"/>
        <w:rPr>
          <w:rFonts w:hint="eastAsia"/>
          <w:szCs w:val="22"/>
        </w:rPr>
      </w:pPr>
      <w:r>
        <w:rPr>
          <w:rFonts w:hint="eastAsia"/>
          <w:szCs w:val="22"/>
        </w:rPr>
        <w:t>公司网站：</w:t>
      </w:r>
      <w:hyperlink r:id="rId13" w:history="1">
        <w:r>
          <w:rPr>
            <w:rFonts w:hint="eastAsia"/>
            <w:szCs w:val="22"/>
          </w:rPr>
          <w:t>http://www.bankofdl.com</w:t>
        </w:r>
      </w:hyperlink>
    </w:p>
    <w:p w:rsidR="009C34C9" w:rsidRDefault="009C34C9">
      <w:pPr>
        <w:pStyle w:val="2"/>
        <w:rPr>
          <w:rFonts w:hint="eastAsia"/>
        </w:rPr>
      </w:pPr>
      <w:r>
        <w:rPr>
          <w:rFonts w:hint="eastAsia"/>
        </w:rPr>
        <w:t>（</w:t>
      </w:r>
      <w:r>
        <w:rPr>
          <w:rFonts w:hint="eastAsia"/>
        </w:rPr>
        <w:t>19</w:t>
      </w:r>
      <w:r>
        <w:rPr>
          <w:rFonts w:hint="eastAsia"/>
        </w:rPr>
        <w:t>）恒泰证券股份有限公司</w:t>
      </w:r>
    </w:p>
    <w:p w:rsidR="009C34C9" w:rsidRDefault="009C34C9">
      <w:pPr>
        <w:pStyle w:val="2"/>
        <w:ind w:firstLineChars="0" w:firstLine="0"/>
        <w:rPr>
          <w:rFonts w:hint="eastAsia"/>
          <w:szCs w:val="22"/>
        </w:rPr>
      </w:pPr>
      <w:r>
        <w:rPr>
          <w:rFonts w:hint="eastAsia"/>
        </w:rPr>
        <w:t xml:space="preserve">        </w:t>
      </w:r>
      <w:r>
        <w:rPr>
          <w:rFonts w:hint="eastAsia"/>
        </w:rPr>
        <w:t>注册地址：</w:t>
      </w:r>
      <w:r>
        <w:rPr>
          <w:rFonts w:hint="eastAsia"/>
          <w:szCs w:val="22"/>
        </w:rPr>
        <w:t>内蒙古呼和浩特市赛罕区敕勒川大街东方君座</w:t>
      </w:r>
      <w:r>
        <w:rPr>
          <w:rFonts w:hint="eastAsia"/>
          <w:szCs w:val="22"/>
        </w:rPr>
        <w:t>D</w:t>
      </w:r>
      <w:r>
        <w:rPr>
          <w:rFonts w:hint="eastAsia"/>
          <w:szCs w:val="22"/>
        </w:rPr>
        <w:t>座</w:t>
      </w:r>
      <w:r>
        <w:rPr>
          <w:rFonts w:hint="eastAsia"/>
          <w:szCs w:val="22"/>
        </w:rPr>
        <w:t>14-18</w:t>
      </w:r>
      <w:r>
        <w:rPr>
          <w:rFonts w:hint="eastAsia"/>
          <w:szCs w:val="22"/>
        </w:rPr>
        <w:t>楼</w:t>
      </w:r>
    </w:p>
    <w:p w:rsidR="009C34C9" w:rsidRDefault="009C34C9">
      <w:pPr>
        <w:pStyle w:val="2"/>
        <w:ind w:firstLineChars="0" w:firstLine="0"/>
        <w:rPr>
          <w:rFonts w:hint="eastAsia"/>
          <w:sz w:val="21"/>
          <w:szCs w:val="24"/>
        </w:rPr>
      </w:pPr>
      <w:r>
        <w:rPr>
          <w:rFonts w:hint="eastAsia"/>
        </w:rPr>
        <w:t xml:space="preserve">        </w:t>
      </w:r>
      <w:r>
        <w:rPr>
          <w:rFonts w:hint="eastAsia"/>
        </w:rPr>
        <w:t>公司网站：</w:t>
      </w:r>
      <w:hyperlink r:id="rId14" w:history="1">
        <w:r>
          <w:rPr>
            <w:rFonts w:hint="eastAsia"/>
            <w:sz w:val="21"/>
            <w:szCs w:val="24"/>
          </w:rPr>
          <w:t>https://www.cnht.com.cn</w:t>
        </w:r>
      </w:hyperlink>
    </w:p>
    <w:p w:rsidR="009C34C9" w:rsidRDefault="009C34C9">
      <w:pPr>
        <w:pStyle w:val="2"/>
        <w:numPr>
          <w:ilvl w:val="0"/>
          <w:numId w:val="1"/>
        </w:numPr>
        <w:ind w:firstLineChars="0"/>
        <w:rPr>
          <w:rFonts w:hint="eastAsia"/>
        </w:rPr>
      </w:pPr>
      <w:r>
        <w:rPr>
          <w:rFonts w:hint="eastAsia"/>
        </w:rPr>
        <w:t>中泰证券股份有限公司</w:t>
      </w:r>
    </w:p>
    <w:p w:rsidR="009C34C9" w:rsidRDefault="009C34C9">
      <w:pPr>
        <w:pStyle w:val="2"/>
        <w:ind w:left="480" w:firstLineChars="0" w:firstLine="0"/>
        <w:rPr>
          <w:rFonts w:hint="eastAsia"/>
          <w:szCs w:val="22"/>
        </w:rPr>
      </w:pPr>
      <w:r>
        <w:rPr>
          <w:rFonts w:hint="eastAsia"/>
        </w:rPr>
        <w:t>注册地址：</w:t>
      </w:r>
      <w:r>
        <w:rPr>
          <w:rFonts w:hint="eastAsia"/>
          <w:color w:val="000000"/>
          <w:szCs w:val="22"/>
          <w:shd w:val="clear" w:color="auto" w:fill="FAFBFC"/>
        </w:rPr>
        <w:t>山东省济南市市中区经七路</w:t>
      </w:r>
      <w:r>
        <w:rPr>
          <w:rFonts w:hint="eastAsia"/>
          <w:color w:val="000000"/>
          <w:szCs w:val="22"/>
          <w:shd w:val="clear" w:color="auto" w:fill="FAFBFC"/>
        </w:rPr>
        <w:t>86</w:t>
      </w:r>
      <w:r>
        <w:rPr>
          <w:rFonts w:hint="eastAsia"/>
          <w:color w:val="000000"/>
          <w:szCs w:val="22"/>
          <w:shd w:val="clear" w:color="auto" w:fill="FAFBFC"/>
        </w:rPr>
        <w:t>号</w:t>
      </w:r>
    </w:p>
    <w:p w:rsidR="009C34C9" w:rsidRDefault="009C34C9">
      <w:pPr>
        <w:pStyle w:val="2"/>
        <w:spacing w:before="150" w:after="150"/>
        <w:ind w:left="480" w:firstLineChars="0" w:firstLine="0"/>
        <w:rPr>
          <w:rFonts w:hint="eastAsia"/>
          <w:sz w:val="21"/>
          <w:szCs w:val="24"/>
        </w:rPr>
      </w:pPr>
      <w:r>
        <w:rPr>
          <w:rFonts w:hint="eastAsia"/>
        </w:rPr>
        <w:t>公司网站：</w:t>
      </w:r>
      <w:hyperlink r:id="rId15" w:history="1">
        <w:r>
          <w:rPr>
            <w:rFonts w:hint="eastAsia"/>
            <w:sz w:val="21"/>
            <w:szCs w:val="24"/>
          </w:rPr>
          <w:t>https://www.zts.com.cn/</w:t>
        </w:r>
      </w:hyperlink>
    </w:p>
    <w:p w:rsidR="009C34C9" w:rsidRDefault="009C34C9">
      <w:pPr>
        <w:pStyle w:val="2"/>
        <w:ind w:left="480" w:firstLineChars="0" w:firstLine="0"/>
        <w:rPr>
          <w:rFonts w:hint="eastAsia"/>
          <w:color w:val="000000"/>
          <w:szCs w:val="22"/>
          <w:shd w:val="clear" w:color="auto" w:fill="FAFBFC"/>
        </w:rPr>
      </w:pPr>
      <w:r>
        <w:rPr>
          <w:rFonts w:hint="eastAsia"/>
          <w:color w:val="000000"/>
          <w:szCs w:val="22"/>
          <w:shd w:val="clear" w:color="auto" w:fill="FAFBFC"/>
        </w:rPr>
        <w:t>（</w:t>
      </w:r>
      <w:r>
        <w:rPr>
          <w:rFonts w:hint="eastAsia"/>
          <w:color w:val="000000"/>
          <w:szCs w:val="22"/>
          <w:shd w:val="clear" w:color="auto" w:fill="FAFBFC"/>
        </w:rPr>
        <w:t>21</w:t>
      </w:r>
      <w:r>
        <w:rPr>
          <w:rFonts w:hint="eastAsia"/>
          <w:color w:val="000000"/>
          <w:szCs w:val="22"/>
          <w:shd w:val="clear" w:color="auto" w:fill="FAFBFC"/>
        </w:rPr>
        <w:t>）深圳市新兰德证券投资咨询有限公司</w:t>
      </w:r>
    </w:p>
    <w:p w:rsidR="009C34C9" w:rsidRDefault="009C34C9">
      <w:pPr>
        <w:pStyle w:val="2"/>
        <w:ind w:left="480" w:firstLineChars="0" w:firstLine="0"/>
        <w:rPr>
          <w:rFonts w:hint="eastAsia"/>
          <w:szCs w:val="22"/>
        </w:rPr>
      </w:pPr>
      <w:r>
        <w:rPr>
          <w:rFonts w:hint="eastAsia"/>
          <w:szCs w:val="22"/>
        </w:rPr>
        <w:t>注册地址：深圳市福田区福田街道民田路</w:t>
      </w:r>
      <w:r>
        <w:rPr>
          <w:rFonts w:hint="eastAsia"/>
          <w:szCs w:val="22"/>
        </w:rPr>
        <w:t>178</w:t>
      </w:r>
      <w:r>
        <w:rPr>
          <w:rFonts w:hint="eastAsia"/>
          <w:szCs w:val="22"/>
        </w:rPr>
        <w:t>号华融大厦</w:t>
      </w:r>
      <w:r>
        <w:rPr>
          <w:rFonts w:hint="eastAsia"/>
          <w:szCs w:val="22"/>
        </w:rPr>
        <w:t>27</w:t>
      </w:r>
      <w:r>
        <w:rPr>
          <w:rFonts w:hint="eastAsia"/>
          <w:szCs w:val="22"/>
        </w:rPr>
        <w:t>层</w:t>
      </w:r>
      <w:r>
        <w:rPr>
          <w:rFonts w:hint="eastAsia"/>
          <w:szCs w:val="22"/>
        </w:rPr>
        <w:t>2704</w:t>
      </w:r>
    </w:p>
    <w:p w:rsidR="009C34C9" w:rsidRDefault="009C34C9">
      <w:pPr>
        <w:pStyle w:val="2"/>
        <w:spacing w:before="150" w:after="150"/>
        <w:ind w:left="480" w:firstLineChars="0" w:firstLine="0"/>
        <w:rPr>
          <w:rFonts w:hint="eastAsia"/>
          <w:sz w:val="21"/>
          <w:szCs w:val="24"/>
        </w:rPr>
      </w:pPr>
      <w:r>
        <w:rPr>
          <w:rFonts w:hint="eastAsia"/>
          <w:szCs w:val="22"/>
        </w:rPr>
        <w:t>公司网站：</w:t>
      </w:r>
      <w:hyperlink r:id="rId16" w:history="1">
        <w:r>
          <w:rPr>
            <w:rFonts w:hint="eastAsia"/>
            <w:sz w:val="21"/>
            <w:szCs w:val="24"/>
          </w:rPr>
          <w:t>http://www.new-rand.cn/</w:t>
        </w:r>
      </w:hyperlink>
    </w:p>
    <w:p w:rsidR="009C34C9" w:rsidRDefault="009C34C9">
      <w:pPr>
        <w:pStyle w:val="2"/>
        <w:spacing w:before="150" w:after="150"/>
        <w:ind w:left="480" w:firstLineChars="0" w:firstLine="0"/>
        <w:rPr>
          <w:rFonts w:hint="eastAsia"/>
          <w:szCs w:val="22"/>
        </w:rPr>
      </w:pPr>
      <w:r>
        <w:rPr>
          <w:rFonts w:hint="eastAsia"/>
          <w:szCs w:val="22"/>
        </w:rPr>
        <w:t>（</w:t>
      </w:r>
      <w:r>
        <w:rPr>
          <w:rFonts w:hint="eastAsia"/>
          <w:szCs w:val="22"/>
        </w:rPr>
        <w:t>22</w:t>
      </w:r>
      <w:r>
        <w:rPr>
          <w:rFonts w:hint="eastAsia"/>
          <w:szCs w:val="22"/>
        </w:rPr>
        <w:t>）泰诚财富基金销售（大连）有限公司</w:t>
      </w:r>
    </w:p>
    <w:p w:rsidR="009C34C9" w:rsidRDefault="009C34C9">
      <w:pPr>
        <w:pStyle w:val="2"/>
        <w:spacing w:before="150" w:after="150"/>
        <w:ind w:left="480" w:firstLineChars="0" w:firstLine="0"/>
        <w:rPr>
          <w:rFonts w:hint="eastAsia"/>
          <w:szCs w:val="22"/>
        </w:rPr>
      </w:pPr>
      <w:r>
        <w:rPr>
          <w:rFonts w:hint="eastAsia"/>
          <w:szCs w:val="22"/>
        </w:rPr>
        <w:t>注册地址：辽宁省大连市沙河口区星海中龙园</w:t>
      </w:r>
      <w:r>
        <w:rPr>
          <w:rFonts w:hint="eastAsia"/>
          <w:szCs w:val="22"/>
        </w:rPr>
        <w:t>3</w:t>
      </w:r>
      <w:r>
        <w:rPr>
          <w:rFonts w:hint="eastAsia"/>
          <w:szCs w:val="22"/>
        </w:rPr>
        <w:t>号</w:t>
      </w:r>
    </w:p>
    <w:p w:rsidR="009C34C9" w:rsidRDefault="009C34C9">
      <w:pPr>
        <w:pStyle w:val="2"/>
        <w:spacing w:before="150" w:after="150"/>
        <w:ind w:left="480" w:firstLineChars="0" w:firstLine="0"/>
        <w:rPr>
          <w:rFonts w:hint="eastAsia"/>
          <w:sz w:val="21"/>
          <w:szCs w:val="24"/>
        </w:rPr>
      </w:pPr>
      <w:r>
        <w:rPr>
          <w:rFonts w:hint="eastAsia"/>
          <w:szCs w:val="22"/>
        </w:rPr>
        <w:t>公司网站：</w:t>
      </w:r>
      <w:r>
        <w:rPr>
          <w:rFonts w:hint="eastAsia"/>
          <w:sz w:val="21"/>
          <w:szCs w:val="24"/>
        </w:rPr>
        <w:t>http://www.taichengcaifu.com/</w:t>
      </w:r>
    </w:p>
    <w:p w:rsidR="009C34C9" w:rsidRDefault="009C34C9">
      <w:pPr>
        <w:spacing w:line="360" w:lineRule="auto"/>
        <w:ind w:firstLineChars="200" w:firstLine="480"/>
        <w:rPr>
          <w:sz w:val="24"/>
        </w:rPr>
      </w:pPr>
      <w:r>
        <w:rPr>
          <w:rFonts w:hint="eastAsia"/>
          <w:sz w:val="24"/>
        </w:rPr>
        <w:t>基金管理人可根据有关法律法规的要求，选择其他符合要求的机构代理销售基金，并及时公告。</w:t>
      </w:r>
    </w:p>
    <w:p w:rsidR="009C34C9" w:rsidRDefault="009C34C9">
      <w:pPr>
        <w:widowControl/>
        <w:jc w:val="left"/>
        <w:rPr>
          <w:rFonts w:ascii="宋体" w:hAnsi="宋体" w:cs="宋体" w:hint="eastAsia"/>
          <w:kern w:val="0"/>
          <w:sz w:val="24"/>
          <w:szCs w:val="24"/>
        </w:rPr>
      </w:pPr>
    </w:p>
    <w:p w:rsidR="009C34C9" w:rsidRDefault="009C34C9">
      <w:pPr>
        <w:pStyle w:val="zhangjiep"/>
        <w:rPr>
          <w:rFonts w:hint="eastAsia"/>
        </w:rPr>
      </w:pPr>
      <w:r>
        <w:rPr>
          <w:rFonts w:hint="eastAsia"/>
          <w:b/>
          <w:bCs/>
        </w:rPr>
        <w:t>7.2 场内销售机构</w:t>
      </w:r>
    </w:p>
    <w:p w:rsidR="009C34C9" w:rsidRDefault="009C34C9">
      <w:pPr>
        <w:pStyle w:val="neirong"/>
        <w:rPr>
          <w:rFonts w:hint="eastAsia"/>
        </w:rPr>
      </w:pPr>
      <w:r>
        <w:rPr>
          <w:rFonts w:hint="eastAsia"/>
        </w:rPr>
        <w:t>  本基金暂未开通场内销售方式。</w:t>
      </w:r>
    </w:p>
    <w:p w:rsidR="009C34C9" w:rsidRDefault="009C34C9">
      <w:pPr>
        <w:pStyle w:val="dazhangjie"/>
        <w:rPr>
          <w:rFonts w:hint="eastAsia"/>
        </w:rPr>
      </w:pPr>
      <w:r>
        <w:rPr>
          <w:rFonts w:hint="eastAsia"/>
          <w:b/>
          <w:bCs/>
        </w:rPr>
        <w:t>8 基金份额净值公告/基金收益公告的披露安排</w:t>
      </w:r>
    </w:p>
    <w:p w:rsidR="009C34C9" w:rsidRDefault="009C34C9">
      <w:pPr>
        <w:pStyle w:val="neirong"/>
        <w:rPr>
          <w:rFonts w:hint="eastAsia"/>
        </w:rPr>
      </w:pPr>
      <w:r>
        <w:rPr>
          <w:rFonts w:hint="eastAsia"/>
        </w:rPr>
        <w:t>  自2019年10月25日起，基金管理人在T+1日（T日为开放日）通过指定</w:t>
      </w:r>
      <w:commentRangeStart w:id="6"/>
      <w:r>
        <w:rPr>
          <w:rFonts w:hint="eastAsia"/>
        </w:rPr>
        <w:t>网站、基金销售机构网站或者营业网点</w:t>
      </w:r>
      <w:commentRangeEnd w:id="6"/>
      <w:r>
        <w:rPr>
          <w:rStyle w:val="a7"/>
          <w:rFonts w:ascii="Calibri" w:hAnsi="Calibri" w:cs="Times New Roman"/>
          <w:kern w:val="2"/>
        </w:rPr>
        <w:commentReference w:id="6"/>
      </w:r>
      <w:r>
        <w:rPr>
          <w:rFonts w:hint="eastAsia"/>
        </w:rPr>
        <w:t>披露T日的基金份额净值和基金份额累计净值。</w:t>
      </w:r>
    </w:p>
    <w:p w:rsidR="009C34C9" w:rsidRDefault="009C34C9">
      <w:pPr>
        <w:widowControl/>
        <w:jc w:val="left"/>
        <w:rPr>
          <w:rFonts w:ascii="宋体" w:hAnsi="宋体" w:cs="宋体" w:hint="eastAsia"/>
          <w:kern w:val="0"/>
          <w:sz w:val="24"/>
          <w:szCs w:val="24"/>
        </w:rPr>
      </w:pPr>
    </w:p>
    <w:p w:rsidR="009C34C9" w:rsidRDefault="009C34C9">
      <w:pPr>
        <w:pStyle w:val="dazhangjie"/>
        <w:rPr>
          <w:rFonts w:hint="eastAsia"/>
        </w:rPr>
      </w:pPr>
      <w:r>
        <w:rPr>
          <w:rFonts w:hint="eastAsia"/>
          <w:b/>
          <w:bCs/>
        </w:rPr>
        <w:t>9 其他需要提示的事项</w:t>
      </w:r>
    </w:p>
    <w:p w:rsidR="009C34C9" w:rsidRDefault="009C34C9">
      <w:pPr>
        <w:pStyle w:val="neirong"/>
        <w:rPr>
          <w:rFonts w:hint="eastAsia"/>
        </w:rPr>
      </w:pPr>
      <w:r>
        <w:rPr>
          <w:rFonts w:hint="eastAsia"/>
        </w:rPr>
        <w:t>  （1）本公告仅对本基金开放日常申购、赎回等业务的有关事项予以说明。投资者欲了解本基金的详细情况，请登录本公司基金业务网站（http://www.fund.dxzq.net）查询《东兴未来价值灵活配置混合型证券投资基金基金合同》和《东兴未来价值灵活配置混合型证券投资基金招募说明书》。</w:t>
      </w:r>
      <w:r>
        <w:rPr>
          <w:rFonts w:hint="eastAsia"/>
        </w:rPr>
        <w:br/>
        <w:t>  （2）如有任何疑问，请与本基金各场外非直销机构或本基金管理人联系。</w:t>
      </w:r>
      <w:r>
        <w:rPr>
          <w:rFonts w:hint="eastAsia"/>
        </w:rPr>
        <w:br/>
        <w:t>  （3）本基金管理人客户服务中心电话：95309。</w:t>
      </w:r>
      <w:r>
        <w:rPr>
          <w:rFonts w:hint="eastAsia"/>
        </w:rPr>
        <w:br/>
        <w:t>  （4）本基金管理人可以在法律法规和本基金合同规定范围内调整有关业务规则。</w:t>
      </w:r>
      <w:r>
        <w:rPr>
          <w:rFonts w:hint="eastAsia"/>
        </w:rPr>
        <w:br/>
        <w:t>  （5）风险提示：本基金管理人承诺以诚实信用、勤勉尽责的原则管理和运用基金资产，但不保证基金一定盈利，也不保证最低收益。基金的过往业绩不代表未来表现，敬请投资者注意投资风险。投资者投资本基金前应认真阅读基金的基金合同和招募说明书。</w:t>
      </w:r>
      <w:r>
        <w:rPr>
          <w:rFonts w:hint="eastAsia"/>
        </w:rPr>
        <w:br/>
        <w:t>  特此公告。</w:t>
      </w:r>
    </w:p>
    <w:p w:rsidR="009C34C9" w:rsidRDefault="009C34C9">
      <w:pPr>
        <w:widowControl/>
        <w:jc w:val="left"/>
        <w:rPr>
          <w:rFonts w:ascii="宋体" w:hAnsi="宋体" w:cs="宋体" w:hint="eastAsia"/>
          <w:kern w:val="0"/>
          <w:sz w:val="24"/>
          <w:szCs w:val="24"/>
        </w:rPr>
      </w:pPr>
    </w:p>
    <w:p w:rsidR="009C34C9" w:rsidRDefault="009C34C9">
      <w:pPr>
        <w:pStyle w:val="biaogeright"/>
        <w:rPr>
          <w:rFonts w:hint="eastAsia"/>
        </w:rPr>
      </w:pPr>
      <w:r>
        <w:rPr>
          <w:rFonts w:hAnsi="Calibri" w:hint="eastAsia"/>
          <w:color w:val="000000"/>
        </w:rPr>
        <w:t>东兴证券股份有限公司</w:t>
      </w:r>
    </w:p>
    <w:p w:rsidR="009C34C9" w:rsidRDefault="009C34C9">
      <w:pPr>
        <w:pStyle w:val="biaogeright"/>
        <w:rPr>
          <w:rFonts w:hint="eastAsia"/>
        </w:rPr>
      </w:pPr>
      <w:r>
        <w:rPr>
          <w:rFonts w:hAnsi="Calibri" w:hint="eastAsia"/>
          <w:color w:val="000000"/>
        </w:rPr>
        <w:t>2019年10月22日</w:t>
      </w:r>
    </w:p>
    <w:sectPr w:rsidR="009C34C9">
      <w:pgSz w:w="11926" w:h="15840"/>
      <w:pgMar w:top="1418" w:right="1418" w:bottom="853" w:left="1418" w:header="851" w:footer="992" w:gutter="0"/>
      <w:cols w:space="720"/>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张萌" w:date="2019-10-16T09:33:00Z" w:initials="1">
    <w:p w:rsidR="009C34C9" w:rsidRDefault="009C34C9">
      <w:pPr>
        <w:pStyle w:val="a4"/>
      </w:pPr>
      <w:r>
        <w:rPr>
          <w:rFonts w:hint="eastAsia"/>
        </w:rPr>
        <w:t>按照新规调整。</w:t>
      </w:r>
    </w:p>
  </w:comment>
  <w:comment w:id="1" w:author="张萌" w:date="2019-10-16T09:38:00Z" w:initials="1">
    <w:p w:rsidR="009C34C9" w:rsidRDefault="009C34C9">
      <w:pPr>
        <w:pStyle w:val="a4"/>
      </w:pPr>
      <w:r>
        <w:rPr>
          <w:rFonts w:hint="eastAsia"/>
        </w:rPr>
        <w:t>同上。</w:t>
      </w:r>
    </w:p>
  </w:comment>
  <w:comment w:id="2" w:author="张萌" w:date="2019-10-16T09:44:00Z" w:initials="1">
    <w:p w:rsidR="009C34C9" w:rsidRDefault="009C34C9">
      <w:pPr>
        <w:pStyle w:val="a4"/>
      </w:pPr>
      <w:r>
        <w:rPr>
          <w:rFonts w:hint="eastAsia"/>
        </w:rPr>
        <w:t>建议再对照招募说明书，严格对照。</w:t>
      </w:r>
    </w:p>
  </w:comment>
  <w:comment w:id="4" w:author="张萌" w:date="2019-10-16T09:48:00Z" w:initials="1">
    <w:p w:rsidR="009C34C9" w:rsidRDefault="009C34C9">
      <w:pPr>
        <w:pStyle w:val="a4"/>
      </w:pPr>
      <w:r>
        <w:rPr>
          <w:rFonts w:hint="eastAsia"/>
        </w:rPr>
        <w:t>？</w:t>
      </w:r>
    </w:p>
  </w:comment>
  <w:comment w:id="6" w:author="张萌" w:date="2019-10-16T09:51:00Z" w:initials="1">
    <w:p w:rsidR="009C34C9" w:rsidRDefault="009C34C9">
      <w:pPr>
        <w:pStyle w:val="a4"/>
      </w:pPr>
      <w:r>
        <w:rPr>
          <w:rFonts w:hint="eastAsia"/>
        </w:rPr>
        <w:t>按照新规修订。</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C9" w:rsidRDefault="009C34C9" w:rsidP="00A25543">
      <w:r>
        <w:separator/>
      </w:r>
    </w:p>
  </w:endnote>
  <w:endnote w:type="continuationSeparator" w:id="1">
    <w:p w:rsidR="009C34C9" w:rsidRDefault="009C34C9" w:rsidP="00A25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C9" w:rsidRDefault="009C34C9" w:rsidP="00A25543">
      <w:r>
        <w:separator/>
      </w:r>
    </w:p>
  </w:footnote>
  <w:footnote w:type="continuationSeparator" w:id="1">
    <w:p w:rsidR="009C34C9" w:rsidRDefault="009C34C9" w:rsidP="00A25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AE1D4"/>
    <w:multiLevelType w:val="singleLevel"/>
    <w:tmpl w:val="BE6AE1D4"/>
    <w:lvl w:ilvl="0">
      <w:start w:val="20"/>
      <w:numFmt w:val="decimal"/>
      <w:suff w:val="nothing"/>
      <w:lvlText w:val="（%1）"/>
      <w:lvlJc w:val="left"/>
      <w:pPr>
        <w:ind w:left="48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compressPunctuation"/>
  <w:hdrShapeDefaults>
    <o:shapedefaults v:ext="edit" spidmax="5122"/>
  </w:hdrShapeDefault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2798"/>
    <w:rsid w:val="000B1EEC"/>
    <w:rsid w:val="00105BD4"/>
    <w:rsid w:val="00244B75"/>
    <w:rsid w:val="00265DB0"/>
    <w:rsid w:val="002931E6"/>
    <w:rsid w:val="00484A95"/>
    <w:rsid w:val="005F4601"/>
    <w:rsid w:val="00650646"/>
    <w:rsid w:val="00652653"/>
    <w:rsid w:val="006C0B4C"/>
    <w:rsid w:val="0076064A"/>
    <w:rsid w:val="0077651A"/>
    <w:rsid w:val="00855201"/>
    <w:rsid w:val="008C5EA0"/>
    <w:rsid w:val="008E2798"/>
    <w:rsid w:val="00931190"/>
    <w:rsid w:val="009C34C9"/>
    <w:rsid w:val="00A25543"/>
    <w:rsid w:val="00AB430A"/>
    <w:rsid w:val="00AC0F4E"/>
    <w:rsid w:val="00AF5F55"/>
    <w:rsid w:val="00B9696E"/>
    <w:rsid w:val="00C7168A"/>
    <w:rsid w:val="00D5379F"/>
    <w:rsid w:val="00DC7230"/>
    <w:rsid w:val="00DD42FA"/>
    <w:rsid w:val="1FC811B3"/>
    <w:rsid w:val="3C745263"/>
    <w:rsid w:val="47501AF7"/>
    <w:rsid w:val="6C5B1E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lsdException w:name="HTML Cite"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uiPriority w:val="9"/>
    <w:qFormat/>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con">
    <w:name w:val="c-icon"/>
    <w:basedOn w:val="a0"/>
  </w:style>
  <w:style w:type="character" w:customStyle="1" w:styleId="Char">
    <w:name w:val="批注框文本 Char"/>
    <w:basedOn w:val="a0"/>
    <w:link w:val="a3"/>
    <w:uiPriority w:val="99"/>
    <w:semiHidden/>
    <w:rPr>
      <w:kern w:val="2"/>
      <w:sz w:val="18"/>
      <w:szCs w:val="18"/>
    </w:rPr>
  </w:style>
  <w:style w:type="character" w:customStyle="1" w:styleId="Char0">
    <w:name w:val="批注文字 Char"/>
    <w:basedOn w:val="a0"/>
    <w:link w:val="a4"/>
    <w:uiPriority w:val="99"/>
    <w:semiHidden/>
    <w:rPr>
      <w:kern w:val="2"/>
      <w:sz w:val="21"/>
      <w:szCs w:val="22"/>
    </w:rPr>
  </w:style>
  <w:style w:type="character" w:styleId="a5">
    <w:name w:val="Emphasis"/>
    <w:basedOn w:val="a0"/>
    <w:uiPriority w:val="20"/>
    <w:qFormat/>
    <w:rPr>
      <w:i w:val="0"/>
      <w:color w:val="CC0000"/>
    </w:rPr>
  </w:style>
  <w:style w:type="character" w:styleId="a6">
    <w:name w:val="Hyperlink"/>
    <w:uiPriority w:val="99"/>
    <w:qFormat/>
    <w:rPr>
      <w:rFonts w:cs="Times New Roman"/>
      <w:color w:val="0000FF"/>
      <w:u w:val="single"/>
    </w:rPr>
  </w:style>
  <w:style w:type="character" w:styleId="a7">
    <w:name w:val="annotation reference"/>
    <w:basedOn w:val="a0"/>
    <w:uiPriority w:val="99"/>
    <w:unhideWhenUsed/>
    <w:rPr>
      <w:sz w:val="21"/>
      <w:szCs w:val="21"/>
    </w:rPr>
  </w:style>
  <w:style w:type="character" w:styleId="HTML">
    <w:name w:val="HTML Cite"/>
    <w:basedOn w:val="a0"/>
    <w:uiPriority w:val="99"/>
    <w:unhideWhenUsed/>
    <w:rPr>
      <w:i w:val="0"/>
      <w:color w:val="008000"/>
    </w:rPr>
  </w:style>
  <w:style w:type="character" w:customStyle="1" w:styleId="Char1">
    <w:name w:val="批注主题 Char"/>
    <w:basedOn w:val="Char0"/>
    <w:link w:val="a8"/>
    <w:uiPriority w:val="99"/>
    <w:semiHidden/>
    <w:rPr>
      <w:b/>
      <w:bCs/>
    </w:rPr>
  </w:style>
  <w:style w:type="character" w:customStyle="1" w:styleId="Char2">
    <w:name w:val="页脚 Char"/>
    <w:link w:val="a9"/>
    <w:uiPriority w:val="99"/>
    <w:semiHidden/>
    <w:locked/>
    <w:rPr>
      <w:rFonts w:ascii="Times New Roman" w:hAnsi="Times New Roman" w:cs="Times New Roman" w:hint="default"/>
      <w:sz w:val="18"/>
      <w:szCs w:val="18"/>
    </w:rPr>
  </w:style>
  <w:style w:type="character" w:customStyle="1" w:styleId="Char3">
    <w:name w:val="页眉 Char"/>
    <w:link w:val="aa"/>
    <w:uiPriority w:val="99"/>
    <w:semiHidden/>
    <w:locked/>
    <w:rPr>
      <w:rFonts w:ascii="Times New Roman" w:hAnsi="Times New Roman" w:cs="Times New Roman" w:hint="default"/>
      <w:sz w:val="18"/>
      <w:szCs w:val="18"/>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styleId="a4">
    <w:name w:val="annotation text"/>
    <w:basedOn w:val="a"/>
    <w:link w:val="Char0"/>
    <w:uiPriority w:val="99"/>
    <w:unhideWhenUsed/>
    <w:pPr>
      <w:jc w:val="left"/>
    </w:pPr>
  </w:style>
  <w:style w:type="paragraph" w:styleId="a8">
    <w:name w:val="annotation subject"/>
    <w:basedOn w:val="a4"/>
    <w:next w:val="a4"/>
    <w:link w:val="Char1"/>
    <w:uiPriority w:val="99"/>
    <w:unhideWhenUsed/>
    <w:rPr>
      <w:b/>
      <w:bCs/>
    </w:rPr>
  </w:style>
  <w:style w:type="paragraph" w:customStyle="1" w:styleId="-">
    <w:name w:val="！基础格式-正文无缩进"/>
    <w:qFormat/>
    <w:pPr>
      <w:widowControl w:val="0"/>
      <w:jc w:val="both"/>
    </w:pPr>
    <w:rPr>
      <w:bCs/>
      <w:kern w:val="2"/>
      <w:sz w:val="21"/>
    </w:rPr>
  </w:style>
  <w:style w:type="paragraph" w:customStyle="1" w:styleId="msonormal1">
    <w:name w:val="msonormal1"/>
    <w:qFormat/>
    <w:pPr>
      <w:widowControl w:val="0"/>
      <w:jc w:val="both"/>
    </w:pPr>
    <w:rPr>
      <w:kern w:val="2"/>
      <w:sz w:val="21"/>
      <w:szCs w:val="22"/>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styleId="ab">
    <w:name w:val="Normal (Web)"/>
    <w:basedOn w:val="a"/>
    <w:uiPriority w:val="99"/>
    <w:unhideWhenUsed/>
    <w:rPr>
      <w:sz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styleId="aa">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rPr>
  </w:style>
  <w:style w:type="paragraph" w:customStyle="1" w:styleId="2">
    <w:name w:val="！正文缩进2字符"/>
    <w:basedOn w:val="-"/>
    <w:qFormat/>
    <w:pPr>
      <w:spacing w:line="360" w:lineRule="auto"/>
      <w:ind w:firstLineChars="200" w:firstLine="480"/>
    </w:pPr>
    <w:rPr>
      <w:bCs w:val="0"/>
      <w:sz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styleId="a9">
    <w:name w:val="footer"/>
    <w:basedOn w:val="a"/>
    <w:link w:val="Char2"/>
    <w:uiPriority w:val="99"/>
    <w:unhideWhenUsed/>
    <w:pPr>
      <w:tabs>
        <w:tab w:val="center" w:pos="4153"/>
        <w:tab w:val="right" w:pos="8306"/>
      </w:tabs>
      <w:snapToGrid w:val="0"/>
      <w:jc w:val="left"/>
    </w:pPr>
    <w:rPr>
      <w:kern w:val="0"/>
      <w:sz w:val="18"/>
      <w:szCs w:val="18"/>
      <w:lang/>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styleId="a3">
    <w:name w:val="Balloon Text"/>
    <w:basedOn w:val="a"/>
    <w:link w:val="Char"/>
    <w:uiPriority w:val="99"/>
    <w:unhideWhenUsed/>
    <w:rPr>
      <w:sz w:val="18"/>
      <w:szCs w:val="18"/>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msonormalfy">
    <w:name w:val="msonormalfy"/>
    <w:qFormat/>
    <w:pPr>
      <w:widowControl w:val="0"/>
      <w:jc w:val="center"/>
    </w:pPr>
    <w:rPr>
      <w:kern w:val="2"/>
      <w:sz w:val="33"/>
      <w:szCs w:val="22"/>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msonormalnone">
    <w:name w:val="msonormal_none"/>
    <w:qFormat/>
    <w:pPr>
      <w:widowControl w:val="0"/>
    </w:pPr>
    <w:rPr>
      <w:kern w:val="2"/>
      <w:sz w:val="21"/>
      <w:szCs w:val="22"/>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34657.com.cn" TargetMode="External"/><Relationship Id="rId13" Type="http://schemas.openxmlformats.org/officeDocument/2006/relationships/hyperlink" Target="http://www.bankofd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cib.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rand.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hixin-inv.com/" TargetMode="External"/><Relationship Id="rId5" Type="http://schemas.openxmlformats.org/officeDocument/2006/relationships/footnotes" Target="footnotes.xml"/><Relationship Id="rId15" Type="http://schemas.openxmlformats.org/officeDocument/2006/relationships/hyperlink" Target="https://www.zts.com.cn/" TargetMode="External"/><Relationship Id="rId10" Type="http://schemas.openxmlformats.org/officeDocument/2006/relationships/hyperlink" Target="http://www.leadbank.com.cn" TargetMode="External"/><Relationship Id="rId4" Type="http://schemas.openxmlformats.org/officeDocument/2006/relationships/webSettings" Target="webSettings.xml"/><Relationship Id="rId9" Type="http://schemas.openxmlformats.org/officeDocument/2006/relationships/hyperlink" Target="http://www.ehowbuy.com" TargetMode="External"/><Relationship Id="rId14" Type="http://schemas.openxmlformats.org/officeDocument/2006/relationships/hyperlink" Target="https://www.cnht.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Office Word</Application>
  <DocSecurity>4</DocSecurity>
  <Lines>40</Lines>
  <Paragraphs>11</Paragraphs>
  <ScaleCrop>false</ScaleCrop>
  <Company/>
  <LinksUpToDate>false</LinksUpToDate>
  <CharactersWithSpaces>5640</CharactersWithSpaces>
  <SharedDoc>false</SharedDoc>
  <HLinks>
    <vt:vector size="54" baseType="variant">
      <vt:variant>
        <vt:i4>7209086</vt:i4>
      </vt:variant>
      <vt:variant>
        <vt:i4>24</vt:i4>
      </vt:variant>
      <vt:variant>
        <vt:i4>0</vt:i4>
      </vt:variant>
      <vt:variant>
        <vt:i4>5</vt:i4>
      </vt:variant>
      <vt:variant>
        <vt:lpwstr>http://www.new-rand.cn/</vt:lpwstr>
      </vt:variant>
      <vt:variant>
        <vt:lpwstr/>
      </vt:variant>
      <vt:variant>
        <vt:i4>3997732</vt:i4>
      </vt:variant>
      <vt:variant>
        <vt:i4>21</vt:i4>
      </vt:variant>
      <vt:variant>
        <vt:i4>0</vt:i4>
      </vt:variant>
      <vt:variant>
        <vt:i4>5</vt:i4>
      </vt:variant>
      <vt:variant>
        <vt:lpwstr>https://www.zts.com.cn/</vt:lpwstr>
      </vt:variant>
      <vt:variant>
        <vt:lpwstr/>
      </vt:variant>
      <vt:variant>
        <vt:i4>1048650</vt:i4>
      </vt:variant>
      <vt:variant>
        <vt:i4>18</vt:i4>
      </vt:variant>
      <vt:variant>
        <vt:i4>0</vt:i4>
      </vt:variant>
      <vt:variant>
        <vt:i4>5</vt:i4>
      </vt:variant>
      <vt:variant>
        <vt:lpwstr>https://www.cnht.com.cn/</vt:lpwstr>
      </vt:variant>
      <vt:variant>
        <vt:lpwstr/>
      </vt:variant>
      <vt:variant>
        <vt:i4>4325470</vt:i4>
      </vt:variant>
      <vt:variant>
        <vt:i4>15</vt:i4>
      </vt:variant>
      <vt:variant>
        <vt:i4>0</vt:i4>
      </vt:variant>
      <vt:variant>
        <vt:i4>5</vt:i4>
      </vt:variant>
      <vt:variant>
        <vt:lpwstr>http://www.bankofdl.com/</vt:lpwstr>
      </vt:variant>
      <vt:variant>
        <vt:lpwstr/>
      </vt:variant>
      <vt:variant>
        <vt:i4>2097196</vt:i4>
      </vt:variant>
      <vt:variant>
        <vt:i4>12</vt:i4>
      </vt:variant>
      <vt:variant>
        <vt:i4>0</vt:i4>
      </vt:variant>
      <vt:variant>
        <vt:i4>5</vt:i4>
      </vt:variant>
      <vt:variant>
        <vt:lpwstr>https://www.cib.com.cn/</vt:lpwstr>
      </vt:variant>
      <vt:variant>
        <vt:lpwstr/>
      </vt:variant>
      <vt:variant>
        <vt:i4>2555960</vt:i4>
      </vt:variant>
      <vt:variant>
        <vt:i4>9</vt:i4>
      </vt:variant>
      <vt:variant>
        <vt:i4>0</vt:i4>
      </vt:variant>
      <vt:variant>
        <vt:i4>5</vt:i4>
      </vt:variant>
      <vt:variant>
        <vt:lpwstr>https://www.zhixin-inv.com/</vt:lpwstr>
      </vt:variant>
      <vt:variant>
        <vt:lpwstr/>
      </vt:variant>
      <vt:variant>
        <vt:i4>2818102</vt:i4>
      </vt:variant>
      <vt:variant>
        <vt:i4>6</vt:i4>
      </vt:variant>
      <vt:variant>
        <vt:i4>0</vt:i4>
      </vt:variant>
      <vt:variant>
        <vt:i4>5</vt:i4>
      </vt:variant>
      <vt:variant>
        <vt:lpwstr>http://www.leadbank.com.cn/</vt:lpwstr>
      </vt:variant>
      <vt:variant>
        <vt:lpwstr/>
      </vt:variant>
      <vt:variant>
        <vt:i4>3407995</vt:i4>
      </vt:variant>
      <vt:variant>
        <vt:i4>3</vt:i4>
      </vt:variant>
      <vt:variant>
        <vt:i4>0</vt:i4>
      </vt:variant>
      <vt:variant>
        <vt:i4>5</vt:i4>
      </vt:variant>
      <vt:variant>
        <vt:lpwstr>http://www.ehowbuy.com/</vt:lpwstr>
      </vt:variant>
      <vt:variant>
        <vt:lpwstr/>
      </vt:variant>
      <vt:variant>
        <vt:i4>6946914</vt:i4>
      </vt:variant>
      <vt:variant>
        <vt:i4>0</vt:i4>
      </vt:variant>
      <vt:variant>
        <vt:i4>0</vt:i4>
      </vt:variant>
      <vt:variant>
        <vt:i4>5</vt:i4>
      </vt:variant>
      <vt:variant>
        <vt:lpwstr>http://www.1234657.com.cn/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JonMMx 2000</cp:lastModifiedBy>
  <cp:revision>2</cp:revision>
  <dcterms:created xsi:type="dcterms:W3CDTF">2019-10-21T16:01:00Z</dcterms:created>
  <dcterms:modified xsi:type="dcterms:W3CDTF">2019-10-21T16:01:00Z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