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1" w:rsidRDefault="006008DF" w:rsidP="00CB3B11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69pt;mso-position-horizontal-relative:page;mso-position-vertical-relative:page" fillcolor="red" strokecolor="red">
            <v:shadow color="#868686"/>
            <v:textpath style="font-family:&quot;华文中宋&quot;" trim="t" string="国金基金管理有限公司"/>
            <o:lock v:ext="edit" text="f"/>
          </v:shape>
        </w:pict>
      </w:r>
    </w:p>
    <w:p w:rsidR="00CB3B11" w:rsidRPr="008F06A5" w:rsidRDefault="00CB3B11" w:rsidP="00CB3B11">
      <w:pPr>
        <w:jc w:val="center"/>
      </w:pPr>
    </w:p>
    <w:p w:rsidR="00CB3B11" w:rsidRDefault="00CB3B11" w:rsidP="00CB3B11">
      <w:r>
        <w:rPr>
          <w:noProof/>
        </w:rPr>
        <w:pict>
          <v:line id="直接连接符 1" o:spid="_x0000_s1026" style="position:absolute;left:0;text-align:left;z-index:251657728;visibility:visible" from="0,0" to="415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" strokecolor="red" strokeweight="2.25pt"/>
        </w:pict>
      </w:r>
    </w:p>
    <w:p w:rsidR="003B1C21" w:rsidRDefault="003B1C21" w:rsidP="002E543E">
      <w:pPr>
        <w:widowControl/>
        <w:spacing w:line="301" w:lineRule="atLeast"/>
        <w:jc w:val="center"/>
        <w:outlineLvl w:val="5"/>
        <w:rPr>
          <w:rFonts w:ascii="宋体" w:hAnsi="宋体" w:cs="Tahoma"/>
          <w:b/>
          <w:bCs/>
          <w:kern w:val="0"/>
          <w:sz w:val="28"/>
          <w:szCs w:val="28"/>
        </w:rPr>
      </w:pPr>
      <w:r w:rsidRPr="003B1C21">
        <w:rPr>
          <w:rFonts w:ascii="宋体" w:hAnsi="宋体" w:cs="Tahoma" w:hint="eastAsia"/>
          <w:b/>
          <w:bCs/>
          <w:kern w:val="0"/>
          <w:sz w:val="28"/>
          <w:szCs w:val="28"/>
        </w:rPr>
        <w:t>关于调整国金惠盈纯债债券型证券投资基金</w:t>
      </w:r>
    </w:p>
    <w:p w:rsidR="006731AF" w:rsidRPr="00277A69" w:rsidRDefault="003B1C21" w:rsidP="002E543E">
      <w:pPr>
        <w:widowControl/>
        <w:spacing w:line="301" w:lineRule="atLeast"/>
        <w:jc w:val="center"/>
        <w:outlineLvl w:val="5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单笔申购最低金额</w:t>
      </w:r>
      <w:r w:rsidR="006731AF" w:rsidRPr="00BC2D20">
        <w:rPr>
          <w:rFonts w:ascii="宋体" w:hAnsi="宋体" w:cs="Tahoma" w:hint="eastAsia"/>
          <w:b/>
          <w:bCs/>
          <w:kern w:val="0"/>
          <w:sz w:val="28"/>
          <w:szCs w:val="28"/>
        </w:rPr>
        <w:t>的公告</w:t>
      </w:r>
    </w:p>
    <w:p w:rsidR="00DD4229" w:rsidRDefault="00C00BF3" w:rsidP="00DD4229">
      <w:pPr>
        <w:widowControl/>
        <w:spacing w:beforeLines="50" w:afterLines="50" w:line="312" w:lineRule="auto"/>
        <w:ind w:firstLineChars="200" w:firstLine="480"/>
        <w:rPr>
          <w:rFonts w:ascii="宋体" w:hAnsi="宋体" w:cs="Tahoma" w:hint="eastAsia"/>
          <w:kern w:val="0"/>
          <w:sz w:val="24"/>
          <w:szCs w:val="24"/>
        </w:rPr>
      </w:pPr>
      <w:r w:rsidRPr="00C00BF3">
        <w:rPr>
          <w:rFonts w:ascii="宋体" w:hAnsi="宋体" w:cs="Tahoma" w:hint="eastAsia"/>
          <w:kern w:val="0"/>
          <w:sz w:val="24"/>
          <w:szCs w:val="24"/>
        </w:rPr>
        <w:t>为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更好地满足广大投资者的理财需求，国金基金管理有限公司（以下简称“本公司”）决定自201</w:t>
      </w:r>
      <w:r w:rsidR="00AB5779">
        <w:rPr>
          <w:rFonts w:ascii="宋体" w:hAnsi="宋体" w:cs="Tahoma"/>
          <w:kern w:val="0"/>
          <w:sz w:val="24"/>
          <w:szCs w:val="24"/>
        </w:rPr>
        <w:t>9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年</w:t>
      </w:r>
      <w:r w:rsidR="00AB5779">
        <w:rPr>
          <w:rFonts w:ascii="宋体" w:hAnsi="宋体" w:cs="Tahoma"/>
          <w:kern w:val="0"/>
          <w:sz w:val="24"/>
          <w:szCs w:val="24"/>
        </w:rPr>
        <w:t>10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月</w:t>
      </w:r>
      <w:r w:rsidR="00AB5779">
        <w:rPr>
          <w:rFonts w:ascii="宋体" w:hAnsi="宋体" w:cs="Tahoma"/>
          <w:kern w:val="0"/>
          <w:sz w:val="24"/>
          <w:szCs w:val="24"/>
        </w:rPr>
        <w:t>14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日起，调整</w:t>
      </w:r>
      <w:r w:rsidR="008F120C" w:rsidRPr="008F120C">
        <w:rPr>
          <w:rFonts w:ascii="宋体" w:hAnsi="宋体" w:cs="Tahoma" w:hint="eastAsia"/>
          <w:kern w:val="0"/>
          <w:sz w:val="24"/>
          <w:szCs w:val="24"/>
        </w:rPr>
        <w:t>国金惠盈纯债债券型证券投资基金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（</w:t>
      </w:r>
      <w:r w:rsidR="008F120C">
        <w:rPr>
          <w:rFonts w:ascii="宋体" w:hAnsi="宋体" w:cs="Tahoma" w:hint="eastAsia"/>
          <w:kern w:val="0"/>
          <w:sz w:val="24"/>
          <w:szCs w:val="24"/>
        </w:rPr>
        <w:t>A类</w:t>
      </w:r>
      <w:r w:rsidR="003330A1">
        <w:rPr>
          <w:rFonts w:ascii="宋体" w:hAnsi="宋体" w:cs="Tahoma" w:hint="eastAsia"/>
          <w:kern w:val="0"/>
          <w:sz w:val="24"/>
          <w:szCs w:val="24"/>
        </w:rPr>
        <w:t>份额代码：</w:t>
      </w:r>
      <w:r w:rsidR="008F120C">
        <w:rPr>
          <w:rFonts w:ascii="宋体" w:hAnsi="宋体" w:cs="Tahoma"/>
          <w:kern w:val="0"/>
          <w:sz w:val="24"/>
          <w:szCs w:val="24"/>
        </w:rPr>
        <w:t>006549</w:t>
      </w:r>
      <w:r w:rsidR="008F120C">
        <w:rPr>
          <w:rFonts w:ascii="宋体" w:hAnsi="宋体" w:cs="Tahoma" w:hint="eastAsia"/>
          <w:kern w:val="0"/>
          <w:sz w:val="24"/>
          <w:szCs w:val="24"/>
        </w:rPr>
        <w:t>，C类</w:t>
      </w:r>
      <w:r w:rsidR="003330A1">
        <w:rPr>
          <w:rFonts w:ascii="宋体" w:hAnsi="宋体" w:cs="Tahoma" w:hint="eastAsia"/>
          <w:kern w:val="0"/>
          <w:sz w:val="24"/>
          <w:szCs w:val="24"/>
        </w:rPr>
        <w:t>份额代码：</w:t>
      </w:r>
      <w:r w:rsidR="008F120C">
        <w:rPr>
          <w:rFonts w:ascii="宋体" w:hAnsi="宋体" w:cs="Tahoma" w:hint="eastAsia"/>
          <w:kern w:val="0"/>
          <w:sz w:val="24"/>
          <w:szCs w:val="24"/>
        </w:rPr>
        <w:t>0</w:t>
      </w:r>
      <w:r w:rsidR="008F120C">
        <w:rPr>
          <w:rFonts w:ascii="宋体" w:hAnsi="宋体" w:cs="Tahoma"/>
          <w:kern w:val="0"/>
          <w:sz w:val="24"/>
          <w:szCs w:val="24"/>
        </w:rPr>
        <w:t>06760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）（以下简称“</w:t>
      </w:r>
      <w:r w:rsidR="008F120C" w:rsidRPr="008F120C">
        <w:rPr>
          <w:rFonts w:ascii="宋体" w:hAnsi="宋体" w:cs="Tahoma" w:hint="eastAsia"/>
          <w:kern w:val="0"/>
          <w:sz w:val="24"/>
          <w:szCs w:val="24"/>
        </w:rPr>
        <w:t>国金惠盈纯债</w:t>
      </w:r>
      <w:r w:rsidR="00AB5779" w:rsidRPr="00AB5779">
        <w:rPr>
          <w:rFonts w:ascii="宋体" w:hAnsi="宋体" w:cs="Tahoma" w:hint="eastAsia"/>
          <w:kern w:val="0"/>
          <w:sz w:val="24"/>
          <w:szCs w:val="24"/>
        </w:rPr>
        <w:t>”）的首次及追加单笔申购（含定期定额投资）最低金额限额，有关调整事项如下：</w:t>
      </w:r>
    </w:p>
    <w:p w:rsidR="008F120C" w:rsidRDefault="008F120C" w:rsidP="008F120C">
      <w:pPr>
        <w:widowControl/>
        <w:numPr>
          <w:ilvl w:val="0"/>
          <w:numId w:val="9"/>
        </w:numPr>
        <w:spacing w:line="360" w:lineRule="auto"/>
        <w:ind w:left="0" w:firstLine="0"/>
        <w:rPr>
          <w:rFonts w:ascii="宋体" w:hAnsi="宋体" w:cs="Tahoma" w:hint="eastAsi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调整方案</w:t>
      </w:r>
    </w:p>
    <w:p w:rsidR="008F120C" w:rsidRDefault="008F120C" w:rsidP="008F120C">
      <w:pPr>
        <w:widowControl/>
        <w:spacing w:line="360" w:lineRule="auto"/>
        <w:ind w:firstLineChars="200" w:firstLine="480"/>
        <w:rPr>
          <w:rFonts w:ascii="宋体" w:hAnsi="宋体" w:cs="Tahom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自201</w:t>
      </w:r>
      <w:r>
        <w:rPr>
          <w:rFonts w:ascii="宋体" w:hAnsi="宋体" w:cs="Tahoma"/>
          <w:kern w:val="0"/>
          <w:sz w:val="24"/>
          <w:szCs w:val="24"/>
        </w:rPr>
        <w:t>9</w:t>
      </w:r>
      <w:r>
        <w:rPr>
          <w:rFonts w:ascii="宋体" w:hAnsi="宋体" w:cs="Tahoma" w:hint="eastAsia"/>
          <w:kern w:val="0"/>
          <w:sz w:val="24"/>
          <w:szCs w:val="24"/>
        </w:rPr>
        <w:t>年</w:t>
      </w:r>
      <w:r>
        <w:rPr>
          <w:rFonts w:ascii="宋体" w:hAnsi="宋体" w:cs="Tahoma"/>
          <w:kern w:val="0"/>
          <w:sz w:val="24"/>
          <w:szCs w:val="24"/>
        </w:rPr>
        <w:t>10</w:t>
      </w:r>
      <w:r>
        <w:rPr>
          <w:rFonts w:ascii="宋体" w:hAnsi="宋体" w:cs="Tahoma" w:hint="eastAsia"/>
          <w:kern w:val="0"/>
          <w:sz w:val="24"/>
          <w:szCs w:val="24"/>
        </w:rPr>
        <w:t>月</w:t>
      </w:r>
      <w:r>
        <w:rPr>
          <w:rFonts w:ascii="宋体" w:hAnsi="宋体" w:cs="Tahoma"/>
          <w:kern w:val="0"/>
          <w:sz w:val="24"/>
          <w:szCs w:val="24"/>
        </w:rPr>
        <w:t>14</w:t>
      </w:r>
      <w:r>
        <w:rPr>
          <w:rFonts w:ascii="宋体" w:hAnsi="宋体" w:cs="Tahoma" w:hint="eastAsia"/>
          <w:kern w:val="0"/>
          <w:sz w:val="24"/>
          <w:szCs w:val="24"/>
        </w:rPr>
        <w:t>日起，投资者</w:t>
      </w:r>
      <w:r w:rsidRPr="00D57304">
        <w:rPr>
          <w:rFonts w:ascii="宋体" w:hAnsi="宋体" w:cs="Tahoma" w:hint="eastAsia"/>
          <w:kern w:val="0"/>
          <w:sz w:val="24"/>
          <w:szCs w:val="24"/>
        </w:rPr>
        <w:t>通过各销售机构申购</w:t>
      </w:r>
      <w:r w:rsidRPr="008F120C">
        <w:rPr>
          <w:rFonts w:ascii="宋体" w:hAnsi="宋体" w:cs="Tahoma" w:hint="eastAsia"/>
          <w:kern w:val="0"/>
          <w:sz w:val="24"/>
          <w:szCs w:val="24"/>
        </w:rPr>
        <w:t>国金惠盈纯债</w:t>
      </w:r>
      <w:r w:rsidRPr="00D57304">
        <w:rPr>
          <w:rFonts w:ascii="宋体" w:hAnsi="宋体" w:cs="Tahoma" w:hint="eastAsia"/>
          <w:kern w:val="0"/>
          <w:sz w:val="24"/>
          <w:szCs w:val="24"/>
        </w:rPr>
        <w:t>的</w:t>
      </w:r>
      <w:r>
        <w:rPr>
          <w:rFonts w:ascii="宋体" w:hAnsi="宋体" w:cs="Tahoma" w:hint="eastAsia"/>
          <w:kern w:val="0"/>
          <w:sz w:val="24"/>
          <w:szCs w:val="24"/>
        </w:rPr>
        <w:t>首次及</w:t>
      </w:r>
      <w:r>
        <w:rPr>
          <w:rFonts w:ascii="宋体" w:hAnsi="宋体" w:cs="Tahoma"/>
          <w:kern w:val="0"/>
          <w:sz w:val="24"/>
          <w:szCs w:val="24"/>
        </w:rPr>
        <w:t>追加</w:t>
      </w:r>
      <w:r w:rsidRPr="00D57304">
        <w:rPr>
          <w:rFonts w:ascii="宋体" w:hAnsi="宋体" w:cs="Tahoma" w:hint="eastAsia"/>
          <w:kern w:val="0"/>
          <w:sz w:val="24"/>
          <w:szCs w:val="24"/>
        </w:rPr>
        <w:t>单笔申购</w:t>
      </w:r>
      <w:r>
        <w:rPr>
          <w:rFonts w:ascii="宋体" w:hAnsi="宋体" w:cs="Tahoma" w:hint="eastAsia"/>
          <w:kern w:val="0"/>
          <w:sz w:val="24"/>
          <w:szCs w:val="24"/>
        </w:rPr>
        <w:t>（含定期定额</w:t>
      </w:r>
      <w:r>
        <w:rPr>
          <w:rFonts w:ascii="宋体" w:hAnsi="宋体" w:cs="Tahoma"/>
          <w:kern w:val="0"/>
          <w:sz w:val="24"/>
          <w:szCs w:val="24"/>
        </w:rPr>
        <w:t>投资</w:t>
      </w:r>
      <w:r>
        <w:rPr>
          <w:rFonts w:ascii="宋体" w:hAnsi="宋体" w:cs="Tahoma" w:hint="eastAsia"/>
          <w:kern w:val="0"/>
          <w:sz w:val="24"/>
          <w:szCs w:val="24"/>
        </w:rPr>
        <w:t>）</w:t>
      </w:r>
      <w:r w:rsidRPr="00D57304">
        <w:rPr>
          <w:rFonts w:ascii="宋体" w:hAnsi="宋体" w:cs="Tahoma" w:hint="eastAsia"/>
          <w:kern w:val="0"/>
          <w:sz w:val="24"/>
          <w:szCs w:val="24"/>
        </w:rPr>
        <w:t>最低金额变更为</w:t>
      </w:r>
      <w:r>
        <w:rPr>
          <w:rFonts w:ascii="宋体" w:hAnsi="宋体" w:cs="Tahoma"/>
          <w:kern w:val="0"/>
          <w:sz w:val="24"/>
          <w:szCs w:val="24"/>
        </w:rPr>
        <w:t>1</w:t>
      </w:r>
      <w:r w:rsidRPr="00D57304">
        <w:rPr>
          <w:rFonts w:ascii="宋体" w:hAnsi="宋体" w:cs="Tahoma" w:hint="eastAsia"/>
          <w:kern w:val="0"/>
          <w:sz w:val="24"/>
          <w:szCs w:val="24"/>
        </w:rPr>
        <w:t>元</w:t>
      </w:r>
      <w:r>
        <w:rPr>
          <w:rFonts w:ascii="宋体" w:hAnsi="宋体" w:cs="Tahoma" w:hint="eastAsia"/>
          <w:kern w:val="0"/>
          <w:sz w:val="24"/>
          <w:szCs w:val="24"/>
        </w:rPr>
        <w:t>。</w:t>
      </w:r>
    </w:p>
    <w:p w:rsidR="008F120C" w:rsidRPr="009A1F67" w:rsidRDefault="008F120C" w:rsidP="008F120C">
      <w:pPr>
        <w:widowControl/>
        <w:spacing w:line="360" w:lineRule="auto"/>
        <w:ind w:firstLineChars="200" w:firstLine="480"/>
        <w:rPr>
          <w:rFonts w:ascii="宋体" w:hAnsi="宋体" w:cs="Tahoma" w:hint="eastAsia"/>
          <w:kern w:val="0"/>
          <w:sz w:val="24"/>
          <w:szCs w:val="24"/>
        </w:rPr>
      </w:pPr>
    </w:p>
    <w:p w:rsidR="008F120C" w:rsidRDefault="008F120C" w:rsidP="008F120C">
      <w:pPr>
        <w:widowControl/>
        <w:numPr>
          <w:ilvl w:val="0"/>
          <w:numId w:val="9"/>
        </w:numPr>
        <w:spacing w:line="360" w:lineRule="auto"/>
        <w:ind w:left="0" w:firstLine="0"/>
        <w:rPr>
          <w:rFonts w:ascii="宋体" w:hAnsi="宋体" w:cs="Tahoma" w:hint="eastAsi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相关规则</w:t>
      </w:r>
    </w:p>
    <w:p w:rsidR="008F120C" w:rsidRDefault="008F120C" w:rsidP="008F120C">
      <w:pPr>
        <w:widowControl/>
        <w:numPr>
          <w:ilvl w:val="0"/>
          <w:numId w:val="10"/>
        </w:numPr>
        <w:spacing w:line="360" w:lineRule="auto"/>
        <w:rPr>
          <w:rFonts w:ascii="宋体" w:hAnsi="宋体" w:cs="Tahoma"/>
          <w:kern w:val="0"/>
          <w:sz w:val="24"/>
          <w:szCs w:val="24"/>
        </w:rPr>
      </w:pPr>
      <w:r w:rsidRPr="00D94347">
        <w:rPr>
          <w:rFonts w:ascii="宋体" w:hAnsi="宋体" w:cs="Tahoma" w:hint="eastAsia"/>
          <w:kern w:val="0"/>
          <w:sz w:val="24"/>
          <w:szCs w:val="24"/>
        </w:rPr>
        <w:t>各</w:t>
      </w:r>
      <w:r>
        <w:rPr>
          <w:rFonts w:ascii="宋体" w:hAnsi="宋体" w:cs="Tahoma" w:hint="eastAsia"/>
          <w:kern w:val="0"/>
          <w:sz w:val="24"/>
          <w:szCs w:val="24"/>
        </w:rPr>
        <w:t>销售</w:t>
      </w:r>
      <w:r w:rsidRPr="00D94347">
        <w:rPr>
          <w:rFonts w:ascii="宋体" w:hAnsi="宋体" w:cs="Tahoma" w:hint="eastAsia"/>
          <w:kern w:val="0"/>
          <w:sz w:val="24"/>
          <w:szCs w:val="24"/>
        </w:rPr>
        <w:t>机构设置的</w:t>
      </w:r>
      <w:r>
        <w:rPr>
          <w:rFonts w:ascii="宋体" w:hAnsi="宋体" w:cs="Tahoma" w:hint="eastAsia"/>
          <w:kern w:val="0"/>
          <w:sz w:val="24"/>
          <w:szCs w:val="24"/>
        </w:rPr>
        <w:t>首次及</w:t>
      </w:r>
      <w:r w:rsidRPr="00D94347">
        <w:rPr>
          <w:rFonts w:ascii="宋体" w:hAnsi="宋体" w:cs="Tahoma" w:hint="eastAsia"/>
          <w:kern w:val="0"/>
          <w:sz w:val="24"/>
          <w:szCs w:val="24"/>
        </w:rPr>
        <w:t>追加单笔申购最低金额不得低于本公司设定的上述值，但可以等于或高于上述值。投资者通过</w:t>
      </w:r>
      <w:r>
        <w:rPr>
          <w:rFonts w:ascii="宋体" w:hAnsi="宋体" w:cs="Tahoma" w:hint="eastAsia"/>
          <w:kern w:val="0"/>
          <w:sz w:val="24"/>
          <w:szCs w:val="24"/>
        </w:rPr>
        <w:t>销售</w:t>
      </w:r>
      <w:r w:rsidRPr="00D94347">
        <w:rPr>
          <w:rFonts w:ascii="宋体" w:hAnsi="宋体" w:cs="Tahoma" w:hint="eastAsia"/>
          <w:kern w:val="0"/>
          <w:sz w:val="24"/>
          <w:szCs w:val="24"/>
        </w:rPr>
        <w:t>机构申购</w:t>
      </w:r>
      <w:r>
        <w:rPr>
          <w:rFonts w:ascii="宋体" w:hAnsi="宋体" w:cs="Tahoma" w:hint="eastAsia"/>
          <w:kern w:val="0"/>
          <w:sz w:val="24"/>
          <w:szCs w:val="24"/>
        </w:rPr>
        <w:t>（含定期定额</w:t>
      </w:r>
      <w:r>
        <w:rPr>
          <w:rFonts w:ascii="宋体" w:hAnsi="宋体" w:cs="Tahoma"/>
          <w:kern w:val="0"/>
          <w:sz w:val="24"/>
          <w:szCs w:val="24"/>
        </w:rPr>
        <w:t>投资</w:t>
      </w:r>
      <w:r>
        <w:rPr>
          <w:rFonts w:ascii="宋体" w:hAnsi="宋体" w:cs="Tahoma" w:hint="eastAsia"/>
          <w:kern w:val="0"/>
          <w:sz w:val="24"/>
          <w:szCs w:val="24"/>
        </w:rPr>
        <w:t>）</w:t>
      </w:r>
      <w:r w:rsidRPr="008F120C">
        <w:rPr>
          <w:rFonts w:ascii="宋体" w:hAnsi="宋体" w:cs="Tahoma" w:hint="eastAsia"/>
          <w:kern w:val="0"/>
          <w:sz w:val="24"/>
          <w:szCs w:val="24"/>
        </w:rPr>
        <w:t>国金惠盈纯债</w:t>
      </w:r>
      <w:r w:rsidRPr="00D94347">
        <w:rPr>
          <w:rFonts w:ascii="宋体" w:hAnsi="宋体" w:cs="Tahoma" w:hint="eastAsia"/>
          <w:kern w:val="0"/>
          <w:sz w:val="24"/>
          <w:szCs w:val="24"/>
        </w:rPr>
        <w:t>的，须遵循</w:t>
      </w:r>
      <w:r>
        <w:rPr>
          <w:rFonts w:ascii="宋体" w:hAnsi="宋体" w:cs="Tahoma" w:hint="eastAsia"/>
          <w:kern w:val="0"/>
          <w:sz w:val="24"/>
          <w:szCs w:val="24"/>
        </w:rPr>
        <w:t>销售</w:t>
      </w:r>
      <w:r w:rsidRPr="00D94347">
        <w:rPr>
          <w:rFonts w:ascii="宋体" w:hAnsi="宋体" w:cs="Tahoma" w:hint="eastAsia"/>
          <w:kern w:val="0"/>
          <w:sz w:val="24"/>
          <w:szCs w:val="24"/>
        </w:rPr>
        <w:t>机构所设定的</w:t>
      </w:r>
      <w:r>
        <w:rPr>
          <w:rFonts w:ascii="宋体" w:hAnsi="宋体" w:cs="Tahoma" w:hint="eastAsia"/>
          <w:kern w:val="0"/>
          <w:sz w:val="24"/>
          <w:szCs w:val="24"/>
        </w:rPr>
        <w:t>首次及</w:t>
      </w:r>
      <w:r w:rsidRPr="00D94347">
        <w:rPr>
          <w:rFonts w:ascii="宋体" w:hAnsi="宋体" w:cs="Tahoma" w:hint="eastAsia"/>
          <w:kern w:val="0"/>
          <w:sz w:val="24"/>
          <w:szCs w:val="24"/>
        </w:rPr>
        <w:t>追加单笔申购最低金额的限制。</w:t>
      </w:r>
      <w:r w:rsidRPr="00F50E32">
        <w:rPr>
          <w:rFonts w:ascii="宋体" w:hAnsi="宋体" w:cs="Tahoma" w:hint="eastAsia"/>
          <w:kern w:val="0"/>
          <w:sz w:val="24"/>
          <w:szCs w:val="24"/>
        </w:rPr>
        <w:t>敬请投资者留意。</w:t>
      </w:r>
    </w:p>
    <w:p w:rsidR="008F120C" w:rsidRPr="00F50E32" w:rsidRDefault="008F120C" w:rsidP="00232BAE">
      <w:pPr>
        <w:widowControl/>
        <w:numPr>
          <w:ilvl w:val="0"/>
          <w:numId w:val="10"/>
        </w:numPr>
        <w:spacing w:beforeLines="50" w:afterLines="100" w:line="312" w:lineRule="auto"/>
        <w:rPr>
          <w:rFonts w:ascii="宋体" w:hAnsi="宋体" w:cs="Tahoma" w:hint="eastAsia"/>
          <w:kern w:val="0"/>
          <w:sz w:val="24"/>
          <w:szCs w:val="24"/>
        </w:rPr>
      </w:pPr>
      <w:r w:rsidRPr="00D94347">
        <w:rPr>
          <w:rFonts w:ascii="宋体" w:hAnsi="宋体" w:cs="Tahoma" w:hint="eastAsia"/>
          <w:kern w:val="0"/>
          <w:sz w:val="24"/>
          <w:szCs w:val="24"/>
        </w:rPr>
        <w:t>投资者通过本公司网上交易系统</w:t>
      </w:r>
      <w:r w:rsidRPr="00D57304">
        <w:rPr>
          <w:rFonts w:ascii="宋体" w:hAnsi="宋体" w:cs="Tahoma" w:hint="eastAsia"/>
          <w:kern w:val="0"/>
          <w:sz w:val="24"/>
          <w:szCs w:val="24"/>
        </w:rPr>
        <w:t>（包括手机客户端、网上交易系统等）</w:t>
      </w:r>
      <w:r w:rsidRPr="00D94347">
        <w:rPr>
          <w:rFonts w:ascii="宋体" w:hAnsi="宋体" w:cs="Tahoma" w:hint="eastAsia"/>
          <w:kern w:val="0"/>
          <w:sz w:val="24"/>
          <w:szCs w:val="24"/>
        </w:rPr>
        <w:t>申购</w:t>
      </w:r>
      <w:r>
        <w:rPr>
          <w:rFonts w:ascii="宋体" w:hAnsi="宋体" w:cs="Tahoma" w:hint="eastAsia"/>
          <w:kern w:val="0"/>
          <w:sz w:val="24"/>
          <w:szCs w:val="24"/>
        </w:rPr>
        <w:t>（含定期定额</w:t>
      </w:r>
      <w:r>
        <w:rPr>
          <w:rFonts w:ascii="宋体" w:hAnsi="宋体" w:cs="Tahoma"/>
          <w:kern w:val="0"/>
          <w:sz w:val="24"/>
          <w:szCs w:val="24"/>
        </w:rPr>
        <w:t>投资</w:t>
      </w:r>
      <w:r>
        <w:rPr>
          <w:rFonts w:ascii="宋体" w:hAnsi="宋体" w:cs="Tahoma" w:hint="eastAsia"/>
          <w:kern w:val="0"/>
          <w:sz w:val="24"/>
          <w:szCs w:val="24"/>
        </w:rPr>
        <w:t>）</w:t>
      </w:r>
      <w:r w:rsidRPr="008F120C">
        <w:rPr>
          <w:rFonts w:ascii="宋体" w:hAnsi="宋体" w:cs="Tahoma" w:hint="eastAsia"/>
          <w:kern w:val="0"/>
          <w:sz w:val="24"/>
          <w:szCs w:val="24"/>
        </w:rPr>
        <w:t>国金惠盈纯债</w:t>
      </w:r>
      <w:r w:rsidRPr="00D94347">
        <w:rPr>
          <w:rFonts w:ascii="宋体" w:hAnsi="宋体" w:cs="Tahoma" w:hint="eastAsia"/>
          <w:kern w:val="0"/>
          <w:sz w:val="24"/>
          <w:szCs w:val="24"/>
        </w:rPr>
        <w:t>的，适用以上变更后的</w:t>
      </w:r>
      <w:r>
        <w:rPr>
          <w:rFonts w:ascii="宋体" w:hAnsi="宋体" w:cs="Tahoma" w:hint="eastAsia"/>
          <w:kern w:val="0"/>
          <w:sz w:val="24"/>
          <w:szCs w:val="24"/>
        </w:rPr>
        <w:t>首次及</w:t>
      </w:r>
      <w:r w:rsidRPr="00D94347">
        <w:rPr>
          <w:rFonts w:ascii="宋体" w:hAnsi="宋体" w:cs="Tahoma" w:hint="eastAsia"/>
          <w:kern w:val="0"/>
          <w:sz w:val="24"/>
          <w:szCs w:val="24"/>
        </w:rPr>
        <w:t>追加单笔申购最低金额的限制</w:t>
      </w:r>
      <w:r>
        <w:rPr>
          <w:rFonts w:ascii="宋体" w:hAnsi="宋体" w:cs="Tahoma" w:hint="eastAsia"/>
          <w:kern w:val="0"/>
          <w:sz w:val="24"/>
          <w:szCs w:val="24"/>
        </w:rPr>
        <w:t>。</w:t>
      </w:r>
      <w:r w:rsidR="00232BAE" w:rsidRPr="00232BAE">
        <w:rPr>
          <w:rFonts w:ascii="宋体" w:hAnsi="宋体" w:cs="Tahoma" w:hint="eastAsia"/>
          <w:kern w:val="0"/>
          <w:sz w:val="24"/>
          <w:szCs w:val="24"/>
        </w:rPr>
        <w:t>投资者通过</w:t>
      </w:r>
      <w:r w:rsidR="00232BAE">
        <w:rPr>
          <w:rFonts w:ascii="宋体" w:hAnsi="宋体" w:cs="Tahoma" w:hint="eastAsia"/>
          <w:kern w:val="0"/>
          <w:sz w:val="24"/>
          <w:szCs w:val="24"/>
        </w:rPr>
        <w:t>本公司</w:t>
      </w:r>
      <w:r w:rsidR="00232BAE" w:rsidRPr="00232BAE">
        <w:rPr>
          <w:rFonts w:ascii="宋体" w:hAnsi="宋体" w:cs="Tahoma" w:hint="eastAsia"/>
          <w:kern w:val="0"/>
          <w:sz w:val="24"/>
          <w:szCs w:val="24"/>
        </w:rPr>
        <w:t>直销中心柜台首次申购</w:t>
      </w:r>
      <w:r w:rsidR="00232BAE" w:rsidRPr="008F120C">
        <w:rPr>
          <w:rFonts w:ascii="宋体" w:hAnsi="宋体" w:cs="Tahoma" w:hint="eastAsia"/>
          <w:kern w:val="0"/>
          <w:sz w:val="24"/>
          <w:szCs w:val="24"/>
        </w:rPr>
        <w:t>国金惠盈纯债</w:t>
      </w:r>
      <w:r w:rsidR="00232BAE" w:rsidRPr="00232BAE">
        <w:rPr>
          <w:rFonts w:ascii="宋体" w:hAnsi="宋体" w:cs="Tahoma" w:hint="eastAsia"/>
          <w:kern w:val="0"/>
          <w:sz w:val="24"/>
          <w:szCs w:val="24"/>
        </w:rPr>
        <w:t>份额的最低限额为人民币10,000元（含申购费,下同），追加申购单笔最低限额为人民币1,000</w:t>
      </w:r>
      <w:r w:rsidR="00232BAE">
        <w:rPr>
          <w:rFonts w:ascii="宋体" w:hAnsi="宋体" w:cs="Tahoma" w:hint="eastAsia"/>
          <w:kern w:val="0"/>
          <w:sz w:val="24"/>
          <w:szCs w:val="24"/>
        </w:rPr>
        <w:t>元</w:t>
      </w:r>
      <w:r w:rsidRPr="00D94347">
        <w:rPr>
          <w:rFonts w:ascii="宋体" w:hAnsi="宋体" w:cs="Tahoma" w:hint="eastAsia"/>
          <w:kern w:val="0"/>
          <w:sz w:val="24"/>
          <w:szCs w:val="24"/>
        </w:rPr>
        <w:t>。</w:t>
      </w:r>
    </w:p>
    <w:p w:rsidR="008F120C" w:rsidRPr="006C25BD" w:rsidRDefault="008F120C" w:rsidP="008F120C">
      <w:pPr>
        <w:widowControl/>
        <w:numPr>
          <w:ilvl w:val="0"/>
          <w:numId w:val="9"/>
        </w:numPr>
        <w:spacing w:line="360" w:lineRule="auto"/>
        <w:ind w:left="0" w:firstLine="0"/>
        <w:rPr>
          <w:rFonts w:ascii="宋体" w:hAnsi="宋体" w:cs="Tahoma"/>
          <w:kern w:val="0"/>
          <w:sz w:val="24"/>
          <w:szCs w:val="24"/>
        </w:rPr>
      </w:pPr>
      <w:r w:rsidRPr="00520C62">
        <w:rPr>
          <w:rFonts w:ascii="宋体" w:hAnsi="宋体" w:cs="Tahoma" w:hint="eastAsia"/>
          <w:kern w:val="0"/>
          <w:sz w:val="24"/>
          <w:szCs w:val="24"/>
        </w:rPr>
        <w:t>投资者可通过以下途径咨询有关详情：</w:t>
      </w:r>
    </w:p>
    <w:p w:rsidR="008F120C" w:rsidRPr="008F120C" w:rsidRDefault="008F120C" w:rsidP="008F120C">
      <w:pPr>
        <w:widowControl/>
        <w:spacing w:line="360" w:lineRule="auto"/>
        <w:ind w:firstLineChars="177" w:firstLine="425"/>
        <w:rPr>
          <w:rFonts w:hAnsi="宋体" w:hint="eastAsia"/>
          <w:bCs/>
          <w:kern w:val="0"/>
          <w:sz w:val="24"/>
        </w:rPr>
      </w:pPr>
      <w:r w:rsidRPr="008F120C">
        <w:rPr>
          <w:rFonts w:hAnsi="宋体" w:hint="eastAsia"/>
          <w:bCs/>
          <w:kern w:val="0"/>
          <w:sz w:val="24"/>
        </w:rPr>
        <w:t>国金基金管理有限公司</w:t>
      </w:r>
    </w:p>
    <w:p w:rsidR="008F120C" w:rsidRPr="008F120C" w:rsidRDefault="008F120C" w:rsidP="008F120C">
      <w:pPr>
        <w:widowControl/>
        <w:spacing w:line="360" w:lineRule="auto"/>
        <w:ind w:firstLineChars="177" w:firstLine="425"/>
        <w:rPr>
          <w:rFonts w:hAnsi="宋体" w:hint="eastAsia"/>
          <w:bCs/>
          <w:kern w:val="0"/>
          <w:sz w:val="24"/>
        </w:rPr>
      </w:pPr>
      <w:r w:rsidRPr="008F120C">
        <w:rPr>
          <w:rFonts w:hAnsi="宋体" w:hint="eastAsia"/>
          <w:bCs/>
          <w:kern w:val="0"/>
          <w:sz w:val="24"/>
        </w:rPr>
        <w:t>客服电话：</w:t>
      </w:r>
      <w:r w:rsidRPr="008F120C">
        <w:rPr>
          <w:rFonts w:hAnsi="宋体" w:hint="eastAsia"/>
          <w:bCs/>
          <w:kern w:val="0"/>
          <w:sz w:val="24"/>
        </w:rPr>
        <w:t>4000-2000-18</w:t>
      </w:r>
    </w:p>
    <w:p w:rsidR="008F120C" w:rsidRPr="008F120C" w:rsidRDefault="008F120C" w:rsidP="008F120C">
      <w:pPr>
        <w:widowControl/>
        <w:spacing w:line="360" w:lineRule="auto"/>
        <w:ind w:firstLineChars="177" w:firstLine="425"/>
        <w:rPr>
          <w:rFonts w:hAnsi="宋体"/>
          <w:bCs/>
          <w:kern w:val="0"/>
          <w:sz w:val="24"/>
        </w:rPr>
      </w:pPr>
      <w:r w:rsidRPr="008F120C">
        <w:rPr>
          <w:rFonts w:hAnsi="宋体" w:hint="eastAsia"/>
          <w:bCs/>
          <w:kern w:val="0"/>
          <w:sz w:val="24"/>
        </w:rPr>
        <w:t>网址：</w:t>
      </w:r>
      <w:r w:rsidRPr="008F120C">
        <w:rPr>
          <w:rFonts w:hAnsi="宋体" w:hint="eastAsia"/>
          <w:bCs/>
          <w:kern w:val="0"/>
          <w:sz w:val="24"/>
        </w:rPr>
        <w:t>www.gfund.com</w:t>
      </w:r>
    </w:p>
    <w:p w:rsidR="008F120C" w:rsidRPr="00D94347" w:rsidRDefault="008F120C" w:rsidP="008F120C">
      <w:pPr>
        <w:widowControl/>
        <w:spacing w:beforeLines="50" w:afterLines="100" w:line="312" w:lineRule="auto"/>
        <w:ind w:firstLineChars="200" w:firstLine="480"/>
        <w:rPr>
          <w:rFonts w:ascii="宋体" w:hAnsi="宋体" w:cs="Tahoma" w:hint="eastAsia"/>
          <w:kern w:val="0"/>
          <w:sz w:val="24"/>
          <w:szCs w:val="24"/>
        </w:rPr>
      </w:pPr>
      <w:r w:rsidRPr="00865FE1">
        <w:rPr>
          <w:rFonts w:ascii="宋体" w:hAnsi="宋体" w:cs="Tahoma" w:hint="eastAsia"/>
          <w:kern w:val="0"/>
          <w:sz w:val="24"/>
          <w:szCs w:val="24"/>
        </w:rPr>
        <w:lastRenderedPageBreak/>
        <w:t>本公司承诺以诚实信用、勤勉尽责的原则管理和运用基金资产，但不保证基金一定盈利，也不保证最低收益。基金的过往业绩及其净值高低并不预示其未来业绩表现。本公司提醒投资者，</w:t>
      </w:r>
      <w:r w:rsidRPr="00865FE1">
        <w:rPr>
          <w:rFonts w:hAnsi="宋体" w:hint="eastAsia"/>
          <w:bCs/>
          <w:kern w:val="0"/>
          <w:sz w:val="24"/>
        </w:rPr>
        <w:t>投资者投资于基金前应认真阅读基金的基金合同、招募说明书等法律文件。敬请投资者</w:t>
      </w:r>
      <w:r w:rsidRPr="00865FE1">
        <w:rPr>
          <w:rFonts w:ascii="宋体" w:hAnsi="宋体" w:cs="Tahoma" w:hint="eastAsia"/>
          <w:kern w:val="0"/>
          <w:sz w:val="24"/>
          <w:szCs w:val="24"/>
        </w:rPr>
        <w:t>注意投资风险。</w:t>
      </w:r>
    </w:p>
    <w:p w:rsidR="008F120C" w:rsidRPr="00F50E32" w:rsidRDefault="008F120C" w:rsidP="008F120C">
      <w:pPr>
        <w:widowControl/>
        <w:spacing w:beforeLines="50" w:afterLines="50" w:line="312" w:lineRule="auto"/>
        <w:ind w:firstLineChars="200" w:firstLine="480"/>
        <w:rPr>
          <w:rFonts w:ascii="宋体" w:hAnsi="宋体" w:cs="Tahoma" w:hint="eastAsia"/>
          <w:kern w:val="0"/>
          <w:sz w:val="24"/>
          <w:szCs w:val="24"/>
        </w:rPr>
      </w:pPr>
    </w:p>
    <w:p w:rsidR="008F120C" w:rsidRPr="00783878" w:rsidRDefault="008F120C" w:rsidP="008F120C">
      <w:pPr>
        <w:widowControl/>
        <w:spacing w:beforeLines="50" w:afterLines="50" w:line="312" w:lineRule="auto"/>
        <w:ind w:firstLineChars="200" w:firstLine="480"/>
        <w:rPr>
          <w:rFonts w:ascii="宋体" w:cs="Tahoma"/>
          <w:kern w:val="0"/>
          <w:sz w:val="24"/>
          <w:szCs w:val="24"/>
        </w:rPr>
      </w:pPr>
      <w:r w:rsidRPr="00783878">
        <w:rPr>
          <w:rFonts w:ascii="宋体" w:hAnsi="宋体" w:cs="Tahoma" w:hint="eastAsia"/>
          <w:kern w:val="0"/>
          <w:sz w:val="24"/>
          <w:szCs w:val="24"/>
        </w:rPr>
        <w:t>特此公告。</w:t>
      </w:r>
    </w:p>
    <w:p w:rsidR="008F120C" w:rsidRPr="00783878" w:rsidRDefault="008F120C" w:rsidP="008F120C">
      <w:pPr>
        <w:widowControl/>
        <w:spacing w:beforeLines="50" w:afterLines="50" w:line="312" w:lineRule="auto"/>
        <w:ind w:firstLineChars="200" w:firstLine="480"/>
        <w:jc w:val="right"/>
        <w:rPr>
          <w:rFonts w:ascii="宋体" w:cs="Tahoma"/>
          <w:kern w:val="0"/>
          <w:sz w:val="24"/>
          <w:szCs w:val="24"/>
        </w:rPr>
      </w:pPr>
    </w:p>
    <w:p w:rsidR="008F120C" w:rsidRPr="00783878" w:rsidRDefault="008F120C" w:rsidP="008F120C">
      <w:pPr>
        <w:widowControl/>
        <w:spacing w:beforeLines="50" w:afterLines="50" w:line="312" w:lineRule="auto"/>
        <w:ind w:firstLineChars="200" w:firstLine="480"/>
        <w:jc w:val="right"/>
        <w:rPr>
          <w:rFonts w:ascii="宋体" w:cs="Tahoma"/>
          <w:kern w:val="0"/>
          <w:sz w:val="24"/>
          <w:szCs w:val="24"/>
        </w:rPr>
      </w:pPr>
      <w:r w:rsidRPr="00783878">
        <w:rPr>
          <w:rFonts w:ascii="宋体" w:hAnsi="宋体" w:cs="Tahoma" w:hint="eastAsia"/>
          <w:kern w:val="0"/>
          <w:sz w:val="24"/>
          <w:szCs w:val="24"/>
        </w:rPr>
        <w:t>国金基金管理有限公司</w:t>
      </w:r>
    </w:p>
    <w:p w:rsidR="008F120C" w:rsidRDefault="008F120C" w:rsidP="008F120C">
      <w:pPr>
        <w:widowControl/>
        <w:spacing w:beforeLines="50" w:afterLines="50" w:line="312" w:lineRule="auto"/>
        <w:ind w:firstLineChars="200" w:firstLine="480"/>
        <w:jc w:val="right"/>
        <w:rPr>
          <w:rFonts w:ascii="宋体" w:hAnsi="宋体" w:cs="Tahoma"/>
          <w:kern w:val="0"/>
          <w:sz w:val="24"/>
          <w:szCs w:val="24"/>
        </w:rPr>
      </w:pPr>
      <w:r w:rsidRPr="00352F11">
        <w:rPr>
          <w:rFonts w:ascii="宋体" w:hAnsi="宋体" w:cs="Tahoma" w:hint="eastAsia"/>
          <w:kern w:val="0"/>
          <w:sz w:val="24"/>
          <w:szCs w:val="24"/>
        </w:rPr>
        <w:t>201</w:t>
      </w:r>
      <w:r>
        <w:rPr>
          <w:rFonts w:ascii="宋体" w:hAnsi="宋体" w:cs="Tahoma"/>
          <w:kern w:val="0"/>
          <w:sz w:val="24"/>
          <w:szCs w:val="24"/>
        </w:rPr>
        <w:t>9</w:t>
      </w:r>
      <w:r w:rsidRPr="00352F11">
        <w:rPr>
          <w:rFonts w:ascii="宋体" w:hAnsi="宋体" w:cs="Tahoma" w:hint="eastAsia"/>
          <w:kern w:val="0"/>
          <w:sz w:val="24"/>
          <w:szCs w:val="24"/>
        </w:rPr>
        <w:t>年</w:t>
      </w:r>
      <w:r>
        <w:rPr>
          <w:rFonts w:ascii="宋体" w:hAnsi="宋体" w:cs="Tahoma"/>
          <w:kern w:val="0"/>
          <w:sz w:val="24"/>
          <w:szCs w:val="24"/>
        </w:rPr>
        <w:t>10</w:t>
      </w:r>
      <w:r w:rsidRPr="00352F11">
        <w:rPr>
          <w:rFonts w:ascii="宋体" w:hAnsi="宋体" w:cs="Tahoma" w:hint="eastAsia"/>
          <w:kern w:val="0"/>
          <w:sz w:val="24"/>
          <w:szCs w:val="24"/>
        </w:rPr>
        <w:t>月</w:t>
      </w:r>
      <w:r>
        <w:rPr>
          <w:rFonts w:ascii="宋体" w:hAnsi="宋体" w:cs="Tahoma"/>
          <w:kern w:val="0"/>
          <w:sz w:val="24"/>
          <w:szCs w:val="24"/>
        </w:rPr>
        <w:t>11</w:t>
      </w:r>
      <w:r w:rsidRPr="00352F11">
        <w:rPr>
          <w:rFonts w:ascii="宋体" w:hAnsi="宋体" w:cs="Tahoma" w:hint="eastAsia"/>
          <w:kern w:val="0"/>
          <w:sz w:val="24"/>
          <w:szCs w:val="24"/>
        </w:rPr>
        <w:t>日</w:t>
      </w:r>
    </w:p>
    <w:p w:rsidR="006D17E5" w:rsidRPr="006D17E5" w:rsidRDefault="006D17E5" w:rsidP="006D17E5">
      <w:pPr>
        <w:jc w:val="left"/>
        <w:rPr>
          <w:rFonts w:ascii="宋体" w:hAnsi="宋体" w:cs="Courier New"/>
          <w:szCs w:val="21"/>
        </w:rPr>
      </w:pPr>
    </w:p>
    <w:sectPr w:rsidR="006D17E5" w:rsidRPr="006D17E5" w:rsidSect="00C40A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E5" w:rsidRDefault="001F29E5" w:rsidP="004261FE">
      <w:r>
        <w:separator/>
      </w:r>
    </w:p>
  </w:endnote>
  <w:endnote w:type="continuationSeparator" w:id="1">
    <w:p w:rsidR="001F29E5" w:rsidRDefault="001F29E5" w:rsidP="004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微软雅黑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3E" w:rsidRDefault="006D683E" w:rsidP="006D17E5">
    <w:pPr>
      <w:pStyle w:val="a4"/>
      <w:jc w:val="center"/>
      <w:rPr>
        <w:rFonts w:hint="eastAsia"/>
        <w:lang w:eastAsia="zh-CN"/>
      </w:rPr>
    </w:pPr>
    <w:fldSimple w:instr=" PAGE   \* MERGEFORMAT ">
      <w:r w:rsidR="0035620D" w:rsidRPr="0035620D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E5" w:rsidRDefault="001F29E5" w:rsidP="004261FE">
      <w:r>
        <w:separator/>
      </w:r>
    </w:p>
  </w:footnote>
  <w:footnote w:type="continuationSeparator" w:id="1">
    <w:p w:rsidR="001F29E5" w:rsidRDefault="001F29E5" w:rsidP="0042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56A"/>
    <w:multiLevelType w:val="hybridMultilevel"/>
    <w:tmpl w:val="660A15C6"/>
    <w:lvl w:ilvl="0" w:tplc="9D3A2C9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DC102CC"/>
    <w:multiLevelType w:val="hybridMultilevel"/>
    <w:tmpl w:val="8504942C"/>
    <w:lvl w:ilvl="0" w:tplc="BD4227F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95F4039"/>
    <w:multiLevelType w:val="hybridMultilevel"/>
    <w:tmpl w:val="4002EBD4"/>
    <w:lvl w:ilvl="0" w:tplc="955C63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CD50D2"/>
    <w:multiLevelType w:val="hybridMultilevel"/>
    <w:tmpl w:val="0BB6BD0C"/>
    <w:lvl w:ilvl="0" w:tplc="169A8B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A487B31"/>
    <w:multiLevelType w:val="hybridMultilevel"/>
    <w:tmpl w:val="D2D6FEAE"/>
    <w:lvl w:ilvl="0" w:tplc="7394841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CCD0141"/>
    <w:multiLevelType w:val="hybridMultilevel"/>
    <w:tmpl w:val="644C18BE"/>
    <w:lvl w:ilvl="0" w:tplc="685CFE46">
      <w:start w:val="1"/>
      <w:numFmt w:val="decimal"/>
      <w:lvlText w:val="%1．"/>
      <w:lvlJc w:val="left"/>
      <w:pPr>
        <w:ind w:left="360" w:hanging="360"/>
      </w:pPr>
      <w:rPr>
        <w:rFonts w:ascii="Calibri" w:hAnsi="Calibri" w:cs="Times New Roman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173A4E"/>
    <w:multiLevelType w:val="hybridMultilevel"/>
    <w:tmpl w:val="0652D726"/>
    <w:lvl w:ilvl="0" w:tplc="D7743B0E">
      <w:start w:val="1"/>
      <w:numFmt w:val="japaneseCounting"/>
      <w:lvlText w:val="%1、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F9E7C68"/>
    <w:multiLevelType w:val="hybridMultilevel"/>
    <w:tmpl w:val="B39CD610"/>
    <w:lvl w:ilvl="0" w:tplc="678E096C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050472"/>
    <w:multiLevelType w:val="hybridMultilevel"/>
    <w:tmpl w:val="A6EC56B8"/>
    <w:lvl w:ilvl="0" w:tplc="A1D024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06151B"/>
    <w:multiLevelType w:val="hybridMultilevel"/>
    <w:tmpl w:val="D8B63D54"/>
    <w:lvl w:ilvl="0" w:tplc="79147138">
      <w:start w:val="1"/>
      <w:numFmt w:val="japaneseCounting"/>
      <w:lvlText w:val="%1、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78E"/>
    <w:rsid w:val="000061E1"/>
    <w:rsid w:val="000113A2"/>
    <w:rsid w:val="00015CFB"/>
    <w:rsid w:val="00015DDA"/>
    <w:rsid w:val="0002318A"/>
    <w:rsid w:val="000236AD"/>
    <w:rsid w:val="000413A8"/>
    <w:rsid w:val="00071BAA"/>
    <w:rsid w:val="000726E4"/>
    <w:rsid w:val="00085FF6"/>
    <w:rsid w:val="000B5DDE"/>
    <w:rsid w:val="000D1E32"/>
    <w:rsid w:val="000D36A4"/>
    <w:rsid w:val="000E5DEA"/>
    <w:rsid w:val="000F4F75"/>
    <w:rsid w:val="001068A6"/>
    <w:rsid w:val="00107961"/>
    <w:rsid w:val="001101C4"/>
    <w:rsid w:val="00121A5F"/>
    <w:rsid w:val="001306D7"/>
    <w:rsid w:val="00133D28"/>
    <w:rsid w:val="00135521"/>
    <w:rsid w:val="00136C95"/>
    <w:rsid w:val="00155F7A"/>
    <w:rsid w:val="00156E91"/>
    <w:rsid w:val="001723A2"/>
    <w:rsid w:val="00176419"/>
    <w:rsid w:val="00181E02"/>
    <w:rsid w:val="001837D0"/>
    <w:rsid w:val="00184625"/>
    <w:rsid w:val="001B2C4B"/>
    <w:rsid w:val="001D5346"/>
    <w:rsid w:val="001D585D"/>
    <w:rsid w:val="001F0F32"/>
    <w:rsid w:val="001F29E5"/>
    <w:rsid w:val="00220D02"/>
    <w:rsid w:val="0023200C"/>
    <w:rsid w:val="00232BAE"/>
    <w:rsid w:val="002415FC"/>
    <w:rsid w:val="0025265E"/>
    <w:rsid w:val="002551F2"/>
    <w:rsid w:val="00271BF8"/>
    <w:rsid w:val="00273101"/>
    <w:rsid w:val="0027469D"/>
    <w:rsid w:val="002758DA"/>
    <w:rsid w:val="00277A69"/>
    <w:rsid w:val="00283D12"/>
    <w:rsid w:val="00287846"/>
    <w:rsid w:val="002915D0"/>
    <w:rsid w:val="00292D65"/>
    <w:rsid w:val="00293B50"/>
    <w:rsid w:val="00296154"/>
    <w:rsid w:val="002A0DE7"/>
    <w:rsid w:val="002A5A72"/>
    <w:rsid w:val="002C4B9E"/>
    <w:rsid w:val="002C5B81"/>
    <w:rsid w:val="002D3BB7"/>
    <w:rsid w:val="002D5D20"/>
    <w:rsid w:val="002E543E"/>
    <w:rsid w:val="002F09C2"/>
    <w:rsid w:val="002F3F72"/>
    <w:rsid w:val="00307AEB"/>
    <w:rsid w:val="00317F2C"/>
    <w:rsid w:val="0032693B"/>
    <w:rsid w:val="003330A1"/>
    <w:rsid w:val="00336FAF"/>
    <w:rsid w:val="00340138"/>
    <w:rsid w:val="00353518"/>
    <w:rsid w:val="0035620D"/>
    <w:rsid w:val="0036378E"/>
    <w:rsid w:val="00375221"/>
    <w:rsid w:val="00375508"/>
    <w:rsid w:val="003823EF"/>
    <w:rsid w:val="00390931"/>
    <w:rsid w:val="003A195A"/>
    <w:rsid w:val="003A269C"/>
    <w:rsid w:val="003A6E12"/>
    <w:rsid w:val="003B1C21"/>
    <w:rsid w:val="003B5AFD"/>
    <w:rsid w:val="003C1EA7"/>
    <w:rsid w:val="003D1CC5"/>
    <w:rsid w:val="003D7141"/>
    <w:rsid w:val="003E0172"/>
    <w:rsid w:val="003E0E54"/>
    <w:rsid w:val="003E7C24"/>
    <w:rsid w:val="003F6218"/>
    <w:rsid w:val="0041102B"/>
    <w:rsid w:val="004237E4"/>
    <w:rsid w:val="004261FE"/>
    <w:rsid w:val="0043424E"/>
    <w:rsid w:val="004427A8"/>
    <w:rsid w:val="00474A07"/>
    <w:rsid w:val="004755FA"/>
    <w:rsid w:val="00476B3C"/>
    <w:rsid w:val="0048600F"/>
    <w:rsid w:val="004A31EE"/>
    <w:rsid w:val="004B12E8"/>
    <w:rsid w:val="004B25C9"/>
    <w:rsid w:val="004B6752"/>
    <w:rsid w:val="004C1356"/>
    <w:rsid w:val="004C468C"/>
    <w:rsid w:val="004D2872"/>
    <w:rsid w:val="004D7A5E"/>
    <w:rsid w:val="004E17FE"/>
    <w:rsid w:val="004E7804"/>
    <w:rsid w:val="004F31DC"/>
    <w:rsid w:val="005030C3"/>
    <w:rsid w:val="005100FB"/>
    <w:rsid w:val="005144A4"/>
    <w:rsid w:val="00515B8F"/>
    <w:rsid w:val="00530356"/>
    <w:rsid w:val="00530FB1"/>
    <w:rsid w:val="00534D54"/>
    <w:rsid w:val="00540EA5"/>
    <w:rsid w:val="00541EDC"/>
    <w:rsid w:val="00552427"/>
    <w:rsid w:val="00571966"/>
    <w:rsid w:val="00574F14"/>
    <w:rsid w:val="00585751"/>
    <w:rsid w:val="005A5993"/>
    <w:rsid w:val="005B0426"/>
    <w:rsid w:val="005B45CB"/>
    <w:rsid w:val="005C5C1E"/>
    <w:rsid w:val="005D2A3C"/>
    <w:rsid w:val="005D4CDA"/>
    <w:rsid w:val="005E2016"/>
    <w:rsid w:val="005E6385"/>
    <w:rsid w:val="005F6596"/>
    <w:rsid w:val="006008DF"/>
    <w:rsid w:val="006056BD"/>
    <w:rsid w:val="00610532"/>
    <w:rsid w:val="00613115"/>
    <w:rsid w:val="006161B3"/>
    <w:rsid w:val="006161FD"/>
    <w:rsid w:val="00621626"/>
    <w:rsid w:val="00621B4F"/>
    <w:rsid w:val="00644EEB"/>
    <w:rsid w:val="00645D3A"/>
    <w:rsid w:val="006526D8"/>
    <w:rsid w:val="00652B29"/>
    <w:rsid w:val="0065479F"/>
    <w:rsid w:val="00655411"/>
    <w:rsid w:val="00656D03"/>
    <w:rsid w:val="00660E31"/>
    <w:rsid w:val="006731AF"/>
    <w:rsid w:val="0067465D"/>
    <w:rsid w:val="0067793B"/>
    <w:rsid w:val="00682578"/>
    <w:rsid w:val="00686955"/>
    <w:rsid w:val="006A2067"/>
    <w:rsid w:val="006A4F4C"/>
    <w:rsid w:val="006B0088"/>
    <w:rsid w:val="006B0514"/>
    <w:rsid w:val="006B476F"/>
    <w:rsid w:val="006D17E5"/>
    <w:rsid w:val="006D683E"/>
    <w:rsid w:val="006D76F8"/>
    <w:rsid w:val="006E08F3"/>
    <w:rsid w:val="006E31F1"/>
    <w:rsid w:val="0070129C"/>
    <w:rsid w:val="00701628"/>
    <w:rsid w:val="00704FBE"/>
    <w:rsid w:val="00706108"/>
    <w:rsid w:val="007128C8"/>
    <w:rsid w:val="0071618D"/>
    <w:rsid w:val="007219DD"/>
    <w:rsid w:val="0073557C"/>
    <w:rsid w:val="0073668F"/>
    <w:rsid w:val="00741118"/>
    <w:rsid w:val="007545D4"/>
    <w:rsid w:val="0075573B"/>
    <w:rsid w:val="00767E01"/>
    <w:rsid w:val="0077552A"/>
    <w:rsid w:val="00780ABD"/>
    <w:rsid w:val="00786F56"/>
    <w:rsid w:val="007966C8"/>
    <w:rsid w:val="007A01E4"/>
    <w:rsid w:val="007A2080"/>
    <w:rsid w:val="007A7D22"/>
    <w:rsid w:val="007A7F99"/>
    <w:rsid w:val="007C1D50"/>
    <w:rsid w:val="007C58CB"/>
    <w:rsid w:val="007D544A"/>
    <w:rsid w:val="007D57D5"/>
    <w:rsid w:val="007E3600"/>
    <w:rsid w:val="00805E81"/>
    <w:rsid w:val="00807EC9"/>
    <w:rsid w:val="00811EB6"/>
    <w:rsid w:val="008149CC"/>
    <w:rsid w:val="00815FFA"/>
    <w:rsid w:val="00821992"/>
    <w:rsid w:val="00824260"/>
    <w:rsid w:val="0082483D"/>
    <w:rsid w:val="00827537"/>
    <w:rsid w:val="00834AA3"/>
    <w:rsid w:val="00841760"/>
    <w:rsid w:val="008448A3"/>
    <w:rsid w:val="00857E68"/>
    <w:rsid w:val="00863F3C"/>
    <w:rsid w:val="00865FE1"/>
    <w:rsid w:val="008668B6"/>
    <w:rsid w:val="00887887"/>
    <w:rsid w:val="00887DD7"/>
    <w:rsid w:val="008B5E81"/>
    <w:rsid w:val="008C146E"/>
    <w:rsid w:val="008C24FC"/>
    <w:rsid w:val="008D7A8F"/>
    <w:rsid w:val="008F120C"/>
    <w:rsid w:val="00900BE5"/>
    <w:rsid w:val="00905B99"/>
    <w:rsid w:val="009068B7"/>
    <w:rsid w:val="00930AD7"/>
    <w:rsid w:val="00935E48"/>
    <w:rsid w:val="00952054"/>
    <w:rsid w:val="00954BFE"/>
    <w:rsid w:val="00956776"/>
    <w:rsid w:val="00957E8F"/>
    <w:rsid w:val="009644C8"/>
    <w:rsid w:val="00964808"/>
    <w:rsid w:val="00965E9D"/>
    <w:rsid w:val="00971739"/>
    <w:rsid w:val="00973599"/>
    <w:rsid w:val="0099051C"/>
    <w:rsid w:val="00992220"/>
    <w:rsid w:val="009953AC"/>
    <w:rsid w:val="009A7170"/>
    <w:rsid w:val="009B2BB0"/>
    <w:rsid w:val="009C0EEB"/>
    <w:rsid w:val="009C6BB5"/>
    <w:rsid w:val="009E042D"/>
    <w:rsid w:val="00A001BD"/>
    <w:rsid w:val="00A05879"/>
    <w:rsid w:val="00A1751C"/>
    <w:rsid w:val="00A27D5F"/>
    <w:rsid w:val="00A30C32"/>
    <w:rsid w:val="00A36E2D"/>
    <w:rsid w:val="00A427F3"/>
    <w:rsid w:val="00A53E01"/>
    <w:rsid w:val="00A53FC6"/>
    <w:rsid w:val="00A551DC"/>
    <w:rsid w:val="00A7110D"/>
    <w:rsid w:val="00A7329F"/>
    <w:rsid w:val="00A85E3B"/>
    <w:rsid w:val="00A86549"/>
    <w:rsid w:val="00AA01B6"/>
    <w:rsid w:val="00AA52CB"/>
    <w:rsid w:val="00AB0F63"/>
    <w:rsid w:val="00AB3BC5"/>
    <w:rsid w:val="00AB3BE5"/>
    <w:rsid w:val="00AB5779"/>
    <w:rsid w:val="00AB69C2"/>
    <w:rsid w:val="00AC5E0C"/>
    <w:rsid w:val="00B011BA"/>
    <w:rsid w:val="00B1190B"/>
    <w:rsid w:val="00B142BD"/>
    <w:rsid w:val="00B22063"/>
    <w:rsid w:val="00B23767"/>
    <w:rsid w:val="00B33932"/>
    <w:rsid w:val="00B44F7F"/>
    <w:rsid w:val="00B464BB"/>
    <w:rsid w:val="00B50751"/>
    <w:rsid w:val="00B5603C"/>
    <w:rsid w:val="00B61907"/>
    <w:rsid w:val="00B62608"/>
    <w:rsid w:val="00B657B3"/>
    <w:rsid w:val="00B74921"/>
    <w:rsid w:val="00B76B3C"/>
    <w:rsid w:val="00B93469"/>
    <w:rsid w:val="00B94612"/>
    <w:rsid w:val="00BB5639"/>
    <w:rsid w:val="00BC0A11"/>
    <w:rsid w:val="00BC2D20"/>
    <w:rsid w:val="00BC75DB"/>
    <w:rsid w:val="00BD0D71"/>
    <w:rsid w:val="00BE15B6"/>
    <w:rsid w:val="00BE3D88"/>
    <w:rsid w:val="00BE426F"/>
    <w:rsid w:val="00BF32D1"/>
    <w:rsid w:val="00BF611B"/>
    <w:rsid w:val="00C00BF3"/>
    <w:rsid w:val="00C04ABC"/>
    <w:rsid w:val="00C05DAD"/>
    <w:rsid w:val="00C15996"/>
    <w:rsid w:val="00C22B35"/>
    <w:rsid w:val="00C328DD"/>
    <w:rsid w:val="00C355D7"/>
    <w:rsid w:val="00C40A70"/>
    <w:rsid w:val="00C40DA0"/>
    <w:rsid w:val="00C4230B"/>
    <w:rsid w:val="00C43755"/>
    <w:rsid w:val="00C45BF4"/>
    <w:rsid w:val="00C45E62"/>
    <w:rsid w:val="00C50F64"/>
    <w:rsid w:val="00C51305"/>
    <w:rsid w:val="00C57252"/>
    <w:rsid w:val="00C65031"/>
    <w:rsid w:val="00C65352"/>
    <w:rsid w:val="00C965EA"/>
    <w:rsid w:val="00CB3B11"/>
    <w:rsid w:val="00CB7462"/>
    <w:rsid w:val="00CC1FE9"/>
    <w:rsid w:val="00CD6627"/>
    <w:rsid w:val="00D04ECE"/>
    <w:rsid w:val="00D07DE0"/>
    <w:rsid w:val="00D313DF"/>
    <w:rsid w:val="00D3149A"/>
    <w:rsid w:val="00D36747"/>
    <w:rsid w:val="00D37172"/>
    <w:rsid w:val="00D43F9A"/>
    <w:rsid w:val="00D57E23"/>
    <w:rsid w:val="00D66338"/>
    <w:rsid w:val="00D667E0"/>
    <w:rsid w:val="00D70330"/>
    <w:rsid w:val="00D751EA"/>
    <w:rsid w:val="00D8315B"/>
    <w:rsid w:val="00D832B6"/>
    <w:rsid w:val="00D8570C"/>
    <w:rsid w:val="00D902DF"/>
    <w:rsid w:val="00DA3102"/>
    <w:rsid w:val="00DA73A3"/>
    <w:rsid w:val="00DB123E"/>
    <w:rsid w:val="00DD4229"/>
    <w:rsid w:val="00DD44B5"/>
    <w:rsid w:val="00DD6274"/>
    <w:rsid w:val="00DD6A98"/>
    <w:rsid w:val="00DF0FC1"/>
    <w:rsid w:val="00E05653"/>
    <w:rsid w:val="00E12ADD"/>
    <w:rsid w:val="00E12C95"/>
    <w:rsid w:val="00E13091"/>
    <w:rsid w:val="00E17612"/>
    <w:rsid w:val="00E214C9"/>
    <w:rsid w:val="00E329DD"/>
    <w:rsid w:val="00E338D0"/>
    <w:rsid w:val="00E33F9F"/>
    <w:rsid w:val="00E35472"/>
    <w:rsid w:val="00E362A6"/>
    <w:rsid w:val="00E564F7"/>
    <w:rsid w:val="00E670A3"/>
    <w:rsid w:val="00E7592D"/>
    <w:rsid w:val="00E822ED"/>
    <w:rsid w:val="00E8632F"/>
    <w:rsid w:val="00E87FE6"/>
    <w:rsid w:val="00E93BB5"/>
    <w:rsid w:val="00EA2192"/>
    <w:rsid w:val="00EA4971"/>
    <w:rsid w:val="00EB0297"/>
    <w:rsid w:val="00EB65BA"/>
    <w:rsid w:val="00EC236A"/>
    <w:rsid w:val="00EC3617"/>
    <w:rsid w:val="00EC52CD"/>
    <w:rsid w:val="00EC72EF"/>
    <w:rsid w:val="00EF50C0"/>
    <w:rsid w:val="00EF684C"/>
    <w:rsid w:val="00F03F71"/>
    <w:rsid w:val="00F227EE"/>
    <w:rsid w:val="00F323A1"/>
    <w:rsid w:val="00F5325E"/>
    <w:rsid w:val="00F55750"/>
    <w:rsid w:val="00F72B00"/>
    <w:rsid w:val="00F84D6E"/>
    <w:rsid w:val="00FA2147"/>
    <w:rsid w:val="00FB5B1A"/>
    <w:rsid w:val="00FC03EE"/>
    <w:rsid w:val="00FC4410"/>
    <w:rsid w:val="00FD6133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51305"/>
    <w:pPr>
      <w:ind w:firstLineChars="200" w:firstLine="420"/>
    </w:pPr>
  </w:style>
  <w:style w:type="paragraph" w:styleId="a3">
    <w:name w:val="header"/>
    <w:basedOn w:val="a"/>
    <w:link w:val="Char"/>
    <w:semiHidden/>
    <w:rsid w:val="0042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character" w:customStyle="1" w:styleId="Char">
    <w:name w:val="页眉 Char"/>
    <w:link w:val="a3"/>
    <w:semiHidden/>
    <w:locked/>
    <w:rsid w:val="004261FE"/>
    <w:rPr>
      <w:sz w:val="18"/>
    </w:rPr>
  </w:style>
  <w:style w:type="paragraph" w:styleId="a4">
    <w:name w:val="footer"/>
    <w:basedOn w:val="a"/>
    <w:link w:val="Char0"/>
    <w:rsid w:val="004261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/>
    </w:rPr>
  </w:style>
  <w:style w:type="character" w:customStyle="1" w:styleId="Char0">
    <w:name w:val="页脚 Char"/>
    <w:link w:val="a4"/>
    <w:locked/>
    <w:rsid w:val="004261FE"/>
    <w:rPr>
      <w:sz w:val="18"/>
    </w:rPr>
  </w:style>
  <w:style w:type="paragraph" w:customStyle="1" w:styleId="time1">
    <w:name w:val="time1"/>
    <w:basedOn w:val="a"/>
    <w:rsid w:val="000D1E32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5">
    <w:name w:val="Balloon Text"/>
    <w:basedOn w:val="a"/>
    <w:link w:val="Char1"/>
    <w:semiHidden/>
    <w:rsid w:val="00E338D0"/>
    <w:rPr>
      <w:kern w:val="0"/>
      <w:sz w:val="18"/>
      <w:szCs w:val="20"/>
      <w:lang/>
    </w:rPr>
  </w:style>
  <w:style w:type="character" w:customStyle="1" w:styleId="Char1">
    <w:name w:val="批注框文本 Char"/>
    <w:link w:val="a5"/>
    <w:semiHidden/>
    <w:locked/>
    <w:rsid w:val="00E338D0"/>
    <w:rPr>
      <w:sz w:val="18"/>
    </w:rPr>
  </w:style>
  <w:style w:type="character" w:styleId="a6">
    <w:name w:val="Hyperlink"/>
    <w:rsid w:val="002415FC"/>
    <w:rPr>
      <w:color w:val="0000FF"/>
      <w:u w:val="single"/>
    </w:rPr>
  </w:style>
  <w:style w:type="character" w:customStyle="1" w:styleId="txtcontent11">
    <w:name w:val="txtcontent11"/>
    <w:rsid w:val="00B76B3C"/>
    <w:rPr>
      <w:rFonts w:ascii="??" w:hAnsi="??"/>
      <w:color w:val="000000"/>
      <w:sz w:val="18"/>
    </w:rPr>
  </w:style>
  <w:style w:type="paragraph" w:styleId="HTML">
    <w:name w:val="HTML Preformatted"/>
    <w:basedOn w:val="a"/>
    <w:link w:val="HTMLChar"/>
    <w:rsid w:val="00701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locked/>
    <w:rsid w:val="00701628"/>
    <w:rPr>
      <w:rFonts w:ascii="宋体" w:eastAsia="宋体" w:cs="宋体"/>
      <w:sz w:val="24"/>
      <w:szCs w:val="24"/>
    </w:rPr>
  </w:style>
  <w:style w:type="character" w:styleId="a7">
    <w:name w:val="annotation reference"/>
    <w:semiHidden/>
    <w:rsid w:val="0075573B"/>
    <w:rPr>
      <w:sz w:val="21"/>
      <w:szCs w:val="21"/>
    </w:rPr>
  </w:style>
  <w:style w:type="paragraph" w:styleId="a8">
    <w:name w:val="annotation text"/>
    <w:basedOn w:val="a"/>
    <w:semiHidden/>
    <w:rsid w:val="0075573B"/>
    <w:pPr>
      <w:jc w:val="left"/>
    </w:pPr>
  </w:style>
  <w:style w:type="paragraph" w:styleId="a9">
    <w:name w:val="annotation subject"/>
    <w:basedOn w:val="a8"/>
    <w:next w:val="a8"/>
    <w:semiHidden/>
    <w:rsid w:val="0075573B"/>
    <w:rPr>
      <w:b/>
      <w:bCs/>
    </w:rPr>
  </w:style>
  <w:style w:type="paragraph" w:customStyle="1" w:styleId="Default">
    <w:name w:val="Default"/>
    <w:rsid w:val="008448A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a">
    <w:name w:val="Date"/>
    <w:basedOn w:val="a"/>
    <w:next w:val="a"/>
    <w:link w:val="Char2"/>
    <w:rsid w:val="006D17E5"/>
    <w:pPr>
      <w:ind w:leftChars="2500" w:left="100"/>
    </w:pPr>
  </w:style>
  <w:style w:type="character" w:customStyle="1" w:styleId="Char2">
    <w:name w:val="日期 Char"/>
    <w:link w:val="aa"/>
    <w:rsid w:val="006D17E5"/>
    <w:rPr>
      <w:kern w:val="2"/>
      <w:sz w:val="21"/>
      <w:szCs w:val="22"/>
    </w:rPr>
  </w:style>
  <w:style w:type="paragraph" w:styleId="ab">
    <w:name w:val="Plain Text"/>
    <w:basedOn w:val="a"/>
    <w:link w:val="Char3"/>
    <w:uiPriority w:val="99"/>
    <w:unhideWhenUsed/>
    <w:rsid w:val="006D17E5"/>
    <w:pPr>
      <w:widowControl/>
      <w:jc w:val="left"/>
    </w:pPr>
    <w:rPr>
      <w:rFonts w:hAnsi="Courier New" w:cs="Courier New"/>
      <w:kern w:val="0"/>
      <w:szCs w:val="21"/>
    </w:rPr>
  </w:style>
  <w:style w:type="character" w:customStyle="1" w:styleId="Char3">
    <w:name w:val="纯文本 Char"/>
    <w:link w:val="ab"/>
    <w:uiPriority w:val="99"/>
    <w:rsid w:val="006D17E5"/>
    <w:rPr>
      <w:rFonts w:hAnsi="Courier New" w:cs="Courier New"/>
      <w:sz w:val="21"/>
      <w:szCs w:val="21"/>
    </w:rPr>
  </w:style>
  <w:style w:type="paragraph" w:styleId="ac">
    <w:name w:val="Normal (Web)"/>
    <w:basedOn w:val="a"/>
    <w:uiPriority w:val="99"/>
    <w:unhideWhenUsed/>
    <w:rsid w:val="006D17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Revision"/>
    <w:hidden/>
    <w:uiPriority w:val="99"/>
    <w:semiHidden/>
    <w:rsid w:val="00574F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single" w:sz="4" w:space="0" w:color="CFDBEB"/>
                    <w:bottom w:val="single" w:sz="4" w:space="0" w:color="CFDBEB"/>
                    <w:right w:val="single" w:sz="4" w:space="0" w:color="CFDBEB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103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388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85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55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12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1809-3855-4A1B-8D7A-9CC0EF23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4</DocSecurity>
  <Lines>5</Lines>
  <Paragraphs>1</Paragraphs>
  <ScaleCrop>false</ScaleCrop>
  <Company>MC SYSTEM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关于增加上海银行股份有限公司及申银万国证券股份有限公司</dc:title>
  <dc:subject/>
  <dc:creator>Cattleya</dc:creator>
  <cp:keywords/>
  <cp:lastModifiedBy>JonMMx 2000</cp:lastModifiedBy>
  <cp:revision>2</cp:revision>
  <dcterms:created xsi:type="dcterms:W3CDTF">2019-10-10T16:00:00Z</dcterms:created>
  <dcterms:modified xsi:type="dcterms:W3CDTF">2019-10-10T16:00:00Z</dcterms:modified>
</cp:coreProperties>
</file>