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90" w:rsidRPr="003D3F8A" w:rsidRDefault="00CA0B90">
      <w:pPr>
        <w:spacing w:line="360" w:lineRule="auto"/>
        <w:jc w:val="center"/>
        <w:rPr>
          <w:b/>
          <w:bCs/>
          <w:color w:val="000000"/>
          <w:sz w:val="24"/>
        </w:rPr>
      </w:pPr>
    </w:p>
    <w:p w:rsidR="00CA0B90" w:rsidRPr="003D3F8A" w:rsidRDefault="00CA0B90">
      <w:pPr>
        <w:spacing w:line="360" w:lineRule="auto"/>
        <w:jc w:val="center"/>
        <w:rPr>
          <w:b/>
          <w:bCs/>
          <w:color w:val="000000"/>
          <w:sz w:val="24"/>
        </w:rPr>
      </w:pPr>
    </w:p>
    <w:p w:rsidR="00CA0B90" w:rsidRPr="003D3F8A" w:rsidRDefault="00CA0B90">
      <w:pPr>
        <w:spacing w:line="360" w:lineRule="auto"/>
        <w:jc w:val="center"/>
        <w:rPr>
          <w:b/>
          <w:bCs/>
          <w:color w:val="000000"/>
          <w:sz w:val="24"/>
        </w:rPr>
      </w:pPr>
    </w:p>
    <w:p w:rsidR="00CA0B90" w:rsidRPr="003D3F8A" w:rsidRDefault="004B7CED">
      <w:pPr>
        <w:spacing w:line="360" w:lineRule="auto"/>
        <w:jc w:val="center"/>
        <w:rPr>
          <w:b/>
          <w:sz w:val="36"/>
          <w:szCs w:val="36"/>
        </w:rPr>
      </w:pPr>
      <w:r w:rsidRPr="003D3F8A">
        <w:rPr>
          <w:b/>
          <w:sz w:val="36"/>
          <w:szCs w:val="36"/>
        </w:rPr>
        <w:t>中银薪钱包货币市场基金</w:t>
      </w:r>
    </w:p>
    <w:p w:rsidR="00CA0B90" w:rsidRPr="003D3F8A" w:rsidRDefault="004B7CED">
      <w:pPr>
        <w:spacing w:line="360" w:lineRule="auto"/>
        <w:jc w:val="center"/>
        <w:rPr>
          <w:b/>
          <w:sz w:val="36"/>
          <w:szCs w:val="36"/>
        </w:rPr>
      </w:pPr>
      <w:r w:rsidRPr="003D3F8A">
        <w:rPr>
          <w:b/>
          <w:sz w:val="36"/>
          <w:szCs w:val="36"/>
        </w:rPr>
        <w:t>2018</w:t>
      </w:r>
      <w:r w:rsidRPr="003D3F8A">
        <w:rPr>
          <w:b/>
          <w:sz w:val="36"/>
          <w:szCs w:val="36"/>
        </w:rPr>
        <w:t>年第</w:t>
      </w:r>
      <w:r w:rsidRPr="003D3F8A">
        <w:rPr>
          <w:b/>
          <w:sz w:val="36"/>
          <w:szCs w:val="36"/>
        </w:rPr>
        <w:t>4</w:t>
      </w:r>
      <w:r w:rsidRPr="003D3F8A">
        <w:rPr>
          <w:b/>
          <w:sz w:val="36"/>
          <w:szCs w:val="36"/>
        </w:rPr>
        <w:t>季度报告</w:t>
      </w:r>
    </w:p>
    <w:p w:rsidR="00CA0B90" w:rsidRPr="003D3F8A" w:rsidRDefault="004B7CED">
      <w:pPr>
        <w:spacing w:line="360" w:lineRule="auto"/>
        <w:jc w:val="center"/>
        <w:rPr>
          <w:b/>
          <w:sz w:val="36"/>
          <w:szCs w:val="36"/>
        </w:rPr>
      </w:pPr>
      <w:r w:rsidRPr="003D3F8A">
        <w:rPr>
          <w:b/>
          <w:sz w:val="36"/>
          <w:szCs w:val="36"/>
        </w:rPr>
        <w:t>2018</w:t>
      </w:r>
      <w:r w:rsidRPr="003D3F8A">
        <w:rPr>
          <w:b/>
          <w:sz w:val="36"/>
          <w:szCs w:val="36"/>
        </w:rPr>
        <w:t>年</w:t>
      </w:r>
      <w:r w:rsidRPr="003D3F8A">
        <w:rPr>
          <w:b/>
          <w:sz w:val="36"/>
          <w:szCs w:val="36"/>
        </w:rPr>
        <w:t>12</w:t>
      </w:r>
      <w:r w:rsidRPr="003D3F8A">
        <w:rPr>
          <w:b/>
          <w:sz w:val="36"/>
          <w:szCs w:val="36"/>
        </w:rPr>
        <w:t>月</w:t>
      </w:r>
      <w:r w:rsidRPr="003D3F8A">
        <w:rPr>
          <w:b/>
          <w:sz w:val="36"/>
          <w:szCs w:val="36"/>
        </w:rPr>
        <w:t>31</w:t>
      </w:r>
      <w:r w:rsidRPr="003D3F8A">
        <w:rPr>
          <w:b/>
          <w:sz w:val="36"/>
          <w:szCs w:val="36"/>
        </w:rPr>
        <w:t>日</w:t>
      </w:r>
    </w:p>
    <w:p w:rsidR="00CA0B90" w:rsidRPr="003D3F8A" w:rsidRDefault="00CA0B90">
      <w:pPr>
        <w:spacing w:line="360" w:lineRule="auto"/>
        <w:jc w:val="center"/>
        <w:rPr>
          <w:b/>
          <w:bCs/>
          <w:color w:val="000000"/>
          <w:sz w:val="24"/>
        </w:rPr>
      </w:pPr>
    </w:p>
    <w:p w:rsidR="00CA0B90" w:rsidRPr="003D3F8A" w:rsidRDefault="00CA0B90">
      <w:pPr>
        <w:spacing w:line="360" w:lineRule="auto"/>
        <w:jc w:val="center"/>
        <w:rPr>
          <w:b/>
          <w:bCs/>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CA0B90">
      <w:pPr>
        <w:spacing w:line="360" w:lineRule="auto"/>
        <w:jc w:val="center"/>
        <w:rPr>
          <w:b/>
          <w:color w:val="000000"/>
          <w:sz w:val="24"/>
        </w:rPr>
      </w:pPr>
    </w:p>
    <w:p w:rsidR="00CA0B90" w:rsidRPr="003D3F8A" w:rsidRDefault="004B7CED">
      <w:pPr>
        <w:spacing w:line="360" w:lineRule="auto"/>
        <w:ind w:firstLineChars="900" w:firstLine="2168"/>
        <w:rPr>
          <w:b/>
          <w:color w:val="000000"/>
          <w:sz w:val="24"/>
        </w:rPr>
      </w:pPr>
      <w:r w:rsidRPr="003D3F8A">
        <w:rPr>
          <w:b/>
          <w:color w:val="000000"/>
          <w:sz w:val="24"/>
        </w:rPr>
        <w:t>基金管理人：中银基金管理有限公司</w:t>
      </w:r>
    </w:p>
    <w:p w:rsidR="00CA0B90" w:rsidRPr="003D3F8A" w:rsidRDefault="004B7CED">
      <w:pPr>
        <w:spacing w:line="360" w:lineRule="auto"/>
        <w:ind w:firstLineChars="900" w:firstLine="2168"/>
        <w:rPr>
          <w:b/>
          <w:color w:val="000000"/>
          <w:sz w:val="24"/>
        </w:rPr>
      </w:pPr>
      <w:r w:rsidRPr="003D3F8A">
        <w:rPr>
          <w:b/>
          <w:color w:val="000000"/>
          <w:sz w:val="24"/>
        </w:rPr>
        <w:t>基金托管人：兴业银行股份有限公司</w:t>
      </w:r>
    </w:p>
    <w:p w:rsidR="00CA0B90" w:rsidRPr="003D3F8A" w:rsidRDefault="004B7CED">
      <w:pPr>
        <w:spacing w:line="360" w:lineRule="auto"/>
        <w:ind w:firstLineChars="900" w:firstLine="2168"/>
        <w:rPr>
          <w:b/>
          <w:color w:val="000000"/>
          <w:sz w:val="24"/>
        </w:rPr>
        <w:sectPr w:rsidR="00CA0B90" w:rsidRPr="003D3F8A">
          <w:headerReference w:type="default" r:id="rId7"/>
          <w:footerReference w:type="default" r:id="rId8"/>
          <w:pgSz w:w="11926" w:h="15840"/>
          <w:pgMar w:top="1418" w:right="1418" w:bottom="851" w:left="1418" w:header="851" w:footer="992" w:gutter="0"/>
          <w:cols w:space="720"/>
        </w:sectPr>
      </w:pPr>
      <w:r w:rsidRPr="003D3F8A">
        <w:rPr>
          <w:b/>
          <w:color w:val="000000"/>
          <w:sz w:val="24"/>
        </w:rPr>
        <w:t>报告送出日期：二〇一九年一月二十二日</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lastRenderedPageBreak/>
        <w:t xml:space="preserve">§1  </w:t>
      </w:r>
      <w:r w:rsidRPr="003D3F8A">
        <w:rPr>
          <w:color w:val="000000"/>
          <w:kern w:val="0"/>
          <w:sz w:val="24"/>
          <w:szCs w:val="24"/>
        </w:rPr>
        <w:t>重要提示</w:t>
      </w:r>
    </w:p>
    <w:p w:rsidR="00CA0B90" w:rsidRPr="003D3F8A" w:rsidRDefault="004B7CED">
      <w:pPr>
        <w:spacing w:line="360" w:lineRule="auto"/>
        <w:ind w:firstLineChars="200" w:firstLine="420"/>
        <w:rPr>
          <w:color w:val="000000"/>
          <w:szCs w:val="21"/>
        </w:rPr>
      </w:pPr>
      <w:r w:rsidRPr="003D3F8A">
        <w:rPr>
          <w:color w:val="000000"/>
          <w:szCs w:val="21"/>
        </w:rPr>
        <w:t>基金管理人的董事会及董事保证本报告所载资料不存在虚假记载、误导性陈述或重大遗漏，并对其内容的真实性、准确性和完整性承担个别及连带责任。</w:t>
      </w:r>
    </w:p>
    <w:p w:rsidR="00CA0B90" w:rsidRPr="003D3F8A" w:rsidRDefault="004B7CED">
      <w:pPr>
        <w:spacing w:line="360" w:lineRule="auto"/>
        <w:ind w:firstLineChars="200" w:firstLine="420"/>
        <w:rPr>
          <w:color w:val="000000"/>
          <w:szCs w:val="21"/>
        </w:rPr>
      </w:pPr>
      <w:r w:rsidRPr="003D3F8A">
        <w:rPr>
          <w:color w:val="000000"/>
          <w:szCs w:val="21"/>
        </w:rPr>
        <w:t>基金托管人兴业银行股份有限公司根据本基金合同规定，于</w:t>
      </w:r>
      <w:r w:rsidRPr="003D3F8A">
        <w:rPr>
          <w:color w:val="000000"/>
          <w:szCs w:val="21"/>
        </w:rPr>
        <w:t>2019</w:t>
      </w:r>
      <w:r w:rsidRPr="003D3F8A">
        <w:rPr>
          <w:color w:val="000000"/>
          <w:szCs w:val="21"/>
        </w:rPr>
        <w:t>年</w:t>
      </w:r>
      <w:r w:rsidRPr="003D3F8A">
        <w:rPr>
          <w:color w:val="000000"/>
          <w:szCs w:val="21"/>
        </w:rPr>
        <w:t>1</w:t>
      </w:r>
      <w:r w:rsidRPr="003D3F8A">
        <w:rPr>
          <w:color w:val="000000"/>
          <w:szCs w:val="21"/>
        </w:rPr>
        <w:t>月</w:t>
      </w:r>
      <w:r w:rsidRPr="003D3F8A">
        <w:rPr>
          <w:color w:val="000000"/>
          <w:szCs w:val="21"/>
        </w:rPr>
        <w:t>21</w:t>
      </w:r>
      <w:r w:rsidRPr="003D3F8A">
        <w:rPr>
          <w:color w:val="000000"/>
          <w:szCs w:val="21"/>
        </w:rPr>
        <w:t>日复核了本报告中的财务指标、净值表现和投资组合报告等内容，保证复核内容不存在虚假记载、误导性陈述或者重大遗漏。</w:t>
      </w:r>
    </w:p>
    <w:p w:rsidR="00CA0B90" w:rsidRPr="003D3F8A" w:rsidRDefault="004B7CED">
      <w:pPr>
        <w:spacing w:line="360" w:lineRule="auto"/>
        <w:ind w:firstLineChars="200" w:firstLine="420"/>
        <w:rPr>
          <w:color w:val="000000"/>
          <w:szCs w:val="21"/>
        </w:rPr>
      </w:pPr>
      <w:r w:rsidRPr="003D3F8A">
        <w:rPr>
          <w:color w:val="000000"/>
          <w:szCs w:val="21"/>
        </w:rPr>
        <w:t>基金管理人承诺以诚实信用、勤勉尽责的原则管理和运用基金资产，但不保证基金一定盈利。</w:t>
      </w:r>
    </w:p>
    <w:p w:rsidR="00CA0B90" w:rsidRPr="003D3F8A" w:rsidRDefault="004B7CED">
      <w:pPr>
        <w:spacing w:line="360" w:lineRule="auto"/>
        <w:ind w:firstLineChars="200" w:firstLine="420"/>
        <w:rPr>
          <w:color w:val="000000"/>
          <w:szCs w:val="21"/>
        </w:rPr>
      </w:pPr>
      <w:r w:rsidRPr="003D3F8A">
        <w:rPr>
          <w:color w:val="000000"/>
          <w:szCs w:val="21"/>
        </w:rPr>
        <w:t>基金的过往业绩并不代表其未来表现。投资有风险，投资者在作出投资决策前应仔细阅读本基金的招募说明书。</w:t>
      </w:r>
    </w:p>
    <w:p w:rsidR="00CA0B90" w:rsidRPr="003D3F8A" w:rsidRDefault="004B7CED">
      <w:pPr>
        <w:spacing w:line="360" w:lineRule="auto"/>
        <w:ind w:firstLineChars="200" w:firstLine="420"/>
        <w:rPr>
          <w:color w:val="000000"/>
          <w:szCs w:val="21"/>
        </w:rPr>
      </w:pPr>
      <w:r w:rsidRPr="003D3F8A">
        <w:rPr>
          <w:color w:val="000000"/>
          <w:szCs w:val="21"/>
        </w:rPr>
        <w:t>本报告中财务资料未经审计。</w:t>
      </w:r>
    </w:p>
    <w:p w:rsidR="00CA0B90" w:rsidRPr="003D3F8A" w:rsidRDefault="004B7CED">
      <w:pPr>
        <w:spacing w:line="360" w:lineRule="auto"/>
        <w:ind w:firstLineChars="200" w:firstLine="420"/>
        <w:rPr>
          <w:color w:val="000000"/>
          <w:szCs w:val="21"/>
        </w:rPr>
      </w:pPr>
      <w:r w:rsidRPr="003D3F8A">
        <w:rPr>
          <w:color w:val="000000"/>
          <w:szCs w:val="21"/>
        </w:rPr>
        <w:t>本报告期自</w:t>
      </w:r>
      <w:r w:rsidRPr="003D3F8A">
        <w:rPr>
          <w:color w:val="000000"/>
          <w:szCs w:val="21"/>
        </w:rPr>
        <w:t>2018</w:t>
      </w:r>
      <w:r w:rsidRPr="003D3F8A">
        <w:rPr>
          <w:color w:val="000000"/>
          <w:szCs w:val="21"/>
        </w:rPr>
        <w:t>年</w:t>
      </w:r>
      <w:r w:rsidRPr="003D3F8A">
        <w:rPr>
          <w:color w:val="000000"/>
          <w:szCs w:val="21"/>
        </w:rPr>
        <w:t>10</w:t>
      </w:r>
      <w:r w:rsidRPr="003D3F8A">
        <w:rPr>
          <w:color w:val="000000"/>
          <w:szCs w:val="21"/>
        </w:rPr>
        <w:t>月</w:t>
      </w:r>
      <w:r w:rsidRPr="003D3F8A">
        <w:rPr>
          <w:color w:val="000000"/>
          <w:szCs w:val="21"/>
        </w:rPr>
        <w:t>1</w:t>
      </w:r>
      <w:r w:rsidRPr="003D3F8A">
        <w:rPr>
          <w:color w:val="000000"/>
          <w:szCs w:val="21"/>
        </w:rPr>
        <w:t>日起至</w:t>
      </w:r>
      <w:r w:rsidRPr="003D3F8A">
        <w:rPr>
          <w:color w:val="000000"/>
          <w:szCs w:val="21"/>
        </w:rPr>
        <w:t>12</w:t>
      </w:r>
      <w:r w:rsidRPr="003D3F8A">
        <w:rPr>
          <w:color w:val="000000"/>
          <w:szCs w:val="21"/>
        </w:rPr>
        <w:t>月</w:t>
      </w:r>
      <w:r w:rsidRPr="003D3F8A">
        <w:rPr>
          <w:color w:val="000000"/>
          <w:szCs w:val="21"/>
        </w:rPr>
        <w:t>31</w:t>
      </w:r>
      <w:r w:rsidRPr="003D3F8A">
        <w:rPr>
          <w:color w:val="000000"/>
          <w:szCs w:val="21"/>
        </w:rPr>
        <w:t>日止。</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 xml:space="preserve">§2  </w:t>
      </w:r>
      <w:r w:rsidRPr="003D3F8A">
        <w:rPr>
          <w:color w:val="000000"/>
          <w:kern w:val="0"/>
          <w:sz w:val="24"/>
          <w:szCs w:val="24"/>
        </w:rPr>
        <w:t>基金产品概况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70"/>
      </w:tblGrid>
      <w:tr w:rsidR="00CA0B90" w:rsidRPr="003D3F8A">
        <w:tc>
          <w:tcPr>
            <w:tcW w:w="2835" w:type="dxa"/>
          </w:tcPr>
          <w:p w:rsidR="00CA0B90" w:rsidRPr="003D3F8A" w:rsidRDefault="004B7CED">
            <w:pPr>
              <w:adjustRightInd w:val="0"/>
              <w:spacing w:before="29"/>
              <w:ind w:left="17"/>
              <w:jc w:val="left"/>
              <w:rPr>
                <w:kern w:val="0"/>
                <w:szCs w:val="21"/>
              </w:rPr>
            </w:pPr>
            <w:r w:rsidRPr="003D3F8A">
              <w:rPr>
                <w:kern w:val="0"/>
                <w:szCs w:val="21"/>
              </w:rPr>
              <w:t>基金简称</w:t>
            </w:r>
          </w:p>
        </w:tc>
        <w:tc>
          <w:tcPr>
            <w:tcW w:w="5670" w:type="dxa"/>
          </w:tcPr>
          <w:p w:rsidR="00CA0B90" w:rsidRPr="003D3F8A" w:rsidRDefault="004B7CED">
            <w:pPr>
              <w:adjustRightInd w:val="0"/>
              <w:spacing w:before="29"/>
              <w:ind w:left="17"/>
              <w:jc w:val="left"/>
              <w:rPr>
                <w:color w:val="000000"/>
                <w:kern w:val="0"/>
                <w:szCs w:val="21"/>
              </w:rPr>
            </w:pPr>
            <w:r w:rsidRPr="003D3F8A">
              <w:rPr>
                <w:color w:val="000000"/>
                <w:kern w:val="0"/>
                <w:szCs w:val="21"/>
              </w:rPr>
              <w:t>中银薪钱包货币</w:t>
            </w:r>
          </w:p>
        </w:tc>
      </w:tr>
      <w:tr w:rsidR="00CA0B90" w:rsidRPr="003D3F8A">
        <w:tc>
          <w:tcPr>
            <w:tcW w:w="2835" w:type="dxa"/>
            <w:tcBorders>
              <w:top w:val="single" w:sz="4" w:space="0" w:color="auto"/>
              <w:left w:val="single" w:sz="4" w:space="0" w:color="auto"/>
              <w:bottom w:val="single" w:sz="4" w:space="0" w:color="auto"/>
              <w:right w:val="single" w:sz="4" w:space="0" w:color="auto"/>
            </w:tcBorders>
          </w:tcPr>
          <w:p w:rsidR="00CA0B90" w:rsidRPr="003D3F8A" w:rsidRDefault="004B7CED">
            <w:pPr>
              <w:adjustRightInd w:val="0"/>
              <w:spacing w:before="29"/>
              <w:ind w:left="17"/>
              <w:jc w:val="left"/>
              <w:rPr>
                <w:kern w:val="0"/>
                <w:szCs w:val="21"/>
              </w:rPr>
            </w:pPr>
            <w:r w:rsidRPr="003D3F8A">
              <w:rPr>
                <w:kern w:val="0"/>
                <w:szCs w:val="21"/>
              </w:rPr>
              <w:t>基金主代码</w:t>
            </w:r>
          </w:p>
        </w:tc>
        <w:tc>
          <w:tcPr>
            <w:tcW w:w="5670" w:type="dxa"/>
            <w:tcBorders>
              <w:top w:val="single" w:sz="4" w:space="0" w:color="auto"/>
              <w:left w:val="single" w:sz="4" w:space="0" w:color="auto"/>
              <w:bottom w:val="single" w:sz="4" w:space="0" w:color="auto"/>
              <w:right w:val="single" w:sz="4" w:space="0" w:color="auto"/>
            </w:tcBorders>
          </w:tcPr>
          <w:p w:rsidR="00CA0B90" w:rsidRPr="003D3F8A" w:rsidRDefault="004B7CED">
            <w:pPr>
              <w:adjustRightInd w:val="0"/>
              <w:spacing w:before="29"/>
              <w:ind w:left="17"/>
              <w:jc w:val="left"/>
              <w:rPr>
                <w:color w:val="000000"/>
                <w:kern w:val="0"/>
                <w:szCs w:val="21"/>
              </w:rPr>
            </w:pPr>
            <w:r w:rsidRPr="003D3F8A">
              <w:rPr>
                <w:color w:val="000000"/>
                <w:kern w:val="0"/>
                <w:szCs w:val="21"/>
              </w:rPr>
              <w:t>000699</w:t>
            </w:r>
          </w:p>
        </w:tc>
      </w:tr>
      <w:tr w:rsidR="00CA0B90" w:rsidRPr="003D3F8A">
        <w:tc>
          <w:tcPr>
            <w:tcW w:w="2835" w:type="dxa"/>
            <w:tcBorders>
              <w:top w:val="single" w:sz="4" w:space="0" w:color="auto"/>
              <w:left w:val="single" w:sz="4" w:space="0" w:color="auto"/>
              <w:bottom w:val="single" w:sz="4" w:space="0" w:color="auto"/>
              <w:right w:val="single" w:sz="4" w:space="0" w:color="auto"/>
            </w:tcBorders>
          </w:tcPr>
          <w:p w:rsidR="00CA0B90" w:rsidRPr="003D3F8A" w:rsidRDefault="004B7CED">
            <w:pPr>
              <w:adjustRightInd w:val="0"/>
              <w:spacing w:before="29"/>
              <w:ind w:left="17"/>
              <w:jc w:val="left"/>
              <w:rPr>
                <w:kern w:val="0"/>
                <w:szCs w:val="21"/>
              </w:rPr>
            </w:pPr>
            <w:r w:rsidRPr="003D3F8A">
              <w:rPr>
                <w:kern w:val="0"/>
                <w:szCs w:val="21"/>
              </w:rPr>
              <w:t>交易代码</w:t>
            </w:r>
          </w:p>
        </w:tc>
        <w:tc>
          <w:tcPr>
            <w:tcW w:w="5670" w:type="dxa"/>
            <w:tcBorders>
              <w:top w:val="single" w:sz="4" w:space="0" w:color="auto"/>
              <w:left w:val="single" w:sz="4" w:space="0" w:color="auto"/>
              <w:bottom w:val="single" w:sz="4" w:space="0" w:color="auto"/>
              <w:right w:val="single" w:sz="4" w:space="0" w:color="auto"/>
            </w:tcBorders>
          </w:tcPr>
          <w:p w:rsidR="00CA0B90" w:rsidRPr="003D3F8A" w:rsidRDefault="004B7CED">
            <w:pPr>
              <w:adjustRightInd w:val="0"/>
              <w:spacing w:before="29"/>
              <w:ind w:left="17"/>
              <w:jc w:val="left"/>
              <w:rPr>
                <w:color w:val="000000"/>
                <w:kern w:val="0"/>
                <w:szCs w:val="21"/>
              </w:rPr>
            </w:pPr>
            <w:r w:rsidRPr="003D3F8A">
              <w:rPr>
                <w:kern w:val="0"/>
                <w:szCs w:val="21"/>
              </w:rPr>
              <w:t>000699</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基金运作方式</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契约型开放式</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基金合同生效日</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2014</w:t>
            </w:r>
            <w:r w:rsidRPr="003D3F8A">
              <w:rPr>
                <w:color w:val="000000"/>
                <w:kern w:val="0"/>
                <w:szCs w:val="21"/>
              </w:rPr>
              <w:t>年</w:t>
            </w:r>
            <w:r w:rsidRPr="003D3F8A">
              <w:rPr>
                <w:color w:val="000000"/>
                <w:kern w:val="0"/>
                <w:szCs w:val="21"/>
              </w:rPr>
              <w:t>6</w:t>
            </w:r>
            <w:r w:rsidRPr="003D3F8A">
              <w:rPr>
                <w:color w:val="000000"/>
                <w:kern w:val="0"/>
                <w:szCs w:val="21"/>
              </w:rPr>
              <w:t>月</w:t>
            </w:r>
            <w:r w:rsidRPr="003D3F8A">
              <w:rPr>
                <w:color w:val="000000"/>
                <w:kern w:val="0"/>
                <w:szCs w:val="21"/>
              </w:rPr>
              <w:t>26</w:t>
            </w:r>
            <w:r w:rsidRPr="003D3F8A">
              <w:rPr>
                <w:color w:val="000000"/>
                <w:kern w:val="0"/>
                <w:szCs w:val="21"/>
              </w:rPr>
              <w:t>日</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报告期末基金份额总额</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8,839,187,286.49</w:t>
            </w:r>
            <w:r w:rsidRPr="003D3F8A">
              <w:rPr>
                <w:color w:val="000000"/>
                <w:kern w:val="0"/>
                <w:szCs w:val="21"/>
              </w:rPr>
              <w:t>份</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投资目标</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在有效控制风险和保持资产高流动性的前提下，力争获得超过业绩比较基准的稳定收益。</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投资策略</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本基金通过综合考虑各类资产的收益性、流动性和风险特征，根据定量和定性方法，在保持投资组合较低风险和良好流动性的基础上，力争获得高于业绩比较基准的稳定投资回报。</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业绩比较基准</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同期七天通知存款税后利率。</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风险收益特征</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本基金为货币市场基金，是证券投资基金中的低风险品种。本基金的预期风险和预期收益低于股票型基金、混合型基金、债券型基金。</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基金管理人</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中银基金管理有限公司</w:t>
            </w:r>
          </w:p>
        </w:tc>
      </w:tr>
      <w:tr w:rsidR="00CA0B90" w:rsidRPr="003D3F8A">
        <w:tc>
          <w:tcPr>
            <w:tcW w:w="2835" w:type="dxa"/>
          </w:tcPr>
          <w:p w:rsidR="00CA0B90" w:rsidRPr="003D3F8A" w:rsidRDefault="004B7CED">
            <w:pPr>
              <w:adjustRightInd w:val="0"/>
              <w:spacing w:before="29"/>
              <w:ind w:left="17"/>
              <w:jc w:val="left"/>
              <w:rPr>
                <w:szCs w:val="21"/>
              </w:rPr>
            </w:pPr>
            <w:r w:rsidRPr="003D3F8A">
              <w:rPr>
                <w:kern w:val="0"/>
                <w:szCs w:val="21"/>
              </w:rPr>
              <w:t>基金托管人</w:t>
            </w:r>
          </w:p>
        </w:tc>
        <w:tc>
          <w:tcPr>
            <w:tcW w:w="5670" w:type="dxa"/>
          </w:tcPr>
          <w:p w:rsidR="00CA0B90" w:rsidRPr="003D3F8A" w:rsidRDefault="004B7CED">
            <w:pPr>
              <w:adjustRightInd w:val="0"/>
              <w:spacing w:before="29"/>
              <w:ind w:left="17"/>
              <w:jc w:val="left"/>
              <w:rPr>
                <w:color w:val="000000"/>
                <w:szCs w:val="21"/>
              </w:rPr>
            </w:pPr>
            <w:r w:rsidRPr="003D3F8A">
              <w:rPr>
                <w:color w:val="000000"/>
                <w:kern w:val="0"/>
                <w:szCs w:val="21"/>
              </w:rPr>
              <w:t>兴业银行股份有限公司</w:t>
            </w:r>
          </w:p>
        </w:tc>
      </w:tr>
    </w:tbl>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 xml:space="preserve">§3  </w:t>
      </w:r>
      <w:r w:rsidRPr="003D3F8A">
        <w:rPr>
          <w:color w:val="000000"/>
          <w:kern w:val="0"/>
          <w:sz w:val="24"/>
          <w:szCs w:val="24"/>
        </w:rPr>
        <w:t>主要财务指标和基金净值表现</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3.1 </w:t>
      </w:r>
      <w:r w:rsidRPr="003D3F8A">
        <w:rPr>
          <w:b/>
          <w:bCs/>
          <w:color w:val="000000"/>
          <w:kern w:val="0"/>
          <w:szCs w:val="21"/>
        </w:rPr>
        <w:t>主要财务指标</w:t>
      </w:r>
    </w:p>
    <w:p w:rsidR="00CA0B90" w:rsidRPr="003D3F8A" w:rsidRDefault="004B7CED">
      <w:pPr>
        <w:autoSpaceDE w:val="0"/>
        <w:autoSpaceDN w:val="0"/>
        <w:adjustRightInd w:val="0"/>
        <w:spacing w:line="360" w:lineRule="auto"/>
        <w:ind w:left="15" w:right="720"/>
        <w:jc w:val="right"/>
        <w:rPr>
          <w:color w:val="000000"/>
          <w:kern w:val="0"/>
          <w:szCs w:val="21"/>
        </w:rPr>
      </w:pPr>
      <w:r w:rsidRPr="003D3F8A">
        <w:rPr>
          <w:color w:val="000000"/>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3D3F8A" w:rsidRPr="003D3F8A" w:rsidTr="003D3F8A">
        <w:tc>
          <w:tcPr>
            <w:tcW w:w="3402" w:type="dxa"/>
            <w:vAlign w:val="center"/>
          </w:tcPr>
          <w:p w:rsidR="00CA0B90" w:rsidRPr="003D3F8A" w:rsidRDefault="004B7CED">
            <w:pPr>
              <w:adjustRightInd w:val="0"/>
              <w:spacing w:before="29"/>
              <w:ind w:left="17"/>
              <w:jc w:val="center"/>
              <w:rPr>
                <w:kern w:val="0"/>
                <w:szCs w:val="21"/>
              </w:rPr>
            </w:pPr>
            <w:r w:rsidRPr="003D3F8A">
              <w:rPr>
                <w:kern w:val="0"/>
                <w:szCs w:val="21"/>
              </w:rPr>
              <w:t>主要财务指标</w:t>
            </w:r>
          </w:p>
        </w:tc>
        <w:tc>
          <w:tcPr>
            <w:tcW w:w="4962" w:type="dxa"/>
            <w:vAlign w:val="center"/>
          </w:tcPr>
          <w:p w:rsidR="00CA0B90" w:rsidRPr="003D3F8A" w:rsidRDefault="004B7CED">
            <w:pPr>
              <w:adjustRightInd w:val="0"/>
              <w:spacing w:before="29"/>
              <w:ind w:left="17"/>
              <w:jc w:val="center"/>
              <w:rPr>
                <w:color w:val="000000"/>
                <w:szCs w:val="21"/>
              </w:rPr>
            </w:pPr>
            <w:r w:rsidRPr="003D3F8A">
              <w:rPr>
                <w:color w:val="000000"/>
                <w:szCs w:val="21"/>
              </w:rPr>
              <w:t>报告期（</w:t>
            </w:r>
            <w:r w:rsidRPr="003D3F8A">
              <w:rPr>
                <w:color w:val="000000"/>
                <w:szCs w:val="21"/>
              </w:rPr>
              <w:t>2018</w:t>
            </w:r>
            <w:r w:rsidRPr="003D3F8A">
              <w:rPr>
                <w:color w:val="000000"/>
                <w:szCs w:val="21"/>
              </w:rPr>
              <w:t>年</w:t>
            </w:r>
            <w:r w:rsidRPr="003D3F8A">
              <w:rPr>
                <w:color w:val="000000"/>
                <w:szCs w:val="21"/>
              </w:rPr>
              <w:t>10</w:t>
            </w:r>
            <w:r w:rsidRPr="003D3F8A">
              <w:rPr>
                <w:color w:val="000000"/>
                <w:szCs w:val="21"/>
              </w:rPr>
              <w:t>月</w:t>
            </w:r>
            <w:r w:rsidRPr="003D3F8A">
              <w:rPr>
                <w:color w:val="000000"/>
                <w:szCs w:val="21"/>
              </w:rPr>
              <w:t>1</w:t>
            </w:r>
            <w:r w:rsidRPr="003D3F8A">
              <w:rPr>
                <w:color w:val="000000"/>
                <w:szCs w:val="21"/>
              </w:rPr>
              <w:t>日</w:t>
            </w:r>
            <w:r w:rsidRPr="003D3F8A">
              <w:rPr>
                <w:color w:val="000000"/>
                <w:szCs w:val="21"/>
              </w:rPr>
              <w:t>-2018</w:t>
            </w:r>
            <w:r w:rsidRPr="003D3F8A">
              <w:rPr>
                <w:color w:val="000000"/>
                <w:szCs w:val="21"/>
              </w:rPr>
              <w:t>年</w:t>
            </w:r>
            <w:r w:rsidRPr="003D3F8A">
              <w:rPr>
                <w:color w:val="000000"/>
                <w:szCs w:val="21"/>
              </w:rPr>
              <w:t>12</w:t>
            </w:r>
            <w:r w:rsidRPr="003D3F8A">
              <w:rPr>
                <w:color w:val="000000"/>
                <w:szCs w:val="21"/>
              </w:rPr>
              <w:t>月</w:t>
            </w:r>
            <w:r w:rsidRPr="003D3F8A">
              <w:rPr>
                <w:color w:val="000000"/>
                <w:szCs w:val="21"/>
              </w:rPr>
              <w:t>31</w:t>
            </w:r>
            <w:r w:rsidRPr="003D3F8A">
              <w:rPr>
                <w:color w:val="000000"/>
                <w:szCs w:val="21"/>
              </w:rPr>
              <w:t>日）</w:t>
            </w:r>
          </w:p>
        </w:tc>
      </w:tr>
      <w:tr w:rsidR="003D3F8A" w:rsidRPr="003D3F8A" w:rsidTr="003D3F8A">
        <w:tc>
          <w:tcPr>
            <w:tcW w:w="3402" w:type="dxa"/>
            <w:vAlign w:val="center"/>
          </w:tcPr>
          <w:p w:rsidR="00CA0B90" w:rsidRPr="003D3F8A" w:rsidRDefault="004B7CED">
            <w:pPr>
              <w:adjustRightInd w:val="0"/>
              <w:spacing w:before="29"/>
              <w:ind w:left="17"/>
              <w:rPr>
                <w:kern w:val="0"/>
                <w:szCs w:val="21"/>
              </w:rPr>
            </w:pPr>
            <w:r w:rsidRPr="003D3F8A">
              <w:rPr>
                <w:kern w:val="0"/>
                <w:szCs w:val="21"/>
              </w:rPr>
              <w:t>1.</w:t>
            </w:r>
            <w:r w:rsidRPr="003D3F8A">
              <w:rPr>
                <w:kern w:val="0"/>
                <w:szCs w:val="21"/>
              </w:rPr>
              <w:t>本期已实现收益</w:t>
            </w:r>
          </w:p>
        </w:tc>
        <w:tc>
          <w:tcPr>
            <w:tcW w:w="4962" w:type="dxa"/>
            <w:vAlign w:val="center"/>
          </w:tcPr>
          <w:p w:rsidR="00CA0B90" w:rsidRPr="003D3F8A" w:rsidRDefault="004B7CED">
            <w:pPr>
              <w:adjustRightInd w:val="0"/>
              <w:spacing w:before="29"/>
              <w:ind w:left="17"/>
              <w:jc w:val="right"/>
              <w:rPr>
                <w:color w:val="000000"/>
                <w:szCs w:val="21"/>
              </w:rPr>
            </w:pPr>
            <w:r w:rsidRPr="003D3F8A">
              <w:rPr>
                <w:color w:val="000000"/>
                <w:szCs w:val="21"/>
              </w:rPr>
              <w:t>78,213,840.06</w:t>
            </w:r>
          </w:p>
        </w:tc>
      </w:tr>
      <w:tr w:rsidR="003D3F8A" w:rsidRPr="003D3F8A" w:rsidTr="003D3F8A">
        <w:tc>
          <w:tcPr>
            <w:tcW w:w="3402" w:type="dxa"/>
            <w:vAlign w:val="center"/>
          </w:tcPr>
          <w:p w:rsidR="00CA0B90" w:rsidRPr="003D3F8A" w:rsidRDefault="004B7CED">
            <w:pPr>
              <w:adjustRightInd w:val="0"/>
              <w:spacing w:before="29"/>
              <w:ind w:left="17"/>
              <w:rPr>
                <w:kern w:val="0"/>
                <w:szCs w:val="21"/>
              </w:rPr>
            </w:pPr>
            <w:r w:rsidRPr="003D3F8A">
              <w:rPr>
                <w:kern w:val="0"/>
                <w:szCs w:val="21"/>
              </w:rPr>
              <w:t>2.</w:t>
            </w:r>
            <w:r w:rsidRPr="003D3F8A">
              <w:rPr>
                <w:kern w:val="0"/>
                <w:szCs w:val="21"/>
              </w:rPr>
              <w:t>本期利润</w:t>
            </w:r>
          </w:p>
        </w:tc>
        <w:tc>
          <w:tcPr>
            <w:tcW w:w="4962" w:type="dxa"/>
            <w:vAlign w:val="center"/>
          </w:tcPr>
          <w:p w:rsidR="00CA0B90" w:rsidRPr="003D3F8A" w:rsidRDefault="004B7CED">
            <w:pPr>
              <w:adjustRightInd w:val="0"/>
              <w:spacing w:before="29"/>
              <w:ind w:left="17"/>
              <w:jc w:val="right"/>
              <w:rPr>
                <w:color w:val="000000"/>
                <w:szCs w:val="21"/>
              </w:rPr>
            </w:pPr>
            <w:r w:rsidRPr="003D3F8A">
              <w:rPr>
                <w:color w:val="000000"/>
                <w:szCs w:val="21"/>
              </w:rPr>
              <w:t>78,213,840.06</w:t>
            </w:r>
          </w:p>
        </w:tc>
      </w:tr>
      <w:tr w:rsidR="003D3F8A" w:rsidRPr="003D3F8A" w:rsidTr="003D3F8A">
        <w:tc>
          <w:tcPr>
            <w:tcW w:w="3402" w:type="dxa"/>
            <w:vAlign w:val="center"/>
          </w:tcPr>
          <w:p w:rsidR="00CA0B90" w:rsidRPr="003D3F8A" w:rsidRDefault="004B7CED">
            <w:pPr>
              <w:adjustRightInd w:val="0"/>
              <w:spacing w:before="29"/>
              <w:ind w:left="17"/>
              <w:rPr>
                <w:kern w:val="0"/>
                <w:szCs w:val="21"/>
              </w:rPr>
            </w:pPr>
            <w:r w:rsidRPr="003D3F8A">
              <w:rPr>
                <w:kern w:val="0"/>
                <w:szCs w:val="21"/>
              </w:rPr>
              <w:t>3.</w:t>
            </w:r>
            <w:r w:rsidRPr="003D3F8A">
              <w:rPr>
                <w:kern w:val="0"/>
                <w:szCs w:val="21"/>
              </w:rPr>
              <w:t>期末基金资产净值</w:t>
            </w:r>
          </w:p>
        </w:tc>
        <w:tc>
          <w:tcPr>
            <w:tcW w:w="4962" w:type="dxa"/>
            <w:vAlign w:val="center"/>
          </w:tcPr>
          <w:p w:rsidR="00CA0B90" w:rsidRPr="003D3F8A" w:rsidRDefault="004B7CED">
            <w:pPr>
              <w:adjustRightInd w:val="0"/>
              <w:spacing w:before="29"/>
              <w:ind w:left="17"/>
              <w:jc w:val="right"/>
              <w:rPr>
                <w:color w:val="000000"/>
                <w:szCs w:val="21"/>
              </w:rPr>
            </w:pPr>
            <w:r w:rsidRPr="003D3F8A">
              <w:rPr>
                <w:color w:val="000000"/>
                <w:szCs w:val="21"/>
              </w:rPr>
              <w:t>8,839,187,286.49</w:t>
            </w:r>
          </w:p>
        </w:tc>
      </w:tr>
    </w:tbl>
    <w:p w:rsidR="00CA0B90" w:rsidRPr="003D3F8A" w:rsidRDefault="004B7CED">
      <w:pPr>
        <w:autoSpaceDE w:val="0"/>
        <w:autoSpaceDN w:val="0"/>
        <w:adjustRightInd w:val="0"/>
        <w:spacing w:line="360" w:lineRule="auto"/>
        <w:jc w:val="left"/>
        <w:rPr>
          <w:color w:val="000000"/>
          <w:szCs w:val="21"/>
        </w:rPr>
      </w:pPr>
      <w:r w:rsidRPr="003D3F8A">
        <w:rPr>
          <w:color w:val="000000"/>
          <w:szCs w:val="21"/>
        </w:rPr>
        <w:t>注：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3.2 </w:t>
      </w:r>
      <w:r w:rsidRPr="003D3F8A">
        <w:rPr>
          <w:b/>
          <w:bCs/>
          <w:color w:val="000000"/>
          <w:kern w:val="0"/>
          <w:szCs w:val="21"/>
        </w:rPr>
        <w:t>基金净值表现</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3.2.1</w:t>
      </w:r>
      <w:r w:rsidRPr="003D3F8A">
        <w:rPr>
          <w:b/>
          <w:bCs/>
          <w:color w:val="000000"/>
          <w:kern w:val="0"/>
          <w:szCs w:val="21"/>
        </w:rPr>
        <w:t>本报告期基金份额净值收益率及其与同期业绩比较基准收益率的比较</w:t>
      </w:r>
    </w:p>
    <w:tbl>
      <w:tblPr>
        <w:tblW w:w="8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1092"/>
        <w:gridCol w:w="1161"/>
        <w:gridCol w:w="1181"/>
        <w:gridCol w:w="1188"/>
        <w:gridCol w:w="1199"/>
        <w:gridCol w:w="1204"/>
      </w:tblGrid>
      <w:tr w:rsidR="00CA0B90" w:rsidRPr="003D3F8A">
        <w:tc>
          <w:tcPr>
            <w:tcW w:w="1537"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ascii="Times New Roman" w:hAnsi="Times New Roman"/>
                <w:color w:val="000000"/>
                <w:sz w:val="21"/>
                <w:szCs w:val="21"/>
              </w:rPr>
              <w:t>阶段</w:t>
            </w:r>
          </w:p>
        </w:tc>
        <w:tc>
          <w:tcPr>
            <w:tcW w:w="1092"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ascii="Times New Roman" w:hAnsi="Times New Roman"/>
                <w:color w:val="000000"/>
                <w:sz w:val="21"/>
                <w:szCs w:val="21"/>
              </w:rPr>
              <w:t>净值收益率</w:t>
            </w:r>
            <w:r w:rsidRPr="003D3F8A">
              <w:rPr>
                <w:rFonts w:cs="宋体" w:hint="eastAsia"/>
                <w:color w:val="000000"/>
                <w:sz w:val="21"/>
                <w:szCs w:val="21"/>
              </w:rPr>
              <w:t>①</w:t>
            </w:r>
          </w:p>
        </w:tc>
        <w:tc>
          <w:tcPr>
            <w:tcW w:w="1161"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ascii="Times New Roman" w:hAnsi="Times New Roman"/>
                <w:color w:val="000000"/>
                <w:sz w:val="21"/>
                <w:szCs w:val="21"/>
              </w:rPr>
              <w:t>净值收益率标准差</w:t>
            </w:r>
            <w:r w:rsidRPr="003D3F8A">
              <w:rPr>
                <w:rFonts w:cs="宋体" w:hint="eastAsia"/>
                <w:color w:val="000000"/>
                <w:sz w:val="21"/>
                <w:szCs w:val="21"/>
              </w:rPr>
              <w:t>②</w:t>
            </w:r>
          </w:p>
        </w:tc>
        <w:tc>
          <w:tcPr>
            <w:tcW w:w="1181"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ascii="Times New Roman" w:hAnsi="Times New Roman"/>
                <w:color w:val="000000"/>
                <w:sz w:val="21"/>
                <w:szCs w:val="21"/>
              </w:rPr>
              <w:t>业绩比较基准收益率</w:t>
            </w:r>
            <w:r w:rsidRPr="003D3F8A">
              <w:rPr>
                <w:rFonts w:cs="宋体" w:hint="eastAsia"/>
                <w:color w:val="000000"/>
                <w:sz w:val="21"/>
                <w:szCs w:val="21"/>
              </w:rPr>
              <w:t>③</w:t>
            </w:r>
          </w:p>
        </w:tc>
        <w:tc>
          <w:tcPr>
            <w:tcW w:w="1188"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ascii="Times New Roman" w:hAnsi="Times New Roman"/>
                <w:color w:val="000000"/>
                <w:sz w:val="21"/>
                <w:szCs w:val="21"/>
              </w:rPr>
              <w:t>业绩比较基准收益率标准差</w:t>
            </w:r>
            <w:r w:rsidRPr="003D3F8A">
              <w:rPr>
                <w:rFonts w:cs="宋体" w:hint="eastAsia"/>
                <w:color w:val="000000"/>
                <w:sz w:val="21"/>
                <w:szCs w:val="21"/>
              </w:rPr>
              <w:t>④</w:t>
            </w:r>
          </w:p>
        </w:tc>
        <w:tc>
          <w:tcPr>
            <w:tcW w:w="1199"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cs="宋体" w:hint="eastAsia"/>
                <w:color w:val="000000"/>
                <w:sz w:val="21"/>
                <w:szCs w:val="21"/>
              </w:rPr>
              <w:t>①</w:t>
            </w:r>
            <w:r w:rsidRPr="003D3F8A">
              <w:rPr>
                <w:rFonts w:ascii="Times New Roman" w:hAnsi="Times New Roman"/>
                <w:color w:val="000000"/>
                <w:sz w:val="21"/>
                <w:szCs w:val="21"/>
              </w:rPr>
              <w:t>-</w:t>
            </w:r>
            <w:r w:rsidRPr="003D3F8A">
              <w:rPr>
                <w:rFonts w:cs="宋体" w:hint="eastAsia"/>
                <w:color w:val="000000"/>
                <w:sz w:val="21"/>
                <w:szCs w:val="21"/>
              </w:rPr>
              <w:t>③</w:t>
            </w:r>
          </w:p>
        </w:tc>
        <w:tc>
          <w:tcPr>
            <w:tcW w:w="1204" w:type="dxa"/>
            <w:vAlign w:val="center"/>
          </w:tcPr>
          <w:p w:rsidR="00CA0B90" w:rsidRPr="003D3F8A" w:rsidRDefault="004B7CED">
            <w:pPr>
              <w:pStyle w:val="ab"/>
              <w:adjustRightInd w:val="0"/>
              <w:snapToGrid w:val="0"/>
              <w:spacing w:before="0" w:beforeAutospacing="0" w:after="0" w:afterAutospacing="0"/>
              <w:jc w:val="center"/>
              <w:rPr>
                <w:rFonts w:ascii="Times New Roman" w:hAnsi="Times New Roman"/>
                <w:color w:val="000000"/>
                <w:sz w:val="21"/>
                <w:szCs w:val="21"/>
              </w:rPr>
            </w:pPr>
            <w:r w:rsidRPr="003D3F8A">
              <w:rPr>
                <w:rFonts w:cs="宋体" w:hint="eastAsia"/>
                <w:color w:val="000000"/>
                <w:sz w:val="21"/>
                <w:szCs w:val="21"/>
              </w:rPr>
              <w:t>②</w:t>
            </w:r>
            <w:r w:rsidRPr="003D3F8A">
              <w:rPr>
                <w:rFonts w:ascii="Times New Roman" w:hAnsi="Times New Roman"/>
                <w:color w:val="000000"/>
                <w:sz w:val="21"/>
                <w:szCs w:val="21"/>
              </w:rPr>
              <w:t>-</w:t>
            </w:r>
            <w:r w:rsidRPr="003D3F8A">
              <w:rPr>
                <w:rFonts w:cs="宋体" w:hint="eastAsia"/>
                <w:color w:val="000000"/>
                <w:sz w:val="21"/>
                <w:szCs w:val="21"/>
              </w:rPr>
              <w:t>④</w:t>
            </w:r>
          </w:p>
        </w:tc>
      </w:tr>
      <w:tr w:rsidR="00CA0B90" w:rsidRPr="003D3F8A">
        <w:tc>
          <w:tcPr>
            <w:tcW w:w="1537" w:type="dxa"/>
            <w:vAlign w:val="center"/>
          </w:tcPr>
          <w:p w:rsidR="00CA0B90" w:rsidRPr="003D3F8A" w:rsidRDefault="004B7CED">
            <w:pPr>
              <w:jc w:val="left"/>
            </w:pPr>
            <w:r w:rsidRPr="003D3F8A">
              <w:rPr>
                <w:color w:val="000000"/>
                <w:szCs w:val="21"/>
              </w:rPr>
              <w:t>过去三个月</w:t>
            </w:r>
          </w:p>
        </w:tc>
        <w:tc>
          <w:tcPr>
            <w:tcW w:w="1092" w:type="dxa"/>
            <w:vAlign w:val="center"/>
          </w:tcPr>
          <w:p w:rsidR="00CA0B90" w:rsidRPr="003D3F8A" w:rsidRDefault="004B7CED">
            <w:pPr>
              <w:jc w:val="center"/>
            </w:pPr>
            <w:r w:rsidRPr="003D3F8A">
              <w:rPr>
                <w:color w:val="000000"/>
                <w:szCs w:val="21"/>
              </w:rPr>
              <w:t>0.7895%</w:t>
            </w:r>
          </w:p>
        </w:tc>
        <w:tc>
          <w:tcPr>
            <w:tcW w:w="1161" w:type="dxa"/>
            <w:vAlign w:val="center"/>
          </w:tcPr>
          <w:p w:rsidR="00CA0B90" w:rsidRPr="003D3F8A" w:rsidRDefault="004B7CED">
            <w:pPr>
              <w:jc w:val="center"/>
            </w:pPr>
            <w:r w:rsidRPr="003D3F8A">
              <w:rPr>
                <w:color w:val="000000"/>
                <w:szCs w:val="21"/>
              </w:rPr>
              <w:t>0.0008%</w:t>
            </w:r>
          </w:p>
        </w:tc>
        <w:tc>
          <w:tcPr>
            <w:tcW w:w="1181" w:type="dxa"/>
            <w:vAlign w:val="center"/>
          </w:tcPr>
          <w:p w:rsidR="00CA0B90" w:rsidRPr="003D3F8A" w:rsidRDefault="004B7CED">
            <w:pPr>
              <w:jc w:val="center"/>
            </w:pPr>
            <w:r w:rsidRPr="003D3F8A">
              <w:rPr>
                <w:color w:val="000000"/>
                <w:szCs w:val="21"/>
              </w:rPr>
              <w:t>0.3450%</w:t>
            </w:r>
          </w:p>
        </w:tc>
        <w:tc>
          <w:tcPr>
            <w:tcW w:w="1188" w:type="dxa"/>
            <w:vAlign w:val="center"/>
          </w:tcPr>
          <w:p w:rsidR="00CA0B90" w:rsidRPr="003D3F8A" w:rsidRDefault="004B7CED">
            <w:pPr>
              <w:jc w:val="center"/>
            </w:pPr>
            <w:r w:rsidRPr="003D3F8A">
              <w:rPr>
                <w:color w:val="000000"/>
                <w:szCs w:val="21"/>
              </w:rPr>
              <w:t>0.0000%</w:t>
            </w:r>
          </w:p>
        </w:tc>
        <w:tc>
          <w:tcPr>
            <w:tcW w:w="1199" w:type="dxa"/>
            <w:vAlign w:val="center"/>
          </w:tcPr>
          <w:p w:rsidR="00CA0B90" w:rsidRPr="003D3F8A" w:rsidRDefault="004B7CED">
            <w:pPr>
              <w:jc w:val="center"/>
            </w:pPr>
            <w:r w:rsidRPr="003D3F8A">
              <w:rPr>
                <w:color w:val="000000"/>
                <w:szCs w:val="21"/>
              </w:rPr>
              <w:t>0.4445%</w:t>
            </w:r>
          </w:p>
        </w:tc>
        <w:tc>
          <w:tcPr>
            <w:tcW w:w="1204" w:type="dxa"/>
            <w:vAlign w:val="center"/>
          </w:tcPr>
          <w:p w:rsidR="00CA0B90" w:rsidRPr="003D3F8A" w:rsidRDefault="004B7CED">
            <w:pPr>
              <w:jc w:val="center"/>
            </w:pPr>
            <w:r w:rsidRPr="003D3F8A">
              <w:rPr>
                <w:color w:val="000000"/>
                <w:szCs w:val="21"/>
              </w:rPr>
              <w:t>0.0008%</w:t>
            </w:r>
          </w:p>
        </w:tc>
      </w:tr>
    </w:tbl>
    <w:p w:rsidR="00CA0B90" w:rsidRPr="003D3F8A" w:rsidRDefault="004B7CED">
      <w:pPr>
        <w:autoSpaceDE w:val="0"/>
        <w:autoSpaceDN w:val="0"/>
        <w:adjustRightInd w:val="0"/>
        <w:spacing w:line="360" w:lineRule="auto"/>
        <w:jc w:val="left"/>
        <w:rPr>
          <w:color w:val="000000"/>
          <w:szCs w:val="21"/>
        </w:rPr>
      </w:pPr>
      <w:r w:rsidRPr="003D3F8A">
        <w:rPr>
          <w:color w:val="000000"/>
          <w:szCs w:val="21"/>
        </w:rPr>
        <w:t>注：本基金的收益分配是按日结转份额。</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3.2.2</w:t>
      </w:r>
      <w:r w:rsidRPr="003D3F8A">
        <w:rPr>
          <w:b/>
          <w:bCs/>
          <w:color w:val="000000"/>
          <w:kern w:val="0"/>
          <w:szCs w:val="21"/>
        </w:rPr>
        <w:t>自基金合同生效以来基金累计净值收益率变动及其与同期业绩比较基准收益率变动的比较</w:t>
      </w:r>
    </w:p>
    <w:p w:rsidR="00CA0B90" w:rsidRPr="003D3F8A" w:rsidRDefault="004B7CED">
      <w:pPr>
        <w:spacing w:line="360" w:lineRule="auto"/>
        <w:jc w:val="center"/>
        <w:rPr>
          <w:color w:val="000000"/>
          <w:szCs w:val="21"/>
        </w:rPr>
      </w:pPr>
      <w:r w:rsidRPr="003D3F8A">
        <w:rPr>
          <w:color w:val="000000"/>
          <w:szCs w:val="21"/>
        </w:rPr>
        <w:t>中银薪钱包货币市场基金</w:t>
      </w:r>
    </w:p>
    <w:p w:rsidR="00CA0B90" w:rsidRPr="003D3F8A" w:rsidRDefault="004B7CED">
      <w:pPr>
        <w:spacing w:line="360" w:lineRule="auto"/>
        <w:jc w:val="center"/>
        <w:rPr>
          <w:color w:val="000000"/>
          <w:szCs w:val="21"/>
        </w:rPr>
      </w:pPr>
      <w:r w:rsidRPr="003D3F8A">
        <w:rPr>
          <w:color w:val="000000"/>
          <w:szCs w:val="21"/>
        </w:rPr>
        <w:t>累计净值收益率与业绩比较基准收益率历史走势对比图</w:t>
      </w:r>
    </w:p>
    <w:p w:rsidR="00CA0B90" w:rsidRPr="003D3F8A" w:rsidRDefault="004B7CED">
      <w:pPr>
        <w:spacing w:line="360" w:lineRule="auto"/>
        <w:jc w:val="center"/>
        <w:rPr>
          <w:color w:val="000000"/>
          <w:szCs w:val="21"/>
        </w:rPr>
      </w:pPr>
      <w:r w:rsidRPr="003D3F8A">
        <w:rPr>
          <w:color w:val="000000"/>
          <w:szCs w:val="21"/>
        </w:rPr>
        <w:t>（</w:t>
      </w:r>
      <w:r w:rsidRPr="003D3F8A">
        <w:rPr>
          <w:color w:val="000000"/>
          <w:szCs w:val="21"/>
        </w:rPr>
        <w:t>2014</w:t>
      </w:r>
      <w:r w:rsidRPr="003D3F8A">
        <w:rPr>
          <w:color w:val="000000"/>
          <w:szCs w:val="21"/>
        </w:rPr>
        <w:t>年</w:t>
      </w:r>
      <w:r w:rsidRPr="003D3F8A">
        <w:rPr>
          <w:color w:val="000000"/>
          <w:szCs w:val="21"/>
        </w:rPr>
        <w:t>6</w:t>
      </w:r>
      <w:r w:rsidRPr="003D3F8A">
        <w:rPr>
          <w:color w:val="000000"/>
          <w:szCs w:val="21"/>
        </w:rPr>
        <w:t>月</w:t>
      </w:r>
      <w:r w:rsidRPr="003D3F8A">
        <w:rPr>
          <w:color w:val="000000"/>
          <w:szCs w:val="21"/>
        </w:rPr>
        <w:t>26</w:t>
      </w:r>
      <w:r w:rsidRPr="003D3F8A">
        <w:rPr>
          <w:color w:val="000000"/>
          <w:szCs w:val="21"/>
        </w:rPr>
        <w:t>日至</w:t>
      </w:r>
      <w:r w:rsidRPr="003D3F8A">
        <w:rPr>
          <w:color w:val="000000"/>
          <w:szCs w:val="21"/>
        </w:rPr>
        <w:t>2018</w:t>
      </w:r>
      <w:r w:rsidRPr="003D3F8A">
        <w:rPr>
          <w:color w:val="000000"/>
          <w:szCs w:val="21"/>
        </w:rPr>
        <w:t>年</w:t>
      </w:r>
      <w:r w:rsidRPr="003D3F8A">
        <w:rPr>
          <w:color w:val="000000"/>
          <w:szCs w:val="21"/>
        </w:rPr>
        <w:t>12</w:t>
      </w:r>
      <w:r w:rsidRPr="003D3F8A">
        <w:rPr>
          <w:color w:val="000000"/>
          <w:szCs w:val="21"/>
        </w:rPr>
        <w:t>月</w:t>
      </w:r>
      <w:r w:rsidRPr="003D3F8A">
        <w:rPr>
          <w:color w:val="000000"/>
          <w:szCs w:val="21"/>
        </w:rPr>
        <w:t>31</w:t>
      </w:r>
      <w:r w:rsidRPr="003D3F8A">
        <w:rPr>
          <w:color w:val="000000"/>
          <w:szCs w:val="21"/>
        </w:rPr>
        <w:t>日）</w:t>
      </w:r>
    </w:p>
    <w:p w:rsidR="00CA0B90" w:rsidRPr="003D3F8A" w:rsidRDefault="00BD4EA5">
      <w:pPr>
        <w:tabs>
          <w:tab w:val="left" w:pos="1800"/>
        </w:tabs>
        <w:spacing w:line="360" w:lineRule="auto"/>
        <w:jc w:val="center"/>
        <w:rPr>
          <w:color w:val="000000"/>
          <w:sz w:val="24"/>
        </w:rPr>
      </w:pPr>
      <w:r w:rsidRPr="000E4FC5">
        <w:rPr>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66.25pt">
            <v:imagedata r:id="rId9" o:title=""/>
          </v:shape>
        </w:pic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注：按基金合同规定，本基金自基金合同生效起</w:t>
      </w:r>
      <w:r w:rsidRPr="003D3F8A">
        <w:rPr>
          <w:color w:val="000000"/>
          <w:szCs w:val="21"/>
        </w:rPr>
        <w:t>6</w:t>
      </w:r>
      <w:r w:rsidRPr="003D3F8A">
        <w:rPr>
          <w:color w:val="000000"/>
          <w:szCs w:val="21"/>
        </w:rPr>
        <w:t>个月内为建仓期，截至建仓结束时各项资产配置比例均符合基金合同约定。</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 xml:space="preserve">§4  </w:t>
      </w:r>
      <w:r w:rsidRPr="003D3F8A">
        <w:rPr>
          <w:color w:val="000000"/>
          <w:kern w:val="0"/>
          <w:sz w:val="24"/>
          <w:szCs w:val="24"/>
        </w:rPr>
        <w:t>管理人报告</w:t>
      </w:r>
    </w:p>
    <w:p w:rsidR="00CA0B90" w:rsidRPr="003D3F8A" w:rsidRDefault="004B7CED">
      <w:pPr>
        <w:autoSpaceDE w:val="0"/>
        <w:autoSpaceDN w:val="0"/>
        <w:adjustRightInd w:val="0"/>
        <w:spacing w:line="360" w:lineRule="auto"/>
        <w:jc w:val="left"/>
        <w:rPr>
          <w:b/>
          <w:color w:val="000000"/>
          <w:kern w:val="0"/>
          <w:szCs w:val="21"/>
        </w:rPr>
      </w:pPr>
      <w:r w:rsidRPr="003D3F8A">
        <w:rPr>
          <w:b/>
          <w:color w:val="000000"/>
          <w:kern w:val="0"/>
          <w:szCs w:val="21"/>
        </w:rPr>
        <w:t xml:space="preserve">4.1 </w:t>
      </w:r>
      <w:r w:rsidRPr="003D3F8A">
        <w:rPr>
          <w:b/>
          <w:color w:val="000000"/>
          <w:kern w:val="0"/>
          <w:szCs w:val="21"/>
        </w:rPr>
        <w:t>基金经理（或基金经理小组）简介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559"/>
        <w:gridCol w:w="1418"/>
        <w:gridCol w:w="1275"/>
        <w:gridCol w:w="2552"/>
      </w:tblGrid>
      <w:tr w:rsidR="00CA0B90" w:rsidRPr="003D3F8A">
        <w:trPr>
          <w:cantSplit/>
          <w:trHeight w:val="292"/>
        </w:trPr>
        <w:tc>
          <w:tcPr>
            <w:tcW w:w="851" w:type="dxa"/>
            <w:vMerge w:val="restart"/>
            <w:vAlign w:val="center"/>
          </w:tcPr>
          <w:p w:rsidR="00CA0B90" w:rsidRPr="003D3F8A" w:rsidRDefault="004B7CED">
            <w:pPr>
              <w:widowControl/>
              <w:spacing w:before="29"/>
              <w:ind w:left="17"/>
              <w:jc w:val="center"/>
              <w:rPr>
                <w:color w:val="000000"/>
                <w:kern w:val="0"/>
                <w:szCs w:val="21"/>
              </w:rPr>
            </w:pPr>
            <w:r w:rsidRPr="003D3F8A">
              <w:rPr>
                <w:color w:val="000000"/>
                <w:kern w:val="0"/>
                <w:szCs w:val="21"/>
              </w:rPr>
              <w:t>姓名</w:t>
            </w:r>
          </w:p>
        </w:tc>
        <w:tc>
          <w:tcPr>
            <w:tcW w:w="1701" w:type="dxa"/>
            <w:vMerge w:val="restart"/>
            <w:vAlign w:val="center"/>
          </w:tcPr>
          <w:p w:rsidR="00CA0B90" w:rsidRPr="003D3F8A" w:rsidRDefault="004B7CED">
            <w:pPr>
              <w:widowControl/>
              <w:spacing w:before="29"/>
              <w:ind w:left="17"/>
              <w:jc w:val="center"/>
              <w:rPr>
                <w:color w:val="000000"/>
                <w:kern w:val="0"/>
                <w:szCs w:val="21"/>
              </w:rPr>
            </w:pPr>
            <w:r w:rsidRPr="003D3F8A">
              <w:rPr>
                <w:color w:val="000000"/>
                <w:kern w:val="0"/>
                <w:szCs w:val="21"/>
              </w:rPr>
              <w:t>职务</w:t>
            </w:r>
          </w:p>
        </w:tc>
        <w:tc>
          <w:tcPr>
            <w:tcW w:w="2977" w:type="dxa"/>
            <w:gridSpan w:val="2"/>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任本基金的基金经理期限</w:t>
            </w:r>
          </w:p>
        </w:tc>
        <w:tc>
          <w:tcPr>
            <w:tcW w:w="1275" w:type="dxa"/>
            <w:vMerge w:val="restart"/>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证券从业年限</w:t>
            </w:r>
          </w:p>
        </w:tc>
        <w:tc>
          <w:tcPr>
            <w:tcW w:w="2552" w:type="dxa"/>
            <w:vMerge w:val="restart"/>
            <w:vAlign w:val="center"/>
          </w:tcPr>
          <w:p w:rsidR="00CA0B90" w:rsidRPr="003D3F8A" w:rsidRDefault="004B7CED">
            <w:pPr>
              <w:widowControl/>
              <w:spacing w:before="29"/>
              <w:ind w:left="17"/>
              <w:jc w:val="center"/>
              <w:rPr>
                <w:color w:val="000000"/>
                <w:kern w:val="0"/>
                <w:szCs w:val="21"/>
              </w:rPr>
            </w:pPr>
            <w:r w:rsidRPr="003D3F8A">
              <w:rPr>
                <w:color w:val="000000"/>
                <w:kern w:val="0"/>
                <w:szCs w:val="21"/>
              </w:rPr>
              <w:t>说明</w:t>
            </w:r>
          </w:p>
        </w:tc>
      </w:tr>
      <w:tr w:rsidR="00CA0B90" w:rsidRPr="003D3F8A">
        <w:trPr>
          <w:cantSplit/>
        </w:trPr>
        <w:tc>
          <w:tcPr>
            <w:tcW w:w="851" w:type="dxa"/>
            <w:vMerge/>
            <w:vAlign w:val="center"/>
          </w:tcPr>
          <w:p w:rsidR="00CA0B90" w:rsidRPr="003D3F8A" w:rsidRDefault="00CA0B90">
            <w:pPr>
              <w:widowControl/>
              <w:jc w:val="left"/>
              <w:rPr>
                <w:color w:val="000000"/>
                <w:kern w:val="0"/>
                <w:szCs w:val="21"/>
              </w:rPr>
            </w:pPr>
          </w:p>
        </w:tc>
        <w:tc>
          <w:tcPr>
            <w:tcW w:w="1701" w:type="dxa"/>
            <w:vMerge/>
            <w:vAlign w:val="center"/>
          </w:tcPr>
          <w:p w:rsidR="00CA0B90" w:rsidRPr="003D3F8A" w:rsidRDefault="00CA0B90">
            <w:pPr>
              <w:widowControl/>
              <w:jc w:val="left"/>
              <w:rPr>
                <w:color w:val="000000"/>
                <w:kern w:val="0"/>
                <w:szCs w:val="21"/>
              </w:rPr>
            </w:pPr>
          </w:p>
        </w:tc>
        <w:tc>
          <w:tcPr>
            <w:tcW w:w="1559" w:type="dxa"/>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任职日期</w:t>
            </w:r>
          </w:p>
        </w:tc>
        <w:tc>
          <w:tcPr>
            <w:tcW w:w="1418" w:type="dxa"/>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离任日期</w:t>
            </w:r>
          </w:p>
        </w:tc>
        <w:tc>
          <w:tcPr>
            <w:tcW w:w="1275" w:type="dxa"/>
            <w:vMerge/>
            <w:vAlign w:val="center"/>
          </w:tcPr>
          <w:p w:rsidR="00CA0B90" w:rsidRPr="003D3F8A" w:rsidRDefault="00CA0B90">
            <w:pPr>
              <w:widowControl/>
              <w:jc w:val="left"/>
              <w:rPr>
                <w:color w:val="000000"/>
                <w:kern w:val="0"/>
                <w:szCs w:val="21"/>
              </w:rPr>
            </w:pPr>
          </w:p>
        </w:tc>
        <w:tc>
          <w:tcPr>
            <w:tcW w:w="2552" w:type="dxa"/>
            <w:vMerge/>
            <w:vAlign w:val="center"/>
          </w:tcPr>
          <w:p w:rsidR="00CA0B90" w:rsidRPr="003D3F8A" w:rsidRDefault="00CA0B90">
            <w:pPr>
              <w:widowControl/>
              <w:jc w:val="left"/>
              <w:rPr>
                <w:color w:val="000000"/>
                <w:kern w:val="0"/>
                <w:szCs w:val="21"/>
              </w:rPr>
            </w:pPr>
          </w:p>
        </w:tc>
      </w:tr>
      <w:tr w:rsidR="00CA0B90" w:rsidRPr="003D3F8A">
        <w:tc>
          <w:tcPr>
            <w:tcW w:w="851" w:type="dxa"/>
            <w:vAlign w:val="center"/>
          </w:tcPr>
          <w:p w:rsidR="00CA0B90" w:rsidRPr="003D3F8A" w:rsidRDefault="004B7CED">
            <w:pPr>
              <w:jc w:val="center"/>
            </w:pPr>
            <w:r w:rsidRPr="003D3F8A">
              <w:rPr>
                <w:color w:val="000000"/>
                <w:szCs w:val="21"/>
              </w:rPr>
              <w:t>范静</w:t>
            </w:r>
          </w:p>
        </w:tc>
        <w:tc>
          <w:tcPr>
            <w:tcW w:w="1701" w:type="dxa"/>
            <w:vAlign w:val="center"/>
          </w:tcPr>
          <w:p w:rsidR="00CA0B90" w:rsidRPr="003D3F8A" w:rsidRDefault="004B7CED">
            <w:pPr>
              <w:jc w:val="center"/>
            </w:pPr>
            <w:r w:rsidRPr="003D3F8A">
              <w:rPr>
                <w:color w:val="000000"/>
                <w:szCs w:val="21"/>
              </w:rPr>
              <w:t>基金经理</w:t>
            </w:r>
          </w:p>
        </w:tc>
        <w:tc>
          <w:tcPr>
            <w:tcW w:w="1559" w:type="dxa"/>
            <w:vAlign w:val="center"/>
          </w:tcPr>
          <w:p w:rsidR="00CA0B90" w:rsidRPr="003D3F8A" w:rsidRDefault="004B7CED">
            <w:pPr>
              <w:jc w:val="center"/>
            </w:pPr>
            <w:r w:rsidRPr="003D3F8A">
              <w:rPr>
                <w:color w:val="000000"/>
                <w:szCs w:val="21"/>
              </w:rPr>
              <w:t>2014-06-26</w:t>
            </w:r>
          </w:p>
        </w:tc>
        <w:tc>
          <w:tcPr>
            <w:tcW w:w="1418" w:type="dxa"/>
            <w:vAlign w:val="center"/>
          </w:tcPr>
          <w:p w:rsidR="00CA0B90" w:rsidRPr="003D3F8A" w:rsidRDefault="004B7CED">
            <w:pPr>
              <w:jc w:val="center"/>
            </w:pPr>
            <w:r w:rsidRPr="003D3F8A">
              <w:rPr>
                <w:color w:val="000000"/>
                <w:szCs w:val="21"/>
              </w:rPr>
              <w:t>-</w:t>
            </w:r>
          </w:p>
        </w:tc>
        <w:tc>
          <w:tcPr>
            <w:tcW w:w="1275" w:type="dxa"/>
            <w:vAlign w:val="center"/>
          </w:tcPr>
          <w:p w:rsidR="00CA0B90" w:rsidRPr="003D3F8A" w:rsidRDefault="004B7CED">
            <w:pPr>
              <w:jc w:val="center"/>
            </w:pPr>
            <w:r w:rsidRPr="003D3F8A">
              <w:rPr>
                <w:color w:val="000000"/>
                <w:szCs w:val="21"/>
              </w:rPr>
              <w:t>12</w:t>
            </w:r>
          </w:p>
        </w:tc>
        <w:tc>
          <w:tcPr>
            <w:tcW w:w="2552" w:type="dxa"/>
            <w:vAlign w:val="center"/>
          </w:tcPr>
          <w:p w:rsidR="00CA0B90" w:rsidRPr="003D3F8A" w:rsidRDefault="004B7CED">
            <w:r w:rsidRPr="003D3F8A">
              <w:rPr>
                <w:color w:val="000000"/>
                <w:szCs w:val="21"/>
              </w:rPr>
              <w:t>中银基金管理有限公司副总裁（</w:t>
            </w:r>
            <w:r w:rsidRPr="003D3F8A">
              <w:rPr>
                <w:color w:val="000000"/>
                <w:szCs w:val="21"/>
              </w:rPr>
              <w:t>VP</w:t>
            </w:r>
            <w:r w:rsidRPr="003D3F8A">
              <w:rPr>
                <w:color w:val="000000"/>
                <w:szCs w:val="21"/>
              </w:rPr>
              <w:t>）</w:t>
            </w:r>
            <w:r w:rsidRPr="003D3F8A">
              <w:rPr>
                <w:color w:val="000000"/>
                <w:szCs w:val="21"/>
              </w:rPr>
              <w:t>,</w:t>
            </w:r>
            <w:r w:rsidRPr="003D3F8A">
              <w:rPr>
                <w:color w:val="000000"/>
                <w:szCs w:val="21"/>
              </w:rPr>
              <w:t>金融市场学硕士。曾任日本瑞穗银行（中国）有限公司资金部交易员。</w:t>
            </w:r>
            <w:r w:rsidRPr="003D3F8A">
              <w:rPr>
                <w:color w:val="000000"/>
                <w:szCs w:val="21"/>
              </w:rPr>
              <w:t>2007</w:t>
            </w:r>
            <w:r w:rsidRPr="003D3F8A">
              <w:rPr>
                <w:color w:val="000000"/>
                <w:szCs w:val="21"/>
              </w:rPr>
              <w:t>年加入中银基金管理有限公司，历任债券交易员、固定收益研究员、专户投资经理、固定收益基金经理助理。</w:t>
            </w:r>
            <w:r w:rsidRPr="003D3F8A">
              <w:rPr>
                <w:color w:val="000000"/>
                <w:szCs w:val="21"/>
              </w:rPr>
              <w:t>2013</w:t>
            </w:r>
            <w:r w:rsidRPr="003D3F8A">
              <w:rPr>
                <w:color w:val="000000"/>
                <w:szCs w:val="21"/>
              </w:rPr>
              <w:t>年</w:t>
            </w:r>
            <w:r w:rsidRPr="003D3F8A">
              <w:rPr>
                <w:color w:val="000000"/>
                <w:szCs w:val="21"/>
              </w:rPr>
              <w:t>12</w:t>
            </w:r>
            <w:r w:rsidRPr="003D3F8A">
              <w:rPr>
                <w:color w:val="000000"/>
                <w:szCs w:val="21"/>
              </w:rPr>
              <w:t>月至今任中银惠利纯债基金基金经理，</w:t>
            </w:r>
            <w:r w:rsidRPr="003D3F8A">
              <w:rPr>
                <w:color w:val="000000"/>
                <w:szCs w:val="21"/>
              </w:rPr>
              <w:t>2014</w:t>
            </w:r>
            <w:r w:rsidRPr="003D3F8A">
              <w:rPr>
                <w:color w:val="000000"/>
                <w:szCs w:val="21"/>
              </w:rPr>
              <w:t>年</w:t>
            </w:r>
            <w:r w:rsidRPr="003D3F8A">
              <w:rPr>
                <w:color w:val="000000"/>
                <w:szCs w:val="21"/>
              </w:rPr>
              <w:t>2</w:t>
            </w:r>
            <w:r w:rsidRPr="003D3F8A">
              <w:rPr>
                <w:color w:val="000000"/>
                <w:szCs w:val="21"/>
              </w:rPr>
              <w:t>月至今任中银活期宝货币基金基金经理，</w:t>
            </w:r>
            <w:r w:rsidRPr="003D3F8A">
              <w:rPr>
                <w:color w:val="000000"/>
                <w:szCs w:val="21"/>
              </w:rPr>
              <w:t>2014</w:t>
            </w:r>
            <w:r w:rsidRPr="003D3F8A">
              <w:rPr>
                <w:color w:val="000000"/>
                <w:szCs w:val="21"/>
              </w:rPr>
              <w:t>年</w:t>
            </w:r>
            <w:r w:rsidRPr="003D3F8A">
              <w:rPr>
                <w:color w:val="000000"/>
                <w:szCs w:val="21"/>
              </w:rPr>
              <w:t>6</w:t>
            </w:r>
            <w:r w:rsidRPr="003D3F8A">
              <w:rPr>
                <w:color w:val="000000"/>
                <w:szCs w:val="21"/>
              </w:rPr>
              <w:t>月至今担任中银薪钱包货币基金基金经理。特许公认会计师公会（</w:t>
            </w:r>
            <w:r w:rsidRPr="003D3F8A">
              <w:rPr>
                <w:color w:val="000000"/>
                <w:szCs w:val="21"/>
              </w:rPr>
              <w:t>ACCA</w:t>
            </w:r>
            <w:r w:rsidRPr="003D3F8A">
              <w:rPr>
                <w:color w:val="000000"/>
                <w:szCs w:val="21"/>
              </w:rPr>
              <w:t>）准会员。具有</w:t>
            </w:r>
            <w:r w:rsidRPr="003D3F8A">
              <w:rPr>
                <w:color w:val="000000"/>
                <w:szCs w:val="21"/>
              </w:rPr>
              <w:t>12</w:t>
            </w:r>
            <w:r w:rsidRPr="003D3F8A">
              <w:rPr>
                <w:color w:val="000000"/>
                <w:szCs w:val="21"/>
              </w:rPr>
              <w:t>年证券从业年限。具备基金、银行间本币市场交易员从业资格。</w:t>
            </w:r>
          </w:p>
        </w:tc>
      </w:tr>
      <w:tr w:rsidR="00CA0B90" w:rsidRPr="003D3F8A">
        <w:tc>
          <w:tcPr>
            <w:tcW w:w="851" w:type="dxa"/>
            <w:vAlign w:val="center"/>
          </w:tcPr>
          <w:p w:rsidR="00CA0B90" w:rsidRPr="003D3F8A" w:rsidRDefault="004B7CED">
            <w:pPr>
              <w:jc w:val="center"/>
            </w:pPr>
            <w:r w:rsidRPr="003D3F8A">
              <w:rPr>
                <w:color w:val="000000"/>
                <w:szCs w:val="21"/>
              </w:rPr>
              <w:t>周毅</w:t>
            </w:r>
          </w:p>
        </w:tc>
        <w:tc>
          <w:tcPr>
            <w:tcW w:w="1701" w:type="dxa"/>
            <w:vAlign w:val="center"/>
          </w:tcPr>
          <w:p w:rsidR="00CA0B90" w:rsidRPr="003D3F8A" w:rsidRDefault="004B7CED">
            <w:pPr>
              <w:jc w:val="center"/>
            </w:pPr>
            <w:r w:rsidRPr="003D3F8A">
              <w:rPr>
                <w:color w:val="000000"/>
                <w:szCs w:val="21"/>
              </w:rPr>
              <w:t>基金经理</w:t>
            </w:r>
          </w:p>
        </w:tc>
        <w:tc>
          <w:tcPr>
            <w:tcW w:w="1559" w:type="dxa"/>
            <w:vAlign w:val="center"/>
          </w:tcPr>
          <w:p w:rsidR="00CA0B90" w:rsidRPr="003D3F8A" w:rsidRDefault="004B7CED">
            <w:pPr>
              <w:jc w:val="center"/>
            </w:pPr>
            <w:r w:rsidRPr="003D3F8A">
              <w:rPr>
                <w:color w:val="000000"/>
                <w:szCs w:val="21"/>
              </w:rPr>
              <w:t>2018-02-11</w:t>
            </w:r>
          </w:p>
        </w:tc>
        <w:tc>
          <w:tcPr>
            <w:tcW w:w="1418" w:type="dxa"/>
            <w:vAlign w:val="center"/>
          </w:tcPr>
          <w:p w:rsidR="00CA0B90" w:rsidRPr="003D3F8A" w:rsidRDefault="004B7CED">
            <w:pPr>
              <w:jc w:val="center"/>
            </w:pPr>
            <w:r w:rsidRPr="003D3F8A">
              <w:rPr>
                <w:color w:val="000000"/>
                <w:szCs w:val="21"/>
              </w:rPr>
              <w:t>-</w:t>
            </w:r>
          </w:p>
        </w:tc>
        <w:tc>
          <w:tcPr>
            <w:tcW w:w="1275" w:type="dxa"/>
            <w:vAlign w:val="center"/>
          </w:tcPr>
          <w:p w:rsidR="00CA0B90" w:rsidRPr="003D3F8A" w:rsidRDefault="004B7CED">
            <w:pPr>
              <w:jc w:val="center"/>
            </w:pPr>
            <w:r w:rsidRPr="003D3F8A">
              <w:rPr>
                <w:color w:val="000000"/>
                <w:szCs w:val="21"/>
              </w:rPr>
              <w:t>5</w:t>
            </w:r>
          </w:p>
        </w:tc>
        <w:tc>
          <w:tcPr>
            <w:tcW w:w="2552" w:type="dxa"/>
            <w:vAlign w:val="center"/>
          </w:tcPr>
          <w:p w:rsidR="00CA0B90" w:rsidRPr="003D3F8A" w:rsidRDefault="004B7CED">
            <w:r w:rsidRPr="003D3F8A">
              <w:rPr>
                <w:color w:val="000000"/>
                <w:szCs w:val="21"/>
              </w:rPr>
              <w:t>理学硕士。曾任中国外汇交易中心职员，广东南粤银行债券交易员。</w:t>
            </w:r>
            <w:r w:rsidRPr="003D3F8A">
              <w:rPr>
                <w:color w:val="000000"/>
                <w:szCs w:val="21"/>
              </w:rPr>
              <w:t>2015</w:t>
            </w:r>
            <w:r w:rsidRPr="003D3F8A">
              <w:rPr>
                <w:color w:val="000000"/>
                <w:szCs w:val="21"/>
              </w:rPr>
              <w:t>年加入中银基金管理有限公司，曾任固定收益研究员、中银资产管理有限公司资产管理部投资经理。</w:t>
            </w:r>
            <w:r w:rsidRPr="003D3F8A">
              <w:rPr>
                <w:color w:val="000000"/>
                <w:szCs w:val="21"/>
              </w:rPr>
              <w:t>2018</w:t>
            </w:r>
            <w:r w:rsidRPr="003D3F8A">
              <w:rPr>
                <w:color w:val="000000"/>
                <w:szCs w:val="21"/>
              </w:rPr>
              <w:t>年</w:t>
            </w:r>
            <w:r w:rsidRPr="003D3F8A">
              <w:rPr>
                <w:color w:val="000000"/>
                <w:szCs w:val="21"/>
              </w:rPr>
              <w:t>2</w:t>
            </w:r>
            <w:r w:rsidRPr="003D3F8A">
              <w:rPr>
                <w:color w:val="000000"/>
                <w:szCs w:val="21"/>
              </w:rPr>
              <w:t>月至今任中银互利基金经理，</w:t>
            </w:r>
            <w:r w:rsidRPr="003D3F8A">
              <w:rPr>
                <w:color w:val="000000"/>
                <w:szCs w:val="21"/>
              </w:rPr>
              <w:t>2018</w:t>
            </w:r>
            <w:r w:rsidRPr="003D3F8A">
              <w:rPr>
                <w:color w:val="000000"/>
                <w:szCs w:val="21"/>
              </w:rPr>
              <w:t>年</w:t>
            </w:r>
            <w:r w:rsidRPr="003D3F8A">
              <w:rPr>
                <w:color w:val="000000"/>
                <w:szCs w:val="21"/>
              </w:rPr>
              <w:t>2</w:t>
            </w:r>
            <w:r w:rsidRPr="003D3F8A">
              <w:rPr>
                <w:color w:val="000000"/>
                <w:szCs w:val="21"/>
              </w:rPr>
              <w:t>月至今任中银安心回报基金经理，</w:t>
            </w:r>
            <w:r w:rsidRPr="003D3F8A">
              <w:rPr>
                <w:color w:val="000000"/>
                <w:szCs w:val="21"/>
              </w:rPr>
              <w:t>2018</w:t>
            </w:r>
            <w:r w:rsidRPr="003D3F8A">
              <w:rPr>
                <w:color w:val="000000"/>
                <w:szCs w:val="21"/>
              </w:rPr>
              <w:t>年</w:t>
            </w:r>
            <w:r w:rsidRPr="003D3F8A">
              <w:rPr>
                <w:color w:val="000000"/>
                <w:szCs w:val="21"/>
              </w:rPr>
              <w:t>2</w:t>
            </w:r>
            <w:r w:rsidRPr="003D3F8A">
              <w:rPr>
                <w:color w:val="000000"/>
                <w:szCs w:val="21"/>
              </w:rPr>
              <w:t>月至今任中银薪钱包基金经理，</w:t>
            </w:r>
            <w:r w:rsidRPr="003D3F8A">
              <w:rPr>
                <w:color w:val="000000"/>
                <w:szCs w:val="21"/>
              </w:rPr>
              <w:t>2018</w:t>
            </w:r>
            <w:r w:rsidRPr="003D3F8A">
              <w:rPr>
                <w:color w:val="000000"/>
                <w:szCs w:val="21"/>
              </w:rPr>
              <w:t>年</w:t>
            </w:r>
            <w:r w:rsidRPr="003D3F8A">
              <w:rPr>
                <w:color w:val="000000"/>
                <w:szCs w:val="21"/>
              </w:rPr>
              <w:t>10</w:t>
            </w:r>
            <w:r w:rsidRPr="003D3F8A">
              <w:rPr>
                <w:color w:val="000000"/>
                <w:szCs w:val="21"/>
              </w:rPr>
              <w:t>月至今任中银理财</w:t>
            </w:r>
            <w:r w:rsidRPr="003D3F8A">
              <w:rPr>
                <w:color w:val="000000"/>
                <w:szCs w:val="21"/>
              </w:rPr>
              <w:t>30</w:t>
            </w:r>
            <w:r w:rsidRPr="003D3F8A">
              <w:rPr>
                <w:color w:val="000000"/>
                <w:szCs w:val="21"/>
              </w:rPr>
              <w:t>天债券基金经理，</w:t>
            </w:r>
            <w:r w:rsidRPr="003D3F8A">
              <w:rPr>
                <w:color w:val="000000"/>
                <w:szCs w:val="21"/>
              </w:rPr>
              <w:t>2018</w:t>
            </w:r>
            <w:r w:rsidRPr="003D3F8A">
              <w:rPr>
                <w:color w:val="000000"/>
                <w:szCs w:val="21"/>
              </w:rPr>
              <w:t>年</w:t>
            </w:r>
            <w:r w:rsidRPr="003D3F8A">
              <w:rPr>
                <w:color w:val="000000"/>
                <w:szCs w:val="21"/>
              </w:rPr>
              <w:t>11</w:t>
            </w:r>
            <w:r w:rsidRPr="003D3F8A">
              <w:rPr>
                <w:color w:val="000000"/>
                <w:szCs w:val="21"/>
              </w:rPr>
              <w:t>月至今任中银安享基金经理。具有</w:t>
            </w:r>
            <w:r w:rsidRPr="003D3F8A">
              <w:rPr>
                <w:color w:val="000000"/>
                <w:szCs w:val="21"/>
              </w:rPr>
              <w:t>5</w:t>
            </w:r>
            <w:r w:rsidRPr="003D3F8A">
              <w:rPr>
                <w:color w:val="000000"/>
                <w:szCs w:val="21"/>
              </w:rPr>
              <w:t>年证券从业年限。具备基金、证券、银行间债券市场交易员从业资格。</w:t>
            </w:r>
          </w:p>
        </w:tc>
      </w:tr>
    </w:tbl>
    <w:p w:rsidR="00CA0B90" w:rsidRPr="003D3F8A" w:rsidRDefault="004B7CED">
      <w:pPr>
        <w:autoSpaceDE w:val="0"/>
        <w:autoSpaceDN w:val="0"/>
        <w:adjustRightInd w:val="0"/>
        <w:spacing w:line="360" w:lineRule="auto"/>
        <w:jc w:val="left"/>
        <w:rPr>
          <w:color w:val="000000"/>
          <w:szCs w:val="21"/>
        </w:rPr>
      </w:pPr>
      <w:r w:rsidRPr="003D3F8A">
        <w:rPr>
          <w:color w:val="000000"/>
          <w:szCs w:val="21"/>
        </w:rPr>
        <w:t>注：</w:t>
      </w:r>
      <w:r w:rsidRPr="003D3F8A">
        <w:rPr>
          <w:color w:val="000000"/>
          <w:szCs w:val="21"/>
        </w:rPr>
        <w:t>1</w:t>
      </w:r>
      <w:r w:rsidRPr="003D3F8A">
        <w:rPr>
          <w:color w:val="000000"/>
          <w:szCs w:val="21"/>
        </w:rPr>
        <w:t>、首任基金经理的</w:t>
      </w:r>
      <w:r w:rsidRPr="003D3F8A">
        <w:rPr>
          <w:color w:val="000000"/>
          <w:szCs w:val="21"/>
        </w:rPr>
        <w:t>“</w:t>
      </w:r>
      <w:r w:rsidRPr="003D3F8A">
        <w:rPr>
          <w:color w:val="000000"/>
          <w:szCs w:val="21"/>
        </w:rPr>
        <w:t>任职日期</w:t>
      </w:r>
      <w:r w:rsidRPr="003D3F8A">
        <w:rPr>
          <w:color w:val="000000"/>
          <w:szCs w:val="21"/>
        </w:rPr>
        <w:t>”</w:t>
      </w:r>
      <w:r w:rsidRPr="003D3F8A">
        <w:rPr>
          <w:color w:val="000000"/>
          <w:szCs w:val="21"/>
        </w:rPr>
        <w:t>为基金合同生效日，非首任基金经理的</w:t>
      </w:r>
      <w:r w:rsidRPr="003D3F8A">
        <w:rPr>
          <w:color w:val="000000"/>
          <w:szCs w:val="21"/>
        </w:rPr>
        <w:t>“</w:t>
      </w:r>
      <w:r w:rsidRPr="003D3F8A">
        <w:rPr>
          <w:color w:val="000000"/>
          <w:szCs w:val="21"/>
        </w:rPr>
        <w:t>任职日期</w:t>
      </w:r>
      <w:r w:rsidRPr="003D3F8A">
        <w:rPr>
          <w:color w:val="000000"/>
          <w:szCs w:val="21"/>
        </w:rPr>
        <w:t>”</w:t>
      </w:r>
      <w:r w:rsidRPr="003D3F8A">
        <w:rPr>
          <w:color w:val="000000"/>
          <w:szCs w:val="21"/>
        </w:rPr>
        <w:t>为根据公司决定确定的聘任日期，基金经理的</w:t>
      </w:r>
      <w:r w:rsidRPr="003D3F8A">
        <w:rPr>
          <w:color w:val="000000"/>
          <w:szCs w:val="21"/>
        </w:rPr>
        <w:t>“</w:t>
      </w:r>
      <w:r w:rsidRPr="003D3F8A">
        <w:rPr>
          <w:color w:val="000000"/>
          <w:szCs w:val="21"/>
        </w:rPr>
        <w:t>离任日期</w:t>
      </w:r>
      <w:r w:rsidRPr="003D3F8A">
        <w:rPr>
          <w:color w:val="000000"/>
          <w:szCs w:val="21"/>
        </w:rPr>
        <w:t>”</w:t>
      </w:r>
      <w:r w:rsidRPr="003D3F8A">
        <w:rPr>
          <w:color w:val="000000"/>
          <w:szCs w:val="21"/>
        </w:rPr>
        <w:t>均为根据公司决定确定的解聘日期；</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2</w:t>
      </w:r>
      <w:r w:rsidRPr="003D3F8A">
        <w:rPr>
          <w:color w:val="000000"/>
          <w:szCs w:val="21"/>
        </w:rPr>
        <w:t>、证券从业年限的计算标准及含义遵从《证券业从业人员资格管理办法》的相关规定。</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4.2 </w:t>
      </w:r>
      <w:r w:rsidRPr="003D3F8A">
        <w:rPr>
          <w:b/>
          <w:bCs/>
          <w:color w:val="000000"/>
          <w:kern w:val="0"/>
          <w:szCs w:val="21"/>
        </w:rPr>
        <w:t>报告期内本基金运作遵规守信情况说明</w:t>
      </w:r>
    </w:p>
    <w:p w:rsidR="00CA0B90" w:rsidRPr="003D3F8A" w:rsidRDefault="004B7CED">
      <w:pPr>
        <w:spacing w:line="360" w:lineRule="auto"/>
        <w:ind w:firstLineChars="200" w:firstLine="420"/>
        <w:rPr>
          <w:color w:val="000000"/>
          <w:szCs w:val="21"/>
        </w:rPr>
      </w:pPr>
      <w:r w:rsidRPr="003D3F8A">
        <w:rPr>
          <w:color w:val="000000"/>
          <w:szCs w:val="21"/>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份额持有人谋求最大利益。本报告期内，本基金运作合法合规，无损害基金份额持有人利益的行为。</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4.3 </w:t>
      </w:r>
      <w:r w:rsidRPr="003D3F8A">
        <w:rPr>
          <w:b/>
          <w:bCs/>
          <w:color w:val="000000"/>
          <w:kern w:val="0"/>
          <w:szCs w:val="21"/>
        </w:rPr>
        <w:t>公平交易专项说明</w:t>
      </w:r>
    </w:p>
    <w:p w:rsidR="00CA0B90" w:rsidRPr="003D3F8A" w:rsidRDefault="004B7CED">
      <w:pPr>
        <w:spacing w:line="360" w:lineRule="auto"/>
        <w:rPr>
          <w:color w:val="000000"/>
          <w:szCs w:val="21"/>
        </w:rPr>
      </w:pPr>
      <w:r w:rsidRPr="003D3F8A">
        <w:rPr>
          <w:color w:val="000000"/>
          <w:szCs w:val="21"/>
        </w:rPr>
        <w:t xml:space="preserve">4.3.1 </w:t>
      </w:r>
      <w:r w:rsidRPr="003D3F8A">
        <w:rPr>
          <w:color w:val="000000"/>
          <w:szCs w:val="21"/>
        </w:rPr>
        <w:t>公平交易制度的执行情况</w:t>
      </w:r>
    </w:p>
    <w:p w:rsidR="00CA0B90" w:rsidRPr="003D3F8A" w:rsidRDefault="004B7CED">
      <w:pPr>
        <w:spacing w:line="360" w:lineRule="auto"/>
        <w:ind w:firstLineChars="200" w:firstLine="420"/>
        <w:rPr>
          <w:color w:val="000000"/>
          <w:szCs w:val="21"/>
        </w:rPr>
      </w:pPr>
      <w:r w:rsidRPr="003D3F8A">
        <w:rPr>
          <w:color w:val="000000"/>
          <w:szCs w:val="21"/>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rsidR="00CA0B90" w:rsidRPr="003D3F8A" w:rsidRDefault="004B7CED">
      <w:pPr>
        <w:spacing w:line="360" w:lineRule="auto"/>
        <w:ind w:firstLineChars="200" w:firstLine="420"/>
        <w:rPr>
          <w:color w:val="000000"/>
          <w:szCs w:val="21"/>
        </w:rPr>
      </w:pPr>
      <w:r w:rsidRPr="003D3F8A">
        <w:rPr>
          <w:color w:val="000000"/>
          <w:szCs w:val="21"/>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rsidR="00CA0B90" w:rsidRPr="003D3F8A" w:rsidRDefault="004B7CED">
      <w:pPr>
        <w:spacing w:line="360" w:lineRule="auto"/>
        <w:rPr>
          <w:color w:val="000000"/>
          <w:szCs w:val="21"/>
        </w:rPr>
      </w:pPr>
      <w:r w:rsidRPr="003D3F8A">
        <w:rPr>
          <w:color w:val="000000"/>
          <w:szCs w:val="21"/>
        </w:rPr>
        <w:t xml:space="preserve">4.3.2 </w:t>
      </w:r>
      <w:r w:rsidRPr="003D3F8A">
        <w:rPr>
          <w:color w:val="000000"/>
          <w:szCs w:val="21"/>
        </w:rPr>
        <w:t>异常交易行为的专项说明</w:t>
      </w:r>
    </w:p>
    <w:p w:rsidR="00CA0B90" w:rsidRPr="003D3F8A" w:rsidRDefault="004B7CED">
      <w:pPr>
        <w:spacing w:line="360" w:lineRule="auto"/>
        <w:ind w:firstLineChars="200" w:firstLine="420"/>
        <w:rPr>
          <w:color w:val="000000"/>
          <w:szCs w:val="21"/>
        </w:rPr>
      </w:pPr>
      <w:r w:rsidRPr="003D3F8A">
        <w:rPr>
          <w:color w:val="000000"/>
          <w:szCs w:val="21"/>
        </w:rPr>
        <w:t>本报告期内，本基金未发现异常交易行为。</w:t>
      </w:r>
    </w:p>
    <w:p w:rsidR="00CA0B90" w:rsidRPr="003D3F8A" w:rsidRDefault="004B7CED">
      <w:pPr>
        <w:spacing w:line="360" w:lineRule="auto"/>
        <w:ind w:firstLineChars="200" w:firstLine="420"/>
        <w:rPr>
          <w:color w:val="000000"/>
          <w:szCs w:val="21"/>
        </w:rPr>
      </w:pPr>
      <w:r w:rsidRPr="003D3F8A">
        <w:rPr>
          <w:color w:val="000000"/>
          <w:szCs w:val="21"/>
        </w:rPr>
        <w:t>本报告期内，基金管理人未发生所有投资组合参与的交易所公开竞价同日反向交易成交较少的单边交易量超过该证券当日成交量的</w:t>
      </w:r>
      <w:r w:rsidRPr="003D3F8A">
        <w:rPr>
          <w:color w:val="000000"/>
          <w:szCs w:val="21"/>
        </w:rPr>
        <w:t>5%</w:t>
      </w:r>
      <w:r w:rsidRPr="003D3F8A">
        <w:rPr>
          <w:color w:val="000000"/>
          <w:szCs w:val="21"/>
        </w:rPr>
        <w:t>的情况。</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4.4 </w:t>
      </w:r>
      <w:r w:rsidRPr="003D3F8A">
        <w:rPr>
          <w:b/>
          <w:bCs/>
          <w:color w:val="000000"/>
          <w:kern w:val="0"/>
          <w:szCs w:val="21"/>
        </w:rPr>
        <w:t>报告期内基金投资策略和运作分析</w:t>
      </w:r>
    </w:p>
    <w:p w:rsidR="00CA0B90" w:rsidRPr="003D3F8A" w:rsidRDefault="004B7CED">
      <w:pPr>
        <w:spacing w:line="360" w:lineRule="auto"/>
        <w:ind w:firstLineChars="200" w:firstLine="420"/>
        <w:rPr>
          <w:color w:val="000000"/>
          <w:szCs w:val="21"/>
        </w:rPr>
      </w:pPr>
      <w:r w:rsidRPr="003D3F8A">
        <w:rPr>
          <w:color w:val="000000"/>
          <w:szCs w:val="21"/>
        </w:rPr>
        <w:t xml:space="preserve">1. </w:t>
      </w:r>
      <w:r w:rsidRPr="003D3F8A">
        <w:rPr>
          <w:color w:val="000000"/>
          <w:szCs w:val="21"/>
        </w:rPr>
        <w:t>宏观经济分析</w:t>
      </w:r>
    </w:p>
    <w:p w:rsidR="00CA0B90" w:rsidRPr="003D3F8A" w:rsidRDefault="004B7CED">
      <w:pPr>
        <w:spacing w:line="360" w:lineRule="auto"/>
        <w:ind w:firstLineChars="200" w:firstLine="420"/>
        <w:rPr>
          <w:color w:val="000000"/>
          <w:szCs w:val="21"/>
        </w:rPr>
      </w:pPr>
      <w:r w:rsidRPr="003D3F8A">
        <w:rPr>
          <w:color w:val="000000"/>
          <w:szCs w:val="21"/>
        </w:rPr>
        <w:t>国外经济方面，全球经济处于复苏末端，美国经济有见顶态势，四季度美欧经济景气度均回落。从领先指标来看，美国经济景气度大幅回落，四季度美国</w:t>
      </w:r>
      <w:r w:rsidRPr="003D3F8A">
        <w:rPr>
          <w:color w:val="000000"/>
          <w:szCs w:val="21"/>
        </w:rPr>
        <w:t>ISM</w:t>
      </w:r>
      <w:r w:rsidRPr="003D3F8A">
        <w:rPr>
          <w:color w:val="000000"/>
          <w:szCs w:val="21"/>
        </w:rPr>
        <w:t>制造业</w:t>
      </w:r>
      <w:r w:rsidRPr="003D3F8A">
        <w:rPr>
          <w:color w:val="000000"/>
          <w:szCs w:val="21"/>
        </w:rPr>
        <w:t>PMI</w:t>
      </w:r>
      <w:r w:rsidRPr="003D3F8A">
        <w:rPr>
          <w:color w:val="000000"/>
          <w:szCs w:val="21"/>
        </w:rPr>
        <w:t>指数从三季度末的</w:t>
      </w:r>
      <w:r w:rsidRPr="003D3F8A">
        <w:rPr>
          <w:color w:val="000000"/>
          <w:szCs w:val="21"/>
        </w:rPr>
        <w:t>59.8</w:t>
      </w:r>
      <w:r w:rsidRPr="003D3F8A">
        <w:rPr>
          <w:color w:val="000000"/>
          <w:szCs w:val="21"/>
        </w:rPr>
        <w:t>下行至</w:t>
      </w:r>
      <w:r w:rsidRPr="003D3F8A">
        <w:rPr>
          <w:color w:val="000000"/>
          <w:szCs w:val="21"/>
        </w:rPr>
        <w:t>54.1</w:t>
      </w:r>
      <w:r w:rsidRPr="003D3F8A">
        <w:rPr>
          <w:color w:val="000000"/>
          <w:szCs w:val="21"/>
        </w:rPr>
        <w:t>，创两年以来新低，美国</w:t>
      </w:r>
      <w:r w:rsidRPr="003D3F8A">
        <w:rPr>
          <w:color w:val="000000"/>
          <w:szCs w:val="21"/>
        </w:rPr>
        <w:t>12</w:t>
      </w:r>
      <w:r w:rsidRPr="003D3F8A">
        <w:rPr>
          <w:color w:val="000000"/>
          <w:szCs w:val="21"/>
        </w:rPr>
        <w:t>月非农就业再度不及预期，失业率维持</w:t>
      </w:r>
      <w:r w:rsidRPr="003D3F8A">
        <w:rPr>
          <w:color w:val="000000"/>
          <w:szCs w:val="21"/>
        </w:rPr>
        <w:t>3.7%</w:t>
      </w:r>
      <w:r w:rsidRPr="003D3F8A">
        <w:rPr>
          <w:color w:val="000000"/>
          <w:szCs w:val="21"/>
        </w:rPr>
        <w:t>，美国通胀预期随着油价下跌而显著回落，美债主要收益率曲线相继逼平，美元指数趋势性转弱。欧元区经济景气度继续下滑，四季度制造业</w:t>
      </w:r>
      <w:r w:rsidRPr="003D3F8A">
        <w:rPr>
          <w:color w:val="000000"/>
          <w:szCs w:val="21"/>
        </w:rPr>
        <w:t>PMI</w:t>
      </w:r>
      <w:r w:rsidRPr="003D3F8A">
        <w:rPr>
          <w:color w:val="000000"/>
          <w:szCs w:val="21"/>
        </w:rPr>
        <w:t>指数从</w:t>
      </w:r>
      <w:r w:rsidRPr="003D3F8A">
        <w:rPr>
          <w:color w:val="000000"/>
          <w:szCs w:val="21"/>
        </w:rPr>
        <w:t>53.2</w:t>
      </w:r>
      <w:r w:rsidRPr="003D3F8A">
        <w:rPr>
          <w:color w:val="000000"/>
          <w:szCs w:val="21"/>
        </w:rPr>
        <w:t>进一步下行至</w:t>
      </w:r>
      <w:r w:rsidRPr="003D3F8A">
        <w:rPr>
          <w:color w:val="000000"/>
          <w:szCs w:val="21"/>
        </w:rPr>
        <w:t>51.4</w:t>
      </w:r>
      <w:r w:rsidRPr="003D3F8A">
        <w:rPr>
          <w:color w:val="000000"/>
          <w:szCs w:val="21"/>
        </w:rPr>
        <w:t>，欧央行实际上处于</w:t>
      </w:r>
      <w:r w:rsidRPr="003D3F8A">
        <w:rPr>
          <w:color w:val="000000"/>
          <w:szCs w:val="21"/>
        </w:rPr>
        <w:t>“</w:t>
      </w:r>
      <w:r w:rsidRPr="003D3F8A">
        <w:rPr>
          <w:color w:val="000000"/>
          <w:szCs w:val="21"/>
        </w:rPr>
        <w:t>松紧两难</w:t>
      </w:r>
      <w:r w:rsidRPr="003D3F8A">
        <w:rPr>
          <w:color w:val="000000"/>
          <w:szCs w:val="21"/>
        </w:rPr>
        <w:t>”</w:t>
      </w:r>
      <w:r w:rsidRPr="003D3F8A">
        <w:rPr>
          <w:color w:val="000000"/>
          <w:szCs w:val="21"/>
        </w:rPr>
        <w:t>的境地，确认</w:t>
      </w:r>
      <w:r w:rsidRPr="003D3F8A">
        <w:rPr>
          <w:color w:val="000000"/>
          <w:szCs w:val="21"/>
        </w:rPr>
        <w:t>12</w:t>
      </w:r>
      <w:r w:rsidRPr="003D3F8A">
        <w:rPr>
          <w:color w:val="000000"/>
          <w:szCs w:val="21"/>
        </w:rPr>
        <w:t>月底结束扩表，但核心通胀距离央行目标也仍有距离。日本经济复苏不及预期，四季度制造业</w:t>
      </w:r>
      <w:r w:rsidRPr="003D3F8A">
        <w:rPr>
          <w:color w:val="000000"/>
          <w:szCs w:val="21"/>
        </w:rPr>
        <w:t>PMI</w:t>
      </w:r>
      <w:r w:rsidRPr="003D3F8A">
        <w:rPr>
          <w:color w:val="000000"/>
          <w:szCs w:val="21"/>
        </w:rPr>
        <w:t>指数从</w:t>
      </w:r>
      <w:r w:rsidRPr="003D3F8A">
        <w:rPr>
          <w:color w:val="000000"/>
          <w:szCs w:val="21"/>
        </w:rPr>
        <w:t>52.5</w:t>
      </w:r>
      <w:r w:rsidRPr="003D3F8A">
        <w:rPr>
          <w:color w:val="000000"/>
          <w:szCs w:val="21"/>
        </w:rPr>
        <w:t>小幅回落至</w:t>
      </w:r>
      <w:r w:rsidRPr="003D3F8A">
        <w:rPr>
          <w:color w:val="000000"/>
          <w:szCs w:val="21"/>
        </w:rPr>
        <w:t>52.4</w:t>
      </w:r>
      <w:r w:rsidRPr="003D3F8A">
        <w:rPr>
          <w:color w:val="000000"/>
          <w:szCs w:val="21"/>
        </w:rPr>
        <w:t>，工业产值回落，核心通胀未见起色。综合来看，美国经济有所回落，</w:t>
      </w:r>
      <w:r w:rsidRPr="003D3F8A">
        <w:rPr>
          <w:color w:val="000000"/>
          <w:szCs w:val="21"/>
        </w:rPr>
        <w:t>2019</w:t>
      </w:r>
      <w:r w:rsidRPr="003D3F8A">
        <w:rPr>
          <w:color w:val="000000"/>
          <w:szCs w:val="21"/>
        </w:rPr>
        <w:t>年美联储预期加息次数显著下降，美元预计见顶，美债收益率预计继续下降；欧洲经济复苏前景一般，贸易战以及英国退欧等因素均存在负面影响；日本经济延续缓慢复苏。</w:t>
      </w:r>
    </w:p>
    <w:p w:rsidR="00CA0B90" w:rsidRPr="003D3F8A" w:rsidRDefault="004B7CED">
      <w:pPr>
        <w:spacing w:line="360" w:lineRule="auto"/>
        <w:ind w:firstLineChars="200" w:firstLine="420"/>
        <w:rPr>
          <w:color w:val="000000"/>
          <w:szCs w:val="21"/>
        </w:rPr>
      </w:pPr>
      <w:r w:rsidRPr="003D3F8A">
        <w:rPr>
          <w:color w:val="000000"/>
          <w:szCs w:val="21"/>
        </w:rPr>
        <w:t>国内经济方面，融资需求继续下行，地方债务监管未见宽松迹象，叠加贸易战背景下外需走弱，经济下行压力增加。具体来看，四季度领先指标中采制造业</w:t>
      </w:r>
      <w:r w:rsidRPr="003D3F8A">
        <w:rPr>
          <w:color w:val="000000"/>
          <w:szCs w:val="21"/>
        </w:rPr>
        <w:t>PMI</w:t>
      </w:r>
      <w:r w:rsidRPr="003D3F8A">
        <w:rPr>
          <w:color w:val="000000"/>
          <w:szCs w:val="21"/>
        </w:rPr>
        <w:t>显著下行</w:t>
      </w:r>
      <w:r w:rsidRPr="003D3F8A">
        <w:rPr>
          <w:color w:val="000000"/>
          <w:szCs w:val="21"/>
        </w:rPr>
        <w:t>1.4</w:t>
      </w:r>
      <w:r w:rsidRPr="003D3F8A">
        <w:rPr>
          <w:color w:val="000000"/>
          <w:szCs w:val="21"/>
        </w:rPr>
        <w:t>个百分点至</w:t>
      </w:r>
      <w:r w:rsidRPr="003D3F8A">
        <w:rPr>
          <w:color w:val="000000"/>
          <w:szCs w:val="21"/>
        </w:rPr>
        <w:t>49.4</w:t>
      </w:r>
      <w:r w:rsidRPr="003D3F8A">
        <w:rPr>
          <w:color w:val="000000"/>
          <w:szCs w:val="21"/>
        </w:rPr>
        <w:t>，同步指标工业增加值</w:t>
      </w:r>
      <w:r w:rsidRPr="003D3F8A">
        <w:rPr>
          <w:color w:val="000000"/>
          <w:szCs w:val="21"/>
        </w:rPr>
        <w:t>1-11</w:t>
      </w:r>
      <w:r w:rsidRPr="003D3F8A">
        <w:rPr>
          <w:color w:val="000000"/>
          <w:szCs w:val="21"/>
        </w:rPr>
        <w:t>月同比增长</w:t>
      </w:r>
      <w:r w:rsidRPr="003D3F8A">
        <w:rPr>
          <w:color w:val="000000"/>
          <w:szCs w:val="21"/>
        </w:rPr>
        <w:t>6.3%</w:t>
      </w:r>
      <w:r w:rsidRPr="003D3F8A">
        <w:rPr>
          <w:color w:val="000000"/>
          <w:szCs w:val="21"/>
        </w:rPr>
        <w:t>，较三季度末回落</w:t>
      </w:r>
      <w:r w:rsidRPr="003D3F8A">
        <w:rPr>
          <w:color w:val="000000"/>
          <w:szCs w:val="21"/>
        </w:rPr>
        <w:t>0.1</w:t>
      </w:r>
      <w:r w:rsidRPr="003D3F8A">
        <w:rPr>
          <w:color w:val="000000"/>
          <w:szCs w:val="21"/>
        </w:rPr>
        <w:t>个百分点。从经济增长动力来看，出口受贸易战影响逐步体现，消费持续走低，投资低位震荡：</w:t>
      </w:r>
      <w:r w:rsidRPr="003D3F8A">
        <w:rPr>
          <w:color w:val="000000"/>
          <w:szCs w:val="21"/>
        </w:rPr>
        <w:t>11</w:t>
      </w:r>
      <w:r w:rsidRPr="003D3F8A">
        <w:rPr>
          <w:color w:val="000000"/>
          <w:szCs w:val="21"/>
        </w:rPr>
        <w:t>月美元计价出口增速较三季度末回落至</w:t>
      </w:r>
      <w:r w:rsidRPr="003D3F8A">
        <w:rPr>
          <w:color w:val="000000"/>
          <w:szCs w:val="21"/>
        </w:rPr>
        <w:t>5.4%</w:t>
      </w:r>
      <w:r w:rsidRPr="003D3F8A">
        <w:rPr>
          <w:color w:val="000000"/>
          <w:szCs w:val="21"/>
        </w:rPr>
        <w:t>左右，</w:t>
      </w:r>
      <w:r w:rsidRPr="003D3F8A">
        <w:rPr>
          <w:color w:val="000000"/>
          <w:szCs w:val="21"/>
        </w:rPr>
        <w:t>11</w:t>
      </w:r>
      <w:r w:rsidRPr="003D3F8A">
        <w:rPr>
          <w:color w:val="000000"/>
          <w:szCs w:val="21"/>
        </w:rPr>
        <w:t>月消费增速较三季度末大幅下行至</w:t>
      </w:r>
      <w:r w:rsidRPr="003D3F8A">
        <w:rPr>
          <w:color w:val="000000"/>
          <w:szCs w:val="21"/>
        </w:rPr>
        <w:t>8.1%</w:t>
      </w:r>
      <w:r w:rsidRPr="003D3F8A">
        <w:rPr>
          <w:color w:val="000000"/>
          <w:szCs w:val="21"/>
        </w:rPr>
        <w:t>；制造业投资维持强势，房地产投资高位回落，基建投资触底反弹，</w:t>
      </w:r>
      <w:r w:rsidRPr="003D3F8A">
        <w:rPr>
          <w:color w:val="000000"/>
          <w:szCs w:val="21"/>
        </w:rPr>
        <w:t>1-11</w:t>
      </w:r>
      <w:r w:rsidRPr="003D3F8A">
        <w:rPr>
          <w:color w:val="000000"/>
          <w:szCs w:val="21"/>
        </w:rPr>
        <w:t>月固定资产投资增速较三季度末小幅回升至</w:t>
      </w:r>
      <w:r w:rsidRPr="003D3F8A">
        <w:rPr>
          <w:color w:val="000000"/>
          <w:szCs w:val="21"/>
        </w:rPr>
        <w:t>5.9%</w:t>
      </w:r>
      <w:r w:rsidRPr="003D3F8A">
        <w:rPr>
          <w:color w:val="000000"/>
          <w:szCs w:val="21"/>
        </w:rPr>
        <w:t>的水平。通胀方面，</w:t>
      </w:r>
      <w:r w:rsidRPr="003D3F8A">
        <w:rPr>
          <w:color w:val="000000"/>
          <w:szCs w:val="21"/>
        </w:rPr>
        <w:t>CPI</w:t>
      </w:r>
      <w:r w:rsidRPr="003D3F8A">
        <w:rPr>
          <w:color w:val="000000"/>
          <w:szCs w:val="21"/>
        </w:rPr>
        <w:t>冲高回落，</w:t>
      </w:r>
      <w:r w:rsidRPr="003D3F8A">
        <w:rPr>
          <w:color w:val="000000"/>
          <w:szCs w:val="21"/>
        </w:rPr>
        <w:t>11</w:t>
      </w:r>
      <w:r w:rsidRPr="003D3F8A">
        <w:rPr>
          <w:color w:val="000000"/>
          <w:szCs w:val="21"/>
        </w:rPr>
        <w:t>月同比增速</w:t>
      </w:r>
      <w:r w:rsidRPr="003D3F8A">
        <w:rPr>
          <w:color w:val="000000"/>
          <w:szCs w:val="21"/>
        </w:rPr>
        <w:t>2.2%</w:t>
      </w:r>
      <w:r w:rsidRPr="003D3F8A">
        <w:rPr>
          <w:color w:val="000000"/>
          <w:szCs w:val="21"/>
        </w:rPr>
        <w:t>，</w:t>
      </w:r>
      <w:r w:rsidRPr="003D3F8A">
        <w:rPr>
          <w:color w:val="000000"/>
          <w:szCs w:val="21"/>
        </w:rPr>
        <w:t>PPI</w:t>
      </w:r>
      <w:r w:rsidRPr="003D3F8A">
        <w:rPr>
          <w:color w:val="000000"/>
          <w:szCs w:val="21"/>
        </w:rPr>
        <w:t>在大宗商品价格走低及高基数背景下加速回落，</w:t>
      </w:r>
      <w:r w:rsidRPr="003D3F8A">
        <w:rPr>
          <w:color w:val="000000"/>
          <w:szCs w:val="21"/>
        </w:rPr>
        <w:t>11</w:t>
      </w:r>
      <w:r w:rsidRPr="003D3F8A">
        <w:rPr>
          <w:color w:val="000000"/>
          <w:szCs w:val="21"/>
        </w:rPr>
        <w:t>月同比增速较三季度末回落至</w:t>
      </w:r>
      <w:r w:rsidRPr="003D3F8A">
        <w:rPr>
          <w:color w:val="000000"/>
          <w:szCs w:val="21"/>
        </w:rPr>
        <w:t>2.7%</w:t>
      </w:r>
      <w:r w:rsidRPr="003D3F8A">
        <w:rPr>
          <w:color w:val="000000"/>
          <w:szCs w:val="21"/>
        </w:rPr>
        <w:t>。</w:t>
      </w:r>
    </w:p>
    <w:p w:rsidR="00CA0B90" w:rsidRPr="003D3F8A" w:rsidRDefault="004B7CED">
      <w:pPr>
        <w:spacing w:line="360" w:lineRule="auto"/>
        <w:ind w:firstLineChars="200" w:firstLine="420"/>
        <w:rPr>
          <w:color w:val="000000"/>
          <w:szCs w:val="21"/>
        </w:rPr>
      </w:pPr>
      <w:r w:rsidRPr="003D3F8A">
        <w:rPr>
          <w:color w:val="000000"/>
          <w:szCs w:val="21"/>
        </w:rPr>
        <w:t xml:space="preserve">2. </w:t>
      </w:r>
      <w:r w:rsidRPr="003D3F8A">
        <w:rPr>
          <w:color w:val="000000"/>
          <w:szCs w:val="21"/>
        </w:rPr>
        <w:t>市场回顾</w:t>
      </w:r>
    </w:p>
    <w:p w:rsidR="00CA0B90" w:rsidRPr="003D3F8A" w:rsidRDefault="004B7CED">
      <w:pPr>
        <w:spacing w:line="360" w:lineRule="auto"/>
        <w:ind w:firstLineChars="200" w:firstLine="420"/>
        <w:rPr>
          <w:color w:val="000000"/>
          <w:szCs w:val="21"/>
        </w:rPr>
      </w:pPr>
      <w:r w:rsidRPr="003D3F8A">
        <w:rPr>
          <w:color w:val="000000"/>
          <w:szCs w:val="21"/>
        </w:rPr>
        <w:t>债券市场方面，四季度债市各品种均显著上涨。其中，四季度中债总全价指数上涨</w:t>
      </w:r>
      <w:r w:rsidRPr="003D3F8A">
        <w:rPr>
          <w:color w:val="000000"/>
          <w:szCs w:val="21"/>
        </w:rPr>
        <w:t>2.91%</w:t>
      </w:r>
      <w:r w:rsidRPr="003D3F8A">
        <w:rPr>
          <w:color w:val="000000"/>
          <w:szCs w:val="21"/>
        </w:rPr>
        <w:t>，中债银行间国债全价指数上涨</w:t>
      </w:r>
      <w:r w:rsidRPr="003D3F8A">
        <w:rPr>
          <w:color w:val="000000"/>
          <w:szCs w:val="21"/>
        </w:rPr>
        <w:t>2.91%</w:t>
      </w:r>
      <w:r w:rsidRPr="003D3F8A">
        <w:rPr>
          <w:color w:val="000000"/>
          <w:szCs w:val="21"/>
        </w:rPr>
        <w:t>，中债企业债总全价指数上涨</w:t>
      </w:r>
      <w:r w:rsidRPr="003D3F8A">
        <w:rPr>
          <w:color w:val="000000"/>
          <w:szCs w:val="21"/>
        </w:rPr>
        <w:t>1.42%</w:t>
      </w:r>
      <w:r w:rsidRPr="003D3F8A">
        <w:rPr>
          <w:color w:val="000000"/>
          <w:szCs w:val="21"/>
        </w:rPr>
        <w:t>。在收益率曲线上，四季度收益率曲线经历了小幅由陡变平的变化。其中，四季度</w:t>
      </w:r>
      <w:r w:rsidRPr="003D3F8A">
        <w:rPr>
          <w:color w:val="000000"/>
          <w:szCs w:val="21"/>
        </w:rPr>
        <w:t>10</w:t>
      </w:r>
      <w:r w:rsidRPr="003D3F8A">
        <w:rPr>
          <w:color w:val="000000"/>
          <w:szCs w:val="21"/>
        </w:rPr>
        <w:t>年期国债收益率从</w:t>
      </w:r>
      <w:r w:rsidRPr="003D3F8A">
        <w:rPr>
          <w:color w:val="000000"/>
          <w:szCs w:val="21"/>
        </w:rPr>
        <w:t>3.61%</w:t>
      </w:r>
      <w:r w:rsidRPr="003D3F8A">
        <w:rPr>
          <w:color w:val="000000"/>
          <w:szCs w:val="21"/>
        </w:rPr>
        <w:t>的水平下行</w:t>
      </w:r>
      <w:r w:rsidRPr="003D3F8A">
        <w:rPr>
          <w:color w:val="000000"/>
          <w:szCs w:val="21"/>
        </w:rPr>
        <w:t>38</w:t>
      </w:r>
      <w:r w:rsidRPr="003D3F8A">
        <w:rPr>
          <w:color w:val="000000"/>
          <w:szCs w:val="21"/>
        </w:rPr>
        <w:t>个</w:t>
      </w:r>
      <w:r w:rsidRPr="003D3F8A">
        <w:rPr>
          <w:color w:val="000000"/>
          <w:szCs w:val="21"/>
        </w:rPr>
        <w:t>bp</w:t>
      </w:r>
      <w:r w:rsidRPr="003D3F8A">
        <w:rPr>
          <w:color w:val="000000"/>
          <w:szCs w:val="21"/>
        </w:rPr>
        <w:t>至</w:t>
      </w:r>
      <w:r w:rsidRPr="003D3F8A">
        <w:rPr>
          <w:color w:val="000000"/>
          <w:szCs w:val="21"/>
        </w:rPr>
        <w:t>3.23%</w:t>
      </w:r>
      <w:r w:rsidRPr="003D3F8A">
        <w:rPr>
          <w:color w:val="000000"/>
          <w:szCs w:val="21"/>
        </w:rPr>
        <w:t>，</w:t>
      </w:r>
      <w:r w:rsidRPr="003D3F8A">
        <w:rPr>
          <w:color w:val="000000"/>
          <w:szCs w:val="21"/>
        </w:rPr>
        <w:t>10</w:t>
      </w:r>
      <w:r w:rsidRPr="003D3F8A">
        <w:rPr>
          <w:color w:val="000000"/>
          <w:szCs w:val="21"/>
        </w:rPr>
        <w:t>年期金融债（国开）收益率从</w:t>
      </w:r>
      <w:r w:rsidRPr="003D3F8A">
        <w:rPr>
          <w:color w:val="000000"/>
          <w:szCs w:val="21"/>
        </w:rPr>
        <w:t>4.20%</w:t>
      </w:r>
      <w:r w:rsidRPr="003D3F8A">
        <w:rPr>
          <w:color w:val="000000"/>
          <w:szCs w:val="21"/>
        </w:rPr>
        <w:t>下行</w:t>
      </w:r>
      <w:r w:rsidRPr="003D3F8A">
        <w:rPr>
          <w:color w:val="000000"/>
          <w:szCs w:val="21"/>
        </w:rPr>
        <w:t>55</w:t>
      </w:r>
      <w:r w:rsidRPr="003D3F8A">
        <w:rPr>
          <w:color w:val="000000"/>
          <w:szCs w:val="21"/>
        </w:rPr>
        <w:t>个</w:t>
      </w:r>
      <w:r w:rsidRPr="003D3F8A">
        <w:rPr>
          <w:color w:val="000000"/>
          <w:szCs w:val="21"/>
        </w:rPr>
        <w:t>bp</w:t>
      </w:r>
      <w:r w:rsidRPr="003D3F8A">
        <w:rPr>
          <w:color w:val="000000"/>
          <w:szCs w:val="21"/>
        </w:rPr>
        <w:t>至</w:t>
      </w:r>
      <w:r w:rsidRPr="003D3F8A">
        <w:rPr>
          <w:color w:val="000000"/>
          <w:szCs w:val="21"/>
        </w:rPr>
        <w:t>3.65%</w:t>
      </w:r>
      <w:r w:rsidRPr="003D3F8A">
        <w:rPr>
          <w:color w:val="000000"/>
          <w:szCs w:val="21"/>
        </w:rPr>
        <w:t>。货币市场方面，四季度央行货币政策整体中性偏宽松，资金面呈现总体宽松偶尔时点紧张的格局。其中，四季度银行间</w:t>
      </w:r>
      <w:r w:rsidRPr="003D3F8A">
        <w:rPr>
          <w:color w:val="000000"/>
          <w:szCs w:val="21"/>
        </w:rPr>
        <w:t>1</w:t>
      </w:r>
      <w:r w:rsidRPr="003D3F8A">
        <w:rPr>
          <w:color w:val="000000"/>
          <w:szCs w:val="21"/>
        </w:rPr>
        <w:t>天回购加权平均利率均值在</w:t>
      </w:r>
      <w:r w:rsidRPr="003D3F8A">
        <w:rPr>
          <w:color w:val="000000"/>
          <w:szCs w:val="21"/>
        </w:rPr>
        <w:t>2.39%</w:t>
      </w:r>
      <w:r w:rsidRPr="003D3F8A">
        <w:rPr>
          <w:color w:val="000000"/>
          <w:szCs w:val="21"/>
        </w:rPr>
        <w:t>左右，较上季度均值小幅上升</w:t>
      </w:r>
      <w:r w:rsidRPr="003D3F8A">
        <w:rPr>
          <w:color w:val="000000"/>
          <w:szCs w:val="21"/>
        </w:rPr>
        <w:t>4bp</w:t>
      </w:r>
      <w:r w:rsidRPr="003D3F8A">
        <w:rPr>
          <w:color w:val="000000"/>
          <w:szCs w:val="21"/>
        </w:rPr>
        <w:t>，银行间</w:t>
      </w:r>
      <w:r w:rsidRPr="003D3F8A">
        <w:rPr>
          <w:color w:val="000000"/>
          <w:szCs w:val="21"/>
        </w:rPr>
        <w:t>7</w:t>
      </w:r>
      <w:r w:rsidRPr="003D3F8A">
        <w:rPr>
          <w:color w:val="000000"/>
          <w:szCs w:val="21"/>
        </w:rPr>
        <w:t>天回购利率均值在</w:t>
      </w:r>
      <w:r w:rsidRPr="003D3F8A">
        <w:rPr>
          <w:color w:val="000000"/>
          <w:szCs w:val="21"/>
        </w:rPr>
        <w:t>2.84%</w:t>
      </w:r>
      <w:r w:rsidRPr="003D3F8A">
        <w:rPr>
          <w:color w:val="000000"/>
          <w:szCs w:val="21"/>
        </w:rPr>
        <w:t>左右，较上季度均值抬升</w:t>
      </w:r>
      <w:r w:rsidRPr="003D3F8A">
        <w:rPr>
          <w:color w:val="000000"/>
          <w:szCs w:val="21"/>
        </w:rPr>
        <w:t>17bp</w:t>
      </w:r>
      <w:r w:rsidRPr="003D3F8A">
        <w:rPr>
          <w:color w:val="000000"/>
          <w:szCs w:val="21"/>
        </w:rPr>
        <w:t>。</w:t>
      </w:r>
    </w:p>
    <w:p w:rsidR="00CA0B90" w:rsidRPr="003D3F8A" w:rsidRDefault="004B7CED">
      <w:pPr>
        <w:spacing w:line="360" w:lineRule="auto"/>
        <w:ind w:firstLineChars="200" w:firstLine="420"/>
        <w:rPr>
          <w:color w:val="000000"/>
          <w:szCs w:val="21"/>
        </w:rPr>
      </w:pPr>
      <w:r w:rsidRPr="003D3F8A">
        <w:rPr>
          <w:color w:val="000000"/>
          <w:szCs w:val="21"/>
        </w:rPr>
        <w:t xml:space="preserve">3. </w:t>
      </w:r>
      <w:r w:rsidRPr="003D3F8A">
        <w:rPr>
          <w:color w:val="000000"/>
          <w:szCs w:val="21"/>
        </w:rPr>
        <w:t>运行分析</w:t>
      </w:r>
    </w:p>
    <w:p w:rsidR="00CA0B90" w:rsidRPr="003D3F8A" w:rsidRDefault="004B7CED">
      <w:pPr>
        <w:spacing w:line="360" w:lineRule="auto"/>
        <w:ind w:firstLineChars="200" w:firstLine="420"/>
        <w:rPr>
          <w:color w:val="000000"/>
          <w:szCs w:val="21"/>
        </w:rPr>
      </w:pPr>
      <w:r w:rsidRPr="003D3F8A">
        <w:rPr>
          <w:color w:val="000000"/>
          <w:szCs w:val="21"/>
        </w:rPr>
        <w:t>四季度债券市场各品种显著上涨，本基金业绩表现好于比较基准。策略上，我们维持适度的组合剩余期限和杠杆比例，在保证资产较好流动性的前提下，根据资金面波动的周期性特点进行同业存款、同业存单及短期融资券等的配置，保证了在低风险状况下的较好回报。</w:t>
      </w:r>
    </w:p>
    <w:p w:rsidR="00CA0B90" w:rsidRPr="003D3F8A" w:rsidRDefault="004B7CED">
      <w:pPr>
        <w:spacing w:line="360" w:lineRule="auto"/>
        <w:rPr>
          <w:b/>
          <w:bCs/>
          <w:szCs w:val="21"/>
        </w:rPr>
      </w:pPr>
      <w:r w:rsidRPr="003D3F8A">
        <w:rPr>
          <w:b/>
          <w:bCs/>
          <w:szCs w:val="21"/>
        </w:rPr>
        <w:t>4.5</w:t>
      </w:r>
      <w:r w:rsidRPr="003D3F8A">
        <w:rPr>
          <w:b/>
          <w:bCs/>
          <w:szCs w:val="21"/>
        </w:rPr>
        <w:t>报告期内基金的业绩表现</w:t>
      </w:r>
    </w:p>
    <w:p w:rsidR="00CA0B90" w:rsidRPr="003D3F8A" w:rsidRDefault="004B7CED">
      <w:pPr>
        <w:spacing w:line="360" w:lineRule="auto"/>
        <w:ind w:firstLineChars="200" w:firstLine="420"/>
        <w:rPr>
          <w:color w:val="000000"/>
          <w:szCs w:val="21"/>
        </w:rPr>
      </w:pPr>
      <w:r w:rsidRPr="003D3F8A">
        <w:rPr>
          <w:color w:val="000000"/>
          <w:szCs w:val="21"/>
        </w:rPr>
        <w:t>本基金本报告期内收益率为</w:t>
      </w:r>
      <w:r w:rsidRPr="003D3F8A">
        <w:rPr>
          <w:color w:val="000000"/>
          <w:szCs w:val="21"/>
        </w:rPr>
        <w:t>0.79%</w:t>
      </w:r>
      <w:r w:rsidRPr="003D3F8A">
        <w:rPr>
          <w:color w:val="000000"/>
          <w:szCs w:val="21"/>
        </w:rPr>
        <w:t>，高于业绩比较基准</w:t>
      </w:r>
      <w:r w:rsidRPr="003D3F8A">
        <w:rPr>
          <w:color w:val="000000"/>
          <w:szCs w:val="21"/>
        </w:rPr>
        <w:t>44bp</w:t>
      </w:r>
      <w:r w:rsidRPr="003D3F8A">
        <w:rPr>
          <w:color w:val="000000"/>
          <w:szCs w:val="21"/>
        </w:rPr>
        <w:t>。</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4.6 </w:t>
      </w:r>
      <w:r w:rsidRPr="003D3F8A">
        <w:rPr>
          <w:b/>
          <w:bCs/>
          <w:color w:val="000000"/>
          <w:kern w:val="0"/>
          <w:szCs w:val="21"/>
        </w:rPr>
        <w:t>报告期内基金持有人数或基金资产净值预警说明</w:t>
      </w:r>
    </w:p>
    <w:p w:rsidR="00CA0B90" w:rsidRPr="003D3F8A" w:rsidRDefault="004B7CED">
      <w:pPr>
        <w:spacing w:line="360" w:lineRule="auto"/>
        <w:ind w:firstLineChars="200" w:firstLine="420"/>
        <w:rPr>
          <w:color w:val="000000"/>
          <w:szCs w:val="21"/>
        </w:rPr>
      </w:pPr>
      <w:r w:rsidRPr="003D3F8A">
        <w:rPr>
          <w:color w:val="000000"/>
          <w:szCs w:val="21"/>
        </w:rPr>
        <w:t>本基金在报告期内未出现连续二十个工作日基金份额持有人数量不满二百人或者基金资产净值低于五千万元的情形。</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 xml:space="preserve">§5  </w:t>
      </w:r>
      <w:r w:rsidRPr="003D3F8A">
        <w:rPr>
          <w:color w:val="000000"/>
          <w:kern w:val="0"/>
          <w:sz w:val="24"/>
          <w:szCs w:val="24"/>
        </w:rPr>
        <w:t>投资组合报告</w:t>
      </w:r>
    </w:p>
    <w:p w:rsidR="00CA0B90" w:rsidRPr="003D3F8A" w:rsidRDefault="004B7CED">
      <w:pPr>
        <w:spacing w:line="360" w:lineRule="auto"/>
        <w:rPr>
          <w:b/>
          <w:color w:val="000000"/>
          <w:kern w:val="0"/>
          <w:szCs w:val="21"/>
        </w:rPr>
      </w:pPr>
      <w:r w:rsidRPr="003D3F8A">
        <w:rPr>
          <w:b/>
          <w:color w:val="000000"/>
          <w:kern w:val="0"/>
          <w:szCs w:val="21"/>
        </w:rPr>
        <w:t xml:space="preserve">5.1 </w:t>
      </w:r>
      <w:r w:rsidRPr="003D3F8A">
        <w:rPr>
          <w:b/>
          <w:color w:val="000000"/>
          <w:kern w:val="0"/>
          <w:szCs w:val="21"/>
        </w:rPr>
        <w:t>报告期末基金资产组合情况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410"/>
        <w:gridCol w:w="3402"/>
        <w:gridCol w:w="1701"/>
      </w:tblGrid>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序号</w:t>
            </w:r>
          </w:p>
        </w:tc>
        <w:tc>
          <w:tcPr>
            <w:tcW w:w="2410" w:type="dxa"/>
            <w:vAlign w:val="center"/>
          </w:tcPr>
          <w:p w:rsidR="00CA0B90" w:rsidRPr="003D3F8A" w:rsidRDefault="004B7CED">
            <w:pPr>
              <w:spacing w:before="29"/>
              <w:ind w:left="17"/>
              <w:jc w:val="center"/>
              <w:rPr>
                <w:color w:val="000000"/>
                <w:szCs w:val="21"/>
              </w:rPr>
            </w:pPr>
            <w:r w:rsidRPr="003D3F8A">
              <w:rPr>
                <w:color w:val="000000"/>
                <w:szCs w:val="21"/>
              </w:rPr>
              <w:t>项目</w:t>
            </w:r>
          </w:p>
        </w:tc>
        <w:tc>
          <w:tcPr>
            <w:tcW w:w="3402" w:type="dxa"/>
            <w:vAlign w:val="center"/>
          </w:tcPr>
          <w:p w:rsidR="00CA0B90" w:rsidRPr="003D3F8A" w:rsidRDefault="004B7CED">
            <w:pPr>
              <w:spacing w:before="29"/>
              <w:ind w:left="17"/>
              <w:jc w:val="center"/>
              <w:rPr>
                <w:color w:val="000000"/>
                <w:szCs w:val="21"/>
              </w:rPr>
            </w:pPr>
            <w:r w:rsidRPr="003D3F8A">
              <w:rPr>
                <w:color w:val="000000"/>
                <w:szCs w:val="21"/>
              </w:rPr>
              <w:t>金额</w:t>
            </w:r>
            <w:r w:rsidRPr="003D3F8A">
              <w:rPr>
                <w:color w:val="000000"/>
                <w:szCs w:val="21"/>
              </w:rPr>
              <w:t>(</w:t>
            </w:r>
            <w:r w:rsidRPr="003D3F8A">
              <w:rPr>
                <w:color w:val="000000"/>
                <w:szCs w:val="21"/>
              </w:rPr>
              <w:t>元</w:t>
            </w:r>
            <w:r w:rsidRPr="003D3F8A">
              <w:rPr>
                <w:color w:val="000000"/>
                <w:szCs w:val="21"/>
              </w:rPr>
              <w:t>)</w:t>
            </w:r>
          </w:p>
        </w:tc>
        <w:tc>
          <w:tcPr>
            <w:tcW w:w="1701" w:type="dxa"/>
            <w:vAlign w:val="center"/>
          </w:tcPr>
          <w:p w:rsidR="00CA0B90" w:rsidRPr="003D3F8A" w:rsidRDefault="004B7CED">
            <w:pPr>
              <w:spacing w:before="29"/>
              <w:ind w:left="17"/>
              <w:jc w:val="center"/>
              <w:rPr>
                <w:color w:val="000000"/>
                <w:szCs w:val="21"/>
              </w:rPr>
            </w:pPr>
            <w:r w:rsidRPr="003D3F8A">
              <w:rPr>
                <w:color w:val="000000"/>
                <w:szCs w:val="21"/>
              </w:rPr>
              <w:t>占基金总资产的比例</w:t>
            </w:r>
            <w:r w:rsidRPr="003D3F8A">
              <w:rPr>
                <w:color w:val="000000"/>
                <w:szCs w:val="21"/>
              </w:rPr>
              <w:t>(%)</w:t>
            </w:r>
          </w:p>
        </w:tc>
      </w:tr>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1</w:t>
            </w:r>
          </w:p>
        </w:tc>
        <w:tc>
          <w:tcPr>
            <w:tcW w:w="2410" w:type="dxa"/>
            <w:vAlign w:val="center"/>
          </w:tcPr>
          <w:p w:rsidR="00CA0B90" w:rsidRPr="003D3F8A" w:rsidRDefault="004B7CED">
            <w:pPr>
              <w:spacing w:before="29"/>
              <w:ind w:left="17"/>
              <w:jc w:val="left"/>
              <w:rPr>
                <w:szCs w:val="21"/>
              </w:rPr>
            </w:pPr>
            <w:r w:rsidRPr="003D3F8A">
              <w:rPr>
                <w:color w:val="000000"/>
                <w:szCs w:val="21"/>
              </w:rPr>
              <w:t>固定收益投资</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7,666,493,671.29</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73.23</w:t>
            </w:r>
          </w:p>
        </w:tc>
      </w:tr>
      <w:tr w:rsidR="00CA0B90" w:rsidRPr="003D3F8A">
        <w:tc>
          <w:tcPr>
            <w:tcW w:w="1418" w:type="dxa"/>
            <w:vAlign w:val="center"/>
          </w:tcPr>
          <w:p w:rsidR="00CA0B90" w:rsidRPr="003D3F8A" w:rsidRDefault="00CA0B90">
            <w:pPr>
              <w:spacing w:before="29"/>
              <w:ind w:left="17"/>
              <w:jc w:val="center"/>
              <w:rPr>
                <w:color w:val="000000"/>
                <w:szCs w:val="21"/>
              </w:rPr>
            </w:pPr>
          </w:p>
        </w:tc>
        <w:tc>
          <w:tcPr>
            <w:tcW w:w="2410" w:type="dxa"/>
            <w:vAlign w:val="center"/>
          </w:tcPr>
          <w:p w:rsidR="00CA0B90" w:rsidRPr="003D3F8A" w:rsidRDefault="004B7CED">
            <w:pPr>
              <w:spacing w:before="29"/>
              <w:ind w:left="17"/>
              <w:jc w:val="left"/>
              <w:rPr>
                <w:szCs w:val="21"/>
              </w:rPr>
            </w:pPr>
            <w:r w:rsidRPr="003D3F8A">
              <w:rPr>
                <w:color w:val="000000"/>
                <w:szCs w:val="21"/>
              </w:rPr>
              <w:t>其中：债券</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7,441,493,671.29</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71.08</w:t>
            </w:r>
          </w:p>
        </w:tc>
      </w:tr>
      <w:tr w:rsidR="00CA0B90" w:rsidRPr="003D3F8A">
        <w:tc>
          <w:tcPr>
            <w:tcW w:w="1418" w:type="dxa"/>
            <w:vAlign w:val="center"/>
          </w:tcPr>
          <w:p w:rsidR="00CA0B90" w:rsidRPr="003D3F8A" w:rsidRDefault="00CA0B90">
            <w:pPr>
              <w:spacing w:before="29"/>
              <w:ind w:left="17"/>
              <w:jc w:val="center"/>
              <w:rPr>
                <w:color w:val="000000"/>
                <w:szCs w:val="21"/>
              </w:rPr>
            </w:pPr>
          </w:p>
        </w:tc>
        <w:tc>
          <w:tcPr>
            <w:tcW w:w="2410" w:type="dxa"/>
            <w:vAlign w:val="center"/>
          </w:tcPr>
          <w:p w:rsidR="00CA0B90" w:rsidRPr="003D3F8A" w:rsidRDefault="004B7CED">
            <w:pPr>
              <w:autoSpaceDE w:val="0"/>
              <w:autoSpaceDN w:val="0"/>
              <w:adjustRightInd w:val="0"/>
              <w:spacing w:before="29"/>
              <w:ind w:firstLineChars="300" w:firstLine="630"/>
              <w:jc w:val="left"/>
              <w:rPr>
                <w:color w:val="000000"/>
                <w:szCs w:val="21"/>
              </w:rPr>
            </w:pPr>
            <w:r w:rsidRPr="003D3F8A">
              <w:rPr>
                <w:color w:val="000000"/>
                <w:szCs w:val="21"/>
              </w:rPr>
              <w:t>资产支持证券</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225,000,000.00</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2.15</w:t>
            </w:r>
          </w:p>
        </w:tc>
      </w:tr>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2</w:t>
            </w:r>
          </w:p>
        </w:tc>
        <w:tc>
          <w:tcPr>
            <w:tcW w:w="2410" w:type="dxa"/>
            <w:vAlign w:val="center"/>
          </w:tcPr>
          <w:p w:rsidR="00CA0B90" w:rsidRPr="003D3F8A" w:rsidRDefault="004B7CED">
            <w:pPr>
              <w:spacing w:before="29"/>
              <w:ind w:left="17"/>
              <w:jc w:val="left"/>
              <w:rPr>
                <w:szCs w:val="21"/>
              </w:rPr>
            </w:pPr>
            <w:r w:rsidRPr="003D3F8A">
              <w:rPr>
                <w:color w:val="000000"/>
                <w:szCs w:val="21"/>
              </w:rPr>
              <w:t>买入返售金融资产</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599,841,539.76</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5.73</w:t>
            </w:r>
          </w:p>
        </w:tc>
      </w:tr>
      <w:tr w:rsidR="00CA0B90" w:rsidRPr="003D3F8A">
        <w:tc>
          <w:tcPr>
            <w:tcW w:w="1418" w:type="dxa"/>
            <w:vAlign w:val="center"/>
          </w:tcPr>
          <w:p w:rsidR="00CA0B90" w:rsidRPr="003D3F8A" w:rsidRDefault="00CA0B90">
            <w:pPr>
              <w:spacing w:before="29"/>
              <w:ind w:left="17"/>
              <w:jc w:val="center"/>
              <w:rPr>
                <w:color w:val="000000"/>
                <w:szCs w:val="21"/>
              </w:rPr>
            </w:pPr>
          </w:p>
        </w:tc>
        <w:tc>
          <w:tcPr>
            <w:tcW w:w="2410" w:type="dxa"/>
            <w:vAlign w:val="center"/>
          </w:tcPr>
          <w:p w:rsidR="00CA0B90" w:rsidRPr="003D3F8A" w:rsidRDefault="004B7CED">
            <w:pPr>
              <w:spacing w:before="29"/>
              <w:ind w:left="17"/>
              <w:jc w:val="left"/>
              <w:rPr>
                <w:szCs w:val="21"/>
              </w:rPr>
            </w:pPr>
            <w:r w:rsidRPr="003D3F8A">
              <w:rPr>
                <w:color w:val="000000"/>
                <w:szCs w:val="21"/>
              </w:rPr>
              <w:t>其中：买断式回购的买入返售金融资产</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3</w:t>
            </w:r>
          </w:p>
        </w:tc>
        <w:tc>
          <w:tcPr>
            <w:tcW w:w="2410" w:type="dxa"/>
            <w:vAlign w:val="center"/>
          </w:tcPr>
          <w:p w:rsidR="00CA0B90" w:rsidRPr="003D3F8A" w:rsidRDefault="004B7CED">
            <w:pPr>
              <w:spacing w:before="29"/>
              <w:ind w:left="17"/>
              <w:jc w:val="left"/>
              <w:rPr>
                <w:szCs w:val="21"/>
              </w:rPr>
            </w:pPr>
            <w:r w:rsidRPr="003D3F8A">
              <w:rPr>
                <w:color w:val="000000"/>
                <w:szCs w:val="21"/>
              </w:rPr>
              <w:t>银行存款和结算备付金合计</w:t>
            </w:r>
          </w:p>
        </w:tc>
        <w:tc>
          <w:tcPr>
            <w:tcW w:w="3402" w:type="dxa"/>
            <w:vAlign w:val="center"/>
          </w:tcPr>
          <w:p w:rsidR="00CA0B90" w:rsidRPr="003D3F8A" w:rsidRDefault="004B7CED">
            <w:pPr>
              <w:spacing w:before="29"/>
              <w:ind w:left="17"/>
              <w:jc w:val="right"/>
              <w:rPr>
                <w:color w:val="000000"/>
                <w:szCs w:val="21"/>
              </w:rPr>
            </w:pPr>
            <w:r w:rsidRPr="003D3F8A">
              <w:rPr>
                <w:color w:val="000000"/>
                <w:szCs w:val="21"/>
              </w:rPr>
              <w:t>2,155,769,000.85</w:t>
            </w:r>
          </w:p>
        </w:tc>
        <w:tc>
          <w:tcPr>
            <w:tcW w:w="1701" w:type="dxa"/>
            <w:vAlign w:val="center"/>
          </w:tcPr>
          <w:p w:rsidR="00CA0B90" w:rsidRPr="003D3F8A" w:rsidRDefault="004B7CED">
            <w:pPr>
              <w:spacing w:before="29"/>
              <w:ind w:left="17"/>
              <w:jc w:val="right"/>
              <w:rPr>
                <w:color w:val="000000"/>
                <w:szCs w:val="21"/>
              </w:rPr>
            </w:pPr>
            <w:r w:rsidRPr="003D3F8A">
              <w:rPr>
                <w:color w:val="000000"/>
                <w:szCs w:val="21"/>
              </w:rPr>
              <w:t>20.59</w:t>
            </w:r>
          </w:p>
        </w:tc>
      </w:tr>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4</w:t>
            </w:r>
          </w:p>
        </w:tc>
        <w:tc>
          <w:tcPr>
            <w:tcW w:w="2410" w:type="dxa"/>
            <w:vAlign w:val="center"/>
          </w:tcPr>
          <w:p w:rsidR="00CA0B90" w:rsidRPr="003D3F8A" w:rsidRDefault="004B7CED">
            <w:pPr>
              <w:jc w:val="left"/>
              <w:rPr>
                <w:szCs w:val="21"/>
              </w:rPr>
            </w:pPr>
            <w:r w:rsidRPr="003D3F8A">
              <w:rPr>
                <w:color w:val="000000"/>
                <w:szCs w:val="21"/>
              </w:rPr>
              <w:t>其他各项资产</w:t>
            </w:r>
          </w:p>
        </w:tc>
        <w:tc>
          <w:tcPr>
            <w:tcW w:w="3402" w:type="dxa"/>
            <w:vAlign w:val="center"/>
          </w:tcPr>
          <w:p w:rsidR="00CA0B90" w:rsidRPr="003D3F8A" w:rsidRDefault="004B7CED">
            <w:pPr>
              <w:jc w:val="right"/>
              <w:rPr>
                <w:color w:val="000000"/>
                <w:szCs w:val="21"/>
              </w:rPr>
            </w:pPr>
            <w:r w:rsidRPr="003D3F8A">
              <w:rPr>
                <w:color w:val="000000"/>
                <w:szCs w:val="21"/>
              </w:rPr>
              <w:t>47,059,722.97</w:t>
            </w:r>
          </w:p>
        </w:tc>
        <w:tc>
          <w:tcPr>
            <w:tcW w:w="1701" w:type="dxa"/>
            <w:vAlign w:val="center"/>
          </w:tcPr>
          <w:p w:rsidR="00CA0B90" w:rsidRPr="003D3F8A" w:rsidRDefault="004B7CED">
            <w:pPr>
              <w:jc w:val="right"/>
              <w:rPr>
                <w:color w:val="000000"/>
                <w:szCs w:val="21"/>
              </w:rPr>
            </w:pPr>
            <w:r w:rsidRPr="003D3F8A">
              <w:rPr>
                <w:color w:val="000000"/>
                <w:szCs w:val="21"/>
              </w:rPr>
              <w:t>0.45</w:t>
            </w:r>
          </w:p>
        </w:tc>
      </w:tr>
      <w:tr w:rsidR="00CA0B90" w:rsidRPr="003D3F8A">
        <w:tc>
          <w:tcPr>
            <w:tcW w:w="1418" w:type="dxa"/>
            <w:vAlign w:val="center"/>
          </w:tcPr>
          <w:p w:rsidR="00CA0B90" w:rsidRPr="003D3F8A" w:rsidRDefault="004B7CED">
            <w:pPr>
              <w:spacing w:before="29"/>
              <w:ind w:left="17"/>
              <w:jc w:val="center"/>
              <w:rPr>
                <w:color w:val="000000"/>
                <w:szCs w:val="21"/>
              </w:rPr>
            </w:pPr>
            <w:r w:rsidRPr="003D3F8A">
              <w:rPr>
                <w:color w:val="000000"/>
                <w:szCs w:val="21"/>
              </w:rPr>
              <w:t>5</w:t>
            </w:r>
          </w:p>
        </w:tc>
        <w:tc>
          <w:tcPr>
            <w:tcW w:w="2410" w:type="dxa"/>
            <w:vAlign w:val="center"/>
          </w:tcPr>
          <w:p w:rsidR="00CA0B90" w:rsidRPr="003D3F8A" w:rsidRDefault="004B7CED">
            <w:pPr>
              <w:jc w:val="left"/>
              <w:rPr>
                <w:szCs w:val="21"/>
              </w:rPr>
            </w:pPr>
            <w:r w:rsidRPr="003D3F8A">
              <w:rPr>
                <w:color w:val="000000"/>
                <w:szCs w:val="21"/>
              </w:rPr>
              <w:t>合计</w:t>
            </w:r>
          </w:p>
        </w:tc>
        <w:tc>
          <w:tcPr>
            <w:tcW w:w="3402" w:type="dxa"/>
            <w:vAlign w:val="center"/>
          </w:tcPr>
          <w:p w:rsidR="00CA0B90" w:rsidRPr="003D3F8A" w:rsidRDefault="004B7CED">
            <w:pPr>
              <w:jc w:val="right"/>
              <w:rPr>
                <w:color w:val="000000"/>
                <w:szCs w:val="21"/>
              </w:rPr>
            </w:pPr>
            <w:r w:rsidRPr="003D3F8A">
              <w:rPr>
                <w:color w:val="000000"/>
                <w:szCs w:val="21"/>
              </w:rPr>
              <w:t>10,469,163,934.87</w:t>
            </w:r>
          </w:p>
        </w:tc>
        <w:tc>
          <w:tcPr>
            <w:tcW w:w="1701" w:type="dxa"/>
            <w:vAlign w:val="center"/>
          </w:tcPr>
          <w:p w:rsidR="00CA0B90" w:rsidRPr="003D3F8A" w:rsidRDefault="004B7CED">
            <w:pPr>
              <w:jc w:val="right"/>
              <w:rPr>
                <w:color w:val="000000"/>
                <w:szCs w:val="21"/>
              </w:rPr>
            </w:pPr>
            <w:r w:rsidRPr="003D3F8A">
              <w:rPr>
                <w:color w:val="000000"/>
                <w:szCs w:val="21"/>
              </w:rPr>
              <w:t>100.00</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5.2 </w:t>
      </w:r>
      <w:r w:rsidRPr="003D3F8A">
        <w:rPr>
          <w:b/>
          <w:bCs/>
          <w:color w:val="000000"/>
          <w:kern w:val="0"/>
          <w:szCs w:val="21"/>
        </w:rPr>
        <w:t>报告期债券回购融资情况</w:t>
      </w:r>
    </w:p>
    <w:tbl>
      <w:tblPr>
        <w:tblW w:w="9073" w:type="dxa"/>
        <w:tblInd w:w="-34" w:type="dxa"/>
        <w:tblLayout w:type="fixed"/>
        <w:tblLook w:val="04A0"/>
      </w:tblPr>
      <w:tblGrid>
        <w:gridCol w:w="1003"/>
        <w:gridCol w:w="3108"/>
        <w:gridCol w:w="2977"/>
        <w:gridCol w:w="1985"/>
      </w:tblGrid>
      <w:tr w:rsidR="00CA0B90" w:rsidRPr="003D3F8A">
        <w:tc>
          <w:tcPr>
            <w:tcW w:w="1003"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项目</w:t>
            </w:r>
          </w:p>
        </w:tc>
        <w:tc>
          <w:tcPr>
            <w:tcW w:w="4962" w:type="dxa"/>
            <w:gridSpan w:val="2"/>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占基金资产净值的比例（％）</w:t>
            </w:r>
          </w:p>
        </w:tc>
      </w:tr>
      <w:tr w:rsidR="00CA0B90" w:rsidRPr="003D3F8A">
        <w:tc>
          <w:tcPr>
            <w:tcW w:w="1003" w:type="dxa"/>
            <w:vMerge w:val="restart"/>
            <w:tcBorders>
              <w:top w:val="single" w:sz="8" w:space="0" w:color="000000"/>
              <w:left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CA0B90" w:rsidRPr="003D3F8A" w:rsidRDefault="004B7CED">
            <w:pPr>
              <w:rPr>
                <w:szCs w:val="21"/>
              </w:rPr>
            </w:pPr>
            <w:r w:rsidRPr="003D3F8A">
              <w:rPr>
                <w:szCs w:val="21"/>
              </w:rPr>
              <w:t>报告期内债券回购融资余额</w:t>
            </w:r>
          </w:p>
        </w:tc>
        <w:tc>
          <w:tcPr>
            <w:tcW w:w="4962" w:type="dxa"/>
            <w:gridSpan w:val="2"/>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18.04</w:t>
            </w:r>
          </w:p>
        </w:tc>
      </w:tr>
      <w:tr w:rsidR="00CA0B90" w:rsidRPr="003D3F8A">
        <w:trPr>
          <w:trHeight w:val="712"/>
        </w:trPr>
        <w:tc>
          <w:tcPr>
            <w:tcW w:w="1003" w:type="dxa"/>
            <w:vMerge/>
            <w:tcBorders>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3108" w:type="dxa"/>
            <w:tcBorders>
              <w:top w:val="single" w:sz="8" w:space="0" w:color="000000"/>
              <w:left w:val="single" w:sz="8" w:space="0" w:color="000000"/>
              <w:bottom w:val="single" w:sz="8" w:space="0" w:color="000000"/>
              <w:right w:val="single" w:sz="8" w:space="0" w:color="000000"/>
            </w:tcBorders>
          </w:tcPr>
          <w:p w:rsidR="00CA0B90" w:rsidRPr="003D3F8A" w:rsidRDefault="004B7CED">
            <w:pPr>
              <w:rPr>
                <w:szCs w:val="21"/>
              </w:rPr>
            </w:pPr>
            <w:r w:rsidRPr="003D3F8A">
              <w:rPr>
                <w:szCs w:val="21"/>
              </w:rPr>
              <w:t>其中：买断式回购融资</w:t>
            </w:r>
          </w:p>
        </w:tc>
        <w:tc>
          <w:tcPr>
            <w:tcW w:w="4962" w:type="dxa"/>
            <w:gridSpan w:val="2"/>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w:t>
            </w:r>
          </w:p>
        </w:tc>
      </w:tr>
      <w:tr w:rsidR="00CA0B90" w:rsidRPr="003D3F8A">
        <w:tc>
          <w:tcPr>
            <w:tcW w:w="1003" w:type="dxa"/>
            <w:tcBorders>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CA0B90" w:rsidRPr="003D3F8A" w:rsidRDefault="004B7CED">
            <w:pPr>
              <w:jc w:val="center"/>
              <w:rPr>
                <w:szCs w:val="21"/>
              </w:rPr>
            </w:pPr>
            <w:r w:rsidRPr="003D3F8A">
              <w:rPr>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center"/>
              <w:rPr>
                <w:szCs w:val="21"/>
              </w:rPr>
            </w:pPr>
            <w:r w:rsidRPr="003D3F8A">
              <w:rPr>
                <w:szCs w:val="21"/>
              </w:rPr>
              <w:t>金额</w:t>
            </w:r>
          </w:p>
        </w:tc>
        <w:tc>
          <w:tcPr>
            <w:tcW w:w="198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color w:val="000000"/>
                <w:kern w:val="0"/>
                <w:szCs w:val="21"/>
              </w:rPr>
              <w:t>占基金资产净值的比例（％）</w:t>
            </w:r>
          </w:p>
        </w:tc>
      </w:tr>
      <w:tr w:rsidR="00CA0B90" w:rsidRPr="003D3F8A">
        <w:tc>
          <w:tcPr>
            <w:tcW w:w="1003" w:type="dxa"/>
            <w:vMerge w:val="restart"/>
            <w:tcBorders>
              <w:top w:val="single" w:sz="8" w:space="0" w:color="000000"/>
              <w:left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2</w:t>
            </w:r>
          </w:p>
        </w:tc>
        <w:tc>
          <w:tcPr>
            <w:tcW w:w="3108" w:type="dxa"/>
            <w:tcBorders>
              <w:top w:val="single" w:sz="8" w:space="0" w:color="000000"/>
              <w:left w:val="single" w:sz="8" w:space="0" w:color="000000"/>
              <w:bottom w:val="single" w:sz="8" w:space="0" w:color="000000"/>
              <w:right w:val="single" w:sz="8" w:space="0" w:color="000000"/>
            </w:tcBorders>
          </w:tcPr>
          <w:p w:rsidR="00CA0B90" w:rsidRPr="003D3F8A" w:rsidRDefault="004B7CED">
            <w:pPr>
              <w:rPr>
                <w:szCs w:val="21"/>
              </w:rPr>
            </w:pPr>
            <w:r w:rsidRPr="003D3F8A">
              <w:rPr>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1,622,816,205.76</w:t>
            </w:r>
          </w:p>
        </w:tc>
        <w:tc>
          <w:tcPr>
            <w:tcW w:w="198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18.36</w:t>
            </w:r>
          </w:p>
        </w:tc>
      </w:tr>
      <w:tr w:rsidR="00CA0B90" w:rsidRPr="003D3F8A">
        <w:tc>
          <w:tcPr>
            <w:tcW w:w="1003" w:type="dxa"/>
            <w:vMerge/>
            <w:tcBorders>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3108" w:type="dxa"/>
            <w:tcBorders>
              <w:top w:val="single" w:sz="8" w:space="0" w:color="000000"/>
              <w:left w:val="single" w:sz="8" w:space="0" w:color="000000"/>
              <w:bottom w:val="single" w:sz="8" w:space="0" w:color="000000"/>
              <w:right w:val="single" w:sz="8" w:space="0" w:color="000000"/>
            </w:tcBorders>
          </w:tcPr>
          <w:p w:rsidR="00CA0B90" w:rsidRPr="003D3F8A" w:rsidRDefault="004B7CED">
            <w:pPr>
              <w:rPr>
                <w:szCs w:val="21"/>
              </w:rPr>
            </w:pPr>
            <w:r w:rsidRPr="003D3F8A">
              <w:rPr>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w:t>
            </w:r>
          </w:p>
        </w:tc>
        <w:tc>
          <w:tcPr>
            <w:tcW w:w="198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w:t>
            </w:r>
          </w:p>
        </w:tc>
      </w:tr>
    </w:tbl>
    <w:p w:rsidR="00CA0B90" w:rsidRPr="003D3F8A" w:rsidRDefault="004B7CED">
      <w:pPr>
        <w:autoSpaceDE w:val="0"/>
        <w:autoSpaceDN w:val="0"/>
        <w:adjustRightInd w:val="0"/>
        <w:spacing w:line="360" w:lineRule="auto"/>
        <w:jc w:val="left"/>
        <w:rPr>
          <w:color w:val="000000"/>
          <w:szCs w:val="21"/>
        </w:rPr>
      </w:pPr>
      <w:r w:rsidRPr="003D3F8A">
        <w:rPr>
          <w:color w:val="000000"/>
          <w:szCs w:val="21"/>
        </w:rPr>
        <w:t>注：报告期内债券回购融资余额占基金资产净值的比例为报告期内每个交易日融资余额占资产净值比例的简单平均值。</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债券正回购的资金余额超过基金资产净值的</w:t>
      </w:r>
      <w:r w:rsidRPr="003D3F8A">
        <w:rPr>
          <w:b/>
          <w:bCs/>
          <w:color w:val="000000"/>
          <w:kern w:val="0"/>
          <w:szCs w:val="21"/>
        </w:rPr>
        <w:t>20</w:t>
      </w:r>
      <w:r w:rsidRPr="003D3F8A">
        <w:rPr>
          <w:b/>
          <w:bCs/>
          <w:color w:val="000000"/>
          <w:kern w:val="0"/>
          <w:szCs w:val="21"/>
        </w:rPr>
        <w:t>％的说明</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964"/>
        <w:gridCol w:w="2344"/>
        <w:gridCol w:w="1842"/>
        <w:gridCol w:w="2127"/>
      </w:tblGrid>
      <w:tr w:rsidR="00CA0B90" w:rsidRPr="003D3F8A">
        <w:tc>
          <w:tcPr>
            <w:tcW w:w="937" w:type="dxa"/>
            <w:vAlign w:val="center"/>
          </w:tcPr>
          <w:p w:rsidR="00CA0B90" w:rsidRPr="003D3F8A" w:rsidRDefault="004B7CED">
            <w:pPr>
              <w:jc w:val="center"/>
              <w:rPr>
                <w:szCs w:val="21"/>
              </w:rPr>
            </w:pPr>
            <w:r w:rsidRPr="003D3F8A">
              <w:rPr>
                <w:szCs w:val="21"/>
              </w:rPr>
              <w:t>序号</w:t>
            </w:r>
          </w:p>
        </w:tc>
        <w:tc>
          <w:tcPr>
            <w:tcW w:w="1964" w:type="dxa"/>
            <w:vAlign w:val="center"/>
          </w:tcPr>
          <w:p w:rsidR="00CA0B90" w:rsidRPr="003D3F8A" w:rsidRDefault="004B7CED">
            <w:pPr>
              <w:jc w:val="center"/>
              <w:rPr>
                <w:szCs w:val="21"/>
              </w:rPr>
            </w:pPr>
            <w:r w:rsidRPr="003D3F8A">
              <w:rPr>
                <w:szCs w:val="21"/>
              </w:rPr>
              <w:t>发生日期</w:t>
            </w:r>
          </w:p>
        </w:tc>
        <w:tc>
          <w:tcPr>
            <w:tcW w:w="2344" w:type="dxa"/>
            <w:vAlign w:val="center"/>
          </w:tcPr>
          <w:p w:rsidR="00CA0B90" w:rsidRPr="003D3F8A" w:rsidRDefault="004B7CED">
            <w:pPr>
              <w:jc w:val="center"/>
              <w:rPr>
                <w:szCs w:val="21"/>
              </w:rPr>
            </w:pPr>
            <w:r w:rsidRPr="003D3F8A">
              <w:rPr>
                <w:szCs w:val="21"/>
              </w:rPr>
              <w:t>融资余额占基金资产净值的比例（</w:t>
            </w:r>
            <w:r w:rsidRPr="003D3F8A">
              <w:rPr>
                <w:szCs w:val="21"/>
              </w:rPr>
              <w:t>%</w:t>
            </w:r>
            <w:r w:rsidRPr="003D3F8A">
              <w:rPr>
                <w:szCs w:val="21"/>
              </w:rPr>
              <w:t>）</w:t>
            </w:r>
          </w:p>
        </w:tc>
        <w:tc>
          <w:tcPr>
            <w:tcW w:w="1842" w:type="dxa"/>
            <w:vAlign w:val="center"/>
          </w:tcPr>
          <w:p w:rsidR="00CA0B90" w:rsidRPr="003D3F8A" w:rsidRDefault="004B7CED">
            <w:pPr>
              <w:jc w:val="center"/>
              <w:rPr>
                <w:szCs w:val="21"/>
              </w:rPr>
            </w:pPr>
            <w:r w:rsidRPr="003D3F8A">
              <w:rPr>
                <w:szCs w:val="21"/>
              </w:rPr>
              <w:t>原因</w:t>
            </w:r>
          </w:p>
        </w:tc>
        <w:tc>
          <w:tcPr>
            <w:tcW w:w="2127" w:type="dxa"/>
            <w:vAlign w:val="center"/>
          </w:tcPr>
          <w:p w:rsidR="00CA0B90" w:rsidRPr="003D3F8A" w:rsidRDefault="004B7CED">
            <w:pPr>
              <w:jc w:val="center"/>
              <w:rPr>
                <w:szCs w:val="21"/>
              </w:rPr>
            </w:pPr>
            <w:r w:rsidRPr="003D3F8A">
              <w:rPr>
                <w:szCs w:val="21"/>
              </w:rPr>
              <w:t>调整期</w:t>
            </w:r>
          </w:p>
        </w:tc>
      </w:tr>
      <w:tr w:rsidR="00CA0B90" w:rsidRPr="003D3F8A">
        <w:tc>
          <w:tcPr>
            <w:tcW w:w="937" w:type="dxa"/>
            <w:vAlign w:val="center"/>
          </w:tcPr>
          <w:p w:rsidR="00CA0B90" w:rsidRPr="003D3F8A" w:rsidRDefault="004B7CED">
            <w:pPr>
              <w:jc w:val="center"/>
            </w:pPr>
            <w:r w:rsidRPr="003D3F8A">
              <w:rPr>
                <w:color w:val="000000"/>
                <w:szCs w:val="21"/>
              </w:rPr>
              <w:t>1</w:t>
            </w:r>
          </w:p>
        </w:tc>
        <w:tc>
          <w:tcPr>
            <w:tcW w:w="1964" w:type="dxa"/>
            <w:vAlign w:val="center"/>
          </w:tcPr>
          <w:p w:rsidR="00CA0B90" w:rsidRPr="003D3F8A" w:rsidRDefault="004B7CED">
            <w:pPr>
              <w:jc w:val="center"/>
            </w:pPr>
            <w:r w:rsidRPr="003D3F8A">
              <w:rPr>
                <w:color w:val="000000"/>
                <w:szCs w:val="21"/>
              </w:rPr>
              <w:t>2018-10-09</w:t>
            </w:r>
          </w:p>
        </w:tc>
        <w:tc>
          <w:tcPr>
            <w:tcW w:w="2344" w:type="dxa"/>
            <w:vAlign w:val="center"/>
          </w:tcPr>
          <w:p w:rsidR="00CA0B90" w:rsidRPr="003D3F8A" w:rsidRDefault="004B7CED">
            <w:pPr>
              <w:jc w:val="center"/>
            </w:pPr>
            <w:r w:rsidRPr="003D3F8A">
              <w:rPr>
                <w:color w:val="000000"/>
                <w:szCs w:val="21"/>
              </w:rPr>
              <w:t>20.47</w:t>
            </w:r>
          </w:p>
        </w:tc>
        <w:tc>
          <w:tcPr>
            <w:tcW w:w="1842" w:type="dxa"/>
            <w:vAlign w:val="center"/>
          </w:tcPr>
          <w:p w:rsidR="00CA0B90" w:rsidRPr="003D3F8A" w:rsidRDefault="004B7CED">
            <w:pPr>
              <w:jc w:val="center"/>
            </w:pPr>
            <w:r w:rsidRPr="003D3F8A">
              <w:rPr>
                <w:color w:val="000000"/>
                <w:szCs w:val="21"/>
              </w:rPr>
              <w:t>当天遇到大额赎回，由于当日资产调整存在困难而被动超标</w:t>
            </w:r>
          </w:p>
        </w:tc>
        <w:tc>
          <w:tcPr>
            <w:tcW w:w="2127" w:type="dxa"/>
            <w:vAlign w:val="center"/>
          </w:tcPr>
          <w:p w:rsidR="00CA0B90" w:rsidRPr="003D3F8A" w:rsidRDefault="004B7CED">
            <w:pPr>
              <w:jc w:val="center"/>
            </w:pPr>
            <w:r w:rsidRPr="003D3F8A">
              <w:rPr>
                <w:color w:val="000000"/>
                <w:szCs w:val="21"/>
              </w:rPr>
              <w:t>第</w:t>
            </w:r>
            <w:r w:rsidRPr="003D3F8A">
              <w:rPr>
                <w:color w:val="000000"/>
                <w:szCs w:val="21"/>
              </w:rPr>
              <w:t>2</w:t>
            </w:r>
            <w:r w:rsidRPr="003D3F8A">
              <w:rPr>
                <w:color w:val="000000"/>
                <w:szCs w:val="21"/>
              </w:rPr>
              <w:t>个交易日即满足比例要求</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5.3 </w:t>
      </w:r>
      <w:r w:rsidRPr="003D3F8A">
        <w:rPr>
          <w:b/>
          <w:bCs/>
          <w:color w:val="000000"/>
          <w:kern w:val="0"/>
          <w:szCs w:val="21"/>
        </w:rPr>
        <w:t>基金投资组合平均剩余期限</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5.3.1 </w:t>
      </w:r>
      <w:r w:rsidRPr="003D3F8A">
        <w:rPr>
          <w:b/>
          <w:bCs/>
          <w:color w:val="000000"/>
          <w:kern w:val="0"/>
          <w:szCs w:val="21"/>
        </w:rPr>
        <w:t>投资组合平均剩余期限基本情况</w:t>
      </w:r>
    </w:p>
    <w:tbl>
      <w:tblPr>
        <w:tblW w:w="9072" w:type="dxa"/>
        <w:tblInd w:w="108" w:type="dxa"/>
        <w:tblLayout w:type="fixed"/>
        <w:tblLook w:val="04A0"/>
      </w:tblPr>
      <w:tblGrid>
        <w:gridCol w:w="3686"/>
        <w:gridCol w:w="5386"/>
      </w:tblGrid>
      <w:tr w:rsidR="00CA0B90" w:rsidRPr="003D3F8A">
        <w:tc>
          <w:tcPr>
            <w:tcW w:w="36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天数</w:t>
            </w:r>
          </w:p>
        </w:tc>
      </w:tr>
      <w:tr w:rsidR="00CA0B90" w:rsidRPr="003D3F8A">
        <w:tc>
          <w:tcPr>
            <w:tcW w:w="36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ind w:right="120"/>
              <w:jc w:val="right"/>
              <w:rPr>
                <w:szCs w:val="21"/>
              </w:rPr>
            </w:pPr>
            <w:r w:rsidRPr="003D3F8A">
              <w:rPr>
                <w:szCs w:val="21"/>
              </w:rPr>
              <w:t>112</w:t>
            </w:r>
          </w:p>
        </w:tc>
      </w:tr>
      <w:tr w:rsidR="00CA0B90" w:rsidRPr="003D3F8A">
        <w:tc>
          <w:tcPr>
            <w:tcW w:w="36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jc w:val="right"/>
              <w:rPr>
                <w:szCs w:val="21"/>
              </w:rPr>
            </w:pPr>
            <w:r w:rsidRPr="003D3F8A">
              <w:rPr>
                <w:szCs w:val="21"/>
              </w:rPr>
              <w:t>118</w:t>
            </w:r>
          </w:p>
        </w:tc>
      </w:tr>
      <w:tr w:rsidR="00CA0B90" w:rsidRPr="003D3F8A">
        <w:tc>
          <w:tcPr>
            <w:tcW w:w="36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ind w:right="120"/>
              <w:jc w:val="right"/>
              <w:rPr>
                <w:szCs w:val="21"/>
              </w:rPr>
            </w:pPr>
            <w:r w:rsidRPr="003D3F8A">
              <w:rPr>
                <w:szCs w:val="21"/>
              </w:rPr>
              <w:t>90</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报告期内投资组合平均剩余期限超过</w:t>
      </w:r>
      <w:r w:rsidRPr="003D3F8A">
        <w:rPr>
          <w:b/>
          <w:bCs/>
          <w:color w:val="000000"/>
          <w:kern w:val="0"/>
          <w:szCs w:val="21"/>
        </w:rPr>
        <w:t>120</w:t>
      </w:r>
      <w:r w:rsidRPr="003D3F8A">
        <w:rPr>
          <w:b/>
          <w:bCs/>
          <w:color w:val="000000"/>
          <w:kern w:val="0"/>
          <w:szCs w:val="21"/>
        </w:rPr>
        <w:t>天情况说明</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本报告期内投资组合平均剩余期限未出现超过</w:t>
      </w:r>
      <w:r w:rsidRPr="003D3F8A">
        <w:rPr>
          <w:color w:val="000000"/>
          <w:szCs w:val="21"/>
        </w:rPr>
        <w:t>120</w:t>
      </w:r>
      <w:r w:rsidRPr="003D3F8A">
        <w:rPr>
          <w:color w:val="000000"/>
          <w:szCs w:val="21"/>
        </w:rPr>
        <w:t>天的情况。</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5.3.2 </w:t>
      </w:r>
      <w:r w:rsidRPr="003D3F8A">
        <w:rPr>
          <w:b/>
          <w:bCs/>
          <w:color w:val="000000"/>
          <w:kern w:val="0"/>
          <w:szCs w:val="21"/>
        </w:rPr>
        <w:t>报告期末投资组合平均剩余期限分布比例</w:t>
      </w:r>
    </w:p>
    <w:tbl>
      <w:tblPr>
        <w:tblW w:w="9162" w:type="dxa"/>
        <w:tblInd w:w="108" w:type="dxa"/>
        <w:tblLayout w:type="fixed"/>
        <w:tblLook w:val="04A0"/>
      </w:tblPr>
      <w:tblGrid>
        <w:gridCol w:w="567"/>
        <w:gridCol w:w="2552"/>
        <w:gridCol w:w="2835"/>
        <w:gridCol w:w="3208"/>
      </w:tblGrid>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各期限资产占基金资产净值的比例（</w:t>
            </w:r>
            <w:r w:rsidRPr="003D3F8A">
              <w:rPr>
                <w:color w:val="000000"/>
                <w:kern w:val="0"/>
                <w:szCs w:val="21"/>
              </w:rPr>
              <w:t>%</w:t>
            </w:r>
            <w:r w:rsidRPr="003D3F8A">
              <w:rPr>
                <w:color w:val="000000"/>
                <w:kern w:val="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各期限负债占基金资产净值的比例（％）</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szCs w:val="21"/>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szCs w:val="21"/>
              </w:rPr>
              <w:t>30</w:t>
            </w:r>
            <w:r w:rsidRPr="003D3F8A">
              <w:rPr>
                <w:color w:val="000000"/>
                <w:szCs w:val="21"/>
              </w:rPr>
              <w:t>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10.58</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18.36</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szCs w:val="21"/>
              </w:rPr>
              <w:t>其中：剩余存续期超过</w:t>
            </w:r>
            <w:r w:rsidRPr="003D3F8A">
              <w:rPr>
                <w:color w:val="000000"/>
                <w:szCs w:val="21"/>
              </w:rPr>
              <w:t>397</w:t>
            </w:r>
            <w:r w:rsidRPr="003D3F8A">
              <w:rPr>
                <w:color w:val="000000"/>
                <w:szCs w:val="21"/>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szCs w:val="21"/>
              </w:rPr>
              <w:t>30</w:t>
            </w:r>
            <w:r w:rsidRPr="003D3F8A">
              <w:rPr>
                <w:color w:val="000000"/>
                <w:szCs w:val="21"/>
              </w:rPr>
              <w:t>天（含）</w:t>
            </w:r>
            <w:r w:rsidRPr="003D3F8A">
              <w:rPr>
                <w:color w:val="000000"/>
                <w:szCs w:val="21"/>
              </w:rPr>
              <w:t>—60</w:t>
            </w:r>
            <w:r w:rsidRPr="003D3F8A">
              <w:rPr>
                <w:color w:val="000000"/>
                <w:szCs w:val="21"/>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10.13</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szCs w:val="21"/>
              </w:rPr>
              <w:t>其中：剩余存续期超过</w:t>
            </w:r>
            <w:r w:rsidRPr="003D3F8A">
              <w:rPr>
                <w:color w:val="000000"/>
                <w:szCs w:val="21"/>
              </w:rPr>
              <w:t>397</w:t>
            </w:r>
            <w:r w:rsidRPr="003D3F8A">
              <w:rPr>
                <w:color w:val="000000"/>
                <w:szCs w:val="21"/>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60</w:t>
            </w:r>
            <w:r w:rsidRPr="003D3F8A">
              <w:rPr>
                <w:color w:val="000000"/>
                <w:szCs w:val="21"/>
              </w:rPr>
              <w:t>天（含）</w:t>
            </w:r>
            <w:r w:rsidRPr="003D3F8A">
              <w:rPr>
                <w:color w:val="000000"/>
                <w:szCs w:val="21"/>
              </w:rPr>
              <w:t>—90</w:t>
            </w:r>
            <w:r w:rsidRPr="003D3F8A">
              <w:rPr>
                <w:color w:val="000000"/>
                <w:szCs w:val="21"/>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44.73</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其中：剩余存续期超过</w:t>
            </w:r>
            <w:r w:rsidRPr="003D3F8A">
              <w:rPr>
                <w:color w:val="000000"/>
                <w:szCs w:val="21"/>
              </w:rPr>
              <w:t>397</w:t>
            </w:r>
            <w:r w:rsidRPr="003D3F8A">
              <w:rPr>
                <w:color w:val="000000"/>
                <w:szCs w:val="21"/>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90</w:t>
            </w:r>
            <w:r w:rsidRPr="003D3F8A">
              <w:rPr>
                <w:color w:val="000000"/>
                <w:szCs w:val="21"/>
              </w:rPr>
              <w:t>天（含）</w:t>
            </w:r>
            <w:r w:rsidRPr="003D3F8A">
              <w:rPr>
                <w:color w:val="000000"/>
                <w:szCs w:val="21"/>
              </w:rPr>
              <w:t>—120</w:t>
            </w:r>
            <w:r w:rsidRPr="003D3F8A">
              <w:rPr>
                <w:color w:val="000000"/>
                <w:szCs w:val="21"/>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1.68</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其中：剩余存续期超过</w:t>
            </w:r>
            <w:r w:rsidRPr="003D3F8A">
              <w:rPr>
                <w:color w:val="000000"/>
                <w:szCs w:val="21"/>
              </w:rPr>
              <w:t>397</w:t>
            </w:r>
            <w:r w:rsidRPr="003D3F8A">
              <w:rPr>
                <w:color w:val="000000"/>
                <w:szCs w:val="21"/>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120</w:t>
            </w:r>
            <w:r w:rsidRPr="003D3F8A">
              <w:rPr>
                <w:color w:val="000000"/>
                <w:szCs w:val="21"/>
              </w:rPr>
              <w:t>天（含）</w:t>
            </w:r>
            <w:r w:rsidRPr="003D3F8A">
              <w:rPr>
                <w:color w:val="000000"/>
                <w:szCs w:val="21"/>
              </w:rPr>
              <w:t>—397</w:t>
            </w:r>
            <w:r w:rsidRPr="003D3F8A">
              <w:rPr>
                <w:color w:val="000000"/>
                <w:szCs w:val="21"/>
              </w:rPr>
              <w:t>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49.09</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567"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CA0B90">
            <w:pPr>
              <w:autoSpaceDE w:val="0"/>
              <w:autoSpaceDN w:val="0"/>
              <w:adjustRightInd w:val="0"/>
              <w:spacing w:before="29"/>
              <w:ind w:left="15"/>
              <w:jc w:val="center"/>
              <w:rPr>
                <w:color w:val="000000"/>
                <w:szCs w:val="21"/>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szCs w:val="21"/>
              </w:rPr>
            </w:pPr>
            <w:r w:rsidRPr="003D3F8A">
              <w:rPr>
                <w:color w:val="000000"/>
                <w:szCs w:val="21"/>
              </w:rPr>
              <w:t>其中：剩余存续期超过</w:t>
            </w:r>
            <w:r w:rsidRPr="003D3F8A">
              <w:rPr>
                <w:color w:val="000000"/>
                <w:szCs w:val="21"/>
              </w:rPr>
              <w:t>397</w:t>
            </w:r>
            <w:r w:rsidRPr="003D3F8A">
              <w:rPr>
                <w:color w:val="000000"/>
                <w:szCs w:val="21"/>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w:t>
            </w:r>
          </w:p>
        </w:tc>
      </w:tr>
      <w:tr w:rsidR="00CA0B90" w:rsidRPr="003D3F8A">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116.21</w:t>
            </w:r>
          </w:p>
        </w:tc>
        <w:tc>
          <w:tcPr>
            <w:tcW w:w="3208"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szCs w:val="21"/>
              </w:rPr>
              <w:t>18.36</w:t>
            </w:r>
          </w:p>
        </w:tc>
      </w:tr>
    </w:tbl>
    <w:p w:rsidR="00CA0B90" w:rsidRPr="003D3F8A" w:rsidRDefault="004B7CED">
      <w:pPr>
        <w:spacing w:line="360" w:lineRule="auto"/>
        <w:rPr>
          <w:b/>
          <w:bCs/>
          <w:color w:val="000000"/>
          <w:kern w:val="0"/>
          <w:szCs w:val="21"/>
        </w:rPr>
      </w:pPr>
      <w:r w:rsidRPr="003D3F8A">
        <w:rPr>
          <w:b/>
          <w:bCs/>
          <w:color w:val="000000"/>
          <w:kern w:val="0"/>
          <w:szCs w:val="21"/>
        </w:rPr>
        <w:t>5.4</w:t>
      </w:r>
      <w:r w:rsidRPr="003D3F8A">
        <w:rPr>
          <w:b/>
          <w:bCs/>
          <w:color w:val="000000"/>
          <w:kern w:val="0"/>
          <w:szCs w:val="21"/>
        </w:rPr>
        <w:t>报告期内投资组合平均剩余存续期超过</w:t>
      </w:r>
      <w:r w:rsidRPr="003D3F8A">
        <w:rPr>
          <w:b/>
          <w:bCs/>
          <w:color w:val="000000"/>
          <w:kern w:val="0"/>
          <w:szCs w:val="21"/>
        </w:rPr>
        <w:t>240</w:t>
      </w:r>
      <w:r w:rsidRPr="003D3F8A">
        <w:rPr>
          <w:b/>
          <w:bCs/>
          <w:color w:val="000000"/>
          <w:kern w:val="0"/>
          <w:szCs w:val="21"/>
        </w:rPr>
        <w:t>天情况说明</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本报告期内投资组合平均剩余存续期未出现超过</w:t>
      </w:r>
      <w:r w:rsidRPr="003D3F8A">
        <w:rPr>
          <w:color w:val="000000"/>
          <w:szCs w:val="21"/>
        </w:rPr>
        <w:t>240</w:t>
      </w:r>
      <w:r w:rsidRPr="003D3F8A">
        <w:rPr>
          <w:color w:val="000000"/>
          <w:szCs w:val="21"/>
        </w:rPr>
        <w:t>天的情况。</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5.5</w:t>
      </w:r>
      <w:r w:rsidRPr="003D3F8A">
        <w:rPr>
          <w:b/>
          <w:bCs/>
          <w:color w:val="000000"/>
          <w:kern w:val="0"/>
          <w:szCs w:val="21"/>
        </w:rPr>
        <w:t>报告期末按债券品种分类的债券投资组合</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743"/>
        <w:gridCol w:w="3686"/>
        <w:gridCol w:w="1984"/>
      </w:tblGrid>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序号</w:t>
            </w:r>
          </w:p>
        </w:tc>
        <w:tc>
          <w:tcPr>
            <w:tcW w:w="2743" w:type="dxa"/>
            <w:vAlign w:val="center"/>
          </w:tcPr>
          <w:p w:rsidR="00CA0B90" w:rsidRPr="003D3F8A" w:rsidRDefault="004B7CED">
            <w:pPr>
              <w:spacing w:before="29"/>
              <w:ind w:left="17"/>
              <w:jc w:val="center"/>
              <w:rPr>
                <w:color w:val="000000"/>
                <w:szCs w:val="21"/>
              </w:rPr>
            </w:pPr>
            <w:r w:rsidRPr="003D3F8A">
              <w:rPr>
                <w:color w:val="000000"/>
                <w:szCs w:val="21"/>
              </w:rPr>
              <w:t>债券品种</w:t>
            </w:r>
          </w:p>
        </w:tc>
        <w:tc>
          <w:tcPr>
            <w:tcW w:w="3686" w:type="dxa"/>
            <w:vAlign w:val="center"/>
          </w:tcPr>
          <w:p w:rsidR="00CA0B90" w:rsidRPr="003D3F8A" w:rsidRDefault="004B7CED">
            <w:pPr>
              <w:spacing w:before="29"/>
              <w:ind w:left="17"/>
              <w:jc w:val="center"/>
              <w:rPr>
                <w:color w:val="000000"/>
                <w:szCs w:val="21"/>
              </w:rPr>
            </w:pPr>
            <w:r w:rsidRPr="003D3F8A">
              <w:rPr>
                <w:color w:val="000000"/>
                <w:szCs w:val="21"/>
              </w:rPr>
              <w:t>摊余成本（元）</w:t>
            </w:r>
          </w:p>
        </w:tc>
        <w:tc>
          <w:tcPr>
            <w:tcW w:w="1984" w:type="dxa"/>
            <w:vAlign w:val="center"/>
          </w:tcPr>
          <w:p w:rsidR="00CA0B90" w:rsidRPr="003D3F8A" w:rsidRDefault="004B7CED">
            <w:pPr>
              <w:spacing w:before="29"/>
              <w:ind w:left="17"/>
              <w:jc w:val="center"/>
              <w:rPr>
                <w:color w:val="000000"/>
                <w:szCs w:val="21"/>
              </w:rPr>
            </w:pPr>
            <w:r w:rsidRPr="003D3F8A">
              <w:rPr>
                <w:color w:val="000000"/>
                <w:szCs w:val="21"/>
              </w:rPr>
              <w:t>占基金资产净值比例</w:t>
            </w:r>
            <w:r w:rsidRPr="003D3F8A">
              <w:rPr>
                <w:color w:val="000000"/>
                <w:szCs w:val="21"/>
              </w:rPr>
              <w:t>(</w:t>
            </w:r>
            <w:r w:rsidRPr="003D3F8A">
              <w:rPr>
                <w:color w:val="000000"/>
                <w:szCs w:val="21"/>
              </w:rPr>
              <w:t>％</w:t>
            </w: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1</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国家债券</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2</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央行票据</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3</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金融债券</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521,550,278.00</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5.90</w:t>
            </w:r>
          </w:p>
        </w:tc>
      </w:tr>
      <w:tr w:rsidR="00CA0B90" w:rsidRPr="003D3F8A">
        <w:tc>
          <w:tcPr>
            <w:tcW w:w="894" w:type="dxa"/>
            <w:vAlign w:val="center"/>
          </w:tcPr>
          <w:p w:rsidR="00CA0B90" w:rsidRPr="003D3F8A" w:rsidRDefault="00CA0B90">
            <w:pPr>
              <w:spacing w:before="29"/>
              <w:ind w:left="17"/>
              <w:jc w:val="center"/>
              <w:rPr>
                <w:color w:val="000000"/>
                <w:szCs w:val="21"/>
              </w:rPr>
            </w:pP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其中：政策性金融债</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521,550,278.00</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5.90</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4</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企业债券</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5</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企业短期融资券</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70,000,764.71</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0.79</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6</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中期票据</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7</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同业存单</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6,849,942,628.58</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77.50</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8</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其他</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9</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合计</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7,441,493,671.29</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84.19</w:t>
            </w:r>
          </w:p>
        </w:tc>
      </w:tr>
      <w:tr w:rsidR="00CA0B90" w:rsidRPr="003D3F8A">
        <w:tc>
          <w:tcPr>
            <w:tcW w:w="894" w:type="dxa"/>
            <w:vAlign w:val="center"/>
          </w:tcPr>
          <w:p w:rsidR="00CA0B90" w:rsidRPr="003D3F8A" w:rsidRDefault="004B7CED">
            <w:pPr>
              <w:spacing w:before="29"/>
              <w:ind w:left="17"/>
              <w:jc w:val="center"/>
              <w:rPr>
                <w:color w:val="000000"/>
                <w:szCs w:val="21"/>
              </w:rPr>
            </w:pPr>
            <w:r w:rsidRPr="003D3F8A">
              <w:rPr>
                <w:color w:val="000000"/>
                <w:szCs w:val="21"/>
              </w:rPr>
              <w:t>10</w:t>
            </w:r>
          </w:p>
        </w:tc>
        <w:tc>
          <w:tcPr>
            <w:tcW w:w="2743" w:type="dxa"/>
            <w:vAlign w:val="center"/>
          </w:tcPr>
          <w:p w:rsidR="00CA0B90" w:rsidRPr="003D3F8A" w:rsidRDefault="004B7CED">
            <w:pPr>
              <w:spacing w:before="29"/>
              <w:ind w:left="17"/>
              <w:jc w:val="left"/>
              <w:rPr>
                <w:color w:val="000000"/>
                <w:szCs w:val="21"/>
              </w:rPr>
            </w:pPr>
            <w:r w:rsidRPr="003D3F8A">
              <w:rPr>
                <w:color w:val="000000"/>
                <w:szCs w:val="21"/>
              </w:rPr>
              <w:t>剩余存续期超过</w:t>
            </w:r>
            <w:r w:rsidRPr="003D3F8A">
              <w:rPr>
                <w:color w:val="000000"/>
                <w:szCs w:val="21"/>
              </w:rPr>
              <w:t>397</w:t>
            </w:r>
            <w:r w:rsidRPr="003D3F8A">
              <w:rPr>
                <w:color w:val="000000"/>
                <w:szCs w:val="21"/>
              </w:rPr>
              <w:t>天的浮动利率债券</w:t>
            </w:r>
          </w:p>
        </w:tc>
        <w:tc>
          <w:tcPr>
            <w:tcW w:w="3686" w:type="dxa"/>
            <w:vAlign w:val="center"/>
          </w:tcPr>
          <w:p w:rsidR="00CA0B90" w:rsidRPr="003D3F8A" w:rsidRDefault="004B7CED">
            <w:pPr>
              <w:spacing w:before="29"/>
              <w:ind w:left="17"/>
              <w:jc w:val="right"/>
              <w:rPr>
                <w:color w:val="000000"/>
                <w:szCs w:val="21"/>
              </w:rPr>
            </w:pPr>
            <w:r w:rsidRPr="003D3F8A">
              <w:rPr>
                <w:color w:val="000000"/>
                <w:szCs w:val="21"/>
              </w:rPr>
              <w:t>-</w:t>
            </w:r>
          </w:p>
        </w:tc>
        <w:tc>
          <w:tcPr>
            <w:tcW w:w="1984" w:type="dxa"/>
            <w:vAlign w:val="center"/>
          </w:tcPr>
          <w:p w:rsidR="00CA0B90" w:rsidRPr="003D3F8A" w:rsidRDefault="004B7CED">
            <w:pPr>
              <w:spacing w:before="29"/>
              <w:ind w:left="17"/>
              <w:jc w:val="right"/>
              <w:rPr>
                <w:color w:val="000000"/>
                <w:szCs w:val="21"/>
              </w:rPr>
            </w:pPr>
            <w:r w:rsidRPr="003D3F8A">
              <w:rPr>
                <w:color w:val="000000"/>
                <w:szCs w:val="21"/>
              </w:rPr>
              <w:t>-</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5.6</w:t>
      </w:r>
      <w:r w:rsidRPr="003D3F8A">
        <w:rPr>
          <w:b/>
          <w:bCs/>
          <w:color w:val="000000"/>
          <w:kern w:val="0"/>
          <w:szCs w:val="21"/>
        </w:rPr>
        <w:t>报告期末按摊余成本占基金资产净值比例大小排名的前十名债券投资明细</w:t>
      </w:r>
    </w:p>
    <w:tbl>
      <w:tblPr>
        <w:tblW w:w="9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559"/>
        <w:gridCol w:w="1765"/>
        <w:gridCol w:w="1573"/>
        <w:gridCol w:w="1723"/>
        <w:gridCol w:w="1723"/>
      </w:tblGrid>
      <w:tr w:rsidR="00CA0B90" w:rsidRPr="003D3F8A">
        <w:tc>
          <w:tcPr>
            <w:tcW w:w="944"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序号</w:t>
            </w:r>
          </w:p>
        </w:tc>
        <w:tc>
          <w:tcPr>
            <w:tcW w:w="1559"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债券代码</w:t>
            </w:r>
          </w:p>
        </w:tc>
        <w:tc>
          <w:tcPr>
            <w:tcW w:w="1765"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债券名称</w:t>
            </w:r>
          </w:p>
        </w:tc>
        <w:tc>
          <w:tcPr>
            <w:tcW w:w="1573"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债券数量</w:t>
            </w:r>
          </w:p>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w:t>
            </w:r>
            <w:r w:rsidRPr="003D3F8A">
              <w:rPr>
                <w:color w:val="000000"/>
                <w:kern w:val="0"/>
                <w:szCs w:val="21"/>
              </w:rPr>
              <w:t>张</w:t>
            </w:r>
            <w:r w:rsidRPr="003D3F8A">
              <w:rPr>
                <w:color w:val="000000"/>
                <w:kern w:val="0"/>
                <w:szCs w:val="21"/>
              </w:rPr>
              <w:t>)</w:t>
            </w:r>
          </w:p>
        </w:tc>
        <w:tc>
          <w:tcPr>
            <w:tcW w:w="1723"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摊余成本（元）</w:t>
            </w:r>
          </w:p>
        </w:tc>
        <w:tc>
          <w:tcPr>
            <w:tcW w:w="1723"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占基金资产净值比例（％）</w:t>
            </w:r>
          </w:p>
        </w:tc>
      </w:tr>
      <w:tr w:rsidR="00CA0B90" w:rsidRPr="003D3F8A">
        <w:tc>
          <w:tcPr>
            <w:tcW w:w="944" w:type="dxa"/>
            <w:vAlign w:val="center"/>
          </w:tcPr>
          <w:p w:rsidR="00CA0B90" w:rsidRPr="003D3F8A" w:rsidRDefault="004B7CED">
            <w:pPr>
              <w:jc w:val="center"/>
            </w:pPr>
            <w:r w:rsidRPr="003D3F8A">
              <w:rPr>
                <w:color w:val="000000"/>
                <w:szCs w:val="21"/>
              </w:rPr>
              <w:t>1</w:t>
            </w:r>
          </w:p>
        </w:tc>
        <w:tc>
          <w:tcPr>
            <w:tcW w:w="1559" w:type="dxa"/>
            <w:vAlign w:val="center"/>
          </w:tcPr>
          <w:p w:rsidR="00CA0B90" w:rsidRPr="003D3F8A" w:rsidRDefault="004B7CED">
            <w:pPr>
              <w:jc w:val="center"/>
            </w:pPr>
            <w:r w:rsidRPr="003D3F8A">
              <w:rPr>
                <w:color w:val="000000"/>
                <w:szCs w:val="21"/>
              </w:rPr>
              <w:t>111889264</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盛京银行</w:t>
            </w:r>
            <w:r w:rsidRPr="003D3F8A">
              <w:rPr>
                <w:color w:val="000000"/>
                <w:szCs w:val="21"/>
              </w:rPr>
              <w:t>CD496</w:t>
            </w:r>
          </w:p>
        </w:tc>
        <w:tc>
          <w:tcPr>
            <w:tcW w:w="1573" w:type="dxa"/>
            <w:vAlign w:val="center"/>
          </w:tcPr>
          <w:p w:rsidR="00CA0B90" w:rsidRPr="003D3F8A" w:rsidRDefault="004B7CED">
            <w:pPr>
              <w:jc w:val="right"/>
            </w:pPr>
            <w:r w:rsidRPr="003D3F8A">
              <w:rPr>
                <w:color w:val="000000"/>
                <w:szCs w:val="21"/>
              </w:rPr>
              <w:t>3,000,000</w:t>
            </w:r>
          </w:p>
        </w:tc>
        <w:tc>
          <w:tcPr>
            <w:tcW w:w="1723" w:type="dxa"/>
            <w:vAlign w:val="center"/>
          </w:tcPr>
          <w:p w:rsidR="00CA0B90" w:rsidRPr="003D3F8A" w:rsidRDefault="004B7CED">
            <w:pPr>
              <w:jc w:val="right"/>
            </w:pPr>
            <w:r w:rsidRPr="003D3F8A">
              <w:rPr>
                <w:color w:val="000000"/>
                <w:szCs w:val="21"/>
              </w:rPr>
              <w:t>296,197,171.11</w:t>
            </w:r>
          </w:p>
        </w:tc>
        <w:tc>
          <w:tcPr>
            <w:tcW w:w="1723" w:type="dxa"/>
            <w:vAlign w:val="center"/>
          </w:tcPr>
          <w:p w:rsidR="00CA0B90" w:rsidRPr="003D3F8A" w:rsidRDefault="004B7CED">
            <w:pPr>
              <w:jc w:val="right"/>
            </w:pPr>
            <w:r w:rsidRPr="003D3F8A">
              <w:rPr>
                <w:color w:val="000000"/>
                <w:szCs w:val="21"/>
              </w:rPr>
              <w:t>3.35</w:t>
            </w:r>
          </w:p>
        </w:tc>
      </w:tr>
      <w:tr w:rsidR="00CA0B90" w:rsidRPr="003D3F8A">
        <w:tc>
          <w:tcPr>
            <w:tcW w:w="944" w:type="dxa"/>
            <w:vAlign w:val="center"/>
          </w:tcPr>
          <w:p w:rsidR="00CA0B90" w:rsidRPr="003D3F8A" w:rsidRDefault="004B7CED">
            <w:pPr>
              <w:jc w:val="center"/>
            </w:pPr>
            <w:r w:rsidRPr="003D3F8A">
              <w:rPr>
                <w:color w:val="000000"/>
                <w:szCs w:val="21"/>
              </w:rPr>
              <w:t>2</w:t>
            </w:r>
          </w:p>
        </w:tc>
        <w:tc>
          <w:tcPr>
            <w:tcW w:w="1559" w:type="dxa"/>
            <w:vAlign w:val="center"/>
          </w:tcPr>
          <w:p w:rsidR="00CA0B90" w:rsidRPr="003D3F8A" w:rsidRDefault="004B7CED">
            <w:pPr>
              <w:jc w:val="center"/>
            </w:pPr>
            <w:r w:rsidRPr="003D3F8A">
              <w:rPr>
                <w:color w:val="000000"/>
                <w:szCs w:val="21"/>
              </w:rPr>
              <w:t>111885422</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江苏江南农村商业银行</w:t>
            </w:r>
            <w:r w:rsidRPr="003D3F8A">
              <w:rPr>
                <w:color w:val="000000"/>
                <w:szCs w:val="21"/>
              </w:rPr>
              <w:t>CD105</w:t>
            </w:r>
          </w:p>
        </w:tc>
        <w:tc>
          <w:tcPr>
            <w:tcW w:w="1573" w:type="dxa"/>
            <w:vAlign w:val="center"/>
          </w:tcPr>
          <w:p w:rsidR="00CA0B90" w:rsidRPr="003D3F8A" w:rsidRDefault="004B7CED">
            <w:pPr>
              <w:jc w:val="right"/>
            </w:pPr>
            <w:r w:rsidRPr="003D3F8A">
              <w:rPr>
                <w:color w:val="000000"/>
                <w:szCs w:val="21"/>
              </w:rPr>
              <w:t>3,000,000</w:t>
            </w:r>
          </w:p>
        </w:tc>
        <w:tc>
          <w:tcPr>
            <w:tcW w:w="1723" w:type="dxa"/>
            <w:vAlign w:val="center"/>
          </w:tcPr>
          <w:p w:rsidR="00CA0B90" w:rsidRPr="003D3F8A" w:rsidRDefault="004B7CED">
            <w:pPr>
              <w:jc w:val="right"/>
            </w:pPr>
            <w:r w:rsidRPr="003D3F8A">
              <w:rPr>
                <w:color w:val="000000"/>
                <w:szCs w:val="21"/>
              </w:rPr>
              <w:t>295,250,784.41</w:t>
            </w:r>
          </w:p>
        </w:tc>
        <w:tc>
          <w:tcPr>
            <w:tcW w:w="1723" w:type="dxa"/>
            <w:vAlign w:val="center"/>
          </w:tcPr>
          <w:p w:rsidR="00CA0B90" w:rsidRPr="003D3F8A" w:rsidRDefault="004B7CED">
            <w:pPr>
              <w:jc w:val="right"/>
            </w:pPr>
            <w:r w:rsidRPr="003D3F8A">
              <w:rPr>
                <w:color w:val="000000"/>
                <w:szCs w:val="21"/>
              </w:rPr>
              <w:t>3.34</w:t>
            </w:r>
          </w:p>
        </w:tc>
      </w:tr>
      <w:tr w:rsidR="00CA0B90" w:rsidRPr="003D3F8A">
        <w:tc>
          <w:tcPr>
            <w:tcW w:w="944" w:type="dxa"/>
            <w:vAlign w:val="center"/>
          </w:tcPr>
          <w:p w:rsidR="00CA0B90" w:rsidRPr="003D3F8A" w:rsidRDefault="004B7CED">
            <w:pPr>
              <w:jc w:val="center"/>
            </w:pPr>
            <w:r w:rsidRPr="003D3F8A">
              <w:rPr>
                <w:color w:val="000000"/>
                <w:szCs w:val="21"/>
              </w:rPr>
              <w:t>3</w:t>
            </w:r>
          </w:p>
        </w:tc>
        <w:tc>
          <w:tcPr>
            <w:tcW w:w="1559" w:type="dxa"/>
            <w:vAlign w:val="center"/>
          </w:tcPr>
          <w:p w:rsidR="00CA0B90" w:rsidRPr="003D3F8A" w:rsidRDefault="004B7CED">
            <w:pPr>
              <w:jc w:val="center"/>
            </w:pPr>
            <w:r w:rsidRPr="003D3F8A">
              <w:rPr>
                <w:color w:val="000000"/>
                <w:szCs w:val="21"/>
              </w:rPr>
              <w:t>111884996</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徽商银行</w:t>
            </w:r>
            <w:r w:rsidRPr="003D3F8A">
              <w:rPr>
                <w:color w:val="000000"/>
                <w:szCs w:val="21"/>
              </w:rPr>
              <w:t>CD129</w:t>
            </w:r>
          </w:p>
        </w:tc>
        <w:tc>
          <w:tcPr>
            <w:tcW w:w="1573" w:type="dxa"/>
            <w:vAlign w:val="center"/>
          </w:tcPr>
          <w:p w:rsidR="00CA0B90" w:rsidRPr="003D3F8A" w:rsidRDefault="004B7CED">
            <w:pPr>
              <w:jc w:val="right"/>
            </w:pPr>
            <w:r w:rsidRPr="003D3F8A">
              <w:rPr>
                <w:color w:val="000000"/>
                <w:szCs w:val="21"/>
              </w:rPr>
              <w:t>2,500,000</w:t>
            </w:r>
          </w:p>
        </w:tc>
        <w:tc>
          <w:tcPr>
            <w:tcW w:w="1723" w:type="dxa"/>
            <w:vAlign w:val="center"/>
          </w:tcPr>
          <w:p w:rsidR="00CA0B90" w:rsidRPr="003D3F8A" w:rsidRDefault="004B7CED">
            <w:pPr>
              <w:jc w:val="right"/>
            </w:pPr>
            <w:r w:rsidRPr="003D3F8A">
              <w:rPr>
                <w:color w:val="000000"/>
                <w:szCs w:val="21"/>
              </w:rPr>
              <w:t>248,311,235.16</w:t>
            </w:r>
          </w:p>
        </w:tc>
        <w:tc>
          <w:tcPr>
            <w:tcW w:w="1723" w:type="dxa"/>
            <w:vAlign w:val="center"/>
          </w:tcPr>
          <w:p w:rsidR="00CA0B90" w:rsidRPr="003D3F8A" w:rsidRDefault="004B7CED">
            <w:pPr>
              <w:jc w:val="right"/>
            </w:pPr>
            <w:r w:rsidRPr="003D3F8A">
              <w:rPr>
                <w:color w:val="000000"/>
                <w:szCs w:val="21"/>
              </w:rPr>
              <w:t>2.81</w:t>
            </w:r>
          </w:p>
        </w:tc>
      </w:tr>
      <w:tr w:rsidR="00CA0B90" w:rsidRPr="003D3F8A">
        <w:tc>
          <w:tcPr>
            <w:tcW w:w="944" w:type="dxa"/>
            <w:vAlign w:val="center"/>
          </w:tcPr>
          <w:p w:rsidR="00CA0B90" w:rsidRPr="003D3F8A" w:rsidRDefault="004B7CED">
            <w:pPr>
              <w:jc w:val="center"/>
            </w:pPr>
            <w:r w:rsidRPr="003D3F8A">
              <w:rPr>
                <w:color w:val="000000"/>
                <w:szCs w:val="21"/>
              </w:rPr>
              <w:t>4</w:t>
            </w:r>
          </w:p>
        </w:tc>
        <w:tc>
          <w:tcPr>
            <w:tcW w:w="1559" w:type="dxa"/>
            <w:vAlign w:val="center"/>
          </w:tcPr>
          <w:p w:rsidR="00CA0B90" w:rsidRPr="003D3F8A" w:rsidRDefault="004B7CED">
            <w:pPr>
              <w:jc w:val="center"/>
            </w:pPr>
            <w:r w:rsidRPr="003D3F8A">
              <w:rPr>
                <w:color w:val="000000"/>
                <w:szCs w:val="21"/>
              </w:rPr>
              <w:t>111870377</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河北银行</w:t>
            </w:r>
            <w:r w:rsidRPr="003D3F8A">
              <w:rPr>
                <w:color w:val="000000"/>
                <w:szCs w:val="21"/>
              </w:rPr>
              <w:t>CD050</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198,968,118.97</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5</w:t>
            </w:r>
          </w:p>
        </w:tc>
        <w:tc>
          <w:tcPr>
            <w:tcW w:w="1559" w:type="dxa"/>
            <w:vAlign w:val="center"/>
          </w:tcPr>
          <w:p w:rsidR="00CA0B90" w:rsidRPr="003D3F8A" w:rsidRDefault="004B7CED">
            <w:pPr>
              <w:jc w:val="center"/>
            </w:pPr>
            <w:r w:rsidRPr="003D3F8A">
              <w:rPr>
                <w:color w:val="000000"/>
                <w:szCs w:val="21"/>
              </w:rPr>
              <w:t>111870440</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中原银行</w:t>
            </w:r>
            <w:r w:rsidRPr="003D3F8A">
              <w:rPr>
                <w:color w:val="000000"/>
                <w:szCs w:val="21"/>
              </w:rPr>
              <w:t>CD325</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198,965,017.62</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6</w:t>
            </w:r>
          </w:p>
        </w:tc>
        <w:tc>
          <w:tcPr>
            <w:tcW w:w="1559" w:type="dxa"/>
            <w:vAlign w:val="center"/>
          </w:tcPr>
          <w:p w:rsidR="00CA0B90" w:rsidRPr="003D3F8A" w:rsidRDefault="004B7CED">
            <w:pPr>
              <w:jc w:val="center"/>
            </w:pPr>
            <w:r w:rsidRPr="003D3F8A">
              <w:rPr>
                <w:color w:val="000000"/>
                <w:szCs w:val="21"/>
              </w:rPr>
              <w:t>111870939</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天津银行</w:t>
            </w:r>
            <w:r w:rsidRPr="003D3F8A">
              <w:rPr>
                <w:color w:val="000000"/>
                <w:szCs w:val="21"/>
              </w:rPr>
              <w:t>CD351</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198,851,033.83</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7</w:t>
            </w:r>
          </w:p>
        </w:tc>
        <w:tc>
          <w:tcPr>
            <w:tcW w:w="1559" w:type="dxa"/>
            <w:vAlign w:val="center"/>
          </w:tcPr>
          <w:p w:rsidR="00CA0B90" w:rsidRPr="003D3F8A" w:rsidRDefault="004B7CED">
            <w:pPr>
              <w:jc w:val="center"/>
            </w:pPr>
            <w:r w:rsidRPr="003D3F8A">
              <w:rPr>
                <w:color w:val="000000"/>
                <w:szCs w:val="21"/>
              </w:rPr>
              <w:t>111884219</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哈尔滨银行</w:t>
            </w:r>
            <w:r w:rsidRPr="003D3F8A">
              <w:rPr>
                <w:color w:val="000000"/>
                <w:szCs w:val="21"/>
              </w:rPr>
              <w:t>CD146</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198,791,723.30</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8</w:t>
            </w:r>
          </w:p>
        </w:tc>
        <w:tc>
          <w:tcPr>
            <w:tcW w:w="1559" w:type="dxa"/>
            <w:vAlign w:val="center"/>
          </w:tcPr>
          <w:p w:rsidR="00CA0B90" w:rsidRPr="003D3F8A" w:rsidRDefault="004B7CED">
            <w:pPr>
              <w:jc w:val="center"/>
            </w:pPr>
            <w:r w:rsidRPr="003D3F8A">
              <w:rPr>
                <w:color w:val="000000"/>
                <w:szCs w:val="21"/>
              </w:rPr>
              <w:t>111821372</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渤海银行</w:t>
            </w:r>
            <w:r w:rsidRPr="003D3F8A">
              <w:rPr>
                <w:color w:val="000000"/>
                <w:szCs w:val="21"/>
              </w:rPr>
              <w:t>CD372</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198,720,141.49</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9</w:t>
            </w:r>
          </w:p>
        </w:tc>
        <w:tc>
          <w:tcPr>
            <w:tcW w:w="1559" w:type="dxa"/>
            <w:vAlign w:val="center"/>
          </w:tcPr>
          <w:p w:rsidR="00CA0B90" w:rsidRPr="003D3F8A" w:rsidRDefault="004B7CED">
            <w:pPr>
              <w:jc w:val="center"/>
            </w:pPr>
            <w:r w:rsidRPr="003D3F8A">
              <w:rPr>
                <w:color w:val="000000"/>
                <w:szCs w:val="21"/>
              </w:rPr>
              <w:t>111884818</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郑州银行</w:t>
            </w:r>
            <w:r w:rsidRPr="003D3F8A">
              <w:rPr>
                <w:color w:val="000000"/>
                <w:szCs w:val="21"/>
              </w:rPr>
              <w:t>CD121</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198,667,772.37</w:t>
            </w:r>
          </w:p>
        </w:tc>
        <w:tc>
          <w:tcPr>
            <w:tcW w:w="1723" w:type="dxa"/>
            <w:vAlign w:val="center"/>
          </w:tcPr>
          <w:p w:rsidR="00CA0B90" w:rsidRPr="003D3F8A" w:rsidRDefault="004B7CED">
            <w:pPr>
              <w:jc w:val="right"/>
            </w:pPr>
            <w:r w:rsidRPr="003D3F8A">
              <w:rPr>
                <w:color w:val="000000"/>
                <w:szCs w:val="21"/>
              </w:rPr>
              <w:t>2.25</w:t>
            </w:r>
          </w:p>
        </w:tc>
      </w:tr>
      <w:tr w:rsidR="00CA0B90" w:rsidRPr="003D3F8A">
        <w:tc>
          <w:tcPr>
            <w:tcW w:w="944" w:type="dxa"/>
            <w:vAlign w:val="center"/>
          </w:tcPr>
          <w:p w:rsidR="00CA0B90" w:rsidRPr="003D3F8A" w:rsidRDefault="004B7CED">
            <w:pPr>
              <w:jc w:val="center"/>
            </w:pPr>
            <w:r w:rsidRPr="003D3F8A">
              <w:rPr>
                <w:color w:val="000000"/>
                <w:szCs w:val="21"/>
              </w:rPr>
              <w:t>10</w:t>
            </w:r>
          </w:p>
        </w:tc>
        <w:tc>
          <w:tcPr>
            <w:tcW w:w="1559" w:type="dxa"/>
            <w:vAlign w:val="center"/>
          </w:tcPr>
          <w:p w:rsidR="00CA0B90" w:rsidRPr="003D3F8A" w:rsidRDefault="004B7CED">
            <w:pPr>
              <w:jc w:val="center"/>
            </w:pPr>
            <w:r w:rsidRPr="003D3F8A">
              <w:rPr>
                <w:color w:val="000000"/>
                <w:szCs w:val="21"/>
              </w:rPr>
              <w:t>111885307</w:t>
            </w:r>
          </w:p>
        </w:tc>
        <w:tc>
          <w:tcPr>
            <w:tcW w:w="1765" w:type="dxa"/>
            <w:vAlign w:val="center"/>
          </w:tcPr>
          <w:p w:rsidR="00CA0B90" w:rsidRPr="003D3F8A" w:rsidRDefault="004B7CED">
            <w:pPr>
              <w:jc w:val="center"/>
            </w:pPr>
            <w:r w:rsidRPr="003D3F8A">
              <w:rPr>
                <w:color w:val="000000"/>
                <w:szCs w:val="21"/>
              </w:rPr>
              <w:t>18</w:t>
            </w:r>
            <w:r w:rsidRPr="003D3F8A">
              <w:rPr>
                <w:color w:val="000000"/>
                <w:szCs w:val="21"/>
              </w:rPr>
              <w:t>重庆农村商行</w:t>
            </w:r>
            <w:r w:rsidRPr="003D3F8A">
              <w:rPr>
                <w:color w:val="000000"/>
                <w:szCs w:val="21"/>
              </w:rPr>
              <w:t>CD108</w:t>
            </w:r>
          </w:p>
        </w:tc>
        <w:tc>
          <w:tcPr>
            <w:tcW w:w="1573" w:type="dxa"/>
            <w:vAlign w:val="center"/>
          </w:tcPr>
          <w:p w:rsidR="00CA0B90" w:rsidRPr="003D3F8A" w:rsidRDefault="004B7CED">
            <w:pPr>
              <w:jc w:val="right"/>
            </w:pPr>
            <w:r w:rsidRPr="003D3F8A">
              <w:rPr>
                <w:color w:val="000000"/>
                <w:szCs w:val="21"/>
              </w:rPr>
              <w:t>2,000,000</w:t>
            </w:r>
          </w:p>
        </w:tc>
        <w:tc>
          <w:tcPr>
            <w:tcW w:w="1723" w:type="dxa"/>
            <w:vAlign w:val="center"/>
          </w:tcPr>
          <w:p w:rsidR="00CA0B90" w:rsidRPr="003D3F8A" w:rsidRDefault="004B7CED">
            <w:pPr>
              <w:jc w:val="right"/>
            </w:pPr>
            <w:r w:rsidRPr="003D3F8A">
              <w:rPr>
                <w:color w:val="000000"/>
                <w:szCs w:val="21"/>
              </w:rPr>
              <w:t>198,601,148.36</w:t>
            </w:r>
          </w:p>
        </w:tc>
        <w:tc>
          <w:tcPr>
            <w:tcW w:w="1723" w:type="dxa"/>
            <w:vAlign w:val="center"/>
          </w:tcPr>
          <w:p w:rsidR="00CA0B90" w:rsidRPr="003D3F8A" w:rsidRDefault="004B7CED">
            <w:pPr>
              <w:jc w:val="right"/>
            </w:pPr>
            <w:r w:rsidRPr="003D3F8A">
              <w:rPr>
                <w:color w:val="000000"/>
                <w:szCs w:val="21"/>
              </w:rPr>
              <w:t>2.25</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5.7 “</w:t>
      </w:r>
      <w:r w:rsidRPr="003D3F8A">
        <w:rPr>
          <w:b/>
          <w:bCs/>
          <w:color w:val="000000"/>
          <w:kern w:val="0"/>
          <w:szCs w:val="21"/>
        </w:rPr>
        <w:t>影子定价</w:t>
      </w:r>
      <w:r w:rsidRPr="003D3F8A">
        <w:rPr>
          <w:b/>
          <w:bCs/>
          <w:color w:val="000000"/>
          <w:kern w:val="0"/>
          <w:szCs w:val="21"/>
        </w:rPr>
        <w:t>”</w:t>
      </w:r>
      <w:r w:rsidRPr="003D3F8A">
        <w:rPr>
          <w:b/>
          <w:bCs/>
          <w:color w:val="000000"/>
          <w:kern w:val="0"/>
          <w:szCs w:val="21"/>
        </w:rPr>
        <w:t>与</w:t>
      </w:r>
      <w:r w:rsidRPr="003D3F8A">
        <w:rPr>
          <w:b/>
          <w:bCs/>
          <w:color w:val="000000"/>
          <w:kern w:val="0"/>
          <w:szCs w:val="21"/>
        </w:rPr>
        <w:t>“</w:t>
      </w:r>
      <w:r w:rsidRPr="003D3F8A">
        <w:rPr>
          <w:b/>
          <w:bCs/>
          <w:color w:val="000000"/>
          <w:kern w:val="0"/>
          <w:szCs w:val="21"/>
        </w:rPr>
        <w:t>摊余成本法</w:t>
      </w:r>
      <w:r w:rsidRPr="003D3F8A">
        <w:rPr>
          <w:b/>
          <w:bCs/>
          <w:color w:val="000000"/>
          <w:kern w:val="0"/>
          <w:szCs w:val="21"/>
        </w:rPr>
        <w:t>”</w:t>
      </w:r>
      <w:r w:rsidRPr="003D3F8A">
        <w:rPr>
          <w:b/>
          <w:bCs/>
          <w:color w:val="000000"/>
          <w:kern w:val="0"/>
          <w:szCs w:val="21"/>
        </w:rPr>
        <w:t>确定的基金资产净值的偏离</w:t>
      </w:r>
    </w:p>
    <w:tbl>
      <w:tblPr>
        <w:tblW w:w="9194" w:type="dxa"/>
        <w:tblInd w:w="108" w:type="dxa"/>
        <w:tblLayout w:type="fixed"/>
        <w:tblLook w:val="04A0"/>
      </w:tblPr>
      <w:tblGrid>
        <w:gridCol w:w="5670"/>
        <w:gridCol w:w="3524"/>
      </w:tblGrid>
      <w:tr w:rsidR="00CA0B90" w:rsidRPr="003D3F8A">
        <w:tc>
          <w:tcPr>
            <w:tcW w:w="5670"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偏离情况</w:t>
            </w:r>
          </w:p>
        </w:tc>
      </w:tr>
      <w:tr w:rsidR="00CA0B90" w:rsidRPr="003D3F8A">
        <w:tc>
          <w:tcPr>
            <w:tcW w:w="5670"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报告期内偏离度的绝对值在</w:t>
            </w:r>
            <w:r w:rsidRPr="003D3F8A">
              <w:rPr>
                <w:color w:val="000000"/>
                <w:kern w:val="0"/>
                <w:szCs w:val="21"/>
              </w:rPr>
              <w:t>0.25(</w:t>
            </w:r>
            <w:r w:rsidRPr="003D3F8A">
              <w:rPr>
                <w:color w:val="000000"/>
                <w:kern w:val="0"/>
                <w:szCs w:val="21"/>
              </w:rPr>
              <w:t>含</w:t>
            </w:r>
            <w:r w:rsidRPr="003D3F8A">
              <w:rPr>
                <w:color w:val="000000"/>
                <w:kern w:val="0"/>
                <w:szCs w:val="21"/>
              </w:rPr>
              <w:t>)-0.5%</w:t>
            </w:r>
            <w:r w:rsidRPr="003D3F8A">
              <w:rPr>
                <w:color w:val="000000"/>
                <w:kern w:val="0"/>
                <w:szCs w:val="21"/>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CA0B90" w:rsidRPr="003D3F8A" w:rsidRDefault="004B7CED">
            <w:pPr>
              <w:jc w:val="right"/>
              <w:rPr>
                <w:szCs w:val="21"/>
              </w:rPr>
            </w:pPr>
            <w:r w:rsidRPr="003D3F8A">
              <w:rPr>
                <w:color w:val="000000"/>
                <w:szCs w:val="21"/>
              </w:rPr>
              <w:t>0</w:t>
            </w:r>
            <w:r w:rsidRPr="003D3F8A">
              <w:rPr>
                <w:color w:val="000000"/>
                <w:szCs w:val="21"/>
              </w:rPr>
              <w:t>次</w:t>
            </w:r>
          </w:p>
        </w:tc>
      </w:tr>
      <w:tr w:rsidR="00CA0B90" w:rsidRPr="003D3F8A">
        <w:tc>
          <w:tcPr>
            <w:tcW w:w="5670"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CA0B90" w:rsidRPr="003D3F8A" w:rsidRDefault="004B7CED">
            <w:pPr>
              <w:jc w:val="right"/>
              <w:rPr>
                <w:szCs w:val="21"/>
              </w:rPr>
            </w:pPr>
            <w:r w:rsidRPr="003D3F8A">
              <w:rPr>
                <w:color w:val="000000"/>
                <w:szCs w:val="21"/>
              </w:rPr>
              <w:t>0.1504%</w:t>
            </w:r>
          </w:p>
        </w:tc>
      </w:tr>
      <w:tr w:rsidR="00CA0B90" w:rsidRPr="003D3F8A">
        <w:tc>
          <w:tcPr>
            <w:tcW w:w="5670"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CA0B90" w:rsidRPr="003D3F8A" w:rsidRDefault="004B7CED">
            <w:pPr>
              <w:jc w:val="right"/>
              <w:rPr>
                <w:szCs w:val="21"/>
              </w:rPr>
            </w:pPr>
            <w:r w:rsidRPr="003D3F8A">
              <w:rPr>
                <w:color w:val="000000"/>
                <w:szCs w:val="21"/>
              </w:rPr>
              <w:t>-0.0053%</w:t>
            </w:r>
          </w:p>
        </w:tc>
      </w:tr>
      <w:tr w:rsidR="00CA0B90" w:rsidRPr="003D3F8A">
        <w:tc>
          <w:tcPr>
            <w:tcW w:w="5670"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报告期内每个</w:t>
            </w:r>
            <w:r w:rsidRPr="003D3F8A">
              <w:rPr>
                <w:color w:val="000000"/>
                <w:szCs w:val="21"/>
              </w:rPr>
              <w:t>工作日</w:t>
            </w:r>
            <w:r w:rsidRPr="003D3F8A">
              <w:rPr>
                <w:color w:val="000000"/>
                <w:kern w:val="0"/>
                <w:szCs w:val="21"/>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CA0B90" w:rsidRPr="003D3F8A" w:rsidRDefault="004B7CED">
            <w:pPr>
              <w:jc w:val="right"/>
              <w:rPr>
                <w:szCs w:val="21"/>
              </w:rPr>
            </w:pPr>
            <w:r w:rsidRPr="003D3F8A">
              <w:rPr>
                <w:color w:val="000000"/>
                <w:szCs w:val="21"/>
              </w:rPr>
              <w:t>0.1011%</w:t>
            </w:r>
          </w:p>
        </w:tc>
      </w:tr>
    </w:tbl>
    <w:p w:rsidR="00CA0B90" w:rsidRPr="003D3F8A" w:rsidRDefault="004B7CED">
      <w:pPr>
        <w:spacing w:line="360" w:lineRule="auto"/>
        <w:rPr>
          <w:b/>
          <w:bCs/>
          <w:color w:val="000000"/>
          <w:kern w:val="0"/>
          <w:szCs w:val="21"/>
        </w:rPr>
      </w:pPr>
      <w:r w:rsidRPr="003D3F8A">
        <w:rPr>
          <w:b/>
          <w:bCs/>
          <w:color w:val="000000"/>
          <w:kern w:val="0"/>
          <w:szCs w:val="21"/>
        </w:rPr>
        <w:t>报告期内负偏离度的绝对值达到</w:t>
      </w:r>
      <w:r w:rsidRPr="003D3F8A">
        <w:rPr>
          <w:b/>
          <w:bCs/>
          <w:color w:val="000000"/>
          <w:kern w:val="0"/>
          <w:szCs w:val="21"/>
        </w:rPr>
        <w:t>0.25%</w:t>
      </w:r>
      <w:r w:rsidRPr="003D3F8A">
        <w:rPr>
          <w:b/>
          <w:bCs/>
          <w:color w:val="000000"/>
          <w:kern w:val="0"/>
          <w:szCs w:val="21"/>
        </w:rPr>
        <w:t>情况说明</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本报告期内本基金负偏离度的绝对值没有达到</w:t>
      </w:r>
      <w:r w:rsidRPr="003D3F8A">
        <w:rPr>
          <w:color w:val="000000"/>
          <w:szCs w:val="21"/>
        </w:rPr>
        <w:t>0.25%</w:t>
      </w:r>
      <w:r w:rsidRPr="003D3F8A">
        <w:rPr>
          <w:color w:val="000000"/>
          <w:szCs w:val="21"/>
        </w:rPr>
        <w:t>。</w:t>
      </w:r>
    </w:p>
    <w:p w:rsidR="00CA0B90" w:rsidRPr="003D3F8A" w:rsidRDefault="004B7CED">
      <w:pPr>
        <w:spacing w:line="360" w:lineRule="auto"/>
        <w:rPr>
          <w:b/>
          <w:bCs/>
          <w:color w:val="000000"/>
          <w:kern w:val="0"/>
          <w:szCs w:val="21"/>
        </w:rPr>
      </w:pPr>
      <w:r w:rsidRPr="003D3F8A">
        <w:rPr>
          <w:b/>
          <w:bCs/>
          <w:color w:val="000000"/>
          <w:kern w:val="0"/>
          <w:szCs w:val="21"/>
        </w:rPr>
        <w:t>报告期内正偏离度的绝对值达到</w:t>
      </w:r>
      <w:r w:rsidRPr="003D3F8A">
        <w:rPr>
          <w:b/>
          <w:bCs/>
          <w:color w:val="000000"/>
          <w:kern w:val="0"/>
          <w:szCs w:val="21"/>
        </w:rPr>
        <w:t>0.5%</w:t>
      </w:r>
      <w:r w:rsidRPr="003D3F8A">
        <w:rPr>
          <w:b/>
          <w:bCs/>
          <w:color w:val="000000"/>
          <w:kern w:val="0"/>
          <w:szCs w:val="21"/>
        </w:rPr>
        <w:t>情况说明</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本报告期内本基金正偏离度的绝对值没有达到</w:t>
      </w:r>
      <w:r w:rsidRPr="003D3F8A">
        <w:rPr>
          <w:color w:val="000000"/>
          <w:szCs w:val="21"/>
        </w:rPr>
        <w:t>0.50%</w:t>
      </w:r>
      <w:r w:rsidRPr="003D3F8A">
        <w:rPr>
          <w:color w:val="000000"/>
          <w:szCs w:val="21"/>
        </w:rPr>
        <w:t>。</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5.8</w:t>
      </w:r>
      <w:r w:rsidRPr="003D3F8A">
        <w:rPr>
          <w:b/>
          <w:bCs/>
          <w:color w:val="000000"/>
          <w:kern w:val="0"/>
          <w:szCs w:val="21"/>
        </w:rPr>
        <w:t>报告期末按公允价值占基金资产净值比例大小排名的前十名资产支持证券投资明细</w:t>
      </w:r>
    </w:p>
    <w:tbl>
      <w:tblPr>
        <w:tblW w:w="9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560"/>
        <w:gridCol w:w="1550"/>
        <w:gridCol w:w="1599"/>
        <w:gridCol w:w="1599"/>
        <w:gridCol w:w="1752"/>
      </w:tblGrid>
      <w:tr w:rsidR="00CA0B90" w:rsidRPr="003D3F8A">
        <w:tc>
          <w:tcPr>
            <w:tcW w:w="1227"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序号</w:t>
            </w:r>
          </w:p>
        </w:tc>
        <w:tc>
          <w:tcPr>
            <w:tcW w:w="1560"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证券代码</w:t>
            </w:r>
          </w:p>
        </w:tc>
        <w:tc>
          <w:tcPr>
            <w:tcW w:w="1550"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证券名称</w:t>
            </w:r>
          </w:p>
        </w:tc>
        <w:tc>
          <w:tcPr>
            <w:tcW w:w="1599"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数量</w:t>
            </w:r>
            <w:r w:rsidRPr="003D3F8A">
              <w:rPr>
                <w:color w:val="000000"/>
                <w:kern w:val="0"/>
                <w:szCs w:val="21"/>
              </w:rPr>
              <w:t>(</w:t>
            </w:r>
            <w:r w:rsidRPr="003D3F8A">
              <w:rPr>
                <w:color w:val="000000"/>
                <w:kern w:val="0"/>
                <w:szCs w:val="21"/>
              </w:rPr>
              <w:t>份</w:t>
            </w:r>
            <w:r w:rsidRPr="003D3F8A">
              <w:rPr>
                <w:color w:val="000000"/>
                <w:kern w:val="0"/>
                <w:szCs w:val="21"/>
              </w:rPr>
              <w:t>)</w:t>
            </w:r>
          </w:p>
        </w:tc>
        <w:tc>
          <w:tcPr>
            <w:tcW w:w="1599"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公允价值</w:t>
            </w:r>
            <w:r w:rsidRPr="003D3F8A">
              <w:rPr>
                <w:color w:val="000000"/>
                <w:kern w:val="0"/>
                <w:szCs w:val="21"/>
              </w:rPr>
              <w:t>(</w:t>
            </w:r>
            <w:r w:rsidRPr="003D3F8A">
              <w:rPr>
                <w:color w:val="000000"/>
                <w:kern w:val="0"/>
                <w:szCs w:val="21"/>
              </w:rPr>
              <w:t>元</w:t>
            </w:r>
            <w:r w:rsidRPr="003D3F8A">
              <w:rPr>
                <w:color w:val="000000"/>
                <w:kern w:val="0"/>
                <w:szCs w:val="21"/>
              </w:rPr>
              <w:t>)</w:t>
            </w:r>
          </w:p>
        </w:tc>
        <w:tc>
          <w:tcPr>
            <w:tcW w:w="1752"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kern w:val="0"/>
                <w:szCs w:val="21"/>
              </w:rPr>
              <w:t>占基金资产净值比例（％）</w:t>
            </w:r>
          </w:p>
        </w:tc>
      </w:tr>
      <w:tr w:rsidR="00CA0B90" w:rsidRPr="003D3F8A">
        <w:tc>
          <w:tcPr>
            <w:tcW w:w="1227" w:type="dxa"/>
            <w:vAlign w:val="center"/>
          </w:tcPr>
          <w:p w:rsidR="00CA0B90" w:rsidRPr="003D3F8A" w:rsidRDefault="004B7CED">
            <w:pPr>
              <w:jc w:val="center"/>
            </w:pPr>
            <w:r w:rsidRPr="003D3F8A">
              <w:rPr>
                <w:color w:val="000000"/>
                <w:szCs w:val="21"/>
              </w:rPr>
              <w:t>1</w:t>
            </w:r>
          </w:p>
        </w:tc>
        <w:tc>
          <w:tcPr>
            <w:tcW w:w="1560" w:type="dxa"/>
            <w:vAlign w:val="center"/>
          </w:tcPr>
          <w:p w:rsidR="00CA0B90" w:rsidRPr="003D3F8A" w:rsidRDefault="004B7CED">
            <w:pPr>
              <w:jc w:val="center"/>
            </w:pPr>
            <w:r w:rsidRPr="003D3F8A">
              <w:rPr>
                <w:color w:val="000000"/>
                <w:szCs w:val="21"/>
              </w:rPr>
              <w:t>149553</w:t>
            </w:r>
          </w:p>
        </w:tc>
        <w:tc>
          <w:tcPr>
            <w:tcW w:w="1550" w:type="dxa"/>
            <w:vAlign w:val="center"/>
          </w:tcPr>
          <w:p w:rsidR="00CA0B90" w:rsidRPr="003D3F8A" w:rsidRDefault="004B7CED">
            <w:pPr>
              <w:jc w:val="center"/>
            </w:pPr>
            <w:r w:rsidRPr="003D3F8A">
              <w:rPr>
                <w:color w:val="000000"/>
                <w:szCs w:val="21"/>
              </w:rPr>
              <w:t>宁远</w:t>
            </w:r>
            <w:r w:rsidRPr="003D3F8A">
              <w:rPr>
                <w:color w:val="000000"/>
                <w:szCs w:val="21"/>
              </w:rPr>
              <w:t>04A1</w:t>
            </w:r>
          </w:p>
        </w:tc>
        <w:tc>
          <w:tcPr>
            <w:tcW w:w="1599" w:type="dxa"/>
            <w:vAlign w:val="center"/>
          </w:tcPr>
          <w:p w:rsidR="00CA0B90" w:rsidRPr="003D3F8A" w:rsidRDefault="004B7CED">
            <w:pPr>
              <w:jc w:val="right"/>
            </w:pPr>
            <w:r w:rsidRPr="003D3F8A">
              <w:rPr>
                <w:color w:val="000000"/>
                <w:szCs w:val="21"/>
              </w:rPr>
              <w:t>500,000</w:t>
            </w:r>
          </w:p>
        </w:tc>
        <w:tc>
          <w:tcPr>
            <w:tcW w:w="1599" w:type="dxa"/>
            <w:vAlign w:val="center"/>
          </w:tcPr>
          <w:p w:rsidR="00CA0B90" w:rsidRPr="003D3F8A" w:rsidRDefault="004B7CED">
            <w:pPr>
              <w:jc w:val="right"/>
            </w:pPr>
            <w:r w:rsidRPr="003D3F8A">
              <w:rPr>
                <w:color w:val="000000"/>
                <w:szCs w:val="21"/>
              </w:rPr>
              <w:t>50,000,000.00</w:t>
            </w:r>
          </w:p>
        </w:tc>
        <w:tc>
          <w:tcPr>
            <w:tcW w:w="1752" w:type="dxa"/>
            <w:vAlign w:val="center"/>
          </w:tcPr>
          <w:p w:rsidR="00CA0B90" w:rsidRPr="003D3F8A" w:rsidRDefault="004B7CED">
            <w:pPr>
              <w:jc w:val="right"/>
            </w:pPr>
            <w:r w:rsidRPr="003D3F8A">
              <w:rPr>
                <w:color w:val="000000"/>
                <w:szCs w:val="21"/>
              </w:rPr>
              <w:t>0.57</w:t>
            </w:r>
          </w:p>
        </w:tc>
      </w:tr>
      <w:tr w:rsidR="00CA0B90" w:rsidRPr="003D3F8A">
        <w:tc>
          <w:tcPr>
            <w:tcW w:w="1227" w:type="dxa"/>
            <w:vAlign w:val="center"/>
          </w:tcPr>
          <w:p w:rsidR="00CA0B90" w:rsidRPr="003D3F8A" w:rsidRDefault="004B7CED">
            <w:pPr>
              <w:jc w:val="center"/>
            </w:pPr>
            <w:r w:rsidRPr="003D3F8A">
              <w:rPr>
                <w:color w:val="000000"/>
                <w:szCs w:val="21"/>
              </w:rPr>
              <w:t>2</w:t>
            </w:r>
          </w:p>
        </w:tc>
        <w:tc>
          <w:tcPr>
            <w:tcW w:w="1560" w:type="dxa"/>
            <w:vAlign w:val="center"/>
          </w:tcPr>
          <w:p w:rsidR="00CA0B90" w:rsidRPr="003D3F8A" w:rsidRDefault="004B7CED">
            <w:pPr>
              <w:jc w:val="center"/>
            </w:pPr>
            <w:r w:rsidRPr="003D3F8A">
              <w:rPr>
                <w:color w:val="000000"/>
                <w:szCs w:val="21"/>
              </w:rPr>
              <w:t>139091</w:t>
            </w:r>
          </w:p>
        </w:tc>
        <w:tc>
          <w:tcPr>
            <w:tcW w:w="1550" w:type="dxa"/>
            <w:vAlign w:val="center"/>
          </w:tcPr>
          <w:p w:rsidR="00CA0B90" w:rsidRPr="003D3F8A" w:rsidRDefault="004B7CED">
            <w:pPr>
              <w:jc w:val="center"/>
            </w:pPr>
            <w:r w:rsidRPr="003D3F8A">
              <w:rPr>
                <w:color w:val="000000"/>
                <w:szCs w:val="21"/>
              </w:rPr>
              <w:t>链融</w:t>
            </w:r>
            <w:r w:rsidRPr="003D3F8A">
              <w:rPr>
                <w:color w:val="000000"/>
                <w:szCs w:val="21"/>
              </w:rPr>
              <w:t>3A1</w:t>
            </w:r>
          </w:p>
        </w:tc>
        <w:tc>
          <w:tcPr>
            <w:tcW w:w="1599" w:type="dxa"/>
            <w:vAlign w:val="center"/>
          </w:tcPr>
          <w:p w:rsidR="00CA0B90" w:rsidRPr="003D3F8A" w:rsidRDefault="004B7CED">
            <w:pPr>
              <w:jc w:val="right"/>
            </w:pPr>
            <w:r w:rsidRPr="003D3F8A">
              <w:rPr>
                <w:color w:val="000000"/>
                <w:szCs w:val="21"/>
              </w:rPr>
              <w:t>400,000</w:t>
            </w:r>
          </w:p>
        </w:tc>
        <w:tc>
          <w:tcPr>
            <w:tcW w:w="1599" w:type="dxa"/>
            <w:vAlign w:val="center"/>
          </w:tcPr>
          <w:p w:rsidR="00CA0B90" w:rsidRPr="003D3F8A" w:rsidRDefault="004B7CED">
            <w:pPr>
              <w:jc w:val="right"/>
            </w:pPr>
            <w:r w:rsidRPr="003D3F8A">
              <w:rPr>
                <w:color w:val="000000"/>
                <w:szCs w:val="21"/>
              </w:rPr>
              <w:t>40,000,000.00</w:t>
            </w:r>
          </w:p>
        </w:tc>
        <w:tc>
          <w:tcPr>
            <w:tcW w:w="1752" w:type="dxa"/>
            <w:vAlign w:val="center"/>
          </w:tcPr>
          <w:p w:rsidR="00CA0B90" w:rsidRPr="003D3F8A" w:rsidRDefault="004B7CED">
            <w:pPr>
              <w:jc w:val="right"/>
            </w:pPr>
            <w:r w:rsidRPr="003D3F8A">
              <w:rPr>
                <w:color w:val="000000"/>
                <w:szCs w:val="21"/>
              </w:rPr>
              <w:t>0.45</w:t>
            </w:r>
          </w:p>
        </w:tc>
      </w:tr>
      <w:tr w:rsidR="00CA0B90" w:rsidRPr="003D3F8A">
        <w:tc>
          <w:tcPr>
            <w:tcW w:w="1227" w:type="dxa"/>
            <w:vAlign w:val="center"/>
          </w:tcPr>
          <w:p w:rsidR="00CA0B90" w:rsidRPr="003D3F8A" w:rsidRDefault="004B7CED">
            <w:pPr>
              <w:jc w:val="center"/>
            </w:pPr>
            <w:r w:rsidRPr="003D3F8A">
              <w:rPr>
                <w:color w:val="000000"/>
                <w:szCs w:val="21"/>
              </w:rPr>
              <w:t>3</w:t>
            </w:r>
          </w:p>
        </w:tc>
        <w:tc>
          <w:tcPr>
            <w:tcW w:w="1560" w:type="dxa"/>
            <w:vAlign w:val="center"/>
          </w:tcPr>
          <w:p w:rsidR="00CA0B90" w:rsidRPr="003D3F8A" w:rsidRDefault="004B7CED">
            <w:pPr>
              <w:jc w:val="center"/>
            </w:pPr>
            <w:r w:rsidRPr="003D3F8A">
              <w:rPr>
                <w:color w:val="000000"/>
                <w:szCs w:val="21"/>
              </w:rPr>
              <w:t>139125</w:t>
            </w:r>
          </w:p>
        </w:tc>
        <w:tc>
          <w:tcPr>
            <w:tcW w:w="1550" w:type="dxa"/>
            <w:vAlign w:val="center"/>
          </w:tcPr>
          <w:p w:rsidR="00CA0B90" w:rsidRPr="003D3F8A" w:rsidRDefault="004B7CED">
            <w:pPr>
              <w:jc w:val="center"/>
            </w:pPr>
            <w:r w:rsidRPr="003D3F8A">
              <w:rPr>
                <w:color w:val="000000"/>
                <w:szCs w:val="21"/>
              </w:rPr>
              <w:t>链融</w:t>
            </w:r>
            <w:r w:rsidRPr="003D3F8A">
              <w:rPr>
                <w:color w:val="000000"/>
                <w:szCs w:val="21"/>
              </w:rPr>
              <w:t>4A1</w:t>
            </w:r>
          </w:p>
        </w:tc>
        <w:tc>
          <w:tcPr>
            <w:tcW w:w="1599" w:type="dxa"/>
            <w:vAlign w:val="center"/>
          </w:tcPr>
          <w:p w:rsidR="00CA0B90" w:rsidRPr="003D3F8A" w:rsidRDefault="004B7CED">
            <w:pPr>
              <w:jc w:val="right"/>
            </w:pPr>
            <w:r w:rsidRPr="003D3F8A">
              <w:rPr>
                <w:color w:val="000000"/>
                <w:szCs w:val="21"/>
              </w:rPr>
              <w:t>300,000</w:t>
            </w:r>
          </w:p>
        </w:tc>
        <w:tc>
          <w:tcPr>
            <w:tcW w:w="1599" w:type="dxa"/>
            <w:vAlign w:val="center"/>
          </w:tcPr>
          <w:p w:rsidR="00CA0B90" w:rsidRPr="003D3F8A" w:rsidRDefault="004B7CED">
            <w:pPr>
              <w:jc w:val="right"/>
            </w:pPr>
            <w:r w:rsidRPr="003D3F8A">
              <w:rPr>
                <w:color w:val="000000"/>
                <w:szCs w:val="21"/>
              </w:rPr>
              <w:t>30,000,000.00</w:t>
            </w:r>
          </w:p>
        </w:tc>
        <w:tc>
          <w:tcPr>
            <w:tcW w:w="1752" w:type="dxa"/>
            <w:vAlign w:val="center"/>
          </w:tcPr>
          <w:p w:rsidR="00CA0B90" w:rsidRPr="003D3F8A" w:rsidRDefault="004B7CED">
            <w:pPr>
              <w:jc w:val="right"/>
            </w:pPr>
            <w:r w:rsidRPr="003D3F8A">
              <w:rPr>
                <w:color w:val="000000"/>
                <w:szCs w:val="21"/>
              </w:rPr>
              <w:t>0.34</w:t>
            </w:r>
          </w:p>
        </w:tc>
      </w:tr>
      <w:tr w:rsidR="00CA0B90" w:rsidRPr="003D3F8A">
        <w:tc>
          <w:tcPr>
            <w:tcW w:w="1227" w:type="dxa"/>
            <w:vAlign w:val="center"/>
          </w:tcPr>
          <w:p w:rsidR="00CA0B90" w:rsidRPr="003D3F8A" w:rsidRDefault="004B7CED">
            <w:pPr>
              <w:jc w:val="center"/>
            </w:pPr>
            <w:r w:rsidRPr="003D3F8A">
              <w:rPr>
                <w:color w:val="000000"/>
                <w:szCs w:val="21"/>
              </w:rPr>
              <w:t>4</w:t>
            </w:r>
          </w:p>
        </w:tc>
        <w:tc>
          <w:tcPr>
            <w:tcW w:w="1560" w:type="dxa"/>
            <w:vAlign w:val="center"/>
          </w:tcPr>
          <w:p w:rsidR="00CA0B90" w:rsidRPr="003D3F8A" w:rsidRDefault="004B7CED">
            <w:pPr>
              <w:jc w:val="center"/>
            </w:pPr>
            <w:r w:rsidRPr="003D3F8A">
              <w:rPr>
                <w:color w:val="000000"/>
                <w:szCs w:val="21"/>
              </w:rPr>
              <w:t>156445</w:t>
            </w:r>
          </w:p>
        </w:tc>
        <w:tc>
          <w:tcPr>
            <w:tcW w:w="1550" w:type="dxa"/>
            <w:vAlign w:val="center"/>
          </w:tcPr>
          <w:p w:rsidR="00CA0B90" w:rsidRPr="003D3F8A" w:rsidRDefault="004B7CED">
            <w:pPr>
              <w:jc w:val="center"/>
            </w:pPr>
            <w:r w:rsidRPr="003D3F8A">
              <w:rPr>
                <w:color w:val="000000"/>
                <w:szCs w:val="21"/>
              </w:rPr>
              <w:t>18</w:t>
            </w:r>
            <w:r w:rsidRPr="003D3F8A">
              <w:rPr>
                <w:color w:val="000000"/>
                <w:szCs w:val="21"/>
              </w:rPr>
              <w:t>裕源</w:t>
            </w:r>
            <w:r w:rsidRPr="003D3F8A">
              <w:rPr>
                <w:color w:val="000000"/>
                <w:szCs w:val="21"/>
              </w:rPr>
              <w:t>02</w:t>
            </w:r>
          </w:p>
        </w:tc>
        <w:tc>
          <w:tcPr>
            <w:tcW w:w="1599" w:type="dxa"/>
            <w:vAlign w:val="center"/>
          </w:tcPr>
          <w:p w:rsidR="00CA0B90" w:rsidRPr="003D3F8A" w:rsidRDefault="004B7CED">
            <w:pPr>
              <w:jc w:val="right"/>
            </w:pPr>
            <w:r w:rsidRPr="003D3F8A">
              <w:rPr>
                <w:color w:val="000000"/>
                <w:szCs w:val="21"/>
              </w:rPr>
              <w:t>200,000</w:t>
            </w:r>
          </w:p>
        </w:tc>
        <w:tc>
          <w:tcPr>
            <w:tcW w:w="1599" w:type="dxa"/>
            <w:vAlign w:val="center"/>
          </w:tcPr>
          <w:p w:rsidR="00CA0B90" w:rsidRPr="003D3F8A" w:rsidRDefault="004B7CED">
            <w:pPr>
              <w:jc w:val="right"/>
            </w:pPr>
            <w:r w:rsidRPr="003D3F8A">
              <w:rPr>
                <w:color w:val="000000"/>
                <w:szCs w:val="21"/>
              </w:rPr>
              <w:t>20,000,000.00</w:t>
            </w:r>
          </w:p>
        </w:tc>
        <w:tc>
          <w:tcPr>
            <w:tcW w:w="1752" w:type="dxa"/>
            <w:vAlign w:val="center"/>
          </w:tcPr>
          <w:p w:rsidR="00CA0B90" w:rsidRPr="003D3F8A" w:rsidRDefault="004B7CED">
            <w:pPr>
              <w:jc w:val="right"/>
            </w:pPr>
            <w:r w:rsidRPr="003D3F8A">
              <w:rPr>
                <w:color w:val="000000"/>
                <w:szCs w:val="21"/>
              </w:rPr>
              <w:t>0.23</w:t>
            </w:r>
          </w:p>
        </w:tc>
      </w:tr>
      <w:tr w:rsidR="00CA0B90" w:rsidRPr="003D3F8A">
        <w:tc>
          <w:tcPr>
            <w:tcW w:w="1227" w:type="dxa"/>
            <w:vAlign w:val="center"/>
          </w:tcPr>
          <w:p w:rsidR="00CA0B90" w:rsidRPr="003D3F8A" w:rsidRDefault="004B7CED">
            <w:pPr>
              <w:jc w:val="center"/>
            </w:pPr>
            <w:r w:rsidRPr="003D3F8A">
              <w:rPr>
                <w:color w:val="000000"/>
                <w:szCs w:val="21"/>
              </w:rPr>
              <w:t>5</w:t>
            </w:r>
          </w:p>
        </w:tc>
        <w:tc>
          <w:tcPr>
            <w:tcW w:w="1560" w:type="dxa"/>
            <w:vAlign w:val="center"/>
          </w:tcPr>
          <w:p w:rsidR="00CA0B90" w:rsidRPr="003D3F8A" w:rsidRDefault="004B7CED">
            <w:pPr>
              <w:jc w:val="center"/>
            </w:pPr>
            <w:r w:rsidRPr="003D3F8A">
              <w:rPr>
                <w:color w:val="000000"/>
                <w:szCs w:val="21"/>
              </w:rPr>
              <w:t>139261</w:t>
            </w:r>
          </w:p>
        </w:tc>
        <w:tc>
          <w:tcPr>
            <w:tcW w:w="1550" w:type="dxa"/>
            <w:vAlign w:val="center"/>
          </w:tcPr>
          <w:p w:rsidR="00CA0B90" w:rsidRPr="003D3F8A" w:rsidRDefault="004B7CED">
            <w:pPr>
              <w:jc w:val="center"/>
            </w:pPr>
            <w:r w:rsidRPr="003D3F8A">
              <w:rPr>
                <w:color w:val="000000"/>
                <w:szCs w:val="21"/>
              </w:rPr>
              <w:t>万科</w:t>
            </w:r>
            <w:r w:rsidRPr="003D3F8A">
              <w:rPr>
                <w:color w:val="000000"/>
                <w:szCs w:val="21"/>
              </w:rPr>
              <w:t>29A1</w:t>
            </w:r>
          </w:p>
        </w:tc>
        <w:tc>
          <w:tcPr>
            <w:tcW w:w="1599" w:type="dxa"/>
            <w:vAlign w:val="center"/>
          </w:tcPr>
          <w:p w:rsidR="00CA0B90" w:rsidRPr="003D3F8A" w:rsidRDefault="004B7CED">
            <w:pPr>
              <w:jc w:val="right"/>
            </w:pPr>
            <w:r w:rsidRPr="003D3F8A">
              <w:rPr>
                <w:color w:val="000000"/>
                <w:szCs w:val="21"/>
              </w:rPr>
              <w:t>200,000</w:t>
            </w:r>
          </w:p>
        </w:tc>
        <w:tc>
          <w:tcPr>
            <w:tcW w:w="1599" w:type="dxa"/>
            <w:vAlign w:val="center"/>
          </w:tcPr>
          <w:p w:rsidR="00CA0B90" w:rsidRPr="003D3F8A" w:rsidRDefault="004B7CED">
            <w:pPr>
              <w:jc w:val="right"/>
            </w:pPr>
            <w:r w:rsidRPr="003D3F8A">
              <w:rPr>
                <w:color w:val="000000"/>
                <w:szCs w:val="21"/>
              </w:rPr>
              <w:t>20,000,000.00</w:t>
            </w:r>
          </w:p>
        </w:tc>
        <w:tc>
          <w:tcPr>
            <w:tcW w:w="1752" w:type="dxa"/>
            <w:vAlign w:val="center"/>
          </w:tcPr>
          <w:p w:rsidR="00CA0B90" w:rsidRPr="003D3F8A" w:rsidRDefault="004B7CED">
            <w:pPr>
              <w:jc w:val="right"/>
            </w:pPr>
            <w:r w:rsidRPr="003D3F8A">
              <w:rPr>
                <w:color w:val="000000"/>
                <w:szCs w:val="21"/>
              </w:rPr>
              <w:t>0.23</w:t>
            </w:r>
          </w:p>
        </w:tc>
      </w:tr>
      <w:tr w:rsidR="00CA0B90" w:rsidRPr="003D3F8A">
        <w:tc>
          <w:tcPr>
            <w:tcW w:w="1227" w:type="dxa"/>
            <w:vAlign w:val="center"/>
          </w:tcPr>
          <w:p w:rsidR="00CA0B90" w:rsidRPr="003D3F8A" w:rsidRDefault="004B7CED">
            <w:pPr>
              <w:jc w:val="center"/>
            </w:pPr>
            <w:r w:rsidRPr="003D3F8A">
              <w:rPr>
                <w:color w:val="000000"/>
                <w:szCs w:val="21"/>
              </w:rPr>
              <w:t>6</w:t>
            </w:r>
          </w:p>
        </w:tc>
        <w:tc>
          <w:tcPr>
            <w:tcW w:w="1560" w:type="dxa"/>
            <w:vAlign w:val="center"/>
          </w:tcPr>
          <w:p w:rsidR="00CA0B90" w:rsidRPr="003D3F8A" w:rsidRDefault="004B7CED">
            <w:pPr>
              <w:jc w:val="center"/>
            </w:pPr>
            <w:r w:rsidRPr="003D3F8A">
              <w:rPr>
                <w:color w:val="000000"/>
                <w:szCs w:val="21"/>
              </w:rPr>
              <w:t>139253</w:t>
            </w:r>
          </w:p>
        </w:tc>
        <w:tc>
          <w:tcPr>
            <w:tcW w:w="1550" w:type="dxa"/>
            <w:vAlign w:val="center"/>
          </w:tcPr>
          <w:p w:rsidR="00CA0B90" w:rsidRPr="003D3F8A" w:rsidRDefault="004B7CED">
            <w:pPr>
              <w:jc w:val="center"/>
            </w:pPr>
            <w:r w:rsidRPr="003D3F8A">
              <w:rPr>
                <w:color w:val="000000"/>
                <w:szCs w:val="21"/>
              </w:rPr>
              <w:t>万科</w:t>
            </w:r>
            <w:r w:rsidRPr="003D3F8A">
              <w:rPr>
                <w:color w:val="000000"/>
                <w:szCs w:val="21"/>
              </w:rPr>
              <w:t>27A1</w:t>
            </w:r>
          </w:p>
        </w:tc>
        <w:tc>
          <w:tcPr>
            <w:tcW w:w="1599" w:type="dxa"/>
            <w:vAlign w:val="center"/>
          </w:tcPr>
          <w:p w:rsidR="00CA0B90" w:rsidRPr="003D3F8A" w:rsidRDefault="004B7CED">
            <w:pPr>
              <w:jc w:val="right"/>
            </w:pPr>
            <w:r w:rsidRPr="003D3F8A">
              <w:rPr>
                <w:color w:val="000000"/>
                <w:szCs w:val="21"/>
              </w:rPr>
              <w:t>200,000</w:t>
            </w:r>
          </w:p>
        </w:tc>
        <w:tc>
          <w:tcPr>
            <w:tcW w:w="1599" w:type="dxa"/>
            <w:vAlign w:val="center"/>
          </w:tcPr>
          <w:p w:rsidR="00CA0B90" w:rsidRPr="003D3F8A" w:rsidRDefault="004B7CED">
            <w:pPr>
              <w:jc w:val="right"/>
            </w:pPr>
            <w:r w:rsidRPr="003D3F8A">
              <w:rPr>
                <w:color w:val="000000"/>
                <w:szCs w:val="21"/>
              </w:rPr>
              <w:t>20,000,000.00</w:t>
            </w:r>
          </w:p>
        </w:tc>
        <w:tc>
          <w:tcPr>
            <w:tcW w:w="1752" w:type="dxa"/>
            <w:vAlign w:val="center"/>
          </w:tcPr>
          <w:p w:rsidR="00CA0B90" w:rsidRPr="003D3F8A" w:rsidRDefault="004B7CED">
            <w:pPr>
              <w:jc w:val="right"/>
            </w:pPr>
            <w:r w:rsidRPr="003D3F8A">
              <w:rPr>
                <w:color w:val="000000"/>
                <w:szCs w:val="21"/>
              </w:rPr>
              <w:t>0.23</w:t>
            </w:r>
          </w:p>
        </w:tc>
      </w:tr>
      <w:tr w:rsidR="00CA0B90" w:rsidRPr="003D3F8A">
        <w:tc>
          <w:tcPr>
            <w:tcW w:w="1227" w:type="dxa"/>
            <w:vAlign w:val="center"/>
          </w:tcPr>
          <w:p w:rsidR="00CA0B90" w:rsidRPr="003D3F8A" w:rsidRDefault="004B7CED">
            <w:pPr>
              <w:jc w:val="center"/>
            </w:pPr>
            <w:r w:rsidRPr="003D3F8A">
              <w:rPr>
                <w:color w:val="000000"/>
                <w:szCs w:val="21"/>
              </w:rPr>
              <w:t>7</w:t>
            </w:r>
          </w:p>
        </w:tc>
        <w:tc>
          <w:tcPr>
            <w:tcW w:w="1560" w:type="dxa"/>
            <w:vAlign w:val="center"/>
          </w:tcPr>
          <w:p w:rsidR="00CA0B90" w:rsidRPr="003D3F8A" w:rsidRDefault="004B7CED">
            <w:pPr>
              <w:jc w:val="center"/>
            </w:pPr>
            <w:r w:rsidRPr="003D3F8A">
              <w:rPr>
                <w:color w:val="000000"/>
                <w:szCs w:val="21"/>
              </w:rPr>
              <w:t>139227</w:t>
            </w:r>
          </w:p>
        </w:tc>
        <w:tc>
          <w:tcPr>
            <w:tcW w:w="1550" w:type="dxa"/>
            <w:vAlign w:val="center"/>
          </w:tcPr>
          <w:p w:rsidR="00CA0B90" w:rsidRPr="003D3F8A" w:rsidRDefault="004B7CED">
            <w:pPr>
              <w:jc w:val="center"/>
            </w:pPr>
            <w:r w:rsidRPr="003D3F8A">
              <w:rPr>
                <w:color w:val="000000"/>
                <w:szCs w:val="21"/>
              </w:rPr>
              <w:t>龙腾优</w:t>
            </w:r>
            <w:r w:rsidRPr="003D3F8A">
              <w:rPr>
                <w:color w:val="000000"/>
                <w:szCs w:val="21"/>
              </w:rPr>
              <w:t>10</w:t>
            </w:r>
          </w:p>
        </w:tc>
        <w:tc>
          <w:tcPr>
            <w:tcW w:w="1599" w:type="dxa"/>
            <w:vAlign w:val="center"/>
          </w:tcPr>
          <w:p w:rsidR="00CA0B90" w:rsidRPr="003D3F8A" w:rsidRDefault="004B7CED">
            <w:pPr>
              <w:jc w:val="right"/>
            </w:pPr>
            <w:r w:rsidRPr="003D3F8A">
              <w:rPr>
                <w:color w:val="000000"/>
                <w:szCs w:val="21"/>
              </w:rPr>
              <w:t>200,000</w:t>
            </w:r>
          </w:p>
        </w:tc>
        <w:tc>
          <w:tcPr>
            <w:tcW w:w="1599" w:type="dxa"/>
            <w:vAlign w:val="center"/>
          </w:tcPr>
          <w:p w:rsidR="00CA0B90" w:rsidRPr="003D3F8A" w:rsidRDefault="004B7CED">
            <w:pPr>
              <w:jc w:val="right"/>
            </w:pPr>
            <w:r w:rsidRPr="003D3F8A">
              <w:rPr>
                <w:color w:val="000000"/>
                <w:szCs w:val="21"/>
              </w:rPr>
              <w:t>20,000,000.00</w:t>
            </w:r>
          </w:p>
        </w:tc>
        <w:tc>
          <w:tcPr>
            <w:tcW w:w="1752" w:type="dxa"/>
            <w:vAlign w:val="center"/>
          </w:tcPr>
          <w:p w:rsidR="00CA0B90" w:rsidRPr="003D3F8A" w:rsidRDefault="004B7CED">
            <w:pPr>
              <w:jc w:val="right"/>
            </w:pPr>
            <w:r w:rsidRPr="003D3F8A">
              <w:rPr>
                <w:color w:val="000000"/>
                <w:szCs w:val="21"/>
              </w:rPr>
              <w:t>0.23</w:t>
            </w:r>
          </w:p>
        </w:tc>
      </w:tr>
      <w:tr w:rsidR="00CA0B90" w:rsidRPr="003D3F8A">
        <w:tc>
          <w:tcPr>
            <w:tcW w:w="1227" w:type="dxa"/>
            <w:vAlign w:val="center"/>
          </w:tcPr>
          <w:p w:rsidR="00CA0B90" w:rsidRPr="003D3F8A" w:rsidRDefault="004B7CED">
            <w:pPr>
              <w:jc w:val="center"/>
            </w:pPr>
            <w:r w:rsidRPr="003D3F8A">
              <w:rPr>
                <w:color w:val="000000"/>
                <w:szCs w:val="21"/>
              </w:rPr>
              <w:t>8</w:t>
            </w:r>
          </w:p>
        </w:tc>
        <w:tc>
          <w:tcPr>
            <w:tcW w:w="1560" w:type="dxa"/>
            <w:vAlign w:val="center"/>
          </w:tcPr>
          <w:p w:rsidR="00CA0B90" w:rsidRPr="003D3F8A" w:rsidRDefault="004B7CED">
            <w:pPr>
              <w:jc w:val="center"/>
            </w:pPr>
            <w:r w:rsidRPr="003D3F8A">
              <w:rPr>
                <w:color w:val="000000"/>
                <w:szCs w:val="21"/>
              </w:rPr>
              <w:t>139254</w:t>
            </w:r>
          </w:p>
        </w:tc>
        <w:tc>
          <w:tcPr>
            <w:tcW w:w="1550" w:type="dxa"/>
            <w:vAlign w:val="center"/>
          </w:tcPr>
          <w:p w:rsidR="00CA0B90" w:rsidRPr="003D3F8A" w:rsidRDefault="004B7CED">
            <w:pPr>
              <w:jc w:val="center"/>
            </w:pPr>
            <w:r w:rsidRPr="003D3F8A">
              <w:rPr>
                <w:color w:val="000000"/>
                <w:szCs w:val="21"/>
              </w:rPr>
              <w:t>万科</w:t>
            </w:r>
            <w:r w:rsidRPr="003D3F8A">
              <w:rPr>
                <w:color w:val="000000"/>
                <w:szCs w:val="21"/>
              </w:rPr>
              <w:t>28A1</w:t>
            </w:r>
          </w:p>
        </w:tc>
        <w:tc>
          <w:tcPr>
            <w:tcW w:w="1599" w:type="dxa"/>
            <w:vAlign w:val="center"/>
          </w:tcPr>
          <w:p w:rsidR="00CA0B90" w:rsidRPr="003D3F8A" w:rsidRDefault="004B7CED">
            <w:pPr>
              <w:jc w:val="right"/>
            </w:pPr>
            <w:r w:rsidRPr="003D3F8A">
              <w:rPr>
                <w:color w:val="000000"/>
                <w:szCs w:val="21"/>
              </w:rPr>
              <w:t>150,000</w:t>
            </w:r>
          </w:p>
        </w:tc>
        <w:tc>
          <w:tcPr>
            <w:tcW w:w="1599" w:type="dxa"/>
            <w:vAlign w:val="center"/>
          </w:tcPr>
          <w:p w:rsidR="00CA0B90" w:rsidRPr="003D3F8A" w:rsidRDefault="004B7CED">
            <w:pPr>
              <w:jc w:val="right"/>
            </w:pPr>
            <w:r w:rsidRPr="003D3F8A">
              <w:rPr>
                <w:color w:val="000000"/>
                <w:szCs w:val="21"/>
              </w:rPr>
              <w:t>15,000,000.00</w:t>
            </w:r>
          </w:p>
        </w:tc>
        <w:tc>
          <w:tcPr>
            <w:tcW w:w="1752" w:type="dxa"/>
            <w:vAlign w:val="center"/>
          </w:tcPr>
          <w:p w:rsidR="00CA0B90" w:rsidRPr="003D3F8A" w:rsidRDefault="004B7CED">
            <w:pPr>
              <w:jc w:val="right"/>
            </w:pPr>
            <w:r w:rsidRPr="003D3F8A">
              <w:rPr>
                <w:color w:val="000000"/>
                <w:szCs w:val="21"/>
              </w:rPr>
              <w:t>0.17</w:t>
            </w:r>
          </w:p>
        </w:tc>
      </w:tr>
      <w:tr w:rsidR="00CA0B90" w:rsidRPr="003D3F8A">
        <w:tc>
          <w:tcPr>
            <w:tcW w:w="1227" w:type="dxa"/>
            <w:vAlign w:val="center"/>
          </w:tcPr>
          <w:p w:rsidR="00CA0B90" w:rsidRPr="003D3F8A" w:rsidRDefault="004B7CED">
            <w:pPr>
              <w:jc w:val="center"/>
            </w:pPr>
            <w:r w:rsidRPr="003D3F8A">
              <w:rPr>
                <w:color w:val="000000"/>
                <w:szCs w:val="21"/>
              </w:rPr>
              <w:t>9</w:t>
            </w:r>
          </w:p>
        </w:tc>
        <w:tc>
          <w:tcPr>
            <w:tcW w:w="1560" w:type="dxa"/>
            <w:vAlign w:val="center"/>
          </w:tcPr>
          <w:p w:rsidR="00CA0B90" w:rsidRPr="003D3F8A" w:rsidRDefault="004B7CED">
            <w:pPr>
              <w:jc w:val="center"/>
            </w:pPr>
            <w:r w:rsidRPr="003D3F8A">
              <w:rPr>
                <w:color w:val="000000"/>
                <w:szCs w:val="21"/>
              </w:rPr>
              <w:t>139248</w:t>
            </w:r>
          </w:p>
        </w:tc>
        <w:tc>
          <w:tcPr>
            <w:tcW w:w="1550" w:type="dxa"/>
            <w:vAlign w:val="center"/>
          </w:tcPr>
          <w:p w:rsidR="00CA0B90" w:rsidRPr="003D3F8A" w:rsidRDefault="004B7CED">
            <w:pPr>
              <w:jc w:val="center"/>
            </w:pPr>
            <w:r w:rsidRPr="003D3F8A">
              <w:rPr>
                <w:color w:val="000000"/>
                <w:szCs w:val="21"/>
              </w:rPr>
              <w:t>万科</w:t>
            </w:r>
            <w:r w:rsidRPr="003D3F8A">
              <w:rPr>
                <w:color w:val="000000"/>
                <w:szCs w:val="21"/>
              </w:rPr>
              <w:t>26A1</w:t>
            </w:r>
          </w:p>
        </w:tc>
        <w:tc>
          <w:tcPr>
            <w:tcW w:w="1599" w:type="dxa"/>
            <w:vAlign w:val="center"/>
          </w:tcPr>
          <w:p w:rsidR="00CA0B90" w:rsidRPr="003D3F8A" w:rsidRDefault="004B7CED">
            <w:pPr>
              <w:jc w:val="right"/>
            </w:pPr>
            <w:r w:rsidRPr="003D3F8A">
              <w:rPr>
                <w:color w:val="000000"/>
                <w:szCs w:val="21"/>
              </w:rPr>
              <w:t>100,000</w:t>
            </w:r>
          </w:p>
        </w:tc>
        <w:tc>
          <w:tcPr>
            <w:tcW w:w="1599" w:type="dxa"/>
            <w:vAlign w:val="center"/>
          </w:tcPr>
          <w:p w:rsidR="00CA0B90" w:rsidRPr="003D3F8A" w:rsidRDefault="004B7CED">
            <w:pPr>
              <w:jc w:val="right"/>
            </w:pPr>
            <w:r w:rsidRPr="003D3F8A">
              <w:rPr>
                <w:color w:val="000000"/>
                <w:szCs w:val="21"/>
              </w:rPr>
              <w:t>10,000,000.00</w:t>
            </w:r>
          </w:p>
        </w:tc>
        <w:tc>
          <w:tcPr>
            <w:tcW w:w="1752" w:type="dxa"/>
            <w:vAlign w:val="center"/>
          </w:tcPr>
          <w:p w:rsidR="00CA0B90" w:rsidRPr="003D3F8A" w:rsidRDefault="004B7CED">
            <w:pPr>
              <w:jc w:val="right"/>
            </w:pPr>
            <w:r w:rsidRPr="003D3F8A">
              <w:rPr>
                <w:color w:val="000000"/>
                <w:szCs w:val="21"/>
              </w:rPr>
              <w:t>0.11</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5.9 </w:t>
      </w:r>
      <w:r w:rsidRPr="003D3F8A">
        <w:rPr>
          <w:b/>
          <w:bCs/>
          <w:color w:val="000000"/>
          <w:kern w:val="0"/>
          <w:szCs w:val="21"/>
        </w:rPr>
        <w:t>投资组合报告附注</w:t>
      </w:r>
    </w:p>
    <w:p w:rsidR="00CA0B90" w:rsidRPr="003D3F8A" w:rsidRDefault="004B7CED">
      <w:pPr>
        <w:spacing w:line="360" w:lineRule="auto"/>
        <w:rPr>
          <w:color w:val="000000"/>
          <w:szCs w:val="21"/>
        </w:rPr>
      </w:pPr>
      <w:r w:rsidRPr="003D3F8A">
        <w:rPr>
          <w:color w:val="000000"/>
          <w:szCs w:val="21"/>
        </w:rPr>
        <w:t>5.9.1</w:t>
      </w:r>
      <w:r w:rsidRPr="003D3F8A">
        <w:rPr>
          <w:color w:val="000000"/>
          <w:szCs w:val="21"/>
        </w:rPr>
        <w:t>基金计价方法说明</w:t>
      </w:r>
    </w:p>
    <w:p w:rsidR="00CA0B90" w:rsidRPr="003D3F8A" w:rsidRDefault="004B7CED">
      <w:pPr>
        <w:spacing w:line="360" w:lineRule="auto"/>
        <w:ind w:firstLineChars="200" w:firstLine="420"/>
        <w:rPr>
          <w:color w:val="000000"/>
          <w:szCs w:val="21"/>
        </w:rPr>
      </w:pPr>
      <w:r w:rsidRPr="003D3F8A">
        <w:rPr>
          <w:color w:val="000000"/>
          <w:szCs w:val="21"/>
        </w:rPr>
        <w:t>本基金估值采用摊余成本法计价，即估值对象以买入成本列示，按票面利率或商定利率每日计提应收利息，并按实际利率法在其剩余期限内摊销其买入时的溢价或折价。</w:t>
      </w:r>
    </w:p>
    <w:p w:rsidR="00CA0B90" w:rsidRPr="003D3F8A" w:rsidRDefault="004B7CED">
      <w:pPr>
        <w:widowControl/>
        <w:spacing w:line="360" w:lineRule="auto"/>
        <w:rPr>
          <w:color w:val="000000"/>
          <w:szCs w:val="21"/>
        </w:rPr>
      </w:pPr>
      <w:r w:rsidRPr="003D3F8A">
        <w:rPr>
          <w:color w:val="000000"/>
          <w:szCs w:val="21"/>
        </w:rPr>
        <w:t>5.9.2</w:t>
      </w:r>
      <w:r w:rsidRPr="003D3F8A">
        <w:rPr>
          <w:color w:val="000000"/>
          <w:szCs w:val="21"/>
        </w:rPr>
        <w:t>中国银行保险监督管理委员会、人民银行等监管机构分别对渤海银行、中原银行出具处罚决定，处罚原因涉及多项案由，渤海银行被罚款</w:t>
      </w:r>
      <w:r w:rsidRPr="003D3F8A">
        <w:rPr>
          <w:color w:val="000000"/>
          <w:szCs w:val="21"/>
        </w:rPr>
        <w:t>81</w:t>
      </w:r>
      <w:r w:rsidRPr="003D3F8A">
        <w:rPr>
          <w:color w:val="000000"/>
          <w:szCs w:val="21"/>
        </w:rPr>
        <w:t>万元；中原银行被罚款</w:t>
      </w:r>
      <w:r w:rsidRPr="003D3F8A">
        <w:rPr>
          <w:color w:val="000000"/>
          <w:szCs w:val="21"/>
        </w:rPr>
        <w:t xml:space="preserve"> 90 </w:t>
      </w:r>
      <w:r w:rsidRPr="003D3F8A">
        <w:rPr>
          <w:color w:val="000000"/>
          <w:szCs w:val="21"/>
        </w:rPr>
        <w:t>万元。基金管理人通过对以上发行人进一步了解分析后，认为以上处罚不会对相关证券的投资价值构成实质性影响。报告期内，本基金投资的前十名证券的其余证券的发行主体没有被监管部门立案调查或在本报告编制日前一年内受到公开谴责、处罚的情况。</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5.9.3 </w:t>
      </w:r>
      <w:r w:rsidRPr="003D3F8A">
        <w:rPr>
          <w:b/>
          <w:bCs/>
          <w:color w:val="000000"/>
          <w:kern w:val="0"/>
          <w:szCs w:val="21"/>
        </w:rPr>
        <w:t>其他各项资产构成</w:t>
      </w:r>
    </w:p>
    <w:tbl>
      <w:tblPr>
        <w:tblW w:w="928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3535"/>
        <w:gridCol w:w="4808"/>
      </w:tblGrid>
      <w:tr w:rsidR="00CA0B90" w:rsidRPr="003D3F8A">
        <w:tc>
          <w:tcPr>
            <w:tcW w:w="942" w:type="dxa"/>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序号</w:t>
            </w:r>
          </w:p>
        </w:tc>
        <w:tc>
          <w:tcPr>
            <w:tcW w:w="3535" w:type="dxa"/>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名称</w:t>
            </w:r>
          </w:p>
        </w:tc>
        <w:tc>
          <w:tcPr>
            <w:tcW w:w="4808" w:type="dxa"/>
            <w:vAlign w:val="center"/>
          </w:tcPr>
          <w:p w:rsidR="00CA0B90" w:rsidRPr="003D3F8A" w:rsidRDefault="004B7CED">
            <w:pPr>
              <w:autoSpaceDE w:val="0"/>
              <w:autoSpaceDN w:val="0"/>
              <w:adjustRightInd w:val="0"/>
              <w:spacing w:before="29"/>
              <w:ind w:left="17"/>
              <w:jc w:val="center"/>
              <w:rPr>
                <w:color w:val="000000"/>
                <w:kern w:val="0"/>
                <w:szCs w:val="21"/>
              </w:rPr>
            </w:pPr>
            <w:r w:rsidRPr="003D3F8A">
              <w:rPr>
                <w:color w:val="000000"/>
                <w:kern w:val="0"/>
                <w:szCs w:val="21"/>
              </w:rPr>
              <w:t>金额</w:t>
            </w:r>
            <w:r w:rsidRPr="003D3F8A">
              <w:rPr>
                <w:color w:val="000000"/>
                <w:kern w:val="0"/>
                <w:szCs w:val="21"/>
              </w:rPr>
              <w:t>(</w:t>
            </w:r>
            <w:r w:rsidRPr="003D3F8A">
              <w:rPr>
                <w:color w:val="000000"/>
                <w:kern w:val="0"/>
                <w:szCs w:val="21"/>
              </w:rPr>
              <w:t>元</w:t>
            </w: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kern w:val="0"/>
                <w:szCs w:val="21"/>
              </w:rPr>
            </w:pPr>
            <w:r w:rsidRPr="003D3F8A">
              <w:rPr>
                <w:color w:val="000000"/>
                <w:szCs w:val="21"/>
              </w:rPr>
              <w:t>1</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存出保证金</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2</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应收证券清算款</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3</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应收利息</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30,992,695.59</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4</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应收申购款</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16,067,027.38</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5</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其他应收款</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6</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待摊费用</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7</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其他</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w:t>
            </w:r>
          </w:p>
        </w:tc>
      </w:tr>
      <w:tr w:rsidR="00CA0B90" w:rsidRPr="003D3F8A">
        <w:tc>
          <w:tcPr>
            <w:tcW w:w="942" w:type="dxa"/>
            <w:vAlign w:val="center"/>
          </w:tcPr>
          <w:p w:rsidR="00CA0B90" w:rsidRPr="003D3F8A" w:rsidRDefault="004B7CED">
            <w:pPr>
              <w:autoSpaceDE w:val="0"/>
              <w:autoSpaceDN w:val="0"/>
              <w:adjustRightInd w:val="0"/>
              <w:spacing w:before="29"/>
              <w:ind w:left="15"/>
              <w:jc w:val="center"/>
              <w:rPr>
                <w:color w:val="000000"/>
                <w:szCs w:val="21"/>
              </w:rPr>
            </w:pPr>
            <w:r w:rsidRPr="003D3F8A">
              <w:rPr>
                <w:color w:val="000000"/>
                <w:szCs w:val="21"/>
              </w:rPr>
              <w:t>8</w:t>
            </w:r>
          </w:p>
        </w:tc>
        <w:tc>
          <w:tcPr>
            <w:tcW w:w="3535" w:type="dxa"/>
            <w:vAlign w:val="center"/>
          </w:tcPr>
          <w:p w:rsidR="00CA0B90" w:rsidRPr="003D3F8A" w:rsidRDefault="004B7CED">
            <w:pPr>
              <w:autoSpaceDE w:val="0"/>
              <w:autoSpaceDN w:val="0"/>
              <w:adjustRightInd w:val="0"/>
              <w:spacing w:before="29"/>
              <w:ind w:left="15"/>
              <w:jc w:val="left"/>
              <w:rPr>
                <w:color w:val="000000"/>
                <w:kern w:val="0"/>
                <w:szCs w:val="21"/>
              </w:rPr>
            </w:pPr>
            <w:r w:rsidRPr="003D3F8A">
              <w:rPr>
                <w:color w:val="000000"/>
                <w:kern w:val="0"/>
                <w:szCs w:val="21"/>
              </w:rPr>
              <w:t>合计</w:t>
            </w:r>
          </w:p>
        </w:tc>
        <w:tc>
          <w:tcPr>
            <w:tcW w:w="4808" w:type="dxa"/>
            <w:vAlign w:val="center"/>
          </w:tcPr>
          <w:p w:rsidR="00CA0B90" w:rsidRPr="003D3F8A" w:rsidRDefault="004B7CED">
            <w:pPr>
              <w:autoSpaceDE w:val="0"/>
              <w:autoSpaceDN w:val="0"/>
              <w:adjustRightInd w:val="0"/>
              <w:spacing w:before="29"/>
              <w:ind w:left="15"/>
              <w:jc w:val="right"/>
              <w:rPr>
                <w:color w:val="000000"/>
                <w:kern w:val="0"/>
                <w:szCs w:val="21"/>
              </w:rPr>
            </w:pPr>
            <w:r w:rsidRPr="003D3F8A">
              <w:rPr>
                <w:color w:val="000000"/>
                <w:kern w:val="0"/>
                <w:szCs w:val="21"/>
              </w:rPr>
              <w:t>47,059,722.97</w:t>
            </w:r>
          </w:p>
        </w:tc>
      </w:tr>
    </w:tbl>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 xml:space="preserve">5.9.4 </w:t>
      </w:r>
      <w:r w:rsidRPr="003D3F8A">
        <w:rPr>
          <w:b/>
          <w:bCs/>
          <w:color w:val="000000"/>
          <w:kern w:val="0"/>
          <w:szCs w:val="21"/>
        </w:rPr>
        <w:t>投资组合报告附注的其他文字描述部分</w:t>
      </w:r>
    </w:p>
    <w:p w:rsidR="00CA0B90" w:rsidRPr="003D3F8A" w:rsidRDefault="004B7CED">
      <w:pPr>
        <w:spacing w:line="360" w:lineRule="auto"/>
        <w:ind w:firstLineChars="200" w:firstLine="420"/>
        <w:rPr>
          <w:color w:val="000000"/>
          <w:szCs w:val="21"/>
        </w:rPr>
      </w:pPr>
      <w:r w:rsidRPr="003D3F8A">
        <w:rPr>
          <w:color w:val="000000"/>
          <w:szCs w:val="21"/>
        </w:rPr>
        <w:t>由于计算中四舍五入的原因，本报告分项之和与合计项之间可能存在尾差。</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§6</w:t>
      </w:r>
      <w:r w:rsidRPr="003D3F8A">
        <w:rPr>
          <w:color w:val="000000"/>
          <w:kern w:val="0"/>
          <w:sz w:val="24"/>
          <w:szCs w:val="24"/>
        </w:rPr>
        <w:t>开放式基金份额变动</w:t>
      </w:r>
    </w:p>
    <w:p w:rsidR="00CA0B90" w:rsidRPr="003D3F8A" w:rsidRDefault="004B7CED">
      <w:pPr>
        <w:autoSpaceDE w:val="0"/>
        <w:autoSpaceDN w:val="0"/>
        <w:adjustRightInd w:val="0"/>
        <w:spacing w:line="360" w:lineRule="auto"/>
        <w:ind w:left="17" w:right="420"/>
        <w:jc w:val="right"/>
        <w:rPr>
          <w:color w:val="000000"/>
          <w:kern w:val="0"/>
          <w:szCs w:val="21"/>
        </w:rPr>
      </w:pPr>
      <w:r w:rsidRPr="003D3F8A">
        <w:rPr>
          <w:color w:val="000000"/>
          <w:kern w:val="0"/>
          <w:szCs w:val="21"/>
        </w:rPr>
        <w:t>单位：份</w:t>
      </w:r>
    </w:p>
    <w:tbl>
      <w:tblPr>
        <w:tblW w:w="8972" w:type="dxa"/>
        <w:tblInd w:w="-106" w:type="dxa"/>
        <w:tblLayout w:type="fixed"/>
        <w:tblLook w:val="04A0"/>
      </w:tblPr>
      <w:tblGrid>
        <w:gridCol w:w="4609"/>
        <w:gridCol w:w="4363"/>
      </w:tblGrid>
      <w:tr w:rsidR="00CA0B90" w:rsidRPr="003D3F8A">
        <w:tc>
          <w:tcPr>
            <w:tcW w:w="4609"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7"/>
              <w:jc w:val="left"/>
              <w:rPr>
                <w:color w:val="000000"/>
                <w:kern w:val="0"/>
                <w:szCs w:val="21"/>
              </w:rPr>
            </w:pPr>
            <w:r w:rsidRPr="003D3F8A">
              <w:rPr>
                <w:color w:val="000000"/>
                <w:kern w:val="0"/>
                <w:szCs w:val="21"/>
              </w:rPr>
              <w:t>本报告期期初基金份额总额</w:t>
            </w:r>
          </w:p>
        </w:tc>
        <w:tc>
          <w:tcPr>
            <w:tcW w:w="4363"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7"/>
              <w:jc w:val="right"/>
              <w:rPr>
                <w:color w:val="000000"/>
                <w:szCs w:val="21"/>
              </w:rPr>
            </w:pPr>
            <w:r w:rsidRPr="003D3F8A">
              <w:rPr>
                <w:color w:val="000000"/>
                <w:szCs w:val="21"/>
              </w:rPr>
              <w:t>11,862,923,482.17</w:t>
            </w:r>
          </w:p>
        </w:tc>
      </w:tr>
      <w:tr w:rsidR="00CA0B90" w:rsidRPr="003D3F8A">
        <w:tc>
          <w:tcPr>
            <w:tcW w:w="4609" w:type="dxa"/>
            <w:tcBorders>
              <w:top w:val="single" w:sz="8" w:space="0" w:color="000000"/>
              <w:left w:val="single" w:sz="8" w:space="0" w:color="000000"/>
              <w:bottom w:val="single" w:sz="8" w:space="0" w:color="000000"/>
              <w:right w:val="single" w:sz="8" w:space="0" w:color="000000"/>
            </w:tcBorders>
          </w:tcPr>
          <w:p w:rsidR="00CA0B90" w:rsidRPr="003D3F8A" w:rsidRDefault="004B7CED">
            <w:pPr>
              <w:adjustRightInd w:val="0"/>
              <w:snapToGrid w:val="0"/>
              <w:rPr>
                <w:color w:val="000000"/>
                <w:szCs w:val="21"/>
              </w:rPr>
            </w:pPr>
            <w:r w:rsidRPr="003D3F8A">
              <w:rPr>
                <w:color w:val="000000"/>
                <w:kern w:val="0"/>
                <w:szCs w:val="21"/>
              </w:rPr>
              <w:t>本报告期</w:t>
            </w:r>
            <w:r w:rsidRPr="003D3F8A">
              <w:rPr>
                <w:color w:val="000000"/>
                <w:szCs w:val="21"/>
              </w:rPr>
              <w:t>基金总申购份额</w:t>
            </w:r>
          </w:p>
        </w:tc>
        <w:tc>
          <w:tcPr>
            <w:tcW w:w="4363"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7"/>
              <w:jc w:val="right"/>
              <w:rPr>
                <w:color w:val="000000"/>
                <w:szCs w:val="21"/>
              </w:rPr>
            </w:pPr>
            <w:r w:rsidRPr="003D3F8A">
              <w:rPr>
                <w:color w:val="000000"/>
                <w:szCs w:val="21"/>
              </w:rPr>
              <w:t>2,389,377,373.68</w:t>
            </w:r>
          </w:p>
        </w:tc>
      </w:tr>
      <w:tr w:rsidR="00CA0B90" w:rsidRPr="003D3F8A">
        <w:tc>
          <w:tcPr>
            <w:tcW w:w="4609" w:type="dxa"/>
            <w:tcBorders>
              <w:top w:val="single" w:sz="8" w:space="0" w:color="000000"/>
              <w:left w:val="single" w:sz="8" w:space="0" w:color="000000"/>
              <w:bottom w:val="single" w:sz="8" w:space="0" w:color="000000"/>
              <w:right w:val="single" w:sz="8" w:space="0" w:color="000000"/>
            </w:tcBorders>
          </w:tcPr>
          <w:p w:rsidR="00CA0B90" w:rsidRPr="003D3F8A" w:rsidRDefault="004B7CED">
            <w:pPr>
              <w:adjustRightInd w:val="0"/>
              <w:snapToGrid w:val="0"/>
              <w:rPr>
                <w:color w:val="000000"/>
                <w:szCs w:val="21"/>
              </w:rPr>
            </w:pPr>
            <w:r w:rsidRPr="003D3F8A">
              <w:rPr>
                <w:color w:val="000000"/>
                <w:kern w:val="0"/>
                <w:szCs w:val="21"/>
              </w:rPr>
              <w:t>本报告期</w:t>
            </w:r>
            <w:r w:rsidRPr="003D3F8A">
              <w:rPr>
                <w:color w:val="000000"/>
                <w:szCs w:val="21"/>
              </w:rPr>
              <w:t>基金总赎回份额</w:t>
            </w:r>
          </w:p>
        </w:tc>
        <w:tc>
          <w:tcPr>
            <w:tcW w:w="4363"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7"/>
              <w:jc w:val="right"/>
              <w:rPr>
                <w:color w:val="000000"/>
                <w:szCs w:val="21"/>
              </w:rPr>
            </w:pPr>
            <w:r w:rsidRPr="003D3F8A">
              <w:rPr>
                <w:color w:val="000000"/>
                <w:szCs w:val="21"/>
              </w:rPr>
              <w:t>5,413,113,569.36</w:t>
            </w:r>
          </w:p>
        </w:tc>
      </w:tr>
      <w:tr w:rsidR="00CA0B90" w:rsidRPr="003D3F8A">
        <w:tc>
          <w:tcPr>
            <w:tcW w:w="4609" w:type="dxa"/>
            <w:tcBorders>
              <w:top w:val="single" w:sz="8" w:space="0" w:color="000000"/>
              <w:left w:val="single" w:sz="8" w:space="0" w:color="000000"/>
              <w:bottom w:val="single" w:sz="8" w:space="0" w:color="000000"/>
              <w:right w:val="single" w:sz="8" w:space="0" w:color="000000"/>
            </w:tcBorders>
          </w:tcPr>
          <w:p w:rsidR="00CA0B90" w:rsidRPr="003D3F8A" w:rsidRDefault="004B7CED">
            <w:pPr>
              <w:adjustRightInd w:val="0"/>
              <w:snapToGrid w:val="0"/>
              <w:rPr>
                <w:color w:val="000000"/>
                <w:szCs w:val="21"/>
              </w:rPr>
            </w:pPr>
            <w:r w:rsidRPr="003D3F8A">
              <w:rPr>
                <w:color w:val="000000"/>
                <w:szCs w:val="21"/>
              </w:rPr>
              <w:t>报告期期末基金份额总额</w:t>
            </w:r>
          </w:p>
        </w:tc>
        <w:tc>
          <w:tcPr>
            <w:tcW w:w="4363" w:type="dxa"/>
            <w:tcBorders>
              <w:top w:val="single" w:sz="8" w:space="0" w:color="000000"/>
              <w:left w:val="single" w:sz="8" w:space="0" w:color="000000"/>
              <w:bottom w:val="single" w:sz="8" w:space="0" w:color="000000"/>
              <w:right w:val="single" w:sz="8" w:space="0" w:color="000000"/>
            </w:tcBorders>
            <w:vAlign w:val="center"/>
          </w:tcPr>
          <w:p w:rsidR="00CA0B90" w:rsidRPr="003D3F8A" w:rsidRDefault="004B7CED">
            <w:pPr>
              <w:autoSpaceDE w:val="0"/>
              <w:autoSpaceDN w:val="0"/>
              <w:adjustRightInd w:val="0"/>
              <w:spacing w:before="29"/>
              <w:ind w:left="17"/>
              <w:jc w:val="right"/>
              <w:rPr>
                <w:color w:val="000000"/>
                <w:szCs w:val="21"/>
              </w:rPr>
            </w:pPr>
            <w:r w:rsidRPr="003D3F8A">
              <w:rPr>
                <w:color w:val="000000"/>
                <w:szCs w:val="21"/>
              </w:rPr>
              <w:t>8,839,187,286.49</w:t>
            </w:r>
          </w:p>
        </w:tc>
      </w:tr>
    </w:tbl>
    <w:p w:rsidR="00CA0B90" w:rsidRPr="003D3F8A" w:rsidRDefault="004B7CED">
      <w:pPr>
        <w:autoSpaceDE w:val="0"/>
        <w:autoSpaceDN w:val="0"/>
        <w:adjustRightInd w:val="0"/>
        <w:spacing w:line="360" w:lineRule="auto"/>
        <w:jc w:val="center"/>
        <w:rPr>
          <w:b/>
          <w:bCs/>
          <w:color w:val="000000"/>
          <w:kern w:val="0"/>
          <w:sz w:val="24"/>
        </w:rPr>
      </w:pPr>
      <w:r w:rsidRPr="003D3F8A">
        <w:rPr>
          <w:b/>
          <w:bCs/>
          <w:color w:val="000000"/>
          <w:kern w:val="0"/>
          <w:sz w:val="24"/>
        </w:rPr>
        <w:t xml:space="preserve">§7  </w:t>
      </w:r>
      <w:r w:rsidRPr="003D3F8A">
        <w:rPr>
          <w:b/>
          <w:bCs/>
          <w:color w:val="000000"/>
          <w:kern w:val="0"/>
          <w:sz w:val="24"/>
        </w:rPr>
        <w:t>基金管理人运用固有资金投资本基金交易明细</w:t>
      </w:r>
    </w:p>
    <w:p w:rsidR="00CA0B90" w:rsidRPr="003D3F8A" w:rsidRDefault="004B7CED">
      <w:pPr>
        <w:autoSpaceDE w:val="0"/>
        <w:autoSpaceDN w:val="0"/>
        <w:adjustRightInd w:val="0"/>
        <w:spacing w:line="360" w:lineRule="auto"/>
        <w:jc w:val="left"/>
        <w:rPr>
          <w:color w:val="000000"/>
          <w:szCs w:val="21"/>
        </w:rPr>
      </w:pPr>
      <w:r w:rsidRPr="003D3F8A">
        <w:rPr>
          <w:color w:val="000000"/>
          <w:szCs w:val="21"/>
        </w:rPr>
        <w:t>本报告期内，基金管理人未运用固有资金申购、赎回或买卖本基金。</w:t>
      </w:r>
    </w:p>
    <w:p w:rsidR="00CA0B90" w:rsidRPr="003D3F8A" w:rsidRDefault="004B7CED">
      <w:pPr>
        <w:pStyle w:val="1"/>
        <w:spacing w:before="0" w:after="0" w:line="360" w:lineRule="auto"/>
        <w:jc w:val="center"/>
        <w:rPr>
          <w:color w:val="000000"/>
          <w:kern w:val="0"/>
          <w:sz w:val="24"/>
          <w:szCs w:val="24"/>
        </w:rPr>
      </w:pPr>
      <w:r w:rsidRPr="003D3F8A">
        <w:rPr>
          <w:color w:val="000000"/>
          <w:kern w:val="0"/>
          <w:sz w:val="24"/>
          <w:szCs w:val="24"/>
        </w:rPr>
        <w:t xml:space="preserve">§8  </w:t>
      </w:r>
      <w:r w:rsidRPr="003D3F8A">
        <w:rPr>
          <w:color w:val="000000"/>
          <w:kern w:val="0"/>
          <w:sz w:val="24"/>
          <w:szCs w:val="24"/>
        </w:rPr>
        <w:t>备查文件目录</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8.1</w:t>
      </w:r>
      <w:r w:rsidRPr="003D3F8A">
        <w:rPr>
          <w:b/>
          <w:bCs/>
          <w:color w:val="000000"/>
          <w:kern w:val="0"/>
          <w:szCs w:val="21"/>
        </w:rPr>
        <w:t>备查文件目录</w:t>
      </w:r>
    </w:p>
    <w:p w:rsidR="00CA0B90" w:rsidRPr="003D3F8A" w:rsidRDefault="004B7CED">
      <w:pPr>
        <w:spacing w:line="360" w:lineRule="auto"/>
        <w:rPr>
          <w:color w:val="000000"/>
          <w:szCs w:val="21"/>
        </w:rPr>
      </w:pPr>
      <w:r w:rsidRPr="003D3F8A">
        <w:rPr>
          <w:color w:val="000000"/>
          <w:szCs w:val="21"/>
        </w:rPr>
        <w:t>1</w:t>
      </w:r>
      <w:r w:rsidRPr="003D3F8A">
        <w:rPr>
          <w:color w:val="000000"/>
          <w:szCs w:val="21"/>
        </w:rPr>
        <w:t>、中国证监会批准中银薪钱包货币市场基金募集的文件；</w:t>
      </w:r>
    </w:p>
    <w:p w:rsidR="00CA0B90" w:rsidRPr="003D3F8A" w:rsidRDefault="004B7CED">
      <w:pPr>
        <w:spacing w:line="360" w:lineRule="auto"/>
        <w:rPr>
          <w:color w:val="000000"/>
          <w:szCs w:val="21"/>
        </w:rPr>
      </w:pPr>
      <w:r w:rsidRPr="003D3F8A">
        <w:rPr>
          <w:color w:val="000000"/>
          <w:szCs w:val="21"/>
        </w:rPr>
        <w:t>2</w:t>
      </w:r>
      <w:r w:rsidRPr="003D3F8A">
        <w:rPr>
          <w:color w:val="000000"/>
          <w:szCs w:val="21"/>
        </w:rPr>
        <w:t>、《中银薪钱包货币市场基金基金合同》；</w:t>
      </w:r>
    </w:p>
    <w:p w:rsidR="00CA0B90" w:rsidRPr="003D3F8A" w:rsidRDefault="004B7CED">
      <w:pPr>
        <w:spacing w:line="360" w:lineRule="auto"/>
        <w:rPr>
          <w:color w:val="000000"/>
          <w:szCs w:val="21"/>
        </w:rPr>
      </w:pPr>
      <w:r w:rsidRPr="003D3F8A">
        <w:rPr>
          <w:color w:val="000000"/>
          <w:szCs w:val="21"/>
        </w:rPr>
        <w:t>3</w:t>
      </w:r>
      <w:r w:rsidRPr="003D3F8A">
        <w:rPr>
          <w:color w:val="000000"/>
          <w:szCs w:val="21"/>
        </w:rPr>
        <w:t>、《中银薪钱包货币市场基金招募说明书》；</w:t>
      </w:r>
    </w:p>
    <w:p w:rsidR="00CA0B90" w:rsidRPr="003D3F8A" w:rsidRDefault="004B7CED">
      <w:pPr>
        <w:spacing w:line="360" w:lineRule="auto"/>
        <w:rPr>
          <w:color w:val="000000"/>
          <w:szCs w:val="21"/>
        </w:rPr>
      </w:pPr>
      <w:r w:rsidRPr="003D3F8A">
        <w:rPr>
          <w:color w:val="000000"/>
          <w:szCs w:val="21"/>
        </w:rPr>
        <w:t>4</w:t>
      </w:r>
      <w:r w:rsidRPr="003D3F8A">
        <w:rPr>
          <w:color w:val="000000"/>
          <w:szCs w:val="21"/>
        </w:rPr>
        <w:t>、《中银薪钱包货币市场基金托管协议》；</w:t>
      </w:r>
    </w:p>
    <w:p w:rsidR="00CA0B90" w:rsidRPr="003D3F8A" w:rsidRDefault="004B7CED">
      <w:pPr>
        <w:spacing w:line="360" w:lineRule="auto"/>
        <w:rPr>
          <w:color w:val="000000"/>
          <w:szCs w:val="21"/>
        </w:rPr>
      </w:pPr>
      <w:r w:rsidRPr="003D3F8A">
        <w:rPr>
          <w:color w:val="000000"/>
          <w:szCs w:val="21"/>
        </w:rPr>
        <w:t>5</w:t>
      </w:r>
      <w:r w:rsidRPr="003D3F8A">
        <w:rPr>
          <w:color w:val="000000"/>
          <w:szCs w:val="21"/>
        </w:rPr>
        <w:t>、法律意见书；</w:t>
      </w:r>
    </w:p>
    <w:p w:rsidR="00CA0B90" w:rsidRPr="003D3F8A" w:rsidRDefault="004B7CED">
      <w:pPr>
        <w:spacing w:line="360" w:lineRule="auto"/>
        <w:rPr>
          <w:color w:val="000000"/>
          <w:szCs w:val="21"/>
        </w:rPr>
      </w:pPr>
      <w:r w:rsidRPr="003D3F8A">
        <w:rPr>
          <w:color w:val="000000"/>
          <w:szCs w:val="21"/>
        </w:rPr>
        <w:t>6</w:t>
      </w:r>
      <w:r w:rsidRPr="003D3F8A">
        <w:rPr>
          <w:color w:val="000000"/>
          <w:szCs w:val="21"/>
        </w:rPr>
        <w:t>、基金管理人业务资格批件、营业执照；</w:t>
      </w:r>
    </w:p>
    <w:p w:rsidR="00CA0B90" w:rsidRPr="003D3F8A" w:rsidRDefault="004B7CED">
      <w:pPr>
        <w:spacing w:line="360" w:lineRule="auto"/>
        <w:rPr>
          <w:color w:val="000000"/>
          <w:szCs w:val="21"/>
        </w:rPr>
      </w:pPr>
      <w:r w:rsidRPr="003D3F8A">
        <w:rPr>
          <w:color w:val="000000"/>
          <w:szCs w:val="21"/>
        </w:rPr>
        <w:t>7</w:t>
      </w:r>
      <w:r w:rsidRPr="003D3F8A">
        <w:rPr>
          <w:color w:val="000000"/>
          <w:szCs w:val="21"/>
        </w:rPr>
        <w:t>、基金托管人业务资格批件、营业执照；</w:t>
      </w:r>
    </w:p>
    <w:p w:rsidR="00CA0B90" w:rsidRPr="003D3F8A" w:rsidRDefault="004B7CED">
      <w:pPr>
        <w:spacing w:line="360" w:lineRule="auto"/>
        <w:rPr>
          <w:color w:val="000000"/>
          <w:szCs w:val="21"/>
        </w:rPr>
      </w:pPr>
      <w:r w:rsidRPr="003D3F8A">
        <w:rPr>
          <w:color w:val="000000"/>
          <w:szCs w:val="21"/>
        </w:rPr>
        <w:t>8</w:t>
      </w:r>
      <w:r w:rsidRPr="003D3F8A">
        <w:rPr>
          <w:color w:val="000000"/>
          <w:szCs w:val="21"/>
        </w:rPr>
        <w:t>、报告期内在指定报刊上披露的各项公告；</w:t>
      </w:r>
    </w:p>
    <w:p w:rsidR="00CA0B90" w:rsidRPr="003D3F8A" w:rsidRDefault="004B7CED">
      <w:pPr>
        <w:spacing w:line="360" w:lineRule="auto"/>
        <w:rPr>
          <w:color w:val="000000"/>
          <w:szCs w:val="21"/>
        </w:rPr>
      </w:pPr>
      <w:r w:rsidRPr="003D3F8A">
        <w:rPr>
          <w:color w:val="000000"/>
          <w:szCs w:val="21"/>
        </w:rPr>
        <w:t>9</w:t>
      </w:r>
      <w:r w:rsidRPr="003D3F8A">
        <w:rPr>
          <w:color w:val="000000"/>
          <w:szCs w:val="21"/>
        </w:rPr>
        <w:t>、中国证监会要求的其他文件。</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8.2</w:t>
      </w:r>
      <w:r w:rsidRPr="003D3F8A">
        <w:rPr>
          <w:b/>
          <w:bCs/>
          <w:color w:val="000000"/>
          <w:kern w:val="0"/>
          <w:szCs w:val="21"/>
        </w:rPr>
        <w:t>存放地点</w:t>
      </w:r>
    </w:p>
    <w:p w:rsidR="00CA0B90" w:rsidRPr="003D3F8A" w:rsidRDefault="004B7CED">
      <w:pPr>
        <w:spacing w:line="360" w:lineRule="auto"/>
        <w:rPr>
          <w:color w:val="000000"/>
          <w:szCs w:val="21"/>
        </w:rPr>
      </w:pPr>
      <w:r w:rsidRPr="003D3F8A">
        <w:rPr>
          <w:color w:val="000000"/>
          <w:szCs w:val="21"/>
        </w:rPr>
        <w:t>基金管理人和基金托管人的住所，并登载于基金管理人网站</w:t>
      </w:r>
      <w:r w:rsidRPr="003D3F8A">
        <w:rPr>
          <w:color w:val="000000"/>
          <w:szCs w:val="21"/>
        </w:rPr>
        <w:t>www.bocim.com</w:t>
      </w:r>
      <w:r w:rsidRPr="003D3F8A">
        <w:rPr>
          <w:color w:val="000000"/>
          <w:szCs w:val="21"/>
        </w:rPr>
        <w:t>。</w:t>
      </w:r>
    </w:p>
    <w:p w:rsidR="00CA0B90" w:rsidRPr="003D3F8A" w:rsidRDefault="004B7CED">
      <w:pPr>
        <w:autoSpaceDE w:val="0"/>
        <w:autoSpaceDN w:val="0"/>
        <w:adjustRightInd w:val="0"/>
        <w:spacing w:line="360" w:lineRule="auto"/>
        <w:jc w:val="left"/>
        <w:rPr>
          <w:b/>
          <w:bCs/>
          <w:color w:val="000000"/>
          <w:kern w:val="0"/>
          <w:szCs w:val="21"/>
        </w:rPr>
      </w:pPr>
      <w:r w:rsidRPr="003D3F8A">
        <w:rPr>
          <w:b/>
          <w:bCs/>
          <w:color w:val="000000"/>
          <w:kern w:val="0"/>
          <w:szCs w:val="21"/>
        </w:rPr>
        <w:t>8.3</w:t>
      </w:r>
      <w:r w:rsidRPr="003D3F8A">
        <w:rPr>
          <w:b/>
          <w:bCs/>
          <w:color w:val="000000"/>
          <w:kern w:val="0"/>
          <w:szCs w:val="21"/>
        </w:rPr>
        <w:t>查阅方式</w:t>
      </w:r>
    </w:p>
    <w:p w:rsidR="00CA0B90" w:rsidRPr="003D3F8A" w:rsidRDefault="004B7CED">
      <w:pPr>
        <w:spacing w:line="360" w:lineRule="auto"/>
        <w:rPr>
          <w:color w:val="000000"/>
          <w:szCs w:val="21"/>
        </w:rPr>
      </w:pPr>
      <w:r w:rsidRPr="003D3F8A">
        <w:rPr>
          <w:color w:val="000000"/>
          <w:szCs w:val="21"/>
        </w:rPr>
        <w:t>投资者可以在开放时间内至基金管理人或基金托管人住所免费查阅，也可登陆基金管理人网站</w:t>
      </w:r>
      <w:r w:rsidRPr="003D3F8A">
        <w:rPr>
          <w:color w:val="000000"/>
          <w:szCs w:val="21"/>
        </w:rPr>
        <w:t>www.bocim.com</w:t>
      </w:r>
      <w:r w:rsidRPr="003D3F8A">
        <w:rPr>
          <w:color w:val="000000"/>
          <w:szCs w:val="21"/>
        </w:rPr>
        <w:t>查阅。</w:t>
      </w: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CA0B90">
      <w:pPr>
        <w:spacing w:line="360" w:lineRule="auto"/>
        <w:ind w:left="840"/>
        <w:jc w:val="right"/>
        <w:rPr>
          <w:color w:val="000000"/>
          <w:sz w:val="24"/>
        </w:rPr>
      </w:pPr>
    </w:p>
    <w:p w:rsidR="00CA0B90" w:rsidRPr="003D3F8A" w:rsidRDefault="004B7CED">
      <w:pPr>
        <w:spacing w:line="360" w:lineRule="auto"/>
        <w:jc w:val="right"/>
        <w:rPr>
          <w:b/>
          <w:bCs/>
          <w:sz w:val="24"/>
        </w:rPr>
      </w:pPr>
      <w:r w:rsidRPr="003D3F8A">
        <w:rPr>
          <w:b/>
          <w:bCs/>
          <w:sz w:val="24"/>
        </w:rPr>
        <w:t>中银基金管理有限公司</w:t>
      </w:r>
    </w:p>
    <w:p w:rsidR="00CA0B90" w:rsidRPr="003D3F8A" w:rsidRDefault="004B7CED">
      <w:pPr>
        <w:spacing w:line="360" w:lineRule="auto"/>
        <w:jc w:val="right"/>
        <w:rPr>
          <w:b/>
          <w:bCs/>
          <w:sz w:val="24"/>
        </w:rPr>
      </w:pPr>
      <w:r w:rsidRPr="003D3F8A">
        <w:rPr>
          <w:b/>
          <w:bCs/>
          <w:sz w:val="24"/>
        </w:rPr>
        <w:t>二〇</w:t>
      </w:r>
      <w:bookmarkStart w:id="0" w:name="_GoBack"/>
      <w:bookmarkEnd w:id="0"/>
      <w:r w:rsidRPr="003D3F8A">
        <w:rPr>
          <w:b/>
          <w:bCs/>
          <w:sz w:val="24"/>
        </w:rPr>
        <w:t>一九年一月二十二日</w:t>
      </w:r>
    </w:p>
    <w:sectPr w:rsidR="00CA0B90" w:rsidRPr="003D3F8A" w:rsidSect="000E4FC5">
      <w:pgSz w:w="11926" w:h="15840"/>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ED" w:rsidRDefault="004B7CED">
      <w:r>
        <w:separator/>
      </w:r>
    </w:p>
  </w:endnote>
  <w:endnote w:type="continuationSeparator" w:id="1">
    <w:p w:rsidR="004B7CED" w:rsidRDefault="004B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90" w:rsidRDefault="004B7CED">
    <w:pPr>
      <w:pStyle w:val="a8"/>
      <w:jc w:val="center"/>
    </w:pPr>
    <w:r>
      <w:rPr>
        <w:rFonts w:hint="eastAsia"/>
        <w:kern w:val="0"/>
        <w:szCs w:val="21"/>
      </w:rPr>
      <w:t>第</w:t>
    </w:r>
    <w:r w:rsidR="000E4FC5">
      <w:rPr>
        <w:kern w:val="0"/>
        <w:szCs w:val="21"/>
      </w:rPr>
      <w:fldChar w:fldCharType="begin"/>
    </w:r>
    <w:r>
      <w:rPr>
        <w:kern w:val="0"/>
        <w:szCs w:val="21"/>
      </w:rPr>
      <w:instrText xml:space="preserve"> PAGE </w:instrText>
    </w:r>
    <w:r w:rsidR="000E4FC5">
      <w:rPr>
        <w:kern w:val="0"/>
        <w:szCs w:val="21"/>
      </w:rPr>
      <w:fldChar w:fldCharType="separate"/>
    </w:r>
    <w:r w:rsidR="00BD4EA5">
      <w:rPr>
        <w:noProof/>
        <w:kern w:val="0"/>
        <w:szCs w:val="21"/>
      </w:rPr>
      <w:t>1</w:t>
    </w:r>
    <w:r w:rsidR="000E4FC5">
      <w:rPr>
        <w:kern w:val="0"/>
        <w:szCs w:val="21"/>
      </w:rPr>
      <w:fldChar w:fldCharType="end"/>
    </w:r>
    <w:r>
      <w:rPr>
        <w:rFonts w:hint="eastAsia"/>
        <w:kern w:val="0"/>
        <w:szCs w:val="21"/>
      </w:rPr>
      <w:t>页共</w:t>
    </w:r>
    <w:r w:rsidR="000E4FC5">
      <w:rPr>
        <w:kern w:val="0"/>
        <w:szCs w:val="21"/>
      </w:rPr>
      <w:fldChar w:fldCharType="begin"/>
    </w:r>
    <w:r>
      <w:rPr>
        <w:kern w:val="0"/>
        <w:szCs w:val="21"/>
      </w:rPr>
      <w:instrText xml:space="preserve"> NUMPAGES </w:instrText>
    </w:r>
    <w:r w:rsidR="000E4FC5">
      <w:rPr>
        <w:kern w:val="0"/>
        <w:szCs w:val="21"/>
      </w:rPr>
      <w:fldChar w:fldCharType="separate"/>
    </w:r>
    <w:r w:rsidR="00BD4EA5">
      <w:rPr>
        <w:noProof/>
        <w:kern w:val="0"/>
        <w:szCs w:val="21"/>
      </w:rPr>
      <w:t>1</w:t>
    </w:r>
    <w:r w:rsidR="000E4FC5">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ED" w:rsidRDefault="004B7CED">
      <w:r>
        <w:separator/>
      </w:r>
    </w:p>
  </w:footnote>
  <w:footnote w:type="continuationSeparator" w:id="1">
    <w:p w:rsidR="004B7CED" w:rsidRDefault="004B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90" w:rsidRDefault="004B7CED">
    <w:pPr>
      <w:pStyle w:val="a9"/>
      <w:pBdr>
        <w:bottom w:val="single" w:sz="6" w:space="0" w:color="auto"/>
      </w:pBdr>
      <w:jc w:val="right"/>
    </w:pPr>
    <w:r>
      <w:rPr>
        <w:sz w:val="21"/>
        <w:szCs w:val="21"/>
      </w:rPr>
      <w:t>中银薪钱包货币市场基金</w:t>
    </w:r>
    <w:r>
      <w:rPr>
        <w:sz w:val="21"/>
        <w:szCs w:val="21"/>
      </w:rPr>
      <w:t>2018</w:t>
    </w:r>
    <w:r>
      <w:rPr>
        <w:sz w:val="21"/>
        <w:szCs w:val="21"/>
      </w:rPr>
      <w:t>年第</w:t>
    </w:r>
    <w:r>
      <w:rPr>
        <w:sz w:val="21"/>
        <w:szCs w:val="21"/>
      </w:rPr>
      <w:t>4</w:t>
    </w:r>
    <w:r>
      <w:rPr>
        <w:sz w:val="21"/>
        <w:szCs w:val="21"/>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9FB"/>
    <w:rsid w:val="000D473B"/>
    <w:rsid w:val="000E4FC5"/>
    <w:rsid w:val="00157BE3"/>
    <w:rsid w:val="0016595E"/>
    <w:rsid w:val="001C70F8"/>
    <w:rsid w:val="001D4BEB"/>
    <w:rsid w:val="00222A8A"/>
    <w:rsid w:val="00224945"/>
    <w:rsid w:val="002502D2"/>
    <w:rsid w:val="00282198"/>
    <w:rsid w:val="00290FEB"/>
    <w:rsid w:val="00294E8D"/>
    <w:rsid w:val="00314758"/>
    <w:rsid w:val="0031786B"/>
    <w:rsid w:val="003446A9"/>
    <w:rsid w:val="003D3F8A"/>
    <w:rsid w:val="003E2D32"/>
    <w:rsid w:val="00427CB0"/>
    <w:rsid w:val="00447D79"/>
    <w:rsid w:val="00464303"/>
    <w:rsid w:val="004B0228"/>
    <w:rsid w:val="004B7CED"/>
    <w:rsid w:val="004D2235"/>
    <w:rsid w:val="004F39FB"/>
    <w:rsid w:val="00505839"/>
    <w:rsid w:val="005068D8"/>
    <w:rsid w:val="006C5C39"/>
    <w:rsid w:val="007027B9"/>
    <w:rsid w:val="00710145"/>
    <w:rsid w:val="007A150A"/>
    <w:rsid w:val="008015CB"/>
    <w:rsid w:val="00815FE7"/>
    <w:rsid w:val="008B2292"/>
    <w:rsid w:val="008D241A"/>
    <w:rsid w:val="008D7D7C"/>
    <w:rsid w:val="008F3F23"/>
    <w:rsid w:val="00931873"/>
    <w:rsid w:val="009621A8"/>
    <w:rsid w:val="00972C32"/>
    <w:rsid w:val="00983574"/>
    <w:rsid w:val="00995804"/>
    <w:rsid w:val="009B7095"/>
    <w:rsid w:val="009F0770"/>
    <w:rsid w:val="00A12866"/>
    <w:rsid w:val="00A658DA"/>
    <w:rsid w:val="00A9244F"/>
    <w:rsid w:val="00BA3E07"/>
    <w:rsid w:val="00BA512E"/>
    <w:rsid w:val="00BD4EA5"/>
    <w:rsid w:val="00C259C7"/>
    <w:rsid w:val="00C32B5E"/>
    <w:rsid w:val="00C47851"/>
    <w:rsid w:val="00C728A2"/>
    <w:rsid w:val="00C7572F"/>
    <w:rsid w:val="00CA0B90"/>
    <w:rsid w:val="00CB0AB4"/>
    <w:rsid w:val="00CB6A28"/>
    <w:rsid w:val="00CD1963"/>
    <w:rsid w:val="00CE7509"/>
    <w:rsid w:val="00D16A85"/>
    <w:rsid w:val="00D23357"/>
    <w:rsid w:val="00D326F2"/>
    <w:rsid w:val="00D43ACE"/>
    <w:rsid w:val="00D844ED"/>
    <w:rsid w:val="00DA06F5"/>
    <w:rsid w:val="00DD4E97"/>
    <w:rsid w:val="00E939E4"/>
    <w:rsid w:val="00EB71DB"/>
    <w:rsid w:val="00F35A7A"/>
    <w:rsid w:val="00F673F8"/>
    <w:rsid w:val="00FA3CB9"/>
    <w:rsid w:val="27807AC6"/>
    <w:rsid w:val="2EA04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Date" w:qFormat="1"/>
    <w:lsdException w:name="Body Text Indent 2" w:qFormat="1"/>
    <w:lsdException w:name="Body Text Indent 3" w:qFormat="1"/>
    <w:lsdException w:name="Strong" w:qFormat="1"/>
    <w:lsdException w:name="Emphasis" w:qFormat="1"/>
    <w:lsdException w:name="Document Map" w:semiHidden="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FC5"/>
    <w:pPr>
      <w:widowControl w:val="0"/>
      <w:jc w:val="both"/>
    </w:pPr>
    <w:rPr>
      <w:kern w:val="2"/>
      <w:sz w:val="21"/>
      <w:szCs w:val="24"/>
    </w:rPr>
  </w:style>
  <w:style w:type="paragraph" w:styleId="1">
    <w:name w:val="heading 1"/>
    <w:basedOn w:val="a"/>
    <w:next w:val="a"/>
    <w:link w:val="1Char"/>
    <w:uiPriority w:val="99"/>
    <w:qFormat/>
    <w:rsid w:val="000E4FC5"/>
    <w:pPr>
      <w:keepNext/>
      <w:keepLines/>
      <w:spacing w:before="340" w:after="330" w:line="578" w:lineRule="auto"/>
      <w:outlineLvl w:val="0"/>
    </w:pPr>
    <w:rPr>
      <w:b/>
      <w:bCs/>
      <w:kern w:val="44"/>
      <w:sz w:val="44"/>
      <w:szCs w:val="44"/>
    </w:rPr>
  </w:style>
  <w:style w:type="paragraph" w:styleId="2">
    <w:name w:val="heading 2"/>
    <w:basedOn w:val="a"/>
    <w:next w:val="a0"/>
    <w:qFormat/>
    <w:rsid w:val="000E4FC5"/>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E4FC5"/>
    <w:pPr>
      <w:ind w:firstLineChars="200" w:firstLine="420"/>
    </w:pPr>
  </w:style>
  <w:style w:type="paragraph" w:styleId="a4">
    <w:name w:val="Document Map"/>
    <w:basedOn w:val="a"/>
    <w:semiHidden/>
    <w:rsid w:val="000E4FC5"/>
    <w:pPr>
      <w:shd w:val="clear" w:color="auto" w:fill="000080"/>
    </w:pPr>
  </w:style>
  <w:style w:type="paragraph" w:styleId="a5">
    <w:name w:val="Plain Text"/>
    <w:basedOn w:val="a"/>
    <w:link w:val="Char"/>
    <w:uiPriority w:val="99"/>
    <w:qFormat/>
    <w:rsid w:val="000E4FC5"/>
    <w:rPr>
      <w:rFonts w:ascii="宋体" w:hAnsi="Courier New"/>
      <w:szCs w:val="21"/>
    </w:rPr>
  </w:style>
  <w:style w:type="paragraph" w:styleId="a6">
    <w:name w:val="Date"/>
    <w:basedOn w:val="a"/>
    <w:next w:val="a"/>
    <w:link w:val="Char0"/>
    <w:qFormat/>
    <w:rsid w:val="000E4FC5"/>
    <w:rPr>
      <w:sz w:val="24"/>
      <w:szCs w:val="20"/>
    </w:rPr>
  </w:style>
  <w:style w:type="paragraph" w:styleId="20">
    <w:name w:val="Body Text Indent 2"/>
    <w:basedOn w:val="a"/>
    <w:qFormat/>
    <w:rsid w:val="000E4FC5"/>
    <w:pPr>
      <w:spacing w:line="560" w:lineRule="exact"/>
      <w:ind w:firstLineChars="200" w:firstLine="480"/>
    </w:pPr>
    <w:rPr>
      <w:rFonts w:ascii="宋体" w:hAnsi="宋体"/>
      <w:color w:val="FF0000"/>
      <w:sz w:val="24"/>
    </w:rPr>
  </w:style>
  <w:style w:type="paragraph" w:styleId="a7">
    <w:name w:val="Balloon Text"/>
    <w:basedOn w:val="a"/>
    <w:link w:val="Char1"/>
    <w:qFormat/>
    <w:rsid w:val="000E4FC5"/>
    <w:rPr>
      <w:sz w:val="18"/>
      <w:szCs w:val="18"/>
    </w:rPr>
  </w:style>
  <w:style w:type="paragraph" w:styleId="a8">
    <w:name w:val="footer"/>
    <w:basedOn w:val="a"/>
    <w:qFormat/>
    <w:rsid w:val="000E4FC5"/>
    <w:pPr>
      <w:tabs>
        <w:tab w:val="center" w:pos="4153"/>
        <w:tab w:val="right" w:pos="8306"/>
      </w:tabs>
      <w:snapToGrid w:val="0"/>
      <w:jc w:val="left"/>
    </w:pPr>
    <w:rPr>
      <w:sz w:val="18"/>
      <w:szCs w:val="18"/>
    </w:rPr>
  </w:style>
  <w:style w:type="paragraph" w:styleId="a9">
    <w:name w:val="header"/>
    <w:basedOn w:val="a"/>
    <w:link w:val="Char2"/>
    <w:uiPriority w:val="99"/>
    <w:qFormat/>
    <w:rsid w:val="000E4FC5"/>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3"/>
    <w:qFormat/>
    <w:rsid w:val="000E4FC5"/>
    <w:pPr>
      <w:snapToGrid w:val="0"/>
      <w:jc w:val="left"/>
    </w:pPr>
    <w:rPr>
      <w:sz w:val="18"/>
      <w:szCs w:val="18"/>
    </w:rPr>
  </w:style>
  <w:style w:type="paragraph" w:styleId="3">
    <w:name w:val="Body Text Indent 3"/>
    <w:basedOn w:val="a"/>
    <w:qFormat/>
    <w:rsid w:val="000E4FC5"/>
    <w:pPr>
      <w:spacing w:after="120"/>
      <w:ind w:leftChars="200" w:left="420"/>
    </w:pPr>
    <w:rPr>
      <w:sz w:val="16"/>
      <w:szCs w:val="16"/>
    </w:rPr>
  </w:style>
  <w:style w:type="paragraph" w:styleId="ab">
    <w:name w:val="Normal (Web)"/>
    <w:basedOn w:val="a"/>
    <w:qFormat/>
    <w:rsid w:val="000E4FC5"/>
    <w:pPr>
      <w:widowControl/>
      <w:spacing w:before="100" w:beforeAutospacing="1" w:after="100" w:afterAutospacing="1"/>
    </w:pPr>
    <w:rPr>
      <w:rFonts w:ascii="宋体" w:hAnsi="宋体"/>
      <w:kern w:val="0"/>
      <w:sz w:val="24"/>
      <w:szCs w:val="20"/>
    </w:rPr>
  </w:style>
  <w:style w:type="character" w:styleId="ac">
    <w:name w:val="footnote reference"/>
    <w:qFormat/>
    <w:rsid w:val="000E4FC5"/>
    <w:rPr>
      <w:vertAlign w:val="superscript"/>
    </w:rPr>
  </w:style>
  <w:style w:type="table" w:styleId="ad">
    <w:name w:val="Table Grid"/>
    <w:basedOn w:val="a2"/>
    <w:qFormat/>
    <w:rsid w:val="000E4F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qFormat/>
    <w:rsid w:val="000E4FC5"/>
  </w:style>
  <w:style w:type="character" w:customStyle="1" w:styleId="Char">
    <w:name w:val="纯文本 Char"/>
    <w:link w:val="a5"/>
    <w:uiPriority w:val="99"/>
    <w:qFormat/>
    <w:rsid w:val="000E4FC5"/>
    <w:rPr>
      <w:rFonts w:ascii="宋体" w:hAnsi="Courier New"/>
      <w:kern w:val="2"/>
      <w:sz w:val="21"/>
      <w:szCs w:val="21"/>
    </w:rPr>
  </w:style>
  <w:style w:type="character" w:customStyle="1" w:styleId="Char3">
    <w:name w:val="脚注文本 Char"/>
    <w:link w:val="aa"/>
    <w:qFormat/>
    <w:rsid w:val="000E4FC5"/>
    <w:rPr>
      <w:kern w:val="2"/>
      <w:sz w:val="18"/>
      <w:szCs w:val="18"/>
    </w:rPr>
  </w:style>
  <w:style w:type="character" w:customStyle="1" w:styleId="Char1">
    <w:name w:val="批注框文本 Char"/>
    <w:link w:val="a7"/>
    <w:qFormat/>
    <w:rsid w:val="000E4FC5"/>
    <w:rPr>
      <w:kern w:val="2"/>
      <w:sz w:val="18"/>
      <w:szCs w:val="18"/>
    </w:rPr>
  </w:style>
  <w:style w:type="character" w:customStyle="1" w:styleId="Char2">
    <w:name w:val="页眉 Char"/>
    <w:link w:val="a9"/>
    <w:uiPriority w:val="99"/>
    <w:qFormat/>
    <w:rsid w:val="000E4FC5"/>
    <w:rPr>
      <w:kern w:val="2"/>
      <w:sz w:val="18"/>
      <w:szCs w:val="18"/>
    </w:rPr>
  </w:style>
  <w:style w:type="character" w:customStyle="1" w:styleId="1Char">
    <w:name w:val="标题 1 Char"/>
    <w:link w:val="1"/>
    <w:uiPriority w:val="99"/>
    <w:qFormat/>
    <w:rsid w:val="000E4FC5"/>
    <w:rPr>
      <w:b/>
      <w:bCs/>
      <w:kern w:val="44"/>
      <w:sz w:val="44"/>
      <w:szCs w:val="44"/>
    </w:rPr>
  </w:style>
  <w:style w:type="character" w:customStyle="1" w:styleId="Char0">
    <w:name w:val="日期 Char"/>
    <w:link w:val="a6"/>
    <w:qFormat/>
    <w:rsid w:val="000E4FC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6922</Characters>
  <Application>Microsoft Office Word</Application>
  <DocSecurity>4</DocSecurity>
  <Lines>57</Lines>
  <Paragraphs>16</Paragraphs>
  <ScaleCrop>false</ScaleCrop>
  <Company>jysld</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{cfid-fgi_JiJinMingCheng}</dc:title>
  <dc:creator>Administrator</dc:creator>
  <cp:lastModifiedBy>ZHONGM</cp:lastModifiedBy>
  <cp:revision>2</cp:revision>
  <cp:lastPrinted>2019-01-21T09:14:00Z</cp:lastPrinted>
  <dcterms:created xsi:type="dcterms:W3CDTF">2019-01-21T16:10:00Z</dcterms:created>
  <dcterms:modified xsi:type="dcterms:W3CDTF">2019-01-21T16:10:00Z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