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06" w:rsidRDefault="0012560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125606" w:rsidRDefault="0012560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125606" w:rsidRDefault="0012560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125606" w:rsidRDefault="0012560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125606" w:rsidRDefault="0012560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125606" w:rsidRDefault="00954D72">
      <w:pPr>
        <w:spacing w:line="360" w:lineRule="auto"/>
        <w:jc w:val="center"/>
        <w:rPr>
          <w:b/>
          <w:color w:val="000000" w:themeColor="text1"/>
          <w:sz w:val="32"/>
          <w:szCs w:val="32"/>
        </w:rPr>
      </w:pPr>
      <w:r>
        <w:rPr>
          <w:b/>
          <w:color w:val="000000" w:themeColor="text1"/>
          <w:sz w:val="32"/>
          <w:szCs w:val="32"/>
        </w:rPr>
        <w:t>上投摩根岁岁盈定期开放债券型证券投资基金</w:t>
      </w:r>
    </w:p>
    <w:p w:rsidR="00125606" w:rsidRDefault="00954D72">
      <w:pPr>
        <w:spacing w:line="360" w:lineRule="auto"/>
        <w:jc w:val="center"/>
        <w:rPr>
          <w:b/>
          <w:color w:val="000000" w:themeColor="text1"/>
          <w:sz w:val="32"/>
          <w:szCs w:val="32"/>
        </w:rPr>
      </w:pPr>
      <w:r>
        <w:rPr>
          <w:b/>
          <w:color w:val="000000" w:themeColor="text1"/>
          <w:sz w:val="32"/>
          <w:szCs w:val="32"/>
        </w:rPr>
        <w:t>2018</w:t>
      </w:r>
      <w:r>
        <w:rPr>
          <w:b/>
          <w:color w:val="000000" w:themeColor="text1"/>
          <w:sz w:val="32"/>
          <w:szCs w:val="32"/>
        </w:rPr>
        <w:t>年第</w:t>
      </w:r>
      <w:r>
        <w:rPr>
          <w:b/>
          <w:color w:val="000000" w:themeColor="text1"/>
          <w:sz w:val="32"/>
          <w:szCs w:val="32"/>
        </w:rPr>
        <w:t>4</w:t>
      </w:r>
      <w:r>
        <w:rPr>
          <w:b/>
          <w:color w:val="000000" w:themeColor="text1"/>
          <w:sz w:val="32"/>
          <w:szCs w:val="32"/>
        </w:rPr>
        <w:t>季度报告</w:t>
      </w:r>
    </w:p>
    <w:p w:rsidR="00125606" w:rsidRDefault="00954D72">
      <w:pPr>
        <w:spacing w:line="360" w:lineRule="auto"/>
        <w:jc w:val="center"/>
        <w:rPr>
          <w:b/>
          <w:color w:val="000000" w:themeColor="text1"/>
          <w:sz w:val="32"/>
          <w:szCs w:val="32"/>
        </w:rPr>
      </w:pPr>
      <w:r>
        <w:rPr>
          <w:b/>
          <w:color w:val="000000" w:themeColor="text1"/>
          <w:sz w:val="32"/>
          <w:szCs w:val="32"/>
        </w:rPr>
        <w:t>2018</w:t>
      </w:r>
      <w:r>
        <w:rPr>
          <w:b/>
          <w:color w:val="000000" w:themeColor="text1"/>
          <w:sz w:val="32"/>
          <w:szCs w:val="32"/>
        </w:rPr>
        <w:t>年</w:t>
      </w:r>
      <w:r>
        <w:rPr>
          <w:b/>
          <w:color w:val="000000" w:themeColor="text1"/>
          <w:sz w:val="32"/>
          <w:szCs w:val="32"/>
        </w:rPr>
        <w:t>12</w:t>
      </w:r>
      <w:r>
        <w:rPr>
          <w:b/>
          <w:color w:val="000000" w:themeColor="text1"/>
          <w:sz w:val="32"/>
          <w:szCs w:val="32"/>
        </w:rPr>
        <w:t>月</w:t>
      </w:r>
      <w:r>
        <w:rPr>
          <w:b/>
          <w:color w:val="000000" w:themeColor="text1"/>
          <w:sz w:val="32"/>
          <w:szCs w:val="32"/>
        </w:rPr>
        <w:t>31</w:t>
      </w:r>
      <w:r>
        <w:rPr>
          <w:b/>
          <w:color w:val="000000" w:themeColor="text1"/>
          <w:sz w:val="32"/>
          <w:szCs w:val="32"/>
        </w:rPr>
        <w:t>日</w:t>
      </w:r>
    </w:p>
    <w:p w:rsidR="00125606" w:rsidRDefault="00125606">
      <w:pPr>
        <w:spacing w:line="360" w:lineRule="auto"/>
        <w:jc w:val="left"/>
        <w:rPr>
          <w:rFonts w:asciiTheme="minorEastAsia" w:eastAsiaTheme="minorEastAsia" w:hAnsiTheme="minorEastAsia"/>
          <w:b/>
          <w:color w:val="000000" w:themeColor="text1"/>
          <w:sz w:val="24"/>
        </w:rPr>
      </w:pPr>
    </w:p>
    <w:p w:rsidR="00125606" w:rsidRDefault="00125606">
      <w:pPr>
        <w:spacing w:line="360" w:lineRule="auto"/>
        <w:jc w:val="left"/>
        <w:rPr>
          <w:rFonts w:asciiTheme="minorEastAsia" w:eastAsiaTheme="minorEastAsia" w:hAnsiTheme="minorEastAsia"/>
          <w:b/>
          <w:color w:val="000000" w:themeColor="text1"/>
          <w:sz w:val="24"/>
        </w:rPr>
      </w:pPr>
    </w:p>
    <w:p w:rsidR="00125606" w:rsidRDefault="00125606">
      <w:pPr>
        <w:spacing w:line="360" w:lineRule="auto"/>
        <w:jc w:val="left"/>
        <w:rPr>
          <w:rFonts w:asciiTheme="minorEastAsia" w:eastAsiaTheme="minorEastAsia" w:hAnsiTheme="minorEastAsia"/>
          <w:b/>
          <w:color w:val="000000" w:themeColor="text1"/>
          <w:sz w:val="24"/>
        </w:rPr>
      </w:pPr>
    </w:p>
    <w:p w:rsidR="00125606" w:rsidRDefault="00125606">
      <w:pPr>
        <w:spacing w:line="360" w:lineRule="auto"/>
        <w:jc w:val="left"/>
        <w:rPr>
          <w:rFonts w:asciiTheme="minorEastAsia" w:eastAsiaTheme="minorEastAsia" w:hAnsiTheme="minorEastAsia"/>
          <w:b/>
          <w:color w:val="000000" w:themeColor="text1"/>
          <w:sz w:val="24"/>
        </w:rPr>
      </w:pPr>
    </w:p>
    <w:p w:rsidR="00125606" w:rsidRDefault="00125606">
      <w:pPr>
        <w:spacing w:line="360" w:lineRule="auto"/>
        <w:jc w:val="left"/>
        <w:rPr>
          <w:rFonts w:asciiTheme="minorEastAsia" w:eastAsiaTheme="minorEastAsia" w:hAnsiTheme="minorEastAsia"/>
          <w:b/>
          <w:color w:val="000000" w:themeColor="text1"/>
          <w:sz w:val="24"/>
        </w:rPr>
      </w:pPr>
    </w:p>
    <w:p w:rsidR="00125606" w:rsidRDefault="00125606">
      <w:pPr>
        <w:spacing w:line="360" w:lineRule="auto"/>
        <w:jc w:val="left"/>
        <w:rPr>
          <w:rFonts w:asciiTheme="minorEastAsia" w:eastAsiaTheme="minorEastAsia" w:hAnsiTheme="minorEastAsia"/>
          <w:b/>
          <w:color w:val="000000" w:themeColor="text1"/>
          <w:sz w:val="24"/>
        </w:rPr>
      </w:pPr>
    </w:p>
    <w:p w:rsidR="00125606" w:rsidRDefault="00125606">
      <w:pPr>
        <w:spacing w:line="360" w:lineRule="auto"/>
        <w:jc w:val="left"/>
        <w:rPr>
          <w:rFonts w:asciiTheme="minorEastAsia" w:eastAsiaTheme="minorEastAsia" w:hAnsiTheme="minorEastAsia"/>
          <w:b/>
          <w:color w:val="000000" w:themeColor="text1"/>
          <w:sz w:val="24"/>
        </w:rPr>
      </w:pPr>
    </w:p>
    <w:p w:rsidR="00125606" w:rsidRDefault="00125606">
      <w:pPr>
        <w:spacing w:line="360" w:lineRule="auto"/>
        <w:jc w:val="left"/>
        <w:rPr>
          <w:rFonts w:asciiTheme="minorEastAsia" w:eastAsiaTheme="minorEastAsia" w:hAnsiTheme="minorEastAsia"/>
          <w:b/>
          <w:color w:val="000000" w:themeColor="text1"/>
          <w:sz w:val="24"/>
        </w:rPr>
      </w:pPr>
    </w:p>
    <w:p w:rsidR="00125606" w:rsidRDefault="00125606">
      <w:pPr>
        <w:spacing w:line="360" w:lineRule="auto"/>
        <w:jc w:val="left"/>
        <w:rPr>
          <w:rFonts w:asciiTheme="minorEastAsia" w:eastAsiaTheme="minorEastAsia" w:hAnsiTheme="minorEastAsia"/>
          <w:b/>
          <w:color w:val="000000" w:themeColor="text1"/>
          <w:sz w:val="24"/>
        </w:rPr>
      </w:pPr>
    </w:p>
    <w:p w:rsidR="00125606" w:rsidRDefault="00954D72">
      <w:pPr>
        <w:spacing w:line="360" w:lineRule="auto"/>
        <w:ind w:firstLineChars="700" w:firstLine="2108"/>
        <w:rPr>
          <w:rFonts w:asciiTheme="minorEastAsia" w:eastAsiaTheme="minorEastAsia" w:hAnsiTheme="minorEastAsia"/>
          <w:b/>
          <w:color w:val="000000" w:themeColor="text1"/>
          <w:sz w:val="30"/>
          <w:szCs w:val="30"/>
        </w:rPr>
      </w:pPr>
      <w:r>
        <w:rPr>
          <w:rFonts w:asciiTheme="minorEastAsia" w:eastAsiaTheme="minorEastAsia" w:hAnsiTheme="minorEastAsia" w:hint="eastAsia"/>
          <w:b/>
          <w:color w:val="000000" w:themeColor="text1"/>
          <w:sz w:val="30"/>
          <w:szCs w:val="30"/>
        </w:rPr>
        <w:t>基金管理人</w:t>
      </w:r>
      <w:r>
        <w:rPr>
          <w:rFonts w:eastAsiaTheme="minorEastAsia"/>
          <w:b/>
          <w:color w:val="000000" w:themeColor="text1"/>
          <w:sz w:val="30"/>
          <w:szCs w:val="30"/>
        </w:rPr>
        <w:t>：上投摩根基金管理有限公司</w:t>
      </w:r>
    </w:p>
    <w:p w:rsidR="00125606" w:rsidRDefault="00954D72">
      <w:pPr>
        <w:spacing w:line="360" w:lineRule="auto"/>
        <w:ind w:firstLineChars="700" w:firstLine="2108"/>
        <w:rPr>
          <w:rFonts w:asciiTheme="minorEastAsia" w:eastAsiaTheme="minorEastAsia" w:hAnsiTheme="minorEastAsia"/>
          <w:b/>
          <w:color w:val="000000" w:themeColor="text1"/>
          <w:sz w:val="30"/>
          <w:szCs w:val="30"/>
        </w:rPr>
      </w:pPr>
      <w:r>
        <w:rPr>
          <w:rFonts w:asciiTheme="minorEastAsia" w:eastAsiaTheme="minorEastAsia" w:hAnsiTheme="minorEastAsia" w:hint="eastAsia"/>
          <w:b/>
          <w:color w:val="000000" w:themeColor="text1"/>
          <w:sz w:val="30"/>
          <w:szCs w:val="30"/>
        </w:rPr>
        <w:t>基金托管人：</w:t>
      </w:r>
      <w:r>
        <w:rPr>
          <w:rFonts w:eastAsiaTheme="minorEastAsia"/>
          <w:b/>
          <w:color w:val="000000" w:themeColor="text1"/>
          <w:sz w:val="30"/>
          <w:szCs w:val="30"/>
        </w:rPr>
        <w:t>交通银行股份有限公司</w:t>
      </w:r>
    </w:p>
    <w:p w:rsidR="00125606" w:rsidRDefault="00954D72">
      <w:pPr>
        <w:spacing w:line="360" w:lineRule="auto"/>
        <w:ind w:firstLineChars="700" w:firstLine="2108"/>
        <w:rPr>
          <w:rFonts w:asciiTheme="minorEastAsia" w:eastAsiaTheme="minorEastAsia" w:hAnsiTheme="minorEastAsia"/>
          <w:color w:val="000000" w:themeColor="text1"/>
          <w:sz w:val="24"/>
        </w:rPr>
        <w:sectPr w:rsidR="00125606">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30"/>
          <w:szCs w:val="30"/>
        </w:rPr>
        <w:t>报告</w:t>
      </w:r>
      <w:r>
        <w:rPr>
          <w:rFonts w:asciiTheme="minorEastAsia" w:eastAsiaTheme="minorEastAsia" w:hAnsiTheme="minorEastAsia"/>
          <w:b/>
          <w:color w:val="000000" w:themeColor="text1"/>
          <w:sz w:val="30"/>
          <w:szCs w:val="30"/>
        </w:rPr>
        <w:t>送出日期：</w:t>
      </w:r>
      <w:r>
        <w:rPr>
          <w:rFonts w:eastAsiaTheme="minorEastAsia"/>
          <w:b/>
          <w:color w:val="000000" w:themeColor="text1"/>
          <w:sz w:val="30"/>
          <w:szCs w:val="30"/>
        </w:rPr>
        <w:t>二〇一九年一月二十二日</w:t>
      </w:r>
    </w:p>
    <w:p w:rsidR="00125606" w:rsidRDefault="00954D72" w:rsidP="00DC74FA">
      <w:pPr>
        <w:pStyle w:val="1"/>
        <w:spacing w:beforeLines="100" w:afterLines="100" w:line="360" w:lineRule="auto"/>
        <w:jc w:val="center"/>
        <w:rPr>
          <w:rFonts w:asciiTheme="minorEastAsia" w:eastAsiaTheme="minorEastAsia" w:hAnsiTheme="minorEastAsia" w:cs="Arial"/>
          <w:b w:val="0"/>
          <w:color w:val="000000" w:themeColor="text1"/>
          <w:kern w:val="0"/>
          <w:sz w:val="24"/>
          <w:szCs w:val="24"/>
        </w:rPr>
      </w:pPr>
      <w:r>
        <w:rPr>
          <w:rFonts w:eastAsiaTheme="minorEastAsia"/>
          <w:color w:val="000000" w:themeColor="text1"/>
          <w:kern w:val="0"/>
          <w:sz w:val="24"/>
          <w:szCs w:val="24"/>
        </w:rPr>
        <w:lastRenderedPageBreak/>
        <w:t>§1</w:t>
      </w:r>
      <w:r>
        <w:rPr>
          <w:rFonts w:asciiTheme="minorEastAsia" w:eastAsiaTheme="minorEastAsia" w:hAnsiTheme="minorEastAsia" w:cs="Arial" w:hint="eastAsia"/>
          <w:color w:val="000000" w:themeColor="text1"/>
          <w:kern w:val="0"/>
          <w:sz w:val="28"/>
          <w:szCs w:val="28"/>
        </w:rPr>
        <w:t>重要提示</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日止。</w:t>
      </w:r>
    </w:p>
    <w:p w:rsidR="00125606" w:rsidRDefault="00954D72" w:rsidP="00DC74FA">
      <w:pPr>
        <w:pStyle w:val="1"/>
        <w:spacing w:beforeLines="100" w:afterLines="100" w:line="360" w:lineRule="auto"/>
        <w:jc w:val="center"/>
        <w:rPr>
          <w:rFonts w:asciiTheme="minorEastAsia" w:eastAsiaTheme="minorEastAsia" w:hAnsiTheme="minorEastAsia" w:cs="Arial"/>
          <w:color w:val="000000" w:themeColor="text1"/>
          <w:kern w:val="0"/>
          <w:sz w:val="24"/>
          <w:szCs w:val="24"/>
        </w:rPr>
      </w:pPr>
      <w:r>
        <w:rPr>
          <w:rFonts w:eastAsiaTheme="minorEastAsia"/>
          <w:color w:val="000000" w:themeColor="text1"/>
          <w:kern w:val="0"/>
          <w:sz w:val="28"/>
          <w:szCs w:val="28"/>
        </w:rPr>
        <w:t>§2</w:t>
      </w:r>
      <w:r>
        <w:rPr>
          <w:rFonts w:ascii="宋体" w:hAnsi="宋体" w:cs="Arial" w:hint="eastAsia"/>
          <w:color w:val="000000" w:themeColor="text1"/>
          <w:kern w:val="0"/>
          <w:sz w:val="28"/>
          <w:szCs w:val="28"/>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gridCol w:w="1701"/>
        <w:gridCol w:w="1417"/>
        <w:gridCol w:w="1510"/>
      </w:tblGrid>
      <w:tr w:rsidR="00125606">
        <w:tc>
          <w:tcPr>
            <w:tcW w:w="1985" w:type="dxa"/>
            <w:vAlign w:val="center"/>
          </w:tcPr>
          <w:p w:rsidR="00125606" w:rsidRDefault="00954D72">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6329" w:type="dxa"/>
            <w:gridSpan w:val="4"/>
          </w:tcPr>
          <w:p w:rsidR="00125606" w:rsidRDefault="00954D72">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上投摩根岁岁盈定期开放债券</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6329" w:type="dxa"/>
            <w:gridSpan w:val="4"/>
            <w:tcBorders>
              <w:bottom w:val="single" w:sz="4" w:space="0" w:color="auto"/>
            </w:tcBorders>
          </w:tcPr>
          <w:p w:rsidR="00125606" w:rsidRDefault="00954D72">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000257</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6329" w:type="dxa"/>
            <w:gridSpan w:val="4"/>
            <w:tcBorders>
              <w:top w:val="single" w:sz="4" w:space="0" w:color="auto"/>
            </w:tcBorders>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6329" w:type="dxa"/>
            <w:gridSpan w:val="4"/>
          </w:tcPr>
          <w:p w:rsidR="00125606" w:rsidRDefault="00954D72">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6329" w:type="dxa"/>
            <w:gridSpan w:val="4"/>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17,656,238.82</w:t>
            </w:r>
            <w:r>
              <w:rPr>
                <w:rFonts w:eastAsiaTheme="minorEastAsia"/>
                <w:color w:val="000000" w:themeColor="text1"/>
                <w:kern w:val="0"/>
                <w:szCs w:val="21"/>
              </w:rPr>
              <w:t>份</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6329" w:type="dxa"/>
            <w:gridSpan w:val="4"/>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在合理充分的定量分析及定性研究基础上，在风险可控的原则下，通过参与固定收益类资产的投资封闭运作，力争获取超越基准的稳健回报。</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6329" w:type="dxa"/>
            <w:gridSpan w:val="4"/>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本基金将对不同类型固定收益品种的信用风险、税赋水平、市场流动性、市场风险等因素进行分析，评估不同债券板块之间的相对投资价值，确定债券类属配置策略，并根据市场变化及时进行调整。</w:t>
            </w:r>
          </w:p>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、久期管理策略</w:t>
            </w:r>
          </w:p>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本基金通过对影响债券投资的宏观经济变量和宏观经济政策等因素的综合分析，预测未来的市场利率的变动趋势，判断债券市场对上述因素及其变化的反应，并据此积极调整债券组合的久期。</w:t>
            </w:r>
          </w:p>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本基金在确定固定收益资产组合平均久期的基础上，将结合收益率曲线变化的预测，适时采用跟踪收益率曲线的骑乘策略或者基于收益率曲线变化的子弹、杠铃及梯形策略构造组合，并进行动态调整。</w:t>
            </w:r>
          </w:p>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6329" w:type="dxa"/>
            <w:gridSpan w:val="4"/>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一年期银行定期存款利率（税后）</w:t>
            </w:r>
            <w:r>
              <w:rPr>
                <w:rFonts w:eastAsiaTheme="minorEastAsia"/>
                <w:color w:val="000000" w:themeColor="text1"/>
                <w:kern w:val="0"/>
                <w:szCs w:val="21"/>
              </w:rPr>
              <w:t>+0.5%</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6329" w:type="dxa"/>
            <w:gridSpan w:val="4"/>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6329" w:type="dxa"/>
            <w:gridSpan w:val="4"/>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6329" w:type="dxa"/>
            <w:gridSpan w:val="4"/>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交通银行股份有限公司</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kern w:val="0"/>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级基金的基金简称</w:t>
            </w:r>
          </w:p>
        </w:tc>
        <w:tc>
          <w:tcPr>
            <w:tcW w:w="1701" w:type="dxa"/>
          </w:tcPr>
          <w:p w:rsidR="00125606" w:rsidRDefault="00954D72">
            <w:pP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A</w:t>
            </w:r>
          </w:p>
        </w:tc>
        <w:tc>
          <w:tcPr>
            <w:tcW w:w="1701" w:type="dxa"/>
          </w:tcPr>
          <w:p w:rsidR="00125606" w:rsidRDefault="00954D72">
            <w:pP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B</w:t>
            </w:r>
          </w:p>
        </w:tc>
        <w:tc>
          <w:tcPr>
            <w:tcW w:w="1417" w:type="dxa"/>
          </w:tcPr>
          <w:p w:rsidR="00125606" w:rsidRDefault="00954D72">
            <w:pP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C</w:t>
            </w:r>
          </w:p>
        </w:tc>
        <w:tc>
          <w:tcPr>
            <w:tcW w:w="1510" w:type="dxa"/>
          </w:tcPr>
          <w:p w:rsidR="00125606" w:rsidRDefault="00954D72">
            <w:pP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D</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1701" w:type="dxa"/>
          </w:tcPr>
          <w:p w:rsidR="00125606" w:rsidRDefault="00954D72">
            <w:pPr>
              <w:rPr>
                <w:rFonts w:eastAsiaTheme="minorEastAsia"/>
                <w:color w:val="000000" w:themeColor="text1"/>
                <w:szCs w:val="21"/>
              </w:rPr>
            </w:pPr>
            <w:r>
              <w:rPr>
                <w:rFonts w:eastAsiaTheme="minorEastAsia"/>
                <w:color w:val="000000" w:themeColor="text1"/>
                <w:szCs w:val="21"/>
              </w:rPr>
              <w:t>000257</w:t>
            </w:r>
          </w:p>
        </w:tc>
        <w:tc>
          <w:tcPr>
            <w:tcW w:w="1701" w:type="dxa"/>
          </w:tcPr>
          <w:p w:rsidR="00125606" w:rsidRDefault="00954D72">
            <w:pPr>
              <w:rPr>
                <w:rFonts w:eastAsiaTheme="minorEastAsia"/>
                <w:color w:val="000000" w:themeColor="text1"/>
                <w:szCs w:val="21"/>
              </w:rPr>
            </w:pPr>
            <w:r>
              <w:rPr>
                <w:rFonts w:eastAsiaTheme="minorEastAsia"/>
                <w:color w:val="000000" w:themeColor="text1"/>
                <w:szCs w:val="21"/>
              </w:rPr>
              <w:t>000765</w:t>
            </w:r>
          </w:p>
        </w:tc>
        <w:tc>
          <w:tcPr>
            <w:tcW w:w="1417" w:type="dxa"/>
          </w:tcPr>
          <w:p w:rsidR="00125606" w:rsidRDefault="00954D72">
            <w:pPr>
              <w:rPr>
                <w:rFonts w:eastAsiaTheme="minorEastAsia"/>
                <w:color w:val="000000" w:themeColor="text1"/>
                <w:szCs w:val="21"/>
              </w:rPr>
            </w:pPr>
            <w:r>
              <w:rPr>
                <w:rFonts w:eastAsiaTheme="minorEastAsia"/>
                <w:color w:val="000000" w:themeColor="text1"/>
                <w:szCs w:val="21"/>
              </w:rPr>
              <w:t>000258</w:t>
            </w:r>
          </w:p>
        </w:tc>
        <w:tc>
          <w:tcPr>
            <w:tcW w:w="1510" w:type="dxa"/>
          </w:tcPr>
          <w:p w:rsidR="00125606" w:rsidRDefault="00954D72">
            <w:pPr>
              <w:rPr>
                <w:rFonts w:eastAsiaTheme="minorEastAsia"/>
                <w:color w:val="000000" w:themeColor="text1"/>
                <w:szCs w:val="21"/>
              </w:rPr>
            </w:pPr>
            <w:r>
              <w:rPr>
                <w:rFonts w:eastAsiaTheme="minorEastAsia"/>
                <w:color w:val="000000" w:themeColor="text1"/>
                <w:szCs w:val="21"/>
              </w:rPr>
              <w:t>000766</w:t>
            </w:r>
          </w:p>
        </w:tc>
      </w:tr>
      <w:tr w:rsidR="00125606">
        <w:tc>
          <w:tcPr>
            <w:tcW w:w="1985" w:type="dxa"/>
            <w:vAlign w:val="center"/>
          </w:tcPr>
          <w:p w:rsidR="00125606" w:rsidRDefault="00954D72">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1701" w:type="dxa"/>
          </w:tcPr>
          <w:p w:rsidR="00125606" w:rsidRDefault="00954D72">
            <w:pPr>
              <w:rPr>
                <w:rFonts w:eastAsiaTheme="minorEastAsia"/>
                <w:color w:val="000000" w:themeColor="text1"/>
                <w:szCs w:val="21"/>
              </w:rPr>
            </w:pPr>
            <w:r>
              <w:rPr>
                <w:rFonts w:eastAsiaTheme="minorEastAsia"/>
                <w:color w:val="000000" w:themeColor="text1"/>
                <w:szCs w:val="21"/>
              </w:rPr>
              <w:t>16,862,805.21</w:t>
            </w:r>
            <w:r>
              <w:rPr>
                <w:rFonts w:eastAsiaTheme="minorEastAsia"/>
                <w:color w:val="000000" w:themeColor="text1"/>
                <w:kern w:val="0"/>
                <w:szCs w:val="21"/>
              </w:rPr>
              <w:t>份</w:t>
            </w:r>
          </w:p>
        </w:tc>
        <w:tc>
          <w:tcPr>
            <w:tcW w:w="1701" w:type="dxa"/>
          </w:tcPr>
          <w:p w:rsidR="00125606" w:rsidRDefault="00954D72">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kern w:val="0"/>
                <w:szCs w:val="21"/>
              </w:rPr>
              <w:t>份</w:t>
            </w:r>
          </w:p>
        </w:tc>
        <w:tc>
          <w:tcPr>
            <w:tcW w:w="1417" w:type="dxa"/>
          </w:tcPr>
          <w:p w:rsidR="00125606" w:rsidRDefault="00954D72">
            <w:pPr>
              <w:rPr>
                <w:rFonts w:eastAsiaTheme="minorEastAsia"/>
                <w:color w:val="000000" w:themeColor="text1"/>
                <w:szCs w:val="21"/>
              </w:rPr>
            </w:pPr>
            <w:r>
              <w:rPr>
                <w:rFonts w:eastAsiaTheme="minorEastAsia"/>
                <w:color w:val="000000" w:themeColor="text1"/>
                <w:szCs w:val="21"/>
              </w:rPr>
              <w:t>793,433.61</w:t>
            </w:r>
            <w:r>
              <w:rPr>
                <w:rFonts w:eastAsiaTheme="minorEastAsia"/>
                <w:color w:val="000000" w:themeColor="text1"/>
                <w:kern w:val="0"/>
                <w:szCs w:val="21"/>
              </w:rPr>
              <w:t>份</w:t>
            </w:r>
          </w:p>
        </w:tc>
        <w:tc>
          <w:tcPr>
            <w:tcW w:w="1510" w:type="dxa"/>
          </w:tcPr>
          <w:p w:rsidR="00125606" w:rsidRDefault="00954D72">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kern w:val="0"/>
                <w:szCs w:val="21"/>
              </w:rPr>
              <w:t>份</w:t>
            </w:r>
          </w:p>
        </w:tc>
      </w:tr>
    </w:tbl>
    <w:p w:rsidR="00125606" w:rsidRDefault="00954D72" w:rsidP="00DC74FA">
      <w:pPr>
        <w:pStyle w:val="1"/>
        <w:spacing w:beforeLines="100" w:afterLines="100" w:line="360" w:lineRule="auto"/>
        <w:jc w:val="center"/>
        <w:rPr>
          <w:rFonts w:asciiTheme="minorEastAsia" w:eastAsiaTheme="minorEastAsia" w:hAnsiTheme="minorEastAsia" w:cs="Arial"/>
          <w:color w:val="000000" w:themeColor="text1"/>
          <w:kern w:val="0"/>
          <w:sz w:val="24"/>
          <w:szCs w:val="24"/>
        </w:rPr>
      </w:pPr>
      <w:r>
        <w:rPr>
          <w:rFonts w:eastAsiaTheme="minorEastAsia"/>
          <w:color w:val="000000" w:themeColor="text1"/>
          <w:kern w:val="0"/>
          <w:sz w:val="24"/>
          <w:szCs w:val="24"/>
        </w:rPr>
        <w:t>§3</w:t>
      </w:r>
      <w:r>
        <w:rPr>
          <w:rFonts w:asciiTheme="minorEastAsia" w:eastAsiaTheme="minorEastAsia" w:hAnsiTheme="minorEastAsia" w:cs="Arial" w:hint="eastAsia"/>
          <w:color w:val="000000" w:themeColor="text1"/>
          <w:kern w:val="0"/>
          <w:sz w:val="28"/>
          <w:szCs w:val="28"/>
        </w:rPr>
        <w:t>主要财务指标和基金净值表现</w:t>
      </w: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3.1</w:t>
      </w:r>
      <w:r>
        <w:rPr>
          <w:rFonts w:asciiTheme="minorEastAsia" w:eastAsiaTheme="minorEastAsia" w:hAnsiTheme="minorEastAsia" w:cs="Arial" w:hint="eastAsia"/>
          <w:b/>
          <w:color w:val="000000" w:themeColor="text1"/>
          <w:kern w:val="0"/>
          <w:szCs w:val="21"/>
        </w:rPr>
        <w:t>主要财务指标</w:t>
      </w:r>
    </w:p>
    <w:p w:rsidR="00125606" w:rsidRDefault="00954D72">
      <w:pPr>
        <w:autoSpaceDE w:val="0"/>
        <w:autoSpaceDN w:val="0"/>
        <w:adjustRightInd w:val="0"/>
        <w:spacing w:before="29" w:line="288" w:lineRule="auto"/>
        <w:ind w:left="15" w:right="480"/>
        <w:jc w:val="righ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01"/>
        <w:gridCol w:w="1701"/>
        <w:gridCol w:w="1559"/>
        <w:gridCol w:w="1560"/>
      </w:tblGrid>
      <w:tr w:rsidR="00125606">
        <w:tc>
          <w:tcPr>
            <w:tcW w:w="1843" w:type="dxa"/>
            <w:vMerge w:val="restart"/>
            <w:vAlign w:val="center"/>
          </w:tcPr>
          <w:p w:rsidR="00125606" w:rsidRDefault="00954D72">
            <w:pPr>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主要财务指标</w:t>
            </w:r>
          </w:p>
        </w:tc>
        <w:tc>
          <w:tcPr>
            <w:tcW w:w="6521" w:type="dxa"/>
            <w:gridSpan w:val="4"/>
            <w:vAlign w:val="center"/>
          </w:tcPr>
          <w:p w:rsidR="00125606" w:rsidRDefault="00954D72">
            <w:pPr>
              <w:adjustRightInd w:val="0"/>
              <w:spacing w:before="29" w:line="360" w:lineRule="auto"/>
              <w:ind w:left="17"/>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报告期</w:t>
            </w:r>
          </w:p>
          <w:p w:rsidR="00125606" w:rsidRDefault="00954D72">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sidR="0034282F">
              <w:rPr>
                <w:rFonts w:eastAsiaTheme="minorEastAsia" w:hint="eastAsia"/>
                <w:color w:val="000000" w:themeColor="text1"/>
                <w:szCs w:val="21"/>
              </w:rPr>
              <w:t>1</w:t>
            </w:r>
            <w:r>
              <w:rPr>
                <w:rFonts w:eastAsiaTheme="minorEastAsia"/>
                <w:color w:val="000000" w:themeColor="text1"/>
                <w:szCs w:val="21"/>
              </w:rPr>
              <w:t>月</w:t>
            </w:r>
            <w:r w:rsidR="0034282F">
              <w:rPr>
                <w:rFonts w:eastAsiaTheme="minorEastAsia" w:hint="eastAsia"/>
                <w:color w:val="000000" w:themeColor="text1"/>
                <w:szCs w:val="21"/>
              </w:rPr>
              <w:t>8</w:t>
            </w:r>
            <w:r>
              <w:rPr>
                <w:rFonts w:eastAsiaTheme="minorEastAsia"/>
                <w:color w:val="000000" w:themeColor="text1"/>
                <w:szCs w:val="21"/>
              </w:rPr>
              <w:t>日</w:t>
            </w:r>
            <w:r>
              <w:rPr>
                <w:rFonts w:eastAsiaTheme="minorEastAsia"/>
                <w:color w:val="000000" w:themeColor="text1"/>
                <w:szCs w:val="21"/>
              </w:rPr>
              <w:t>)</w:t>
            </w:r>
          </w:p>
        </w:tc>
      </w:tr>
      <w:tr w:rsidR="00125606">
        <w:tc>
          <w:tcPr>
            <w:tcW w:w="1843" w:type="dxa"/>
            <w:vMerge/>
            <w:vAlign w:val="center"/>
          </w:tcPr>
          <w:p w:rsidR="00125606" w:rsidRDefault="00125606">
            <w:pPr>
              <w:adjustRightInd w:val="0"/>
              <w:spacing w:before="29" w:line="360" w:lineRule="auto"/>
              <w:ind w:left="17"/>
              <w:rPr>
                <w:rFonts w:asciiTheme="minorEastAsia" w:eastAsiaTheme="minorEastAsia" w:hAnsiTheme="minorEastAsia" w:cs="宋体"/>
                <w:color w:val="000000" w:themeColor="text1"/>
                <w:kern w:val="0"/>
                <w:szCs w:val="21"/>
              </w:rPr>
            </w:pPr>
          </w:p>
        </w:tc>
        <w:tc>
          <w:tcPr>
            <w:tcW w:w="1701" w:type="dxa"/>
            <w:vAlign w:val="center"/>
          </w:tcPr>
          <w:p w:rsidR="00125606" w:rsidRDefault="00954D72">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A</w:t>
            </w:r>
          </w:p>
        </w:tc>
        <w:tc>
          <w:tcPr>
            <w:tcW w:w="1701" w:type="dxa"/>
            <w:vAlign w:val="center"/>
          </w:tcPr>
          <w:p w:rsidR="00125606" w:rsidRDefault="00954D72">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B</w:t>
            </w:r>
          </w:p>
        </w:tc>
        <w:tc>
          <w:tcPr>
            <w:tcW w:w="1559" w:type="dxa"/>
            <w:vAlign w:val="center"/>
          </w:tcPr>
          <w:p w:rsidR="00125606" w:rsidRDefault="00954D72">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C</w:t>
            </w:r>
          </w:p>
        </w:tc>
        <w:tc>
          <w:tcPr>
            <w:tcW w:w="1560" w:type="dxa"/>
            <w:vAlign w:val="center"/>
          </w:tcPr>
          <w:p w:rsidR="00125606" w:rsidRDefault="00954D72">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D</w:t>
            </w:r>
          </w:p>
        </w:tc>
      </w:tr>
      <w:tr w:rsidR="00125606">
        <w:tc>
          <w:tcPr>
            <w:tcW w:w="1843" w:type="dxa"/>
            <w:vAlign w:val="center"/>
          </w:tcPr>
          <w:p w:rsidR="00125606" w:rsidRDefault="00954D72">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1.</w:t>
            </w:r>
            <w:r>
              <w:rPr>
                <w:rFonts w:asciiTheme="minorEastAsia" w:eastAsiaTheme="minorEastAsia" w:hAnsiTheme="minorEastAsia" w:cs="宋体" w:hint="eastAsia"/>
                <w:color w:val="000000" w:themeColor="text1"/>
                <w:kern w:val="0"/>
                <w:szCs w:val="21"/>
              </w:rPr>
              <w:t>本期已实现收益</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234,467.35</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0.57</w:t>
            </w:r>
          </w:p>
        </w:tc>
        <w:tc>
          <w:tcPr>
            <w:tcW w:w="1559"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10,012.64</w:t>
            </w:r>
          </w:p>
        </w:tc>
        <w:tc>
          <w:tcPr>
            <w:tcW w:w="1560"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0.56</w:t>
            </w:r>
          </w:p>
        </w:tc>
      </w:tr>
      <w:tr w:rsidR="00125606">
        <w:tc>
          <w:tcPr>
            <w:tcW w:w="1843" w:type="dxa"/>
            <w:vAlign w:val="center"/>
          </w:tcPr>
          <w:p w:rsidR="00125606" w:rsidRDefault="00954D72">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2.</w:t>
            </w:r>
            <w:r>
              <w:rPr>
                <w:rFonts w:asciiTheme="minorEastAsia" w:eastAsiaTheme="minorEastAsia" w:hAnsiTheme="minorEastAsia" w:cs="宋体" w:hint="eastAsia"/>
                <w:color w:val="000000" w:themeColor="text1"/>
                <w:kern w:val="0"/>
                <w:szCs w:val="21"/>
              </w:rPr>
              <w:t>本期利润</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213,061.23</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0.59</w:t>
            </w:r>
          </w:p>
        </w:tc>
        <w:tc>
          <w:tcPr>
            <w:tcW w:w="1559"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8,531.30</w:t>
            </w:r>
          </w:p>
        </w:tc>
        <w:tc>
          <w:tcPr>
            <w:tcW w:w="1560"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0.58</w:t>
            </w:r>
          </w:p>
        </w:tc>
      </w:tr>
      <w:tr w:rsidR="00125606">
        <w:tc>
          <w:tcPr>
            <w:tcW w:w="1843" w:type="dxa"/>
            <w:vAlign w:val="center"/>
          </w:tcPr>
          <w:p w:rsidR="00125606" w:rsidRDefault="00954D72">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3.</w:t>
            </w:r>
            <w:r>
              <w:rPr>
                <w:rFonts w:asciiTheme="minorEastAsia" w:eastAsiaTheme="minorEastAsia" w:hAnsiTheme="minorEastAsia" w:cs="宋体" w:hint="eastAsia"/>
                <w:color w:val="000000" w:themeColor="text1"/>
                <w:kern w:val="0"/>
                <w:szCs w:val="21"/>
              </w:rPr>
              <w:t>加权平均基金份额本期利润</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0.0050</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0.0118</w:t>
            </w:r>
          </w:p>
        </w:tc>
        <w:tc>
          <w:tcPr>
            <w:tcW w:w="1559"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0.0048</w:t>
            </w:r>
          </w:p>
        </w:tc>
        <w:tc>
          <w:tcPr>
            <w:tcW w:w="1560"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0.0109</w:t>
            </w:r>
          </w:p>
        </w:tc>
      </w:tr>
      <w:tr w:rsidR="00125606">
        <w:tc>
          <w:tcPr>
            <w:tcW w:w="1843" w:type="dxa"/>
            <w:vAlign w:val="center"/>
          </w:tcPr>
          <w:p w:rsidR="00125606" w:rsidRDefault="00954D72">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4.</w:t>
            </w:r>
            <w:r>
              <w:rPr>
                <w:rFonts w:asciiTheme="minorEastAsia" w:eastAsiaTheme="minorEastAsia" w:hAnsiTheme="minorEastAsia" w:cs="宋体" w:hint="eastAsia"/>
                <w:color w:val="000000" w:themeColor="text1"/>
                <w:kern w:val="0"/>
                <w:szCs w:val="21"/>
              </w:rPr>
              <w:t>期末基金资产净值</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17,523,704.94</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559"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818,367.93</w:t>
            </w:r>
          </w:p>
        </w:tc>
        <w:tc>
          <w:tcPr>
            <w:tcW w:w="1560"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trHeight w:val="158"/>
        </w:trPr>
        <w:tc>
          <w:tcPr>
            <w:tcW w:w="1843" w:type="dxa"/>
            <w:vAlign w:val="center"/>
          </w:tcPr>
          <w:p w:rsidR="00125606" w:rsidRDefault="00954D72">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cs="方正仿宋简体"/>
                <w:color w:val="000000" w:themeColor="text1"/>
                <w:kern w:val="0"/>
                <w:szCs w:val="21"/>
              </w:rPr>
              <w:t>5.</w:t>
            </w:r>
            <w:r>
              <w:rPr>
                <w:rFonts w:asciiTheme="minorEastAsia" w:eastAsiaTheme="minorEastAsia" w:hAnsiTheme="minorEastAsia" w:cs="宋体" w:hint="eastAsia"/>
                <w:color w:val="000000" w:themeColor="text1"/>
                <w:kern w:val="0"/>
                <w:szCs w:val="21"/>
              </w:rPr>
              <w:t>期末基金份额净值</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1.039</w:t>
            </w:r>
          </w:p>
        </w:tc>
        <w:tc>
          <w:tcPr>
            <w:tcW w:w="1701"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559"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1.031</w:t>
            </w:r>
          </w:p>
        </w:tc>
        <w:tc>
          <w:tcPr>
            <w:tcW w:w="1560" w:type="dxa"/>
            <w:vAlign w:val="center"/>
          </w:tcPr>
          <w:p w:rsidR="00125606" w:rsidRDefault="00954D72">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bl>
    <w:p w:rsidR="00125606" w:rsidRDefault="00954D72">
      <w:pPr>
        <w:autoSpaceDE w:val="0"/>
        <w:autoSpaceDN w:val="0"/>
        <w:adjustRightInd w:val="0"/>
        <w:spacing w:line="360" w:lineRule="auto"/>
        <w:ind w:firstLineChars="200" w:firstLine="360"/>
        <w:jc w:val="left"/>
        <w:rPr>
          <w:rFonts w:eastAsiaTheme="minorEastAsia"/>
          <w:color w:val="000000" w:themeColor="text1"/>
          <w:sz w:val="18"/>
          <w:szCs w:val="18"/>
        </w:rPr>
      </w:pPr>
      <w:r>
        <w:rPr>
          <w:rFonts w:eastAsiaTheme="minorEastAsia"/>
          <w:color w:val="000000" w:themeColor="text1"/>
          <w:sz w:val="18"/>
          <w:szCs w:val="18"/>
        </w:rPr>
        <w:t>注：本期已实现收益指基金本期利息收入、投资收益、其他收入（不含公允价值变动收益）扣除相关费用后的余额，本期利润为本期已实现收益加上本期公允价值变动收益。</w:t>
      </w:r>
    </w:p>
    <w:p w:rsidR="00125606" w:rsidRDefault="00954D72">
      <w:pPr>
        <w:autoSpaceDE w:val="0"/>
        <w:autoSpaceDN w:val="0"/>
        <w:adjustRightInd w:val="0"/>
        <w:spacing w:line="360" w:lineRule="auto"/>
        <w:ind w:firstLineChars="200" w:firstLine="360"/>
        <w:jc w:val="left"/>
        <w:rPr>
          <w:rFonts w:eastAsiaTheme="minorEastAsia"/>
          <w:color w:val="000000" w:themeColor="text1"/>
          <w:sz w:val="18"/>
          <w:szCs w:val="18"/>
        </w:rPr>
      </w:pPr>
      <w:r>
        <w:rPr>
          <w:rFonts w:eastAsiaTheme="minorEastAsia"/>
          <w:color w:val="000000" w:themeColor="text1"/>
          <w:sz w:val="18"/>
          <w:szCs w:val="18"/>
        </w:rPr>
        <w:t>上述基金业绩指标不包括持有人认购或交易基金的各项费用（例如，开放式基金的申购赎回费、红利再投资费、基金转换费等），计入费用后实际收益水平要低于所列数字。</w:t>
      </w: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3.2</w:t>
      </w:r>
      <w:r>
        <w:rPr>
          <w:rFonts w:asciiTheme="minorEastAsia" w:eastAsiaTheme="minorEastAsia" w:hAnsiTheme="minorEastAsia" w:cs="Arial" w:hint="eastAsia"/>
          <w:b/>
          <w:color w:val="000000" w:themeColor="text1"/>
          <w:kern w:val="0"/>
          <w:szCs w:val="21"/>
        </w:rPr>
        <w:t>基金净值表现</w:t>
      </w:r>
    </w:p>
    <w:p w:rsidR="00125606" w:rsidRDefault="00954D72">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125606" w:rsidRDefault="00954D72">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上投摩根岁岁盈定期开放债券</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Layout w:type="fixed"/>
        <w:tblLook w:val="04A0"/>
      </w:tblPr>
      <w:tblGrid>
        <w:gridCol w:w="1290"/>
        <w:gridCol w:w="1291"/>
        <w:gridCol w:w="1291"/>
        <w:gridCol w:w="1291"/>
        <w:gridCol w:w="1291"/>
        <w:gridCol w:w="1291"/>
        <w:gridCol w:w="1291"/>
      </w:tblGrid>
      <w:tr w:rsidR="00125606">
        <w:tc>
          <w:tcPr>
            <w:tcW w:w="1290"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125606">
        <w:tc>
          <w:tcPr>
            <w:tcW w:w="1290" w:type="dxa"/>
            <w:vAlign w:val="center"/>
          </w:tcPr>
          <w:p w:rsidR="00125606" w:rsidRDefault="00954D72">
            <w:pPr>
              <w:jc w:val="left"/>
            </w:pPr>
            <w:r>
              <w:rPr>
                <w:rFonts w:eastAsiaTheme="minorEastAsia"/>
                <w:color w:val="000000" w:themeColor="text1"/>
                <w:szCs w:val="21"/>
              </w:rPr>
              <w:t>过去三个月</w:t>
            </w:r>
          </w:p>
        </w:tc>
        <w:tc>
          <w:tcPr>
            <w:tcW w:w="1291" w:type="dxa"/>
            <w:vAlign w:val="center"/>
          </w:tcPr>
          <w:p w:rsidR="00125606" w:rsidRDefault="00954D72">
            <w:pPr>
              <w:jc w:val="center"/>
            </w:pPr>
            <w:r>
              <w:rPr>
                <w:rFonts w:eastAsiaTheme="minorEastAsia"/>
                <w:color w:val="000000" w:themeColor="text1"/>
                <w:szCs w:val="21"/>
              </w:rPr>
              <w:t>0.68%</w:t>
            </w:r>
          </w:p>
        </w:tc>
        <w:tc>
          <w:tcPr>
            <w:tcW w:w="1291" w:type="dxa"/>
            <w:vAlign w:val="center"/>
          </w:tcPr>
          <w:p w:rsidR="00125606" w:rsidRDefault="00954D72">
            <w:pPr>
              <w:jc w:val="center"/>
            </w:pPr>
            <w:r>
              <w:rPr>
                <w:rFonts w:eastAsiaTheme="minorEastAsia"/>
                <w:color w:val="000000" w:themeColor="text1"/>
                <w:szCs w:val="21"/>
              </w:rPr>
              <w:t>0.09%</w:t>
            </w:r>
          </w:p>
        </w:tc>
        <w:tc>
          <w:tcPr>
            <w:tcW w:w="1291" w:type="dxa"/>
            <w:vAlign w:val="center"/>
          </w:tcPr>
          <w:p w:rsidR="00125606" w:rsidRDefault="00954D72">
            <w:pPr>
              <w:jc w:val="center"/>
            </w:pPr>
            <w:r>
              <w:rPr>
                <w:rFonts w:eastAsiaTheme="minorEastAsia"/>
                <w:color w:val="000000" w:themeColor="text1"/>
                <w:szCs w:val="21"/>
              </w:rPr>
              <w:t>0.24%</w:t>
            </w:r>
          </w:p>
        </w:tc>
        <w:tc>
          <w:tcPr>
            <w:tcW w:w="1291" w:type="dxa"/>
            <w:vAlign w:val="center"/>
          </w:tcPr>
          <w:p w:rsidR="00125606" w:rsidRDefault="00954D72">
            <w:pPr>
              <w:jc w:val="center"/>
            </w:pPr>
            <w:r>
              <w:rPr>
                <w:rFonts w:eastAsiaTheme="minorEastAsia"/>
                <w:color w:val="000000" w:themeColor="text1"/>
                <w:szCs w:val="21"/>
              </w:rPr>
              <w:t>0.01%</w:t>
            </w:r>
          </w:p>
        </w:tc>
        <w:tc>
          <w:tcPr>
            <w:tcW w:w="1291" w:type="dxa"/>
            <w:vAlign w:val="center"/>
          </w:tcPr>
          <w:p w:rsidR="00125606" w:rsidRDefault="00954D72">
            <w:pPr>
              <w:jc w:val="center"/>
            </w:pPr>
            <w:r>
              <w:rPr>
                <w:rFonts w:eastAsiaTheme="minorEastAsia"/>
                <w:color w:val="000000" w:themeColor="text1"/>
                <w:szCs w:val="21"/>
              </w:rPr>
              <w:t>0.44%</w:t>
            </w:r>
          </w:p>
        </w:tc>
        <w:tc>
          <w:tcPr>
            <w:tcW w:w="1291" w:type="dxa"/>
            <w:vAlign w:val="center"/>
          </w:tcPr>
          <w:p w:rsidR="00125606" w:rsidRDefault="00954D72">
            <w:pPr>
              <w:jc w:val="center"/>
            </w:pPr>
            <w:r>
              <w:rPr>
                <w:rFonts w:eastAsiaTheme="minorEastAsia"/>
                <w:color w:val="000000" w:themeColor="text1"/>
                <w:szCs w:val="21"/>
              </w:rPr>
              <w:t>0.08%</w:t>
            </w:r>
          </w:p>
        </w:tc>
      </w:tr>
    </w:tbl>
    <w:p w:rsidR="00125606" w:rsidRDefault="00125606">
      <w:pPr>
        <w:pStyle w:val="20"/>
        <w:spacing w:line="288" w:lineRule="auto"/>
        <w:ind w:firstLineChars="0" w:firstLine="0"/>
        <w:rPr>
          <w:rFonts w:ascii="Times New Roman" w:eastAsiaTheme="minorEastAsia" w:hAnsi="Times New Roman"/>
          <w:color w:val="000000" w:themeColor="text1"/>
          <w:sz w:val="21"/>
          <w:szCs w:val="21"/>
        </w:rPr>
      </w:pPr>
    </w:p>
    <w:p w:rsidR="00125606" w:rsidRDefault="00954D72">
      <w:pPr>
        <w:adjustRightInd w:val="0"/>
        <w:spacing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上投摩根岁岁盈定期开放债券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6"/>
        <w:tblW w:w="9036" w:type="dxa"/>
        <w:tblLayout w:type="fixed"/>
        <w:tblLook w:val="04A0"/>
      </w:tblPr>
      <w:tblGrid>
        <w:gridCol w:w="1290"/>
        <w:gridCol w:w="1291"/>
        <w:gridCol w:w="1291"/>
        <w:gridCol w:w="1291"/>
        <w:gridCol w:w="1291"/>
        <w:gridCol w:w="1291"/>
        <w:gridCol w:w="1291"/>
      </w:tblGrid>
      <w:tr w:rsidR="00125606">
        <w:tc>
          <w:tcPr>
            <w:tcW w:w="1290"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125606" w:rsidRDefault="00954D72">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125606" w:rsidRDefault="00954D72">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125606">
        <w:tc>
          <w:tcPr>
            <w:tcW w:w="1290" w:type="dxa"/>
            <w:vAlign w:val="center"/>
          </w:tcPr>
          <w:p w:rsidR="00125606" w:rsidRDefault="00954D72">
            <w:pPr>
              <w:jc w:val="left"/>
            </w:pPr>
            <w:r>
              <w:rPr>
                <w:rFonts w:eastAsiaTheme="minorEastAsia"/>
                <w:color w:val="000000" w:themeColor="text1"/>
                <w:szCs w:val="21"/>
              </w:rPr>
              <w:t>过去三个月</w:t>
            </w:r>
          </w:p>
        </w:tc>
        <w:tc>
          <w:tcPr>
            <w:tcW w:w="1291" w:type="dxa"/>
            <w:vAlign w:val="center"/>
          </w:tcPr>
          <w:p w:rsidR="00125606" w:rsidRDefault="00954D72">
            <w:pPr>
              <w:jc w:val="center"/>
            </w:pPr>
            <w:r>
              <w:rPr>
                <w:rFonts w:eastAsiaTheme="minorEastAsia"/>
                <w:color w:val="000000" w:themeColor="text1"/>
                <w:szCs w:val="21"/>
              </w:rPr>
              <w:t>0.00%</w:t>
            </w:r>
          </w:p>
        </w:tc>
        <w:tc>
          <w:tcPr>
            <w:tcW w:w="1291" w:type="dxa"/>
            <w:vAlign w:val="center"/>
          </w:tcPr>
          <w:p w:rsidR="00125606" w:rsidRDefault="00954D72">
            <w:pPr>
              <w:jc w:val="center"/>
            </w:pPr>
            <w:r>
              <w:rPr>
                <w:rFonts w:eastAsiaTheme="minorEastAsia"/>
                <w:color w:val="000000" w:themeColor="text1"/>
                <w:szCs w:val="21"/>
              </w:rPr>
              <w:t>0.08%</w:t>
            </w:r>
          </w:p>
        </w:tc>
        <w:tc>
          <w:tcPr>
            <w:tcW w:w="1291" w:type="dxa"/>
            <w:vAlign w:val="center"/>
          </w:tcPr>
          <w:p w:rsidR="00125606" w:rsidRDefault="00954D72">
            <w:pPr>
              <w:jc w:val="center"/>
            </w:pPr>
            <w:r>
              <w:rPr>
                <w:rFonts w:eastAsiaTheme="minorEastAsia"/>
                <w:color w:val="000000" w:themeColor="text1"/>
                <w:szCs w:val="21"/>
              </w:rPr>
              <w:t>0.24%</w:t>
            </w:r>
          </w:p>
        </w:tc>
        <w:tc>
          <w:tcPr>
            <w:tcW w:w="1291" w:type="dxa"/>
            <w:vAlign w:val="center"/>
          </w:tcPr>
          <w:p w:rsidR="00125606" w:rsidRDefault="00954D72">
            <w:pPr>
              <w:jc w:val="center"/>
            </w:pPr>
            <w:r>
              <w:rPr>
                <w:rFonts w:eastAsiaTheme="minorEastAsia"/>
                <w:color w:val="000000" w:themeColor="text1"/>
                <w:szCs w:val="21"/>
              </w:rPr>
              <w:t>0.01%</w:t>
            </w:r>
          </w:p>
        </w:tc>
        <w:tc>
          <w:tcPr>
            <w:tcW w:w="1291" w:type="dxa"/>
            <w:vAlign w:val="center"/>
          </w:tcPr>
          <w:p w:rsidR="00125606" w:rsidRDefault="00954D72">
            <w:pPr>
              <w:jc w:val="center"/>
            </w:pPr>
            <w:r>
              <w:rPr>
                <w:rFonts w:eastAsiaTheme="minorEastAsia"/>
                <w:color w:val="000000" w:themeColor="text1"/>
                <w:szCs w:val="21"/>
              </w:rPr>
              <w:t>-0.24%</w:t>
            </w:r>
          </w:p>
        </w:tc>
        <w:tc>
          <w:tcPr>
            <w:tcW w:w="1291" w:type="dxa"/>
            <w:vAlign w:val="center"/>
          </w:tcPr>
          <w:p w:rsidR="00125606" w:rsidRDefault="00954D72">
            <w:pPr>
              <w:jc w:val="center"/>
            </w:pPr>
            <w:r>
              <w:rPr>
                <w:rFonts w:eastAsiaTheme="minorEastAsia"/>
                <w:color w:val="000000" w:themeColor="text1"/>
                <w:szCs w:val="21"/>
              </w:rPr>
              <w:t>0.07%</w:t>
            </w:r>
          </w:p>
        </w:tc>
      </w:tr>
    </w:tbl>
    <w:p w:rsidR="00125606" w:rsidRDefault="00125606">
      <w:pPr>
        <w:autoSpaceDE w:val="0"/>
        <w:autoSpaceDN w:val="0"/>
        <w:adjustRightInd w:val="0"/>
        <w:spacing w:line="360" w:lineRule="auto"/>
        <w:jc w:val="left"/>
        <w:rPr>
          <w:rFonts w:eastAsiaTheme="minorEastAsia"/>
          <w:color w:val="000000" w:themeColor="text1"/>
          <w:szCs w:val="21"/>
        </w:rPr>
      </w:pPr>
    </w:p>
    <w:p w:rsidR="00125606" w:rsidRDefault="00954D72">
      <w:pPr>
        <w:spacing w:line="360" w:lineRule="auto"/>
        <w:rPr>
          <w:rFonts w:eastAsiaTheme="minorEastAsia"/>
          <w:b/>
          <w:color w:val="000000" w:themeColor="text1"/>
          <w:szCs w:val="21"/>
        </w:rPr>
      </w:pPr>
      <w:r>
        <w:rPr>
          <w:rFonts w:eastAsiaTheme="minorEastAsia"/>
          <w:b/>
          <w:color w:val="000000" w:themeColor="text1"/>
          <w:szCs w:val="21"/>
        </w:rPr>
        <w:t>3</w:t>
      </w:r>
      <w:r>
        <w:rPr>
          <w:rFonts w:eastAsiaTheme="minorEastAsia"/>
          <w:b/>
          <w:color w:val="000000" w:themeColor="text1"/>
          <w:szCs w:val="21"/>
        </w:rPr>
        <w:t>、</w:t>
      </w:r>
      <w:r>
        <w:rPr>
          <w:rFonts w:eastAsiaTheme="minorEastAsia"/>
          <w:b/>
          <w:color w:val="000000" w:themeColor="text1"/>
          <w:kern w:val="0"/>
          <w:szCs w:val="21"/>
        </w:rPr>
        <w:t>上投摩根岁岁盈定期开放债券</w:t>
      </w:r>
      <w:r>
        <w:rPr>
          <w:rFonts w:eastAsiaTheme="minorEastAsia"/>
          <w:b/>
          <w:color w:val="000000" w:themeColor="text1"/>
          <w:kern w:val="0"/>
          <w:szCs w:val="21"/>
        </w:rPr>
        <w:t>C</w:t>
      </w:r>
      <w:r>
        <w:rPr>
          <w:rFonts w:eastAsiaTheme="minorEastAsia"/>
          <w:b/>
          <w:color w:val="000000" w:themeColor="text1"/>
          <w:szCs w:val="21"/>
        </w:rPr>
        <w:t>：</w:t>
      </w:r>
    </w:p>
    <w:tbl>
      <w:tblPr>
        <w:tblStyle w:val="af6"/>
        <w:tblW w:w="9036" w:type="dxa"/>
        <w:tblLayout w:type="fixed"/>
        <w:tblLook w:val="04A0"/>
      </w:tblPr>
      <w:tblGrid>
        <w:gridCol w:w="1290"/>
        <w:gridCol w:w="1291"/>
        <w:gridCol w:w="1291"/>
        <w:gridCol w:w="1291"/>
        <w:gridCol w:w="1291"/>
        <w:gridCol w:w="1291"/>
        <w:gridCol w:w="1291"/>
      </w:tblGrid>
      <w:tr w:rsidR="00125606">
        <w:tc>
          <w:tcPr>
            <w:tcW w:w="1290"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125606">
        <w:tc>
          <w:tcPr>
            <w:tcW w:w="1290" w:type="dxa"/>
            <w:vAlign w:val="center"/>
          </w:tcPr>
          <w:p w:rsidR="00125606" w:rsidRDefault="00954D72">
            <w:pPr>
              <w:jc w:val="left"/>
            </w:pPr>
            <w:r>
              <w:rPr>
                <w:rFonts w:eastAsiaTheme="minorEastAsia"/>
                <w:color w:val="000000" w:themeColor="text1"/>
                <w:szCs w:val="21"/>
              </w:rPr>
              <w:t>过去三个月</w:t>
            </w:r>
          </w:p>
        </w:tc>
        <w:tc>
          <w:tcPr>
            <w:tcW w:w="1291" w:type="dxa"/>
            <w:vAlign w:val="center"/>
          </w:tcPr>
          <w:p w:rsidR="00125606" w:rsidRDefault="00954D72">
            <w:pPr>
              <w:jc w:val="center"/>
            </w:pPr>
            <w:r>
              <w:rPr>
                <w:rFonts w:eastAsiaTheme="minorEastAsia"/>
                <w:color w:val="000000" w:themeColor="text1"/>
                <w:szCs w:val="21"/>
              </w:rPr>
              <w:t>0.59%</w:t>
            </w:r>
          </w:p>
        </w:tc>
        <w:tc>
          <w:tcPr>
            <w:tcW w:w="1291" w:type="dxa"/>
            <w:vAlign w:val="center"/>
          </w:tcPr>
          <w:p w:rsidR="00125606" w:rsidRDefault="00954D72">
            <w:pPr>
              <w:jc w:val="center"/>
            </w:pPr>
            <w:r>
              <w:rPr>
                <w:rFonts w:eastAsiaTheme="minorEastAsia"/>
                <w:color w:val="000000" w:themeColor="text1"/>
                <w:szCs w:val="21"/>
              </w:rPr>
              <w:t>0.08%</w:t>
            </w:r>
          </w:p>
        </w:tc>
        <w:tc>
          <w:tcPr>
            <w:tcW w:w="1291" w:type="dxa"/>
            <w:vAlign w:val="center"/>
          </w:tcPr>
          <w:p w:rsidR="00125606" w:rsidRDefault="00954D72">
            <w:pPr>
              <w:jc w:val="center"/>
            </w:pPr>
            <w:r>
              <w:rPr>
                <w:rFonts w:eastAsiaTheme="minorEastAsia"/>
                <w:color w:val="000000" w:themeColor="text1"/>
                <w:szCs w:val="21"/>
              </w:rPr>
              <w:t>0.24%</w:t>
            </w:r>
          </w:p>
        </w:tc>
        <w:tc>
          <w:tcPr>
            <w:tcW w:w="1291" w:type="dxa"/>
            <w:vAlign w:val="center"/>
          </w:tcPr>
          <w:p w:rsidR="00125606" w:rsidRDefault="00954D72">
            <w:pPr>
              <w:jc w:val="center"/>
            </w:pPr>
            <w:r>
              <w:rPr>
                <w:rFonts w:eastAsiaTheme="minorEastAsia"/>
                <w:color w:val="000000" w:themeColor="text1"/>
                <w:szCs w:val="21"/>
              </w:rPr>
              <w:t>0.01%</w:t>
            </w:r>
          </w:p>
        </w:tc>
        <w:tc>
          <w:tcPr>
            <w:tcW w:w="1291" w:type="dxa"/>
            <w:vAlign w:val="center"/>
          </w:tcPr>
          <w:p w:rsidR="00125606" w:rsidRDefault="00954D72">
            <w:pPr>
              <w:jc w:val="center"/>
            </w:pPr>
            <w:r>
              <w:rPr>
                <w:rFonts w:eastAsiaTheme="minorEastAsia"/>
                <w:color w:val="000000" w:themeColor="text1"/>
                <w:szCs w:val="21"/>
              </w:rPr>
              <w:t>0.35%</w:t>
            </w:r>
          </w:p>
        </w:tc>
        <w:tc>
          <w:tcPr>
            <w:tcW w:w="1291" w:type="dxa"/>
            <w:vAlign w:val="center"/>
          </w:tcPr>
          <w:p w:rsidR="00125606" w:rsidRDefault="00954D72">
            <w:pPr>
              <w:jc w:val="center"/>
            </w:pPr>
            <w:r>
              <w:rPr>
                <w:rFonts w:eastAsiaTheme="minorEastAsia"/>
                <w:color w:val="000000" w:themeColor="text1"/>
                <w:szCs w:val="21"/>
              </w:rPr>
              <w:t>0.07%</w:t>
            </w:r>
          </w:p>
        </w:tc>
      </w:tr>
    </w:tbl>
    <w:p w:rsidR="00125606" w:rsidRDefault="00125606">
      <w:pPr>
        <w:pStyle w:val="20"/>
        <w:spacing w:line="288" w:lineRule="auto"/>
        <w:ind w:firstLineChars="0" w:firstLine="0"/>
        <w:rPr>
          <w:rFonts w:ascii="Times New Roman" w:eastAsiaTheme="minorEastAsia" w:hAnsi="Times New Roman"/>
          <w:color w:val="000000" w:themeColor="text1"/>
          <w:sz w:val="21"/>
          <w:szCs w:val="21"/>
        </w:rPr>
      </w:pPr>
    </w:p>
    <w:p w:rsidR="00125606" w:rsidRDefault="00954D72">
      <w:pPr>
        <w:adjustRightInd w:val="0"/>
        <w:spacing w:line="360" w:lineRule="auto"/>
        <w:rPr>
          <w:rFonts w:eastAsiaTheme="minorEastAsia"/>
          <w:b/>
          <w:color w:val="000000" w:themeColor="text1"/>
          <w:kern w:val="0"/>
          <w:szCs w:val="21"/>
        </w:rPr>
      </w:pPr>
      <w:r>
        <w:rPr>
          <w:rFonts w:eastAsiaTheme="minorEastAsia"/>
          <w:b/>
          <w:color w:val="000000" w:themeColor="text1"/>
          <w:szCs w:val="21"/>
        </w:rPr>
        <w:t>4</w:t>
      </w:r>
      <w:r>
        <w:rPr>
          <w:rFonts w:eastAsiaTheme="minorEastAsia"/>
          <w:b/>
          <w:color w:val="000000" w:themeColor="text1"/>
          <w:szCs w:val="21"/>
        </w:rPr>
        <w:t>、</w:t>
      </w:r>
      <w:r>
        <w:rPr>
          <w:rFonts w:eastAsiaTheme="minorEastAsia"/>
          <w:b/>
          <w:color w:val="000000" w:themeColor="text1"/>
          <w:kern w:val="0"/>
          <w:szCs w:val="21"/>
        </w:rPr>
        <w:t>上投摩根岁岁盈定期开放债券</w:t>
      </w:r>
      <w:r>
        <w:rPr>
          <w:rFonts w:eastAsiaTheme="minorEastAsia"/>
          <w:b/>
          <w:color w:val="000000" w:themeColor="text1"/>
          <w:kern w:val="0"/>
          <w:szCs w:val="21"/>
        </w:rPr>
        <w:t>D</w:t>
      </w:r>
      <w:r>
        <w:rPr>
          <w:rFonts w:eastAsiaTheme="minorEastAsia"/>
          <w:b/>
          <w:color w:val="000000" w:themeColor="text1"/>
          <w:kern w:val="0"/>
          <w:szCs w:val="21"/>
        </w:rPr>
        <w:t>：</w:t>
      </w:r>
    </w:p>
    <w:tbl>
      <w:tblPr>
        <w:tblStyle w:val="af6"/>
        <w:tblW w:w="9036" w:type="dxa"/>
        <w:tblLayout w:type="fixed"/>
        <w:tblLook w:val="04A0"/>
      </w:tblPr>
      <w:tblGrid>
        <w:gridCol w:w="1290"/>
        <w:gridCol w:w="1291"/>
        <w:gridCol w:w="1291"/>
        <w:gridCol w:w="1291"/>
        <w:gridCol w:w="1291"/>
        <w:gridCol w:w="1291"/>
        <w:gridCol w:w="1291"/>
      </w:tblGrid>
      <w:tr w:rsidR="00125606">
        <w:tc>
          <w:tcPr>
            <w:tcW w:w="1290"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125606" w:rsidRDefault="00954D72">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125606" w:rsidRDefault="00954D72">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125606" w:rsidRDefault="00954D72">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125606">
        <w:tc>
          <w:tcPr>
            <w:tcW w:w="1290" w:type="dxa"/>
            <w:vAlign w:val="center"/>
          </w:tcPr>
          <w:p w:rsidR="00125606" w:rsidRDefault="00954D72">
            <w:pPr>
              <w:jc w:val="left"/>
            </w:pPr>
            <w:r>
              <w:rPr>
                <w:rFonts w:eastAsiaTheme="minorEastAsia"/>
                <w:color w:val="000000" w:themeColor="text1"/>
                <w:szCs w:val="21"/>
              </w:rPr>
              <w:t>过去三个月</w:t>
            </w:r>
          </w:p>
        </w:tc>
        <w:tc>
          <w:tcPr>
            <w:tcW w:w="1291" w:type="dxa"/>
            <w:vAlign w:val="center"/>
          </w:tcPr>
          <w:p w:rsidR="00125606" w:rsidRDefault="00954D72">
            <w:pPr>
              <w:jc w:val="center"/>
            </w:pPr>
            <w:r>
              <w:rPr>
                <w:rFonts w:eastAsiaTheme="minorEastAsia"/>
                <w:color w:val="000000" w:themeColor="text1"/>
                <w:szCs w:val="21"/>
              </w:rPr>
              <w:t>-0.39%</w:t>
            </w:r>
          </w:p>
        </w:tc>
        <w:tc>
          <w:tcPr>
            <w:tcW w:w="1291" w:type="dxa"/>
            <w:vAlign w:val="center"/>
          </w:tcPr>
          <w:p w:rsidR="00125606" w:rsidRDefault="00954D72">
            <w:pPr>
              <w:jc w:val="center"/>
            </w:pPr>
            <w:r>
              <w:rPr>
                <w:rFonts w:eastAsiaTheme="minorEastAsia"/>
                <w:color w:val="000000" w:themeColor="text1"/>
                <w:szCs w:val="21"/>
              </w:rPr>
              <w:t>0.16%</w:t>
            </w:r>
          </w:p>
        </w:tc>
        <w:tc>
          <w:tcPr>
            <w:tcW w:w="1291" w:type="dxa"/>
            <w:vAlign w:val="center"/>
          </w:tcPr>
          <w:p w:rsidR="00125606" w:rsidRDefault="00954D72">
            <w:pPr>
              <w:jc w:val="center"/>
            </w:pPr>
            <w:r>
              <w:rPr>
                <w:rFonts w:eastAsiaTheme="minorEastAsia"/>
                <w:color w:val="000000" w:themeColor="text1"/>
                <w:szCs w:val="21"/>
              </w:rPr>
              <w:t>0.24%</w:t>
            </w:r>
          </w:p>
        </w:tc>
        <w:tc>
          <w:tcPr>
            <w:tcW w:w="1291" w:type="dxa"/>
            <w:vAlign w:val="center"/>
          </w:tcPr>
          <w:p w:rsidR="00125606" w:rsidRDefault="00954D72">
            <w:pPr>
              <w:jc w:val="center"/>
            </w:pPr>
            <w:r>
              <w:rPr>
                <w:rFonts w:eastAsiaTheme="minorEastAsia"/>
                <w:color w:val="000000" w:themeColor="text1"/>
                <w:szCs w:val="21"/>
              </w:rPr>
              <w:t>0.01%</w:t>
            </w:r>
          </w:p>
        </w:tc>
        <w:tc>
          <w:tcPr>
            <w:tcW w:w="1291" w:type="dxa"/>
            <w:vAlign w:val="center"/>
          </w:tcPr>
          <w:p w:rsidR="00125606" w:rsidRDefault="00954D72">
            <w:pPr>
              <w:jc w:val="center"/>
            </w:pPr>
            <w:r>
              <w:rPr>
                <w:rFonts w:eastAsiaTheme="minorEastAsia"/>
                <w:color w:val="000000" w:themeColor="text1"/>
                <w:szCs w:val="21"/>
              </w:rPr>
              <w:t>-0.63%</w:t>
            </w:r>
          </w:p>
        </w:tc>
        <w:tc>
          <w:tcPr>
            <w:tcW w:w="1291" w:type="dxa"/>
            <w:vAlign w:val="center"/>
          </w:tcPr>
          <w:p w:rsidR="00125606" w:rsidRDefault="00954D72">
            <w:pPr>
              <w:jc w:val="center"/>
            </w:pPr>
            <w:r>
              <w:rPr>
                <w:rFonts w:eastAsiaTheme="minorEastAsia"/>
                <w:color w:val="000000" w:themeColor="text1"/>
                <w:szCs w:val="21"/>
              </w:rPr>
              <w:t>0.15%</w:t>
            </w:r>
          </w:p>
        </w:tc>
      </w:tr>
    </w:tbl>
    <w:p w:rsidR="00125606" w:rsidRDefault="00125606">
      <w:pPr>
        <w:autoSpaceDE w:val="0"/>
        <w:autoSpaceDN w:val="0"/>
        <w:adjustRightInd w:val="0"/>
        <w:spacing w:before="29" w:line="288" w:lineRule="auto"/>
        <w:ind w:left="15"/>
        <w:jc w:val="left"/>
        <w:rPr>
          <w:rFonts w:asciiTheme="minorEastAsia" w:eastAsiaTheme="minorEastAsia" w:hAnsiTheme="minorEastAsia" w:cs="Arial"/>
          <w:b/>
          <w:color w:val="000000" w:themeColor="text1"/>
          <w:kern w:val="0"/>
          <w:sz w:val="24"/>
        </w:rPr>
      </w:pPr>
    </w:p>
    <w:p w:rsidR="00125606" w:rsidRDefault="00954D72">
      <w:pPr>
        <w:spacing w:line="360" w:lineRule="auto"/>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3.2.2</w:t>
      </w:r>
      <w:r>
        <w:rPr>
          <w:rStyle w:val="af1"/>
          <w:rFonts w:hint="eastAsia"/>
          <w:color w:val="000000" w:themeColor="text1"/>
          <w:szCs w:val="21"/>
          <w:shd w:val="clear" w:color="auto" w:fill="FFFFFF"/>
        </w:rPr>
        <w:t>自基金合同生效以来</w:t>
      </w:r>
      <w:r>
        <w:rPr>
          <w:rFonts w:asciiTheme="minorEastAsia" w:eastAsiaTheme="minorEastAsia" w:hAnsiTheme="minorEastAsia" w:hint="eastAsia"/>
          <w:b/>
          <w:color w:val="000000" w:themeColor="text1"/>
          <w:szCs w:val="21"/>
        </w:rPr>
        <w:t>基金累计净值增长率变动及其与同期业绩比较基准收益率变动的比较</w:t>
      </w:r>
    </w:p>
    <w:p w:rsidR="00125606" w:rsidRDefault="00954D72">
      <w:pPr>
        <w:spacing w:line="360" w:lineRule="auto"/>
        <w:jc w:val="center"/>
        <w:rPr>
          <w:rFonts w:asciiTheme="minorEastAsia" w:eastAsiaTheme="minorEastAsia" w:hAnsiTheme="minorEastAsia"/>
          <w:color w:val="000000" w:themeColor="text1"/>
          <w:szCs w:val="21"/>
        </w:rPr>
      </w:pPr>
      <w:r>
        <w:rPr>
          <w:rFonts w:eastAsiaTheme="minorEastAsia"/>
          <w:color w:val="000000" w:themeColor="text1"/>
          <w:szCs w:val="21"/>
        </w:rPr>
        <w:t>上投摩根岁岁盈定期开放债券型证券投资基金</w:t>
      </w:r>
    </w:p>
    <w:p w:rsidR="00125606" w:rsidRDefault="00954D72">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累计净值增长率与业绩比较基准收益率的历史走势对比图</w:t>
      </w:r>
    </w:p>
    <w:p w:rsidR="00125606" w:rsidRDefault="00954D72">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(2013</w:t>
      </w:r>
      <w:r>
        <w:rPr>
          <w:rFonts w:ascii="Times New Roman" w:eastAsiaTheme="minorEastAsia" w:hAnsi="Times New Roman"/>
          <w:color w:val="000000" w:themeColor="text1"/>
        </w:rPr>
        <w:t>年</w:t>
      </w:r>
      <w:r>
        <w:rPr>
          <w:rFonts w:ascii="Times New Roman" w:eastAsiaTheme="minorEastAsia" w:hAnsi="Times New Roman"/>
          <w:color w:val="000000" w:themeColor="text1"/>
        </w:rPr>
        <w:t>8</w:t>
      </w:r>
      <w:r>
        <w:rPr>
          <w:rFonts w:ascii="Times New Roman" w:eastAsiaTheme="minorEastAsia" w:hAnsi="Times New Roman"/>
          <w:color w:val="000000" w:themeColor="text1"/>
        </w:rPr>
        <w:t>月</w:t>
      </w:r>
      <w:r>
        <w:rPr>
          <w:rFonts w:ascii="Times New Roman" w:eastAsiaTheme="minorEastAsia" w:hAnsi="Times New Roman"/>
          <w:color w:val="000000" w:themeColor="text1"/>
        </w:rPr>
        <w:t>28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1</w:t>
      </w:r>
      <w:r w:rsidR="0034282F">
        <w:rPr>
          <w:rFonts w:ascii="Times New Roman" w:eastAsiaTheme="minorEastAsia" w:hAnsi="Times New Roman" w:hint="eastAsia"/>
          <w:color w:val="000000" w:themeColor="text1"/>
        </w:rPr>
        <w:t>1</w:t>
      </w:r>
      <w:r>
        <w:rPr>
          <w:rFonts w:ascii="Times New Roman" w:eastAsiaTheme="minorEastAsia" w:hAnsi="Times New Roman"/>
          <w:color w:val="000000" w:themeColor="text1"/>
        </w:rPr>
        <w:t>月</w:t>
      </w:r>
      <w:r w:rsidR="0034282F">
        <w:rPr>
          <w:rFonts w:ascii="Times New Roman" w:eastAsiaTheme="minorEastAsia" w:hAnsi="Times New Roman" w:hint="eastAsia"/>
          <w:color w:val="000000" w:themeColor="text1"/>
        </w:rPr>
        <w:t>8</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125606" w:rsidRDefault="00954D72">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．上投摩根岁岁盈定期开放债券</w:t>
      </w:r>
      <w:r>
        <w:rPr>
          <w:rFonts w:eastAsiaTheme="minorEastAsia"/>
          <w:color w:val="000000" w:themeColor="text1"/>
          <w:szCs w:val="21"/>
        </w:rPr>
        <w:t>A</w:t>
      </w:r>
      <w:r>
        <w:rPr>
          <w:rFonts w:eastAsiaTheme="minorEastAsia"/>
          <w:color w:val="000000" w:themeColor="text1"/>
          <w:szCs w:val="21"/>
        </w:rPr>
        <w:t>：</w:t>
      </w:r>
    </w:p>
    <w:p w:rsidR="00125606" w:rsidRDefault="00954D72">
      <w:pPr>
        <w:pStyle w:val="20"/>
        <w:spacing w:line="288" w:lineRule="auto"/>
        <w:ind w:firstLineChars="0" w:firstLine="0"/>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91175" cy="3276600"/>
                    </a:xfrm>
                    <a:prstGeom prst="rect">
                      <a:avLst/>
                    </a:prstGeom>
                    <a:noFill/>
                    <a:ln>
                      <a:noFill/>
                    </a:ln>
                  </pic:spPr>
                </pic:pic>
              </a:graphicData>
            </a:graphic>
          </wp:inline>
        </w:drawing>
      </w:r>
    </w:p>
    <w:p w:rsidR="00125606" w:rsidRDefault="00954D72">
      <w:pPr>
        <w:spacing w:line="360" w:lineRule="auto"/>
        <w:ind w:firstLineChars="200" w:firstLine="360"/>
        <w:rPr>
          <w:rFonts w:eastAsiaTheme="minorEastAsia"/>
          <w:color w:val="000000" w:themeColor="text1"/>
          <w:sz w:val="18"/>
          <w:szCs w:val="18"/>
        </w:rPr>
      </w:pPr>
      <w:r>
        <w:rPr>
          <w:rFonts w:eastAsiaTheme="minorEastAsia"/>
          <w:color w:val="000000" w:themeColor="text1"/>
          <w:sz w:val="18"/>
          <w:szCs w:val="18"/>
        </w:rPr>
        <w:t>注：本基金建仓期自</w:t>
      </w:r>
      <w:r>
        <w:rPr>
          <w:rFonts w:eastAsiaTheme="minorEastAsia"/>
          <w:color w:val="000000" w:themeColor="text1"/>
          <w:sz w:val="18"/>
          <w:szCs w:val="18"/>
        </w:rPr>
        <w:t>2013</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28</w:t>
      </w:r>
      <w:r>
        <w:rPr>
          <w:rFonts w:eastAsiaTheme="minorEastAsia"/>
          <w:color w:val="000000" w:themeColor="text1"/>
          <w:sz w:val="18"/>
          <w:szCs w:val="18"/>
        </w:rPr>
        <w:t>日至</w:t>
      </w:r>
      <w:r>
        <w:rPr>
          <w:rFonts w:eastAsiaTheme="minorEastAsia"/>
          <w:color w:val="000000" w:themeColor="text1"/>
          <w:sz w:val="18"/>
          <w:szCs w:val="18"/>
        </w:rPr>
        <w:t>2014</w:t>
      </w:r>
      <w:r>
        <w:rPr>
          <w:rFonts w:eastAsiaTheme="minorEastAsia"/>
          <w:color w:val="000000" w:themeColor="text1"/>
          <w:sz w:val="18"/>
          <w:szCs w:val="18"/>
        </w:rPr>
        <w:t>年</w:t>
      </w:r>
      <w:r>
        <w:rPr>
          <w:rFonts w:eastAsiaTheme="minorEastAsia"/>
          <w:color w:val="000000" w:themeColor="text1"/>
          <w:sz w:val="18"/>
          <w:szCs w:val="18"/>
        </w:rPr>
        <w:t>2</w:t>
      </w:r>
      <w:r>
        <w:rPr>
          <w:rFonts w:eastAsiaTheme="minorEastAsia"/>
          <w:color w:val="000000" w:themeColor="text1"/>
          <w:sz w:val="18"/>
          <w:szCs w:val="18"/>
        </w:rPr>
        <w:t>月</w:t>
      </w:r>
      <w:r>
        <w:rPr>
          <w:rFonts w:eastAsiaTheme="minorEastAsia"/>
          <w:color w:val="000000" w:themeColor="text1"/>
          <w:sz w:val="18"/>
          <w:szCs w:val="18"/>
        </w:rPr>
        <w:t>27</w:t>
      </w:r>
      <w:r>
        <w:rPr>
          <w:rFonts w:eastAsiaTheme="minorEastAsia"/>
          <w:color w:val="000000" w:themeColor="text1"/>
          <w:sz w:val="18"/>
          <w:szCs w:val="18"/>
        </w:rPr>
        <w:t>日</w:t>
      </w:r>
      <w:r>
        <w:rPr>
          <w:rFonts w:eastAsiaTheme="minorEastAsia"/>
          <w:color w:val="000000" w:themeColor="text1"/>
          <w:sz w:val="18"/>
          <w:szCs w:val="18"/>
        </w:rPr>
        <w:t>,</w:t>
      </w:r>
      <w:r>
        <w:rPr>
          <w:rFonts w:eastAsiaTheme="minorEastAsia"/>
          <w:color w:val="000000" w:themeColor="text1"/>
          <w:sz w:val="18"/>
          <w:szCs w:val="18"/>
        </w:rPr>
        <w:t>建仓期结束时资产配置比例符合本基金基金合同规定。</w:t>
      </w:r>
    </w:p>
    <w:p w:rsidR="00125606" w:rsidRDefault="00954D72">
      <w:pPr>
        <w:spacing w:line="360" w:lineRule="auto"/>
        <w:ind w:firstLineChars="200" w:firstLine="360"/>
        <w:rPr>
          <w:rFonts w:eastAsiaTheme="minorEastAsia"/>
          <w:color w:val="000000" w:themeColor="text1"/>
          <w:sz w:val="18"/>
          <w:szCs w:val="18"/>
        </w:rPr>
      </w:pPr>
      <w:r>
        <w:rPr>
          <w:rFonts w:eastAsiaTheme="minorEastAsia"/>
          <w:color w:val="000000" w:themeColor="text1"/>
          <w:sz w:val="18"/>
          <w:szCs w:val="18"/>
        </w:rPr>
        <w:t>本基金合同生效日为</w:t>
      </w:r>
      <w:r>
        <w:rPr>
          <w:rFonts w:eastAsiaTheme="minorEastAsia"/>
          <w:color w:val="000000" w:themeColor="text1"/>
          <w:sz w:val="18"/>
          <w:szCs w:val="18"/>
        </w:rPr>
        <w:t>2013</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28</w:t>
      </w:r>
      <w:r>
        <w:rPr>
          <w:rFonts w:eastAsiaTheme="minorEastAsia"/>
          <w:color w:val="000000" w:themeColor="text1"/>
          <w:sz w:val="18"/>
          <w:szCs w:val="18"/>
        </w:rPr>
        <w:t>日，本类份额失效日为</w:t>
      </w:r>
      <w:r>
        <w:rPr>
          <w:rFonts w:eastAsiaTheme="minorEastAsia"/>
          <w:color w:val="000000" w:themeColor="text1"/>
          <w:sz w:val="18"/>
          <w:szCs w:val="18"/>
        </w:rPr>
        <w:t>2018</w:t>
      </w:r>
      <w:r>
        <w:rPr>
          <w:rFonts w:eastAsiaTheme="minorEastAsia"/>
          <w:color w:val="000000" w:themeColor="text1"/>
          <w:sz w:val="18"/>
          <w:szCs w:val="18"/>
        </w:rPr>
        <w:t>年</w:t>
      </w:r>
      <w:r>
        <w:rPr>
          <w:rFonts w:eastAsiaTheme="minorEastAsia"/>
          <w:color w:val="000000" w:themeColor="text1"/>
          <w:sz w:val="18"/>
          <w:szCs w:val="18"/>
        </w:rPr>
        <w:t>11</w:t>
      </w:r>
      <w:r>
        <w:rPr>
          <w:rFonts w:eastAsiaTheme="minorEastAsia"/>
          <w:color w:val="000000" w:themeColor="text1"/>
          <w:sz w:val="18"/>
          <w:szCs w:val="18"/>
        </w:rPr>
        <w:t>月</w:t>
      </w:r>
      <w:r>
        <w:rPr>
          <w:rFonts w:eastAsiaTheme="minorEastAsia"/>
          <w:color w:val="000000" w:themeColor="text1"/>
          <w:sz w:val="18"/>
          <w:szCs w:val="18"/>
        </w:rPr>
        <w:t>8</w:t>
      </w:r>
      <w:r>
        <w:rPr>
          <w:rFonts w:eastAsiaTheme="minorEastAsia"/>
          <w:color w:val="000000" w:themeColor="text1"/>
          <w:sz w:val="18"/>
          <w:szCs w:val="18"/>
        </w:rPr>
        <w:t>日，图示时间段为</w:t>
      </w:r>
      <w:r>
        <w:rPr>
          <w:rFonts w:eastAsiaTheme="minorEastAsia"/>
          <w:color w:val="000000" w:themeColor="text1"/>
          <w:sz w:val="18"/>
          <w:szCs w:val="18"/>
        </w:rPr>
        <w:t>2013</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28</w:t>
      </w:r>
      <w:r>
        <w:rPr>
          <w:rFonts w:eastAsiaTheme="minorEastAsia"/>
          <w:color w:val="000000" w:themeColor="text1"/>
          <w:sz w:val="18"/>
          <w:szCs w:val="18"/>
        </w:rPr>
        <w:t>日至</w:t>
      </w:r>
      <w:r>
        <w:rPr>
          <w:rFonts w:eastAsiaTheme="minorEastAsia"/>
          <w:color w:val="000000" w:themeColor="text1"/>
          <w:sz w:val="18"/>
          <w:szCs w:val="18"/>
        </w:rPr>
        <w:t>2018</w:t>
      </w:r>
      <w:r>
        <w:rPr>
          <w:rFonts w:eastAsiaTheme="minorEastAsia"/>
          <w:color w:val="000000" w:themeColor="text1"/>
          <w:sz w:val="18"/>
          <w:szCs w:val="18"/>
        </w:rPr>
        <w:t>年</w:t>
      </w:r>
      <w:r>
        <w:rPr>
          <w:rFonts w:eastAsiaTheme="minorEastAsia"/>
          <w:color w:val="000000" w:themeColor="text1"/>
          <w:sz w:val="18"/>
          <w:szCs w:val="18"/>
        </w:rPr>
        <w:t>11</w:t>
      </w:r>
      <w:r>
        <w:rPr>
          <w:rFonts w:eastAsiaTheme="minorEastAsia"/>
          <w:color w:val="000000" w:themeColor="text1"/>
          <w:sz w:val="18"/>
          <w:szCs w:val="18"/>
        </w:rPr>
        <w:t>月</w:t>
      </w:r>
      <w:r>
        <w:rPr>
          <w:rFonts w:eastAsiaTheme="minorEastAsia"/>
          <w:color w:val="000000" w:themeColor="text1"/>
          <w:sz w:val="18"/>
          <w:szCs w:val="18"/>
        </w:rPr>
        <w:t>8</w:t>
      </w:r>
      <w:r>
        <w:rPr>
          <w:rFonts w:eastAsiaTheme="minorEastAsia"/>
          <w:color w:val="000000" w:themeColor="text1"/>
          <w:sz w:val="18"/>
          <w:szCs w:val="18"/>
        </w:rPr>
        <w:t>日。</w:t>
      </w:r>
    </w:p>
    <w:p w:rsidR="00125606" w:rsidRDefault="00125606">
      <w:pPr>
        <w:pStyle w:val="20"/>
        <w:spacing w:line="288" w:lineRule="auto"/>
        <w:ind w:firstLineChars="0" w:firstLine="0"/>
        <w:rPr>
          <w:rFonts w:ascii="Times New Roman" w:eastAsiaTheme="minorEastAsia" w:hAnsi="Times New Roman"/>
          <w:color w:val="000000" w:themeColor="text1"/>
        </w:rPr>
      </w:pPr>
    </w:p>
    <w:p w:rsidR="00125606" w:rsidRDefault="00954D72">
      <w:pPr>
        <w:snapToGrid w:val="0"/>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．上投摩根岁岁盈定期开放债券</w:t>
      </w:r>
      <w:r>
        <w:rPr>
          <w:rFonts w:eastAsiaTheme="minorEastAsia"/>
          <w:color w:val="000000" w:themeColor="text1"/>
          <w:szCs w:val="21"/>
        </w:rPr>
        <w:t>B</w:t>
      </w:r>
      <w:r>
        <w:rPr>
          <w:rFonts w:eastAsiaTheme="minorEastAsia"/>
          <w:color w:val="000000" w:themeColor="text1"/>
          <w:szCs w:val="21"/>
        </w:rPr>
        <w:t>：</w:t>
      </w:r>
    </w:p>
    <w:p w:rsidR="00125606" w:rsidRDefault="00954D72">
      <w:pPr>
        <w:pStyle w:val="20"/>
        <w:spacing w:line="288" w:lineRule="auto"/>
        <w:ind w:firstLineChars="0" w:firstLine="0"/>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91175" cy="3276600"/>
                    </a:xfrm>
                    <a:prstGeom prst="rect">
                      <a:avLst/>
                    </a:prstGeom>
                    <a:noFill/>
                    <a:ln>
                      <a:noFill/>
                    </a:ln>
                  </pic:spPr>
                </pic:pic>
              </a:graphicData>
            </a:graphic>
          </wp:inline>
        </w:drawing>
      </w:r>
    </w:p>
    <w:p w:rsidR="00125606" w:rsidRDefault="00954D72">
      <w:pPr>
        <w:spacing w:line="360" w:lineRule="auto"/>
        <w:ind w:firstLineChars="200" w:firstLine="360"/>
        <w:rPr>
          <w:rFonts w:eastAsiaTheme="minorEastAsia"/>
          <w:color w:val="000000" w:themeColor="text1"/>
          <w:sz w:val="18"/>
          <w:szCs w:val="18"/>
        </w:rPr>
      </w:pPr>
      <w:r>
        <w:rPr>
          <w:rFonts w:eastAsiaTheme="minorEastAsia"/>
          <w:color w:val="000000" w:themeColor="text1"/>
          <w:sz w:val="18"/>
          <w:szCs w:val="18"/>
        </w:rPr>
        <w:t>注：本基金建仓期自</w:t>
      </w:r>
      <w:r>
        <w:rPr>
          <w:rFonts w:eastAsiaTheme="minorEastAsia"/>
          <w:color w:val="000000" w:themeColor="text1"/>
          <w:sz w:val="18"/>
          <w:szCs w:val="18"/>
        </w:rPr>
        <w:t>2013</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28</w:t>
      </w:r>
      <w:r>
        <w:rPr>
          <w:rFonts w:eastAsiaTheme="minorEastAsia"/>
          <w:color w:val="000000" w:themeColor="text1"/>
          <w:sz w:val="18"/>
          <w:szCs w:val="18"/>
        </w:rPr>
        <w:t>日至</w:t>
      </w:r>
      <w:r>
        <w:rPr>
          <w:rFonts w:eastAsiaTheme="minorEastAsia"/>
          <w:color w:val="000000" w:themeColor="text1"/>
          <w:sz w:val="18"/>
          <w:szCs w:val="18"/>
        </w:rPr>
        <w:t>2014</w:t>
      </w:r>
      <w:r>
        <w:rPr>
          <w:rFonts w:eastAsiaTheme="minorEastAsia"/>
          <w:color w:val="000000" w:themeColor="text1"/>
          <w:sz w:val="18"/>
          <w:szCs w:val="18"/>
        </w:rPr>
        <w:t>年</w:t>
      </w:r>
      <w:r>
        <w:rPr>
          <w:rFonts w:eastAsiaTheme="minorEastAsia"/>
          <w:color w:val="000000" w:themeColor="text1"/>
          <w:sz w:val="18"/>
          <w:szCs w:val="18"/>
        </w:rPr>
        <w:t>2</w:t>
      </w:r>
      <w:r>
        <w:rPr>
          <w:rFonts w:eastAsiaTheme="minorEastAsia"/>
          <w:color w:val="000000" w:themeColor="text1"/>
          <w:sz w:val="18"/>
          <w:szCs w:val="18"/>
        </w:rPr>
        <w:t>月</w:t>
      </w:r>
      <w:r>
        <w:rPr>
          <w:rFonts w:eastAsiaTheme="minorEastAsia"/>
          <w:color w:val="000000" w:themeColor="text1"/>
          <w:sz w:val="18"/>
          <w:szCs w:val="18"/>
        </w:rPr>
        <w:t>27</w:t>
      </w:r>
      <w:r>
        <w:rPr>
          <w:rFonts w:eastAsiaTheme="minorEastAsia"/>
          <w:color w:val="000000" w:themeColor="text1"/>
          <w:sz w:val="18"/>
          <w:szCs w:val="18"/>
        </w:rPr>
        <w:t>日</w:t>
      </w:r>
      <w:r>
        <w:rPr>
          <w:rFonts w:eastAsiaTheme="minorEastAsia"/>
          <w:color w:val="000000" w:themeColor="text1"/>
          <w:sz w:val="18"/>
          <w:szCs w:val="18"/>
        </w:rPr>
        <w:t>,</w:t>
      </w:r>
      <w:r>
        <w:rPr>
          <w:rFonts w:eastAsiaTheme="minorEastAsia"/>
          <w:color w:val="000000" w:themeColor="text1"/>
          <w:sz w:val="18"/>
          <w:szCs w:val="18"/>
        </w:rPr>
        <w:t>建仓期结束时资产配置比例符合本基金基金合同规定。</w:t>
      </w:r>
    </w:p>
    <w:p w:rsidR="00125606" w:rsidRDefault="00954D72">
      <w:pPr>
        <w:spacing w:line="360" w:lineRule="auto"/>
        <w:ind w:firstLineChars="200" w:firstLine="360"/>
        <w:rPr>
          <w:rFonts w:eastAsiaTheme="minorEastAsia"/>
          <w:color w:val="000000" w:themeColor="text1"/>
          <w:sz w:val="18"/>
          <w:szCs w:val="18"/>
        </w:rPr>
      </w:pPr>
      <w:r>
        <w:rPr>
          <w:rFonts w:eastAsiaTheme="minorEastAsia"/>
          <w:color w:val="000000" w:themeColor="text1"/>
          <w:sz w:val="18"/>
          <w:szCs w:val="18"/>
        </w:rPr>
        <w:t>本类份额生效日为</w:t>
      </w:r>
      <w:r>
        <w:rPr>
          <w:rFonts w:eastAsiaTheme="minorEastAsia"/>
          <w:color w:val="000000" w:themeColor="text1"/>
          <w:sz w:val="18"/>
          <w:szCs w:val="18"/>
        </w:rPr>
        <w:t>2014</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29</w:t>
      </w:r>
      <w:r>
        <w:rPr>
          <w:rFonts w:eastAsiaTheme="minorEastAsia"/>
          <w:color w:val="000000" w:themeColor="text1"/>
          <w:sz w:val="18"/>
          <w:szCs w:val="18"/>
        </w:rPr>
        <w:t>日，本类份额失效日为</w:t>
      </w:r>
      <w:r>
        <w:rPr>
          <w:rFonts w:eastAsiaTheme="minorEastAsia"/>
          <w:color w:val="000000" w:themeColor="text1"/>
          <w:sz w:val="18"/>
          <w:szCs w:val="18"/>
        </w:rPr>
        <w:t>2018</w:t>
      </w:r>
      <w:r>
        <w:rPr>
          <w:rFonts w:eastAsiaTheme="minorEastAsia"/>
          <w:color w:val="000000" w:themeColor="text1"/>
          <w:sz w:val="18"/>
          <w:szCs w:val="18"/>
        </w:rPr>
        <w:t>年</w:t>
      </w:r>
      <w:r>
        <w:rPr>
          <w:rFonts w:eastAsiaTheme="minorEastAsia"/>
          <w:color w:val="000000" w:themeColor="text1"/>
          <w:sz w:val="18"/>
          <w:szCs w:val="18"/>
        </w:rPr>
        <w:t>11</w:t>
      </w:r>
      <w:r>
        <w:rPr>
          <w:rFonts w:eastAsiaTheme="minorEastAsia"/>
          <w:color w:val="000000" w:themeColor="text1"/>
          <w:sz w:val="18"/>
          <w:szCs w:val="18"/>
        </w:rPr>
        <w:t>月</w:t>
      </w:r>
      <w:r>
        <w:rPr>
          <w:rFonts w:eastAsiaTheme="minorEastAsia"/>
          <w:color w:val="000000" w:themeColor="text1"/>
          <w:sz w:val="18"/>
          <w:szCs w:val="18"/>
        </w:rPr>
        <w:t>7</w:t>
      </w:r>
      <w:r>
        <w:rPr>
          <w:rFonts w:eastAsiaTheme="minorEastAsia"/>
          <w:color w:val="000000" w:themeColor="text1"/>
          <w:sz w:val="18"/>
          <w:szCs w:val="18"/>
        </w:rPr>
        <w:t>日，图示时间段为</w:t>
      </w:r>
      <w:r>
        <w:rPr>
          <w:rFonts w:eastAsiaTheme="minorEastAsia"/>
          <w:color w:val="000000" w:themeColor="text1"/>
          <w:sz w:val="18"/>
          <w:szCs w:val="18"/>
        </w:rPr>
        <w:t>2014</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29</w:t>
      </w:r>
      <w:r>
        <w:rPr>
          <w:rFonts w:eastAsiaTheme="minorEastAsia"/>
          <w:color w:val="000000" w:themeColor="text1"/>
          <w:sz w:val="18"/>
          <w:szCs w:val="18"/>
        </w:rPr>
        <w:t>日至</w:t>
      </w:r>
      <w:r>
        <w:rPr>
          <w:rFonts w:eastAsiaTheme="minorEastAsia"/>
          <w:color w:val="000000" w:themeColor="text1"/>
          <w:sz w:val="18"/>
          <w:szCs w:val="18"/>
        </w:rPr>
        <w:t>2018</w:t>
      </w:r>
      <w:r>
        <w:rPr>
          <w:rFonts w:eastAsiaTheme="minorEastAsia"/>
          <w:color w:val="000000" w:themeColor="text1"/>
          <w:sz w:val="18"/>
          <w:szCs w:val="18"/>
        </w:rPr>
        <w:t>年</w:t>
      </w:r>
      <w:r>
        <w:rPr>
          <w:rFonts w:eastAsiaTheme="minorEastAsia"/>
          <w:color w:val="000000" w:themeColor="text1"/>
          <w:sz w:val="18"/>
          <w:szCs w:val="18"/>
        </w:rPr>
        <w:t>11</w:t>
      </w:r>
      <w:r>
        <w:rPr>
          <w:rFonts w:eastAsiaTheme="minorEastAsia"/>
          <w:color w:val="000000" w:themeColor="text1"/>
          <w:sz w:val="18"/>
          <w:szCs w:val="18"/>
        </w:rPr>
        <w:t>月</w:t>
      </w:r>
      <w:r>
        <w:rPr>
          <w:rFonts w:eastAsiaTheme="minorEastAsia"/>
          <w:color w:val="000000" w:themeColor="text1"/>
          <w:sz w:val="18"/>
          <w:szCs w:val="18"/>
        </w:rPr>
        <w:t>7</w:t>
      </w:r>
      <w:r>
        <w:rPr>
          <w:rFonts w:eastAsiaTheme="minorEastAsia"/>
          <w:color w:val="000000" w:themeColor="text1"/>
          <w:sz w:val="18"/>
          <w:szCs w:val="18"/>
        </w:rPr>
        <w:t>日。</w:t>
      </w:r>
    </w:p>
    <w:p w:rsidR="00125606" w:rsidRDefault="00954D72">
      <w:pPr>
        <w:snapToGrid w:val="0"/>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．上投摩根岁岁盈定期开放债券</w:t>
      </w:r>
      <w:r>
        <w:rPr>
          <w:rFonts w:eastAsiaTheme="minorEastAsia"/>
          <w:color w:val="000000" w:themeColor="text1"/>
          <w:szCs w:val="21"/>
        </w:rPr>
        <w:t>C</w:t>
      </w:r>
      <w:r>
        <w:rPr>
          <w:rFonts w:eastAsiaTheme="minorEastAsia"/>
          <w:color w:val="000000" w:themeColor="text1"/>
          <w:szCs w:val="21"/>
        </w:rPr>
        <w:t>：</w:t>
      </w:r>
    </w:p>
    <w:p w:rsidR="00125606" w:rsidRDefault="00954D72">
      <w:pPr>
        <w:pStyle w:val="20"/>
        <w:spacing w:line="288" w:lineRule="auto"/>
        <w:ind w:firstLineChars="0" w:firstLine="0"/>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00700" cy="3280938"/>
                    </a:xfrm>
                    <a:prstGeom prst="rect">
                      <a:avLst/>
                    </a:prstGeom>
                    <a:noFill/>
                    <a:ln>
                      <a:noFill/>
                    </a:ln>
                  </pic:spPr>
                </pic:pic>
              </a:graphicData>
            </a:graphic>
          </wp:inline>
        </w:drawing>
      </w:r>
    </w:p>
    <w:p w:rsidR="00125606" w:rsidRDefault="00954D72">
      <w:pPr>
        <w:spacing w:line="360" w:lineRule="auto"/>
        <w:ind w:firstLineChars="200" w:firstLine="360"/>
        <w:rPr>
          <w:rFonts w:eastAsiaTheme="minorEastAsia"/>
          <w:color w:val="000000" w:themeColor="text1"/>
          <w:sz w:val="18"/>
          <w:szCs w:val="18"/>
        </w:rPr>
      </w:pPr>
      <w:r>
        <w:rPr>
          <w:rFonts w:eastAsiaTheme="minorEastAsia"/>
          <w:color w:val="000000" w:themeColor="text1"/>
          <w:sz w:val="18"/>
          <w:szCs w:val="18"/>
        </w:rPr>
        <w:t>注：本基金建仓期自</w:t>
      </w:r>
      <w:r>
        <w:rPr>
          <w:rFonts w:eastAsiaTheme="minorEastAsia"/>
          <w:color w:val="000000" w:themeColor="text1"/>
          <w:sz w:val="18"/>
          <w:szCs w:val="18"/>
        </w:rPr>
        <w:t>2013</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28</w:t>
      </w:r>
      <w:r>
        <w:rPr>
          <w:rFonts w:eastAsiaTheme="minorEastAsia"/>
          <w:color w:val="000000" w:themeColor="text1"/>
          <w:sz w:val="18"/>
          <w:szCs w:val="18"/>
        </w:rPr>
        <w:t>日至</w:t>
      </w:r>
      <w:r>
        <w:rPr>
          <w:rFonts w:eastAsiaTheme="minorEastAsia"/>
          <w:color w:val="000000" w:themeColor="text1"/>
          <w:sz w:val="18"/>
          <w:szCs w:val="18"/>
        </w:rPr>
        <w:t>2014</w:t>
      </w:r>
      <w:r>
        <w:rPr>
          <w:rFonts w:eastAsiaTheme="minorEastAsia"/>
          <w:color w:val="000000" w:themeColor="text1"/>
          <w:sz w:val="18"/>
          <w:szCs w:val="18"/>
        </w:rPr>
        <w:t>年</w:t>
      </w:r>
      <w:r>
        <w:rPr>
          <w:rFonts w:eastAsiaTheme="minorEastAsia"/>
          <w:color w:val="000000" w:themeColor="text1"/>
          <w:sz w:val="18"/>
          <w:szCs w:val="18"/>
        </w:rPr>
        <w:t>2</w:t>
      </w:r>
      <w:r>
        <w:rPr>
          <w:rFonts w:eastAsiaTheme="minorEastAsia"/>
          <w:color w:val="000000" w:themeColor="text1"/>
          <w:sz w:val="18"/>
          <w:szCs w:val="18"/>
        </w:rPr>
        <w:t>月</w:t>
      </w:r>
      <w:r>
        <w:rPr>
          <w:rFonts w:eastAsiaTheme="minorEastAsia"/>
          <w:color w:val="000000" w:themeColor="text1"/>
          <w:sz w:val="18"/>
          <w:szCs w:val="18"/>
        </w:rPr>
        <w:t>27</w:t>
      </w:r>
      <w:r>
        <w:rPr>
          <w:rFonts w:eastAsiaTheme="minorEastAsia"/>
          <w:color w:val="000000" w:themeColor="text1"/>
          <w:sz w:val="18"/>
          <w:szCs w:val="18"/>
        </w:rPr>
        <w:t>日</w:t>
      </w:r>
      <w:r>
        <w:rPr>
          <w:rFonts w:eastAsiaTheme="minorEastAsia"/>
          <w:color w:val="000000" w:themeColor="text1"/>
          <w:sz w:val="18"/>
          <w:szCs w:val="18"/>
        </w:rPr>
        <w:t>,</w:t>
      </w:r>
      <w:r>
        <w:rPr>
          <w:rFonts w:eastAsiaTheme="minorEastAsia"/>
          <w:color w:val="000000" w:themeColor="text1"/>
          <w:sz w:val="18"/>
          <w:szCs w:val="18"/>
        </w:rPr>
        <w:t>建仓期结束时资产配置比例符合本基金基金合同规定。</w:t>
      </w:r>
    </w:p>
    <w:p w:rsidR="00125606" w:rsidRDefault="00954D72">
      <w:pPr>
        <w:spacing w:line="360" w:lineRule="auto"/>
        <w:ind w:firstLineChars="200" w:firstLine="360"/>
        <w:rPr>
          <w:rFonts w:eastAsiaTheme="minorEastAsia"/>
          <w:color w:val="000000" w:themeColor="text1"/>
          <w:sz w:val="18"/>
          <w:szCs w:val="18"/>
        </w:rPr>
      </w:pPr>
      <w:r>
        <w:rPr>
          <w:rFonts w:eastAsiaTheme="minorEastAsia"/>
          <w:color w:val="000000" w:themeColor="text1"/>
          <w:sz w:val="18"/>
          <w:szCs w:val="18"/>
        </w:rPr>
        <w:t>本基金合同生效日为</w:t>
      </w:r>
      <w:r>
        <w:rPr>
          <w:rFonts w:eastAsiaTheme="minorEastAsia"/>
          <w:color w:val="000000" w:themeColor="text1"/>
          <w:sz w:val="18"/>
          <w:szCs w:val="18"/>
        </w:rPr>
        <w:t>2013</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28</w:t>
      </w:r>
      <w:r>
        <w:rPr>
          <w:rFonts w:eastAsiaTheme="minorEastAsia"/>
          <w:color w:val="000000" w:themeColor="text1"/>
          <w:sz w:val="18"/>
          <w:szCs w:val="18"/>
        </w:rPr>
        <w:t>日，本类份额失效日为</w:t>
      </w:r>
      <w:r>
        <w:rPr>
          <w:rFonts w:eastAsiaTheme="minorEastAsia"/>
          <w:color w:val="000000" w:themeColor="text1"/>
          <w:sz w:val="18"/>
          <w:szCs w:val="18"/>
        </w:rPr>
        <w:t>2018</w:t>
      </w:r>
      <w:r>
        <w:rPr>
          <w:rFonts w:eastAsiaTheme="minorEastAsia"/>
          <w:color w:val="000000" w:themeColor="text1"/>
          <w:sz w:val="18"/>
          <w:szCs w:val="18"/>
        </w:rPr>
        <w:t>年</w:t>
      </w:r>
      <w:r>
        <w:rPr>
          <w:rFonts w:eastAsiaTheme="minorEastAsia"/>
          <w:color w:val="000000" w:themeColor="text1"/>
          <w:sz w:val="18"/>
          <w:szCs w:val="18"/>
        </w:rPr>
        <w:t>11</w:t>
      </w:r>
      <w:r>
        <w:rPr>
          <w:rFonts w:eastAsiaTheme="minorEastAsia"/>
          <w:color w:val="000000" w:themeColor="text1"/>
          <w:sz w:val="18"/>
          <w:szCs w:val="18"/>
        </w:rPr>
        <w:t>月</w:t>
      </w:r>
      <w:r>
        <w:rPr>
          <w:rFonts w:eastAsiaTheme="minorEastAsia"/>
          <w:color w:val="000000" w:themeColor="text1"/>
          <w:sz w:val="18"/>
          <w:szCs w:val="18"/>
        </w:rPr>
        <w:t>8</w:t>
      </w:r>
      <w:r>
        <w:rPr>
          <w:rFonts w:eastAsiaTheme="minorEastAsia"/>
          <w:color w:val="000000" w:themeColor="text1"/>
          <w:sz w:val="18"/>
          <w:szCs w:val="18"/>
        </w:rPr>
        <w:t>日，图示时间段为</w:t>
      </w:r>
      <w:r>
        <w:rPr>
          <w:rFonts w:eastAsiaTheme="minorEastAsia"/>
          <w:color w:val="000000" w:themeColor="text1"/>
          <w:sz w:val="18"/>
          <w:szCs w:val="18"/>
        </w:rPr>
        <w:t>2013</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28</w:t>
      </w:r>
      <w:r>
        <w:rPr>
          <w:rFonts w:eastAsiaTheme="minorEastAsia"/>
          <w:color w:val="000000" w:themeColor="text1"/>
          <w:sz w:val="18"/>
          <w:szCs w:val="18"/>
        </w:rPr>
        <w:t>日至</w:t>
      </w:r>
      <w:r>
        <w:rPr>
          <w:rFonts w:eastAsiaTheme="minorEastAsia"/>
          <w:color w:val="000000" w:themeColor="text1"/>
          <w:sz w:val="18"/>
          <w:szCs w:val="18"/>
        </w:rPr>
        <w:t>2018</w:t>
      </w:r>
      <w:r>
        <w:rPr>
          <w:rFonts w:eastAsiaTheme="minorEastAsia"/>
          <w:color w:val="000000" w:themeColor="text1"/>
          <w:sz w:val="18"/>
          <w:szCs w:val="18"/>
        </w:rPr>
        <w:t>年</w:t>
      </w:r>
      <w:r>
        <w:rPr>
          <w:rFonts w:eastAsiaTheme="minorEastAsia"/>
          <w:color w:val="000000" w:themeColor="text1"/>
          <w:sz w:val="18"/>
          <w:szCs w:val="18"/>
        </w:rPr>
        <w:t>11</w:t>
      </w:r>
      <w:r>
        <w:rPr>
          <w:rFonts w:eastAsiaTheme="minorEastAsia"/>
          <w:color w:val="000000" w:themeColor="text1"/>
          <w:sz w:val="18"/>
          <w:szCs w:val="18"/>
        </w:rPr>
        <w:t>月</w:t>
      </w:r>
      <w:r>
        <w:rPr>
          <w:rFonts w:eastAsiaTheme="minorEastAsia"/>
          <w:color w:val="000000" w:themeColor="text1"/>
          <w:sz w:val="18"/>
          <w:szCs w:val="18"/>
        </w:rPr>
        <w:t>8</w:t>
      </w:r>
      <w:r>
        <w:rPr>
          <w:rFonts w:eastAsiaTheme="minorEastAsia"/>
          <w:color w:val="000000" w:themeColor="text1"/>
          <w:sz w:val="18"/>
          <w:szCs w:val="18"/>
        </w:rPr>
        <w:t>日。</w:t>
      </w:r>
    </w:p>
    <w:p w:rsidR="00125606" w:rsidRDefault="00125606">
      <w:pPr>
        <w:pStyle w:val="20"/>
        <w:spacing w:line="288" w:lineRule="auto"/>
        <w:ind w:firstLineChars="0" w:firstLine="0"/>
        <w:rPr>
          <w:rFonts w:ascii="Times New Roman" w:eastAsiaTheme="minorEastAsia" w:hAnsi="Times New Roman"/>
          <w:color w:val="000000" w:themeColor="text1"/>
        </w:rPr>
      </w:pPr>
    </w:p>
    <w:p w:rsidR="00125606" w:rsidRDefault="00954D72">
      <w:pPr>
        <w:snapToGrid w:val="0"/>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．上投摩根岁岁盈定期开放债券</w:t>
      </w:r>
      <w:r>
        <w:rPr>
          <w:rFonts w:eastAsiaTheme="minorEastAsia"/>
          <w:color w:val="000000" w:themeColor="text1"/>
          <w:szCs w:val="21"/>
        </w:rPr>
        <w:t>D</w:t>
      </w:r>
      <w:r>
        <w:rPr>
          <w:rFonts w:eastAsiaTheme="minorEastAsia"/>
          <w:color w:val="000000" w:themeColor="text1"/>
          <w:szCs w:val="21"/>
        </w:rPr>
        <w:t>：</w:t>
      </w:r>
    </w:p>
    <w:p w:rsidR="00125606" w:rsidRDefault="00954D72">
      <w:pPr>
        <w:pStyle w:val="20"/>
        <w:spacing w:line="288" w:lineRule="auto"/>
        <w:ind w:firstLineChars="0" w:firstLine="0"/>
        <w:jc w:val="center"/>
        <w:rPr>
          <w:rFonts w:asciiTheme="minorEastAsia" w:eastAsiaTheme="minorEastAsia" w:hAnsiTheme="minorEastAsia"/>
          <w:b/>
          <w:color w:val="000000" w:themeColor="text1"/>
        </w:rPr>
      </w:pPr>
      <w:r>
        <w:rPr>
          <w:rFonts w:asciiTheme="minorEastAsia" w:eastAsiaTheme="minorEastAsia" w:hAnsiTheme="minorEastAsia"/>
          <w:b/>
          <w:noProof/>
          <w:color w:val="000000" w:themeColor="text1"/>
        </w:rPr>
        <w:drawing>
          <wp:inline distT="0" distB="0" distL="0" distR="0">
            <wp:extent cx="5600700" cy="3279775"/>
            <wp:effectExtent l="0" t="0" r="0" b="0"/>
            <wp:docPr id="1" name="图片 1"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4.jpg"/>
                    <pic:cNvPicPr>
                      <a:picLocks noChangeAspect="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0700" cy="3279775"/>
                    </a:xfrm>
                    <a:prstGeom prst="rect">
                      <a:avLst/>
                    </a:prstGeom>
                  </pic:spPr>
                </pic:pic>
              </a:graphicData>
            </a:graphic>
          </wp:inline>
        </w:drawing>
      </w:r>
    </w:p>
    <w:p w:rsidR="00125606" w:rsidRDefault="00954D72">
      <w:pPr>
        <w:spacing w:line="360" w:lineRule="auto"/>
        <w:ind w:firstLineChars="200" w:firstLine="360"/>
        <w:rPr>
          <w:rFonts w:eastAsiaTheme="minorEastAsia"/>
          <w:color w:val="000000" w:themeColor="text1"/>
          <w:sz w:val="18"/>
          <w:szCs w:val="18"/>
        </w:rPr>
      </w:pPr>
      <w:r>
        <w:rPr>
          <w:rFonts w:eastAsiaTheme="minorEastAsia"/>
          <w:color w:val="000000" w:themeColor="text1"/>
          <w:sz w:val="18"/>
          <w:szCs w:val="18"/>
        </w:rPr>
        <w:t>注：本基金建仓期自</w:t>
      </w:r>
      <w:r>
        <w:rPr>
          <w:rFonts w:eastAsiaTheme="minorEastAsia"/>
          <w:color w:val="000000" w:themeColor="text1"/>
          <w:sz w:val="18"/>
          <w:szCs w:val="18"/>
        </w:rPr>
        <w:t>2013</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28</w:t>
      </w:r>
      <w:r>
        <w:rPr>
          <w:rFonts w:eastAsiaTheme="minorEastAsia"/>
          <w:color w:val="000000" w:themeColor="text1"/>
          <w:sz w:val="18"/>
          <w:szCs w:val="18"/>
        </w:rPr>
        <w:t>日至</w:t>
      </w:r>
      <w:r>
        <w:rPr>
          <w:rFonts w:eastAsiaTheme="minorEastAsia"/>
          <w:color w:val="000000" w:themeColor="text1"/>
          <w:sz w:val="18"/>
          <w:szCs w:val="18"/>
        </w:rPr>
        <w:t>2014</w:t>
      </w:r>
      <w:r>
        <w:rPr>
          <w:rFonts w:eastAsiaTheme="minorEastAsia"/>
          <w:color w:val="000000" w:themeColor="text1"/>
          <w:sz w:val="18"/>
          <w:szCs w:val="18"/>
        </w:rPr>
        <w:t>年</w:t>
      </w:r>
      <w:r>
        <w:rPr>
          <w:rFonts w:eastAsiaTheme="minorEastAsia"/>
          <w:color w:val="000000" w:themeColor="text1"/>
          <w:sz w:val="18"/>
          <w:szCs w:val="18"/>
        </w:rPr>
        <w:t>2</w:t>
      </w:r>
      <w:r>
        <w:rPr>
          <w:rFonts w:eastAsiaTheme="minorEastAsia"/>
          <w:color w:val="000000" w:themeColor="text1"/>
          <w:sz w:val="18"/>
          <w:szCs w:val="18"/>
        </w:rPr>
        <w:t>月</w:t>
      </w:r>
      <w:r>
        <w:rPr>
          <w:rFonts w:eastAsiaTheme="minorEastAsia"/>
          <w:color w:val="000000" w:themeColor="text1"/>
          <w:sz w:val="18"/>
          <w:szCs w:val="18"/>
        </w:rPr>
        <w:t>27</w:t>
      </w:r>
      <w:r>
        <w:rPr>
          <w:rFonts w:eastAsiaTheme="minorEastAsia"/>
          <w:color w:val="000000" w:themeColor="text1"/>
          <w:sz w:val="18"/>
          <w:szCs w:val="18"/>
        </w:rPr>
        <w:t>日</w:t>
      </w:r>
      <w:r>
        <w:rPr>
          <w:rFonts w:eastAsiaTheme="minorEastAsia"/>
          <w:color w:val="000000" w:themeColor="text1"/>
          <w:sz w:val="18"/>
          <w:szCs w:val="18"/>
        </w:rPr>
        <w:t>,</w:t>
      </w:r>
      <w:r>
        <w:rPr>
          <w:rFonts w:eastAsiaTheme="minorEastAsia"/>
          <w:color w:val="000000" w:themeColor="text1"/>
          <w:sz w:val="18"/>
          <w:szCs w:val="18"/>
        </w:rPr>
        <w:t>建仓期结束时资产配置比例符合本基金基金合同规定。</w:t>
      </w:r>
    </w:p>
    <w:p w:rsidR="00125606" w:rsidRDefault="00954D72">
      <w:pPr>
        <w:spacing w:line="360" w:lineRule="auto"/>
        <w:ind w:firstLineChars="200" w:firstLine="360"/>
        <w:rPr>
          <w:rFonts w:eastAsiaTheme="minorEastAsia"/>
          <w:color w:val="000000" w:themeColor="text1"/>
          <w:sz w:val="18"/>
          <w:szCs w:val="18"/>
        </w:rPr>
      </w:pPr>
      <w:r>
        <w:rPr>
          <w:rFonts w:eastAsiaTheme="minorEastAsia"/>
          <w:color w:val="000000" w:themeColor="text1"/>
          <w:sz w:val="18"/>
          <w:szCs w:val="18"/>
        </w:rPr>
        <w:t>本类份额生效日为</w:t>
      </w:r>
      <w:r>
        <w:rPr>
          <w:rFonts w:eastAsiaTheme="minorEastAsia"/>
          <w:color w:val="000000" w:themeColor="text1"/>
          <w:sz w:val="18"/>
          <w:szCs w:val="18"/>
        </w:rPr>
        <w:t>2014</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29</w:t>
      </w:r>
      <w:r>
        <w:rPr>
          <w:rFonts w:eastAsiaTheme="minorEastAsia"/>
          <w:color w:val="000000" w:themeColor="text1"/>
          <w:sz w:val="18"/>
          <w:szCs w:val="18"/>
        </w:rPr>
        <w:t>日，本类份额失效日为</w:t>
      </w:r>
      <w:r>
        <w:rPr>
          <w:rFonts w:eastAsiaTheme="minorEastAsia"/>
          <w:color w:val="000000" w:themeColor="text1"/>
          <w:sz w:val="18"/>
          <w:szCs w:val="18"/>
        </w:rPr>
        <w:t>2018</w:t>
      </w:r>
      <w:r>
        <w:rPr>
          <w:rFonts w:eastAsiaTheme="minorEastAsia"/>
          <w:color w:val="000000" w:themeColor="text1"/>
          <w:sz w:val="18"/>
          <w:szCs w:val="18"/>
        </w:rPr>
        <w:t>年</w:t>
      </w:r>
      <w:r>
        <w:rPr>
          <w:rFonts w:eastAsiaTheme="minorEastAsia"/>
          <w:color w:val="000000" w:themeColor="text1"/>
          <w:sz w:val="18"/>
          <w:szCs w:val="18"/>
        </w:rPr>
        <w:t>11</w:t>
      </w:r>
      <w:r>
        <w:rPr>
          <w:rFonts w:eastAsiaTheme="minorEastAsia"/>
          <w:color w:val="000000" w:themeColor="text1"/>
          <w:sz w:val="18"/>
          <w:szCs w:val="18"/>
        </w:rPr>
        <w:t>月</w:t>
      </w:r>
      <w:r>
        <w:rPr>
          <w:rFonts w:eastAsiaTheme="minorEastAsia"/>
          <w:color w:val="000000" w:themeColor="text1"/>
          <w:sz w:val="18"/>
          <w:szCs w:val="18"/>
        </w:rPr>
        <w:t>7</w:t>
      </w:r>
      <w:r>
        <w:rPr>
          <w:rFonts w:eastAsiaTheme="minorEastAsia"/>
          <w:color w:val="000000" w:themeColor="text1"/>
          <w:sz w:val="18"/>
          <w:szCs w:val="18"/>
        </w:rPr>
        <w:t>日，图示时间段为</w:t>
      </w:r>
      <w:r>
        <w:rPr>
          <w:rFonts w:eastAsiaTheme="minorEastAsia"/>
          <w:color w:val="000000" w:themeColor="text1"/>
          <w:sz w:val="18"/>
          <w:szCs w:val="18"/>
        </w:rPr>
        <w:t>2014</w:t>
      </w:r>
      <w:r>
        <w:rPr>
          <w:rFonts w:eastAsiaTheme="minorEastAsia"/>
          <w:color w:val="000000" w:themeColor="text1"/>
          <w:sz w:val="18"/>
          <w:szCs w:val="18"/>
        </w:rPr>
        <w:t>年</w:t>
      </w:r>
      <w:r>
        <w:rPr>
          <w:rFonts w:eastAsiaTheme="minorEastAsia"/>
          <w:color w:val="000000" w:themeColor="text1"/>
          <w:sz w:val="18"/>
          <w:szCs w:val="18"/>
        </w:rPr>
        <w:t>8</w:t>
      </w:r>
      <w:r>
        <w:rPr>
          <w:rFonts w:eastAsiaTheme="minorEastAsia"/>
          <w:color w:val="000000" w:themeColor="text1"/>
          <w:sz w:val="18"/>
          <w:szCs w:val="18"/>
        </w:rPr>
        <w:t>月</w:t>
      </w:r>
      <w:r>
        <w:rPr>
          <w:rFonts w:eastAsiaTheme="minorEastAsia"/>
          <w:color w:val="000000" w:themeColor="text1"/>
          <w:sz w:val="18"/>
          <w:szCs w:val="18"/>
        </w:rPr>
        <w:t>29</w:t>
      </w:r>
      <w:r>
        <w:rPr>
          <w:rFonts w:eastAsiaTheme="minorEastAsia"/>
          <w:color w:val="000000" w:themeColor="text1"/>
          <w:sz w:val="18"/>
          <w:szCs w:val="18"/>
        </w:rPr>
        <w:t>日至</w:t>
      </w:r>
      <w:r>
        <w:rPr>
          <w:rFonts w:eastAsiaTheme="minorEastAsia"/>
          <w:color w:val="000000" w:themeColor="text1"/>
          <w:sz w:val="18"/>
          <w:szCs w:val="18"/>
        </w:rPr>
        <w:t>2018</w:t>
      </w:r>
      <w:r>
        <w:rPr>
          <w:rFonts w:eastAsiaTheme="minorEastAsia"/>
          <w:color w:val="000000" w:themeColor="text1"/>
          <w:sz w:val="18"/>
          <w:szCs w:val="18"/>
        </w:rPr>
        <w:t>年</w:t>
      </w:r>
      <w:r>
        <w:rPr>
          <w:rFonts w:eastAsiaTheme="minorEastAsia"/>
          <w:color w:val="000000" w:themeColor="text1"/>
          <w:sz w:val="18"/>
          <w:szCs w:val="18"/>
        </w:rPr>
        <w:t>11</w:t>
      </w:r>
      <w:r>
        <w:rPr>
          <w:rFonts w:eastAsiaTheme="minorEastAsia"/>
          <w:color w:val="000000" w:themeColor="text1"/>
          <w:sz w:val="18"/>
          <w:szCs w:val="18"/>
        </w:rPr>
        <w:t>月</w:t>
      </w:r>
      <w:r>
        <w:rPr>
          <w:rFonts w:eastAsiaTheme="minorEastAsia"/>
          <w:color w:val="000000" w:themeColor="text1"/>
          <w:sz w:val="18"/>
          <w:szCs w:val="18"/>
        </w:rPr>
        <w:t>7</w:t>
      </w:r>
      <w:r>
        <w:rPr>
          <w:rFonts w:eastAsiaTheme="minorEastAsia"/>
          <w:color w:val="000000" w:themeColor="text1"/>
          <w:sz w:val="18"/>
          <w:szCs w:val="18"/>
        </w:rPr>
        <w:t>日。</w:t>
      </w:r>
    </w:p>
    <w:p w:rsidR="00125606" w:rsidRDefault="00125606">
      <w:pPr>
        <w:spacing w:line="360" w:lineRule="auto"/>
        <w:ind w:firstLineChars="200" w:firstLine="360"/>
        <w:rPr>
          <w:rFonts w:eastAsiaTheme="minorEastAsia"/>
          <w:color w:val="000000" w:themeColor="text1"/>
          <w:sz w:val="18"/>
          <w:szCs w:val="18"/>
        </w:rPr>
      </w:pPr>
    </w:p>
    <w:p w:rsidR="00125606" w:rsidRDefault="00125606">
      <w:pPr>
        <w:pStyle w:val="20"/>
        <w:spacing w:line="288" w:lineRule="auto"/>
        <w:ind w:firstLineChars="0" w:firstLine="0"/>
        <w:jc w:val="left"/>
        <w:rPr>
          <w:rFonts w:asciiTheme="minorEastAsia" w:eastAsiaTheme="minorEastAsia" w:hAnsiTheme="minorEastAsia"/>
          <w:color w:val="000000" w:themeColor="text1"/>
        </w:rPr>
      </w:pPr>
    </w:p>
    <w:p w:rsidR="00125606" w:rsidRDefault="00954D72" w:rsidP="00DC74FA">
      <w:pPr>
        <w:pStyle w:val="1"/>
        <w:spacing w:beforeLines="100" w:afterLines="100" w:line="360" w:lineRule="auto"/>
        <w:jc w:val="center"/>
        <w:rPr>
          <w:rFonts w:ascii="宋体" w:hAnsi="宋体" w:cs="Arial"/>
          <w:color w:val="000000" w:themeColor="text1"/>
          <w:kern w:val="0"/>
          <w:sz w:val="28"/>
          <w:szCs w:val="28"/>
        </w:rPr>
      </w:pPr>
      <w:r>
        <w:rPr>
          <w:rFonts w:ascii="宋体" w:hAnsi="宋体" w:cs="Arial" w:hint="eastAsia"/>
          <w:color w:val="000000" w:themeColor="text1"/>
          <w:kern w:val="0"/>
          <w:sz w:val="28"/>
          <w:szCs w:val="28"/>
        </w:rPr>
        <w:t>§</w:t>
      </w:r>
      <w:r>
        <w:rPr>
          <w:color w:val="000000" w:themeColor="text1"/>
          <w:kern w:val="0"/>
          <w:sz w:val="28"/>
          <w:szCs w:val="28"/>
        </w:rPr>
        <w:t>4</w:t>
      </w:r>
      <w:r>
        <w:rPr>
          <w:rFonts w:ascii="宋体" w:hAnsi="宋体" w:cs="Arial" w:hint="eastAsia"/>
          <w:color w:val="000000" w:themeColor="text1"/>
          <w:kern w:val="0"/>
          <w:sz w:val="28"/>
          <w:szCs w:val="28"/>
        </w:rPr>
        <w:t>管理人报告</w:t>
      </w:r>
    </w:p>
    <w:p w:rsidR="00125606" w:rsidRDefault="00954D72">
      <w:pPr>
        <w:autoSpaceDE w:val="0"/>
        <w:autoSpaceDN w:val="0"/>
        <w:adjustRightInd w:val="0"/>
        <w:spacing w:line="360" w:lineRule="auto"/>
        <w:jc w:val="left"/>
        <w:rPr>
          <w:rFonts w:ascii="宋体" w:hAnsi="宋体" w:cs="Arial"/>
          <w:b/>
          <w:color w:val="000000" w:themeColor="text1"/>
          <w:kern w:val="0"/>
          <w:szCs w:val="21"/>
        </w:rPr>
      </w:pPr>
      <w:r>
        <w:rPr>
          <w:b/>
          <w:color w:val="000000" w:themeColor="text1"/>
          <w:kern w:val="0"/>
          <w:szCs w:val="21"/>
        </w:rPr>
        <w:t>4.1</w:t>
      </w:r>
      <w:r>
        <w:rPr>
          <w:rFonts w:ascii="宋体" w:hAnsi="宋体" w:cs="Arial" w:hint="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125606">
        <w:trPr>
          <w:cantSplit/>
        </w:trPr>
        <w:tc>
          <w:tcPr>
            <w:tcW w:w="952" w:type="dxa"/>
            <w:vMerge w:val="restart"/>
            <w:vAlign w:val="center"/>
          </w:tcPr>
          <w:p w:rsidR="00125606" w:rsidRDefault="00954D72">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姓名</w:t>
            </w:r>
          </w:p>
        </w:tc>
        <w:tc>
          <w:tcPr>
            <w:tcW w:w="930" w:type="dxa"/>
            <w:vMerge w:val="restart"/>
            <w:vAlign w:val="center"/>
          </w:tcPr>
          <w:p w:rsidR="00125606" w:rsidRDefault="00954D72">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职务</w:t>
            </w:r>
          </w:p>
        </w:tc>
        <w:tc>
          <w:tcPr>
            <w:tcW w:w="2519" w:type="dxa"/>
            <w:gridSpan w:val="2"/>
            <w:vAlign w:val="center"/>
          </w:tcPr>
          <w:p w:rsidR="00125606" w:rsidRDefault="00954D72">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任本基金的基金经理期限</w:t>
            </w:r>
          </w:p>
        </w:tc>
        <w:tc>
          <w:tcPr>
            <w:tcW w:w="1254" w:type="dxa"/>
            <w:vMerge w:val="restart"/>
            <w:vAlign w:val="center"/>
          </w:tcPr>
          <w:p w:rsidR="00125606" w:rsidRDefault="00954D72">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证券从业年限</w:t>
            </w:r>
          </w:p>
        </w:tc>
        <w:tc>
          <w:tcPr>
            <w:tcW w:w="3276" w:type="dxa"/>
            <w:vMerge w:val="restart"/>
            <w:vAlign w:val="center"/>
          </w:tcPr>
          <w:p w:rsidR="00125606" w:rsidRDefault="00954D72">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说明</w:t>
            </w:r>
          </w:p>
        </w:tc>
      </w:tr>
      <w:tr w:rsidR="00125606">
        <w:trPr>
          <w:cantSplit/>
        </w:trPr>
        <w:tc>
          <w:tcPr>
            <w:tcW w:w="952" w:type="dxa"/>
            <w:vMerge/>
            <w:vAlign w:val="center"/>
          </w:tcPr>
          <w:p w:rsidR="00125606" w:rsidRDefault="00125606">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p>
        </w:tc>
        <w:tc>
          <w:tcPr>
            <w:tcW w:w="930" w:type="dxa"/>
            <w:vMerge/>
          </w:tcPr>
          <w:p w:rsidR="00125606" w:rsidRDefault="00125606">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p>
        </w:tc>
        <w:tc>
          <w:tcPr>
            <w:tcW w:w="1210" w:type="dxa"/>
            <w:vAlign w:val="center"/>
          </w:tcPr>
          <w:p w:rsidR="00125606" w:rsidRDefault="00954D72">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任职日期</w:t>
            </w:r>
          </w:p>
        </w:tc>
        <w:tc>
          <w:tcPr>
            <w:tcW w:w="1309" w:type="dxa"/>
            <w:vAlign w:val="center"/>
          </w:tcPr>
          <w:p w:rsidR="00125606" w:rsidRDefault="00954D72">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离任日期</w:t>
            </w:r>
          </w:p>
        </w:tc>
        <w:tc>
          <w:tcPr>
            <w:tcW w:w="1254" w:type="dxa"/>
            <w:vMerge/>
            <w:vAlign w:val="center"/>
          </w:tcPr>
          <w:p w:rsidR="00125606" w:rsidRDefault="00125606">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p>
        </w:tc>
        <w:tc>
          <w:tcPr>
            <w:tcW w:w="3276" w:type="dxa"/>
            <w:vMerge/>
            <w:vAlign w:val="center"/>
          </w:tcPr>
          <w:p w:rsidR="00125606" w:rsidRDefault="00125606">
            <w:pPr>
              <w:autoSpaceDE w:val="0"/>
              <w:autoSpaceDN w:val="0"/>
              <w:adjustRightInd w:val="0"/>
              <w:spacing w:before="29" w:line="288" w:lineRule="auto"/>
              <w:ind w:left="15"/>
              <w:jc w:val="center"/>
              <w:rPr>
                <w:rFonts w:asciiTheme="minorEastAsia" w:eastAsiaTheme="minorEastAsia" w:hAnsiTheme="minorEastAsia" w:cs="Arial"/>
                <w:color w:val="000000" w:themeColor="text1"/>
                <w:kern w:val="0"/>
                <w:szCs w:val="21"/>
              </w:rPr>
            </w:pPr>
          </w:p>
        </w:tc>
      </w:tr>
      <w:tr w:rsidR="00125606">
        <w:tc>
          <w:tcPr>
            <w:tcW w:w="952" w:type="dxa"/>
            <w:vAlign w:val="center"/>
          </w:tcPr>
          <w:p w:rsidR="00125606" w:rsidRDefault="00954D72">
            <w:pPr>
              <w:jc w:val="center"/>
            </w:pPr>
            <w:r>
              <w:rPr>
                <w:rFonts w:eastAsiaTheme="minorEastAsia"/>
                <w:color w:val="000000" w:themeColor="text1"/>
                <w:szCs w:val="21"/>
              </w:rPr>
              <w:t>刘阳</w:t>
            </w:r>
          </w:p>
        </w:tc>
        <w:tc>
          <w:tcPr>
            <w:tcW w:w="930" w:type="dxa"/>
            <w:vAlign w:val="center"/>
          </w:tcPr>
          <w:p w:rsidR="00125606" w:rsidRDefault="00954D72">
            <w:pPr>
              <w:jc w:val="center"/>
            </w:pPr>
            <w:r>
              <w:rPr>
                <w:rFonts w:eastAsiaTheme="minorEastAsia"/>
                <w:color w:val="000000" w:themeColor="text1"/>
                <w:szCs w:val="21"/>
              </w:rPr>
              <w:t>本基金基金经理</w:t>
            </w:r>
          </w:p>
        </w:tc>
        <w:tc>
          <w:tcPr>
            <w:tcW w:w="1210" w:type="dxa"/>
            <w:vAlign w:val="center"/>
          </w:tcPr>
          <w:p w:rsidR="00125606" w:rsidRDefault="00954D72">
            <w:pPr>
              <w:jc w:val="center"/>
            </w:pPr>
            <w:r>
              <w:rPr>
                <w:rFonts w:eastAsiaTheme="minorEastAsia"/>
                <w:color w:val="000000" w:themeColor="text1"/>
                <w:szCs w:val="21"/>
              </w:rPr>
              <w:t>2016-12-16</w:t>
            </w:r>
          </w:p>
        </w:tc>
        <w:tc>
          <w:tcPr>
            <w:tcW w:w="1309" w:type="dxa"/>
            <w:vAlign w:val="center"/>
          </w:tcPr>
          <w:p w:rsidR="00125606" w:rsidRDefault="00954D72">
            <w:pPr>
              <w:jc w:val="center"/>
            </w:pPr>
            <w:r>
              <w:rPr>
                <w:rFonts w:eastAsiaTheme="minorEastAsia"/>
                <w:color w:val="000000" w:themeColor="text1"/>
                <w:szCs w:val="21"/>
              </w:rPr>
              <w:t>-</w:t>
            </w:r>
          </w:p>
        </w:tc>
        <w:tc>
          <w:tcPr>
            <w:tcW w:w="1254" w:type="dxa"/>
            <w:vAlign w:val="center"/>
          </w:tcPr>
          <w:p w:rsidR="00125606" w:rsidRDefault="00954D72">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125606" w:rsidRDefault="00954D72">
            <w:r>
              <w:rPr>
                <w:rFonts w:eastAsiaTheme="minorEastAsia"/>
                <w:color w:val="000000" w:themeColor="text1"/>
                <w:szCs w:val="21"/>
              </w:rPr>
              <w:t>刘阳女士自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月在申银万国证券研究所担任分析师，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月在广发证券研发中心担任高级分析师，</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月起加入上投摩根基金管理有限公司，历任投资经理助理兼研究员、投资经理；自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月担任上投摩根纯债丰利债券型证券投资基金，自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月起同时担任上投摩根纯债添利债券型证券投资基金基金经理，自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月起同时担任上投摩根强化回报债券型证券投资基金基金经理及上投摩根岁岁盈定期开放债券型证券投资基金基金经理，自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月起同时担任上投摩根岁岁金定期开放债券型证券投资基金基金经理，自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月起同时担任上投摩根丰瑞债券型证券投资基金基金经理，自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月起同时担任上投摩根岁岁益定期开放债券型证券投资基金基金经理。</w:t>
            </w:r>
          </w:p>
        </w:tc>
      </w:tr>
      <w:tr w:rsidR="00125606">
        <w:tc>
          <w:tcPr>
            <w:tcW w:w="952" w:type="dxa"/>
            <w:vAlign w:val="center"/>
          </w:tcPr>
          <w:p w:rsidR="00125606" w:rsidRDefault="00954D72">
            <w:pPr>
              <w:jc w:val="center"/>
            </w:pPr>
            <w:r>
              <w:rPr>
                <w:rFonts w:eastAsiaTheme="minorEastAsia"/>
                <w:color w:val="000000" w:themeColor="text1"/>
                <w:szCs w:val="21"/>
              </w:rPr>
              <w:t>唐瑭</w:t>
            </w:r>
          </w:p>
        </w:tc>
        <w:tc>
          <w:tcPr>
            <w:tcW w:w="930" w:type="dxa"/>
            <w:vAlign w:val="center"/>
          </w:tcPr>
          <w:p w:rsidR="00125606" w:rsidRDefault="00954D72">
            <w:pPr>
              <w:jc w:val="center"/>
            </w:pPr>
            <w:r>
              <w:rPr>
                <w:rFonts w:eastAsiaTheme="minorEastAsia"/>
                <w:color w:val="000000" w:themeColor="text1"/>
                <w:szCs w:val="21"/>
              </w:rPr>
              <w:t>本基金基金经理</w:t>
            </w:r>
          </w:p>
        </w:tc>
        <w:tc>
          <w:tcPr>
            <w:tcW w:w="1210" w:type="dxa"/>
            <w:vAlign w:val="center"/>
          </w:tcPr>
          <w:p w:rsidR="00125606" w:rsidRDefault="00954D72">
            <w:pPr>
              <w:jc w:val="center"/>
            </w:pPr>
            <w:r>
              <w:rPr>
                <w:rFonts w:eastAsiaTheme="minorEastAsia"/>
                <w:color w:val="000000" w:themeColor="text1"/>
                <w:szCs w:val="21"/>
              </w:rPr>
              <w:t>2015-05-19</w:t>
            </w:r>
          </w:p>
        </w:tc>
        <w:tc>
          <w:tcPr>
            <w:tcW w:w="1309" w:type="dxa"/>
            <w:vAlign w:val="center"/>
          </w:tcPr>
          <w:p w:rsidR="00125606" w:rsidRDefault="00954D72">
            <w:pPr>
              <w:jc w:val="center"/>
            </w:pPr>
            <w:r>
              <w:rPr>
                <w:rFonts w:eastAsiaTheme="minorEastAsia"/>
                <w:color w:val="000000" w:themeColor="text1"/>
                <w:szCs w:val="21"/>
              </w:rPr>
              <w:t>-</w:t>
            </w:r>
          </w:p>
        </w:tc>
        <w:tc>
          <w:tcPr>
            <w:tcW w:w="1254" w:type="dxa"/>
            <w:vAlign w:val="center"/>
          </w:tcPr>
          <w:p w:rsidR="00125606" w:rsidRDefault="00954D72">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125606" w:rsidRDefault="00954D72">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月加入上投摩根基金管理有限公司，先后担任研究员及基金经理助理，自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9</w:t>
            </w:r>
            <w:r>
              <w:rPr>
                <w:rFonts w:eastAsiaTheme="minorEastAsia"/>
                <w:color w:val="000000" w:themeColor="text1"/>
                <w:szCs w:val="21"/>
              </w:rPr>
              <w:t>月担任上投摩根安腾回报混合型证券投资基金基金经理。</w:t>
            </w:r>
          </w:p>
        </w:tc>
      </w:tr>
    </w:tbl>
    <w:p w:rsidR="00125606" w:rsidRDefault="00954D72">
      <w:pPr>
        <w:autoSpaceDE w:val="0"/>
        <w:autoSpaceDN w:val="0"/>
        <w:adjustRightInd w:val="0"/>
        <w:spacing w:line="360" w:lineRule="auto"/>
        <w:ind w:firstLineChars="200" w:firstLine="360"/>
        <w:jc w:val="left"/>
        <w:rPr>
          <w:rFonts w:eastAsiaTheme="minorEastAsia"/>
          <w:color w:val="000000" w:themeColor="text1"/>
          <w:sz w:val="18"/>
          <w:szCs w:val="18"/>
        </w:rPr>
      </w:pPr>
      <w:r>
        <w:rPr>
          <w:rFonts w:eastAsiaTheme="minorEastAsia"/>
          <w:color w:val="000000" w:themeColor="text1"/>
          <w:sz w:val="18"/>
          <w:szCs w:val="18"/>
        </w:rPr>
        <w:t>注：</w:t>
      </w:r>
      <w:r>
        <w:rPr>
          <w:rFonts w:eastAsiaTheme="minorEastAsia"/>
          <w:color w:val="000000" w:themeColor="text1"/>
          <w:sz w:val="18"/>
          <w:szCs w:val="18"/>
        </w:rPr>
        <w:t>1.</w:t>
      </w:r>
      <w:r>
        <w:rPr>
          <w:rFonts w:eastAsiaTheme="minorEastAsia"/>
          <w:color w:val="000000" w:themeColor="text1"/>
          <w:sz w:val="18"/>
          <w:szCs w:val="18"/>
        </w:rPr>
        <w:t>任职日期和离任日期均指根据公司决定确定的聘任日期和解聘日期。</w:t>
      </w:r>
    </w:p>
    <w:p w:rsidR="00125606" w:rsidRDefault="00954D72">
      <w:pPr>
        <w:autoSpaceDE w:val="0"/>
        <w:autoSpaceDN w:val="0"/>
        <w:adjustRightInd w:val="0"/>
        <w:spacing w:line="360" w:lineRule="auto"/>
        <w:ind w:firstLineChars="200" w:firstLine="360"/>
        <w:jc w:val="left"/>
        <w:rPr>
          <w:rFonts w:eastAsiaTheme="minorEastAsia"/>
          <w:color w:val="000000" w:themeColor="text1"/>
          <w:sz w:val="18"/>
          <w:szCs w:val="18"/>
        </w:rPr>
      </w:pPr>
      <w:r>
        <w:rPr>
          <w:rFonts w:eastAsiaTheme="minorEastAsia"/>
          <w:color w:val="000000" w:themeColor="text1"/>
          <w:sz w:val="18"/>
          <w:szCs w:val="18"/>
        </w:rPr>
        <w:t>2.</w:t>
      </w:r>
      <w:r>
        <w:rPr>
          <w:rFonts w:eastAsiaTheme="minorEastAsia"/>
          <w:color w:val="000000" w:themeColor="text1"/>
          <w:sz w:val="18"/>
          <w:szCs w:val="18"/>
        </w:rPr>
        <w:t>证券从业的含义遵从行业协会《证券业从业人员资格管理办法》的相关规定。</w:t>
      </w:r>
    </w:p>
    <w:p w:rsidR="00125606" w:rsidRDefault="00125606">
      <w:pPr>
        <w:pStyle w:val="20"/>
        <w:spacing w:line="288" w:lineRule="auto"/>
        <w:ind w:firstLineChars="0" w:firstLine="0"/>
        <w:rPr>
          <w:rFonts w:asciiTheme="minorEastAsia" w:eastAsiaTheme="minorEastAsia" w:hAnsiTheme="minorEastAsia"/>
          <w:color w:val="000000" w:themeColor="text1"/>
        </w:rPr>
      </w:pPr>
    </w:p>
    <w:p w:rsidR="00125606" w:rsidRDefault="00954D72">
      <w:pPr>
        <w:autoSpaceDE w:val="0"/>
        <w:autoSpaceDN w:val="0"/>
        <w:adjustRightInd w:val="0"/>
        <w:spacing w:line="360" w:lineRule="auto"/>
        <w:jc w:val="left"/>
        <w:rPr>
          <w:rFonts w:ascii="宋体" w:hAnsi="宋体" w:cs="Arial"/>
          <w:b/>
          <w:color w:val="000000" w:themeColor="text1"/>
          <w:kern w:val="0"/>
          <w:szCs w:val="21"/>
        </w:rPr>
      </w:pPr>
      <w:r>
        <w:rPr>
          <w:b/>
          <w:color w:val="000000" w:themeColor="text1"/>
          <w:kern w:val="0"/>
          <w:szCs w:val="21"/>
        </w:rPr>
        <w:t>4.2</w:t>
      </w:r>
      <w:r>
        <w:rPr>
          <w:rFonts w:hint="eastAsia"/>
          <w:b/>
          <w:color w:val="000000"/>
          <w:szCs w:val="21"/>
          <w:shd w:val="clear" w:color="auto" w:fill="FFFFFF"/>
        </w:rPr>
        <w:t>管理人对报告期内本基金运作遵规守信情况的说明</w:t>
      </w:r>
    </w:p>
    <w:p w:rsidR="00125606" w:rsidRDefault="00954D72">
      <w:pPr>
        <w:spacing w:line="360" w:lineRule="auto"/>
        <w:ind w:firstLineChars="250" w:firstLine="525"/>
        <w:rPr>
          <w:color w:val="000000" w:themeColor="text1"/>
          <w:szCs w:val="21"/>
        </w:rPr>
      </w:pPr>
      <w:r>
        <w:rPr>
          <w:color w:val="000000" w:themeColor="text1"/>
          <w:szCs w:val="21"/>
        </w:rPr>
        <w:t>在本报告期内，基金管理人不存在损害基金份额持有人利益的行为，勤勉尽责地为基金份额持有人谋求利益。基金管理人遵守了《证券投资基金法》及其他有关法律法规、《上投摩根岁岁盈定期开放债券型证券投资基金基金合同》的规定。基金经理对个股和投资组合的比例遵循了投资决策委员会的授权限制，基金投资比例符合基金合同和法律法规的要求。</w:t>
      </w:r>
    </w:p>
    <w:p w:rsidR="00125606" w:rsidRDefault="00125606">
      <w:pPr>
        <w:autoSpaceDE w:val="0"/>
        <w:autoSpaceDN w:val="0"/>
        <w:adjustRightInd w:val="0"/>
        <w:spacing w:line="360" w:lineRule="auto"/>
        <w:jc w:val="left"/>
        <w:rPr>
          <w:rFonts w:asciiTheme="minorEastAsia" w:eastAsiaTheme="minorEastAsia" w:hAnsiTheme="minorEastAsia" w:cs="Arial"/>
          <w:color w:val="000000" w:themeColor="text1"/>
          <w:kern w:val="0"/>
          <w:szCs w:val="21"/>
        </w:rPr>
      </w:pPr>
    </w:p>
    <w:p w:rsidR="00125606" w:rsidRDefault="00954D72">
      <w:pPr>
        <w:autoSpaceDE w:val="0"/>
        <w:autoSpaceDN w:val="0"/>
        <w:adjustRightInd w:val="0"/>
        <w:spacing w:line="360" w:lineRule="auto"/>
        <w:jc w:val="left"/>
        <w:rPr>
          <w:rFonts w:ascii="宋体" w:hAnsi="宋体" w:cs="Arial"/>
          <w:b/>
          <w:color w:val="000000" w:themeColor="text1"/>
          <w:kern w:val="0"/>
          <w:szCs w:val="21"/>
        </w:rPr>
      </w:pPr>
      <w:r>
        <w:rPr>
          <w:b/>
          <w:color w:val="000000" w:themeColor="text1"/>
          <w:kern w:val="0"/>
          <w:szCs w:val="21"/>
        </w:rPr>
        <w:t>4.3</w:t>
      </w:r>
      <w:r>
        <w:rPr>
          <w:rFonts w:ascii="宋体" w:hAnsi="宋体" w:cs="Arial" w:hint="eastAsia"/>
          <w:b/>
          <w:color w:val="000000" w:themeColor="text1"/>
          <w:kern w:val="0"/>
          <w:szCs w:val="21"/>
        </w:rPr>
        <w:t>公平交易专项说明</w:t>
      </w:r>
    </w:p>
    <w:p w:rsidR="00125606" w:rsidRDefault="00954D72">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4.3.1 公平交易制度的执行情况</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125606" w:rsidRDefault="00954D7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4.3.2 异常交易行为的专项说明</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125606" w:rsidRDefault="0012560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4.4</w:t>
      </w:r>
      <w:r>
        <w:rPr>
          <w:rFonts w:asciiTheme="minorEastAsia" w:eastAsiaTheme="minorEastAsia" w:hAnsiTheme="minorEastAsia" w:cs="Arial" w:hint="eastAsia"/>
          <w:b/>
          <w:color w:val="000000" w:themeColor="text1"/>
          <w:kern w:val="0"/>
          <w:szCs w:val="21"/>
        </w:rPr>
        <w:t>报告期内基金的投资策略和业绩表现说明</w:t>
      </w:r>
    </w:p>
    <w:p w:rsidR="00125606" w:rsidRDefault="00954D72">
      <w:pPr>
        <w:spacing w:line="360" w:lineRule="auto"/>
        <w:rPr>
          <w:rFonts w:asciiTheme="minorEastAsia" w:eastAsiaTheme="minorEastAsia" w:hAnsiTheme="minorEastAsia"/>
          <w:b/>
          <w:color w:val="000000" w:themeColor="text1"/>
          <w:szCs w:val="21"/>
        </w:rPr>
      </w:pPr>
      <w:r>
        <w:rPr>
          <w:rFonts w:eastAsiaTheme="minorEastAsia"/>
          <w:b/>
          <w:color w:val="000000" w:themeColor="text1"/>
          <w:szCs w:val="21"/>
        </w:rPr>
        <w:t>4.4.1</w:t>
      </w:r>
      <w:r>
        <w:rPr>
          <w:rFonts w:asciiTheme="minorEastAsia" w:eastAsiaTheme="minorEastAsia" w:hAnsiTheme="minorEastAsia" w:hint="eastAsia"/>
          <w:b/>
          <w:color w:val="000000" w:themeColor="text1"/>
          <w:szCs w:val="21"/>
        </w:rPr>
        <w:t>报告期内基金投资策略和运作分析</w:t>
      </w:r>
    </w:p>
    <w:p w:rsidR="00125606" w:rsidRDefault="00954D72">
      <w:pPr>
        <w:spacing w:line="360" w:lineRule="auto"/>
        <w:ind w:firstLineChars="250" w:firstLine="525"/>
        <w:rPr>
          <w:rFonts w:eastAsiaTheme="minorEastAsia"/>
          <w:color w:val="000000" w:themeColor="text1"/>
          <w:szCs w:val="21"/>
        </w:rPr>
      </w:pPr>
      <w:r>
        <w:rPr>
          <w:rFonts w:eastAsiaTheme="minorEastAsia"/>
          <w:color w:val="000000" w:themeColor="text1"/>
          <w:szCs w:val="21"/>
        </w:rPr>
        <w:t>四季度，收益率重回下行通道，</w:t>
      </w:r>
      <w:r>
        <w:rPr>
          <w:rFonts w:eastAsiaTheme="minorEastAsia"/>
          <w:color w:val="000000" w:themeColor="text1"/>
          <w:szCs w:val="21"/>
        </w:rPr>
        <w:t>10</w:t>
      </w:r>
      <w:r>
        <w:rPr>
          <w:rFonts w:eastAsiaTheme="minorEastAsia"/>
          <w:color w:val="000000" w:themeColor="text1"/>
          <w:szCs w:val="21"/>
        </w:rPr>
        <w:t>年期国开债到期收益率从</w:t>
      </w:r>
      <w:r>
        <w:rPr>
          <w:rFonts w:eastAsiaTheme="minorEastAsia"/>
          <w:color w:val="000000" w:themeColor="text1"/>
          <w:szCs w:val="21"/>
        </w:rPr>
        <w:t>4.2%</w:t>
      </w:r>
      <w:r>
        <w:rPr>
          <w:rFonts w:eastAsiaTheme="minorEastAsia"/>
          <w:color w:val="000000" w:themeColor="text1"/>
          <w:szCs w:val="21"/>
        </w:rPr>
        <w:t>下行到</w:t>
      </w:r>
      <w:r>
        <w:rPr>
          <w:rFonts w:eastAsiaTheme="minorEastAsia"/>
          <w:color w:val="000000" w:themeColor="text1"/>
          <w:szCs w:val="21"/>
        </w:rPr>
        <w:t>3.64%</w:t>
      </w:r>
      <w:r>
        <w:rPr>
          <w:rFonts w:eastAsiaTheme="minorEastAsia"/>
          <w:color w:val="000000" w:themeColor="text1"/>
          <w:szCs w:val="21"/>
        </w:rPr>
        <w:t>附近，累计下行幅度近</w:t>
      </w:r>
      <w:r>
        <w:rPr>
          <w:rFonts w:eastAsiaTheme="minorEastAsia"/>
          <w:color w:val="000000" w:themeColor="text1"/>
          <w:szCs w:val="21"/>
        </w:rPr>
        <w:t>60BP</w:t>
      </w:r>
      <w:r>
        <w:rPr>
          <w:rFonts w:eastAsiaTheme="minorEastAsia"/>
          <w:color w:val="000000" w:themeColor="text1"/>
          <w:szCs w:val="21"/>
        </w:rPr>
        <w:t>，债券牛市进入下半场。</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日央行意外宣布定向降准</w:t>
      </w:r>
      <w:r>
        <w:rPr>
          <w:rFonts w:eastAsiaTheme="minorEastAsia"/>
          <w:color w:val="000000" w:themeColor="text1"/>
          <w:szCs w:val="21"/>
        </w:rPr>
        <w:t>1</w:t>
      </w:r>
      <w:r>
        <w:rPr>
          <w:rFonts w:eastAsiaTheme="minorEastAsia"/>
          <w:color w:val="000000" w:themeColor="text1"/>
          <w:szCs w:val="21"/>
        </w:rPr>
        <w:t>个百分点，流动性维持宽松。基本面和通胀数据逐步回落，经济增速下行压力兑现，</w:t>
      </w:r>
      <w:r>
        <w:rPr>
          <w:rFonts w:eastAsiaTheme="minorEastAsia"/>
          <w:color w:val="000000" w:themeColor="text1"/>
          <w:szCs w:val="21"/>
        </w:rPr>
        <w:t>10</w:t>
      </w:r>
      <w:r>
        <w:rPr>
          <w:rFonts w:eastAsiaTheme="minorEastAsia"/>
          <w:color w:val="000000" w:themeColor="text1"/>
          <w:szCs w:val="21"/>
        </w:rPr>
        <w:t>月公布的社融数据，剔除新口径下地方专项债后同比继续下滑，融资收缩预期提振债市做多热情，并在后续</w:t>
      </w:r>
      <w:r>
        <w:rPr>
          <w:rFonts w:eastAsiaTheme="minorEastAsia"/>
          <w:color w:val="000000" w:themeColor="text1"/>
          <w:szCs w:val="21"/>
        </w:rPr>
        <w:t>11</w:t>
      </w:r>
      <w:r>
        <w:rPr>
          <w:rFonts w:eastAsiaTheme="minorEastAsia"/>
          <w:color w:val="000000" w:themeColor="text1"/>
          <w:szCs w:val="21"/>
        </w:rPr>
        <w:t>月货币信贷数据公布后进一步确认，长期债券收益率稳步下行。期间关于支持民企融资、鼓励金融机构增加信用投放等政策频出，包括扩大再贷款再贴现额度，以及设立民营企业债券融资支持工具等，均未明显提振机构风险偏好，避险情绪仍主导债市，仅在</w:t>
      </w:r>
      <w:r>
        <w:rPr>
          <w:rFonts w:eastAsiaTheme="minorEastAsia"/>
          <w:color w:val="000000" w:themeColor="text1"/>
          <w:szCs w:val="21"/>
        </w:rPr>
        <w:t>G20</w:t>
      </w:r>
      <w:r>
        <w:rPr>
          <w:rFonts w:eastAsiaTheme="minorEastAsia"/>
          <w:color w:val="000000" w:themeColor="text1"/>
          <w:szCs w:val="21"/>
        </w:rPr>
        <w:t>会议中美会谈前夕，和</w:t>
      </w:r>
      <w:r>
        <w:rPr>
          <w:rFonts w:eastAsiaTheme="minorEastAsia"/>
          <w:color w:val="000000" w:themeColor="text1"/>
          <w:szCs w:val="21"/>
        </w:rPr>
        <w:t>12</w:t>
      </w:r>
      <w:r>
        <w:rPr>
          <w:rFonts w:eastAsiaTheme="minorEastAsia"/>
          <w:color w:val="000000" w:themeColor="text1"/>
          <w:szCs w:val="21"/>
        </w:rPr>
        <w:t>月中旬地方债发行提前传闻等阶段性冲击下出现短期波动，收益率快速上行后随即继续步入下行通道。年底配置机构</w:t>
      </w:r>
      <w:r>
        <w:rPr>
          <w:rFonts w:eastAsiaTheme="minorEastAsia"/>
          <w:color w:val="000000" w:themeColor="text1"/>
          <w:szCs w:val="21"/>
        </w:rPr>
        <w:t>“</w:t>
      </w:r>
      <w:r>
        <w:rPr>
          <w:rFonts w:eastAsiaTheme="minorEastAsia"/>
          <w:color w:val="000000" w:themeColor="text1"/>
          <w:szCs w:val="21"/>
        </w:rPr>
        <w:t>抢跑</w:t>
      </w:r>
      <w:r>
        <w:rPr>
          <w:rFonts w:eastAsiaTheme="minorEastAsia"/>
          <w:color w:val="000000" w:themeColor="text1"/>
          <w:szCs w:val="21"/>
        </w:rPr>
        <w:t>”</w:t>
      </w:r>
      <w:r>
        <w:rPr>
          <w:rFonts w:eastAsiaTheme="minorEastAsia"/>
          <w:color w:val="000000" w:themeColor="text1"/>
          <w:szCs w:val="21"/>
        </w:rPr>
        <w:t>、央行创设</w:t>
      </w:r>
      <w:r>
        <w:rPr>
          <w:rFonts w:eastAsiaTheme="minorEastAsia"/>
          <w:color w:val="000000" w:themeColor="text1"/>
          <w:szCs w:val="21"/>
        </w:rPr>
        <w:t>TMLF</w:t>
      </w:r>
      <w:r>
        <w:rPr>
          <w:rFonts w:eastAsiaTheme="minorEastAsia"/>
          <w:color w:val="000000" w:themeColor="text1"/>
          <w:szCs w:val="21"/>
        </w:rPr>
        <w:t>并下调利率叠加风险资产下跌等多重动因推动债市延续单边上涨趋势，</w:t>
      </w:r>
      <w:r>
        <w:rPr>
          <w:rFonts w:eastAsiaTheme="minorEastAsia"/>
          <w:color w:val="000000" w:themeColor="text1"/>
          <w:szCs w:val="21"/>
        </w:rPr>
        <w:t>2018</w:t>
      </w:r>
      <w:r>
        <w:rPr>
          <w:rFonts w:eastAsiaTheme="minorEastAsia"/>
          <w:color w:val="000000" w:themeColor="text1"/>
          <w:szCs w:val="21"/>
        </w:rPr>
        <w:t>年以收益率再创新低收官。在此背景下，本基金降低整体信用债持仓，阶段性参与了利率债交易，增强组合整体流动性水平。</w:t>
      </w:r>
    </w:p>
    <w:p w:rsidR="00125606" w:rsidRDefault="00954D72">
      <w:pPr>
        <w:spacing w:line="360" w:lineRule="auto"/>
        <w:rPr>
          <w:rFonts w:asciiTheme="minorEastAsia" w:eastAsiaTheme="minorEastAsia" w:hAnsiTheme="minorEastAsia"/>
          <w:b/>
          <w:color w:val="000000" w:themeColor="text1"/>
          <w:szCs w:val="21"/>
        </w:rPr>
      </w:pPr>
      <w:r>
        <w:rPr>
          <w:rFonts w:eastAsiaTheme="minorEastAsia"/>
          <w:b/>
          <w:color w:val="000000" w:themeColor="text1"/>
          <w:szCs w:val="21"/>
        </w:rPr>
        <w:t>4.4.2</w:t>
      </w:r>
      <w:r>
        <w:rPr>
          <w:rFonts w:asciiTheme="minorEastAsia" w:eastAsiaTheme="minorEastAsia" w:hAnsiTheme="minorEastAsia" w:hint="eastAsia"/>
          <w:b/>
          <w:color w:val="000000" w:themeColor="text1"/>
          <w:szCs w:val="21"/>
        </w:rPr>
        <w:t>报告期内基金的业绩表现</w:t>
      </w:r>
    </w:p>
    <w:p w:rsidR="00125606" w:rsidRDefault="00954D72">
      <w:pPr>
        <w:spacing w:line="360" w:lineRule="auto"/>
        <w:ind w:firstLineChars="250" w:firstLine="525"/>
        <w:rPr>
          <w:rFonts w:eastAsiaTheme="minorEastAsia"/>
          <w:color w:val="000000" w:themeColor="text1"/>
          <w:szCs w:val="21"/>
        </w:rPr>
      </w:pPr>
      <w:r>
        <w:rPr>
          <w:rFonts w:eastAsiaTheme="minorEastAsia"/>
          <w:color w:val="000000" w:themeColor="text1"/>
          <w:szCs w:val="21"/>
        </w:rPr>
        <w:t>本报告期本基金岁岁盈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:0.68%</w:t>
      </w:r>
      <w:r>
        <w:rPr>
          <w:rFonts w:eastAsiaTheme="minorEastAsia"/>
          <w:color w:val="000000" w:themeColor="text1"/>
          <w:szCs w:val="21"/>
        </w:rPr>
        <w:t>，同期业绩比较基准收益率为</w:t>
      </w:r>
      <w:r>
        <w:rPr>
          <w:rFonts w:eastAsiaTheme="minorEastAsia"/>
          <w:color w:val="000000" w:themeColor="text1"/>
          <w:szCs w:val="21"/>
        </w:rPr>
        <w:t>:0.24%,</w:t>
      </w:r>
    </w:p>
    <w:p w:rsidR="00125606" w:rsidRDefault="00954D72">
      <w:pPr>
        <w:spacing w:line="360" w:lineRule="auto"/>
        <w:ind w:firstLineChars="250" w:firstLine="525"/>
        <w:rPr>
          <w:rFonts w:eastAsiaTheme="minorEastAsia"/>
          <w:color w:val="000000" w:themeColor="text1"/>
          <w:szCs w:val="21"/>
        </w:rPr>
      </w:pPr>
      <w:r>
        <w:rPr>
          <w:rFonts w:eastAsiaTheme="minorEastAsia"/>
          <w:color w:val="000000" w:themeColor="text1"/>
          <w:szCs w:val="21"/>
        </w:rPr>
        <w:t>岁岁盈</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:0.00%</w:t>
      </w:r>
      <w:r>
        <w:rPr>
          <w:rFonts w:eastAsiaTheme="minorEastAsia"/>
          <w:color w:val="000000" w:themeColor="text1"/>
          <w:szCs w:val="21"/>
        </w:rPr>
        <w:t>，同期业绩比较基准收益率为</w:t>
      </w:r>
      <w:r>
        <w:rPr>
          <w:rFonts w:eastAsiaTheme="minorEastAsia"/>
          <w:color w:val="000000" w:themeColor="text1"/>
          <w:szCs w:val="21"/>
        </w:rPr>
        <w:t>:0.24%</w:t>
      </w:r>
      <w:r>
        <w:rPr>
          <w:rFonts w:eastAsiaTheme="minorEastAsia"/>
          <w:color w:val="000000" w:themeColor="text1"/>
          <w:szCs w:val="21"/>
        </w:rPr>
        <w:t>。</w:t>
      </w:r>
    </w:p>
    <w:p w:rsidR="00125606" w:rsidRDefault="00954D72">
      <w:pPr>
        <w:spacing w:line="360" w:lineRule="auto"/>
        <w:ind w:firstLineChars="250" w:firstLine="525"/>
        <w:rPr>
          <w:rFonts w:eastAsiaTheme="minorEastAsia"/>
          <w:color w:val="000000" w:themeColor="text1"/>
          <w:szCs w:val="21"/>
        </w:rPr>
      </w:pPr>
      <w:r>
        <w:rPr>
          <w:rFonts w:eastAsiaTheme="minorEastAsia"/>
          <w:color w:val="000000" w:themeColor="text1"/>
          <w:szCs w:val="21"/>
        </w:rPr>
        <w:t>岁岁盈</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:0.59%</w:t>
      </w:r>
      <w:r>
        <w:rPr>
          <w:rFonts w:eastAsiaTheme="minorEastAsia"/>
          <w:color w:val="000000" w:themeColor="text1"/>
          <w:szCs w:val="21"/>
        </w:rPr>
        <w:t>，同期业绩比较基准收益率为</w:t>
      </w:r>
      <w:r>
        <w:rPr>
          <w:rFonts w:eastAsiaTheme="minorEastAsia"/>
          <w:color w:val="000000" w:themeColor="text1"/>
          <w:szCs w:val="21"/>
        </w:rPr>
        <w:t>:0.24%</w:t>
      </w:r>
      <w:r>
        <w:rPr>
          <w:rFonts w:eastAsiaTheme="minorEastAsia"/>
          <w:color w:val="000000" w:themeColor="text1"/>
          <w:szCs w:val="21"/>
        </w:rPr>
        <w:t>。</w:t>
      </w:r>
    </w:p>
    <w:p w:rsidR="00125606" w:rsidRDefault="00954D72">
      <w:pPr>
        <w:spacing w:line="360" w:lineRule="auto"/>
        <w:ind w:firstLineChars="250" w:firstLine="525"/>
        <w:rPr>
          <w:rFonts w:eastAsiaTheme="minorEastAsia"/>
          <w:color w:val="000000" w:themeColor="text1"/>
          <w:szCs w:val="21"/>
        </w:rPr>
      </w:pPr>
      <w:r>
        <w:rPr>
          <w:rFonts w:eastAsiaTheme="minorEastAsia"/>
          <w:color w:val="000000" w:themeColor="text1"/>
          <w:szCs w:val="21"/>
        </w:rPr>
        <w:t>岁岁盈</w:t>
      </w:r>
      <w:r>
        <w:rPr>
          <w:rFonts w:eastAsiaTheme="minorEastAsia"/>
          <w:color w:val="000000" w:themeColor="text1"/>
          <w:szCs w:val="21"/>
        </w:rPr>
        <w:t>D</w:t>
      </w:r>
      <w:r>
        <w:rPr>
          <w:rFonts w:eastAsiaTheme="minorEastAsia"/>
          <w:color w:val="000000" w:themeColor="text1"/>
          <w:szCs w:val="21"/>
        </w:rPr>
        <w:t>份额净值增长率为</w:t>
      </w:r>
      <w:r>
        <w:rPr>
          <w:rFonts w:eastAsiaTheme="minorEastAsia"/>
          <w:color w:val="000000" w:themeColor="text1"/>
          <w:szCs w:val="21"/>
        </w:rPr>
        <w:t>:-0.39%</w:t>
      </w:r>
      <w:r>
        <w:rPr>
          <w:rFonts w:eastAsiaTheme="minorEastAsia"/>
          <w:color w:val="000000" w:themeColor="text1"/>
          <w:szCs w:val="21"/>
        </w:rPr>
        <w:t>，同期业绩比较基准收益率为</w:t>
      </w:r>
      <w:r>
        <w:rPr>
          <w:rFonts w:eastAsiaTheme="minorEastAsia"/>
          <w:color w:val="000000" w:themeColor="text1"/>
          <w:szCs w:val="21"/>
        </w:rPr>
        <w:t>:0.24%</w:t>
      </w:r>
      <w:r>
        <w:rPr>
          <w:rFonts w:eastAsiaTheme="minorEastAsia"/>
          <w:color w:val="000000" w:themeColor="text1"/>
          <w:szCs w:val="21"/>
        </w:rPr>
        <w:t>。</w:t>
      </w:r>
    </w:p>
    <w:p w:rsidR="00125606" w:rsidRDefault="00125606">
      <w:pPr>
        <w:spacing w:line="360" w:lineRule="auto"/>
        <w:ind w:firstLineChars="250" w:firstLine="525"/>
        <w:rPr>
          <w:rFonts w:eastAsiaTheme="minorEastAsia"/>
          <w:color w:val="000000" w:themeColor="text1"/>
          <w:szCs w:val="21"/>
        </w:rPr>
      </w:pPr>
    </w:p>
    <w:p w:rsidR="00125606" w:rsidRDefault="00954D72">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125606" w:rsidRDefault="00954D72">
      <w:pPr>
        <w:spacing w:line="360" w:lineRule="auto"/>
        <w:rPr>
          <w:rFonts w:eastAsiaTheme="minorEastAsia"/>
          <w:color w:val="000000" w:themeColor="text1"/>
          <w:szCs w:val="21"/>
        </w:rPr>
      </w:pPr>
      <w:r>
        <w:rPr>
          <w:rFonts w:eastAsiaTheme="minorEastAsia"/>
          <w:color w:val="000000" w:themeColor="text1"/>
          <w:kern w:val="0"/>
          <w:szCs w:val="21"/>
        </w:rPr>
        <w:t>无。</w:t>
      </w:r>
    </w:p>
    <w:p w:rsidR="00125606" w:rsidRDefault="00954D72" w:rsidP="00DC74FA">
      <w:pPr>
        <w:pStyle w:val="1"/>
        <w:spacing w:beforeLines="100" w:afterLines="100" w:line="360" w:lineRule="auto"/>
        <w:jc w:val="center"/>
        <w:rPr>
          <w:rFonts w:asciiTheme="minorEastAsia" w:eastAsiaTheme="minorEastAsia" w:hAnsiTheme="minorEastAsia" w:cs="Arial"/>
          <w:color w:val="000000" w:themeColor="text1"/>
          <w:kern w:val="0"/>
          <w:sz w:val="28"/>
          <w:szCs w:val="28"/>
        </w:rPr>
      </w:pPr>
      <w:r>
        <w:rPr>
          <w:rFonts w:asciiTheme="minorEastAsia" w:eastAsiaTheme="minorEastAsia" w:hAnsiTheme="minorEastAsia" w:cs="Arial" w:hint="eastAsia"/>
          <w:color w:val="000000" w:themeColor="text1"/>
          <w:kern w:val="0"/>
          <w:sz w:val="28"/>
          <w:szCs w:val="28"/>
        </w:rPr>
        <w:t>§</w:t>
      </w:r>
      <w:r>
        <w:rPr>
          <w:rFonts w:asciiTheme="minorEastAsia" w:eastAsiaTheme="minorEastAsia" w:hAnsiTheme="minorEastAsia" w:cs="Arial"/>
          <w:color w:val="000000" w:themeColor="text1"/>
          <w:kern w:val="0"/>
          <w:sz w:val="28"/>
          <w:szCs w:val="28"/>
        </w:rPr>
        <w:t>5</w:t>
      </w:r>
      <w:r>
        <w:rPr>
          <w:rFonts w:asciiTheme="minorEastAsia" w:eastAsiaTheme="minorEastAsia" w:hAnsiTheme="minorEastAsia" w:cs="Arial" w:hint="eastAsia"/>
          <w:color w:val="000000" w:themeColor="text1"/>
          <w:kern w:val="0"/>
          <w:sz w:val="28"/>
          <w:szCs w:val="28"/>
        </w:rPr>
        <w:t>投资组合报告</w:t>
      </w: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5.1</w:t>
      </w:r>
      <w:r>
        <w:rPr>
          <w:rFonts w:asciiTheme="minorEastAsia" w:eastAsiaTheme="minorEastAsia" w:hAnsiTheme="minorEastAsia" w:cs="Arial" w:hint="eastAsia"/>
          <w:b/>
          <w:color w:val="000000" w:themeColor="text1"/>
          <w:kern w:val="0"/>
          <w:szCs w:val="21"/>
        </w:rPr>
        <w:t>报告期末基金资产组合情况</w:t>
      </w:r>
    </w:p>
    <w:tbl>
      <w:tblPr>
        <w:tblStyle w:val="af6"/>
        <w:tblW w:w="8897" w:type="dxa"/>
        <w:jc w:val="center"/>
        <w:tblLayout w:type="fixed"/>
        <w:tblLook w:val="04A0"/>
      </w:tblPr>
      <w:tblGrid>
        <w:gridCol w:w="1032"/>
        <w:gridCol w:w="3260"/>
        <w:gridCol w:w="2762"/>
        <w:gridCol w:w="1843"/>
      </w:tblGrid>
      <w:tr w:rsidR="00125606">
        <w:trPr>
          <w:jc w:val="center"/>
        </w:trPr>
        <w:tc>
          <w:tcPr>
            <w:tcW w:w="1032" w:type="dxa"/>
            <w:vAlign w:val="center"/>
          </w:tcPr>
          <w:p w:rsidR="00125606" w:rsidRDefault="00954D72">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序号</w:t>
            </w:r>
          </w:p>
        </w:tc>
        <w:tc>
          <w:tcPr>
            <w:tcW w:w="3260" w:type="dxa"/>
            <w:vAlign w:val="center"/>
          </w:tcPr>
          <w:p w:rsidR="00125606" w:rsidRDefault="00954D72">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w:t>
            </w:r>
          </w:p>
        </w:tc>
        <w:tc>
          <w:tcPr>
            <w:tcW w:w="2762" w:type="dxa"/>
            <w:vAlign w:val="center"/>
          </w:tcPr>
          <w:p w:rsidR="00125606" w:rsidRDefault="00954D72">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金额(元)</w:t>
            </w:r>
          </w:p>
        </w:tc>
        <w:tc>
          <w:tcPr>
            <w:tcW w:w="1843" w:type="dxa"/>
            <w:vAlign w:val="center"/>
          </w:tcPr>
          <w:p w:rsidR="00125606" w:rsidRDefault="00954D72">
            <w:pPr>
              <w:spacing w:before="29" w:line="360" w:lineRule="auto"/>
              <w:ind w:left="17"/>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占基金总资产的比例(</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w:t>
            </w:r>
          </w:p>
        </w:tc>
      </w:tr>
      <w:tr w:rsidR="00125606">
        <w:trPr>
          <w:jc w:val="center"/>
        </w:trPr>
        <w:tc>
          <w:tcPr>
            <w:tcW w:w="1032" w:type="dxa"/>
            <w:vAlign w:val="center"/>
          </w:tcPr>
          <w:p w:rsidR="00125606" w:rsidRDefault="00954D72">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125606" w:rsidRDefault="00954D72">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权益投资</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jc w:val="center"/>
        </w:trPr>
        <w:tc>
          <w:tcPr>
            <w:tcW w:w="1032" w:type="dxa"/>
            <w:vAlign w:val="center"/>
          </w:tcPr>
          <w:p w:rsidR="00125606" w:rsidRDefault="00125606">
            <w:pPr>
              <w:spacing w:before="29" w:line="360" w:lineRule="auto"/>
              <w:ind w:left="17"/>
              <w:jc w:val="center"/>
              <w:rPr>
                <w:rFonts w:eastAsiaTheme="minorEastAsia"/>
                <w:color w:val="000000" w:themeColor="text1"/>
                <w:szCs w:val="21"/>
              </w:rPr>
            </w:pPr>
          </w:p>
        </w:tc>
        <w:tc>
          <w:tcPr>
            <w:tcW w:w="3260" w:type="dxa"/>
            <w:vAlign w:val="center"/>
          </w:tcPr>
          <w:p w:rsidR="00125606" w:rsidRDefault="00954D72">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其中：股票</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jc w:val="center"/>
        </w:trPr>
        <w:tc>
          <w:tcPr>
            <w:tcW w:w="1032" w:type="dxa"/>
            <w:vAlign w:val="center"/>
          </w:tcPr>
          <w:p w:rsidR="00125606" w:rsidRDefault="00954D72">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125606" w:rsidRDefault="00954D72">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固定收益投资</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jc w:val="center"/>
        </w:trPr>
        <w:tc>
          <w:tcPr>
            <w:tcW w:w="1032" w:type="dxa"/>
            <w:vAlign w:val="center"/>
          </w:tcPr>
          <w:p w:rsidR="00125606" w:rsidRDefault="00125606">
            <w:pPr>
              <w:spacing w:before="29" w:line="360" w:lineRule="auto"/>
              <w:ind w:left="17"/>
              <w:jc w:val="center"/>
              <w:rPr>
                <w:rFonts w:eastAsiaTheme="minorEastAsia"/>
                <w:color w:val="000000" w:themeColor="text1"/>
                <w:szCs w:val="21"/>
              </w:rPr>
            </w:pPr>
          </w:p>
        </w:tc>
        <w:tc>
          <w:tcPr>
            <w:tcW w:w="3260" w:type="dxa"/>
            <w:vAlign w:val="center"/>
          </w:tcPr>
          <w:p w:rsidR="00125606" w:rsidRDefault="00954D72">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其中：债券</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jc w:val="center"/>
        </w:trPr>
        <w:tc>
          <w:tcPr>
            <w:tcW w:w="1032" w:type="dxa"/>
            <w:vAlign w:val="center"/>
          </w:tcPr>
          <w:p w:rsidR="00125606" w:rsidRDefault="00125606">
            <w:pPr>
              <w:spacing w:before="29" w:line="360" w:lineRule="auto"/>
              <w:ind w:left="17"/>
              <w:jc w:val="center"/>
              <w:rPr>
                <w:rFonts w:eastAsiaTheme="minorEastAsia"/>
                <w:color w:val="000000" w:themeColor="text1"/>
                <w:szCs w:val="21"/>
              </w:rPr>
            </w:pPr>
          </w:p>
        </w:tc>
        <w:tc>
          <w:tcPr>
            <w:tcW w:w="3260" w:type="dxa"/>
            <w:vAlign w:val="center"/>
          </w:tcPr>
          <w:p w:rsidR="00125606" w:rsidRDefault="00954D72">
            <w:pPr>
              <w:autoSpaceDE w:val="0"/>
              <w:autoSpaceDN w:val="0"/>
              <w:adjustRightInd w:val="0"/>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资产支持证券</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jc w:val="center"/>
        </w:trPr>
        <w:tc>
          <w:tcPr>
            <w:tcW w:w="1032" w:type="dxa"/>
          </w:tcPr>
          <w:p w:rsidR="00125606" w:rsidRDefault="00954D72">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tcPr>
          <w:p w:rsidR="00125606" w:rsidRDefault="00954D72">
            <w:pPr>
              <w:spacing w:before="29" w:line="360" w:lineRule="auto"/>
              <w:ind w:leftChars="50" w:left="10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贵金属投资</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jc w:val="center"/>
        </w:trPr>
        <w:tc>
          <w:tcPr>
            <w:tcW w:w="1032" w:type="dxa"/>
            <w:vAlign w:val="center"/>
          </w:tcPr>
          <w:p w:rsidR="00125606" w:rsidRDefault="00954D72">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125606" w:rsidRDefault="00954D72">
            <w:pPr>
              <w:spacing w:before="29" w:line="360" w:lineRule="auto"/>
              <w:ind w:left="17"/>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金融衍生品投资</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jc w:val="center"/>
        </w:trPr>
        <w:tc>
          <w:tcPr>
            <w:tcW w:w="1032" w:type="dxa"/>
            <w:vAlign w:val="center"/>
          </w:tcPr>
          <w:p w:rsidR="00125606" w:rsidRDefault="00954D72">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125606" w:rsidRDefault="00954D72">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买入返售金融资产</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jc w:val="center"/>
        </w:trPr>
        <w:tc>
          <w:tcPr>
            <w:tcW w:w="1032" w:type="dxa"/>
            <w:vAlign w:val="center"/>
          </w:tcPr>
          <w:p w:rsidR="00125606" w:rsidRDefault="00125606">
            <w:pPr>
              <w:spacing w:before="29" w:line="360" w:lineRule="auto"/>
              <w:ind w:left="17"/>
              <w:jc w:val="center"/>
              <w:rPr>
                <w:rFonts w:eastAsiaTheme="minorEastAsia"/>
                <w:color w:val="000000" w:themeColor="text1"/>
                <w:szCs w:val="21"/>
              </w:rPr>
            </w:pPr>
          </w:p>
        </w:tc>
        <w:tc>
          <w:tcPr>
            <w:tcW w:w="3260" w:type="dxa"/>
            <w:vAlign w:val="center"/>
          </w:tcPr>
          <w:p w:rsidR="00125606" w:rsidRDefault="00954D72">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其中：买断式回购的买入返售金融资产</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rPr>
          <w:jc w:val="center"/>
        </w:trPr>
        <w:tc>
          <w:tcPr>
            <w:tcW w:w="1032" w:type="dxa"/>
            <w:vAlign w:val="center"/>
          </w:tcPr>
          <w:p w:rsidR="00125606" w:rsidRDefault="00954D72">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125606" w:rsidRDefault="00954D72">
            <w:pPr>
              <w:spacing w:before="29" w:line="360" w:lineRule="auto"/>
              <w:ind w:left="17"/>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银行存款和结算备付金合计</w:t>
            </w:r>
          </w:p>
        </w:tc>
        <w:tc>
          <w:tcPr>
            <w:tcW w:w="2762"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29,807,987.28</w:t>
            </w:r>
          </w:p>
        </w:tc>
        <w:tc>
          <w:tcPr>
            <w:tcW w:w="1843" w:type="dxa"/>
            <w:vAlign w:val="center"/>
          </w:tcPr>
          <w:p w:rsidR="00125606" w:rsidRDefault="00954D72">
            <w:pPr>
              <w:spacing w:before="29" w:line="360" w:lineRule="auto"/>
              <w:ind w:left="17"/>
              <w:jc w:val="right"/>
              <w:rPr>
                <w:rFonts w:eastAsiaTheme="minorEastAsia"/>
                <w:color w:val="000000" w:themeColor="text1"/>
                <w:szCs w:val="21"/>
              </w:rPr>
            </w:pPr>
            <w:r>
              <w:rPr>
                <w:rFonts w:eastAsiaTheme="minorEastAsia"/>
                <w:color w:val="000000" w:themeColor="text1"/>
                <w:szCs w:val="21"/>
              </w:rPr>
              <w:t>96.87</w:t>
            </w:r>
          </w:p>
        </w:tc>
      </w:tr>
      <w:tr w:rsidR="00125606">
        <w:trPr>
          <w:jc w:val="center"/>
        </w:trPr>
        <w:tc>
          <w:tcPr>
            <w:tcW w:w="1032" w:type="dxa"/>
            <w:vAlign w:val="center"/>
          </w:tcPr>
          <w:p w:rsidR="00125606" w:rsidRDefault="00954D72">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125606" w:rsidRDefault="00954D72">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其他各项资产</w:t>
            </w:r>
          </w:p>
        </w:tc>
        <w:tc>
          <w:tcPr>
            <w:tcW w:w="2762" w:type="dxa"/>
            <w:vAlign w:val="center"/>
          </w:tcPr>
          <w:p w:rsidR="00125606" w:rsidRDefault="00954D72">
            <w:pPr>
              <w:jc w:val="right"/>
              <w:rPr>
                <w:rFonts w:eastAsiaTheme="minorEastAsia"/>
                <w:color w:val="000000" w:themeColor="text1"/>
                <w:szCs w:val="21"/>
              </w:rPr>
            </w:pPr>
            <w:r>
              <w:rPr>
                <w:rFonts w:eastAsiaTheme="minorEastAsia"/>
                <w:color w:val="000000" w:themeColor="text1"/>
                <w:szCs w:val="21"/>
              </w:rPr>
              <w:t>962,179.85</w:t>
            </w:r>
          </w:p>
        </w:tc>
        <w:tc>
          <w:tcPr>
            <w:tcW w:w="1843" w:type="dxa"/>
            <w:vAlign w:val="center"/>
          </w:tcPr>
          <w:p w:rsidR="00125606" w:rsidRDefault="00954D72">
            <w:pPr>
              <w:jc w:val="right"/>
              <w:rPr>
                <w:rFonts w:eastAsiaTheme="minorEastAsia"/>
                <w:color w:val="000000" w:themeColor="text1"/>
                <w:szCs w:val="21"/>
              </w:rPr>
            </w:pPr>
            <w:r>
              <w:rPr>
                <w:rFonts w:eastAsiaTheme="minorEastAsia"/>
                <w:color w:val="000000" w:themeColor="text1"/>
                <w:szCs w:val="21"/>
              </w:rPr>
              <w:t>3.13</w:t>
            </w:r>
          </w:p>
        </w:tc>
      </w:tr>
      <w:tr w:rsidR="00125606">
        <w:trPr>
          <w:jc w:val="center"/>
        </w:trPr>
        <w:tc>
          <w:tcPr>
            <w:tcW w:w="1032" w:type="dxa"/>
            <w:vAlign w:val="center"/>
          </w:tcPr>
          <w:p w:rsidR="00125606" w:rsidRDefault="00954D72">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260" w:type="dxa"/>
            <w:vAlign w:val="center"/>
          </w:tcPr>
          <w:p w:rsidR="00125606" w:rsidRDefault="00954D72">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合计</w:t>
            </w:r>
          </w:p>
        </w:tc>
        <w:tc>
          <w:tcPr>
            <w:tcW w:w="2762" w:type="dxa"/>
            <w:vAlign w:val="center"/>
          </w:tcPr>
          <w:p w:rsidR="00125606" w:rsidRDefault="00954D72">
            <w:pPr>
              <w:jc w:val="right"/>
              <w:rPr>
                <w:rFonts w:eastAsiaTheme="minorEastAsia"/>
                <w:color w:val="000000" w:themeColor="text1"/>
                <w:szCs w:val="21"/>
              </w:rPr>
            </w:pPr>
            <w:r>
              <w:rPr>
                <w:rFonts w:eastAsiaTheme="minorEastAsia"/>
                <w:color w:val="000000" w:themeColor="text1"/>
                <w:szCs w:val="21"/>
              </w:rPr>
              <w:t>30,770,167.13</w:t>
            </w:r>
          </w:p>
        </w:tc>
        <w:tc>
          <w:tcPr>
            <w:tcW w:w="1843" w:type="dxa"/>
            <w:vAlign w:val="center"/>
          </w:tcPr>
          <w:p w:rsidR="00125606" w:rsidRDefault="00954D72">
            <w:pPr>
              <w:jc w:val="right"/>
              <w:rPr>
                <w:rFonts w:eastAsiaTheme="minorEastAsia"/>
                <w:color w:val="000000" w:themeColor="text1"/>
                <w:szCs w:val="21"/>
              </w:rPr>
            </w:pPr>
            <w:r>
              <w:rPr>
                <w:rFonts w:eastAsiaTheme="minorEastAsia"/>
                <w:color w:val="000000" w:themeColor="text1"/>
                <w:szCs w:val="21"/>
              </w:rPr>
              <w:t>100.00</w:t>
            </w:r>
          </w:p>
        </w:tc>
      </w:tr>
    </w:tbl>
    <w:p w:rsidR="00125606" w:rsidRDefault="00125606">
      <w:pPr>
        <w:autoSpaceDE w:val="0"/>
        <w:autoSpaceDN w:val="0"/>
        <w:adjustRightInd w:val="0"/>
        <w:spacing w:line="288" w:lineRule="auto"/>
        <w:jc w:val="left"/>
        <w:rPr>
          <w:rFonts w:asciiTheme="minorEastAsia" w:eastAsiaTheme="minorEastAsia" w:hAnsiTheme="minorEastAsia" w:cs="Arial"/>
          <w:color w:val="000000" w:themeColor="text1"/>
          <w:kern w:val="0"/>
          <w:sz w:val="24"/>
        </w:rPr>
      </w:pP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5.2</w:t>
      </w:r>
      <w:r>
        <w:rPr>
          <w:rFonts w:asciiTheme="minorEastAsia" w:eastAsiaTheme="minorEastAsia" w:hAnsiTheme="minorEastAsia" w:cs="Arial" w:hint="eastAsia"/>
          <w:b/>
          <w:color w:val="000000" w:themeColor="text1"/>
          <w:kern w:val="0"/>
          <w:szCs w:val="21"/>
        </w:rPr>
        <w:t>报告期末按行业分类的股票投资组合</w:t>
      </w:r>
    </w:p>
    <w:p w:rsidR="00125606" w:rsidRDefault="00954D72">
      <w:pPr>
        <w:rPr>
          <w:b/>
        </w:rPr>
      </w:pP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125606" w:rsidRDefault="00954D7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5.3</w:t>
      </w:r>
      <w:r>
        <w:rPr>
          <w:rFonts w:asciiTheme="minorEastAsia" w:eastAsiaTheme="minorEastAsia" w:hAnsiTheme="minorEastAsia" w:cs="Arial" w:hint="eastAsia"/>
          <w:b/>
          <w:color w:val="000000" w:themeColor="text1"/>
          <w:kern w:val="0"/>
          <w:szCs w:val="21"/>
        </w:rPr>
        <w:t>报告期末按公允价值占基金资产净值比例大小排序的前十名股票投资明细</w:t>
      </w:r>
    </w:p>
    <w:p w:rsidR="00125606" w:rsidRDefault="00954D72">
      <w:pPr>
        <w:autoSpaceDE w:val="0"/>
        <w:autoSpaceDN w:val="0"/>
        <w:adjustRightInd w:val="0"/>
        <w:spacing w:line="360" w:lineRule="auto"/>
        <w:ind w:firstLineChars="150" w:firstLine="315"/>
        <w:jc w:val="left"/>
        <w:rPr>
          <w:rFonts w:eastAsiaTheme="minorEastAsia"/>
          <w:color w:val="000000" w:themeColor="text1"/>
          <w:szCs w:val="21"/>
        </w:rPr>
      </w:pPr>
      <w:r>
        <w:rPr>
          <w:rFonts w:eastAsiaTheme="minorEastAsia"/>
          <w:color w:val="000000" w:themeColor="text1"/>
          <w:szCs w:val="21"/>
        </w:rPr>
        <w:t>本基金本报告期末未持有股票。</w:t>
      </w:r>
    </w:p>
    <w:p w:rsidR="00125606" w:rsidRDefault="00125606">
      <w:pPr>
        <w:autoSpaceDE w:val="0"/>
        <w:autoSpaceDN w:val="0"/>
        <w:adjustRightInd w:val="0"/>
        <w:spacing w:line="288" w:lineRule="auto"/>
        <w:jc w:val="left"/>
        <w:rPr>
          <w:rFonts w:asciiTheme="minorEastAsia" w:eastAsiaTheme="minorEastAsia" w:hAnsiTheme="minorEastAsia" w:cs="Arial"/>
          <w:color w:val="000000" w:themeColor="text1"/>
          <w:kern w:val="0"/>
          <w:sz w:val="24"/>
        </w:rPr>
      </w:pP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5.4</w:t>
      </w:r>
      <w:r>
        <w:rPr>
          <w:rFonts w:asciiTheme="minorEastAsia" w:eastAsiaTheme="minorEastAsia" w:hAnsiTheme="minorEastAsia" w:cs="Arial" w:hint="eastAsia"/>
          <w:b/>
          <w:color w:val="000000" w:themeColor="text1"/>
          <w:kern w:val="0"/>
          <w:szCs w:val="21"/>
        </w:rPr>
        <w:t>报告期末按债券品种分类的债券投资组合</w:t>
      </w:r>
    </w:p>
    <w:p w:rsidR="00125606" w:rsidRDefault="00954D72">
      <w:pPr>
        <w:autoSpaceDE w:val="0"/>
        <w:autoSpaceDN w:val="0"/>
        <w:adjustRightInd w:val="0"/>
        <w:spacing w:line="360" w:lineRule="auto"/>
        <w:ind w:firstLineChars="150" w:firstLine="315"/>
        <w:jc w:val="left"/>
        <w:rPr>
          <w:rFonts w:eastAsiaTheme="minorEastAsia"/>
          <w:color w:val="000000" w:themeColor="text1"/>
          <w:szCs w:val="21"/>
        </w:rPr>
      </w:pPr>
      <w:r>
        <w:rPr>
          <w:rFonts w:eastAsiaTheme="minorEastAsia"/>
          <w:color w:val="000000" w:themeColor="text1"/>
          <w:szCs w:val="21"/>
        </w:rPr>
        <w:t>本基金本报告期末未持有债券。</w:t>
      </w:r>
    </w:p>
    <w:p w:rsidR="00125606" w:rsidRDefault="00125606">
      <w:pPr>
        <w:autoSpaceDE w:val="0"/>
        <w:autoSpaceDN w:val="0"/>
        <w:adjustRightInd w:val="0"/>
        <w:spacing w:line="288" w:lineRule="auto"/>
        <w:jc w:val="left"/>
        <w:rPr>
          <w:rFonts w:asciiTheme="minorEastAsia" w:eastAsiaTheme="minorEastAsia" w:hAnsiTheme="minorEastAsia" w:cs="Arial"/>
          <w:color w:val="000000" w:themeColor="text1"/>
          <w:kern w:val="0"/>
          <w:sz w:val="24"/>
        </w:rPr>
      </w:pP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5.5</w:t>
      </w:r>
      <w:r>
        <w:rPr>
          <w:rFonts w:asciiTheme="minorEastAsia" w:eastAsiaTheme="minorEastAsia" w:hAnsiTheme="minorEastAsia" w:cs="Arial" w:hint="eastAsia"/>
          <w:b/>
          <w:color w:val="000000" w:themeColor="text1"/>
          <w:kern w:val="0"/>
          <w:szCs w:val="21"/>
        </w:rPr>
        <w:t>报告期末按公允价值占基金资产净值比例大小排序的前五名债券投资明细</w:t>
      </w:r>
    </w:p>
    <w:p w:rsidR="00125606" w:rsidRDefault="00954D72">
      <w:pPr>
        <w:autoSpaceDE w:val="0"/>
        <w:autoSpaceDN w:val="0"/>
        <w:adjustRightInd w:val="0"/>
        <w:spacing w:line="360" w:lineRule="auto"/>
        <w:ind w:firstLineChars="150" w:firstLine="315"/>
        <w:jc w:val="left"/>
        <w:rPr>
          <w:rFonts w:eastAsiaTheme="minorEastAsia"/>
          <w:color w:val="000000" w:themeColor="text1"/>
          <w:szCs w:val="21"/>
        </w:rPr>
      </w:pPr>
      <w:r>
        <w:rPr>
          <w:rFonts w:eastAsiaTheme="minorEastAsia"/>
          <w:color w:val="000000" w:themeColor="text1"/>
          <w:szCs w:val="21"/>
        </w:rPr>
        <w:t>本基金本报告期末未持有债券。</w:t>
      </w:r>
    </w:p>
    <w:p w:rsidR="00125606" w:rsidRDefault="00125606">
      <w:pPr>
        <w:autoSpaceDE w:val="0"/>
        <w:autoSpaceDN w:val="0"/>
        <w:adjustRightInd w:val="0"/>
        <w:spacing w:line="288" w:lineRule="auto"/>
        <w:jc w:val="left"/>
        <w:rPr>
          <w:rFonts w:asciiTheme="minorEastAsia" w:eastAsiaTheme="minorEastAsia" w:hAnsiTheme="minorEastAsia" w:cs="Arial"/>
          <w:color w:val="000000" w:themeColor="text1"/>
          <w:kern w:val="0"/>
          <w:sz w:val="24"/>
        </w:rPr>
      </w:pP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eastAsiaTheme="minorEastAsia"/>
          <w:b/>
          <w:color w:val="000000" w:themeColor="text1"/>
          <w:kern w:val="0"/>
          <w:szCs w:val="21"/>
        </w:rPr>
        <w:t>5.6</w:t>
      </w:r>
      <w:r>
        <w:rPr>
          <w:rFonts w:asciiTheme="minorEastAsia" w:eastAsiaTheme="minorEastAsia" w:hAnsiTheme="minorEastAsia" w:cs="Arial" w:hint="eastAsia"/>
          <w:b/>
          <w:color w:val="000000" w:themeColor="text1"/>
          <w:kern w:val="0"/>
          <w:szCs w:val="21"/>
        </w:rPr>
        <w:t>报告期末按公允价值占基金资产净值比例大小排序的前十名资产支持证券投资明细</w:t>
      </w:r>
    </w:p>
    <w:p w:rsidR="00125606" w:rsidRDefault="00954D72">
      <w:pPr>
        <w:autoSpaceDE w:val="0"/>
        <w:autoSpaceDN w:val="0"/>
        <w:adjustRightInd w:val="0"/>
        <w:spacing w:line="360" w:lineRule="auto"/>
        <w:ind w:firstLineChars="150" w:firstLine="315"/>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125606" w:rsidRDefault="00125606">
      <w:pPr>
        <w:autoSpaceDE w:val="0"/>
        <w:autoSpaceDN w:val="0"/>
        <w:adjustRightInd w:val="0"/>
        <w:spacing w:line="288" w:lineRule="auto"/>
        <w:jc w:val="left"/>
        <w:rPr>
          <w:rFonts w:asciiTheme="minorEastAsia" w:eastAsiaTheme="minorEastAsia" w:hAnsiTheme="minorEastAsia" w:cs="Arial"/>
          <w:color w:val="000000" w:themeColor="text1"/>
          <w:kern w:val="0"/>
          <w:sz w:val="24"/>
        </w:rPr>
      </w:pPr>
    </w:p>
    <w:p w:rsidR="00125606" w:rsidRDefault="00954D72">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5.7</w:t>
      </w:r>
      <w:r>
        <w:rPr>
          <w:rFonts w:eastAsiaTheme="minorEastAsia"/>
          <w:b/>
          <w:bCs/>
          <w:color w:val="000000" w:themeColor="text1"/>
          <w:kern w:val="0"/>
          <w:szCs w:val="21"/>
        </w:rPr>
        <w:t>报告期末按公允价值占基金资产净值比例大小排序的前五名贵金属投资明细</w:t>
      </w:r>
    </w:p>
    <w:p w:rsidR="00125606" w:rsidRDefault="00954D72">
      <w:pPr>
        <w:widowControl/>
        <w:spacing w:line="360" w:lineRule="auto"/>
        <w:ind w:firstLineChars="150" w:firstLine="315"/>
        <w:jc w:val="left"/>
        <w:rPr>
          <w:color w:val="000000" w:themeColor="text1"/>
          <w:szCs w:val="21"/>
        </w:rPr>
      </w:pPr>
      <w:r>
        <w:rPr>
          <w:color w:val="000000" w:themeColor="text1"/>
          <w:szCs w:val="21"/>
        </w:rPr>
        <w:t>本基金本报告期末未持有贵金属。</w:t>
      </w:r>
    </w:p>
    <w:p w:rsidR="00125606" w:rsidRDefault="00125606">
      <w:pPr>
        <w:autoSpaceDE w:val="0"/>
        <w:autoSpaceDN w:val="0"/>
        <w:adjustRightInd w:val="0"/>
        <w:spacing w:line="288" w:lineRule="auto"/>
        <w:jc w:val="left"/>
        <w:rPr>
          <w:rFonts w:asciiTheme="minorEastAsia" w:eastAsiaTheme="minorEastAsia" w:hAnsiTheme="minorEastAsia" w:cs="Arial"/>
          <w:color w:val="000000" w:themeColor="text1"/>
          <w:kern w:val="0"/>
          <w:sz w:val="24"/>
        </w:rPr>
      </w:pPr>
    </w:p>
    <w:p w:rsidR="00125606" w:rsidRDefault="00954D72">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125606" w:rsidRDefault="00954D7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125606" w:rsidRDefault="00954D72">
      <w:pPr>
        <w:tabs>
          <w:tab w:val="left" w:pos="1785"/>
        </w:tabs>
        <w:autoSpaceDE w:val="0"/>
        <w:autoSpaceDN w:val="0"/>
        <w:adjustRightInd w:val="0"/>
        <w:spacing w:line="288" w:lineRule="auto"/>
        <w:jc w:val="left"/>
        <w:rPr>
          <w:rFonts w:asciiTheme="minorEastAsia" w:eastAsiaTheme="minorEastAsia" w:hAnsiTheme="minorEastAsia" w:cs="Arial"/>
          <w:color w:val="000000" w:themeColor="text1"/>
          <w:kern w:val="0"/>
          <w:sz w:val="24"/>
        </w:rPr>
      </w:pPr>
      <w:r>
        <w:rPr>
          <w:rFonts w:asciiTheme="minorEastAsia" w:eastAsiaTheme="minorEastAsia" w:hAnsiTheme="minorEastAsia" w:cs="Arial"/>
          <w:color w:val="000000" w:themeColor="text1"/>
          <w:kern w:val="0"/>
          <w:sz w:val="24"/>
        </w:rPr>
        <w:tab/>
      </w:r>
    </w:p>
    <w:p w:rsidR="00125606" w:rsidRDefault="00954D72">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5.9</w:t>
      </w:r>
      <w:r>
        <w:rPr>
          <w:rFonts w:eastAsiaTheme="minorEastAsia"/>
          <w:b/>
          <w:color w:val="000000" w:themeColor="text1"/>
          <w:szCs w:val="21"/>
        </w:rPr>
        <w:t>报告期末本基金投资的股指期货交易情况说明</w:t>
      </w:r>
    </w:p>
    <w:p w:rsidR="00125606" w:rsidRDefault="00954D72">
      <w:pPr>
        <w:autoSpaceDE w:val="0"/>
        <w:autoSpaceDN w:val="0"/>
        <w:adjustRightInd w:val="0"/>
        <w:spacing w:line="360" w:lineRule="auto"/>
        <w:ind w:firstLineChars="150" w:firstLine="315"/>
        <w:jc w:val="left"/>
        <w:rPr>
          <w:rFonts w:eastAsiaTheme="minorEastAsia"/>
          <w:color w:val="000000" w:themeColor="text1"/>
          <w:szCs w:val="21"/>
        </w:rPr>
      </w:pPr>
      <w:r>
        <w:rPr>
          <w:rFonts w:eastAsiaTheme="minorEastAsia"/>
          <w:color w:val="000000" w:themeColor="text1"/>
          <w:szCs w:val="21"/>
        </w:rPr>
        <w:t>本基金本报告期末未持有股指期货。</w:t>
      </w:r>
    </w:p>
    <w:p w:rsidR="00125606" w:rsidRDefault="00125606">
      <w:pPr>
        <w:autoSpaceDE w:val="0"/>
        <w:autoSpaceDN w:val="0"/>
        <w:adjustRightInd w:val="0"/>
        <w:spacing w:line="360" w:lineRule="auto"/>
        <w:jc w:val="left"/>
        <w:rPr>
          <w:rFonts w:asciiTheme="minorEastAsia" w:eastAsiaTheme="minorEastAsia" w:hAnsiTheme="minorEastAsia" w:cs="宋体"/>
          <w:color w:val="000000" w:themeColor="text1"/>
          <w:sz w:val="24"/>
        </w:rPr>
      </w:pPr>
    </w:p>
    <w:p w:rsidR="00125606" w:rsidRDefault="00954D72">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125606" w:rsidRDefault="00954D72">
      <w:pPr>
        <w:autoSpaceDE w:val="0"/>
        <w:autoSpaceDN w:val="0"/>
        <w:adjustRightInd w:val="0"/>
        <w:spacing w:line="360" w:lineRule="auto"/>
        <w:ind w:firstLineChars="150" w:firstLine="315"/>
        <w:jc w:val="left"/>
        <w:rPr>
          <w:rFonts w:eastAsiaTheme="minorEastAsia"/>
          <w:color w:val="000000" w:themeColor="text1"/>
          <w:szCs w:val="21"/>
        </w:rPr>
      </w:pPr>
      <w:r>
        <w:rPr>
          <w:rFonts w:eastAsiaTheme="minorEastAsia"/>
          <w:color w:val="000000" w:themeColor="text1"/>
          <w:szCs w:val="21"/>
        </w:rPr>
        <w:t>本基金本报告期末未持有国债期货。</w:t>
      </w:r>
    </w:p>
    <w:p w:rsidR="00125606" w:rsidRDefault="00954D72">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Pr>
          <w:rFonts w:asciiTheme="minorEastAsia" w:eastAsiaTheme="minorEastAsia" w:hAnsiTheme="minorEastAsia" w:cs="Arial" w:hint="eastAsia"/>
          <w:b/>
          <w:color w:val="000000" w:themeColor="text1"/>
          <w:kern w:val="0"/>
          <w:szCs w:val="21"/>
        </w:rPr>
        <w:t>5</w:t>
      </w:r>
      <w:r>
        <w:rPr>
          <w:rFonts w:asciiTheme="minorEastAsia" w:eastAsiaTheme="minorEastAsia" w:hAnsiTheme="minorEastAsia" w:cs="Arial"/>
          <w:b/>
          <w:color w:val="000000" w:themeColor="text1"/>
          <w:kern w:val="0"/>
          <w:szCs w:val="21"/>
        </w:rPr>
        <w:t>.</w:t>
      </w:r>
      <w:r>
        <w:rPr>
          <w:rFonts w:asciiTheme="minorEastAsia" w:eastAsiaTheme="minorEastAsia" w:hAnsiTheme="minorEastAsia" w:cs="Arial" w:hint="eastAsia"/>
          <w:b/>
          <w:color w:val="000000" w:themeColor="text1"/>
          <w:kern w:val="0"/>
          <w:szCs w:val="21"/>
        </w:rPr>
        <w:t>11投资组合报告附注</w:t>
      </w:r>
    </w:p>
    <w:p w:rsidR="00125606" w:rsidRDefault="00954D72">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125606" w:rsidRDefault="00954D72">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125606" w:rsidRDefault="00954D72">
      <w:pPr>
        <w:autoSpaceDE w:val="0"/>
        <w:autoSpaceDN w:val="0"/>
        <w:adjustRightInd w:val="0"/>
        <w:spacing w:line="360" w:lineRule="auto"/>
        <w:rPr>
          <w:rFonts w:asciiTheme="minorEastAsia" w:eastAsiaTheme="minorEastAsia" w:hAnsiTheme="minorEastAsia" w:cs="Arial"/>
          <w:b/>
          <w:color w:val="000000" w:themeColor="text1"/>
          <w:kern w:val="0"/>
          <w:szCs w:val="21"/>
        </w:rPr>
      </w:pPr>
      <w:r>
        <w:rPr>
          <w:rFonts w:asciiTheme="minorEastAsia" w:eastAsiaTheme="minorEastAsia" w:hAnsiTheme="minorEastAsia" w:cs="Arial" w:hint="eastAsia"/>
          <w:b/>
          <w:color w:val="000000" w:themeColor="text1"/>
          <w:kern w:val="0"/>
          <w:szCs w:val="21"/>
        </w:rPr>
        <w:t>5</w:t>
      </w:r>
      <w:r>
        <w:rPr>
          <w:rFonts w:asciiTheme="minorEastAsia" w:eastAsiaTheme="minorEastAsia" w:hAnsiTheme="minorEastAsia" w:cs="Arial"/>
          <w:b/>
          <w:color w:val="000000" w:themeColor="text1"/>
          <w:kern w:val="0"/>
          <w:szCs w:val="21"/>
        </w:rPr>
        <w:t>.</w:t>
      </w:r>
      <w:r>
        <w:rPr>
          <w:rFonts w:asciiTheme="minorEastAsia" w:eastAsiaTheme="minorEastAsia" w:hAnsiTheme="minorEastAsia" w:cs="Arial" w:hint="eastAsia"/>
          <w:b/>
          <w:color w:val="000000" w:themeColor="text1"/>
          <w:kern w:val="0"/>
          <w:szCs w:val="21"/>
        </w:rPr>
        <w:t>11</w:t>
      </w:r>
      <w:r>
        <w:rPr>
          <w:rFonts w:asciiTheme="minorEastAsia" w:eastAsiaTheme="minorEastAsia" w:hAnsiTheme="minorEastAsia" w:cs="Arial"/>
          <w:b/>
          <w:color w:val="000000" w:themeColor="text1"/>
          <w:kern w:val="0"/>
          <w:szCs w:val="21"/>
        </w:rPr>
        <w:t>.</w:t>
      </w:r>
      <w:r>
        <w:rPr>
          <w:rFonts w:asciiTheme="minorEastAsia" w:eastAsiaTheme="minorEastAsia" w:hAnsiTheme="minorEastAsia" w:cs="Arial" w:hint="eastAsia"/>
          <w:b/>
          <w:color w:val="000000" w:themeColor="text1"/>
          <w:kern w:val="0"/>
          <w:szCs w:val="21"/>
        </w:rPr>
        <w:t>3其他资产构成</w:t>
      </w:r>
    </w:p>
    <w:tbl>
      <w:tblPr>
        <w:tblStyle w:val="af6"/>
        <w:tblW w:w="8679" w:type="dxa"/>
        <w:tblInd w:w="15" w:type="dxa"/>
        <w:tblLayout w:type="fixed"/>
        <w:tblLook w:val="04A0"/>
      </w:tblPr>
      <w:tblGrid>
        <w:gridCol w:w="1110"/>
        <w:gridCol w:w="2761"/>
        <w:gridCol w:w="4808"/>
      </w:tblGrid>
      <w:tr w:rsidR="00125606">
        <w:tc>
          <w:tcPr>
            <w:tcW w:w="1110" w:type="dxa"/>
            <w:vAlign w:val="center"/>
          </w:tcPr>
          <w:p w:rsidR="00125606" w:rsidRDefault="00954D7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序号</w:t>
            </w:r>
          </w:p>
        </w:tc>
        <w:tc>
          <w:tcPr>
            <w:tcW w:w="2761" w:type="dxa"/>
            <w:vAlign w:val="center"/>
          </w:tcPr>
          <w:p w:rsidR="00125606" w:rsidRDefault="00954D7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名称</w:t>
            </w:r>
          </w:p>
        </w:tc>
        <w:tc>
          <w:tcPr>
            <w:tcW w:w="4808" w:type="dxa"/>
            <w:vAlign w:val="center"/>
          </w:tcPr>
          <w:p w:rsidR="00125606" w:rsidRDefault="00954D7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金额(元)</w:t>
            </w:r>
          </w:p>
        </w:tc>
      </w:tr>
      <w:tr w:rsidR="00125606">
        <w:tc>
          <w:tcPr>
            <w:tcW w:w="1110" w:type="dxa"/>
            <w:vAlign w:val="center"/>
          </w:tcPr>
          <w:p w:rsidR="00125606" w:rsidRDefault="00954D72">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125606" w:rsidRDefault="00954D72">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存出保证金</w:t>
            </w:r>
          </w:p>
        </w:tc>
        <w:tc>
          <w:tcPr>
            <w:tcW w:w="4808" w:type="dxa"/>
            <w:vAlign w:val="center"/>
          </w:tcPr>
          <w:p w:rsidR="00125606" w:rsidRDefault="00954D72">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14,763.85</w:t>
            </w:r>
          </w:p>
        </w:tc>
      </w:tr>
      <w:tr w:rsidR="00125606">
        <w:tc>
          <w:tcPr>
            <w:tcW w:w="1110" w:type="dxa"/>
            <w:vAlign w:val="center"/>
          </w:tcPr>
          <w:p w:rsidR="00125606" w:rsidRDefault="00954D72">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125606" w:rsidRDefault="00954D72">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125606" w:rsidRDefault="00954D72">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931,020.17</w:t>
            </w:r>
          </w:p>
        </w:tc>
      </w:tr>
      <w:tr w:rsidR="00125606">
        <w:tc>
          <w:tcPr>
            <w:tcW w:w="1110" w:type="dxa"/>
            <w:vAlign w:val="center"/>
          </w:tcPr>
          <w:p w:rsidR="00125606" w:rsidRDefault="00954D72">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125606" w:rsidRDefault="00954D72">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应收股利</w:t>
            </w:r>
          </w:p>
        </w:tc>
        <w:tc>
          <w:tcPr>
            <w:tcW w:w="4808" w:type="dxa"/>
            <w:vAlign w:val="center"/>
          </w:tcPr>
          <w:p w:rsidR="00125606" w:rsidRDefault="00954D72">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125606">
        <w:tc>
          <w:tcPr>
            <w:tcW w:w="1110" w:type="dxa"/>
            <w:vAlign w:val="center"/>
          </w:tcPr>
          <w:p w:rsidR="00125606" w:rsidRDefault="00954D72">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125606" w:rsidRDefault="00954D72">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应收利息</w:t>
            </w:r>
          </w:p>
        </w:tc>
        <w:tc>
          <w:tcPr>
            <w:tcW w:w="4808" w:type="dxa"/>
            <w:vAlign w:val="center"/>
          </w:tcPr>
          <w:p w:rsidR="00125606" w:rsidRDefault="00954D72">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16,395.83</w:t>
            </w:r>
          </w:p>
        </w:tc>
      </w:tr>
      <w:tr w:rsidR="00125606">
        <w:tc>
          <w:tcPr>
            <w:tcW w:w="1110" w:type="dxa"/>
            <w:vAlign w:val="center"/>
          </w:tcPr>
          <w:p w:rsidR="00125606" w:rsidRDefault="00954D72">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125606" w:rsidRDefault="00954D72">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应收申购款</w:t>
            </w:r>
          </w:p>
        </w:tc>
        <w:tc>
          <w:tcPr>
            <w:tcW w:w="4808" w:type="dxa"/>
            <w:vAlign w:val="center"/>
          </w:tcPr>
          <w:p w:rsidR="00125606" w:rsidRDefault="00954D72">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125606">
        <w:tc>
          <w:tcPr>
            <w:tcW w:w="1110" w:type="dxa"/>
            <w:vAlign w:val="center"/>
          </w:tcPr>
          <w:p w:rsidR="00125606" w:rsidRDefault="00954D72">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125606" w:rsidRDefault="00954D72">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其他应收款</w:t>
            </w:r>
          </w:p>
        </w:tc>
        <w:tc>
          <w:tcPr>
            <w:tcW w:w="4808" w:type="dxa"/>
            <w:vAlign w:val="center"/>
          </w:tcPr>
          <w:p w:rsidR="00125606" w:rsidRDefault="00954D72">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125606">
        <w:tc>
          <w:tcPr>
            <w:tcW w:w="1110" w:type="dxa"/>
            <w:vAlign w:val="center"/>
          </w:tcPr>
          <w:p w:rsidR="00125606" w:rsidRDefault="00954D72">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125606" w:rsidRDefault="00954D72">
            <w:pPr>
              <w:autoSpaceDE w:val="0"/>
              <w:autoSpaceDN w:val="0"/>
              <w:adjustRightInd w:val="0"/>
              <w:spacing w:before="29" w:line="360" w:lineRule="auto"/>
              <w:ind w:left="15"/>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待摊费用</w:t>
            </w:r>
          </w:p>
        </w:tc>
        <w:tc>
          <w:tcPr>
            <w:tcW w:w="4808" w:type="dxa"/>
            <w:vAlign w:val="center"/>
          </w:tcPr>
          <w:p w:rsidR="00125606" w:rsidRDefault="00954D72">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125606">
        <w:tc>
          <w:tcPr>
            <w:tcW w:w="1110" w:type="dxa"/>
            <w:vAlign w:val="center"/>
          </w:tcPr>
          <w:p w:rsidR="00125606" w:rsidRDefault="00954D72">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125606" w:rsidRDefault="00954D72">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其他</w:t>
            </w:r>
          </w:p>
        </w:tc>
        <w:tc>
          <w:tcPr>
            <w:tcW w:w="4808" w:type="dxa"/>
            <w:vAlign w:val="center"/>
          </w:tcPr>
          <w:p w:rsidR="00125606" w:rsidRDefault="00954D72">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125606">
        <w:tc>
          <w:tcPr>
            <w:tcW w:w="1110" w:type="dxa"/>
            <w:vAlign w:val="center"/>
          </w:tcPr>
          <w:p w:rsidR="00125606" w:rsidRDefault="00954D72">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125606" w:rsidRDefault="00954D72">
            <w:pPr>
              <w:autoSpaceDE w:val="0"/>
              <w:autoSpaceDN w:val="0"/>
              <w:adjustRightInd w:val="0"/>
              <w:spacing w:before="29" w:line="360" w:lineRule="auto"/>
              <w:ind w:left="15"/>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kern w:val="0"/>
                <w:szCs w:val="21"/>
              </w:rPr>
              <w:t>合计</w:t>
            </w:r>
          </w:p>
        </w:tc>
        <w:tc>
          <w:tcPr>
            <w:tcW w:w="4808" w:type="dxa"/>
            <w:vAlign w:val="center"/>
          </w:tcPr>
          <w:p w:rsidR="00125606" w:rsidRDefault="00954D72">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962,179.85</w:t>
            </w:r>
          </w:p>
        </w:tc>
      </w:tr>
    </w:tbl>
    <w:p w:rsidR="00125606" w:rsidRDefault="00125606">
      <w:pPr>
        <w:autoSpaceDE w:val="0"/>
        <w:autoSpaceDN w:val="0"/>
        <w:adjustRightInd w:val="0"/>
        <w:spacing w:line="360" w:lineRule="auto"/>
        <w:jc w:val="left"/>
        <w:rPr>
          <w:rFonts w:asciiTheme="minorEastAsia" w:eastAsiaTheme="minorEastAsia" w:hAnsiTheme="minorEastAsia" w:cs="宋体"/>
          <w:color w:val="000000" w:themeColor="text1"/>
          <w:sz w:val="24"/>
        </w:rPr>
      </w:pPr>
    </w:p>
    <w:p w:rsidR="00125606" w:rsidRDefault="00954D72">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125606" w:rsidRDefault="00954D7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125606" w:rsidRDefault="00125606">
      <w:pPr>
        <w:autoSpaceDE w:val="0"/>
        <w:autoSpaceDN w:val="0"/>
        <w:adjustRightInd w:val="0"/>
        <w:spacing w:line="360" w:lineRule="auto"/>
        <w:jc w:val="left"/>
        <w:rPr>
          <w:rFonts w:eastAsiaTheme="minorEastAsia"/>
          <w:color w:val="000000" w:themeColor="text1"/>
          <w:sz w:val="24"/>
        </w:rPr>
      </w:pPr>
    </w:p>
    <w:p w:rsidR="00125606" w:rsidRDefault="00954D72">
      <w:pPr>
        <w:autoSpaceDE w:val="0"/>
        <w:autoSpaceDN w:val="0"/>
        <w:adjustRightInd w:val="0"/>
        <w:spacing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125606" w:rsidRDefault="00954D72">
      <w:pPr>
        <w:autoSpaceDE w:val="0"/>
        <w:autoSpaceDN w:val="0"/>
        <w:adjustRightInd w:val="0"/>
        <w:spacing w:line="360" w:lineRule="auto"/>
        <w:ind w:firstLineChars="150" w:firstLine="315"/>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125606" w:rsidRDefault="00125606">
      <w:pPr>
        <w:spacing w:line="360" w:lineRule="auto"/>
        <w:rPr>
          <w:rFonts w:eastAsiaTheme="minorEastAsia"/>
          <w:color w:val="000000" w:themeColor="text1"/>
          <w:sz w:val="24"/>
        </w:rPr>
      </w:pPr>
    </w:p>
    <w:p w:rsidR="00125606" w:rsidRDefault="00954D72">
      <w:pPr>
        <w:spacing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125606" w:rsidRDefault="00954D72" w:rsidP="00DC74FA">
      <w:pPr>
        <w:pStyle w:val="1"/>
        <w:spacing w:beforeLines="100" w:afterLines="100" w:line="360" w:lineRule="auto"/>
        <w:jc w:val="center"/>
        <w:rPr>
          <w:rFonts w:asciiTheme="minorEastAsia" w:eastAsiaTheme="minorEastAsia" w:hAnsiTheme="minorEastAsia" w:cs="Arial"/>
          <w:color w:val="000000" w:themeColor="text1"/>
          <w:kern w:val="0"/>
          <w:sz w:val="28"/>
          <w:szCs w:val="28"/>
        </w:rPr>
      </w:pPr>
      <w:r>
        <w:rPr>
          <w:rFonts w:eastAsiaTheme="minorEastAsia"/>
          <w:color w:val="000000" w:themeColor="text1"/>
          <w:kern w:val="0"/>
          <w:sz w:val="28"/>
          <w:szCs w:val="28"/>
        </w:rPr>
        <w:t>§6</w:t>
      </w:r>
      <w:r>
        <w:rPr>
          <w:rFonts w:asciiTheme="minorEastAsia" w:eastAsiaTheme="minorEastAsia" w:hAnsiTheme="minorEastAsia" w:cs="Arial" w:hint="eastAsia"/>
          <w:color w:val="000000" w:themeColor="text1"/>
          <w:kern w:val="0"/>
          <w:sz w:val="28"/>
          <w:szCs w:val="28"/>
        </w:rPr>
        <w:t>开放式基金份额变动</w:t>
      </w:r>
    </w:p>
    <w:p w:rsidR="00125606" w:rsidRDefault="00954D72">
      <w:pPr>
        <w:autoSpaceDE w:val="0"/>
        <w:autoSpaceDN w:val="0"/>
        <w:adjustRightInd w:val="0"/>
        <w:spacing w:before="29" w:line="288" w:lineRule="auto"/>
        <w:ind w:left="15" w:right="480"/>
        <w:jc w:val="right"/>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单位：份</w:t>
      </w:r>
    </w:p>
    <w:tbl>
      <w:tblPr>
        <w:tblW w:w="8634" w:type="dxa"/>
        <w:tblInd w:w="-106" w:type="dxa"/>
        <w:tblLayout w:type="fixed"/>
        <w:tblLook w:val="04A0"/>
      </w:tblPr>
      <w:tblGrid>
        <w:gridCol w:w="2199"/>
        <w:gridCol w:w="1559"/>
        <w:gridCol w:w="1625"/>
        <w:gridCol w:w="1625"/>
        <w:gridCol w:w="1626"/>
      </w:tblGrid>
      <w:tr w:rsidR="00125606">
        <w:tc>
          <w:tcPr>
            <w:tcW w:w="219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155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A</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B</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C</w:t>
            </w:r>
          </w:p>
        </w:tc>
        <w:tc>
          <w:tcPr>
            <w:tcW w:w="1626"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上投摩根岁岁盈定期开放债券</w:t>
            </w:r>
            <w:r>
              <w:rPr>
                <w:rFonts w:eastAsiaTheme="minorEastAsia"/>
                <w:color w:val="000000" w:themeColor="text1"/>
                <w:szCs w:val="21"/>
              </w:rPr>
              <w:t>D</w:t>
            </w:r>
          </w:p>
        </w:tc>
      </w:tr>
      <w:tr w:rsidR="00125606">
        <w:tc>
          <w:tcPr>
            <w:tcW w:w="219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155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55,311,588.34</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199.81</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2,606,235.36</w:t>
            </w:r>
          </w:p>
        </w:tc>
        <w:tc>
          <w:tcPr>
            <w:tcW w:w="1626"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211.91</w:t>
            </w:r>
          </w:p>
        </w:tc>
      </w:tr>
      <w:tr w:rsidR="00125606">
        <w:tc>
          <w:tcPr>
            <w:tcW w:w="219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155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200.39</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213.56</w:t>
            </w:r>
          </w:p>
        </w:tc>
        <w:tc>
          <w:tcPr>
            <w:tcW w:w="1626"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c>
          <w:tcPr>
            <w:tcW w:w="219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155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38,448,983.52</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199.81</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1,813,015.31</w:t>
            </w:r>
          </w:p>
        </w:tc>
        <w:tc>
          <w:tcPr>
            <w:tcW w:w="1626"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211.91</w:t>
            </w:r>
          </w:p>
        </w:tc>
      </w:tr>
      <w:tr w:rsidR="00125606">
        <w:tc>
          <w:tcPr>
            <w:tcW w:w="219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155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26"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125606">
        <w:tc>
          <w:tcPr>
            <w:tcW w:w="219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1559"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16,862,805.21</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25"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793,433.61</w:t>
            </w:r>
          </w:p>
        </w:tc>
        <w:tc>
          <w:tcPr>
            <w:tcW w:w="1626" w:type="dxa"/>
            <w:tcBorders>
              <w:top w:val="single" w:sz="8" w:space="0" w:color="000000"/>
              <w:left w:val="single" w:sz="8" w:space="0" w:color="000000"/>
              <w:bottom w:val="single" w:sz="8" w:space="0" w:color="000000"/>
              <w:right w:val="single" w:sz="8" w:space="0" w:color="000000"/>
            </w:tcBorders>
            <w:vAlign w:val="center"/>
          </w:tcPr>
          <w:p w:rsidR="00125606" w:rsidRDefault="00954D72">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bl>
    <w:p w:rsidR="00125606" w:rsidRDefault="00954D72" w:rsidP="00DC74FA">
      <w:pPr>
        <w:pStyle w:val="1"/>
        <w:tabs>
          <w:tab w:val="center" w:pos="4156"/>
          <w:tab w:val="right" w:pos="8312"/>
        </w:tabs>
        <w:spacing w:beforeLines="100" w:afterLines="100" w:line="360" w:lineRule="auto"/>
        <w:jc w:val="center"/>
        <w:rPr>
          <w:color w:val="000000" w:themeColor="text1"/>
          <w:sz w:val="24"/>
          <w:szCs w:val="24"/>
        </w:rPr>
      </w:pPr>
      <w:r>
        <w:rPr>
          <w:rFonts w:eastAsiaTheme="minorEastAsia"/>
          <w:color w:val="000000" w:themeColor="text1"/>
          <w:kern w:val="0"/>
          <w:sz w:val="24"/>
          <w:szCs w:val="24"/>
        </w:rPr>
        <w:t>§7</w:t>
      </w:r>
      <w:r>
        <w:rPr>
          <w:color w:val="000000" w:themeColor="text1"/>
          <w:sz w:val="24"/>
          <w:szCs w:val="24"/>
        </w:rPr>
        <w:t>基金管理人运用固有资金投资本基金情况</w:t>
      </w:r>
    </w:p>
    <w:p w:rsidR="00125606" w:rsidRDefault="00954D72">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125606" w:rsidRDefault="00954D72">
      <w:pPr>
        <w:autoSpaceDE w:val="0"/>
        <w:autoSpaceDN w:val="0"/>
        <w:adjustRightInd w:val="0"/>
        <w:spacing w:line="360" w:lineRule="auto"/>
        <w:ind w:firstLineChars="150" w:firstLine="315"/>
        <w:jc w:val="left"/>
        <w:rPr>
          <w:rFonts w:asciiTheme="minorEastAsia" w:eastAsiaTheme="minorEastAsia" w:hAnsiTheme="minorEastAsia"/>
          <w:color w:val="000000" w:themeColor="text1"/>
          <w:szCs w:val="21"/>
        </w:rPr>
      </w:pPr>
      <w:r>
        <w:rPr>
          <w:rFonts w:eastAsiaTheme="minorEastAsia"/>
          <w:color w:val="000000" w:themeColor="text1"/>
          <w:szCs w:val="21"/>
        </w:rPr>
        <w:t>无。</w:t>
      </w:r>
    </w:p>
    <w:p w:rsidR="00125606" w:rsidRDefault="00125606">
      <w:pPr>
        <w:autoSpaceDE w:val="0"/>
        <w:autoSpaceDN w:val="0"/>
        <w:adjustRightInd w:val="0"/>
        <w:spacing w:line="360" w:lineRule="auto"/>
        <w:jc w:val="left"/>
        <w:rPr>
          <w:rFonts w:asciiTheme="minorEastAsia" w:eastAsiaTheme="minorEastAsia" w:hAnsiTheme="minorEastAsia" w:cs="宋体"/>
          <w:color w:val="000000" w:themeColor="text1"/>
          <w:kern w:val="0"/>
          <w:szCs w:val="21"/>
        </w:rPr>
      </w:pPr>
    </w:p>
    <w:p w:rsidR="00125606" w:rsidRDefault="00954D72" w:rsidP="00DC74FA">
      <w:pPr>
        <w:pStyle w:val="1"/>
        <w:spacing w:beforeLines="100" w:afterLines="100" w:line="360" w:lineRule="auto"/>
        <w:jc w:val="center"/>
        <w:rPr>
          <w:rFonts w:eastAsiaTheme="minorEastAsia"/>
          <w:color w:val="000000" w:themeColor="text1"/>
          <w:kern w:val="0"/>
          <w:sz w:val="28"/>
          <w:szCs w:val="28"/>
        </w:rPr>
      </w:pPr>
      <w:r>
        <w:rPr>
          <w:rFonts w:eastAsiaTheme="minorEastAsia"/>
          <w:color w:val="000000" w:themeColor="text1"/>
          <w:kern w:val="0"/>
          <w:sz w:val="28"/>
          <w:szCs w:val="28"/>
        </w:rPr>
        <w:t xml:space="preserve">§8 </w:t>
      </w:r>
      <w:r>
        <w:rPr>
          <w:rFonts w:eastAsiaTheme="minorEastAsia"/>
          <w:color w:val="000000" w:themeColor="text1"/>
          <w:kern w:val="0"/>
          <w:sz w:val="28"/>
          <w:szCs w:val="28"/>
        </w:rPr>
        <w:t>影响投资者决策的其他重要信息</w:t>
      </w:r>
    </w:p>
    <w:p w:rsidR="00125606" w:rsidRDefault="00954D72">
      <w:pPr>
        <w:spacing w:line="360" w:lineRule="auto"/>
        <w:ind w:firstLineChars="200" w:firstLine="420"/>
        <w:rPr>
          <w:rFonts w:ascii="宋体" w:hAnsi="宋体"/>
          <w:color w:val="000000"/>
          <w:szCs w:val="21"/>
        </w:rPr>
      </w:pPr>
      <w:r>
        <w:rPr>
          <w:rFonts w:ascii="宋体" w:hAnsi="宋体"/>
          <w:color w:val="000000"/>
          <w:szCs w:val="21"/>
        </w:rPr>
        <w:t>根据基金管理人于2018年11月9日发布的《关于上投摩根岁岁盈定期开放债券型证券投资基金触发基金合同终止情形及基金财产清算的公告》，本基金于</w:t>
      </w:r>
      <w:bookmarkStart w:id="0" w:name="_GoBack"/>
      <w:bookmarkEnd w:id="0"/>
      <w:r>
        <w:rPr>
          <w:rFonts w:ascii="宋体" w:hAnsi="宋体"/>
          <w:color w:val="000000"/>
          <w:szCs w:val="21"/>
        </w:rPr>
        <w:t>2018年11月7日开放期届满时基金资产净值低于5000万元。为维护基金份额持有人利益，根据基金合同约定，本基金管理人经与本基金托管人协商一致，依法将本基金进入基金财产清算程序，无需召开基金份额持有人大会审议。本基金自2018年11月9日起进入清算程序。</w:t>
      </w:r>
    </w:p>
    <w:p w:rsidR="00125606" w:rsidRDefault="00954D72" w:rsidP="00DC74FA">
      <w:pPr>
        <w:pStyle w:val="1"/>
        <w:spacing w:beforeLines="100" w:afterLines="100" w:line="360" w:lineRule="auto"/>
        <w:jc w:val="center"/>
        <w:rPr>
          <w:rFonts w:eastAsiaTheme="minorEastAsia"/>
          <w:color w:val="000000" w:themeColor="text1"/>
          <w:kern w:val="0"/>
          <w:sz w:val="28"/>
          <w:szCs w:val="28"/>
        </w:rPr>
      </w:pPr>
      <w:r>
        <w:rPr>
          <w:rFonts w:eastAsiaTheme="minorEastAsia"/>
          <w:color w:val="000000" w:themeColor="text1"/>
          <w:kern w:val="0"/>
          <w:sz w:val="28"/>
          <w:szCs w:val="28"/>
        </w:rPr>
        <w:t xml:space="preserve">§9 </w:t>
      </w:r>
      <w:r>
        <w:rPr>
          <w:rFonts w:eastAsiaTheme="minorEastAsia"/>
          <w:color w:val="000000" w:themeColor="text1"/>
          <w:kern w:val="0"/>
          <w:sz w:val="28"/>
          <w:szCs w:val="28"/>
        </w:rPr>
        <w:t>备查文件目录</w:t>
      </w:r>
    </w:p>
    <w:p w:rsidR="00125606" w:rsidRDefault="00954D72">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中国证监会批准上投摩根岁岁盈定期开放债券型证券投资基金设立的文件；</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《上投摩根岁岁盈定期开放债券型证券投资基金基金合同》；</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《上投摩根岁岁盈定期开放债券型证券投资基金托管协议》；</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125606" w:rsidRDefault="00125606">
      <w:pPr>
        <w:spacing w:line="360" w:lineRule="auto"/>
        <w:ind w:firstLineChars="200" w:firstLine="420"/>
        <w:rPr>
          <w:rFonts w:eastAsiaTheme="minorEastAsia"/>
          <w:color w:val="000000" w:themeColor="text1"/>
          <w:szCs w:val="21"/>
        </w:rPr>
      </w:pPr>
    </w:p>
    <w:p w:rsidR="00125606" w:rsidRDefault="00954D72">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125606" w:rsidRDefault="00125606">
      <w:pPr>
        <w:spacing w:line="360" w:lineRule="auto"/>
        <w:ind w:firstLineChars="200" w:firstLine="420"/>
        <w:rPr>
          <w:rFonts w:eastAsiaTheme="minorEastAsia"/>
          <w:color w:val="000000" w:themeColor="text1"/>
          <w:szCs w:val="21"/>
        </w:rPr>
      </w:pPr>
    </w:p>
    <w:p w:rsidR="00125606" w:rsidRDefault="00954D72">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125606" w:rsidRDefault="00954D72">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125606" w:rsidRDefault="00125606">
      <w:pPr>
        <w:spacing w:line="360" w:lineRule="auto"/>
        <w:ind w:left="840"/>
        <w:jc w:val="right"/>
        <w:rPr>
          <w:rFonts w:asciiTheme="minorEastAsia" w:eastAsiaTheme="minorEastAsia" w:hAnsiTheme="minorEastAsia"/>
          <w:color w:val="000000" w:themeColor="text1"/>
          <w:sz w:val="24"/>
        </w:rPr>
      </w:pPr>
    </w:p>
    <w:p w:rsidR="00125606" w:rsidRDefault="00125606">
      <w:pPr>
        <w:spacing w:line="360" w:lineRule="auto"/>
        <w:ind w:left="840"/>
        <w:jc w:val="center"/>
        <w:rPr>
          <w:rFonts w:asciiTheme="minorEastAsia" w:eastAsiaTheme="minorEastAsia" w:hAnsiTheme="minorEastAsia"/>
          <w:b/>
          <w:color w:val="000000" w:themeColor="text1"/>
          <w:sz w:val="24"/>
        </w:rPr>
      </w:pPr>
    </w:p>
    <w:p w:rsidR="00125606" w:rsidRDefault="00954D72">
      <w:pPr>
        <w:spacing w:line="360" w:lineRule="auto"/>
        <w:jc w:val="right"/>
        <w:rPr>
          <w:rFonts w:eastAsiaTheme="minorEastAsia"/>
          <w:bCs/>
          <w:color w:val="000000" w:themeColor="text1"/>
          <w:szCs w:val="21"/>
        </w:rPr>
      </w:pPr>
      <w:r>
        <w:rPr>
          <w:rFonts w:eastAsiaTheme="minorEastAsia"/>
          <w:bCs/>
          <w:color w:val="000000" w:themeColor="text1"/>
          <w:szCs w:val="21"/>
        </w:rPr>
        <w:t>上投摩根基金管理有限公司</w:t>
      </w:r>
    </w:p>
    <w:p w:rsidR="00125606" w:rsidRDefault="00954D72">
      <w:pPr>
        <w:spacing w:line="360" w:lineRule="auto"/>
        <w:jc w:val="right"/>
        <w:rPr>
          <w:rFonts w:asciiTheme="minorEastAsia" w:eastAsiaTheme="minorEastAsia" w:hAnsiTheme="minorEastAsia"/>
          <w:bCs/>
          <w:color w:val="000000" w:themeColor="text1"/>
          <w:sz w:val="24"/>
        </w:rPr>
      </w:pPr>
      <w:r>
        <w:rPr>
          <w:rFonts w:eastAsiaTheme="minorEastAsia"/>
          <w:bCs/>
          <w:color w:val="000000" w:themeColor="text1"/>
          <w:szCs w:val="21"/>
        </w:rPr>
        <w:t>二〇一九年一月二十二日</w:t>
      </w:r>
    </w:p>
    <w:sectPr w:rsidR="00125606" w:rsidSect="00D95F2F">
      <w:footerReference w:type="even" r:id="rId14"/>
      <w:footerReference w:type="default" r:id="rId15"/>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DB7" w:rsidRDefault="00954D72">
      <w:r>
        <w:separator/>
      </w:r>
    </w:p>
  </w:endnote>
  <w:endnote w:type="continuationSeparator" w:id="1">
    <w:p w:rsidR="00A51DB7" w:rsidRDefault="00954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06" w:rsidRDefault="00954D72">
    <w:pPr>
      <w:pStyle w:val="ac"/>
      <w:jc w:val="center"/>
    </w:pPr>
    <w:r>
      <w:rPr>
        <w:rFonts w:hint="eastAsia"/>
        <w:kern w:val="0"/>
        <w:szCs w:val="21"/>
      </w:rPr>
      <w:t>第</w:t>
    </w:r>
    <w:r w:rsidR="00D95F2F">
      <w:rPr>
        <w:kern w:val="0"/>
        <w:szCs w:val="21"/>
      </w:rPr>
      <w:fldChar w:fldCharType="begin"/>
    </w:r>
    <w:r>
      <w:rPr>
        <w:kern w:val="0"/>
        <w:szCs w:val="21"/>
      </w:rPr>
      <w:instrText xml:space="preserve"> PAGE </w:instrText>
    </w:r>
    <w:r w:rsidR="00D95F2F">
      <w:rPr>
        <w:kern w:val="0"/>
        <w:szCs w:val="21"/>
      </w:rPr>
      <w:fldChar w:fldCharType="separate"/>
    </w:r>
    <w:r w:rsidR="00DC74FA">
      <w:rPr>
        <w:noProof/>
        <w:kern w:val="0"/>
        <w:szCs w:val="21"/>
      </w:rPr>
      <w:t>1</w:t>
    </w:r>
    <w:r w:rsidR="00D95F2F">
      <w:rPr>
        <w:kern w:val="0"/>
        <w:szCs w:val="21"/>
      </w:rPr>
      <w:fldChar w:fldCharType="end"/>
    </w:r>
    <w:r>
      <w:rPr>
        <w:rFonts w:hint="eastAsia"/>
        <w:kern w:val="0"/>
        <w:szCs w:val="21"/>
      </w:rPr>
      <w:t>页共</w:t>
    </w:r>
    <w:r w:rsidR="00D95F2F">
      <w:rPr>
        <w:kern w:val="0"/>
        <w:szCs w:val="21"/>
      </w:rPr>
      <w:fldChar w:fldCharType="begin"/>
    </w:r>
    <w:r>
      <w:rPr>
        <w:kern w:val="0"/>
        <w:szCs w:val="21"/>
      </w:rPr>
      <w:instrText xml:space="preserve"> NUMPAGES </w:instrText>
    </w:r>
    <w:r w:rsidR="00D95F2F">
      <w:rPr>
        <w:kern w:val="0"/>
        <w:szCs w:val="21"/>
      </w:rPr>
      <w:fldChar w:fldCharType="separate"/>
    </w:r>
    <w:r w:rsidR="00DC74FA">
      <w:rPr>
        <w:noProof/>
        <w:kern w:val="0"/>
        <w:szCs w:val="21"/>
      </w:rPr>
      <w:t>3</w:t>
    </w:r>
    <w:r w:rsidR="00D95F2F">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06" w:rsidRDefault="00D95F2F">
    <w:pPr>
      <w:pStyle w:val="ac"/>
      <w:framePr w:wrap="around" w:vAnchor="text" w:hAnchor="margin" w:xAlign="center" w:y="1"/>
      <w:rPr>
        <w:rStyle w:val="af2"/>
      </w:rPr>
    </w:pPr>
    <w:r>
      <w:rPr>
        <w:rStyle w:val="af2"/>
      </w:rPr>
      <w:fldChar w:fldCharType="begin"/>
    </w:r>
    <w:r w:rsidR="00954D72">
      <w:rPr>
        <w:rStyle w:val="af2"/>
      </w:rPr>
      <w:instrText xml:space="preserve">PAGE  </w:instrText>
    </w:r>
    <w:r>
      <w:rPr>
        <w:rStyle w:val="af2"/>
      </w:rPr>
      <w:fldChar w:fldCharType="end"/>
    </w:r>
  </w:p>
  <w:p w:rsidR="00125606" w:rsidRDefault="0012560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06" w:rsidRDefault="00D95F2F">
    <w:pPr>
      <w:pStyle w:val="ac"/>
      <w:framePr w:wrap="around" w:vAnchor="text" w:hAnchor="margin" w:xAlign="center" w:y="1"/>
      <w:rPr>
        <w:rStyle w:val="af2"/>
      </w:rPr>
    </w:pPr>
    <w:r>
      <w:rPr>
        <w:rStyle w:val="af2"/>
      </w:rPr>
      <w:fldChar w:fldCharType="begin"/>
    </w:r>
    <w:r w:rsidR="00954D72">
      <w:rPr>
        <w:rStyle w:val="af2"/>
      </w:rPr>
      <w:instrText xml:space="preserve">PAGE  </w:instrText>
    </w:r>
    <w:r>
      <w:rPr>
        <w:rStyle w:val="af2"/>
      </w:rPr>
      <w:fldChar w:fldCharType="separate"/>
    </w:r>
    <w:r w:rsidR="00DC74FA">
      <w:rPr>
        <w:rStyle w:val="af2"/>
        <w:noProof/>
      </w:rPr>
      <w:t>2</w:t>
    </w:r>
    <w:r>
      <w:rPr>
        <w:rStyle w:val="af2"/>
      </w:rPr>
      <w:fldChar w:fldCharType="end"/>
    </w:r>
  </w:p>
  <w:p w:rsidR="00125606" w:rsidRDefault="0012560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DB7" w:rsidRDefault="00954D72">
      <w:r>
        <w:separator/>
      </w:r>
    </w:p>
  </w:footnote>
  <w:footnote w:type="continuationSeparator" w:id="1">
    <w:p w:rsidR="00A51DB7" w:rsidRDefault="00954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06" w:rsidRDefault="00954D72">
    <w:pPr>
      <w:pStyle w:val="ad"/>
      <w:pBdr>
        <w:bottom w:val="single" w:sz="6" w:space="0" w:color="auto"/>
      </w:pBdr>
      <w:jc w:val="right"/>
    </w:pPr>
    <w:r>
      <w:t>上投摩根岁岁盈定期开放债券型证券投资基金</w:t>
    </w:r>
    <w:r>
      <w:t>2018</w:t>
    </w:r>
    <w:r>
      <w:t>年第</w:t>
    </w:r>
    <w:r>
      <w:t>4</w:t>
    </w:r>
    <w: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19D5"/>
    <w:rsid w:val="00021A39"/>
    <w:rsid w:val="00022396"/>
    <w:rsid w:val="00023073"/>
    <w:rsid w:val="00023B97"/>
    <w:rsid w:val="00024836"/>
    <w:rsid w:val="000252D8"/>
    <w:rsid w:val="0003564A"/>
    <w:rsid w:val="00037B55"/>
    <w:rsid w:val="00037C73"/>
    <w:rsid w:val="00042065"/>
    <w:rsid w:val="00043FD2"/>
    <w:rsid w:val="00045558"/>
    <w:rsid w:val="00045BA9"/>
    <w:rsid w:val="00046FDF"/>
    <w:rsid w:val="00047D87"/>
    <w:rsid w:val="000510AB"/>
    <w:rsid w:val="00053FFD"/>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971"/>
    <w:rsid w:val="000A7BFD"/>
    <w:rsid w:val="000B000E"/>
    <w:rsid w:val="000B1CB9"/>
    <w:rsid w:val="000B24AF"/>
    <w:rsid w:val="000B251E"/>
    <w:rsid w:val="000B31C6"/>
    <w:rsid w:val="000B3E43"/>
    <w:rsid w:val="000B4E99"/>
    <w:rsid w:val="000B648A"/>
    <w:rsid w:val="000C45E7"/>
    <w:rsid w:val="000C5956"/>
    <w:rsid w:val="000C757F"/>
    <w:rsid w:val="000C7DD4"/>
    <w:rsid w:val="000D1164"/>
    <w:rsid w:val="000D1BBE"/>
    <w:rsid w:val="000D3773"/>
    <w:rsid w:val="000D4232"/>
    <w:rsid w:val="000D4DE9"/>
    <w:rsid w:val="000D6660"/>
    <w:rsid w:val="000D6BA0"/>
    <w:rsid w:val="000D7ECA"/>
    <w:rsid w:val="000E2F81"/>
    <w:rsid w:val="000E367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064BC"/>
    <w:rsid w:val="00112BCF"/>
    <w:rsid w:val="00114E7E"/>
    <w:rsid w:val="00117465"/>
    <w:rsid w:val="00117F22"/>
    <w:rsid w:val="00120280"/>
    <w:rsid w:val="001207F2"/>
    <w:rsid w:val="00121533"/>
    <w:rsid w:val="0012304E"/>
    <w:rsid w:val="00123051"/>
    <w:rsid w:val="00125606"/>
    <w:rsid w:val="001257C7"/>
    <w:rsid w:val="00125E66"/>
    <w:rsid w:val="001263E1"/>
    <w:rsid w:val="00126AC0"/>
    <w:rsid w:val="00126C2B"/>
    <w:rsid w:val="00127A01"/>
    <w:rsid w:val="00130D77"/>
    <w:rsid w:val="00131EF6"/>
    <w:rsid w:val="0013251D"/>
    <w:rsid w:val="00134734"/>
    <w:rsid w:val="00134CBE"/>
    <w:rsid w:val="00140C30"/>
    <w:rsid w:val="00142C74"/>
    <w:rsid w:val="00145E5B"/>
    <w:rsid w:val="00147319"/>
    <w:rsid w:val="00147551"/>
    <w:rsid w:val="0015012F"/>
    <w:rsid w:val="00150C2E"/>
    <w:rsid w:val="0015170D"/>
    <w:rsid w:val="001517AE"/>
    <w:rsid w:val="001539AE"/>
    <w:rsid w:val="00154FA5"/>
    <w:rsid w:val="0015531A"/>
    <w:rsid w:val="00156F9D"/>
    <w:rsid w:val="001602E3"/>
    <w:rsid w:val="00160539"/>
    <w:rsid w:val="00161548"/>
    <w:rsid w:val="00165C95"/>
    <w:rsid w:val="0017176A"/>
    <w:rsid w:val="00172B54"/>
    <w:rsid w:val="001763D8"/>
    <w:rsid w:val="00176874"/>
    <w:rsid w:val="0017725A"/>
    <w:rsid w:val="0018052A"/>
    <w:rsid w:val="00180952"/>
    <w:rsid w:val="0018191A"/>
    <w:rsid w:val="001850BB"/>
    <w:rsid w:val="00185B68"/>
    <w:rsid w:val="00186199"/>
    <w:rsid w:val="001874E3"/>
    <w:rsid w:val="00194155"/>
    <w:rsid w:val="001A0417"/>
    <w:rsid w:val="001A0B71"/>
    <w:rsid w:val="001A1389"/>
    <w:rsid w:val="001A3016"/>
    <w:rsid w:val="001A3914"/>
    <w:rsid w:val="001A5FA6"/>
    <w:rsid w:val="001B053A"/>
    <w:rsid w:val="001B0C78"/>
    <w:rsid w:val="001B151C"/>
    <w:rsid w:val="001B1A13"/>
    <w:rsid w:val="001B22BA"/>
    <w:rsid w:val="001C2045"/>
    <w:rsid w:val="001C473B"/>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061"/>
    <w:rsid w:val="001F2BD1"/>
    <w:rsid w:val="001F3080"/>
    <w:rsid w:val="001F3CC6"/>
    <w:rsid w:val="001F5F5F"/>
    <w:rsid w:val="00205064"/>
    <w:rsid w:val="0020548A"/>
    <w:rsid w:val="00207978"/>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00E7"/>
    <w:rsid w:val="00273E5C"/>
    <w:rsid w:val="00275FD0"/>
    <w:rsid w:val="00280514"/>
    <w:rsid w:val="002819E7"/>
    <w:rsid w:val="00282FF2"/>
    <w:rsid w:val="00283483"/>
    <w:rsid w:val="002844B5"/>
    <w:rsid w:val="0028459B"/>
    <w:rsid w:val="00285618"/>
    <w:rsid w:val="002872F8"/>
    <w:rsid w:val="00293C0C"/>
    <w:rsid w:val="00296E4A"/>
    <w:rsid w:val="002976E5"/>
    <w:rsid w:val="002A197D"/>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356A"/>
    <w:rsid w:val="002E4C01"/>
    <w:rsid w:val="002F0516"/>
    <w:rsid w:val="002F22D2"/>
    <w:rsid w:val="002F778A"/>
    <w:rsid w:val="00302187"/>
    <w:rsid w:val="003028D8"/>
    <w:rsid w:val="0030290F"/>
    <w:rsid w:val="00302DE9"/>
    <w:rsid w:val="00303869"/>
    <w:rsid w:val="00303F1D"/>
    <w:rsid w:val="00305084"/>
    <w:rsid w:val="00311ABF"/>
    <w:rsid w:val="00312C5C"/>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282F"/>
    <w:rsid w:val="00343016"/>
    <w:rsid w:val="0034447B"/>
    <w:rsid w:val="00351704"/>
    <w:rsid w:val="003570C8"/>
    <w:rsid w:val="00367770"/>
    <w:rsid w:val="00371424"/>
    <w:rsid w:val="00371FF4"/>
    <w:rsid w:val="00372209"/>
    <w:rsid w:val="00374C4E"/>
    <w:rsid w:val="003771ED"/>
    <w:rsid w:val="0037768B"/>
    <w:rsid w:val="003813D6"/>
    <w:rsid w:val="00381791"/>
    <w:rsid w:val="00382E6F"/>
    <w:rsid w:val="00383180"/>
    <w:rsid w:val="00387C00"/>
    <w:rsid w:val="00394EF9"/>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8B5"/>
    <w:rsid w:val="003E0BD4"/>
    <w:rsid w:val="003E45B9"/>
    <w:rsid w:val="003E654C"/>
    <w:rsid w:val="003E70D2"/>
    <w:rsid w:val="003F0DE5"/>
    <w:rsid w:val="003F46FC"/>
    <w:rsid w:val="003F4AA5"/>
    <w:rsid w:val="003F61CF"/>
    <w:rsid w:val="003F697D"/>
    <w:rsid w:val="003F7026"/>
    <w:rsid w:val="003F7C45"/>
    <w:rsid w:val="00400500"/>
    <w:rsid w:val="0040132C"/>
    <w:rsid w:val="00404257"/>
    <w:rsid w:val="00407F66"/>
    <w:rsid w:val="004113B4"/>
    <w:rsid w:val="0041220A"/>
    <w:rsid w:val="00412DCB"/>
    <w:rsid w:val="00413B96"/>
    <w:rsid w:val="00413C2C"/>
    <w:rsid w:val="00415168"/>
    <w:rsid w:val="004153D5"/>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3C8F"/>
    <w:rsid w:val="00445725"/>
    <w:rsid w:val="00447BC6"/>
    <w:rsid w:val="004501CE"/>
    <w:rsid w:val="00452481"/>
    <w:rsid w:val="00453832"/>
    <w:rsid w:val="00454A0F"/>
    <w:rsid w:val="00460658"/>
    <w:rsid w:val="00460F58"/>
    <w:rsid w:val="0046335D"/>
    <w:rsid w:val="00463C2C"/>
    <w:rsid w:val="004733AC"/>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A79B5"/>
    <w:rsid w:val="004A7CEE"/>
    <w:rsid w:val="004B0847"/>
    <w:rsid w:val="004B0E6D"/>
    <w:rsid w:val="004B16E8"/>
    <w:rsid w:val="004C0541"/>
    <w:rsid w:val="004C2C85"/>
    <w:rsid w:val="004C3A16"/>
    <w:rsid w:val="004C634A"/>
    <w:rsid w:val="004C660B"/>
    <w:rsid w:val="004D050C"/>
    <w:rsid w:val="004D22CA"/>
    <w:rsid w:val="004D23D9"/>
    <w:rsid w:val="004D29A9"/>
    <w:rsid w:val="004D3537"/>
    <w:rsid w:val="004D4D4E"/>
    <w:rsid w:val="004D614E"/>
    <w:rsid w:val="004D650F"/>
    <w:rsid w:val="004E2133"/>
    <w:rsid w:val="004E4E04"/>
    <w:rsid w:val="004E53CC"/>
    <w:rsid w:val="004E6CBA"/>
    <w:rsid w:val="004F521C"/>
    <w:rsid w:val="00502CD8"/>
    <w:rsid w:val="0050361C"/>
    <w:rsid w:val="00506A40"/>
    <w:rsid w:val="0051064F"/>
    <w:rsid w:val="00513A0E"/>
    <w:rsid w:val="00515D7B"/>
    <w:rsid w:val="00515F29"/>
    <w:rsid w:val="0052009E"/>
    <w:rsid w:val="00520880"/>
    <w:rsid w:val="00530161"/>
    <w:rsid w:val="005450F7"/>
    <w:rsid w:val="00545A0B"/>
    <w:rsid w:val="0054672F"/>
    <w:rsid w:val="00547FA4"/>
    <w:rsid w:val="0055264F"/>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694E"/>
    <w:rsid w:val="005875F9"/>
    <w:rsid w:val="00593A35"/>
    <w:rsid w:val="00593C74"/>
    <w:rsid w:val="00597D8B"/>
    <w:rsid w:val="005A46FF"/>
    <w:rsid w:val="005A557E"/>
    <w:rsid w:val="005A63FD"/>
    <w:rsid w:val="005B4515"/>
    <w:rsid w:val="005B462A"/>
    <w:rsid w:val="005B5137"/>
    <w:rsid w:val="005B6047"/>
    <w:rsid w:val="005C0ED7"/>
    <w:rsid w:val="005C5409"/>
    <w:rsid w:val="005C62A5"/>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16E96"/>
    <w:rsid w:val="00617493"/>
    <w:rsid w:val="00620EDB"/>
    <w:rsid w:val="0062386E"/>
    <w:rsid w:val="006253EF"/>
    <w:rsid w:val="00626075"/>
    <w:rsid w:val="0062680E"/>
    <w:rsid w:val="00631158"/>
    <w:rsid w:val="00632923"/>
    <w:rsid w:val="006341E6"/>
    <w:rsid w:val="00634439"/>
    <w:rsid w:val="006366C6"/>
    <w:rsid w:val="0063693D"/>
    <w:rsid w:val="00636B55"/>
    <w:rsid w:val="00636EB1"/>
    <w:rsid w:val="006373D6"/>
    <w:rsid w:val="006403D4"/>
    <w:rsid w:val="00641EBD"/>
    <w:rsid w:val="00642CBC"/>
    <w:rsid w:val="00642F8D"/>
    <w:rsid w:val="0064454A"/>
    <w:rsid w:val="00645293"/>
    <w:rsid w:val="006456D3"/>
    <w:rsid w:val="00645D2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172"/>
    <w:rsid w:val="00677A9C"/>
    <w:rsid w:val="0068050D"/>
    <w:rsid w:val="00685FFC"/>
    <w:rsid w:val="00686943"/>
    <w:rsid w:val="00686EDE"/>
    <w:rsid w:val="00687AD5"/>
    <w:rsid w:val="00690A31"/>
    <w:rsid w:val="006911CE"/>
    <w:rsid w:val="00692002"/>
    <w:rsid w:val="00693A13"/>
    <w:rsid w:val="00695251"/>
    <w:rsid w:val="00695B58"/>
    <w:rsid w:val="006A2B40"/>
    <w:rsid w:val="006A4828"/>
    <w:rsid w:val="006A7C09"/>
    <w:rsid w:val="006B046C"/>
    <w:rsid w:val="006B252F"/>
    <w:rsid w:val="006B27D0"/>
    <w:rsid w:val="006B30CD"/>
    <w:rsid w:val="006B3940"/>
    <w:rsid w:val="006B421A"/>
    <w:rsid w:val="006C12DD"/>
    <w:rsid w:val="006C168D"/>
    <w:rsid w:val="006C4033"/>
    <w:rsid w:val="006C5BC9"/>
    <w:rsid w:val="006C642C"/>
    <w:rsid w:val="006D462B"/>
    <w:rsid w:val="006D7386"/>
    <w:rsid w:val="006E0DAD"/>
    <w:rsid w:val="006E313F"/>
    <w:rsid w:val="006F1C9C"/>
    <w:rsid w:val="006F1F1A"/>
    <w:rsid w:val="006F5AC2"/>
    <w:rsid w:val="006F6C28"/>
    <w:rsid w:val="006F7CCD"/>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45"/>
    <w:rsid w:val="00752E8B"/>
    <w:rsid w:val="007541BB"/>
    <w:rsid w:val="00754D62"/>
    <w:rsid w:val="00756CFF"/>
    <w:rsid w:val="00757FD7"/>
    <w:rsid w:val="00761B7A"/>
    <w:rsid w:val="00761D2D"/>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0295"/>
    <w:rsid w:val="00791A3A"/>
    <w:rsid w:val="00791D9C"/>
    <w:rsid w:val="0079473A"/>
    <w:rsid w:val="00795C71"/>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4002"/>
    <w:rsid w:val="007E5ECB"/>
    <w:rsid w:val="007F063D"/>
    <w:rsid w:val="007F0D73"/>
    <w:rsid w:val="007F153F"/>
    <w:rsid w:val="007F1D2A"/>
    <w:rsid w:val="007F209B"/>
    <w:rsid w:val="007F3137"/>
    <w:rsid w:val="007F432A"/>
    <w:rsid w:val="007F63AA"/>
    <w:rsid w:val="008006B7"/>
    <w:rsid w:val="008032FD"/>
    <w:rsid w:val="00806461"/>
    <w:rsid w:val="008064CE"/>
    <w:rsid w:val="0080673A"/>
    <w:rsid w:val="00807A94"/>
    <w:rsid w:val="00810B79"/>
    <w:rsid w:val="00810EAD"/>
    <w:rsid w:val="00814293"/>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55B6A"/>
    <w:rsid w:val="00861C2C"/>
    <w:rsid w:val="00863744"/>
    <w:rsid w:val="00865F31"/>
    <w:rsid w:val="008668B8"/>
    <w:rsid w:val="0086748F"/>
    <w:rsid w:val="00867B4D"/>
    <w:rsid w:val="00867CF3"/>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F23F4"/>
    <w:rsid w:val="008F54F4"/>
    <w:rsid w:val="008F61C4"/>
    <w:rsid w:val="008F7763"/>
    <w:rsid w:val="009007CB"/>
    <w:rsid w:val="009010F0"/>
    <w:rsid w:val="00901162"/>
    <w:rsid w:val="00901D46"/>
    <w:rsid w:val="009020F1"/>
    <w:rsid w:val="009028E2"/>
    <w:rsid w:val="00903692"/>
    <w:rsid w:val="00904E07"/>
    <w:rsid w:val="00912519"/>
    <w:rsid w:val="00912BAF"/>
    <w:rsid w:val="0091311E"/>
    <w:rsid w:val="00914EAB"/>
    <w:rsid w:val="0091541F"/>
    <w:rsid w:val="00916E71"/>
    <w:rsid w:val="00920D98"/>
    <w:rsid w:val="0092108C"/>
    <w:rsid w:val="00922D49"/>
    <w:rsid w:val="009238DB"/>
    <w:rsid w:val="00925E37"/>
    <w:rsid w:val="00925EDD"/>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4D72"/>
    <w:rsid w:val="009550A8"/>
    <w:rsid w:val="00955FF2"/>
    <w:rsid w:val="0095693D"/>
    <w:rsid w:val="00956B0D"/>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B7A32"/>
    <w:rsid w:val="009C03E5"/>
    <w:rsid w:val="009C3085"/>
    <w:rsid w:val="009C4D19"/>
    <w:rsid w:val="009C5FDB"/>
    <w:rsid w:val="009C65AF"/>
    <w:rsid w:val="009C70CB"/>
    <w:rsid w:val="009C74DD"/>
    <w:rsid w:val="009D27AA"/>
    <w:rsid w:val="009D2AD9"/>
    <w:rsid w:val="009D2C63"/>
    <w:rsid w:val="009D514E"/>
    <w:rsid w:val="009D5A40"/>
    <w:rsid w:val="009D5C39"/>
    <w:rsid w:val="009D6DE1"/>
    <w:rsid w:val="009D6FED"/>
    <w:rsid w:val="009E025A"/>
    <w:rsid w:val="009E0A95"/>
    <w:rsid w:val="009E0D47"/>
    <w:rsid w:val="009E549D"/>
    <w:rsid w:val="009E54AF"/>
    <w:rsid w:val="009E5C59"/>
    <w:rsid w:val="009E6A10"/>
    <w:rsid w:val="009E6BB8"/>
    <w:rsid w:val="009F1CC3"/>
    <w:rsid w:val="009F26F2"/>
    <w:rsid w:val="009F3E1E"/>
    <w:rsid w:val="009F4CC5"/>
    <w:rsid w:val="009F6550"/>
    <w:rsid w:val="00A003BE"/>
    <w:rsid w:val="00A02F51"/>
    <w:rsid w:val="00A04CA6"/>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1DB7"/>
    <w:rsid w:val="00A52D75"/>
    <w:rsid w:val="00A53013"/>
    <w:rsid w:val="00A54BD6"/>
    <w:rsid w:val="00A5643A"/>
    <w:rsid w:val="00A57678"/>
    <w:rsid w:val="00A6090C"/>
    <w:rsid w:val="00A6200E"/>
    <w:rsid w:val="00A62D1E"/>
    <w:rsid w:val="00A657DD"/>
    <w:rsid w:val="00A65C6D"/>
    <w:rsid w:val="00A716B9"/>
    <w:rsid w:val="00A720D8"/>
    <w:rsid w:val="00A72216"/>
    <w:rsid w:val="00A733F2"/>
    <w:rsid w:val="00A75705"/>
    <w:rsid w:val="00A75BE1"/>
    <w:rsid w:val="00A8187C"/>
    <w:rsid w:val="00A82C9E"/>
    <w:rsid w:val="00A8324F"/>
    <w:rsid w:val="00A85142"/>
    <w:rsid w:val="00A9159D"/>
    <w:rsid w:val="00A95B37"/>
    <w:rsid w:val="00A96B6F"/>
    <w:rsid w:val="00A96DDA"/>
    <w:rsid w:val="00A9780F"/>
    <w:rsid w:val="00AA0CE8"/>
    <w:rsid w:val="00AA35FD"/>
    <w:rsid w:val="00AA3DB7"/>
    <w:rsid w:val="00AA5EF2"/>
    <w:rsid w:val="00AA5F63"/>
    <w:rsid w:val="00AA7EBD"/>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2146"/>
    <w:rsid w:val="00B5430C"/>
    <w:rsid w:val="00B56A90"/>
    <w:rsid w:val="00B5711C"/>
    <w:rsid w:val="00B57BCF"/>
    <w:rsid w:val="00B57E36"/>
    <w:rsid w:val="00B60209"/>
    <w:rsid w:val="00B606A3"/>
    <w:rsid w:val="00B65D6F"/>
    <w:rsid w:val="00B673F3"/>
    <w:rsid w:val="00B677A3"/>
    <w:rsid w:val="00B67A25"/>
    <w:rsid w:val="00B7354A"/>
    <w:rsid w:val="00B7435B"/>
    <w:rsid w:val="00B74446"/>
    <w:rsid w:val="00B74B59"/>
    <w:rsid w:val="00B77142"/>
    <w:rsid w:val="00B8024E"/>
    <w:rsid w:val="00B80C3A"/>
    <w:rsid w:val="00B84453"/>
    <w:rsid w:val="00B84643"/>
    <w:rsid w:val="00B90452"/>
    <w:rsid w:val="00B90780"/>
    <w:rsid w:val="00B916D6"/>
    <w:rsid w:val="00B91AD8"/>
    <w:rsid w:val="00B9209B"/>
    <w:rsid w:val="00B9240D"/>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D7D83"/>
    <w:rsid w:val="00BE1A85"/>
    <w:rsid w:val="00BE46ED"/>
    <w:rsid w:val="00BE4FD1"/>
    <w:rsid w:val="00BE642D"/>
    <w:rsid w:val="00BE6D7A"/>
    <w:rsid w:val="00BF0758"/>
    <w:rsid w:val="00BF2511"/>
    <w:rsid w:val="00BF377F"/>
    <w:rsid w:val="00BF3F88"/>
    <w:rsid w:val="00BF57BE"/>
    <w:rsid w:val="00C0042B"/>
    <w:rsid w:val="00C02E58"/>
    <w:rsid w:val="00C030B6"/>
    <w:rsid w:val="00C04B38"/>
    <w:rsid w:val="00C067B7"/>
    <w:rsid w:val="00C0748C"/>
    <w:rsid w:val="00C10A09"/>
    <w:rsid w:val="00C121BC"/>
    <w:rsid w:val="00C14D92"/>
    <w:rsid w:val="00C16739"/>
    <w:rsid w:val="00C17F3F"/>
    <w:rsid w:val="00C23BA2"/>
    <w:rsid w:val="00C260A2"/>
    <w:rsid w:val="00C30756"/>
    <w:rsid w:val="00C30DEC"/>
    <w:rsid w:val="00C31142"/>
    <w:rsid w:val="00C31DEF"/>
    <w:rsid w:val="00C338EB"/>
    <w:rsid w:val="00C35BB7"/>
    <w:rsid w:val="00C36B35"/>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3850"/>
    <w:rsid w:val="00C754C7"/>
    <w:rsid w:val="00C767B3"/>
    <w:rsid w:val="00C76C07"/>
    <w:rsid w:val="00C800EC"/>
    <w:rsid w:val="00C80F23"/>
    <w:rsid w:val="00C81E18"/>
    <w:rsid w:val="00C850A3"/>
    <w:rsid w:val="00C87568"/>
    <w:rsid w:val="00C92451"/>
    <w:rsid w:val="00C9272C"/>
    <w:rsid w:val="00C97764"/>
    <w:rsid w:val="00C97C9B"/>
    <w:rsid w:val="00CA00E8"/>
    <w:rsid w:val="00CA344C"/>
    <w:rsid w:val="00CB01E6"/>
    <w:rsid w:val="00CB142D"/>
    <w:rsid w:val="00CB209D"/>
    <w:rsid w:val="00CB29F6"/>
    <w:rsid w:val="00CB2BBF"/>
    <w:rsid w:val="00CB481C"/>
    <w:rsid w:val="00CB4C8C"/>
    <w:rsid w:val="00CB62E1"/>
    <w:rsid w:val="00CB6B36"/>
    <w:rsid w:val="00CB6EFE"/>
    <w:rsid w:val="00CC16F9"/>
    <w:rsid w:val="00CC28A9"/>
    <w:rsid w:val="00CC4183"/>
    <w:rsid w:val="00CC70A4"/>
    <w:rsid w:val="00CD4A0C"/>
    <w:rsid w:val="00CD57BC"/>
    <w:rsid w:val="00CD5CEF"/>
    <w:rsid w:val="00CE06EC"/>
    <w:rsid w:val="00CE592E"/>
    <w:rsid w:val="00CE5BC5"/>
    <w:rsid w:val="00CF16A4"/>
    <w:rsid w:val="00CF299F"/>
    <w:rsid w:val="00CF3357"/>
    <w:rsid w:val="00CF467C"/>
    <w:rsid w:val="00CF58DF"/>
    <w:rsid w:val="00D00BC3"/>
    <w:rsid w:val="00D03538"/>
    <w:rsid w:val="00D03806"/>
    <w:rsid w:val="00D04410"/>
    <w:rsid w:val="00D05EB3"/>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F1B"/>
    <w:rsid w:val="00D52289"/>
    <w:rsid w:val="00D55A37"/>
    <w:rsid w:val="00D55B7E"/>
    <w:rsid w:val="00D60049"/>
    <w:rsid w:val="00D64354"/>
    <w:rsid w:val="00D66685"/>
    <w:rsid w:val="00D70D35"/>
    <w:rsid w:val="00D71351"/>
    <w:rsid w:val="00D71997"/>
    <w:rsid w:val="00D7498F"/>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5F2F"/>
    <w:rsid w:val="00D96F80"/>
    <w:rsid w:val="00D97213"/>
    <w:rsid w:val="00DA134E"/>
    <w:rsid w:val="00DA13F3"/>
    <w:rsid w:val="00DA2DE3"/>
    <w:rsid w:val="00DA64AF"/>
    <w:rsid w:val="00DB1F4F"/>
    <w:rsid w:val="00DB2AC7"/>
    <w:rsid w:val="00DB704C"/>
    <w:rsid w:val="00DC693B"/>
    <w:rsid w:val="00DC74FA"/>
    <w:rsid w:val="00DC7C77"/>
    <w:rsid w:val="00DD0F5D"/>
    <w:rsid w:val="00DD426D"/>
    <w:rsid w:val="00DD74FC"/>
    <w:rsid w:val="00DE117F"/>
    <w:rsid w:val="00DE1769"/>
    <w:rsid w:val="00DE1A17"/>
    <w:rsid w:val="00DE44C8"/>
    <w:rsid w:val="00DE528A"/>
    <w:rsid w:val="00DE64CC"/>
    <w:rsid w:val="00DE6AA9"/>
    <w:rsid w:val="00DE714A"/>
    <w:rsid w:val="00DE7B30"/>
    <w:rsid w:val="00DF20C7"/>
    <w:rsid w:val="00DF4D0C"/>
    <w:rsid w:val="00DF5C20"/>
    <w:rsid w:val="00DF7124"/>
    <w:rsid w:val="00DF7D81"/>
    <w:rsid w:val="00E02DEB"/>
    <w:rsid w:val="00E042A1"/>
    <w:rsid w:val="00E0476C"/>
    <w:rsid w:val="00E0576B"/>
    <w:rsid w:val="00E067EA"/>
    <w:rsid w:val="00E06D18"/>
    <w:rsid w:val="00E104FA"/>
    <w:rsid w:val="00E1320D"/>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9DD"/>
    <w:rsid w:val="00E53B7A"/>
    <w:rsid w:val="00E550C9"/>
    <w:rsid w:val="00E55405"/>
    <w:rsid w:val="00E5645D"/>
    <w:rsid w:val="00E57FDD"/>
    <w:rsid w:val="00E627A4"/>
    <w:rsid w:val="00E6280E"/>
    <w:rsid w:val="00E62C9C"/>
    <w:rsid w:val="00E630EE"/>
    <w:rsid w:val="00E67A61"/>
    <w:rsid w:val="00E70455"/>
    <w:rsid w:val="00E73221"/>
    <w:rsid w:val="00E75116"/>
    <w:rsid w:val="00E763EB"/>
    <w:rsid w:val="00E80A5B"/>
    <w:rsid w:val="00E8342F"/>
    <w:rsid w:val="00E84632"/>
    <w:rsid w:val="00E847EE"/>
    <w:rsid w:val="00E876F9"/>
    <w:rsid w:val="00E96A72"/>
    <w:rsid w:val="00E96B1F"/>
    <w:rsid w:val="00E96B52"/>
    <w:rsid w:val="00EA01F7"/>
    <w:rsid w:val="00EA1587"/>
    <w:rsid w:val="00EA1D33"/>
    <w:rsid w:val="00EA1F5A"/>
    <w:rsid w:val="00EA375F"/>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556F"/>
    <w:rsid w:val="00EF7D07"/>
    <w:rsid w:val="00F0181C"/>
    <w:rsid w:val="00F03512"/>
    <w:rsid w:val="00F0433A"/>
    <w:rsid w:val="00F0519B"/>
    <w:rsid w:val="00F059D4"/>
    <w:rsid w:val="00F068BC"/>
    <w:rsid w:val="00F11783"/>
    <w:rsid w:val="00F119AF"/>
    <w:rsid w:val="00F1480B"/>
    <w:rsid w:val="00F1498D"/>
    <w:rsid w:val="00F20065"/>
    <w:rsid w:val="00F22211"/>
    <w:rsid w:val="00F22341"/>
    <w:rsid w:val="00F22F1D"/>
    <w:rsid w:val="00F22F9F"/>
    <w:rsid w:val="00F24039"/>
    <w:rsid w:val="00F24E0E"/>
    <w:rsid w:val="00F26693"/>
    <w:rsid w:val="00F3477D"/>
    <w:rsid w:val="00F347FE"/>
    <w:rsid w:val="00F34859"/>
    <w:rsid w:val="00F356F7"/>
    <w:rsid w:val="00F40055"/>
    <w:rsid w:val="00F40868"/>
    <w:rsid w:val="00F44FDE"/>
    <w:rsid w:val="00F46467"/>
    <w:rsid w:val="00F4715C"/>
    <w:rsid w:val="00F47FF8"/>
    <w:rsid w:val="00F529B5"/>
    <w:rsid w:val="00F52AA4"/>
    <w:rsid w:val="00F5316E"/>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1A03"/>
    <w:rsid w:val="00F83FF9"/>
    <w:rsid w:val="00F870C3"/>
    <w:rsid w:val="00F91B52"/>
    <w:rsid w:val="00F97478"/>
    <w:rsid w:val="00F97B71"/>
    <w:rsid w:val="00F97B9E"/>
    <w:rsid w:val="00FA0527"/>
    <w:rsid w:val="00FA085E"/>
    <w:rsid w:val="00FA0947"/>
    <w:rsid w:val="00FA2D49"/>
    <w:rsid w:val="00FA3874"/>
    <w:rsid w:val="00FA396A"/>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C7F48"/>
    <w:rsid w:val="00FD74AC"/>
    <w:rsid w:val="00FD7D41"/>
    <w:rsid w:val="00FE0072"/>
    <w:rsid w:val="00FE0C71"/>
    <w:rsid w:val="00FE1E47"/>
    <w:rsid w:val="00FE275D"/>
    <w:rsid w:val="00FE31AE"/>
    <w:rsid w:val="00FE65AC"/>
    <w:rsid w:val="00FE7FBD"/>
    <w:rsid w:val="00FF10BC"/>
    <w:rsid w:val="00FF5DCF"/>
    <w:rsid w:val="00FF6ADB"/>
    <w:rsid w:val="6A0643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Normal Indent" w:uiPriority="99"/>
    <w:lsdException w:name="annotation text" w:qFormat="1"/>
    <w:lsdException w:name="header" w:uiPriority="99"/>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iPriority="22"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2F"/>
    <w:pPr>
      <w:widowControl w:val="0"/>
      <w:jc w:val="both"/>
    </w:pPr>
    <w:rPr>
      <w:kern w:val="2"/>
      <w:sz w:val="21"/>
      <w:szCs w:val="24"/>
    </w:rPr>
  </w:style>
  <w:style w:type="paragraph" w:styleId="1">
    <w:name w:val="heading 1"/>
    <w:basedOn w:val="a"/>
    <w:next w:val="a"/>
    <w:link w:val="1Char"/>
    <w:qFormat/>
    <w:rsid w:val="00D95F2F"/>
    <w:pPr>
      <w:keepNext/>
      <w:keepLines/>
      <w:spacing w:before="340" w:after="330" w:line="578" w:lineRule="auto"/>
      <w:outlineLvl w:val="0"/>
    </w:pPr>
    <w:rPr>
      <w:b/>
      <w:bCs/>
      <w:kern w:val="44"/>
      <w:sz w:val="44"/>
      <w:szCs w:val="44"/>
    </w:rPr>
  </w:style>
  <w:style w:type="paragraph" w:styleId="2">
    <w:name w:val="heading 2"/>
    <w:basedOn w:val="a"/>
    <w:next w:val="a0"/>
    <w:qFormat/>
    <w:rsid w:val="00D95F2F"/>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D95F2F"/>
    <w:pPr>
      <w:ind w:firstLineChars="200" w:firstLine="420"/>
    </w:pPr>
  </w:style>
  <w:style w:type="paragraph" w:styleId="a4">
    <w:name w:val="annotation subject"/>
    <w:basedOn w:val="a5"/>
    <w:next w:val="a5"/>
    <w:semiHidden/>
    <w:qFormat/>
    <w:rsid w:val="00D95F2F"/>
    <w:rPr>
      <w:b/>
      <w:bCs/>
    </w:rPr>
  </w:style>
  <w:style w:type="paragraph" w:styleId="a5">
    <w:name w:val="annotation text"/>
    <w:basedOn w:val="a"/>
    <w:semiHidden/>
    <w:qFormat/>
    <w:rsid w:val="00D95F2F"/>
    <w:pPr>
      <w:jc w:val="left"/>
    </w:pPr>
  </w:style>
  <w:style w:type="paragraph" w:styleId="a6">
    <w:name w:val="Document Map"/>
    <w:basedOn w:val="a"/>
    <w:semiHidden/>
    <w:qFormat/>
    <w:rsid w:val="00D95F2F"/>
    <w:pPr>
      <w:shd w:val="clear" w:color="auto" w:fill="000080"/>
    </w:pPr>
  </w:style>
  <w:style w:type="paragraph" w:styleId="a7">
    <w:name w:val="Body Text"/>
    <w:basedOn w:val="a"/>
    <w:qFormat/>
    <w:rsid w:val="00D95F2F"/>
    <w:pPr>
      <w:spacing w:after="120"/>
    </w:pPr>
  </w:style>
  <w:style w:type="paragraph" w:styleId="a8">
    <w:name w:val="Body Text Indent"/>
    <w:basedOn w:val="a"/>
    <w:rsid w:val="00D95F2F"/>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rsid w:val="00D95F2F"/>
    <w:rPr>
      <w:rFonts w:ascii="宋体" w:hAnsi="Courier New"/>
      <w:szCs w:val="21"/>
    </w:rPr>
  </w:style>
  <w:style w:type="paragraph" w:styleId="aa">
    <w:name w:val="Date"/>
    <w:basedOn w:val="a"/>
    <w:next w:val="a"/>
    <w:link w:val="Char0"/>
    <w:qFormat/>
    <w:rsid w:val="00D95F2F"/>
    <w:rPr>
      <w:sz w:val="24"/>
      <w:szCs w:val="20"/>
    </w:rPr>
  </w:style>
  <w:style w:type="paragraph" w:styleId="20">
    <w:name w:val="Body Text Indent 2"/>
    <w:basedOn w:val="a"/>
    <w:rsid w:val="00D95F2F"/>
    <w:pPr>
      <w:spacing w:line="560" w:lineRule="exact"/>
      <w:ind w:firstLineChars="200" w:firstLine="480"/>
    </w:pPr>
    <w:rPr>
      <w:rFonts w:ascii="宋体" w:hAnsi="宋体"/>
      <w:color w:val="FF0000"/>
      <w:sz w:val="24"/>
    </w:rPr>
  </w:style>
  <w:style w:type="paragraph" w:styleId="ab">
    <w:name w:val="Balloon Text"/>
    <w:basedOn w:val="a"/>
    <w:semiHidden/>
    <w:rsid w:val="00D95F2F"/>
    <w:rPr>
      <w:sz w:val="18"/>
      <w:szCs w:val="18"/>
    </w:rPr>
  </w:style>
  <w:style w:type="paragraph" w:styleId="ac">
    <w:name w:val="footer"/>
    <w:basedOn w:val="a"/>
    <w:rsid w:val="00D95F2F"/>
    <w:pPr>
      <w:tabs>
        <w:tab w:val="center" w:pos="4153"/>
        <w:tab w:val="right" w:pos="8306"/>
      </w:tabs>
      <w:snapToGrid w:val="0"/>
      <w:jc w:val="left"/>
    </w:pPr>
    <w:rPr>
      <w:sz w:val="18"/>
      <w:szCs w:val="18"/>
    </w:rPr>
  </w:style>
  <w:style w:type="paragraph" w:styleId="ad">
    <w:name w:val="header"/>
    <w:basedOn w:val="a"/>
    <w:link w:val="Char1"/>
    <w:uiPriority w:val="99"/>
    <w:rsid w:val="00D95F2F"/>
    <w:pPr>
      <w:pBdr>
        <w:bottom w:val="single" w:sz="6" w:space="1" w:color="auto"/>
      </w:pBdr>
      <w:tabs>
        <w:tab w:val="center" w:pos="4153"/>
        <w:tab w:val="right" w:pos="8306"/>
      </w:tabs>
      <w:snapToGrid w:val="0"/>
      <w:jc w:val="center"/>
    </w:pPr>
    <w:rPr>
      <w:sz w:val="18"/>
      <w:szCs w:val="18"/>
    </w:rPr>
  </w:style>
  <w:style w:type="paragraph" w:styleId="ae">
    <w:name w:val="List"/>
    <w:basedOn w:val="a7"/>
    <w:qFormat/>
    <w:rsid w:val="00D95F2F"/>
    <w:pPr>
      <w:spacing w:after="220" w:line="220" w:lineRule="atLeast"/>
      <w:ind w:left="1440" w:hanging="360"/>
    </w:pPr>
    <w:rPr>
      <w:szCs w:val="20"/>
    </w:rPr>
  </w:style>
  <w:style w:type="paragraph" w:styleId="af">
    <w:name w:val="footnote text"/>
    <w:basedOn w:val="a"/>
    <w:link w:val="Char2"/>
    <w:rsid w:val="00D95F2F"/>
    <w:pPr>
      <w:snapToGrid w:val="0"/>
      <w:jc w:val="left"/>
    </w:pPr>
    <w:rPr>
      <w:sz w:val="18"/>
      <w:szCs w:val="18"/>
    </w:rPr>
  </w:style>
  <w:style w:type="paragraph" w:styleId="3">
    <w:name w:val="Body Text Indent 3"/>
    <w:basedOn w:val="a"/>
    <w:rsid w:val="00D95F2F"/>
    <w:pPr>
      <w:spacing w:line="560" w:lineRule="exact"/>
      <w:ind w:firstLineChars="200" w:firstLine="420"/>
    </w:pPr>
    <w:rPr>
      <w:rFonts w:ascii="Arial" w:hAnsi="Arial" w:cs="Arial"/>
      <w:color w:val="FF0000"/>
    </w:rPr>
  </w:style>
  <w:style w:type="paragraph" w:styleId="af0">
    <w:name w:val="Normal (Web)"/>
    <w:basedOn w:val="a"/>
    <w:qFormat/>
    <w:rsid w:val="00D95F2F"/>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rsid w:val="00D95F2F"/>
    <w:pPr>
      <w:jc w:val="right"/>
    </w:pPr>
    <w:rPr>
      <w:color w:val="008000"/>
    </w:rPr>
  </w:style>
  <w:style w:type="character" w:styleId="af1">
    <w:name w:val="Strong"/>
    <w:basedOn w:val="a1"/>
    <w:uiPriority w:val="22"/>
    <w:qFormat/>
    <w:rsid w:val="00D95F2F"/>
    <w:rPr>
      <w:b/>
      <w:bCs/>
    </w:rPr>
  </w:style>
  <w:style w:type="character" w:styleId="af2">
    <w:name w:val="page number"/>
    <w:basedOn w:val="a1"/>
    <w:rsid w:val="00D95F2F"/>
  </w:style>
  <w:style w:type="character" w:styleId="af3">
    <w:name w:val="Hyperlink"/>
    <w:basedOn w:val="a1"/>
    <w:rsid w:val="00D95F2F"/>
    <w:rPr>
      <w:color w:val="0000FF"/>
      <w:u w:val="single"/>
    </w:rPr>
  </w:style>
  <w:style w:type="character" w:styleId="af4">
    <w:name w:val="annotation reference"/>
    <w:basedOn w:val="a1"/>
    <w:semiHidden/>
    <w:qFormat/>
    <w:rsid w:val="00D95F2F"/>
    <w:rPr>
      <w:sz w:val="21"/>
      <w:szCs w:val="21"/>
    </w:rPr>
  </w:style>
  <w:style w:type="character" w:styleId="af5">
    <w:name w:val="footnote reference"/>
    <w:basedOn w:val="a1"/>
    <w:rsid w:val="00D95F2F"/>
    <w:rPr>
      <w:vertAlign w:val="superscript"/>
    </w:rPr>
  </w:style>
  <w:style w:type="table" w:styleId="af6">
    <w:name w:val="Table Grid"/>
    <w:basedOn w:val="a2"/>
    <w:uiPriority w:val="99"/>
    <w:rsid w:val="00D95F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sid w:val="00D95F2F"/>
    <w:rPr>
      <w:color w:val="800080"/>
      <w:u w:val="single"/>
    </w:rPr>
  </w:style>
  <w:style w:type="character" w:customStyle="1" w:styleId="c1">
    <w:name w:val="c1"/>
    <w:basedOn w:val="a1"/>
    <w:qFormat/>
    <w:rsid w:val="00D95F2F"/>
    <w:rPr>
      <w:color w:val="000000"/>
      <w:sz w:val="18"/>
      <w:szCs w:val="18"/>
    </w:rPr>
  </w:style>
  <w:style w:type="paragraph" w:customStyle="1" w:styleId="font5">
    <w:name w:val="font5"/>
    <w:basedOn w:val="a"/>
    <w:qFormat/>
    <w:rsid w:val="00D95F2F"/>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D95F2F"/>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rsid w:val="00D95F2F"/>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D95F2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D95F2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D95F2F"/>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D95F2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D95F2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D95F2F"/>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D95F2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rsid w:val="00D95F2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D95F2F"/>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rsid w:val="00D95F2F"/>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rsid w:val="00D95F2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D95F2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D95F2F"/>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rsid w:val="00D95F2F"/>
  </w:style>
  <w:style w:type="paragraph" w:customStyle="1" w:styleId="Char10">
    <w:name w:val="Char1"/>
    <w:basedOn w:val="a"/>
    <w:qFormat/>
    <w:rsid w:val="00D95F2F"/>
  </w:style>
  <w:style w:type="character" w:customStyle="1" w:styleId="t1">
    <w:name w:val="t1"/>
    <w:basedOn w:val="a1"/>
    <w:qFormat/>
    <w:rsid w:val="00D95F2F"/>
    <w:rPr>
      <w:color w:val="990000"/>
    </w:rPr>
  </w:style>
  <w:style w:type="character" w:customStyle="1" w:styleId="Char">
    <w:name w:val="纯文本 Char"/>
    <w:basedOn w:val="a1"/>
    <w:link w:val="a9"/>
    <w:uiPriority w:val="99"/>
    <w:qFormat/>
    <w:rsid w:val="00D95F2F"/>
    <w:rPr>
      <w:rFonts w:ascii="宋体" w:hAnsi="Courier New"/>
      <w:kern w:val="2"/>
      <w:sz w:val="21"/>
      <w:szCs w:val="21"/>
    </w:rPr>
  </w:style>
  <w:style w:type="character" w:customStyle="1" w:styleId="Char2">
    <w:name w:val="脚注文本 Char"/>
    <w:basedOn w:val="a1"/>
    <w:link w:val="af"/>
    <w:rsid w:val="00D95F2F"/>
    <w:rPr>
      <w:kern w:val="2"/>
      <w:sz w:val="18"/>
      <w:szCs w:val="18"/>
    </w:rPr>
  </w:style>
  <w:style w:type="paragraph" w:customStyle="1" w:styleId="Default">
    <w:name w:val="Default"/>
    <w:qFormat/>
    <w:rsid w:val="00D95F2F"/>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qFormat/>
    <w:rsid w:val="00D95F2F"/>
    <w:rPr>
      <w:kern w:val="2"/>
      <w:sz w:val="18"/>
      <w:szCs w:val="18"/>
    </w:rPr>
  </w:style>
  <w:style w:type="character" w:customStyle="1" w:styleId="1Char">
    <w:name w:val="标题 1 Char"/>
    <w:basedOn w:val="a1"/>
    <w:link w:val="1"/>
    <w:qFormat/>
    <w:rsid w:val="00D95F2F"/>
    <w:rPr>
      <w:b/>
      <w:bCs/>
      <w:kern w:val="44"/>
      <w:sz w:val="44"/>
      <w:szCs w:val="44"/>
    </w:rPr>
  </w:style>
  <w:style w:type="character" w:customStyle="1" w:styleId="Char0">
    <w:name w:val="日期 Char"/>
    <w:basedOn w:val="a1"/>
    <w:link w:val="aa"/>
    <w:qFormat/>
    <w:rsid w:val="00D95F2F"/>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3C244C2-7338-4122-844A-471E344BB4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1120</Words>
  <Characters>6386</Characters>
  <Application>Microsoft Office Word</Application>
  <DocSecurity>4</DocSecurity>
  <Lines>53</Lines>
  <Paragraphs>14</Paragraphs>
  <ScaleCrop>false</ScaleCrop>
  <Company>TRT. Ltd. Co.</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2019-01-21T16:07:00Z</dcterms:created>
  <dcterms:modified xsi:type="dcterms:W3CDTF">2019-01-21T16:07:00Z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