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DE" w:rsidRPr="00ED42E2" w:rsidRDefault="00BC17DE" w:rsidP="00B71983">
      <w:pPr>
        <w:rPr>
          <w:rFonts w:ascii="宋体" w:hAnsi="宋体"/>
          <w:szCs w:val="24"/>
        </w:rPr>
      </w:pPr>
    </w:p>
    <w:p w:rsidR="00BC17DE" w:rsidRPr="00ED42E2" w:rsidRDefault="00BC17DE" w:rsidP="00B71983">
      <w:pPr>
        <w:rPr>
          <w:rFonts w:ascii="宋体" w:hAnsi="宋体"/>
          <w:color w:val="FF0000"/>
          <w:szCs w:val="24"/>
          <w:lang w:val="en-US"/>
        </w:rPr>
      </w:pPr>
    </w:p>
    <w:p w:rsidR="00BC17DE" w:rsidRPr="00ED42E2" w:rsidRDefault="00BC17DE" w:rsidP="00B71983">
      <w:pPr>
        <w:rPr>
          <w:rFonts w:ascii="宋体" w:hAnsi="宋体"/>
          <w:szCs w:val="24"/>
          <w:lang w:val="en-US"/>
        </w:rPr>
      </w:pPr>
    </w:p>
    <w:p w:rsidR="00BC17DE" w:rsidRPr="00ED42E2" w:rsidRDefault="00BC17DE" w:rsidP="00B71983">
      <w:pPr>
        <w:rPr>
          <w:rFonts w:ascii="宋体" w:hAnsi="宋体"/>
          <w:szCs w:val="24"/>
        </w:rPr>
      </w:pPr>
    </w:p>
    <w:p w:rsidR="00ED42E2" w:rsidRPr="00ED42E2" w:rsidRDefault="00ED42E2" w:rsidP="00B71983">
      <w:pPr>
        <w:rPr>
          <w:rFonts w:ascii="宋体" w:hAnsi="宋体"/>
          <w:szCs w:val="24"/>
        </w:rPr>
      </w:pPr>
    </w:p>
    <w:p w:rsidR="00BC17DE" w:rsidRDefault="00BC17DE" w:rsidP="00B71983">
      <w:pPr>
        <w:rPr>
          <w:rFonts w:ascii="宋体" w:hAnsi="宋体"/>
          <w:szCs w:val="24"/>
        </w:rPr>
      </w:pPr>
    </w:p>
    <w:p w:rsidR="00ED42E2" w:rsidRDefault="00ED42E2" w:rsidP="00B71983">
      <w:pPr>
        <w:rPr>
          <w:rFonts w:ascii="宋体" w:hAnsi="宋体"/>
          <w:szCs w:val="24"/>
        </w:rPr>
      </w:pPr>
    </w:p>
    <w:p w:rsidR="00ED42E2" w:rsidRDefault="00ED42E2" w:rsidP="00B71983">
      <w:pPr>
        <w:rPr>
          <w:rFonts w:ascii="宋体" w:hAnsi="宋体"/>
          <w:szCs w:val="24"/>
        </w:rPr>
      </w:pPr>
    </w:p>
    <w:p w:rsidR="00ED42E2" w:rsidRPr="00ED42E2" w:rsidRDefault="00ED42E2" w:rsidP="00B71983">
      <w:pPr>
        <w:rPr>
          <w:rFonts w:ascii="宋体" w:hAnsi="宋体"/>
          <w:szCs w:val="24"/>
        </w:rPr>
      </w:pPr>
    </w:p>
    <w:p w:rsidR="00235466" w:rsidRPr="00ED42E2" w:rsidRDefault="00235466" w:rsidP="00ED42E2">
      <w:pPr>
        <w:tabs>
          <w:tab w:val="left" w:pos="4140"/>
        </w:tabs>
        <w:jc w:val="center"/>
        <w:rPr>
          <w:rFonts w:ascii="宋体" w:hAnsi="宋体"/>
          <w:szCs w:val="24"/>
          <w:lang w:val="en-US"/>
        </w:rPr>
      </w:pPr>
    </w:p>
    <w:p w:rsidR="00CB572C" w:rsidRPr="00ED42E2" w:rsidRDefault="007D6F80" w:rsidP="00ED42E2">
      <w:pPr>
        <w:tabs>
          <w:tab w:val="left" w:pos="4500"/>
        </w:tabs>
        <w:jc w:val="center"/>
        <w:rPr>
          <w:rFonts w:ascii="宋体" w:hAnsi="宋体"/>
          <w:b/>
          <w:sz w:val="32"/>
          <w:szCs w:val="24"/>
          <w:lang w:val="en-US"/>
        </w:rPr>
      </w:pPr>
      <w:r>
        <w:rPr>
          <w:rFonts w:ascii="宋体" w:hAnsi="宋体" w:hint="eastAsia"/>
          <w:b/>
          <w:sz w:val="32"/>
          <w:szCs w:val="24"/>
          <w:lang w:val="en-US"/>
        </w:rPr>
        <w:t>广发安泰回报混合型证券投资基金</w:t>
      </w:r>
      <w:r w:rsidR="00ED42E2" w:rsidRPr="00ED42E2">
        <w:rPr>
          <w:rFonts w:ascii="宋体" w:hAnsi="宋体" w:hint="eastAsia"/>
          <w:b/>
          <w:sz w:val="32"/>
          <w:szCs w:val="24"/>
          <w:lang w:val="en-US"/>
        </w:rPr>
        <w:t>清算报告</w:t>
      </w:r>
    </w:p>
    <w:p w:rsidR="00235466" w:rsidRPr="00ED42E2" w:rsidRDefault="00235466" w:rsidP="00ED42E2">
      <w:pPr>
        <w:tabs>
          <w:tab w:val="left" w:pos="3510"/>
          <w:tab w:val="left" w:pos="4500"/>
        </w:tabs>
        <w:ind w:firstLine="3654"/>
        <w:jc w:val="center"/>
        <w:rPr>
          <w:rFonts w:ascii="宋体" w:hAnsi="宋体"/>
          <w:szCs w:val="24"/>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Default="00ED42E2" w:rsidP="00ED42E2">
      <w:pPr>
        <w:widowControl w:val="0"/>
        <w:autoSpaceDE w:val="0"/>
        <w:autoSpaceDN w:val="0"/>
        <w:adjustRightInd w:val="0"/>
        <w:spacing w:line="360" w:lineRule="auto"/>
        <w:jc w:val="center"/>
        <w:rPr>
          <w:rFonts w:ascii="宋体" w:hAnsi="宋体" w:cs="宋体"/>
          <w:b/>
          <w:color w:val="000000"/>
          <w:szCs w:val="30"/>
          <w:lang w:val="en-US"/>
        </w:rPr>
      </w:pPr>
    </w:p>
    <w:p w:rsidR="00ED42E2" w:rsidRPr="0093776B" w:rsidRDefault="00ED42E2" w:rsidP="0093776B">
      <w:pPr>
        <w:widowControl w:val="0"/>
        <w:autoSpaceDE w:val="0"/>
        <w:autoSpaceDN w:val="0"/>
        <w:adjustRightInd w:val="0"/>
        <w:spacing w:line="360" w:lineRule="auto"/>
        <w:rPr>
          <w:rFonts w:ascii="宋体" w:hAnsi="宋体" w:cs="宋体"/>
          <w:b/>
          <w:color w:val="000000"/>
          <w:szCs w:val="30"/>
          <w:lang w:val="en-US"/>
        </w:rPr>
      </w:pPr>
    </w:p>
    <w:p w:rsidR="00ED42E2" w:rsidRPr="00D92C5F" w:rsidRDefault="00ED42E2" w:rsidP="00ED42E2">
      <w:pPr>
        <w:widowControl w:val="0"/>
        <w:autoSpaceDE w:val="0"/>
        <w:autoSpaceDN w:val="0"/>
        <w:adjustRightInd w:val="0"/>
        <w:spacing w:line="360" w:lineRule="auto"/>
        <w:jc w:val="center"/>
        <w:rPr>
          <w:rFonts w:ascii="宋体" w:hAnsi="宋体" w:cs="宋体"/>
          <w:b/>
          <w:color w:val="000000"/>
          <w:szCs w:val="30"/>
          <w:lang w:val="en-US"/>
        </w:rPr>
      </w:pPr>
      <w:r w:rsidRPr="00D92C5F">
        <w:rPr>
          <w:rFonts w:ascii="宋体" w:hAnsi="宋体" w:cs="宋体"/>
          <w:b/>
          <w:color w:val="000000"/>
          <w:szCs w:val="30"/>
          <w:lang w:val="en-US"/>
        </w:rPr>
        <w:t>基金管理人：广发基金管理有限公司</w:t>
      </w:r>
    </w:p>
    <w:p w:rsidR="00ED42E2" w:rsidRPr="00D92C5F" w:rsidRDefault="00ED42E2" w:rsidP="00ED42E2">
      <w:pPr>
        <w:widowControl w:val="0"/>
        <w:autoSpaceDE w:val="0"/>
        <w:autoSpaceDN w:val="0"/>
        <w:adjustRightInd w:val="0"/>
        <w:spacing w:line="360" w:lineRule="auto"/>
        <w:jc w:val="center"/>
        <w:rPr>
          <w:rFonts w:ascii="宋体" w:hAnsi="宋体" w:cs="宋体"/>
          <w:b/>
          <w:color w:val="000000"/>
          <w:szCs w:val="30"/>
          <w:lang w:val="en-US"/>
        </w:rPr>
      </w:pPr>
      <w:r w:rsidRPr="00D92C5F">
        <w:rPr>
          <w:rFonts w:ascii="宋体" w:hAnsi="宋体" w:cs="宋体"/>
          <w:b/>
          <w:color w:val="000000"/>
          <w:szCs w:val="30"/>
          <w:lang w:val="en-US"/>
        </w:rPr>
        <w:t>基金托管人：</w:t>
      </w:r>
      <w:r w:rsidR="00F323C4">
        <w:rPr>
          <w:rFonts w:ascii="宋体" w:hAnsi="宋体" w:cs="宋体" w:hint="eastAsia"/>
          <w:b/>
          <w:color w:val="000000"/>
          <w:szCs w:val="30"/>
          <w:lang w:val="en-US"/>
        </w:rPr>
        <w:t>中国民生银行股份有限公司</w:t>
      </w:r>
    </w:p>
    <w:p w:rsidR="00952A21" w:rsidRDefault="00952A21" w:rsidP="00952A21">
      <w:pPr>
        <w:tabs>
          <w:tab w:val="left" w:pos="4500"/>
        </w:tabs>
        <w:spacing w:line="360" w:lineRule="auto"/>
        <w:jc w:val="center"/>
        <w:rPr>
          <w:rFonts w:ascii="宋体" w:hAnsi="宋体"/>
          <w:b/>
          <w:szCs w:val="24"/>
          <w:lang w:val="en-US"/>
        </w:rPr>
      </w:pPr>
      <w:r>
        <w:rPr>
          <w:rFonts w:ascii="宋体" w:hAnsi="宋体" w:hint="eastAsia"/>
          <w:b/>
          <w:szCs w:val="24"/>
          <w:lang w:val="en-US"/>
        </w:rPr>
        <w:t>报告出具日期：</w:t>
      </w:r>
      <w:r w:rsidRPr="00952A21">
        <w:rPr>
          <w:rFonts w:asciiTheme="minorEastAsia" w:eastAsiaTheme="minorEastAsia" w:hAnsiTheme="minorEastAsia" w:hint="eastAsia"/>
          <w:b/>
          <w:szCs w:val="24"/>
        </w:rPr>
        <w:t>2018年11月28日</w:t>
      </w:r>
    </w:p>
    <w:p w:rsidR="00952A21" w:rsidRDefault="00952A21" w:rsidP="00952A21">
      <w:pPr>
        <w:tabs>
          <w:tab w:val="left" w:pos="4500"/>
        </w:tabs>
        <w:spacing w:line="360" w:lineRule="auto"/>
        <w:jc w:val="center"/>
        <w:rPr>
          <w:rFonts w:ascii="宋体" w:hAnsi="宋体"/>
          <w:b/>
          <w:szCs w:val="24"/>
          <w:lang w:val="en-US"/>
        </w:rPr>
      </w:pPr>
      <w:r>
        <w:rPr>
          <w:rFonts w:ascii="宋体" w:hAnsi="宋体" w:hint="eastAsia"/>
          <w:b/>
          <w:szCs w:val="24"/>
          <w:lang w:val="en-US"/>
        </w:rPr>
        <w:t>报告公告日期：2019年1月22日</w:t>
      </w:r>
    </w:p>
    <w:p w:rsidR="00D12C42" w:rsidRPr="00952A21" w:rsidRDefault="00D12C42" w:rsidP="00ED42E2">
      <w:pPr>
        <w:tabs>
          <w:tab w:val="left" w:pos="4500"/>
        </w:tabs>
        <w:rPr>
          <w:rFonts w:ascii="宋体" w:hAnsi="宋体"/>
          <w:szCs w:val="24"/>
          <w:lang w:val="en-US"/>
        </w:rPr>
      </w:pPr>
    </w:p>
    <w:p w:rsidR="00BC17DE" w:rsidRPr="00ED42E2" w:rsidRDefault="00BC17DE" w:rsidP="00D12C42">
      <w:pPr>
        <w:tabs>
          <w:tab w:val="left" w:pos="4500"/>
        </w:tabs>
        <w:rPr>
          <w:rFonts w:ascii="宋体" w:hAnsi="宋体"/>
          <w:szCs w:val="24"/>
          <w:lang w:val="en-US"/>
        </w:rPr>
      </w:pPr>
    </w:p>
    <w:p w:rsidR="00BC17DE" w:rsidRPr="00ED42E2" w:rsidRDefault="00BC17DE" w:rsidP="00B71983">
      <w:pPr>
        <w:rPr>
          <w:rFonts w:ascii="宋体" w:hAnsi="宋体"/>
          <w:szCs w:val="24"/>
          <w:lang w:val="en-US"/>
        </w:rPr>
      </w:pPr>
    </w:p>
    <w:p w:rsidR="00BC17DE" w:rsidRPr="00ED42E2" w:rsidRDefault="00BC17DE" w:rsidP="00B71983">
      <w:pPr>
        <w:pStyle w:val="af7"/>
        <w:rPr>
          <w:rFonts w:ascii="宋体" w:hAnsi="宋体"/>
          <w:color w:val="FF0000"/>
          <w:szCs w:val="24"/>
          <w:u w:val="single"/>
          <w:lang w:val="en-US"/>
        </w:rPr>
      </w:pPr>
    </w:p>
    <w:p w:rsidR="00BC17DE" w:rsidRPr="00ED42E2" w:rsidRDefault="00BC17DE" w:rsidP="00B71983">
      <w:pPr>
        <w:rPr>
          <w:rFonts w:ascii="宋体" w:hAnsi="宋体"/>
          <w:szCs w:val="24"/>
          <w:u w:val="single"/>
          <w:lang w:val="en-US"/>
        </w:rPr>
      </w:pPr>
    </w:p>
    <w:p w:rsidR="00BC17DE" w:rsidRPr="00ED42E2" w:rsidRDefault="00BC17DE" w:rsidP="00B71983">
      <w:pPr>
        <w:rPr>
          <w:rFonts w:ascii="宋体" w:hAnsi="宋体"/>
          <w:szCs w:val="24"/>
          <w:u w:val="single"/>
          <w:lang w:val="en-US"/>
        </w:rPr>
      </w:pPr>
    </w:p>
    <w:p w:rsidR="00BC17DE" w:rsidRPr="00ED42E2" w:rsidRDefault="00BC17DE" w:rsidP="00F252FE">
      <w:pPr>
        <w:pStyle w:val="af7"/>
        <w:rPr>
          <w:rFonts w:ascii="宋体" w:hAnsi="宋体"/>
          <w:szCs w:val="24"/>
          <w:u w:val="single"/>
          <w:lang w:val="en-US"/>
        </w:rPr>
        <w:sectPr w:rsidR="00BC17DE" w:rsidRPr="00ED42E2" w:rsidSect="00B71983">
          <w:footerReference w:type="even" r:id="rId36"/>
          <w:headerReference w:type="first" r:id="rId37"/>
          <w:pgSz w:w="11909" w:h="16834" w:code="9"/>
          <w:pgMar w:top="864" w:right="720" w:bottom="432" w:left="1008" w:header="864" w:footer="432" w:gutter="0"/>
          <w:cols w:space="720"/>
          <w:noEndnote/>
        </w:sectPr>
      </w:pPr>
    </w:p>
    <w:p w:rsidR="00ED42E2" w:rsidRPr="00F252FE" w:rsidRDefault="00ED42E2" w:rsidP="008E66C4">
      <w:pPr>
        <w:spacing w:line="360" w:lineRule="auto"/>
        <w:rPr>
          <w:rFonts w:ascii="宋体" w:hAnsi="宋体"/>
          <w:szCs w:val="24"/>
        </w:rPr>
      </w:pPr>
    </w:p>
    <w:p w:rsidR="00ED42E2" w:rsidRDefault="00ED42E2" w:rsidP="008E66C4">
      <w:pPr>
        <w:spacing w:line="360" w:lineRule="auto"/>
        <w:rPr>
          <w:rFonts w:ascii="宋体" w:hAnsi="宋体"/>
          <w:szCs w:val="24"/>
        </w:rPr>
      </w:pPr>
    </w:p>
    <w:sdt>
      <w:sdtPr>
        <w:rPr>
          <w:rFonts w:ascii="Times New Roman" w:eastAsia="宋体" w:hAnsi="Times New Roman" w:cs="Times New Roman"/>
          <w:b w:val="0"/>
          <w:bCs w:val="0"/>
          <w:color w:val="auto"/>
          <w:sz w:val="24"/>
          <w:szCs w:val="20"/>
          <w:lang w:val="zh-CN"/>
        </w:rPr>
        <w:id w:val="-291677533"/>
        <w:docPartObj>
          <w:docPartGallery w:val="Table of Contents"/>
          <w:docPartUnique/>
        </w:docPartObj>
      </w:sdtPr>
      <w:sdtContent>
        <w:p w:rsidR="0008144E" w:rsidRDefault="0008144E" w:rsidP="0008144E">
          <w:pPr>
            <w:pStyle w:val="TOC"/>
            <w:jc w:val="center"/>
            <w:rPr>
              <w:color w:val="auto"/>
              <w:lang w:val="zh-CN"/>
            </w:rPr>
          </w:pPr>
          <w:r w:rsidRPr="0008144E">
            <w:rPr>
              <w:color w:val="auto"/>
              <w:lang w:val="zh-CN"/>
            </w:rPr>
            <w:t>目录</w:t>
          </w:r>
        </w:p>
        <w:p w:rsidR="0008144E" w:rsidRDefault="0008144E" w:rsidP="0008144E">
          <w:pPr>
            <w:rPr>
              <w:lang w:val="zh-CN"/>
            </w:rPr>
          </w:pPr>
        </w:p>
        <w:p w:rsidR="0008144E" w:rsidRDefault="0008144E" w:rsidP="0008144E">
          <w:pPr>
            <w:rPr>
              <w:lang w:val="zh-CN"/>
            </w:rPr>
          </w:pPr>
        </w:p>
        <w:p w:rsidR="0008144E" w:rsidRDefault="0008144E" w:rsidP="0008144E">
          <w:pPr>
            <w:rPr>
              <w:lang w:val="zh-CN"/>
            </w:rPr>
          </w:pPr>
        </w:p>
        <w:p w:rsidR="0008144E" w:rsidRDefault="0008144E" w:rsidP="0008144E">
          <w:pPr>
            <w:rPr>
              <w:lang w:val="zh-CN"/>
            </w:rPr>
          </w:pPr>
        </w:p>
        <w:p w:rsidR="0008144E" w:rsidRPr="0008144E" w:rsidRDefault="0008144E" w:rsidP="0008144E">
          <w:pPr>
            <w:rPr>
              <w:lang w:val="zh-CN"/>
            </w:rPr>
          </w:pPr>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r w:rsidRPr="00DD245C">
            <w:fldChar w:fldCharType="begin"/>
          </w:r>
          <w:r w:rsidR="0008144E">
            <w:instrText xml:space="preserve"> TOC \o "1-3" \h \z \u </w:instrText>
          </w:r>
          <w:r w:rsidRPr="00DD245C">
            <w:fldChar w:fldCharType="separate"/>
          </w:r>
          <w:hyperlink w:anchor="_Toc524628627" w:history="1">
            <w:r w:rsidR="008D2FE4" w:rsidRPr="00B17F36">
              <w:rPr>
                <w:rStyle w:val="ad"/>
                <w:rFonts w:ascii="宋体" w:eastAsia="宋体" w:hAnsi="宋体"/>
                <w:b/>
                <w:bCs/>
                <w:noProof/>
                <w:sz w:val="24"/>
              </w:rPr>
              <w:t>1.</w:t>
            </w:r>
            <w:r w:rsidR="008D2FE4" w:rsidRPr="00B17F36">
              <w:rPr>
                <w:rFonts w:ascii="宋体" w:eastAsia="宋体" w:hAnsi="宋体"/>
                <w:noProof/>
                <w:kern w:val="2"/>
              </w:rPr>
              <w:tab/>
            </w:r>
            <w:r w:rsidR="008D2FE4" w:rsidRPr="00B17F36">
              <w:rPr>
                <w:rStyle w:val="ad"/>
                <w:rFonts w:ascii="宋体" w:eastAsia="宋体" w:hAnsi="宋体" w:hint="eastAsia"/>
                <w:b/>
                <w:bCs/>
                <w:noProof/>
                <w:sz w:val="24"/>
              </w:rPr>
              <w:t>重要提示</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_Toc524628627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2</w:t>
            </w:r>
            <w:r w:rsidRPr="00B17F36">
              <w:rPr>
                <w:rFonts w:ascii="宋体" w:eastAsia="宋体" w:hAnsi="宋体"/>
                <w:noProof/>
                <w:webHidden/>
                <w:sz w:val="24"/>
              </w:rPr>
              <w:fldChar w:fldCharType="end"/>
            </w:r>
          </w:hyperlink>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hyperlink w:anchor="_Toc524628628" w:history="1">
            <w:r w:rsidR="008D2FE4" w:rsidRPr="00B17F36">
              <w:rPr>
                <w:rStyle w:val="ad"/>
                <w:rFonts w:ascii="宋体" w:eastAsia="宋体" w:hAnsi="宋体"/>
                <w:b/>
                <w:bCs/>
                <w:noProof/>
                <w:sz w:val="24"/>
              </w:rPr>
              <w:t>2.</w:t>
            </w:r>
            <w:r w:rsidR="008D2FE4" w:rsidRPr="00B17F36">
              <w:rPr>
                <w:rFonts w:ascii="宋体" w:eastAsia="宋体" w:hAnsi="宋体"/>
                <w:noProof/>
                <w:kern w:val="2"/>
              </w:rPr>
              <w:tab/>
            </w:r>
            <w:r w:rsidR="008D2FE4" w:rsidRPr="00B17F36">
              <w:rPr>
                <w:rStyle w:val="ad"/>
                <w:rFonts w:ascii="宋体" w:eastAsia="宋体" w:hAnsi="宋体" w:hint="eastAsia"/>
                <w:b/>
                <w:bCs/>
                <w:noProof/>
                <w:sz w:val="24"/>
              </w:rPr>
              <w:t>基金概况</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_Toc524628628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2</w:t>
            </w:r>
            <w:r w:rsidRPr="00B17F36">
              <w:rPr>
                <w:rFonts w:ascii="宋体" w:eastAsia="宋体" w:hAnsi="宋体"/>
                <w:noProof/>
                <w:webHidden/>
                <w:sz w:val="24"/>
              </w:rPr>
              <w:fldChar w:fldCharType="end"/>
            </w:r>
          </w:hyperlink>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hyperlink w:anchor="_Toc524628629" w:history="1">
            <w:r w:rsidR="008D2FE4" w:rsidRPr="00B17F36">
              <w:rPr>
                <w:rStyle w:val="ad"/>
                <w:rFonts w:ascii="宋体" w:eastAsia="宋体" w:hAnsi="宋体"/>
                <w:b/>
                <w:bCs/>
                <w:noProof/>
                <w:sz w:val="24"/>
              </w:rPr>
              <w:t>3.</w:t>
            </w:r>
            <w:r w:rsidR="008D2FE4" w:rsidRPr="00B17F36">
              <w:rPr>
                <w:rFonts w:ascii="宋体" w:eastAsia="宋体" w:hAnsi="宋体"/>
                <w:noProof/>
                <w:kern w:val="2"/>
              </w:rPr>
              <w:tab/>
            </w:r>
            <w:r w:rsidR="008D2FE4" w:rsidRPr="00B17F36">
              <w:rPr>
                <w:rStyle w:val="ad"/>
                <w:rFonts w:ascii="宋体" w:eastAsia="宋体" w:hAnsi="宋体" w:hint="eastAsia"/>
                <w:b/>
                <w:bCs/>
                <w:noProof/>
                <w:sz w:val="24"/>
              </w:rPr>
              <w:t>基金运作情况概述</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_Toc524628629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3</w:t>
            </w:r>
            <w:r w:rsidRPr="00B17F36">
              <w:rPr>
                <w:rFonts w:ascii="宋体" w:eastAsia="宋体" w:hAnsi="宋体"/>
                <w:noProof/>
                <w:webHidden/>
                <w:sz w:val="24"/>
              </w:rPr>
              <w:fldChar w:fldCharType="end"/>
            </w:r>
          </w:hyperlink>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hyperlink w:anchor="_Toc524628630" w:history="1">
            <w:r w:rsidR="008D2FE4" w:rsidRPr="00B17F36">
              <w:rPr>
                <w:rStyle w:val="ad"/>
                <w:rFonts w:ascii="宋体" w:eastAsia="宋体" w:hAnsi="宋体"/>
                <w:b/>
                <w:noProof/>
                <w:sz w:val="24"/>
              </w:rPr>
              <w:t>4.</w:t>
            </w:r>
            <w:r w:rsidR="008D2FE4" w:rsidRPr="00B17F36">
              <w:rPr>
                <w:rFonts w:ascii="宋体" w:eastAsia="宋体" w:hAnsi="宋体"/>
                <w:noProof/>
                <w:kern w:val="2"/>
              </w:rPr>
              <w:tab/>
            </w:r>
            <w:r w:rsidR="008D2FE4" w:rsidRPr="00B17F36">
              <w:rPr>
                <w:rStyle w:val="ad"/>
                <w:rFonts w:ascii="宋体" w:eastAsia="宋体" w:hAnsi="宋体" w:hint="eastAsia"/>
                <w:b/>
                <w:noProof/>
                <w:sz w:val="24"/>
              </w:rPr>
              <w:t>审计报告</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_Toc524628630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4</w:t>
            </w:r>
            <w:r w:rsidRPr="00B17F36">
              <w:rPr>
                <w:rFonts w:ascii="宋体" w:eastAsia="宋体" w:hAnsi="宋体"/>
                <w:noProof/>
                <w:webHidden/>
                <w:sz w:val="24"/>
              </w:rPr>
              <w:fldChar w:fldCharType="end"/>
            </w:r>
          </w:hyperlink>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hyperlink w:anchor="_Toc524628631" w:history="1">
            <w:r w:rsidR="008D2FE4" w:rsidRPr="00B17F36">
              <w:rPr>
                <w:rStyle w:val="ad"/>
                <w:rFonts w:ascii="宋体" w:eastAsia="宋体" w:hAnsi="宋体"/>
                <w:b/>
                <w:noProof/>
                <w:sz w:val="24"/>
              </w:rPr>
              <w:t>5.</w:t>
            </w:r>
            <w:r w:rsidR="008D2FE4" w:rsidRPr="00B17F36">
              <w:rPr>
                <w:rFonts w:ascii="宋体" w:eastAsia="宋体" w:hAnsi="宋体"/>
                <w:noProof/>
                <w:kern w:val="2"/>
              </w:rPr>
              <w:tab/>
            </w:r>
            <w:r w:rsidR="008D2FE4" w:rsidRPr="00B17F36">
              <w:rPr>
                <w:rStyle w:val="ad"/>
                <w:rFonts w:ascii="宋体" w:eastAsia="宋体" w:hAnsi="宋体" w:hint="eastAsia"/>
                <w:b/>
                <w:noProof/>
                <w:sz w:val="24"/>
              </w:rPr>
              <w:t>资产负债表</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_Toc524628631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6</w:t>
            </w:r>
            <w:r w:rsidRPr="00B17F36">
              <w:rPr>
                <w:rFonts w:ascii="宋体" w:eastAsia="宋体" w:hAnsi="宋体"/>
                <w:noProof/>
                <w:webHidden/>
                <w:sz w:val="24"/>
              </w:rPr>
              <w:fldChar w:fldCharType="end"/>
            </w:r>
          </w:hyperlink>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hyperlink w:anchor="_Toc524628632" w:history="1">
            <w:r w:rsidR="008D2FE4" w:rsidRPr="00B17F36">
              <w:rPr>
                <w:rStyle w:val="ad"/>
                <w:rFonts w:ascii="宋体" w:eastAsia="宋体" w:hAnsi="宋体"/>
                <w:b/>
                <w:noProof/>
                <w:sz w:val="24"/>
              </w:rPr>
              <w:t>6.</w:t>
            </w:r>
            <w:r w:rsidR="008D2FE4" w:rsidRPr="00B17F36">
              <w:rPr>
                <w:rFonts w:ascii="宋体" w:eastAsia="宋体" w:hAnsi="宋体"/>
                <w:noProof/>
                <w:kern w:val="2"/>
              </w:rPr>
              <w:tab/>
            </w:r>
            <w:r w:rsidR="008D2FE4" w:rsidRPr="00B17F36">
              <w:rPr>
                <w:rStyle w:val="ad"/>
                <w:rFonts w:ascii="宋体" w:eastAsia="宋体" w:hAnsi="宋体" w:hint="eastAsia"/>
                <w:b/>
                <w:noProof/>
                <w:sz w:val="24"/>
              </w:rPr>
              <w:t>其他说明事项</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_Toc524628632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11</w:t>
            </w:r>
            <w:r w:rsidRPr="00B17F36">
              <w:rPr>
                <w:rFonts w:ascii="宋体" w:eastAsia="宋体" w:hAnsi="宋体"/>
                <w:noProof/>
                <w:webHidden/>
                <w:sz w:val="24"/>
              </w:rPr>
              <w:fldChar w:fldCharType="end"/>
            </w:r>
          </w:hyperlink>
        </w:p>
        <w:p w:rsidR="008D2FE4" w:rsidRPr="00B17F36" w:rsidRDefault="00DD245C" w:rsidP="008D2FE4">
          <w:pPr>
            <w:pStyle w:val="11"/>
            <w:tabs>
              <w:tab w:val="left" w:pos="440"/>
              <w:tab w:val="right" w:leader="dot" w:pos="10171"/>
            </w:tabs>
            <w:spacing w:line="960" w:lineRule="auto"/>
            <w:rPr>
              <w:rFonts w:ascii="宋体" w:eastAsia="宋体" w:hAnsi="宋体"/>
              <w:noProof/>
              <w:kern w:val="2"/>
            </w:rPr>
          </w:pPr>
          <w:hyperlink w:anchor="_Toc524628633" w:history="1">
            <w:r w:rsidR="008D2FE4" w:rsidRPr="00B17F36">
              <w:rPr>
                <w:rStyle w:val="ad"/>
                <w:rFonts w:ascii="宋体" w:eastAsia="宋体" w:hAnsi="宋体"/>
                <w:b/>
                <w:noProof/>
                <w:sz w:val="24"/>
              </w:rPr>
              <w:t>7.</w:t>
            </w:r>
            <w:r w:rsidR="008D2FE4" w:rsidRPr="00B17F36">
              <w:rPr>
                <w:rFonts w:ascii="宋体" w:eastAsia="宋体" w:hAnsi="宋体"/>
                <w:noProof/>
                <w:kern w:val="2"/>
              </w:rPr>
              <w:tab/>
            </w:r>
            <w:r w:rsidR="008D2FE4" w:rsidRPr="00B17F36">
              <w:rPr>
                <w:rStyle w:val="ad"/>
                <w:rFonts w:ascii="宋体" w:eastAsia="宋体" w:hAnsi="宋体" w:hint="eastAsia"/>
                <w:b/>
                <w:noProof/>
                <w:sz w:val="24"/>
              </w:rPr>
              <w:t>备查文件目录</w:t>
            </w:r>
            <w:r w:rsidR="008D2FE4" w:rsidRPr="00B17F36">
              <w:rPr>
                <w:rFonts w:ascii="宋体" w:eastAsia="宋体" w:hAnsi="宋体"/>
                <w:noProof/>
                <w:webHidden/>
                <w:sz w:val="24"/>
              </w:rPr>
              <w:tab/>
            </w:r>
            <w:r w:rsidRPr="00B17F36">
              <w:rPr>
                <w:rFonts w:ascii="宋体" w:eastAsia="宋体" w:hAnsi="宋体"/>
                <w:noProof/>
                <w:webHidden/>
                <w:sz w:val="24"/>
              </w:rPr>
              <w:fldChar w:fldCharType="begin"/>
            </w:r>
            <w:r w:rsidR="008D2FE4" w:rsidRPr="00B17F36">
              <w:rPr>
                <w:rFonts w:ascii="宋体" w:eastAsia="宋体" w:hAnsi="宋体"/>
                <w:noProof/>
                <w:webHidden/>
                <w:sz w:val="24"/>
              </w:rPr>
              <w:instrText xml:space="preserve"> PAGEREF _Toc524628633 \h </w:instrText>
            </w:r>
            <w:r w:rsidRPr="00B17F36">
              <w:rPr>
                <w:rFonts w:ascii="宋体" w:eastAsia="宋体" w:hAnsi="宋体"/>
                <w:noProof/>
                <w:webHidden/>
                <w:sz w:val="24"/>
              </w:rPr>
            </w:r>
            <w:r w:rsidRPr="00B17F36">
              <w:rPr>
                <w:rFonts w:ascii="宋体" w:eastAsia="宋体" w:hAnsi="宋体"/>
                <w:noProof/>
                <w:webHidden/>
                <w:sz w:val="24"/>
              </w:rPr>
              <w:fldChar w:fldCharType="separate"/>
            </w:r>
            <w:r w:rsidR="00C73EF5">
              <w:rPr>
                <w:rFonts w:ascii="宋体" w:eastAsia="宋体" w:hAnsi="宋体"/>
                <w:noProof/>
                <w:webHidden/>
                <w:sz w:val="24"/>
              </w:rPr>
              <w:t>12</w:t>
            </w:r>
            <w:r w:rsidRPr="00B17F36">
              <w:rPr>
                <w:rFonts w:ascii="宋体" w:eastAsia="宋体" w:hAnsi="宋体"/>
                <w:noProof/>
                <w:webHidden/>
                <w:sz w:val="24"/>
              </w:rPr>
              <w:fldChar w:fldCharType="end"/>
            </w:r>
          </w:hyperlink>
        </w:p>
        <w:p w:rsidR="0008144E" w:rsidRDefault="00DD245C">
          <w:r>
            <w:rPr>
              <w:b/>
              <w:bCs/>
              <w:lang w:val="zh-CN"/>
            </w:rPr>
            <w:fldChar w:fldCharType="end"/>
          </w:r>
        </w:p>
      </w:sdtContent>
    </w:sdt>
    <w:p w:rsidR="00ED42E2" w:rsidRPr="0008144E" w:rsidRDefault="00ED42E2" w:rsidP="008E66C4">
      <w:pPr>
        <w:spacing w:line="360" w:lineRule="auto"/>
        <w:rPr>
          <w:rFonts w:ascii="宋体" w:hAnsi="宋体"/>
          <w:szCs w:val="24"/>
          <w:lang w:val="en-US"/>
        </w:rPr>
      </w:pPr>
    </w:p>
    <w:p w:rsidR="00ED42E2" w:rsidRDefault="00ED42E2" w:rsidP="008E66C4">
      <w:pPr>
        <w:spacing w:line="360" w:lineRule="auto"/>
        <w:rPr>
          <w:rStyle w:val="af9"/>
          <w:rFonts w:ascii="宋体" w:hAnsi="宋体"/>
          <w:color w:val="000000"/>
        </w:rPr>
      </w:pPr>
    </w:p>
    <w:p w:rsidR="00F252FE" w:rsidRDefault="00C73EF5" w:rsidP="00C73EF5">
      <w:pPr>
        <w:tabs>
          <w:tab w:val="left" w:pos="6730"/>
        </w:tabs>
        <w:spacing w:line="360" w:lineRule="auto"/>
        <w:rPr>
          <w:rStyle w:val="af9"/>
          <w:rFonts w:ascii="宋体" w:hAnsi="宋体"/>
          <w:color w:val="000000"/>
        </w:rPr>
      </w:pPr>
      <w:r>
        <w:rPr>
          <w:rStyle w:val="af9"/>
          <w:rFonts w:ascii="宋体" w:hAnsi="宋体"/>
          <w:color w:val="000000"/>
        </w:rPr>
        <w:tab/>
      </w:r>
    </w:p>
    <w:p w:rsidR="00F252FE" w:rsidRPr="00ED42E2" w:rsidRDefault="00F252FE" w:rsidP="008E66C4">
      <w:pPr>
        <w:spacing w:line="360" w:lineRule="auto"/>
        <w:rPr>
          <w:rStyle w:val="af9"/>
          <w:rFonts w:ascii="宋体" w:hAnsi="宋体"/>
          <w:color w:val="000000"/>
        </w:rPr>
      </w:pPr>
    </w:p>
    <w:p w:rsidR="008E66C4" w:rsidRDefault="008E66C4" w:rsidP="00ED42E2">
      <w:pPr>
        <w:pStyle w:val="1"/>
        <w:ind w:left="567" w:hanging="567"/>
        <w:jc w:val="center"/>
        <w:rPr>
          <w:rStyle w:val="af9"/>
          <w:rFonts w:ascii="宋体" w:hAnsi="宋体"/>
          <w:color w:val="000000"/>
        </w:rPr>
      </w:pPr>
      <w:bookmarkStart w:id="0" w:name="_Toc524628627"/>
      <w:r w:rsidRPr="00ED42E2">
        <w:rPr>
          <w:rStyle w:val="af9"/>
          <w:rFonts w:ascii="宋体" w:hAnsi="宋体" w:hint="eastAsia"/>
          <w:color w:val="000000"/>
        </w:rPr>
        <w:lastRenderedPageBreak/>
        <w:t>重要提示</w:t>
      </w:r>
      <w:bookmarkEnd w:id="0"/>
    </w:p>
    <w:p w:rsidR="008D2FE4" w:rsidRPr="008D2FE4" w:rsidRDefault="008D2FE4" w:rsidP="008D2FE4">
      <w:pPr>
        <w:rPr>
          <w:lang/>
        </w:rPr>
      </w:pPr>
    </w:p>
    <w:p w:rsidR="008E66C4" w:rsidRPr="00CF56BA" w:rsidRDefault="008E66C4" w:rsidP="008D2FE4">
      <w:pPr>
        <w:spacing w:line="360" w:lineRule="auto"/>
        <w:ind w:firstLineChars="200" w:firstLine="482"/>
        <w:rPr>
          <w:rFonts w:asciiTheme="minorEastAsia" w:eastAsiaTheme="minorEastAsia" w:hAnsiTheme="minorEastAsia"/>
          <w:b/>
          <w:lang w:val="en-US"/>
        </w:rPr>
      </w:pPr>
      <w:r w:rsidRPr="00CF56BA">
        <w:rPr>
          <w:rFonts w:asciiTheme="minorEastAsia" w:eastAsiaTheme="minorEastAsia" w:hAnsiTheme="minorEastAsia" w:hint="eastAsia"/>
          <w:b/>
          <w:lang w:val="en-US"/>
        </w:rPr>
        <w:t>1.1重要提示</w:t>
      </w:r>
    </w:p>
    <w:p w:rsidR="008E66C4" w:rsidRPr="00CF56BA" w:rsidRDefault="007D6F80" w:rsidP="008D2FE4">
      <w:pPr>
        <w:spacing w:line="360" w:lineRule="auto"/>
        <w:ind w:leftChars="50" w:left="120" w:rightChars="50" w:right="120" w:firstLineChars="200" w:firstLine="480"/>
        <w:rPr>
          <w:rFonts w:ascii="宋体" w:hAnsi="宋体"/>
          <w:bCs/>
          <w:lang w:val="en-US"/>
        </w:rPr>
      </w:pPr>
      <w:r>
        <w:rPr>
          <w:rFonts w:ascii="宋体" w:hAnsi="宋体" w:hint="eastAsia"/>
          <w:bCs/>
          <w:lang w:val="en-US"/>
        </w:rPr>
        <w:t>广发安泰回报混合型证券投资基金</w:t>
      </w:r>
      <w:r w:rsidR="008E66C4" w:rsidRPr="00CF56BA">
        <w:rPr>
          <w:rFonts w:ascii="宋体" w:hAnsi="宋体" w:hint="eastAsia"/>
          <w:bCs/>
          <w:lang w:val="en-US"/>
        </w:rPr>
        <w:t>（以下简称“本基金”）经中国证监会证监许可</w:t>
      </w:r>
      <w:r w:rsidRPr="007D6F80">
        <w:rPr>
          <w:rFonts w:ascii="宋体" w:hAnsi="宋体"/>
          <w:bCs/>
          <w:lang w:val="en-US"/>
        </w:rPr>
        <w:t>[2015]745</w:t>
      </w:r>
      <w:r w:rsidR="00E1537D" w:rsidRPr="00D027B8">
        <w:rPr>
          <w:rFonts w:ascii="宋体" w:hAnsi="宋体" w:hint="eastAsia"/>
        </w:rPr>
        <w:t>号</w:t>
      </w:r>
      <w:r w:rsidR="00E1537D">
        <w:rPr>
          <w:rFonts w:ascii="宋体" w:hAnsi="宋体" w:hint="eastAsia"/>
        </w:rPr>
        <w:t>文</w:t>
      </w:r>
      <w:r w:rsidR="008E66C4" w:rsidRPr="00CF56BA">
        <w:rPr>
          <w:rFonts w:ascii="宋体" w:hAnsi="宋体" w:hint="eastAsia"/>
          <w:bCs/>
          <w:lang w:val="en-US"/>
        </w:rPr>
        <w:t>核</w:t>
      </w:r>
      <w:r w:rsidR="008E66C4" w:rsidRPr="00CF56BA">
        <w:rPr>
          <w:rFonts w:ascii="宋体" w:hAnsi="宋体"/>
          <w:bCs/>
          <w:lang w:val="en-US"/>
        </w:rPr>
        <w:t>准</w:t>
      </w:r>
      <w:r w:rsidR="008E66C4" w:rsidRPr="00CF56BA">
        <w:rPr>
          <w:rFonts w:ascii="宋体" w:hAnsi="宋体" w:hint="eastAsia"/>
          <w:bCs/>
          <w:lang w:val="en-US"/>
        </w:rPr>
        <w:t>，于</w:t>
      </w:r>
      <w:r w:rsidRPr="007D6F80">
        <w:rPr>
          <w:rFonts w:ascii="宋体" w:hAnsi="宋体" w:hint="eastAsia"/>
          <w:bCs/>
          <w:lang w:val="en-US"/>
        </w:rPr>
        <w:t>2015年5月14日</w:t>
      </w:r>
      <w:r w:rsidR="008E66C4" w:rsidRPr="00CF56BA">
        <w:rPr>
          <w:rFonts w:ascii="宋体" w:hAnsi="宋体" w:hint="eastAsia"/>
          <w:bCs/>
          <w:lang w:val="en-US"/>
        </w:rPr>
        <w:t>成立并正式运作。</w:t>
      </w:r>
    </w:p>
    <w:p w:rsidR="008E66C4" w:rsidRPr="00CF56BA" w:rsidRDefault="008E66C4" w:rsidP="008D2FE4">
      <w:pPr>
        <w:spacing w:line="360" w:lineRule="auto"/>
        <w:ind w:leftChars="50" w:left="120" w:rightChars="50" w:right="120" w:firstLineChars="200" w:firstLine="480"/>
        <w:rPr>
          <w:rFonts w:ascii="宋体" w:hAnsi="宋体"/>
          <w:bCs/>
          <w:lang w:val="en-US"/>
        </w:rPr>
      </w:pPr>
      <w:r w:rsidRPr="00CF56BA">
        <w:rPr>
          <w:rFonts w:ascii="宋体" w:hAnsi="宋体"/>
          <w:bCs/>
          <w:lang w:val="en-US"/>
        </w:rPr>
        <w:t>根据《中华人民共和国证券投资基金法》、《公开募集证券投资基金运作管理办法》、《</w:t>
      </w:r>
      <w:r w:rsidR="007D6F80">
        <w:rPr>
          <w:rFonts w:ascii="宋体" w:hAnsi="宋体"/>
          <w:bCs/>
          <w:lang w:val="en-US"/>
        </w:rPr>
        <w:t>广发安泰回报混合型证券投资基金</w:t>
      </w:r>
      <w:r w:rsidRPr="00CF56BA">
        <w:rPr>
          <w:rFonts w:ascii="宋体" w:hAnsi="宋体"/>
          <w:bCs/>
          <w:lang w:val="en-US"/>
        </w:rPr>
        <w:t>基金合同》</w:t>
      </w:r>
      <w:r w:rsidRPr="00CF56BA">
        <w:rPr>
          <w:rFonts w:ascii="宋体" w:hAnsi="宋体" w:hint="eastAsia"/>
          <w:bCs/>
          <w:lang w:val="en-US"/>
        </w:rPr>
        <w:t>（以</w:t>
      </w:r>
      <w:r w:rsidRPr="00CF56BA">
        <w:rPr>
          <w:rFonts w:ascii="宋体" w:hAnsi="宋体"/>
          <w:bCs/>
          <w:lang w:val="en-US"/>
        </w:rPr>
        <w:t>下简称</w:t>
      </w:r>
      <w:r w:rsidRPr="00CF56BA">
        <w:rPr>
          <w:rFonts w:ascii="宋体" w:hAnsi="宋体" w:hint="eastAsia"/>
          <w:bCs/>
          <w:lang w:val="en-US"/>
        </w:rPr>
        <w:t>“基金合同”</w:t>
      </w:r>
      <w:r w:rsidRPr="00CF56BA">
        <w:rPr>
          <w:rFonts w:ascii="宋体" w:hAnsi="宋体"/>
          <w:bCs/>
          <w:lang w:val="en-US"/>
        </w:rPr>
        <w:t>）等有关规定，基金合同生效后，</w:t>
      </w:r>
      <w:r w:rsidRPr="00CF56BA">
        <w:rPr>
          <w:rFonts w:ascii="宋体" w:hAnsi="宋体" w:hint="eastAsia"/>
          <w:bCs/>
          <w:lang w:val="en-US"/>
        </w:rPr>
        <w:t>连续六十个工作日出现基金份额持有人数量不满200人或者基金资产净值低于5,000万元人民币情形的，基金管理人应当终止《基金合同》，不需召开基金份额持有人大会。</w:t>
      </w:r>
      <w:r w:rsidRPr="00CF56BA">
        <w:rPr>
          <w:rFonts w:ascii="宋体" w:hAnsi="宋体"/>
          <w:bCs/>
          <w:lang w:val="en-US"/>
        </w:rPr>
        <w:t>截至</w:t>
      </w:r>
      <w:r w:rsidR="007D6F80" w:rsidRPr="007D6F80">
        <w:rPr>
          <w:rFonts w:ascii="宋体" w:hAnsi="宋体" w:hint="eastAsia"/>
          <w:bCs/>
          <w:lang w:val="en-US"/>
        </w:rPr>
        <w:t>2018年8月29日</w:t>
      </w:r>
      <w:r w:rsidRPr="00CF56BA">
        <w:rPr>
          <w:rFonts w:ascii="宋体" w:hAnsi="宋体"/>
          <w:bCs/>
          <w:lang w:val="en-US"/>
        </w:rPr>
        <w:t>日终，</w:t>
      </w:r>
      <w:r w:rsidR="00B944F7" w:rsidRPr="007410BE">
        <w:rPr>
          <w:rFonts w:ascii="宋体" w:hAnsi="宋体" w:hint="eastAsia"/>
          <w:bCs/>
          <w:lang w:val="en-US"/>
        </w:rPr>
        <w:t>本基金</w:t>
      </w:r>
      <w:r w:rsidRPr="007410BE">
        <w:rPr>
          <w:rFonts w:ascii="宋体" w:hAnsi="宋体"/>
          <w:bCs/>
          <w:lang w:val="en-US"/>
        </w:rPr>
        <w:t>资产合计为</w:t>
      </w:r>
      <w:r w:rsidR="007410BE" w:rsidRPr="007410BE">
        <w:rPr>
          <w:rFonts w:ascii="宋体" w:hAnsi="宋体"/>
          <w:bCs/>
          <w:lang w:val="en-US"/>
        </w:rPr>
        <w:t>42.42</w:t>
      </w:r>
      <w:r w:rsidR="00960B64" w:rsidRPr="007410BE">
        <w:rPr>
          <w:rFonts w:ascii="宋体" w:hAnsi="宋体" w:hint="eastAsia"/>
          <w:bCs/>
          <w:lang w:val="en-US"/>
        </w:rPr>
        <w:t>万</w:t>
      </w:r>
      <w:r w:rsidRPr="007410BE">
        <w:rPr>
          <w:rFonts w:ascii="宋体" w:hAnsi="宋体"/>
          <w:bCs/>
          <w:lang w:val="en-US"/>
        </w:rPr>
        <w:t>元</w:t>
      </w:r>
      <w:r w:rsidRPr="00CF56BA">
        <w:rPr>
          <w:rFonts w:ascii="宋体" w:hAnsi="宋体"/>
          <w:bCs/>
          <w:lang w:val="en-US"/>
        </w:rPr>
        <w:t>，基金</w:t>
      </w:r>
      <w:r w:rsidRPr="00CF56BA">
        <w:rPr>
          <w:rFonts w:ascii="宋体" w:hAnsi="宋体" w:hint="eastAsia"/>
          <w:bCs/>
          <w:lang w:val="en-US"/>
        </w:rPr>
        <w:t>资产净值连续六十个工作日</w:t>
      </w:r>
      <w:r w:rsidRPr="00CF56BA">
        <w:rPr>
          <w:rFonts w:ascii="宋体" w:hAnsi="宋体"/>
          <w:bCs/>
          <w:lang w:val="en-US"/>
        </w:rPr>
        <w:t>低于5</w:t>
      </w:r>
      <w:r w:rsidRPr="00CF56BA">
        <w:rPr>
          <w:rFonts w:ascii="宋体" w:hAnsi="宋体" w:hint="eastAsia"/>
          <w:bCs/>
          <w:lang w:val="en-US"/>
        </w:rPr>
        <w:t>,</w:t>
      </w:r>
      <w:r w:rsidRPr="00CF56BA">
        <w:rPr>
          <w:rFonts w:ascii="宋体" w:hAnsi="宋体"/>
          <w:bCs/>
          <w:lang w:val="en-US"/>
        </w:rPr>
        <w:t>000</w:t>
      </w:r>
      <w:r w:rsidRPr="00CF56BA">
        <w:rPr>
          <w:rFonts w:ascii="宋体" w:hAnsi="宋体" w:hint="eastAsia"/>
          <w:bCs/>
          <w:lang w:val="en-US"/>
        </w:rPr>
        <w:t>万</w:t>
      </w:r>
      <w:r w:rsidRPr="00CF56BA">
        <w:rPr>
          <w:rFonts w:ascii="宋体" w:hAnsi="宋体"/>
          <w:bCs/>
          <w:lang w:val="en-US"/>
        </w:rPr>
        <w:t>元</w:t>
      </w:r>
      <w:r w:rsidRPr="00CF56BA">
        <w:rPr>
          <w:rFonts w:ascii="宋体" w:hAnsi="宋体" w:hint="eastAsia"/>
          <w:bCs/>
          <w:lang w:val="en-US"/>
        </w:rPr>
        <w:t>人民币</w:t>
      </w:r>
      <w:r w:rsidRPr="00CF56BA">
        <w:rPr>
          <w:rFonts w:ascii="宋体" w:hAnsi="宋体"/>
          <w:bCs/>
          <w:lang w:val="en-US"/>
        </w:rPr>
        <w:t>，触发上述基金合同终止情形，基金合同自动终止，广发基金管理有限公司（以下简称“基金管理人”）将自</w:t>
      </w:r>
      <w:r w:rsidR="00215A9B" w:rsidRPr="00215A9B">
        <w:rPr>
          <w:rFonts w:ascii="宋体" w:hAnsi="宋体" w:hint="eastAsia"/>
          <w:bCs/>
          <w:lang w:val="en-US"/>
        </w:rPr>
        <w:t>2018年</w:t>
      </w:r>
      <w:r w:rsidR="00F323C4">
        <w:rPr>
          <w:rFonts w:ascii="宋体" w:hAnsi="宋体" w:hint="eastAsia"/>
          <w:bCs/>
          <w:lang w:val="en-US"/>
        </w:rPr>
        <w:t>8</w:t>
      </w:r>
      <w:r w:rsidR="00215A9B" w:rsidRPr="00215A9B">
        <w:rPr>
          <w:rFonts w:ascii="宋体" w:hAnsi="宋体" w:hint="eastAsia"/>
          <w:bCs/>
          <w:lang w:val="en-US"/>
        </w:rPr>
        <w:t>月</w:t>
      </w:r>
      <w:r w:rsidR="00F323C4">
        <w:rPr>
          <w:rFonts w:ascii="宋体" w:hAnsi="宋体" w:hint="eastAsia"/>
          <w:bCs/>
          <w:lang w:val="en-US"/>
        </w:rPr>
        <w:t>30</w:t>
      </w:r>
      <w:r w:rsidR="00215A9B" w:rsidRPr="00215A9B">
        <w:rPr>
          <w:rFonts w:ascii="宋体" w:hAnsi="宋体" w:hint="eastAsia"/>
          <w:bCs/>
          <w:lang w:val="en-US"/>
        </w:rPr>
        <w:t>日</w:t>
      </w:r>
      <w:r w:rsidRPr="00CF56BA">
        <w:rPr>
          <w:rFonts w:ascii="宋体" w:hAnsi="宋体"/>
          <w:bCs/>
          <w:lang w:val="en-US"/>
        </w:rPr>
        <w:t>起根据法律法规、基金合同等规定履行基金财产清算程序。</w:t>
      </w:r>
    </w:p>
    <w:p w:rsidR="008E66C4" w:rsidRPr="00CF56BA" w:rsidRDefault="00215A9B" w:rsidP="008D2FE4">
      <w:pPr>
        <w:spacing w:line="360" w:lineRule="auto"/>
        <w:ind w:leftChars="50" w:left="120" w:rightChars="50" w:right="120" w:firstLineChars="200" w:firstLine="480"/>
        <w:rPr>
          <w:rFonts w:ascii="宋体" w:hAnsi="宋体"/>
          <w:bCs/>
          <w:lang w:val="en-US"/>
        </w:rPr>
      </w:pPr>
      <w:r w:rsidRPr="00215A9B">
        <w:rPr>
          <w:rFonts w:ascii="宋体" w:hAnsi="宋体" w:hint="eastAsia"/>
          <w:bCs/>
          <w:lang w:val="en-US"/>
        </w:rPr>
        <w:t>2018年</w:t>
      </w:r>
      <w:r w:rsidR="00070209" w:rsidRPr="00070209">
        <w:rPr>
          <w:rFonts w:ascii="宋体" w:hAnsi="宋体" w:hint="eastAsia"/>
          <w:bCs/>
          <w:lang w:val="en-US"/>
        </w:rPr>
        <w:t>9月18日</w:t>
      </w:r>
      <w:r w:rsidR="008E66C4" w:rsidRPr="00CF56BA">
        <w:rPr>
          <w:rFonts w:ascii="宋体" w:hAnsi="宋体"/>
          <w:bCs/>
          <w:lang w:val="en-US"/>
        </w:rPr>
        <w:t>为本</w:t>
      </w:r>
      <w:r w:rsidR="008E66C4" w:rsidRPr="00CF56BA">
        <w:rPr>
          <w:rFonts w:ascii="宋体" w:hAnsi="宋体" w:hint="eastAsia"/>
          <w:bCs/>
          <w:lang w:val="en-US"/>
        </w:rPr>
        <w:t>基金</w:t>
      </w:r>
      <w:r w:rsidR="008E66C4" w:rsidRPr="00CF56BA">
        <w:rPr>
          <w:rFonts w:ascii="宋体" w:hAnsi="宋体"/>
          <w:bCs/>
          <w:lang w:val="en-US"/>
        </w:rPr>
        <w:t>清算的最后一日</w:t>
      </w:r>
      <w:r w:rsidR="008E66C4" w:rsidRPr="00CF56BA">
        <w:rPr>
          <w:rFonts w:ascii="宋体" w:hAnsi="宋体" w:hint="eastAsia"/>
          <w:bCs/>
          <w:lang w:val="en-US"/>
        </w:rPr>
        <w:t>，由本基金管理人广发基金管理有限公司、基金托管人</w:t>
      </w:r>
      <w:r w:rsidR="00F323C4">
        <w:rPr>
          <w:rFonts w:ascii="宋体" w:hAnsi="宋体" w:hint="eastAsia"/>
          <w:bCs/>
          <w:lang w:val="en-US"/>
        </w:rPr>
        <w:t>中国民生银行股份有限公司</w:t>
      </w:r>
      <w:r w:rsidR="008E66C4" w:rsidRPr="00CF56BA">
        <w:rPr>
          <w:rFonts w:ascii="宋体" w:hAnsi="宋体" w:hint="eastAsia"/>
          <w:bCs/>
          <w:lang w:val="en-US"/>
        </w:rPr>
        <w:t>、</w:t>
      </w:r>
      <w:r w:rsidRPr="005152EE">
        <w:rPr>
          <w:rFonts w:ascii="宋体" w:hAnsi="宋体" w:hint="eastAsia"/>
          <w:lang w:val="en-US"/>
        </w:rPr>
        <w:t>德勤华永会计师事务所（特殊普通合伙）和</w:t>
      </w:r>
      <w:r w:rsidRPr="005152EE">
        <w:rPr>
          <w:rFonts w:ascii="宋体" w:hAnsi="宋体" w:hint="eastAsia"/>
          <w:bCs/>
          <w:lang w:val="en-US"/>
        </w:rPr>
        <w:t>广东广信君达律师事务所</w:t>
      </w:r>
      <w:r w:rsidRPr="005152EE">
        <w:rPr>
          <w:rFonts w:ascii="宋体" w:hAnsi="宋体" w:hint="eastAsia"/>
          <w:lang w:val="en-US"/>
        </w:rPr>
        <w:t>组成基金财产清算小组履行基金财产清算程序，并由德勤华永会计师事务所（特殊普通合伙）对清算报告进行审计，广东广信君达律师事务所</w:t>
      </w:r>
      <w:r>
        <w:rPr>
          <w:rFonts w:ascii="宋体" w:hAnsi="宋体" w:hint="eastAsia"/>
          <w:lang w:val="en-US"/>
        </w:rPr>
        <w:t>对清算报告出具法律意见</w:t>
      </w:r>
      <w:r w:rsidR="008E66C4" w:rsidRPr="00CF56BA">
        <w:rPr>
          <w:rFonts w:ascii="宋体" w:hAnsi="宋体" w:hint="eastAsia"/>
          <w:bCs/>
          <w:lang w:val="en-US"/>
        </w:rPr>
        <w:t>。</w:t>
      </w:r>
    </w:p>
    <w:p w:rsidR="008E66C4" w:rsidRPr="00ED42E2" w:rsidRDefault="008E66C4" w:rsidP="008E66C4">
      <w:pPr>
        <w:spacing w:line="360" w:lineRule="auto"/>
        <w:ind w:firstLineChars="1150" w:firstLine="2771"/>
        <w:rPr>
          <w:rStyle w:val="af9"/>
          <w:rFonts w:ascii="宋体" w:hAnsi="宋体"/>
          <w:color w:val="000000"/>
        </w:rPr>
      </w:pPr>
    </w:p>
    <w:p w:rsidR="008E66C4" w:rsidRPr="00ED42E2" w:rsidRDefault="008E66C4" w:rsidP="00ED42E2">
      <w:pPr>
        <w:pStyle w:val="1"/>
        <w:spacing w:line="360" w:lineRule="auto"/>
        <w:ind w:left="567" w:hanging="567"/>
        <w:jc w:val="center"/>
        <w:rPr>
          <w:rStyle w:val="af9"/>
          <w:rFonts w:ascii="宋体" w:hAnsi="宋体"/>
          <w:color w:val="000000"/>
        </w:rPr>
      </w:pPr>
      <w:bookmarkStart w:id="1" w:name="_Toc524628628"/>
      <w:r w:rsidRPr="00ED42E2">
        <w:rPr>
          <w:rStyle w:val="af9"/>
          <w:rFonts w:ascii="宋体" w:hAnsi="宋体" w:hint="eastAsia"/>
          <w:color w:val="000000"/>
        </w:rPr>
        <w:t>基金概况</w:t>
      </w:r>
      <w:bookmarkEnd w:id="1"/>
    </w:p>
    <w:p w:rsidR="008E66C4" w:rsidRPr="00ED42E2" w:rsidRDefault="008E66C4" w:rsidP="00ED42E2">
      <w:pPr>
        <w:spacing w:line="360" w:lineRule="auto"/>
        <w:rPr>
          <w:rStyle w:val="af9"/>
          <w:rFonts w:ascii="宋体" w:hAnsi="宋体"/>
          <w:color w:val="000000"/>
        </w:rPr>
      </w:pPr>
      <w:r w:rsidRPr="00ED42E2">
        <w:rPr>
          <w:rStyle w:val="af9"/>
          <w:rFonts w:ascii="宋体" w:hAnsi="宋体" w:hint="eastAsia"/>
          <w:color w:val="000000"/>
        </w:rPr>
        <w:t>2.1基金基本情况</w:t>
      </w:r>
    </w:p>
    <w:tbl>
      <w:tblPr>
        <w:tblW w:w="90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454"/>
        <w:gridCol w:w="5614"/>
      </w:tblGrid>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bookmarkStart w:id="2" w:name="_Toc415156891"/>
            <w:r w:rsidRPr="00373F5F">
              <w:rPr>
                <w:rFonts w:ascii="宋体" w:hAnsi="宋体" w:cs="宋体" w:hint="eastAsia"/>
                <w:color w:val="000000"/>
                <w:szCs w:val="24"/>
                <w:lang w:val="en-US"/>
              </w:rPr>
              <w:t>基金名称</w:t>
            </w:r>
          </w:p>
        </w:tc>
        <w:tc>
          <w:tcPr>
            <w:tcW w:w="5614" w:type="dxa"/>
            <w:shd w:val="clear" w:color="auto" w:fill="auto"/>
            <w:vAlign w:val="center"/>
            <w:hideMark/>
          </w:tcPr>
          <w:p w:rsidR="00070209" w:rsidRPr="00373F5F" w:rsidRDefault="007D6F80" w:rsidP="00595198">
            <w:pPr>
              <w:spacing w:beforeLines="30" w:line="276" w:lineRule="auto"/>
              <w:jc w:val="center"/>
              <w:rPr>
                <w:rFonts w:ascii="宋体" w:hAnsi="宋体" w:cs="宋体"/>
                <w:color w:val="000000"/>
                <w:szCs w:val="24"/>
                <w:lang w:val="en-US"/>
              </w:rPr>
            </w:pPr>
            <w:r>
              <w:rPr>
                <w:rFonts w:ascii="宋体" w:hAnsi="宋体" w:hint="eastAsia"/>
                <w:bCs/>
                <w:lang w:val="en-US"/>
              </w:rPr>
              <w:t>广发安泰回报混合型证券投资基金</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基金简称</w:t>
            </w:r>
          </w:p>
        </w:tc>
        <w:tc>
          <w:tcPr>
            <w:tcW w:w="561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Pr>
                <w:rFonts w:ascii="宋体" w:hAnsi="宋体" w:hint="eastAsia"/>
                <w:bCs/>
                <w:lang w:val="en-US"/>
              </w:rPr>
              <w:t>广发</w:t>
            </w:r>
            <w:r w:rsidR="00F323C4">
              <w:rPr>
                <w:rFonts w:ascii="宋体" w:hAnsi="宋体" w:hint="eastAsia"/>
                <w:bCs/>
                <w:lang w:val="en-US"/>
              </w:rPr>
              <w:t>安泰</w:t>
            </w:r>
            <w:r>
              <w:rPr>
                <w:rFonts w:ascii="宋体" w:hAnsi="宋体" w:hint="eastAsia"/>
                <w:bCs/>
                <w:lang w:val="en-US"/>
              </w:rPr>
              <w:t>回报</w:t>
            </w:r>
            <w:r>
              <w:rPr>
                <w:rFonts w:eastAsiaTheme="minorEastAsia" w:hint="eastAsia"/>
              </w:rPr>
              <w:t>混合</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基金主代码</w:t>
            </w:r>
          </w:p>
        </w:tc>
        <w:tc>
          <w:tcPr>
            <w:tcW w:w="5614" w:type="dxa"/>
            <w:shd w:val="clear" w:color="auto" w:fill="auto"/>
            <w:vAlign w:val="center"/>
            <w:hideMark/>
          </w:tcPr>
          <w:p w:rsidR="00070209" w:rsidRPr="00373F5F" w:rsidRDefault="00F323C4" w:rsidP="00595198">
            <w:pPr>
              <w:spacing w:beforeLines="30" w:line="276" w:lineRule="auto"/>
              <w:jc w:val="center"/>
              <w:rPr>
                <w:rFonts w:ascii="宋体" w:hAnsi="宋体" w:cs="宋体"/>
                <w:color w:val="000000"/>
                <w:szCs w:val="24"/>
                <w:lang w:val="en-US"/>
              </w:rPr>
            </w:pPr>
            <w:r w:rsidRPr="00F323C4">
              <w:rPr>
                <w:rFonts w:ascii="宋体" w:hAnsi="宋体" w:cs="宋体"/>
                <w:color w:val="000000"/>
                <w:szCs w:val="24"/>
                <w:lang w:val="en-US"/>
              </w:rPr>
              <w:t>001290</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基金运作方式</w:t>
            </w:r>
          </w:p>
        </w:tc>
        <w:tc>
          <w:tcPr>
            <w:tcW w:w="561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契约型开放式</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基金合同生效日</w:t>
            </w:r>
          </w:p>
        </w:tc>
        <w:tc>
          <w:tcPr>
            <w:tcW w:w="5614" w:type="dxa"/>
            <w:shd w:val="clear" w:color="auto" w:fill="auto"/>
            <w:vAlign w:val="center"/>
            <w:hideMark/>
          </w:tcPr>
          <w:p w:rsidR="00070209" w:rsidRPr="00373F5F" w:rsidRDefault="00F323C4" w:rsidP="00595198">
            <w:pPr>
              <w:spacing w:beforeLines="30" w:line="276" w:lineRule="auto"/>
              <w:jc w:val="center"/>
              <w:rPr>
                <w:rFonts w:ascii="宋体" w:hAnsi="宋体" w:cs="宋体"/>
                <w:color w:val="000000"/>
                <w:szCs w:val="24"/>
                <w:lang w:val="en-US"/>
              </w:rPr>
            </w:pPr>
            <w:r w:rsidRPr="00F323C4">
              <w:rPr>
                <w:rFonts w:ascii="宋体" w:hAnsi="宋体" w:hint="eastAsia"/>
                <w:bCs/>
                <w:lang w:val="en-US"/>
              </w:rPr>
              <w:t>2015年5月14日</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基金管理人</w:t>
            </w:r>
          </w:p>
        </w:tc>
        <w:tc>
          <w:tcPr>
            <w:tcW w:w="561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广发基金管理有限公司</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基金托管人</w:t>
            </w:r>
          </w:p>
        </w:tc>
        <w:tc>
          <w:tcPr>
            <w:tcW w:w="5614" w:type="dxa"/>
            <w:shd w:val="clear" w:color="auto" w:fill="auto"/>
            <w:vAlign w:val="center"/>
            <w:hideMark/>
          </w:tcPr>
          <w:p w:rsidR="00070209" w:rsidRPr="00373F5F" w:rsidRDefault="00F323C4" w:rsidP="00595198">
            <w:pPr>
              <w:spacing w:beforeLines="30" w:line="276" w:lineRule="auto"/>
              <w:jc w:val="center"/>
              <w:rPr>
                <w:rFonts w:ascii="宋体" w:hAnsi="宋体" w:cs="宋体"/>
                <w:color w:val="000000"/>
                <w:szCs w:val="24"/>
                <w:lang w:val="en-US"/>
              </w:rPr>
            </w:pPr>
            <w:r>
              <w:rPr>
                <w:rFonts w:ascii="宋体" w:hAnsi="宋体" w:cs="宋体" w:hint="eastAsia"/>
                <w:color w:val="000000"/>
                <w:szCs w:val="24"/>
                <w:lang w:val="en-US"/>
              </w:rPr>
              <w:t>中国民生银行股份有限公司</w:t>
            </w:r>
          </w:p>
        </w:tc>
      </w:tr>
      <w:tr w:rsidR="00070209" w:rsidRPr="00373F5F" w:rsidTr="00F323C4">
        <w:trPr>
          <w:trHeight w:val="300"/>
          <w:jc w:val="center"/>
        </w:trPr>
        <w:tc>
          <w:tcPr>
            <w:tcW w:w="3454" w:type="dxa"/>
            <w:shd w:val="clear" w:color="auto" w:fill="auto"/>
            <w:vAlign w:val="center"/>
            <w:hideMark/>
          </w:tcPr>
          <w:p w:rsidR="00070209" w:rsidRPr="002100E9" w:rsidRDefault="00070209" w:rsidP="00595198">
            <w:pPr>
              <w:spacing w:beforeLines="30" w:line="276" w:lineRule="auto"/>
              <w:jc w:val="center"/>
              <w:rPr>
                <w:rFonts w:ascii="宋体" w:hAnsi="宋体" w:cs="宋体"/>
                <w:color w:val="000000"/>
                <w:szCs w:val="24"/>
                <w:lang w:val="en-US"/>
              </w:rPr>
            </w:pPr>
            <w:r w:rsidRPr="002100E9">
              <w:rPr>
                <w:rFonts w:ascii="宋体" w:hAnsi="宋体" w:cs="宋体" w:hint="eastAsia"/>
                <w:color w:val="000000"/>
                <w:szCs w:val="24"/>
                <w:lang w:val="en-US"/>
              </w:rPr>
              <w:t>最后运作</w:t>
            </w:r>
            <w:r w:rsidRPr="002100E9">
              <w:rPr>
                <w:rFonts w:ascii="宋体" w:hAnsi="宋体" w:cs="宋体"/>
                <w:color w:val="000000"/>
                <w:szCs w:val="24"/>
                <w:lang w:val="en-US"/>
              </w:rPr>
              <w:t>日</w:t>
            </w:r>
            <w:r w:rsidRPr="002100E9">
              <w:rPr>
                <w:rFonts w:ascii="宋体" w:hAnsi="宋体" w:cs="宋体" w:hint="eastAsia"/>
                <w:color w:val="000000"/>
                <w:szCs w:val="24"/>
                <w:lang w:val="en-US"/>
              </w:rPr>
              <w:t>基金份额总额</w:t>
            </w:r>
          </w:p>
        </w:tc>
        <w:tc>
          <w:tcPr>
            <w:tcW w:w="5614" w:type="dxa"/>
            <w:shd w:val="clear" w:color="auto" w:fill="auto"/>
            <w:vAlign w:val="center"/>
            <w:hideMark/>
          </w:tcPr>
          <w:p w:rsidR="00070209" w:rsidRPr="002100E9" w:rsidRDefault="002100E9" w:rsidP="00595198">
            <w:pPr>
              <w:spacing w:beforeLines="30" w:line="276" w:lineRule="auto"/>
              <w:jc w:val="center"/>
              <w:rPr>
                <w:rFonts w:ascii="宋体" w:hAnsi="宋体" w:cs="宋体"/>
                <w:color w:val="000000"/>
                <w:szCs w:val="24"/>
                <w:lang w:val="en-US"/>
              </w:rPr>
            </w:pPr>
            <w:r w:rsidRPr="002100E9">
              <w:rPr>
                <w:rFonts w:ascii="宋体" w:hAnsi="宋体" w:cs="宋体"/>
                <w:color w:val="000000"/>
                <w:szCs w:val="24"/>
                <w:lang w:val="en-US"/>
              </w:rPr>
              <w:t>396,997.33</w:t>
            </w:r>
            <w:r w:rsidR="00070209" w:rsidRPr="002100E9">
              <w:rPr>
                <w:rFonts w:ascii="宋体" w:hAnsi="宋体" w:cs="宋体" w:hint="eastAsia"/>
                <w:color w:val="000000"/>
                <w:szCs w:val="24"/>
                <w:lang w:val="en-US"/>
              </w:rPr>
              <w:t>份</w:t>
            </w:r>
          </w:p>
        </w:tc>
      </w:tr>
      <w:tr w:rsidR="00070209" w:rsidRPr="00373F5F" w:rsidTr="00F323C4">
        <w:trPr>
          <w:trHeight w:val="300"/>
          <w:jc w:val="center"/>
        </w:trPr>
        <w:tc>
          <w:tcPr>
            <w:tcW w:w="345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基金合同存续期</w:t>
            </w:r>
          </w:p>
        </w:tc>
        <w:tc>
          <w:tcPr>
            <w:tcW w:w="5614" w:type="dxa"/>
            <w:shd w:val="clear" w:color="auto" w:fill="auto"/>
            <w:vAlign w:val="center"/>
            <w:hideMark/>
          </w:tcPr>
          <w:p w:rsidR="00070209" w:rsidRPr="00373F5F" w:rsidRDefault="00070209" w:rsidP="00595198">
            <w:pPr>
              <w:spacing w:beforeLines="30"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不定期</w:t>
            </w:r>
          </w:p>
        </w:tc>
      </w:tr>
    </w:tbl>
    <w:p w:rsidR="00E1537D" w:rsidRPr="00ED42E2" w:rsidRDefault="00E1537D" w:rsidP="004E040C">
      <w:pPr>
        <w:spacing w:line="360" w:lineRule="auto"/>
        <w:rPr>
          <w:rStyle w:val="af9"/>
          <w:rFonts w:ascii="宋体" w:hAnsi="宋体"/>
          <w:color w:val="000000"/>
        </w:rPr>
      </w:pPr>
    </w:p>
    <w:p w:rsidR="008E66C4" w:rsidRPr="00ED42E2" w:rsidRDefault="008E66C4" w:rsidP="004E040C">
      <w:pPr>
        <w:spacing w:line="360" w:lineRule="auto"/>
        <w:rPr>
          <w:rStyle w:val="af9"/>
          <w:rFonts w:ascii="宋体" w:hAnsi="宋体"/>
          <w:color w:val="000000"/>
        </w:rPr>
      </w:pPr>
      <w:r w:rsidRPr="00ED42E2">
        <w:rPr>
          <w:rStyle w:val="af9"/>
          <w:rFonts w:ascii="宋体" w:hAnsi="宋体"/>
          <w:color w:val="000000"/>
        </w:rPr>
        <w:t>2.2 基金产品说明</w:t>
      </w:r>
      <w:bookmarkEnd w:id="2"/>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7196"/>
      </w:tblGrid>
      <w:tr w:rsidR="008E66C4" w:rsidRPr="00ED42E2" w:rsidTr="00726696">
        <w:trPr>
          <w:trHeight w:val="280"/>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8E66C4" w:rsidRPr="00ED42E2" w:rsidRDefault="008E66C4" w:rsidP="00595198">
            <w:pPr>
              <w:spacing w:beforeLines="50" w:line="360" w:lineRule="auto"/>
              <w:jc w:val="both"/>
              <w:rPr>
                <w:rStyle w:val="af9"/>
                <w:rFonts w:ascii="宋体" w:hAnsi="宋体"/>
                <w:b w:val="0"/>
              </w:rPr>
            </w:pPr>
            <w:r w:rsidRPr="00ED42E2">
              <w:rPr>
                <w:rStyle w:val="af9"/>
                <w:rFonts w:ascii="宋体" w:hAnsi="宋体"/>
                <w:b w:val="0"/>
              </w:rPr>
              <w:t>投资目标</w:t>
            </w:r>
          </w:p>
        </w:tc>
        <w:tc>
          <w:tcPr>
            <w:tcW w:w="7196" w:type="dxa"/>
            <w:tcBorders>
              <w:top w:val="single" w:sz="4" w:space="0" w:color="000000"/>
              <w:left w:val="single" w:sz="4" w:space="0" w:color="000000"/>
              <w:bottom w:val="single" w:sz="4" w:space="0" w:color="000000"/>
              <w:right w:val="single" w:sz="4" w:space="0" w:color="000000"/>
            </w:tcBorders>
            <w:vAlign w:val="center"/>
            <w:hideMark/>
          </w:tcPr>
          <w:p w:rsidR="008E66C4" w:rsidRPr="0086229F" w:rsidRDefault="00F323C4" w:rsidP="00595198">
            <w:pPr>
              <w:spacing w:beforeLines="50" w:line="360" w:lineRule="auto"/>
              <w:jc w:val="both"/>
              <w:rPr>
                <w:rStyle w:val="af9"/>
                <w:b w:val="0"/>
              </w:rPr>
            </w:pPr>
            <w:r w:rsidRPr="00F323C4">
              <w:rPr>
                <w:rFonts w:hint="eastAsia"/>
                <w:bCs/>
              </w:rPr>
              <w:t>本基金在严格控制风险和保持资产流动性的基础上，通过对不同资产类别的优化配置，充分挖掘市场潜在的投资机会，力求实现基金资产的长期稳健增值</w:t>
            </w:r>
            <w:r w:rsidR="00215A9B" w:rsidRPr="00215A9B">
              <w:rPr>
                <w:rFonts w:hint="eastAsia"/>
                <w:bCs/>
              </w:rPr>
              <w:t>。</w:t>
            </w:r>
          </w:p>
        </w:tc>
      </w:tr>
      <w:tr w:rsidR="008E66C4" w:rsidRPr="00ED42E2" w:rsidTr="00726696">
        <w:trPr>
          <w:trHeight w:val="5425"/>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8E66C4" w:rsidRPr="00ED42E2" w:rsidRDefault="008E66C4" w:rsidP="00595198">
            <w:pPr>
              <w:spacing w:beforeLines="50" w:line="360" w:lineRule="auto"/>
              <w:jc w:val="both"/>
              <w:rPr>
                <w:rStyle w:val="af9"/>
                <w:rFonts w:ascii="宋体" w:hAnsi="宋体"/>
                <w:b w:val="0"/>
              </w:rPr>
            </w:pPr>
            <w:r w:rsidRPr="00ED42E2">
              <w:rPr>
                <w:rStyle w:val="af9"/>
                <w:rFonts w:ascii="宋体" w:hAnsi="宋体"/>
                <w:b w:val="0"/>
              </w:rPr>
              <w:t>投资策略</w:t>
            </w:r>
          </w:p>
        </w:tc>
        <w:tc>
          <w:tcPr>
            <w:tcW w:w="7196" w:type="dxa"/>
            <w:tcBorders>
              <w:top w:val="single" w:sz="4" w:space="0" w:color="000000"/>
              <w:left w:val="single" w:sz="4" w:space="0" w:color="000000"/>
              <w:bottom w:val="single" w:sz="4" w:space="0" w:color="000000"/>
              <w:right w:val="single" w:sz="4" w:space="0" w:color="000000"/>
            </w:tcBorders>
            <w:vAlign w:val="center"/>
            <w:hideMark/>
          </w:tcPr>
          <w:p w:rsidR="008E66C4" w:rsidRPr="00337829" w:rsidRDefault="00AE2B2A" w:rsidP="00595198">
            <w:pPr>
              <w:spacing w:beforeLines="50" w:line="360" w:lineRule="auto"/>
              <w:jc w:val="both"/>
              <w:rPr>
                <w:rFonts w:asciiTheme="majorEastAsia" w:eastAsiaTheme="majorEastAsia" w:hAnsiTheme="majorEastAsia"/>
              </w:rPr>
            </w:pPr>
            <w:r w:rsidRPr="00AE2B2A">
              <w:rPr>
                <w:rFonts w:asciiTheme="majorEastAsia" w:eastAsiaTheme="majorEastAsia" w:hAnsiTheme="majorEastAsia" w:hint="eastAsia"/>
              </w:rPr>
              <w:t>（一）大类资产配置。本基金在研究宏观经济基本面、政策面和资金面等多种因素的基础上，判断宏观经济运行所处的经济周期及趋势，分析不同政策对各类资产的市场影响，评估股票、债券及货币市场工具等大类资产的估值水平和投资价值，根据大类资产的风险收益特征进行灵活配置，确定合适的资产配置比例，并适时进行调整。（二）债券投资策略。（三）股票投资策略。在严格控制风险、保持资产流动性的前提下，本基金将适度参与股票、权证等权益类资产的投资，以增加基金收益。本基金将主要遵循“自下而上”的分析框架，采用定性分析和定量分析相结合的方法精选具有持续竞争优势和增长潜力、估值合理的上市公司股票进行投资，以此构建股票组合。（四）金融衍生品投资策略。</w:t>
            </w:r>
          </w:p>
        </w:tc>
      </w:tr>
      <w:tr w:rsidR="008E66C4" w:rsidRPr="00ED42E2" w:rsidTr="00726696">
        <w:trPr>
          <w:trHeight w:val="346"/>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8E66C4" w:rsidRPr="00ED42E2" w:rsidRDefault="008E66C4" w:rsidP="00595198">
            <w:pPr>
              <w:spacing w:beforeLines="50" w:line="360" w:lineRule="auto"/>
              <w:jc w:val="both"/>
              <w:rPr>
                <w:rStyle w:val="af9"/>
                <w:rFonts w:ascii="宋体" w:hAnsi="宋体"/>
                <w:b w:val="0"/>
              </w:rPr>
            </w:pPr>
            <w:r w:rsidRPr="00ED42E2">
              <w:rPr>
                <w:rStyle w:val="af9"/>
                <w:rFonts w:ascii="宋体" w:hAnsi="宋体"/>
                <w:b w:val="0"/>
              </w:rPr>
              <w:t>业绩比较基准</w:t>
            </w:r>
          </w:p>
        </w:tc>
        <w:tc>
          <w:tcPr>
            <w:tcW w:w="7196" w:type="dxa"/>
            <w:tcBorders>
              <w:top w:val="single" w:sz="4" w:space="0" w:color="000000"/>
              <w:left w:val="single" w:sz="4" w:space="0" w:color="000000"/>
              <w:bottom w:val="single" w:sz="4" w:space="0" w:color="000000"/>
              <w:right w:val="single" w:sz="4" w:space="0" w:color="000000"/>
            </w:tcBorders>
            <w:vAlign w:val="center"/>
            <w:hideMark/>
          </w:tcPr>
          <w:p w:rsidR="008E66C4" w:rsidRPr="00337829" w:rsidRDefault="00AE2B2A" w:rsidP="00595198">
            <w:pPr>
              <w:spacing w:beforeLines="50" w:line="360" w:lineRule="auto"/>
              <w:jc w:val="both"/>
              <w:rPr>
                <w:rStyle w:val="af9"/>
                <w:rFonts w:asciiTheme="majorEastAsia" w:eastAsiaTheme="majorEastAsia" w:hAnsiTheme="majorEastAsia"/>
                <w:b w:val="0"/>
              </w:rPr>
            </w:pPr>
            <w:r w:rsidRPr="00AE2B2A">
              <w:rPr>
                <w:rFonts w:asciiTheme="majorEastAsia" w:eastAsiaTheme="majorEastAsia" w:hAnsiTheme="majorEastAsia" w:hint="eastAsia"/>
                <w:bCs/>
              </w:rPr>
              <w:t>三年期定期存款利率（税后）+1%</w:t>
            </w:r>
          </w:p>
        </w:tc>
      </w:tr>
      <w:tr w:rsidR="008E66C4" w:rsidRPr="00ED42E2" w:rsidTr="00726696">
        <w:tc>
          <w:tcPr>
            <w:tcW w:w="2127" w:type="dxa"/>
            <w:tcBorders>
              <w:top w:val="single" w:sz="4" w:space="0" w:color="000000"/>
              <w:left w:val="single" w:sz="4" w:space="0" w:color="000000"/>
              <w:bottom w:val="single" w:sz="4" w:space="0" w:color="000000"/>
              <w:right w:val="single" w:sz="4" w:space="0" w:color="000000"/>
            </w:tcBorders>
            <w:vAlign w:val="center"/>
            <w:hideMark/>
          </w:tcPr>
          <w:p w:rsidR="008E66C4" w:rsidRPr="00337829" w:rsidRDefault="008E66C4" w:rsidP="00595198">
            <w:pPr>
              <w:spacing w:beforeLines="50" w:line="360" w:lineRule="auto"/>
              <w:jc w:val="both"/>
              <w:rPr>
                <w:rFonts w:asciiTheme="majorEastAsia" w:eastAsiaTheme="majorEastAsia" w:hAnsiTheme="majorEastAsia"/>
              </w:rPr>
            </w:pPr>
            <w:r w:rsidRPr="00337829">
              <w:rPr>
                <w:rFonts w:asciiTheme="majorEastAsia" w:eastAsiaTheme="majorEastAsia" w:hAnsiTheme="majorEastAsia"/>
              </w:rPr>
              <w:t>风险收益特征</w:t>
            </w:r>
          </w:p>
        </w:tc>
        <w:tc>
          <w:tcPr>
            <w:tcW w:w="7196" w:type="dxa"/>
            <w:tcBorders>
              <w:top w:val="single" w:sz="4" w:space="0" w:color="000000"/>
              <w:left w:val="single" w:sz="4" w:space="0" w:color="000000"/>
              <w:bottom w:val="single" w:sz="4" w:space="0" w:color="000000"/>
              <w:right w:val="single" w:sz="4" w:space="0" w:color="000000"/>
            </w:tcBorders>
            <w:vAlign w:val="center"/>
            <w:hideMark/>
          </w:tcPr>
          <w:p w:rsidR="008E66C4" w:rsidRPr="00337829" w:rsidRDefault="00AE2B2A" w:rsidP="00595198">
            <w:pPr>
              <w:spacing w:beforeLines="50" w:line="360" w:lineRule="auto"/>
              <w:jc w:val="both"/>
              <w:rPr>
                <w:rFonts w:asciiTheme="majorEastAsia" w:eastAsiaTheme="majorEastAsia" w:hAnsiTheme="majorEastAsia"/>
              </w:rPr>
            </w:pPr>
            <w:r>
              <w:rPr>
                <w:rFonts w:hint="eastAsia"/>
                <w:bCs/>
              </w:rPr>
              <w:t>本基金是混合型基金，其预期收益及风险水平高于货币市场基金和债券型基金，低于股票型基金，属于中高收益风险特征的基金。</w:t>
            </w:r>
          </w:p>
        </w:tc>
      </w:tr>
    </w:tbl>
    <w:p w:rsidR="008E66C4" w:rsidRPr="00ED42E2" w:rsidRDefault="008E66C4" w:rsidP="008E66C4">
      <w:pPr>
        <w:spacing w:line="360" w:lineRule="auto"/>
        <w:rPr>
          <w:rStyle w:val="af9"/>
          <w:rFonts w:ascii="宋体" w:hAnsi="宋体"/>
          <w:b w:val="0"/>
          <w:color w:val="000000"/>
        </w:rPr>
      </w:pPr>
    </w:p>
    <w:p w:rsidR="008E66C4" w:rsidRPr="00ED42E2" w:rsidRDefault="008E66C4" w:rsidP="008D2FE4">
      <w:pPr>
        <w:pStyle w:val="1"/>
        <w:spacing w:line="360" w:lineRule="auto"/>
        <w:ind w:left="567" w:hanging="567"/>
        <w:jc w:val="center"/>
        <w:rPr>
          <w:rStyle w:val="af9"/>
          <w:rFonts w:ascii="宋体" w:hAnsi="宋体"/>
          <w:color w:val="000000"/>
        </w:rPr>
      </w:pPr>
      <w:bookmarkStart w:id="3" w:name="_Toc524628629"/>
      <w:r w:rsidRPr="00ED42E2">
        <w:rPr>
          <w:rStyle w:val="af9"/>
          <w:rFonts w:ascii="宋体" w:hAnsi="宋体" w:hint="eastAsia"/>
          <w:color w:val="000000"/>
        </w:rPr>
        <w:t>基金运作情况概述</w:t>
      </w:r>
      <w:bookmarkEnd w:id="3"/>
    </w:p>
    <w:p w:rsidR="00A1130D" w:rsidRPr="00ED42E2" w:rsidRDefault="007D6F80" w:rsidP="008D2FE4">
      <w:pPr>
        <w:spacing w:line="360" w:lineRule="auto"/>
        <w:ind w:leftChars="50" w:left="120" w:rightChars="50" w:right="120" w:firstLineChars="200" w:firstLine="480"/>
        <w:jc w:val="both"/>
        <w:rPr>
          <w:rFonts w:ascii="宋体" w:hAnsi="宋体"/>
          <w:bCs/>
          <w:lang w:val="en-US"/>
        </w:rPr>
      </w:pPr>
      <w:r>
        <w:rPr>
          <w:rFonts w:ascii="宋体" w:hAnsi="宋体" w:hint="eastAsia"/>
          <w:bCs/>
          <w:lang w:val="en-US"/>
        </w:rPr>
        <w:t>广发安泰回报混合型证券投资基金</w:t>
      </w:r>
      <w:r w:rsidR="00A1130D" w:rsidRPr="00ED42E2">
        <w:rPr>
          <w:rFonts w:ascii="宋体" w:hAnsi="宋体" w:hint="eastAsia"/>
          <w:bCs/>
          <w:lang w:val="en-US"/>
        </w:rPr>
        <w:t>(“本基金”)经中国证券监督管理委员会(“中国证监会”)证监许可</w:t>
      </w:r>
      <w:r w:rsidR="00315E39" w:rsidRPr="007D6F80">
        <w:rPr>
          <w:rFonts w:ascii="宋体" w:hAnsi="宋体"/>
          <w:bCs/>
          <w:lang w:val="en-US"/>
        </w:rPr>
        <w:t>[2015]745</w:t>
      </w:r>
      <w:r w:rsidR="00CF1C9F">
        <w:rPr>
          <w:rFonts w:ascii="宋体" w:hAnsi="宋体" w:hint="eastAsia"/>
          <w:bCs/>
          <w:lang w:val="en-US"/>
        </w:rPr>
        <w:t>号文</w:t>
      </w:r>
      <w:r w:rsidR="00A1130D" w:rsidRPr="00ED42E2">
        <w:rPr>
          <w:rFonts w:ascii="宋体" w:hAnsi="宋体" w:hint="eastAsia"/>
          <w:bCs/>
          <w:lang w:val="en-US"/>
        </w:rPr>
        <w:t>的批准，由基金管理人广发基金管理有限公司依照《中华人民共和国证券投资基金法》、《公开募集证券投资基金运作管理办法》等有关规定和《</w:t>
      </w:r>
      <w:r>
        <w:rPr>
          <w:rFonts w:ascii="宋体" w:hAnsi="宋体" w:hint="eastAsia"/>
          <w:bCs/>
          <w:lang w:val="en-US"/>
        </w:rPr>
        <w:t>广发安泰回报混合型证券投资基金</w:t>
      </w:r>
      <w:r w:rsidR="00A1130D" w:rsidRPr="00ED42E2">
        <w:rPr>
          <w:rFonts w:ascii="宋体" w:hAnsi="宋体" w:hint="eastAsia"/>
          <w:bCs/>
          <w:lang w:val="en-US"/>
        </w:rPr>
        <w:t>基金合同》(“基金合同”)的要求于</w:t>
      </w:r>
      <w:r w:rsidR="00315E39" w:rsidRPr="007D6F80">
        <w:rPr>
          <w:rFonts w:ascii="宋体" w:hAnsi="宋体" w:hint="eastAsia"/>
          <w:bCs/>
          <w:lang w:val="en-US"/>
        </w:rPr>
        <w:t>2015年5月14日</w:t>
      </w:r>
      <w:r w:rsidR="00A1130D" w:rsidRPr="00ED42E2">
        <w:rPr>
          <w:rFonts w:ascii="宋体" w:hAnsi="宋体" w:hint="eastAsia"/>
          <w:bCs/>
          <w:lang w:val="en-US"/>
        </w:rPr>
        <w:t>募集成立。本基金的基金管理人为广发基金管理有限公司，基金托管人为</w:t>
      </w:r>
      <w:r w:rsidR="00F323C4">
        <w:rPr>
          <w:rStyle w:val="af9"/>
          <w:rFonts w:ascii="宋体" w:hAnsi="宋体" w:hint="eastAsia"/>
          <w:b w:val="0"/>
          <w:color w:val="000000"/>
        </w:rPr>
        <w:t>中国民生银行股份有限公司</w:t>
      </w:r>
      <w:r w:rsidR="00A1130D" w:rsidRPr="00ED42E2">
        <w:rPr>
          <w:rFonts w:ascii="宋体" w:hAnsi="宋体" w:hint="eastAsia"/>
          <w:bCs/>
          <w:lang w:val="en-US"/>
        </w:rPr>
        <w:t>。</w:t>
      </w:r>
    </w:p>
    <w:p w:rsidR="00CF1C9F" w:rsidRDefault="00315E39" w:rsidP="008D2FE4">
      <w:pPr>
        <w:spacing w:line="360" w:lineRule="auto"/>
        <w:ind w:leftChars="50" w:left="120" w:rightChars="50" w:right="120" w:firstLineChars="200" w:firstLine="480"/>
        <w:jc w:val="both"/>
        <w:rPr>
          <w:rFonts w:ascii="宋体" w:hAnsi="宋体"/>
          <w:bCs/>
          <w:lang w:val="en-US"/>
        </w:rPr>
      </w:pPr>
      <w:r w:rsidRPr="00315E39">
        <w:rPr>
          <w:rFonts w:ascii="宋体" w:hAnsi="宋体" w:hint="eastAsia"/>
          <w:bCs/>
          <w:lang w:val="en-US"/>
        </w:rPr>
        <w:t>本基金募集期为2015年5月11日至2015年5月12日，募集资金总额为人民币1,535,084,155.44元，有效认购户数为681户。</w:t>
      </w:r>
    </w:p>
    <w:p w:rsidR="00BC17DE" w:rsidRPr="00ED42E2" w:rsidRDefault="008E66C4" w:rsidP="008D2FE4">
      <w:pPr>
        <w:spacing w:line="360" w:lineRule="auto"/>
        <w:ind w:leftChars="50" w:left="120" w:rightChars="50" w:right="120" w:firstLineChars="200" w:firstLine="480"/>
        <w:jc w:val="both"/>
        <w:rPr>
          <w:rFonts w:ascii="宋体" w:hAnsi="宋体"/>
          <w:bCs/>
          <w:lang w:val="en-US"/>
        </w:rPr>
      </w:pPr>
      <w:r w:rsidRPr="00ED42E2">
        <w:rPr>
          <w:rFonts w:ascii="宋体" w:hAnsi="宋体"/>
          <w:bCs/>
          <w:lang w:val="en-US"/>
        </w:rPr>
        <w:t>根据《中华人民共和国证券投资基金法》、《公开募集证券投资基金运作管理办法》、《</w:t>
      </w:r>
      <w:r w:rsidR="007D6F80">
        <w:rPr>
          <w:rFonts w:ascii="宋体" w:hAnsi="宋体"/>
          <w:bCs/>
          <w:lang w:val="en-US"/>
        </w:rPr>
        <w:t>广发安泰回报混合型证券投资基金</w:t>
      </w:r>
      <w:r w:rsidRPr="00ED42E2">
        <w:rPr>
          <w:rFonts w:ascii="宋体" w:hAnsi="宋体"/>
          <w:bCs/>
          <w:lang w:val="en-US"/>
        </w:rPr>
        <w:t>基金合同》</w:t>
      </w:r>
      <w:r w:rsidRPr="00ED42E2">
        <w:rPr>
          <w:rFonts w:ascii="宋体" w:hAnsi="宋体" w:hint="eastAsia"/>
          <w:bCs/>
          <w:lang w:val="en-US"/>
        </w:rPr>
        <w:t>（以</w:t>
      </w:r>
      <w:r w:rsidRPr="00ED42E2">
        <w:rPr>
          <w:rFonts w:ascii="宋体" w:hAnsi="宋体"/>
          <w:bCs/>
          <w:lang w:val="en-US"/>
        </w:rPr>
        <w:t>下简称</w:t>
      </w:r>
      <w:r w:rsidRPr="00ED42E2">
        <w:rPr>
          <w:rFonts w:ascii="宋体" w:hAnsi="宋体" w:hint="eastAsia"/>
          <w:bCs/>
          <w:lang w:val="en-US"/>
        </w:rPr>
        <w:t>“基金合同”</w:t>
      </w:r>
      <w:r w:rsidRPr="00ED42E2">
        <w:rPr>
          <w:rFonts w:ascii="宋体" w:hAnsi="宋体"/>
          <w:bCs/>
          <w:lang w:val="en-US"/>
        </w:rPr>
        <w:t>）等有关规定，基金合同生效后，</w:t>
      </w:r>
      <w:r w:rsidRPr="00ED42E2">
        <w:rPr>
          <w:rFonts w:ascii="宋体" w:hAnsi="宋体" w:hint="eastAsia"/>
          <w:bCs/>
          <w:lang w:val="en-US"/>
        </w:rPr>
        <w:t>连续六十个工作日出现基金份额持有人数量不满200人或者基金资产净值低于5,000万元人民币情形的，基金管理人应当终止《基金合同》，不需召开基金份额持有人大会。</w:t>
      </w:r>
      <w:r w:rsidR="00D1589E" w:rsidRPr="00CF56BA">
        <w:rPr>
          <w:rFonts w:ascii="宋体" w:hAnsi="宋体"/>
          <w:bCs/>
          <w:lang w:val="en-US"/>
        </w:rPr>
        <w:t>截至</w:t>
      </w:r>
      <w:r w:rsidR="00CF1C9F" w:rsidRPr="00070209">
        <w:rPr>
          <w:rFonts w:ascii="宋体" w:hAnsi="宋体" w:hint="eastAsia"/>
          <w:bCs/>
          <w:lang w:val="en-US"/>
        </w:rPr>
        <w:t>2018年</w:t>
      </w:r>
      <w:r w:rsidR="00F14822">
        <w:rPr>
          <w:rFonts w:ascii="宋体" w:hAnsi="宋体" w:hint="eastAsia"/>
          <w:bCs/>
          <w:lang w:val="en-US"/>
        </w:rPr>
        <w:t>8</w:t>
      </w:r>
      <w:r w:rsidR="00CF1C9F" w:rsidRPr="00070209">
        <w:rPr>
          <w:rFonts w:ascii="宋体" w:hAnsi="宋体" w:hint="eastAsia"/>
          <w:bCs/>
          <w:lang w:val="en-US"/>
        </w:rPr>
        <w:t>月</w:t>
      </w:r>
      <w:r w:rsidR="00F14822">
        <w:rPr>
          <w:rFonts w:ascii="宋体" w:hAnsi="宋体" w:hint="eastAsia"/>
          <w:bCs/>
          <w:lang w:val="en-US"/>
        </w:rPr>
        <w:t>29</w:t>
      </w:r>
      <w:r w:rsidR="00CF1C9F" w:rsidRPr="00070209">
        <w:rPr>
          <w:rFonts w:ascii="宋体" w:hAnsi="宋体" w:hint="eastAsia"/>
          <w:bCs/>
          <w:lang w:val="en-US"/>
        </w:rPr>
        <w:t>日</w:t>
      </w:r>
      <w:r w:rsidR="00D1589E" w:rsidRPr="00CF56BA">
        <w:rPr>
          <w:rFonts w:ascii="宋体" w:hAnsi="宋体"/>
          <w:bCs/>
          <w:lang w:val="en-US"/>
        </w:rPr>
        <w:t>日终，</w:t>
      </w:r>
      <w:r w:rsidR="00D1589E" w:rsidRPr="002100E9">
        <w:rPr>
          <w:rFonts w:ascii="宋体" w:hAnsi="宋体" w:hint="eastAsia"/>
          <w:bCs/>
          <w:lang w:val="en-US"/>
        </w:rPr>
        <w:t>本基金</w:t>
      </w:r>
      <w:r w:rsidR="00D1589E" w:rsidRPr="002100E9">
        <w:rPr>
          <w:rFonts w:ascii="宋体" w:hAnsi="宋体"/>
          <w:bCs/>
          <w:lang w:val="en-US"/>
        </w:rPr>
        <w:t>资产合计为</w:t>
      </w:r>
      <w:r w:rsidR="002100E9" w:rsidRPr="002100E9">
        <w:rPr>
          <w:rFonts w:ascii="宋体" w:hAnsi="宋体"/>
          <w:bCs/>
          <w:lang w:val="en-US"/>
        </w:rPr>
        <w:t>42.42</w:t>
      </w:r>
      <w:r w:rsidR="00D1589E" w:rsidRPr="002100E9">
        <w:rPr>
          <w:rFonts w:ascii="宋体" w:hAnsi="宋体" w:hint="eastAsia"/>
          <w:bCs/>
          <w:lang w:val="en-US"/>
        </w:rPr>
        <w:t>万</w:t>
      </w:r>
      <w:r w:rsidRPr="002100E9">
        <w:rPr>
          <w:rFonts w:ascii="宋体" w:hAnsi="宋体"/>
          <w:bCs/>
          <w:lang w:val="en-US"/>
        </w:rPr>
        <w:t>元，</w:t>
      </w:r>
      <w:r w:rsidRPr="00ED42E2">
        <w:rPr>
          <w:rFonts w:ascii="宋体" w:hAnsi="宋体"/>
          <w:bCs/>
          <w:lang w:val="en-US"/>
        </w:rPr>
        <w:t>基金</w:t>
      </w:r>
      <w:r w:rsidRPr="00ED42E2">
        <w:rPr>
          <w:rFonts w:ascii="宋体" w:hAnsi="宋体" w:hint="eastAsia"/>
          <w:bCs/>
          <w:lang w:val="en-US"/>
        </w:rPr>
        <w:t>资产净值连续六十个工作日</w:t>
      </w:r>
      <w:r w:rsidRPr="00ED42E2">
        <w:rPr>
          <w:rFonts w:ascii="宋体" w:hAnsi="宋体"/>
          <w:bCs/>
          <w:lang w:val="en-US"/>
        </w:rPr>
        <w:t>低于5</w:t>
      </w:r>
      <w:r w:rsidRPr="00ED42E2">
        <w:rPr>
          <w:rFonts w:ascii="宋体" w:hAnsi="宋体" w:hint="eastAsia"/>
          <w:bCs/>
          <w:lang w:val="en-US"/>
        </w:rPr>
        <w:t>,</w:t>
      </w:r>
      <w:r w:rsidRPr="00ED42E2">
        <w:rPr>
          <w:rFonts w:ascii="宋体" w:hAnsi="宋体"/>
          <w:bCs/>
          <w:lang w:val="en-US"/>
        </w:rPr>
        <w:t>000</w:t>
      </w:r>
      <w:r w:rsidRPr="00ED42E2">
        <w:rPr>
          <w:rFonts w:ascii="宋体" w:hAnsi="宋体" w:hint="eastAsia"/>
          <w:bCs/>
          <w:lang w:val="en-US"/>
        </w:rPr>
        <w:t>万</w:t>
      </w:r>
      <w:r w:rsidRPr="00ED42E2">
        <w:rPr>
          <w:rFonts w:ascii="宋体" w:hAnsi="宋体"/>
          <w:bCs/>
          <w:lang w:val="en-US"/>
        </w:rPr>
        <w:t>元</w:t>
      </w:r>
      <w:r w:rsidRPr="00ED42E2">
        <w:rPr>
          <w:rFonts w:ascii="宋体" w:hAnsi="宋体" w:hint="eastAsia"/>
          <w:bCs/>
          <w:lang w:val="en-US"/>
        </w:rPr>
        <w:t>人民币</w:t>
      </w:r>
      <w:r w:rsidRPr="00ED42E2">
        <w:rPr>
          <w:rFonts w:ascii="宋体" w:hAnsi="宋体"/>
          <w:bCs/>
          <w:lang w:val="en-US"/>
        </w:rPr>
        <w:t>，触发上述基金合同终止情形，基金合同自动终止，广发基金管理有限公司（以下简称“基金管理人”）将自</w:t>
      </w:r>
      <w:r w:rsidR="00D1589E" w:rsidRPr="00215A9B">
        <w:rPr>
          <w:rFonts w:ascii="宋体" w:hAnsi="宋体" w:hint="eastAsia"/>
          <w:bCs/>
          <w:lang w:val="en-US"/>
        </w:rPr>
        <w:t>2018年</w:t>
      </w:r>
      <w:r w:rsidR="00F14822">
        <w:rPr>
          <w:rFonts w:ascii="宋体" w:hAnsi="宋体" w:hint="eastAsia"/>
          <w:bCs/>
          <w:lang w:val="en-US"/>
        </w:rPr>
        <w:t>8</w:t>
      </w:r>
      <w:r w:rsidR="00D1589E" w:rsidRPr="00215A9B">
        <w:rPr>
          <w:rFonts w:ascii="宋体" w:hAnsi="宋体" w:hint="eastAsia"/>
          <w:bCs/>
          <w:lang w:val="en-US"/>
        </w:rPr>
        <w:t>月</w:t>
      </w:r>
      <w:r w:rsidR="00F14822">
        <w:rPr>
          <w:rFonts w:ascii="宋体" w:hAnsi="宋体" w:hint="eastAsia"/>
          <w:bCs/>
          <w:lang w:val="en-US"/>
        </w:rPr>
        <w:t>30</w:t>
      </w:r>
      <w:r w:rsidR="00D1589E" w:rsidRPr="00215A9B">
        <w:rPr>
          <w:rFonts w:ascii="宋体" w:hAnsi="宋体" w:hint="eastAsia"/>
          <w:bCs/>
          <w:lang w:val="en-US"/>
        </w:rPr>
        <w:t>日</w:t>
      </w:r>
      <w:r w:rsidRPr="00ED42E2">
        <w:rPr>
          <w:rFonts w:ascii="宋体" w:hAnsi="宋体"/>
          <w:bCs/>
          <w:lang w:val="en-US"/>
        </w:rPr>
        <w:t>起根据法律法规、基金合同等规定履行基金财产清算程序。</w:t>
      </w:r>
    </w:p>
    <w:p w:rsidR="00920BD7" w:rsidRPr="00ED42E2" w:rsidRDefault="00920BD7" w:rsidP="00B71983">
      <w:pPr>
        <w:ind w:left="540"/>
        <w:rPr>
          <w:rFonts w:ascii="宋体" w:hAnsi="宋体"/>
          <w:szCs w:val="24"/>
        </w:rPr>
      </w:pPr>
    </w:p>
    <w:p w:rsidR="00AC555B" w:rsidRPr="00ED42E2" w:rsidRDefault="00AC555B" w:rsidP="00A1130D">
      <w:pPr>
        <w:rPr>
          <w:rFonts w:ascii="宋体" w:hAnsi="宋体"/>
          <w:szCs w:val="24"/>
        </w:rPr>
      </w:pPr>
    </w:p>
    <w:p w:rsidR="00BC17DE" w:rsidRPr="00BC70E3" w:rsidRDefault="00BC17DE" w:rsidP="00BC70E3">
      <w:pPr>
        <w:pStyle w:val="1"/>
        <w:ind w:left="567" w:hanging="567"/>
        <w:jc w:val="center"/>
        <w:rPr>
          <w:b/>
          <w:lang w:val="en-US"/>
        </w:rPr>
      </w:pPr>
      <w:bookmarkStart w:id="4" w:name="_Toc524628630"/>
      <w:r w:rsidRPr="00BC70E3">
        <w:rPr>
          <w:b/>
          <w:lang w:val="en-US"/>
        </w:rPr>
        <w:t>审计报告</w:t>
      </w:r>
      <w:bookmarkEnd w:id="4"/>
    </w:p>
    <w:p w:rsidR="00B71983" w:rsidRPr="00ED42E2" w:rsidRDefault="00B71983" w:rsidP="00B71983">
      <w:pPr>
        <w:ind w:left="540"/>
        <w:jc w:val="center"/>
        <w:rPr>
          <w:rFonts w:ascii="宋体" w:hAnsi="宋体"/>
          <w:szCs w:val="24"/>
          <w:lang w:val="en-US"/>
        </w:rPr>
      </w:pPr>
    </w:p>
    <w:p w:rsidR="00B71983" w:rsidRPr="00ED42E2" w:rsidRDefault="009333BB" w:rsidP="00B71983">
      <w:pPr>
        <w:ind w:left="540"/>
        <w:jc w:val="right"/>
        <w:rPr>
          <w:rFonts w:ascii="宋体" w:hAnsi="宋体"/>
          <w:szCs w:val="24"/>
          <w:lang w:val="en-US"/>
        </w:rPr>
      </w:pPr>
      <w:r w:rsidRPr="009333BB">
        <w:rPr>
          <w:rFonts w:ascii="宋体" w:hAnsi="宋体" w:hint="eastAsia"/>
          <w:color w:val="000000"/>
          <w:szCs w:val="24"/>
        </w:rPr>
        <w:t>德师报(审)字(18)第</w:t>
      </w:r>
      <w:r w:rsidR="00F14822" w:rsidRPr="00F14822">
        <w:rPr>
          <w:rFonts w:ascii="宋体" w:hAnsi="宋体"/>
          <w:color w:val="000000"/>
          <w:szCs w:val="24"/>
        </w:rPr>
        <w:t>S00578</w:t>
      </w:r>
      <w:r w:rsidR="002A1265" w:rsidRPr="00ED42E2">
        <w:rPr>
          <w:rFonts w:ascii="宋体" w:hAnsi="宋体" w:hint="eastAsia"/>
          <w:color w:val="000000"/>
          <w:szCs w:val="24"/>
        </w:rPr>
        <w:t>号</w:t>
      </w:r>
    </w:p>
    <w:p w:rsidR="009333BB" w:rsidRPr="009333BB" w:rsidRDefault="007D6F80" w:rsidP="009333BB">
      <w:pPr>
        <w:tabs>
          <w:tab w:val="right" w:pos="9540"/>
        </w:tabs>
        <w:spacing w:line="360" w:lineRule="auto"/>
        <w:ind w:left="540"/>
        <w:rPr>
          <w:rFonts w:asciiTheme="minorEastAsia" w:eastAsiaTheme="minorEastAsia" w:hAnsiTheme="minorEastAsia"/>
          <w:szCs w:val="24"/>
        </w:rPr>
      </w:pPr>
      <w:r>
        <w:rPr>
          <w:rFonts w:asciiTheme="minorEastAsia" w:eastAsiaTheme="minorEastAsia" w:hAnsiTheme="minorEastAsia" w:hint="eastAsia"/>
          <w:szCs w:val="24"/>
        </w:rPr>
        <w:t>广发安泰回报混合型证券投资基金</w:t>
      </w:r>
      <w:r w:rsidR="009333BB" w:rsidRPr="009333BB">
        <w:rPr>
          <w:rFonts w:asciiTheme="minorEastAsia" w:eastAsiaTheme="minorEastAsia" w:hAnsiTheme="minorEastAsia" w:hint="eastAsia"/>
          <w:szCs w:val="24"/>
        </w:rPr>
        <w:t>全体持有人：</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一、审计意见</w:t>
      </w:r>
    </w:p>
    <w:p w:rsidR="009333BB" w:rsidRPr="009333BB" w:rsidRDefault="00F14822" w:rsidP="009333BB">
      <w:pPr>
        <w:spacing w:line="360" w:lineRule="auto"/>
        <w:ind w:firstLineChars="200" w:firstLine="480"/>
        <w:jc w:val="both"/>
        <w:rPr>
          <w:rFonts w:ascii="宋体" w:hAnsi="宋体"/>
          <w:szCs w:val="24"/>
          <w:lang w:val="en-US"/>
        </w:rPr>
      </w:pPr>
      <w:r w:rsidRPr="00F14822">
        <w:rPr>
          <w:rFonts w:ascii="宋体" w:hAnsi="宋体" w:hint="eastAsia"/>
          <w:szCs w:val="24"/>
          <w:lang w:val="en-US"/>
        </w:rPr>
        <w:t>我们审计了广发安泰回报混合型证券投资基金(以下简称“广发安泰回报混合”)的清算财务报表，包括2018年9月18日(清算结束日)的清算资产负债表和2018年8月30日(清算开始日)至2018年9月18日(清算结束日)止期间的清算损益表及清算财务报表附注</w:t>
      </w:r>
      <w:r w:rsidR="009333BB" w:rsidRPr="009333BB">
        <w:rPr>
          <w:rFonts w:ascii="宋体" w:hAnsi="宋体" w:hint="eastAsia"/>
          <w:szCs w:val="24"/>
          <w:lang w:val="en-US"/>
        </w:rPr>
        <w:t>。</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我们认为，后附的清算财务报表已经在所有重大方面按照清算财务报表附注2所述编制基础编制。</w:t>
      </w:r>
    </w:p>
    <w:p w:rsidR="009333BB" w:rsidRPr="009333BB" w:rsidRDefault="009333BB" w:rsidP="009333BB">
      <w:pPr>
        <w:spacing w:line="360" w:lineRule="auto"/>
        <w:ind w:firstLineChars="200" w:firstLine="480"/>
        <w:jc w:val="both"/>
        <w:rPr>
          <w:rFonts w:ascii="宋体" w:hAnsi="宋体"/>
          <w:szCs w:val="24"/>
          <w:lang w:val="en-US"/>
        </w:rPr>
      </w:pP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二、形成审计意见的基础</w:t>
      </w:r>
    </w:p>
    <w:p w:rsidR="009333BB" w:rsidRPr="009333BB" w:rsidRDefault="00F14822" w:rsidP="009333BB">
      <w:pPr>
        <w:spacing w:line="360" w:lineRule="auto"/>
        <w:ind w:firstLineChars="200" w:firstLine="480"/>
        <w:jc w:val="both"/>
        <w:rPr>
          <w:rFonts w:ascii="宋体" w:hAnsi="宋体"/>
          <w:szCs w:val="24"/>
          <w:lang w:val="en-US"/>
        </w:rPr>
      </w:pPr>
      <w:r w:rsidRPr="00F14822">
        <w:rPr>
          <w:rFonts w:ascii="宋体" w:hAnsi="宋体" w:hint="eastAsia"/>
          <w:szCs w:val="24"/>
          <w:lang w:val="en-US"/>
        </w:rPr>
        <w:t>我们按照中国注册会计师审计准则的规定执行了审计工作。审计报告的“注册会计师对财务报表审计的责任”部分进一步阐述了我们在这些准则下的责任。按照中国注册会计师职业道德守则，我们独立于广发安泰回报混合，并履行了职业道德方面的其他责任。我们相信，我们获取的审计证据是充分、适当的，为发表审计意见提供了基础</w:t>
      </w:r>
      <w:r w:rsidR="009333BB" w:rsidRPr="009333BB">
        <w:rPr>
          <w:rFonts w:ascii="宋体" w:hAnsi="宋体" w:hint="eastAsia"/>
          <w:szCs w:val="24"/>
          <w:lang w:val="en-US"/>
        </w:rPr>
        <w:t>。</w:t>
      </w:r>
    </w:p>
    <w:p w:rsidR="009333BB" w:rsidRPr="009333BB" w:rsidRDefault="009333BB" w:rsidP="009333BB">
      <w:pPr>
        <w:spacing w:line="360" w:lineRule="auto"/>
        <w:ind w:firstLineChars="200" w:firstLine="480"/>
        <w:jc w:val="both"/>
        <w:rPr>
          <w:rFonts w:ascii="宋体" w:hAnsi="宋体"/>
          <w:szCs w:val="24"/>
          <w:lang w:val="en-US"/>
        </w:rPr>
      </w:pP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三、强调事项—编制基础以及对分发和使用的限制</w:t>
      </w:r>
    </w:p>
    <w:p w:rsidR="009333BB" w:rsidRPr="009333BB" w:rsidRDefault="00F14822" w:rsidP="009333BB">
      <w:pPr>
        <w:spacing w:line="360" w:lineRule="auto"/>
        <w:ind w:firstLineChars="200" w:firstLine="480"/>
        <w:jc w:val="both"/>
        <w:rPr>
          <w:rFonts w:ascii="宋体" w:hAnsi="宋体"/>
          <w:szCs w:val="24"/>
          <w:lang w:val="en-US"/>
        </w:rPr>
      </w:pPr>
      <w:r w:rsidRPr="00F14822">
        <w:rPr>
          <w:rFonts w:ascii="宋体" w:hAnsi="宋体" w:hint="eastAsia"/>
          <w:szCs w:val="24"/>
          <w:lang w:val="en-US"/>
        </w:rPr>
        <w:t>我们提醒清算财务报表使用者关注清算财务报表附注2对编制基础的说明。广发安泰回报混合清算财务报表仅是广发安泰回报混合的基金管理人广发基金管理有限公司(以下简称“广发基金”)管理层为了遵守《广发安泰回报混合型证券投资基金基金合同》第十九部分作出的规定而编制，因此该清算财务报表可能不适用于其他用途。我们的报告仅用于广发基金向广发安泰回报混合全体持有人及中国证券监督管理委员会(以下简称“中国证监会”)报送，而不应分发至除广发安泰回报混合全体持有人及中国证监会以外的其他机构或人员或为其使用。本段内容不影响已发表的审计意见</w:t>
      </w:r>
      <w:r w:rsidR="009333BB" w:rsidRPr="009333BB">
        <w:rPr>
          <w:rFonts w:ascii="宋体" w:hAnsi="宋体" w:hint="eastAsia"/>
          <w:szCs w:val="24"/>
          <w:lang w:val="en-US"/>
        </w:rPr>
        <w:t>。</w:t>
      </w:r>
    </w:p>
    <w:p w:rsidR="009333BB" w:rsidRPr="009333BB" w:rsidRDefault="009333BB" w:rsidP="009333BB">
      <w:pPr>
        <w:spacing w:line="360" w:lineRule="auto"/>
        <w:ind w:firstLineChars="200" w:firstLine="480"/>
        <w:jc w:val="both"/>
        <w:rPr>
          <w:rFonts w:ascii="宋体" w:hAnsi="宋体"/>
          <w:szCs w:val="24"/>
          <w:lang w:val="en-US"/>
        </w:rPr>
      </w:pP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四、管理层和治理层对清算财务报表的责任</w:t>
      </w:r>
    </w:p>
    <w:p w:rsidR="00F14822" w:rsidRPr="00F14822" w:rsidRDefault="00F14822" w:rsidP="00F14822">
      <w:pPr>
        <w:spacing w:line="360" w:lineRule="auto"/>
        <w:ind w:firstLineChars="200" w:firstLine="480"/>
        <w:jc w:val="both"/>
        <w:rPr>
          <w:rFonts w:ascii="宋体" w:hAnsi="宋体"/>
          <w:szCs w:val="24"/>
          <w:lang w:val="en-US"/>
        </w:rPr>
      </w:pPr>
      <w:r w:rsidRPr="00F14822">
        <w:rPr>
          <w:rFonts w:ascii="宋体" w:hAnsi="宋体" w:hint="eastAsia"/>
          <w:szCs w:val="24"/>
          <w:lang w:val="en-US"/>
        </w:rPr>
        <w:t>广发基金管理层负责按照清算财务报表附注2所述编制基础编制清算财务报表，并设计、执行和维护必要的内部控制，以使清算财务报表不存在由于舞弊或错误导致的重大错报。</w:t>
      </w:r>
    </w:p>
    <w:p w:rsidR="009333BB" w:rsidRPr="009333BB" w:rsidRDefault="00F14822" w:rsidP="00F14822">
      <w:pPr>
        <w:spacing w:line="360" w:lineRule="auto"/>
        <w:ind w:firstLineChars="200" w:firstLine="480"/>
        <w:jc w:val="both"/>
        <w:rPr>
          <w:rFonts w:ascii="宋体" w:hAnsi="宋体"/>
          <w:szCs w:val="24"/>
          <w:lang w:val="en-US"/>
        </w:rPr>
      </w:pPr>
      <w:r w:rsidRPr="00F14822">
        <w:rPr>
          <w:rFonts w:ascii="宋体" w:hAnsi="宋体" w:hint="eastAsia"/>
          <w:szCs w:val="24"/>
          <w:lang w:val="en-US"/>
        </w:rPr>
        <w:t>广发基金治理层负责监督广发安泰回报混合的财务报告过程</w:t>
      </w:r>
      <w:r w:rsidR="009333BB" w:rsidRPr="009333BB">
        <w:rPr>
          <w:rFonts w:ascii="宋体" w:hAnsi="宋体" w:hint="eastAsia"/>
          <w:szCs w:val="24"/>
          <w:lang w:val="en-US"/>
        </w:rPr>
        <w:t>。</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szCs w:val="24"/>
          <w:lang w:val="en-US"/>
        </w:rPr>
        <w:t> </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五、注册会计师对清算财务报表审计的责任</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我们的目标是对清算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清算财务报表使用者依据清算财务报表作出的经济决策，则通常认为错报是重大的。</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在按照审计准则执行审计工作的过程中，我们运用职业判断，并保持职业怀疑。同时，我们也执行以下工作：</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(1) 识别和评估由于舞弊或错误导致的清算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(2) 了解与审计相关的内部控制，以设计恰当的审计程序，但目的并非对内部控制的有效性发表意见。</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(3) 评价广发基金管理层选用会计政策的恰当性和作出会计估计及相关披露的合理性。</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(4) 评价清算财务报表的总体列报、结构和内容(包括披露)，并评价清算财务报表是否按照清算财务报表附注2所述编制基础编制。</w:t>
      </w:r>
    </w:p>
    <w:p w:rsidR="009333BB" w:rsidRPr="009333BB" w:rsidRDefault="009333BB" w:rsidP="009333BB">
      <w:pPr>
        <w:spacing w:line="360" w:lineRule="auto"/>
        <w:ind w:firstLineChars="200" w:firstLine="480"/>
        <w:jc w:val="both"/>
        <w:rPr>
          <w:rFonts w:ascii="宋体" w:hAnsi="宋体"/>
          <w:szCs w:val="24"/>
          <w:lang w:val="en-US"/>
        </w:rPr>
      </w:pPr>
      <w:r w:rsidRPr="009333BB">
        <w:rPr>
          <w:rFonts w:ascii="宋体" w:hAnsi="宋体" w:hint="eastAsia"/>
          <w:szCs w:val="24"/>
          <w:lang w:val="en-US"/>
        </w:rPr>
        <w:t>我们与广发基金治理层就计划的审计范围、时间安排和重大审计发现等事项进行沟通，包括沟通我们在审计中识别出的值得关注的内部控制缺陷。</w:t>
      </w:r>
    </w:p>
    <w:p w:rsidR="009333BB" w:rsidRDefault="009333BB" w:rsidP="00EB687B">
      <w:pPr>
        <w:tabs>
          <w:tab w:val="right" w:pos="9540"/>
        </w:tabs>
        <w:rPr>
          <w:rFonts w:asciiTheme="minorEastAsia" w:eastAsiaTheme="minorEastAsia" w:hAnsiTheme="minorEastAsia"/>
          <w:szCs w:val="24"/>
        </w:rPr>
      </w:pPr>
    </w:p>
    <w:p w:rsidR="009333BB" w:rsidRPr="009333BB" w:rsidRDefault="009333BB" w:rsidP="009333BB">
      <w:pPr>
        <w:tabs>
          <w:tab w:val="right" w:pos="9540"/>
        </w:tabs>
        <w:ind w:left="540"/>
        <w:rPr>
          <w:rFonts w:asciiTheme="minorEastAsia" w:eastAsiaTheme="minorEastAsia" w:hAnsiTheme="minorEastAsia"/>
          <w:szCs w:val="24"/>
        </w:rPr>
      </w:pPr>
      <w:r w:rsidRPr="009333BB">
        <w:rPr>
          <w:rFonts w:asciiTheme="minorEastAsia" w:eastAsiaTheme="minorEastAsia" w:hAnsiTheme="minorEastAsia" w:hint="eastAsia"/>
          <w:szCs w:val="24"/>
        </w:rPr>
        <w:t>德勤华永会计师事务所(特殊普通合伙</w:t>
      </w:r>
      <w:r w:rsidR="000A7A76">
        <w:rPr>
          <w:rFonts w:asciiTheme="minorEastAsia" w:eastAsiaTheme="minorEastAsia" w:hAnsiTheme="minorEastAsia" w:hint="eastAsia"/>
          <w:szCs w:val="24"/>
        </w:rPr>
        <w:t xml:space="preserve">)                           </w:t>
      </w:r>
      <w:r w:rsidRPr="009333BB">
        <w:rPr>
          <w:rFonts w:asciiTheme="minorEastAsia" w:eastAsiaTheme="minorEastAsia" w:hAnsiTheme="minorEastAsia" w:hint="eastAsia"/>
          <w:szCs w:val="24"/>
        </w:rPr>
        <w:t>中国注册会计师</w:t>
      </w:r>
    </w:p>
    <w:p w:rsidR="009333BB" w:rsidRPr="009333BB" w:rsidRDefault="009333BB" w:rsidP="009333BB">
      <w:pPr>
        <w:tabs>
          <w:tab w:val="right" w:pos="9540"/>
        </w:tabs>
        <w:ind w:left="540"/>
        <w:rPr>
          <w:rFonts w:asciiTheme="minorEastAsia" w:eastAsiaTheme="minorEastAsia" w:hAnsiTheme="minorEastAsia"/>
          <w:szCs w:val="24"/>
        </w:rPr>
      </w:pPr>
      <w:r w:rsidRPr="009333BB">
        <w:rPr>
          <w:rFonts w:asciiTheme="minorEastAsia" w:eastAsiaTheme="minorEastAsia" w:hAnsiTheme="minorEastAsia"/>
          <w:szCs w:val="24"/>
        </w:rPr>
        <w:tab/>
      </w:r>
    </w:p>
    <w:p w:rsidR="009333BB" w:rsidRPr="009333BB" w:rsidRDefault="009333BB" w:rsidP="000A7A76">
      <w:pPr>
        <w:tabs>
          <w:tab w:val="right" w:pos="9540"/>
        </w:tabs>
        <w:ind w:left="540" w:firstLineChars="3300" w:firstLine="7920"/>
        <w:rPr>
          <w:rFonts w:asciiTheme="minorEastAsia" w:eastAsiaTheme="minorEastAsia" w:hAnsiTheme="minorEastAsia"/>
          <w:szCs w:val="24"/>
        </w:rPr>
      </w:pPr>
      <w:r w:rsidRPr="009333BB">
        <w:rPr>
          <w:rFonts w:asciiTheme="minorEastAsia" w:eastAsiaTheme="minorEastAsia" w:hAnsiTheme="minorEastAsia" w:hint="eastAsia"/>
          <w:szCs w:val="24"/>
        </w:rPr>
        <w:t>中国•上海</w:t>
      </w:r>
      <w:r w:rsidRPr="009333BB">
        <w:rPr>
          <w:rFonts w:asciiTheme="minorEastAsia" w:eastAsiaTheme="minorEastAsia" w:hAnsiTheme="minorEastAsia" w:hint="eastAsia"/>
          <w:szCs w:val="24"/>
        </w:rPr>
        <w:tab/>
      </w:r>
    </w:p>
    <w:p w:rsidR="009333BB" w:rsidRPr="009333BB" w:rsidRDefault="009333BB" w:rsidP="009333BB">
      <w:pPr>
        <w:tabs>
          <w:tab w:val="right" w:pos="9540"/>
        </w:tabs>
        <w:ind w:left="540"/>
        <w:rPr>
          <w:rFonts w:asciiTheme="minorEastAsia" w:eastAsiaTheme="minorEastAsia" w:hAnsiTheme="minorEastAsia"/>
          <w:szCs w:val="24"/>
        </w:rPr>
      </w:pPr>
    </w:p>
    <w:p w:rsidR="009333BB" w:rsidRPr="009333BB" w:rsidRDefault="009333BB" w:rsidP="009333BB">
      <w:pPr>
        <w:tabs>
          <w:tab w:val="right" w:pos="9540"/>
        </w:tabs>
        <w:ind w:left="540"/>
        <w:rPr>
          <w:rFonts w:asciiTheme="minorEastAsia" w:eastAsiaTheme="minorEastAsia" w:hAnsiTheme="minorEastAsia"/>
          <w:szCs w:val="24"/>
        </w:rPr>
      </w:pPr>
    </w:p>
    <w:p w:rsidR="009333BB" w:rsidRPr="009333BB" w:rsidRDefault="009333BB" w:rsidP="000A7A76">
      <w:pPr>
        <w:tabs>
          <w:tab w:val="right" w:pos="9540"/>
        </w:tabs>
        <w:ind w:left="540" w:right="480"/>
        <w:jc w:val="center"/>
        <w:rPr>
          <w:rFonts w:asciiTheme="minorEastAsia" w:eastAsiaTheme="minorEastAsia" w:hAnsiTheme="minorEastAsia"/>
          <w:szCs w:val="24"/>
        </w:rPr>
      </w:pPr>
      <w:r w:rsidRPr="009333BB">
        <w:rPr>
          <w:rFonts w:asciiTheme="minorEastAsia" w:eastAsiaTheme="minorEastAsia" w:hAnsiTheme="minorEastAsia" w:hint="eastAsia"/>
          <w:szCs w:val="24"/>
        </w:rPr>
        <w:t>中国注册会计师</w:t>
      </w:r>
    </w:p>
    <w:p w:rsidR="009333BB" w:rsidRPr="009333BB" w:rsidRDefault="009333BB" w:rsidP="00FA405D">
      <w:pPr>
        <w:tabs>
          <w:tab w:val="right" w:pos="9540"/>
        </w:tabs>
        <w:ind w:left="540"/>
        <w:rPr>
          <w:rFonts w:asciiTheme="minorEastAsia" w:eastAsiaTheme="minorEastAsia" w:hAnsiTheme="minorEastAsia"/>
          <w:szCs w:val="24"/>
        </w:rPr>
      </w:pPr>
      <w:r w:rsidRPr="009333BB">
        <w:rPr>
          <w:rFonts w:asciiTheme="minorEastAsia" w:eastAsiaTheme="minorEastAsia" w:hAnsiTheme="minorEastAsia"/>
          <w:szCs w:val="24"/>
        </w:rPr>
        <w:tab/>
      </w:r>
    </w:p>
    <w:p w:rsidR="00FA405D" w:rsidRDefault="00FA405D" w:rsidP="009333BB">
      <w:pPr>
        <w:tabs>
          <w:tab w:val="right" w:pos="9540"/>
        </w:tabs>
        <w:ind w:left="540"/>
        <w:rPr>
          <w:rFonts w:asciiTheme="minorEastAsia" w:eastAsiaTheme="minorEastAsia" w:hAnsiTheme="minorEastAsia"/>
          <w:szCs w:val="24"/>
        </w:rPr>
      </w:pPr>
    </w:p>
    <w:p w:rsidR="00920BD7" w:rsidRDefault="009333BB" w:rsidP="009333BB">
      <w:pPr>
        <w:tabs>
          <w:tab w:val="right" w:pos="9540"/>
        </w:tabs>
        <w:ind w:left="540"/>
        <w:rPr>
          <w:rFonts w:asciiTheme="minorEastAsia" w:eastAsiaTheme="minorEastAsia" w:hAnsiTheme="minorEastAsia"/>
          <w:szCs w:val="24"/>
          <w:highlight w:val="yellow"/>
        </w:rPr>
      </w:pPr>
      <w:r w:rsidRPr="009333BB">
        <w:rPr>
          <w:rFonts w:asciiTheme="minorEastAsia" w:eastAsiaTheme="minorEastAsia" w:hAnsiTheme="minorEastAsia" w:hint="eastAsia"/>
          <w:szCs w:val="24"/>
        </w:rPr>
        <w:tab/>
      </w:r>
      <w:r w:rsidRPr="002100E9">
        <w:rPr>
          <w:rFonts w:asciiTheme="minorEastAsia" w:eastAsiaTheme="minorEastAsia" w:hAnsiTheme="minorEastAsia" w:hint="eastAsia"/>
          <w:szCs w:val="24"/>
        </w:rPr>
        <w:t>2018年</w:t>
      </w:r>
      <w:r w:rsidR="002100E9" w:rsidRPr="002100E9">
        <w:rPr>
          <w:rFonts w:asciiTheme="minorEastAsia" w:eastAsiaTheme="minorEastAsia" w:hAnsiTheme="minorEastAsia"/>
          <w:szCs w:val="24"/>
        </w:rPr>
        <w:t>11</w:t>
      </w:r>
      <w:r w:rsidRPr="002100E9">
        <w:rPr>
          <w:rFonts w:asciiTheme="minorEastAsia" w:eastAsiaTheme="minorEastAsia" w:hAnsiTheme="minorEastAsia" w:hint="eastAsia"/>
          <w:szCs w:val="24"/>
        </w:rPr>
        <w:t>月</w:t>
      </w:r>
      <w:r w:rsidR="002100E9" w:rsidRPr="002100E9">
        <w:rPr>
          <w:rFonts w:asciiTheme="minorEastAsia" w:eastAsiaTheme="minorEastAsia" w:hAnsiTheme="minorEastAsia" w:hint="eastAsia"/>
          <w:szCs w:val="24"/>
        </w:rPr>
        <w:t>28</w:t>
      </w:r>
      <w:r w:rsidR="000A7A76" w:rsidRPr="002100E9">
        <w:rPr>
          <w:rFonts w:asciiTheme="minorEastAsia" w:eastAsiaTheme="minorEastAsia" w:hAnsiTheme="minorEastAsia" w:hint="eastAsia"/>
          <w:szCs w:val="24"/>
        </w:rPr>
        <w:t>日</w:t>
      </w:r>
    </w:p>
    <w:p w:rsidR="00FA405D" w:rsidRDefault="00FA405D" w:rsidP="009333BB">
      <w:pPr>
        <w:tabs>
          <w:tab w:val="right" w:pos="9540"/>
        </w:tabs>
        <w:ind w:left="540"/>
        <w:rPr>
          <w:rFonts w:ascii="宋体" w:hAnsi="宋体"/>
          <w:szCs w:val="24"/>
          <w:highlight w:val="yellow"/>
        </w:rPr>
      </w:pPr>
    </w:p>
    <w:p w:rsidR="00FA405D" w:rsidRPr="00CF1C9F" w:rsidRDefault="00FA405D" w:rsidP="009333BB">
      <w:pPr>
        <w:tabs>
          <w:tab w:val="right" w:pos="9540"/>
        </w:tabs>
        <w:ind w:left="540"/>
        <w:rPr>
          <w:rFonts w:ascii="宋体" w:hAnsi="宋体"/>
          <w:szCs w:val="24"/>
          <w:highlight w:val="yellow"/>
        </w:rPr>
        <w:sectPr w:rsidR="00FA405D" w:rsidRPr="00CF1C9F" w:rsidSect="00B71983">
          <w:headerReference w:type="even" r:id="rId38"/>
          <w:headerReference w:type="default" r:id="rId39"/>
          <w:footerReference w:type="default" r:id="rId40"/>
          <w:headerReference w:type="first" r:id="rId41"/>
          <w:pgSz w:w="11909" w:h="16834" w:code="9"/>
          <w:pgMar w:top="864" w:right="720" w:bottom="432" w:left="1008" w:header="864" w:footer="432" w:gutter="0"/>
          <w:pgNumType w:start="1"/>
          <w:cols w:space="720"/>
          <w:noEndnote/>
        </w:sectPr>
      </w:pPr>
    </w:p>
    <w:p w:rsidR="00635B1D" w:rsidRDefault="00635B1D" w:rsidP="00164151">
      <w:pPr>
        <w:pStyle w:val="1"/>
        <w:spacing w:before="360"/>
        <w:ind w:left="569" w:hangingChars="236" w:hanging="569"/>
        <w:jc w:val="center"/>
        <w:rPr>
          <w:b/>
        </w:rPr>
      </w:pPr>
      <w:bookmarkStart w:id="5" w:name="_Toc497242350"/>
      <w:bookmarkStart w:id="6" w:name="_Toc524628631"/>
      <w:r w:rsidRPr="0060501A">
        <w:rPr>
          <w:rFonts w:hint="eastAsia"/>
          <w:b/>
        </w:rPr>
        <w:t>资产负债表</w:t>
      </w:r>
      <w:bookmarkEnd w:id="5"/>
      <w:bookmarkEnd w:id="6"/>
    </w:p>
    <w:p w:rsidR="00374A62" w:rsidRPr="00374A62" w:rsidRDefault="00374A62" w:rsidP="00374A62">
      <w:pPr>
        <w:rPr>
          <w:lang/>
        </w:rPr>
      </w:pPr>
    </w:p>
    <w:p w:rsidR="00E430EA" w:rsidRPr="000651C6" w:rsidRDefault="00635B1D" w:rsidP="000651C6">
      <w:pPr>
        <w:rPr>
          <w:rFonts w:ascii="宋体" w:hAnsi="宋体"/>
          <w:b/>
          <w:szCs w:val="24"/>
          <w:lang w:val="en-US"/>
        </w:rPr>
      </w:pPr>
      <w:r>
        <w:rPr>
          <w:rFonts w:ascii="宋体" w:hAnsi="宋体" w:hint="eastAsia"/>
          <w:b/>
          <w:szCs w:val="24"/>
          <w:lang w:val="en-US"/>
        </w:rPr>
        <w:t>5.1</w:t>
      </w:r>
      <w:r w:rsidRPr="0060501A">
        <w:rPr>
          <w:rFonts w:ascii="宋体" w:hAnsi="宋体"/>
          <w:b/>
          <w:szCs w:val="24"/>
          <w:lang w:val="en-US"/>
        </w:rPr>
        <w:t>清算资产负债表</w:t>
      </w:r>
    </w:p>
    <w:p w:rsidR="00E430EA" w:rsidRDefault="00E430EA" w:rsidP="00E430EA">
      <w:pPr>
        <w:jc w:val="right"/>
        <w:rPr>
          <w:szCs w:val="24"/>
        </w:rPr>
      </w:pPr>
      <w:r w:rsidRPr="00F84753">
        <w:rPr>
          <w:szCs w:val="24"/>
        </w:rPr>
        <w:t>单位：人民币元</w:t>
      </w:r>
    </w:p>
    <w:p w:rsidR="00CF1C9F" w:rsidRPr="00F84753" w:rsidRDefault="00CF1C9F" w:rsidP="00E430EA">
      <w:pPr>
        <w:jc w:val="right"/>
        <w:rPr>
          <w:szCs w:val="24"/>
        </w:rPr>
      </w:pPr>
    </w:p>
    <w:tbl>
      <w:tblPr>
        <w:tblW w:w="10185" w:type="dxa"/>
        <w:tblInd w:w="5" w:type="dxa"/>
        <w:tblLayout w:type="fixed"/>
        <w:tblCellMar>
          <w:left w:w="0" w:type="dxa"/>
          <w:right w:w="0" w:type="dxa"/>
        </w:tblCellMar>
        <w:tblLook w:val="0000"/>
      </w:tblPr>
      <w:tblGrid>
        <w:gridCol w:w="4701"/>
        <w:gridCol w:w="2742"/>
        <w:gridCol w:w="2742"/>
      </w:tblGrid>
      <w:tr w:rsidR="007A6676" w:rsidRPr="007A6676" w:rsidTr="00DE30F0">
        <w:trPr>
          <w:trHeight w:val="20"/>
        </w:trPr>
        <w:tc>
          <w:tcPr>
            <w:tcW w:w="4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jc w:val="center"/>
              <w:rPr>
                <w:rFonts w:asciiTheme="minorEastAsia" w:eastAsiaTheme="minorEastAsia" w:hAnsiTheme="minorEastAsia"/>
                <w:b/>
                <w:szCs w:val="24"/>
                <w:lang w:val="en-US"/>
              </w:rPr>
            </w:pPr>
            <w:r w:rsidRPr="007A6676">
              <w:rPr>
                <w:rFonts w:asciiTheme="minorEastAsia" w:eastAsiaTheme="minorEastAsia" w:hAnsiTheme="minorEastAsia" w:hint="eastAsia"/>
                <w:b/>
                <w:szCs w:val="24"/>
                <w:lang w:val="en-US"/>
              </w:rPr>
              <w:t>项目</w:t>
            </w:r>
          </w:p>
        </w:tc>
        <w:tc>
          <w:tcPr>
            <w:tcW w:w="2742" w:type="dxa"/>
            <w:tcBorders>
              <w:top w:val="single" w:sz="4" w:space="0" w:color="auto"/>
              <w:left w:val="nil"/>
              <w:bottom w:val="single" w:sz="4" w:space="0" w:color="auto"/>
              <w:right w:val="single" w:sz="4" w:space="0" w:color="auto"/>
            </w:tcBorders>
            <w:vAlign w:val="bottom"/>
          </w:tcPr>
          <w:p w:rsidR="007A6676" w:rsidRPr="007A6676" w:rsidRDefault="007A6676" w:rsidP="00DE30F0">
            <w:pPr>
              <w:jc w:val="center"/>
              <w:rPr>
                <w:rFonts w:asciiTheme="minorEastAsia" w:eastAsiaTheme="minorEastAsia" w:hAnsiTheme="minorEastAsia"/>
                <w:b/>
                <w:szCs w:val="24"/>
              </w:rPr>
            </w:pPr>
            <w:r w:rsidRPr="007A6676">
              <w:rPr>
                <w:rFonts w:asciiTheme="minorEastAsia" w:eastAsiaTheme="minorEastAsia" w:hAnsiTheme="minorEastAsia"/>
                <w:b/>
                <w:szCs w:val="24"/>
              </w:rPr>
              <w:t>201</w:t>
            </w:r>
            <w:r w:rsidRPr="007A6676">
              <w:rPr>
                <w:rFonts w:asciiTheme="minorEastAsia" w:eastAsiaTheme="minorEastAsia" w:hAnsiTheme="minorEastAsia" w:hint="eastAsia"/>
                <w:b/>
                <w:szCs w:val="24"/>
              </w:rPr>
              <w:t>8</w:t>
            </w:r>
            <w:r w:rsidRPr="007A6676">
              <w:rPr>
                <w:rFonts w:asciiTheme="minorEastAsia" w:eastAsiaTheme="minorEastAsia" w:hAnsiTheme="minorEastAsia"/>
                <w:b/>
                <w:szCs w:val="24"/>
              </w:rPr>
              <w:t>年9</w:t>
            </w:r>
            <w:r w:rsidRPr="007A6676">
              <w:rPr>
                <w:rFonts w:asciiTheme="minorEastAsia" w:eastAsiaTheme="minorEastAsia" w:hAnsiTheme="minorEastAsia" w:hint="eastAsia"/>
                <w:b/>
                <w:szCs w:val="24"/>
              </w:rPr>
              <w:t>月18日</w:t>
            </w:r>
          </w:p>
          <w:p w:rsidR="007A6676" w:rsidRPr="007A6676" w:rsidRDefault="007A6676" w:rsidP="00DE30F0">
            <w:pPr>
              <w:jc w:val="center"/>
              <w:rPr>
                <w:rFonts w:asciiTheme="minorEastAsia" w:eastAsiaTheme="minorEastAsia" w:hAnsiTheme="minorEastAsia"/>
                <w:b/>
                <w:szCs w:val="24"/>
              </w:rPr>
            </w:pPr>
            <w:r w:rsidRPr="007A6676">
              <w:rPr>
                <w:rFonts w:asciiTheme="minorEastAsia" w:eastAsiaTheme="minorEastAsia" w:hAnsiTheme="minorEastAsia" w:hint="eastAsia"/>
                <w:b/>
                <w:szCs w:val="24"/>
              </w:rPr>
              <w:t>(清算结束日)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jc w:val="center"/>
              <w:rPr>
                <w:rFonts w:asciiTheme="minorEastAsia" w:eastAsiaTheme="minorEastAsia" w:hAnsiTheme="minorEastAsia"/>
                <w:b/>
                <w:szCs w:val="24"/>
              </w:rPr>
            </w:pPr>
            <w:r w:rsidRPr="007A6676">
              <w:rPr>
                <w:rFonts w:asciiTheme="minorEastAsia" w:eastAsiaTheme="minorEastAsia" w:hAnsiTheme="minorEastAsia"/>
                <w:b/>
                <w:szCs w:val="24"/>
              </w:rPr>
              <w:t>201</w:t>
            </w:r>
            <w:r w:rsidRPr="007A6676">
              <w:rPr>
                <w:rFonts w:asciiTheme="minorEastAsia" w:eastAsiaTheme="minorEastAsia" w:hAnsiTheme="minorEastAsia" w:hint="eastAsia"/>
                <w:b/>
                <w:szCs w:val="24"/>
              </w:rPr>
              <w:t>8</w:t>
            </w:r>
            <w:r w:rsidRPr="007A6676">
              <w:rPr>
                <w:rFonts w:asciiTheme="minorEastAsia" w:eastAsiaTheme="minorEastAsia" w:hAnsiTheme="minorEastAsia"/>
                <w:b/>
                <w:szCs w:val="24"/>
              </w:rPr>
              <w:t>年8</w:t>
            </w:r>
            <w:r w:rsidRPr="007A6676">
              <w:rPr>
                <w:rFonts w:asciiTheme="minorEastAsia" w:eastAsiaTheme="minorEastAsia" w:hAnsiTheme="minorEastAsia" w:hint="eastAsia"/>
                <w:b/>
                <w:szCs w:val="24"/>
              </w:rPr>
              <w:t>月30日</w:t>
            </w:r>
          </w:p>
          <w:p w:rsidR="007A6676" w:rsidRPr="007A6676" w:rsidRDefault="007A6676" w:rsidP="00DE30F0">
            <w:pPr>
              <w:jc w:val="center"/>
              <w:rPr>
                <w:rFonts w:asciiTheme="minorEastAsia" w:eastAsiaTheme="minorEastAsia" w:hAnsiTheme="minorEastAsia"/>
                <w:b/>
                <w:szCs w:val="24"/>
                <w:lang w:val="en-US"/>
              </w:rPr>
            </w:pPr>
            <w:r w:rsidRPr="007A6676">
              <w:rPr>
                <w:rFonts w:asciiTheme="minorEastAsia" w:eastAsiaTheme="minorEastAsia" w:hAnsiTheme="minorEastAsia" w:hint="eastAsia"/>
                <w:b/>
                <w:szCs w:val="24"/>
                <w:lang w:val="en-US"/>
              </w:rPr>
              <w:t>(清算开始日)</w:t>
            </w: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资产：</w:t>
            </w:r>
          </w:p>
        </w:tc>
        <w:tc>
          <w:tcPr>
            <w:tcW w:w="2742" w:type="dxa"/>
            <w:tcBorders>
              <w:top w:val="nil"/>
              <w:left w:val="nil"/>
              <w:bottom w:val="single" w:sz="4" w:space="0" w:color="auto"/>
              <w:right w:val="single" w:sz="4" w:space="0" w:color="auto"/>
            </w:tcBorders>
            <w:vAlign w:val="center"/>
          </w:tcPr>
          <w:p w:rsidR="007A6676" w:rsidRPr="007A6676" w:rsidRDefault="007A6676" w:rsidP="00DE30F0">
            <w:pPr>
              <w:rPr>
                <w:rFonts w:asciiTheme="minorEastAsia" w:eastAsiaTheme="minorEastAsia" w:hAnsiTheme="minorEastAsia"/>
                <w:szCs w:val="24"/>
                <w:lang w:val="en-US"/>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rPr>
                <w:rFonts w:asciiTheme="minorEastAsia" w:eastAsiaTheme="minorEastAsia" w:hAnsiTheme="minorEastAsia"/>
                <w:szCs w:val="24"/>
                <w:lang w:val="en-US"/>
              </w:rPr>
            </w:pP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银行</w:t>
            </w:r>
            <w:r w:rsidRPr="007A6676">
              <w:rPr>
                <w:rFonts w:asciiTheme="minorEastAsia" w:eastAsiaTheme="minorEastAsia" w:hAnsiTheme="minorEastAsia"/>
                <w:szCs w:val="24"/>
                <w:lang w:val="en-US"/>
              </w:rPr>
              <w:t>存款</w:t>
            </w:r>
          </w:p>
        </w:tc>
        <w:tc>
          <w:tcPr>
            <w:tcW w:w="2742" w:type="dxa"/>
            <w:tcBorders>
              <w:top w:val="nil"/>
              <w:left w:val="nil"/>
              <w:bottom w:val="single" w:sz="4" w:space="0" w:color="auto"/>
              <w:right w:val="single" w:sz="4" w:space="0" w:color="auto"/>
            </w:tcBorders>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317,674.42</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746,356.40</w:t>
            </w: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结算备付金</w:t>
            </w:r>
          </w:p>
        </w:tc>
        <w:tc>
          <w:tcPr>
            <w:tcW w:w="2742" w:type="dxa"/>
            <w:tcBorders>
              <w:top w:val="nil"/>
              <w:left w:val="nil"/>
              <w:bottom w:val="single" w:sz="4" w:space="0" w:color="auto"/>
              <w:right w:val="single" w:sz="4" w:space="0" w:color="auto"/>
            </w:tcBorders>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hint="eastAsia"/>
              </w:rPr>
              <w:t>-</w:t>
            </w: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存出保证金</w:t>
            </w:r>
          </w:p>
        </w:tc>
        <w:tc>
          <w:tcPr>
            <w:tcW w:w="2742" w:type="dxa"/>
            <w:tcBorders>
              <w:top w:val="nil"/>
              <w:left w:val="nil"/>
              <w:bottom w:val="single" w:sz="4" w:space="0" w:color="auto"/>
              <w:right w:val="single" w:sz="4" w:space="0" w:color="auto"/>
            </w:tcBorders>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hint="eastAsia"/>
              </w:rPr>
              <w:t>-</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3,015.56</w:t>
            </w: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szCs w:val="24"/>
                <w:lang w:val="en-US"/>
              </w:rPr>
              <w:t>应收利息</w:t>
            </w:r>
          </w:p>
        </w:tc>
        <w:tc>
          <w:tcPr>
            <w:tcW w:w="2742" w:type="dxa"/>
            <w:tcBorders>
              <w:top w:val="nil"/>
              <w:left w:val="nil"/>
              <w:bottom w:val="single" w:sz="4" w:space="0" w:color="auto"/>
              <w:right w:val="single" w:sz="4" w:space="0" w:color="auto"/>
            </w:tcBorders>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3,186.28</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3,031.07</w:t>
            </w: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资产总计</w:t>
            </w:r>
          </w:p>
        </w:tc>
        <w:tc>
          <w:tcPr>
            <w:tcW w:w="2742" w:type="dxa"/>
            <w:tcBorders>
              <w:top w:val="nil"/>
              <w:left w:val="nil"/>
              <w:bottom w:val="single" w:sz="4" w:space="0" w:color="auto"/>
              <w:right w:val="single" w:sz="4" w:space="0" w:color="auto"/>
            </w:tcBorders>
            <w:vAlign w:val="center"/>
          </w:tcPr>
          <w:p w:rsidR="007A6676" w:rsidRPr="007A6676" w:rsidRDefault="007A6676" w:rsidP="00DE30F0">
            <w:pPr>
              <w:tabs>
                <w:tab w:val="decimal" w:pos="2148"/>
              </w:tabs>
              <w:ind w:right="120"/>
              <w:rPr>
                <w:rFonts w:asciiTheme="minorEastAsia" w:eastAsiaTheme="minorEastAsia" w:hAnsiTheme="minorEastAsia"/>
                <w:b/>
              </w:rPr>
            </w:pPr>
            <w:r w:rsidRPr="007A6676">
              <w:rPr>
                <w:rFonts w:asciiTheme="minorEastAsia" w:eastAsiaTheme="minorEastAsia" w:hAnsiTheme="minorEastAsia"/>
                <w:b/>
              </w:rPr>
              <w:t>320,860.70</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tabs>
                <w:tab w:val="decimal" w:pos="2187"/>
              </w:tabs>
              <w:rPr>
                <w:rFonts w:asciiTheme="minorEastAsia" w:eastAsiaTheme="minorEastAsia" w:hAnsiTheme="minorEastAsia"/>
                <w:b/>
              </w:rPr>
            </w:pPr>
            <w:r w:rsidRPr="007A6676">
              <w:rPr>
                <w:rFonts w:asciiTheme="minorEastAsia" w:eastAsiaTheme="minorEastAsia" w:hAnsiTheme="minorEastAsia"/>
                <w:b/>
              </w:rPr>
              <w:t>752,403.03</w:t>
            </w:r>
          </w:p>
        </w:tc>
      </w:tr>
      <w:tr w:rsidR="007A6676" w:rsidRPr="007A6676" w:rsidTr="00DE30F0">
        <w:trPr>
          <w:trHeight w:val="20"/>
        </w:trPr>
        <w:tc>
          <w:tcPr>
            <w:tcW w:w="4701" w:type="dxa"/>
            <w:tcBorders>
              <w:top w:val="nil"/>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ind w:left="-93"/>
              <w:rPr>
                <w:rFonts w:asciiTheme="minorEastAsia" w:eastAsiaTheme="minorEastAsia" w:hAnsiTheme="minorEastAsia"/>
                <w:b/>
                <w:szCs w:val="24"/>
                <w:lang w:val="en-US"/>
              </w:rPr>
            </w:pPr>
          </w:p>
        </w:tc>
        <w:tc>
          <w:tcPr>
            <w:tcW w:w="2742" w:type="dxa"/>
            <w:tcBorders>
              <w:top w:val="nil"/>
              <w:left w:val="nil"/>
              <w:bottom w:val="single" w:sz="4" w:space="0" w:color="auto"/>
              <w:right w:val="single" w:sz="4" w:space="0" w:color="auto"/>
            </w:tcBorders>
            <w:vAlign w:val="center"/>
          </w:tcPr>
          <w:p w:rsidR="007A6676" w:rsidRPr="007A6676" w:rsidRDefault="007A6676" w:rsidP="00DE30F0">
            <w:pPr>
              <w:tabs>
                <w:tab w:val="decimal" w:pos="2148"/>
              </w:tabs>
              <w:ind w:right="120"/>
              <w:rPr>
                <w:rFonts w:asciiTheme="minorEastAsia" w:eastAsiaTheme="minorEastAsia" w:hAnsiTheme="minorEastAsia"/>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负债和清算净资产</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负债：</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应付赎回款</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305,874.03</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应付</w:t>
            </w:r>
            <w:r w:rsidRPr="007A6676">
              <w:rPr>
                <w:rFonts w:asciiTheme="minorEastAsia" w:eastAsiaTheme="minorEastAsia" w:hAnsiTheme="minorEastAsia"/>
                <w:szCs w:val="24"/>
                <w:lang w:val="en-US"/>
              </w:rPr>
              <w:t>管理人报酬</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916.74</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应付</w:t>
            </w:r>
            <w:r w:rsidRPr="007A6676">
              <w:rPr>
                <w:rFonts w:asciiTheme="minorEastAsia" w:eastAsiaTheme="minorEastAsia" w:hAnsiTheme="minorEastAsia"/>
                <w:szCs w:val="24"/>
                <w:lang w:val="en-US"/>
              </w:rPr>
              <w:t>托管费</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183.44</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应付销售</w:t>
            </w:r>
            <w:r w:rsidRPr="007A6676">
              <w:rPr>
                <w:rFonts w:asciiTheme="minorEastAsia" w:eastAsiaTheme="minorEastAsia" w:hAnsiTheme="minorEastAsia"/>
                <w:szCs w:val="24"/>
                <w:lang w:val="en-US"/>
              </w:rPr>
              <w:t>费</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hint="eastAsia"/>
              </w:rPr>
              <w:t>-</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hint="eastAsia"/>
                <w:szCs w:val="24"/>
                <w:lang w:val="en-US"/>
              </w:rPr>
              <w:t>应付交易费用</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4,834.23</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ind w:left="270"/>
              <w:rPr>
                <w:rFonts w:asciiTheme="minorEastAsia" w:eastAsiaTheme="minorEastAsia" w:hAnsiTheme="minorEastAsia"/>
                <w:szCs w:val="24"/>
                <w:lang w:val="en-US"/>
              </w:rPr>
            </w:pPr>
            <w:r w:rsidRPr="007A6676">
              <w:rPr>
                <w:rFonts w:asciiTheme="minorEastAsia" w:eastAsiaTheme="minorEastAsia" w:hAnsiTheme="minorEastAsia"/>
                <w:szCs w:val="24"/>
                <w:lang w:val="en-US"/>
              </w:rPr>
              <w:t>其他负债</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rPr>
            </w:pPr>
            <w:r w:rsidRPr="007A6676">
              <w:rPr>
                <w:rFonts w:asciiTheme="minorEastAsia" w:eastAsiaTheme="minorEastAsia" w:hAnsiTheme="minorEastAsia" w:hint="eastAsia"/>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rPr>
            </w:pPr>
            <w:r w:rsidRPr="007A6676">
              <w:rPr>
                <w:rFonts w:asciiTheme="minorEastAsia" w:eastAsiaTheme="minorEastAsia" w:hAnsiTheme="minorEastAsia"/>
              </w:rPr>
              <w:t>16,438.50</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负债合计</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b/>
              </w:rPr>
            </w:pPr>
            <w:r w:rsidRPr="007A6676">
              <w:rPr>
                <w:rFonts w:asciiTheme="minorEastAsia" w:eastAsiaTheme="minorEastAsia" w:hAnsiTheme="minorEastAsia"/>
                <w:b/>
              </w:rPr>
              <w:t>-</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b/>
              </w:rPr>
            </w:pPr>
            <w:r w:rsidRPr="007A6676">
              <w:rPr>
                <w:rFonts w:asciiTheme="minorEastAsia" w:eastAsiaTheme="minorEastAsia" w:hAnsiTheme="minorEastAsia"/>
                <w:b/>
              </w:rPr>
              <w:t>328,246.94</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清算净资产</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b/>
              </w:rPr>
            </w:pPr>
            <w:r w:rsidRPr="007A6676">
              <w:rPr>
                <w:rFonts w:asciiTheme="minorEastAsia" w:eastAsiaTheme="minorEastAsia" w:hAnsiTheme="minorEastAsia"/>
                <w:b/>
              </w:rPr>
              <w:t>320,860.70</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b/>
              </w:rPr>
            </w:pPr>
            <w:r w:rsidRPr="007A6676">
              <w:rPr>
                <w:rFonts w:asciiTheme="minorEastAsia" w:eastAsiaTheme="minorEastAsia" w:hAnsiTheme="minorEastAsia"/>
                <w:b/>
              </w:rPr>
              <w:t>424,156.09</w:t>
            </w:r>
          </w:p>
        </w:tc>
      </w:tr>
      <w:tr w:rsidR="007A6676" w:rsidRPr="007A6676" w:rsidTr="00DE3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7A6676" w:rsidRPr="007A6676" w:rsidRDefault="007A6676" w:rsidP="00DE30F0">
            <w:pPr>
              <w:rPr>
                <w:rFonts w:asciiTheme="minorEastAsia" w:eastAsiaTheme="minorEastAsia" w:hAnsiTheme="minorEastAsia"/>
                <w:b/>
                <w:szCs w:val="24"/>
                <w:lang w:val="en-US"/>
              </w:rPr>
            </w:pPr>
            <w:r w:rsidRPr="007A6676">
              <w:rPr>
                <w:rFonts w:asciiTheme="minorEastAsia" w:eastAsiaTheme="minorEastAsia" w:hAnsiTheme="minorEastAsia"/>
                <w:b/>
                <w:szCs w:val="24"/>
                <w:lang w:val="en-US"/>
              </w:rPr>
              <w:t>负债和清算净资产总计</w:t>
            </w:r>
          </w:p>
        </w:tc>
        <w:tc>
          <w:tcPr>
            <w:tcW w:w="2742" w:type="dxa"/>
            <w:vAlign w:val="center"/>
          </w:tcPr>
          <w:p w:rsidR="007A6676" w:rsidRPr="007A6676" w:rsidRDefault="007A6676" w:rsidP="00DE30F0">
            <w:pPr>
              <w:tabs>
                <w:tab w:val="decimal" w:pos="2148"/>
              </w:tabs>
              <w:ind w:right="120"/>
              <w:rPr>
                <w:rFonts w:asciiTheme="minorEastAsia" w:eastAsiaTheme="minorEastAsia" w:hAnsiTheme="minorEastAsia"/>
                <w:b/>
              </w:rPr>
            </w:pPr>
            <w:r w:rsidRPr="007A6676">
              <w:rPr>
                <w:rFonts w:asciiTheme="minorEastAsia" w:eastAsiaTheme="minorEastAsia" w:hAnsiTheme="minorEastAsia"/>
                <w:b/>
              </w:rPr>
              <w:t>320,860.70</w:t>
            </w:r>
          </w:p>
        </w:tc>
        <w:tc>
          <w:tcPr>
            <w:tcW w:w="2742" w:type="dxa"/>
            <w:shd w:val="clear" w:color="auto" w:fill="auto"/>
            <w:noWrap/>
            <w:vAlign w:val="center"/>
          </w:tcPr>
          <w:p w:rsidR="007A6676" w:rsidRPr="007A6676" w:rsidRDefault="007A6676" w:rsidP="00DE30F0">
            <w:pPr>
              <w:tabs>
                <w:tab w:val="decimal" w:pos="2187"/>
              </w:tabs>
              <w:rPr>
                <w:rFonts w:asciiTheme="minorEastAsia" w:eastAsiaTheme="minorEastAsia" w:hAnsiTheme="minorEastAsia"/>
                <w:b/>
              </w:rPr>
            </w:pPr>
            <w:r w:rsidRPr="007A6676">
              <w:rPr>
                <w:rFonts w:asciiTheme="minorEastAsia" w:eastAsiaTheme="minorEastAsia" w:hAnsiTheme="minorEastAsia"/>
                <w:b/>
              </w:rPr>
              <w:t>752,403.03</w:t>
            </w:r>
          </w:p>
        </w:tc>
      </w:tr>
    </w:tbl>
    <w:p w:rsidR="00E430EA" w:rsidRDefault="00E430EA" w:rsidP="00E430EA">
      <w:pPr>
        <w:tabs>
          <w:tab w:val="left" w:pos="10166"/>
        </w:tabs>
        <w:rPr>
          <w:szCs w:val="24"/>
          <w:lang w:val="en-US"/>
        </w:rPr>
      </w:pPr>
    </w:p>
    <w:p w:rsidR="00E430EA" w:rsidRPr="00F84753" w:rsidRDefault="00E430EA" w:rsidP="00E430EA">
      <w:pPr>
        <w:tabs>
          <w:tab w:val="left" w:pos="10166"/>
        </w:tabs>
        <w:rPr>
          <w:szCs w:val="24"/>
          <w:lang w:val="en-US"/>
        </w:rPr>
      </w:pPr>
    </w:p>
    <w:p w:rsidR="00E430EA" w:rsidRDefault="00E430EA" w:rsidP="00E430EA">
      <w:pPr>
        <w:tabs>
          <w:tab w:val="right" w:pos="9945"/>
        </w:tabs>
        <w:rPr>
          <w:bCs/>
          <w:szCs w:val="24"/>
        </w:rPr>
      </w:pPr>
    </w:p>
    <w:p w:rsidR="00164151" w:rsidRPr="00F84753" w:rsidRDefault="00164151" w:rsidP="00E430EA">
      <w:pPr>
        <w:tabs>
          <w:tab w:val="right" w:pos="9945"/>
        </w:tabs>
        <w:rPr>
          <w:bCs/>
          <w:szCs w:val="24"/>
        </w:rPr>
      </w:pPr>
    </w:p>
    <w:p w:rsidR="00C157B4" w:rsidRPr="00E430EA" w:rsidRDefault="00C157B4" w:rsidP="00C157B4">
      <w:pPr>
        <w:tabs>
          <w:tab w:val="right" w:pos="9945"/>
        </w:tabs>
        <w:rPr>
          <w:rFonts w:ascii="宋体" w:hAnsi="宋体"/>
          <w:bCs/>
          <w:szCs w:val="24"/>
        </w:rPr>
      </w:pPr>
    </w:p>
    <w:p w:rsidR="00A12FBF" w:rsidRDefault="00A12FBF"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6041E8" w:rsidP="00AA6906">
      <w:pPr>
        <w:rPr>
          <w:rFonts w:ascii="宋体" w:hAnsi="宋体"/>
          <w:szCs w:val="24"/>
        </w:rPr>
      </w:pPr>
    </w:p>
    <w:p w:rsidR="006041E8" w:rsidRDefault="00307D9C" w:rsidP="00307D9C">
      <w:pPr>
        <w:tabs>
          <w:tab w:val="left" w:pos="3350"/>
        </w:tabs>
        <w:rPr>
          <w:rFonts w:ascii="宋体" w:hAnsi="宋体"/>
          <w:szCs w:val="24"/>
        </w:rPr>
      </w:pPr>
      <w:r>
        <w:rPr>
          <w:rFonts w:ascii="宋体" w:hAnsi="宋体"/>
          <w:szCs w:val="24"/>
        </w:rPr>
        <w:tab/>
      </w:r>
    </w:p>
    <w:p w:rsidR="00635B1D" w:rsidRPr="001E6A42" w:rsidRDefault="00635B1D" w:rsidP="00C962B8">
      <w:pPr>
        <w:rPr>
          <w:rFonts w:ascii="宋体" w:hAnsi="宋体"/>
          <w:szCs w:val="24"/>
        </w:rPr>
        <w:sectPr w:rsidR="00635B1D" w:rsidRPr="001E6A42" w:rsidSect="00C962B8">
          <w:headerReference w:type="default" r:id="rId42"/>
          <w:type w:val="continuous"/>
          <w:pgSz w:w="11909" w:h="16834" w:code="9"/>
          <w:pgMar w:top="864" w:right="720" w:bottom="432" w:left="1008" w:header="864" w:footer="432" w:gutter="0"/>
          <w:cols w:space="720"/>
          <w:noEndnote/>
          <w:docGrid w:linePitch="360"/>
        </w:sectPr>
      </w:pPr>
    </w:p>
    <w:p w:rsidR="005F0DB9" w:rsidRDefault="005F0DB9" w:rsidP="00C962B8">
      <w:pPr>
        <w:rPr>
          <w:rFonts w:ascii="宋体" w:hAnsi="宋体"/>
          <w:b/>
          <w:szCs w:val="24"/>
          <w:lang w:val="en-US"/>
        </w:rPr>
      </w:pPr>
    </w:p>
    <w:p w:rsidR="001E6A42" w:rsidRDefault="001E6A42" w:rsidP="00C962B8">
      <w:pPr>
        <w:rPr>
          <w:rFonts w:ascii="宋体" w:hAnsi="宋体"/>
          <w:b/>
          <w:szCs w:val="24"/>
          <w:lang w:val="en-US"/>
        </w:rPr>
      </w:pPr>
    </w:p>
    <w:p w:rsidR="00051688" w:rsidRPr="00D95C9C" w:rsidRDefault="006041E8" w:rsidP="000651C6">
      <w:pPr>
        <w:ind w:left="720" w:hanging="720"/>
        <w:rPr>
          <w:rFonts w:ascii="宋体" w:hAnsi="宋体"/>
          <w:b/>
          <w:szCs w:val="24"/>
          <w:lang w:val="en-US"/>
        </w:rPr>
      </w:pPr>
      <w:r>
        <w:rPr>
          <w:rFonts w:ascii="宋体" w:hAnsi="宋体" w:hint="eastAsia"/>
          <w:b/>
          <w:szCs w:val="24"/>
          <w:lang w:val="en-US"/>
        </w:rPr>
        <w:t>5.2</w:t>
      </w:r>
      <w:r w:rsidR="00D12C42" w:rsidRPr="00ED42E2">
        <w:rPr>
          <w:rFonts w:ascii="宋体" w:hAnsi="宋体"/>
          <w:b/>
          <w:szCs w:val="24"/>
          <w:lang w:val="en-US"/>
        </w:rPr>
        <w:t>清算损益表</w:t>
      </w:r>
    </w:p>
    <w:p w:rsidR="000651C6" w:rsidRDefault="000651C6" w:rsidP="00D12C42">
      <w:pPr>
        <w:jc w:val="right"/>
        <w:rPr>
          <w:rFonts w:ascii="宋体" w:hAnsi="宋体"/>
          <w:szCs w:val="24"/>
        </w:rPr>
      </w:pPr>
    </w:p>
    <w:p w:rsidR="00D12C42" w:rsidRDefault="00D12C42" w:rsidP="00D12C42">
      <w:pPr>
        <w:jc w:val="right"/>
        <w:rPr>
          <w:rFonts w:ascii="宋体" w:hAnsi="宋体"/>
          <w:szCs w:val="24"/>
        </w:rPr>
      </w:pPr>
      <w:r w:rsidRPr="00ED42E2">
        <w:rPr>
          <w:rFonts w:ascii="宋体" w:hAnsi="宋体"/>
          <w:szCs w:val="24"/>
        </w:rPr>
        <w:t>单位：人民币元</w:t>
      </w:r>
    </w:p>
    <w:p w:rsidR="00CF1C9F" w:rsidRPr="00ED42E2" w:rsidRDefault="00CF1C9F" w:rsidP="00D12C42">
      <w:pPr>
        <w:jc w:val="right"/>
        <w:rPr>
          <w:rFonts w:ascii="宋体" w:hAnsi="宋体"/>
          <w:szCs w:val="24"/>
        </w:rPr>
      </w:pPr>
    </w:p>
    <w:tbl>
      <w:tblPr>
        <w:tblW w:w="10260" w:type="dxa"/>
        <w:tblInd w:w="5" w:type="dxa"/>
        <w:tblLayout w:type="fixed"/>
        <w:tblCellMar>
          <w:left w:w="0" w:type="dxa"/>
          <w:right w:w="0" w:type="dxa"/>
        </w:tblCellMar>
        <w:tblLook w:val="0000"/>
      </w:tblPr>
      <w:tblGrid>
        <w:gridCol w:w="6660"/>
        <w:gridCol w:w="3600"/>
      </w:tblGrid>
      <w:tr w:rsidR="00307D9C" w:rsidRPr="00307D9C" w:rsidTr="00DE30F0">
        <w:trPr>
          <w:trHeight w:val="20"/>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jc w:val="center"/>
              <w:rPr>
                <w:rFonts w:ascii="宋体" w:hAnsi="宋体"/>
                <w:b/>
                <w:szCs w:val="24"/>
                <w:lang w:val="en-US"/>
              </w:rPr>
            </w:pPr>
            <w:r w:rsidRPr="00307D9C">
              <w:rPr>
                <w:rFonts w:ascii="宋体" w:hAnsi="宋体"/>
                <w:b/>
                <w:szCs w:val="24"/>
                <w:lang w:val="en-US"/>
              </w:rPr>
              <w:t>项目</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307D9C" w:rsidRPr="00307D9C" w:rsidRDefault="00307D9C" w:rsidP="00DE30F0">
            <w:pPr>
              <w:jc w:val="center"/>
              <w:rPr>
                <w:rFonts w:ascii="宋体" w:hAnsi="宋体"/>
                <w:b/>
                <w:szCs w:val="24"/>
                <w:lang w:val="en-US"/>
              </w:rPr>
            </w:pPr>
            <w:r w:rsidRPr="00307D9C">
              <w:rPr>
                <w:rFonts w:ascii="宋体" w:hAnsi="宋体"/>
                <w:b/>
                <w:szCs w:val="24"/>
              </w:rPr>
              <w:t>201</w:t>
            </w:r>
            <w:r w:rsidRPr="00307D9C">
              <w:rPr>
                <w:rFonts w:ascii="宋体" w:hAnsi="宋体" w:hint="eastAsia"/>
                <w:b/>
                <w:szCs w:val="24"/>
              </w:rPr>
              <w:t>8</w:t>
            </w:r>
            <w:r w:rsidRPr="00307D9C">
              <w:rPr>
                <w:rFonts w:ascii="宋体" w:hAnsi="宋体"/>
                <w:b/>
                <w:szCs w:val="24"/>
              </w:rPr>
              <w:t>年8</w:t>
            </w:r>
            <w:r w:rsidRPr="00307D9C">
              <w:rPr>
                <w:rFonts w:ascii="宋体" w:hAnsi="宋体" w:hint="eastAsia"/>
                <w:b/>
                <w:szCs w:val="24"/>
              </w:rPr>
              <w:t>月</w:t>
            </w:r>
            <w:r w:rsidRPr="00307D9C">
              <w:rPr>
                <w:rFonts w:ascii="宋体" w:hAnsi="宋体"/>
                <w:b/>
                <w:szCs w:val="24"/>
              </w:rPr>
              <w:t>30</w:t>
            </w:r>
            <w:r w:rsidRPr="00307D9C">
              <w:rPr>
                <w:rFonts w:ascii="宋体" w:hAnsi="宋体" w:hint="eastAsia"/>
                <w:b/>
                <w:szCs w:val="24"/>
              </w:rPr>
              <w:t>日</w:t>
            </w:r>
            <w:r w:rsidRPr="00307D9C">
              <w:rPr>
                <w:rFonts w:ascii="宋体" w:hAnsi="宋体"/>
                <w:b/>
                <w:szCs w:val="24"/>
                <w:lang w:val="en-US"/>
              </w:rPr>
              <w:t>(清算开始日)</w:t>
            </w:r>
          </w:p>
          <w:p w:rsidR="00307D9C" w:rsidRPr="00307D9C" w:rsidRDefault="00307D9C" w:rsidP="00DE30F0">
            <w:pPr>
              <w:jc w:val="center"/>
              <w:rPr>
                <w:rFonts w:ascii="宋体" w:hAnsi="宋体"/>
                <w:b/>
                <w:szCs w:val="24"/>
              </w:rPr>
            </w:pPr>
            <w:r w:rsidRPr="00307D9C">
              <w:rPr>
                <w:rFonts w:ascii="宋体" w:hAnsi="宋体"/>
                <w:b/>
                <w:szCs w:val="24"/>
              </w:rPr>
              <w:t>至</w:t>
            </w:r>
          </w:p>
          <w:p w:rsidR="00307D9C" w:rsidRPr="00307D9C" w:rsidRDefault="00307D9C" w:rsidP="00DE30F0">
            <w:pPr>
              <w:jc w:val="center"/>
              <w:rPr>
                <w:rFonts w:ascii="宋体" w:hAnsi="宋体"/>
                <w:b/>
                <w:szCs w:val="24"/>
                <w:lang w:val="en-US"/>
              </w:rPr>
            </w:pPr>
            <w:r w:rsidRPr="00307D9C">
              <w:rPr>
                <w:rFonts w:ascii="宋体" w:hAnsi="宋体"/>
                <w:b/>
                <w:szCs w:val="24"/>
              </w:rPr>
              <w:t>201</w:t>
            </w:r>
            <w:r w:rsidRPr="00307D9C">
              <w:rPr>
                <w:rFonts w:ascii="宋体" w:hAnsi="宋体" w:hint="eastAsia"/>
                <w:b/>
                <w:szCs w:val="24"/>
              </w:rPr>
              <w:t>8</w:t>
            </w:r>
            <w:r w:rsidRPr="00307D9C">
              <w:rPr>
                <w:rFonts w:ascii="宋体" w:hAnsi="宋体"/>
                <w:b/>
                <w:szCs w:val="24"/>
              </w:rPr>
              <w:t>年9</w:t>
            </w:r>
            <w:r w:rsidRPr="00307D9C">
              <w:rPr>
                <w:rFonts w:ascii="宋体" w:hAnsi="宋体" w:hint="eastAsia"/>
                <w:b/>
                <w:szCs w:val="24"/>
              </w:rPr>
              <w:t>月</w:t>
            </w:r>
            <w:r w:rsidRPr="00307D9C">
              <w:rPr>
                <w:rFonts w:ascii="宋体" w:hAnsi="宋体"/>
                <w:b/>
                <w:szCs w:val="24"/>
              </w:rPr>
              <w:t>18</w:t>
            </w:r>
            <w:r w:rsidRPr="00307D9C">
              <w:rPr>
                <w:rFonts w:ascii="宋体" w:hAnsi="宋体" w:hint="eastAsia"/>
                <w:b/>
                <w:szCs w:val="24"/>
              </w:rPr>
              <w:t>日</w:t>
            </w:r>
            <w:r w:rsidRPr="00307D9C">
              <w:rPr>
                <w:rFonts w:ascii="宋体" w:hAnsi="宋体"/>
                <w:b/>
                <w:szCs w:val="24"/>
                <w:lang w:val="en-US"/>
              </w:rPr>
              <w:t>(清算结束日)</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numPr>
                <w:ilvl w:val="0"/>
                <w:numId w:val="6"/>
              </w:numPr>
              <w:ind w:left="720" w:hanging="720"/>
              <w:rPr>
                <w:rFonts w:ascii="宋体" w:hAnsi="宋体"/>
                <w:b/>
                <w:bCs/>
                <w:szCs w:val="24"/>
                <w:lang w:val="en-US"/>
              </w:rPr>
            </w:pPr>
            <w:r w:rsidRPr="00307D9C">
              <w:rPr>
                <w:rFonts w:ascii="宋体" w:hAnsi="宋体"/>
                <w:b/>
                <w:bCs/>
                <w:szCs w:val="24"/>
                <w:lang w:val="en-US"/>
              </w:rPr>
              <w:t>清算收益</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tabs>
                <w:tab w:val="decimal" w:pos="2826"/>
              </w:tabs>
              <w:ind w:right="120"/>
              <w:rPr>
                <w:rFonts w:ascii="宋体" w:hAnsi="宋体"/>
                <w:b/>
              </w:rPr>
            </w:pPr>
            <w:r w:rsidRPr="00307D9C">
              <w:rPr>
                <w:rFonts w:ascii="宋体" w:hAnsi="宋体"/>
                <w:b/>
              </w:rPr>
              <w:t>155.21</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ind w:left="720"/>
              <w:rPr>
                <w:rFonts w:ascii="宋体" w:hAnsi="宋体"/>
                <w:bCs/>
                <w:szCs w:val="24"/>
                <w:lang w:val="en-US"/>
              </w:rPr>
            </w:pPr>
            <w:r w:rsidRPr="00307D9C">
              <w:rPr>
                <w:rFonts w:ascii="宋体" w:hAnsi="宋体"/>
                <w:szCs w:val="24"/>
              </w:rPr>
              <w:t>1、利息收入</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tabs>
                <w:tab w:val="decimal" w:pos="2826"/>
              </w:tabs>
              <w:ind w:right="120"/>
              <w:rPr>
                <w:rFonts w:ascii="宋体" w:hAnsi="宋体"/>
                <w:szCs w:val="24"/>
                <w:lang w:val="en-US"/>
              </w:rPr>
            </w:pPr>
            <w:r w:rsidRPr="00307D9C">
              <w:rPr>
                <w:rFonts w:ascii="宋体" w:hAnsi="宋体"/>
              </w:rPr>
              <w:t>155.21</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numPr>
                <w:ilvl w:val="0"/>
                <w:numId w:val="6"/>
              </w:numPr>
              <w:ind w:left="720" w:hanging="720"/>
              <w:rPr>
                <w:rFonts w:ascii="宋体" w:hAnsi="宋体"/>
                <w:b/>
                <w:bCs/>
                <w:szCs w:val="24"/>
                <w:lang w:val="en-US"/>
              </w:rPr>
            </w:pPr>
            <w:r w:rsidRPr="00307D9C">
              <w:rPr>
                <w:rFonts w:ascii="宋体" w:hAnsi="宋体"/>
                <w:b/>
                <w:bCs/>
                <w:szCs w:val="24"/>
                <w:lang w:val="en-US"/>
              </w:rPr>
              <w:t>清算费用</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tabs>
                <w:tab w:val="decimal" w:pos="2826"/>
              </w:tabs>
              <w:ind w:right="120"/>
              <w:rPr>
                <w:rFonts w:ascii="宋体" w:hAnsi="宋体"/>
                <w:b/>
                <w:szCs w:val="24"/>
                <w:lang w:val="en-US"/>
              </w:rPr>
            </w:pPr>
            <w:r w:rsidRPr="00307D9C">
              <w:rPr>
                <w:rFonts w:ascii="宋体" w:hAnsi="宋体"/>
                <w:b/>
                <w:szCs w:val="24"/>
                <w:lang w:val="en-US"/>
              </w:rPr>
              <w:t>3,621.50</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ind w:left="720"/>
              <w:rPr>
                <w:rFonts w:ascii="宋体" w:hAnsi="宋体"/>
                <w:b/>
                <w:bCs/>
                <w:szCs w:val="24"/>
                <w:lang w:val="en-US"/>
              </w:rPr>
            </w:pPr>
            <w:r w:rsidRPr="00307D9C">
              <w:rPr>
                <w:rFonts w:ascii="宋体" w:hAnsi="宋体"/>
                <w:szCs w:val="24"/>
              </w:rPr>
              <w:t>1、</w:t>
            </w:r>
            <w:r w:rsidRPr="00307D9C">
              <w:rPr>
                <w:rFonts w:ascii="宋体" w:hAnsi="宋体" w:hint="eastAsia"/>
                <w:szCs w:val="24"/>
              </w:rPr>
              <w:t>其他费用</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tabs>
                <w:tab w:val="decimal" w:pos="2826"/>
              </w:tabs>
              <w:ind w:right="120"/>
              <w:rPr>
                <w:rFonts w:ascii="宋体" w:hAnsi="宋体"/>
                <w:szCs w:val="24"/>
                <w:lang w:val="en-US"/>
              </w:rPr>
            </w:pPr>
            <w:r w:rsidRPr="00307D9C">
              <w:rPr>
                <w:rFonts w:ascii="宋体" w:hAnsi="宋体"/>
                <w:szCs w:val="24"/>
                <w:lang w:val="en-US"/>
              </w:rPr>
              <w:t>3,621.50</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numPr>
                <w:ilvl w:val="0"/>
                <w:numId w:val="6"/>
              </w:numPr>
              <w:ind w:left="720" w:hanging="720"/>
              <w:rPr>
                <w:rFonts w:ascii="宋体" w:hAnsi="宋体"/>
                <w:b/>
                <w:bCs/>
                <w:szCs w:val="24"/>
                <w:lang w:val="en-US"/>
              </w:rPr>
            </w:pPr>
            <w:r w:rsidRPr="00307D9C">
              <w:rPr>
                <w:rFonts w:ascii="宋体" w:hAnsi="宋体"/>
                <w:b/>
                <w:bCs/>
                <w:szCs w:val="24"/>
                <w:lang w:val="en-US"/>
              </w:rPr>
              <w:t>清算收益</w:t>
            </w:r>
            <w:r w:rsidRPr="00307D9C">
              <w:rPr>
                <w:rFonts w:ascii="宋体" w:hAnsi="宋体" w:hint="eastAsia"/>
                <w:b/>
                <w:bCs/>
                <w:szCs w:val="24"/>
                <w:lang w:val="en-US"/>
              </w:rPr>
              <w:t>(损失)</w:t>
            </w:r>
            <w:r w:rsidRPr="00307D9C">
              <w:rPr>
                <w:rFonts w:ascii="宋体" w:hAnsi="宋体"/>
                <w:b/>
                <w:bCs/>
                <w:szCs w:val="24"/>
                <w:lang w:val="en-US"/>
              </w:rPr>
              <w:t>总额</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pStyle w:val="af7"/>
              <w:tabs>
                <w:tab w:val="decimal" w:pos="2826"/>
              </w:tabs>
              <w:ind w:left="0" w:right="120"/>
              <w:rPr>
                <w:rFonts w:ascii="宋体" w:hAnsi="宋体"/>
                <w:b/>
                <w:szCs w:val="24"/>
                <w:lang w:val="en-US"/>
              </w:rPr>
            </w:pPr>
            <w:r w:rsidRPr="00307D9C">
              <w:rPr>
                <w:rFonts w:ascii="宋体" w:hAnsi="宋体"/>
                <w:b/>
                <w:szCs w:val="24"/>
                <w:lang w:val="en-US"/>
              </w:rPr>
              <w:t>(3,466.29)</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ind w:leftChars="300" w:left="720"/>
              <w:rPr>
                <w:rFonts w:ascii="宋体" w:hAnsi="宋体"/>
                <w:szCs w:val="24"/>
                <w:lang w:val="en-US"/>
              </w:rPr>
            </w:pPr>
            <w:r w:rsidRPr="00307D9C">
              <w:rPr>
                <w:rFonts w:ascii="宋体" w:hAnsi="宋体"/>
                <w:szCs w:val="24"/>
                <w:lang w:val="en-US"/>
              </w:rPr>
              <w:t>减：所得税费用</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tabs>
                <w:tab w:val="decimal" w:pos="2826"/>
              </w:tabs>
              <w:ind w:right="120"/>
              <w:rPr>
                <w:rFonts w:ascii="宋体" w:hAnsi="宋体"/>
                <w:szCs w:val="24"/>
                <w:lang w:val="en-US"/>
              </w:rPr>
            </w:pPr>
            <w:r w:rsidRPr="00307D9C">
              <w:rPr>
                <w:rFonts w:ascii="宋体" w:hAnsi="宋体"/>
                <w:szCs w:val="24"/>
                <w:lang w:val="en-US"/>
              </w:rPr>
              <w:t>-</w:t>
            </w:r>
          </w:p>
        </w:tc>
      </w:tr>
      <w:tr w:rsidR="00307D9C" w:rsidRPr="00307D9C" w:rsidTr="00DE30F0">
        <w:trPr>
          <w:trHeight w:val="20"/>
        </w:trPr>
        <w:tc>
          <w:tcPr>
            <w:tcW w:w="6660" w:type="dxa"/>
            <w:tcBorders>
              <w:top w:val="nil"/>
              <w:left w:val="single" w:sz="4" w:space="0" w:color="auto"/>
              <w:bottom w:val="single" w:sz="4" w:space="0" w:color="auto"/>
              <w:right w:val="single" w:sz="4" w:space="0" w:color="auto"/>
            </w:tcBorders>
            <w:shd w:val="clear" w:color="auto" w:fill="auto"/>
            <w:noWrap/>
            <w:vAlign w:val="center"/>
          </w:tcPr>
          <w:p w:rsidR="00307D9C" w:rsidRPr="00307D9C" w:rsidRDefault="00307D9C" w:rsidP="00DE30F0">
            <w:pPr>
              <w:numPr>
                <w:ilvl w:val="0"/>
                <w:numId w:val="6"/>
              </w:numPr>
              <w:ind w:left="720" w:hanging="720"/>
              <w:rPr>
                <w:rFonts w:ascii="宋体" w:hAnsi="宋体"/>
                <w:b/>
                <w:bCs/>
                <w:szCs w:val="24"/>
                <w:lang w:val="en-US"/>
              </w:rPr>
            </w:pPr>
            <w:r w:rsidRPr="00307D9C">
              <w:rPr>
                <w:rFonts w:ascii="宋体" w:hAnsi="宋体"/>
                <w:b/>
                <w:bCs/>
                <w:szCs w:val="24"/>
                <w:lang w:val="en-US"/>
              </w:rPr>
              <w:t>清算净收益</w:t>
            </w:r>
            <w:r w:rsidRPr="00307D9C">
              <w:rPr>
                <w:rFonts w:ascii="宋体" w:hAnsi="宋体" w:hint="eastAsia"/>
                <w:b/>
                <w:bCs/>
                <w:szCs w:val="24"/>
                <w:lang w:val="en-US"/>
              </w:rPr>
              <w:t>(损失)</w:t>
            </w:r>
          </w:p>
        </w:tc>
        <w:tc>
          <w:tcPr>
            <w:tcW w:w="3600" w:type="dxa"/>
            <w:tcBorders>
              <w:top w:val="nil"/>
              <w:left w:val="nil"/>
              <w:bottom w:val="single" w:sz="4" w:space="0" w:color="auto"/>
              <w:right w:val="single" w:sz="4" w:space="0" w:color="auto"/>
            </w:tcBorders>
            <w:shd w:val="clear" w:color="auto" w:fill="auto"/>
            <w:noWrap/>
            <w:vAlign w:val="center"/>
          </w:tcPr>
          <w:p w:rsidR="00307D9C" w:rsidRPr="00307D9C" w:rsidRDefault="00307D9C" w:rsidP="00DE30F0">
            <w:pPr>
              <w:tabs>
                <w:tab w:val="decimal" w:pos="2826"/>
              </w:tabs>
              <w:ind w:right="120"/>
              <w:rPr>
                <w:rFonts w:ascii="宋体" w:hAnsi="宋体"/>
                <w:b/>
                <w:szCs w:val="24"/>
                <w:lang w:val="en-US"/>
              </w:rPr>
            </w:pPr>
            <w:r w:rsidRPr="00307D9C">
              <w:rPr>
                <w:rFonts w:ascii="宋体" w:hAnsi="宋体"/>
                <w:b/>
                <w:szCs w:val="24"/>
                <w:lang w:val="en-US"/>
              </w:rPr>
              <w:t>(3,466.29)</w:t>
            </w:r>
          </w:p>
        </w:tc>
      </w:tr>
    </w:tbl>
    <w:p w:rsidR="00B96B46" w:rsidRPr="00ED42E2" w:rsidRDefault="00B96B46" w:rsidP="00B71983">
      <w:pPr>
        <w:widowControl w:val="0"/>
        <w:tabs>
          <w:tab w:val="center" w:pos="5387"/>
          <w:tab w:val="center" w:pos="6521"/>
          <w:tab w:val="center" w:pos="7513"/>
          <w:tab w:val="center" w:pos="7938"/>
          <w:tab w:val="center" w:pos="9214"/>
          <w:tab w:val="center" w:pos="10206"/>
        </w:tabs>
        <w:rPr>
          <w:rFonts w:ascii="宋体" w:hAnsi="宋体"/>
          <w:bCs/>
          <w:szCs w:val="24"/>
        </w:rPr>
      </w:pPr>
    </w:p>
    <w:p w:rsidR="00CF1C9F" w:rsidRDefault="00CF1C9F" w:rsidP="006041E8">
      <w:pPr>
        <w:tabs>
          <w:tab w:val="right" w:pos="9945"/>
        </w:tabs>
        <w:rPr>
          <w:rFonts w:ascii="宋体" w:hAnsi="宋体"/>
          <w:bCs/>
          <w:szCs w:val="24"/>
        </w:rPr>
      </w:pPr>
    </w:p>
    <w:p w:rsidR="008054E1" w:rsidRPr="006041E8" w:rsidRDefault="006041E8" w:rsidP="006041E8">
      <w:pPr>
        <w:tabs>
          <w:tab w:val="right" w:pos="9945"/>
        </w:tabs>
        <w:rPr>
          <w:rFonts w:ascii="宋体" w:hAnsi="宋体"/>
          <w:bCs/>
          <w:szCs w:val="24"/>
        </w:rPr>
        <w:sectPr w:rsidR="008054E1" w:rsidRPr="006041E8" w:rsidSect="00635B1D">
          <w:headerReference w:type="default" r:id="rId43"/>
          <w:type w:val="continuous"/>
          <w:pgSz w:w="11909" w:h="16834" w:code="9"/>
          <w:pgMar w:top="864" w:right="720" w:bottom="432" w:left="1008" w:header="864" w:footer="432" w:gutter="0"/>
          <w:cols w:space="720"/>
          <w:noEndnote/>
          <w:docGrid w:linePitch="360"/>
        </w:sectPr>
      </w:pPr>
      <w:r>
        <w:rPr>
          <w:rFonts w:ascii="宋体" w:hAnsi="宋体"/>
          <w:bCs/>
          <w:szCs w:val="24"/>
        </w:rPr>
        <w:t>清算财务报表附注为清算财务报表的组成部分</w:t>
      </w:r>
      <w:r>
        <w:rPr>
          <w:rFonts w:ascii="宋体" w:hAnsi="宋体" w:hint="eastAsia"/>
          <w:bCs/>
          <w:szCs w:val="24"/>
        </w:rPr>
        <w:t>。</w:t>
      </w:r>
    </w:p>
    <w:p w:rsidR="00531E87" w:rsidRPr="006041E8" w:rsidRDefault="006041E8" w:rsidP="006041E8">
      <w:pPr>
        <w:pStyle w:val="a4"/>
        <w:spacing w:line="360" w:lineRule="auto"/>
        <w:ind w:left="720" w:hanging="720"/>
        <w:jc w:val="both"/>
        <w:rPr>
          <w:rFonts w:ascii="宋体" w:hAnsi="宋体"/>
          <w:b/>
          <w:szCs w:val="24"/>
          <w:lang w:eastAsia="zh-CN"/>
        </w:rPr>
      </w:pPr>
      <w:r w:rsidRPr="006041E8">
        <w:rPr>
          <w:rFonts w:ascii="宋体" w:hAnsi="宋体" w:hint="eastAsia"/>
          <w:b/>
          <w:szCs w:val="24"/>
          <w:lang w:eastAsia="zh-CN"/>
        </w:rPr>
        <w:t>5.3 报表附注</w:t>
      </w:r>
    </w:p>
    <w:p w:rsidR="00242D9F" w:rsidRPr="00242D9F" w:rsidRDefault="00242D9F" w:rsidP="00242D9F">
      <w:pPr>
        <w:pStyle w:val="a4"/>
        <w:spacing w:line="360" w:lineRule="auto"/>
        <w:jc w:val="both"/>
        <w:rPr>
          <w:rFonts w:asciiTheme="majorEastAsia" w:eastAsiaTheme="majorEastAsia" w:hAnsiTheme="majorEastAsia"/>
          <w:szCs w:val="24"/>
          <w:lang w:eastAsia="zh-CN"/>
        </w:rPr>
      </w:pPr>
      <w:r w:rsidRPr="00242D9F">
        <w:rPr>
          <w:rFonts w:asciiTheme="majorEastAsia" w:eastAsiaTheme="majorEastAsia" w:hAnsiTheme="majorEastAsia"/>
          <w:szCs w:val="24"/>
          <w:lang w:eastAsia="zh-CN"/>
        </w:rPr>
        <w:t>1</w:t>
      </w:r>
      <w:r w:rsidRPr="00242D9F">
        <w:rPr>
          <w:rFonts w:asciiTheme="majorEastAsia" w:eastAsiaTheme="majorEastAsia" w:hAnsiTheme="majorEastAsia" w:hint="eastAsia"/>
          <w:szCs w:val="24"/>
          <w:lang w:eastAsia="zh-CN"/>
        </w:rPr>
        <w:t>.</w:t>
      </w:r>
      <w:r w:rsidRPr="00242D9F">
        <w:rPr>
          <w:rFonts w:asciiTheme="majorEastAsia" w:eastAsiaTheme="majorEastAsia" w:hAnsiTheme="majorEastAsia"/>
          <w:szCs w:val="24"/>
        </w:rPr>
        <w:tab/>
      </w:r>
      <w:r w:rsidR="007D6F80">
        <w:rPr>
          <w:rFonts w:asciiTheme="majorEastAsia" w:eastAsiaTheme="majorEastAsia" w:hAnsiTheme="majorEastAsia" w:hint="eastAsia"/>
          <w:szCs w:val="24"/>
          <w:lang w:val="en-US"/>
        </w:rPr>
        <w:t>广发安泰回报混合型证券投资基金</w:t>
      </w:r>
      <w:r w:rsidRPr="00242D9F">
        <w:rPr>
          <w:rFonts w:asciiTheme="majorEastAsia" w:eastAsiaTheme="majorEastAsia" w:hAnsiTheme="majorEastAsia" w:hint="eastAsia"/>
          <w:szCs w:val="24"/>
          <w:lang w:eastAsia="zh-CN"/>
        </w:rPr>
        <w:t>简介</w:t>
      </w:r>
    </w:p>
    <w:p w:rsidR="00242D9F" w:rsidRPr="00242D9F" w:rsidRDefault="00242D9F" w:rsidP="00242D9F">
      <w:pPr>
        <w:pStyle w:val="a4"/>
        <w:spacing w:line="360" w:lineRule="auto"/>
        <w:ind w:left="1440" w:hanging="720"/>
        <w:jc w:val="both"/>
        <w:rPr>
          <w:rFonts w:asciiTheme="majorEastAsia" w:eastAsiaTheme="majorEastAsia" w:hAnsiTheme="majorEastAsia"/>
          <w:szCs w:val="24"/>
          <w:lang w:eastAsia="zh-CN"/>
        </w:rPr>
      </w:pPr>
      <w:r w:rsidRPr="00242D9F">
        <w:rPr>
          <w:rFonts w:asciiTheme="majorEastAsia" w:eastAsiaTheme="majorEastAsia" w:hAnsiTheme="majorEastAsia" w:hint="eastAsia"/>
          <w:szCs w:val="24"/>
          <w:lang w:eastAsia="zh-CN"/>
        </w:rPr>
        <w:t>(1)基本情况</w:t>
      </w:r>
    </w:p>
    <w:p w:rsidR="00025B28" w:rsidRPr="00025B28" w:rsidRDefault="00025B28" w:rsidP="00025B28">
      <w:pPr>
        <w:autoSpaceDE w:val="0"/>
        <w:autoSpaceDN w:val="0"/>
        <w:adjustRightInd w:val="0"/>
        <w:spacing w:line="360" w:lineRule="auto"/>
        <w:ind w:left="720"/>
        <w:jc w:val="both"/>
        <w:rPr>
          <w:rFonts w:asciiTheme="majorEastAsia" w:eastAsiaTheme="majorEastAsia" w:hAnsiTheme="majorEastAsia"/>
          <w:color w:val="000000"/>
          <w:lang w:val="en-US"/>
        </w:rPr>
      </w:pPr>
      <w:r w:rsidRPr="00025B28">
        <w:rPr>
          <w:rFonts w:asciiTheme="majorEastAsia" w:eastAsiaTheme="majorEastAsia" w:hAnsiTheme="majorEastAsia" w:hint="eastAsia"/>
          <w:color w:val="000000"/>
          <w:lang w:val="en-US"/>
        </w:rPr>
        <w:t>广发安泰回报混合型证券投资基金(“本基金”)经中国证券监督管理委员会(“中国证监会”)证监许可[2015]745号文核准，由广发基金管理有限公司依照《中华人民共和国证券投资基金法》、《公开募集证券投资基金运作管理办法》等有关规定和《广发安泰回报混合型证券投资基金基金合同》(“基金合同”)发起，于2015年5月14日募集成立。本基金的基金管理人为广发基金管理有限公司，基金托管人为中国民生银行股份有限公司。</w:t>
      </w:r>
    </w:p>
    <w:p w:rsidR="00025B28" w:rsidRPr="00025B28" w:rsidRDefault="00025B28" w:rsidP="00025B28">
      <w:pPr>
        <w:autoSpaceDE w:val="0"/>
        <w:autoSpaceDN w:val="0"/>
        <w:adjustRightInd w:val="0"/>
        <w:spacing w:line="360" w:lineRule="auto"/>
        <w:ind w:left="720"/>
        <w:jc w:val="both"/>
        <w:rPr>
          <w:rFonts w:asciiTheme="majorEastAsia" w:eastAsiaTheme="majorEastAsia" w:hAnsiTheme="majorEastAsia"/>
          <w:color w:val="000000"/>
          <w:lang w:val="en-US"/>
        </w:rPr>
      </w:pPr>
      <w:r w:rsidRPr="00025B28">
        <w:rPr>
          <w:rFonts w:asciiTheme="majorEastAsia" w:eastAsiaTheme="majorEastAsia" w:hAnsiTheme="majorEastAsia" w:hint="eastAsia"/>
          <w:color w:val="000000"/>
          <w:lang w:val="en-US"/>
        </w:rPr>
        <w:t>本基金募集期为2015年5月11日至2015年5月12日，本基金为契约型开放式基金，存续期限不定，募集资金总额为人民币1,535,084,155.44元，有效认购户数为681户。其中，认购资金在募集期间产生的利息共计人民币30,361.40元，折合基金份额30,361.40份，按照基金合同的有关约定计入基金份额持有人的基金账户。本基金募集资金经德勤华永会计师事务所(特殊普通合伙)验资。</w:t>
      </w:r>
    </w:p>
    <w:p w:rsidR="00242D9F" w:rsidRDefault="00025B28" w:rsidP="00025B28">
      <w:pPr>
        <w:autoSpaceDE w:val="0"/>
        <w:autoSpaceDN w:val="0"/>
        <w:adjustRightInd w:val="0"/>
        <w:spacing w:line="360" w:lineRule="auto"/>
        <w:ind w:left="720"/>
        <w:jc w:val="both"/>
        <w:rPr>
          <w:rFonts w:asciiTheme="majorEastAsia" w:eastAsiaTheme="majorEastAsia" w:hAnsiTheme="majorEastAsia"/>
          <w:color w:val="000000"/>
          <w:lang w:val="en-US"/>
        </w:rPr>
      </w:pPr>
      <w:r w:rsidRPr="00025B28">
        <w:rPr>
          <w:rFonts w:asciiTheme="majorEastAsia" w:eastAsiaTheme="majorEastAsia" w:hAnsiTheme="majorEastAsia" w:hint="eastAsia"/>
          <w:color w:val="000000"/>
          <w:lang w:val="en-US"/>
        </w:rPr>
        <w:t>根据《中华人民共和国证券投资基金法》和基金合同等有关规定，本基金的投资范围为具有良好流动性的金融工具，包括国内依法发行上市的股票(包括中小板、创业板及其他经中国证监会核准上市的股票)、权证、股指期货等权益类金融工具，债券等固定收益类金融工具(包括国内依法发行和上市交易的国债、央行票据、地方政府债、金融债、企业债、公司债、次级债、可转换债券、分离交易可转债、可交换债券、中小企业私募债、中期票据、短期融资券、超短期融资券、资产支持证券、债券回购、银行存款、现金等)、国债期货以及法律法规或中国证监会允许基金投资的其他金融工具(但须符合中国证监会相关规定)。如法律法规或监管机构以后允许基金投资其他品种，基金管理人在履行适当程序后，可以将其纳入投资范围。本基金业绩比较基准：三年期定期存款利率(税后)+1%。</w:t>
      </w:r>
    </w:p>
    <w:p w:rsidR="00025B28" w:rsidRPr="00242D9F" w:rsidRDefault="00025B28" w:rsidP="00025B28">
      <w:pPr>
        <w:autoSpaceDE w:val="0"/>
        <w:autoSpaceDN w:val="0"/>
        <w:adjustRightInd w:val="0"/>
        <w:spacing w:line="360" w:lineRule="auto"/>
        <w:ind w:left="720"/>
        <w:jc w:val="both"/>
        <w:rPr>
          <w:rFonts w:asciiTheme="majorEastAsia" w:eastAsiaTheme="majorEastAsia" w:hAnsiTheme="majorEastAsia"/>
          <w:color w:val="000000"/>
          <w:szCs w:val="24"/>
          <w:lang w:val="en-US"/>
        </w:rPr>
      </w:pPr>
    </w:p>
    <w:p w:rsidR="00242D9F" w:rsidRPr="00242D9F" w:rsidRDefault="00242D9F" w:rsidP="00242D9F">
      <w:pPr>
        <w:pStyle w:val="a4"/>
        <w:spacing w:line="360" w:lineRule="auto"/>
        <w:ind w:left="1440" w:hanging="720"/>
        <w:jc w:val="both"/>
        <w:rPr>
          <w:rFonts w:asciiTheme="majorEastAsia" w:eastAsiaTheme="majorEastAsia" w:hAnsiTheme="majorEastAsia"/>
          <w:szCs w:val="24"/>
          <w:lang w:eastAsia="zh-CN"/>
        </w:rPr>
      </w:pPr>
      <w:r w:rsidRPr="00242D9F">
        <w:rPr>
          <w:rFonts w:asciiTheme="majorEastAsia" w:eastAsiaTheme="majorEastAsia" w:hAnsiTheme="majorEastAsia"/>
          <w:szCs w:val="24"/>
          <w:lang w:eastAsia="zh-CN"/>
        </w:rPr>
        <w:t>(2)</w:t>
      </w:r>
      <w:r w:rsidRPr="00242D9F">
        <w:rPr>
          <w:rFonts w:asciiTheme="majorEastAsia" w:eastAsiaTheme="majorEastAsia" w:hAnsiTheme="majorEastAsia" w:hint="eastAsia"/>
          <w:szCs w:val="24"/>
          <w:lang w:eastAsia="zh-CN"/>
        </w:rPr>
        <w:t>清算原因</w:t>
      </w:r>
    </w:p>
    <w:p w:rsidR="00025B28" w:rsidRPr="00025B28" w:rsidRDefault="00025B28" w:rsidP="00025B28">
      <w:pPr>
        <w:autoSpaceDE w:val="0"/>
        <w:autoSpaceDN w:val="0"/>
        <w:adjustRightInd w:val="0"/>
        <w:spacing w:line="360" w:lineRule="auto"/>
        <w:ind w:left="720"/>
        <w:jc w:val="both"/>
        <w:rPr>
          <w:rFonts w:asciiTheme="majorEastAsia" w:eastAsiaTheme="majorEastAsia" w:hAnsiTheme="majorEastAsia"/>
          <w:color w:val="000000"/>
          <w:lang w:val="en-US"/>
        </w:rPr>
      </w:pPr>
      <w:r w:rsidRPr="00025B28">
        <w:rPr>
          <w:rFonts w:asciiTheme="majorEastAsia" w:eastAsiaTheme="majorEastAsia" w:hAnsiTheme="majorEastAsia" w:hint="eastAsia"/>
          <w:color w:val="000000"/>
          <w:lang w:val="en-US"/>
        </w:rPr>
        <w:t>根据《中华人民共和国证券投资基金法》、《公开募集证券投资基金运作管理办法》和基金合同的有关规定，本基金基金合同生效后，连续六十个工作日出现基金份额持有人数量不满200人或者基金资产净值低于5,000万元人民币情形的，基金管理人应当终止基金合同，不需要召开基金份额持有人大会。</w:t>
      </w:r>
    </w:p>
    <w:p w:rsidR="00242D9F" w:rsidRPr="00242D9F" w:rsidRDefault="00025B28" w:rsidP="00025B28">
      <w:pPr>
        <w:autoSpaceDE w:val="0"/>
        <w:autoSpaceDN w:val="0"/>
        <w:adjustRightInd w:val="0"/>
        <w:spacing w:line="360" w:lineRule="auto"/>
        <w:ind w:left="720"/>
        <w:jc w:val="both"/>
        <w:rPr>
          <w:rFonts w:asciiTheme="majorEastAsia" w:eastAsiaTheme="majorEastAsia" w:hAnsiTheme="majorEastAsia"/>
          <w:color w:val="000000"/>
          <w:lang w:val="en-US"/>
        </w:rPr>
      </w:pPr>
      <w:r w:rsidRPr="00025B28">
        <w:rPr>
          <w:rFonts w:asciiTheme="majorEastAsia" w:eastAsiaTheme="majorEastAsia" w:hAnsiTheme="majorEastAsia" w:hint="eastAsia"/>
          <w:color w:val="000000"/>
          <w:lang w:val="en-US"/>
        </w:rPr>
        <w:t>根据本基金的管理人于2018年8月30日公布的《广发基金管理有限公司关于广发安泰回报混合型证券投资基金基金合同终止及基金财产清算的公告》，截至2018年8月29日，本基金已连续60个工作日基金资产净值低于5,000万元，管理人根据基金合同约定终止基金合同，并从2018年8月30</w:t>
      </w:r>
      <w:r>
        <w:rPr>
          <w:rFonts w:asciiTheme="majorEastAsia" w:eastAsiaTheme="majorEastAsia" w:hAnsiTheme="majorEastAsia" w:hint="eastAsia"/>
          <w:color w:val="000000"/>
          <w:lang w:val="en-US"/>
        </w:rPr>
        <w:t>日起对本基金进行变现及清算程序，且无需召开基金份额持有人大会</w:t>
      </w:r>
      <w:r w:rsidR="0045087D" w:rsidRPr="0045087D">
        <w:rPr>
          <w:rFonts w:asciiTheme="majorEastAsia" w:eastAsiaTheme="majorEastAsia" w:hAnsiTheme="majorEastAsia" w:hint="eastAsia"/>
          <w:color w:val="000000"/>
          <w:lang w:val="en-US"/>
        </w:rPr>
        <w:t>。</w:t>
      </w:r>
    </w:p>
    <w:p w:rsidR="00242D9F" w:rsidRPr="00242D9F" w:rsidRDefault="00242D9F" w:rsidP="00242D9F">
      <w:pPr>
        <w:autoSpaceDE w:val="0"/>
        <w:autoSpaceDN w:val="0"/>
        <w:adjustRightInd w:val="0"/>
        <w:spacing w:line="360" w:lineRule="auto"/>
        <w:ind w:left="720"/>
        <w:jc w:val="both"/>
        <w:rPr>
          <w:rFonts w:asciiTheme="majorEastAsia" w:eastAsiaTheme="majorEastAsia" w:hAnsiTheme="majorEastAsia"/>
          <w:color w:val="000000"/>
          <w:szCs w:val="24"/>
        </w:rPr>
      </w:pPr>
    </w:p>
    <w:p w:rsidR="00242D9F" w:rsidRPr="00242D9F" w:rsidRDefault="00242D9F" w:rsidP="00242D9F">
      <w:pPr>
        <w:pStyle w:val="a4"/>
        <w:spacing w:line="360" w:lineRule="auto"/>
        <w:ind w:left="1440" w:hanging="720"/>
        <w:jc w:val="both"/>
        <w:rPr>
          <w:rFonts w:asciiTheme="majorEastAsia" w:eastAsiaTheme="majorEastAsia" w:hAnsiTheme="majorEastAsia"/>
          <w:szCs w:val="24"/>
          <w:lang w:eastAsia="zh-CN"/>
        </w:rPr>
      </w:pPr>
      <w:r w:rsidRPr="00242D9F">
        <w:rPr>
          <w:rFonts w:asciiTheme="majorEastAsia" w:eastAsiaTheme="majorEastAsia" w:hAnsiTheme="majorEastAsia"/>
          <w:szCs w:val="24"/>
          <w:lang w:eastAsia="zh-CN"/>
        </w:rPr>
        <w:t>(3)</w:t>
      </w:r>
      <w:r w:rsidRPr="00242D9F">
        <w:rPr>
          <w:rFonts w:asciiTheme="majorEastAsia" w:eastAsiaTheme="majorEastAsia" w:hAnsiTheme="majorEastAsia" w:hint="eastAsia"/>
          <w:szCs w:val="24"/>
          <w:lang w:eastAsia="zh-CN"/>
        </w:rPr>
        <w:t>清算期间</w:t>
      </w:r>
    </w:p>
    <w:p w:rsidR="00242D9F" w:rsidRPr="00242D9F" w:rsidRDefault="00025B28" w:rsidP="00242D9F">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025B28">
        <w:rPr>
          <w:rFonts w:asciiTheme="majorEastAsia" w:eastAsiaTheme="majorEastAsia" w:hAnsiTheme="majorEastAsia" w:hint="eastAsia"/>
          <w:color w:val="000000"/>
          <w:szCs w:val="24"/>
          <w:lang w:val="en-US"/>
        </w:rPr>
        <w:t>根据广发基金管理有限公司出具的《关于广发安泰回报混合型证券投资基金的清算说明函》，本基金本次清算期间为2018年8月30日至2018年9月18日止</w:t>
      </w:r>
      <w:r w:rsidR="00242D9F" w:rsidRPr="00242D9F">
        <w:rPr>
          <w:rFonts w:asciiTheme="majorEastAsia" w:eastAsiaTheme="majorEastAsia" w:hAnsiTheme="majorEastAsia"/>
          <w:color w:val="000000"/>
          <w:szCs w:val="24"/>
          <w:lang w:val="en-US"/>
        </w:rPr>
        <w:t>。</w:t>
      </w:r>
    </w:p>
    <w:p w:rsidR="00242D9F" w:rsidRPr="00242D9F" w:rsidRDefault="00242D9F" w:rsidP="00242D9F">
      <w:pPr>
        <w:spacing w:line="360" w:lineRule="auto"/>
        <w:rPr>
          <w:rFonts w:asciiTheme="majorEastAsia" w:eastAsiaTheme="majorEastAsia" w:hAnsiTheme="majorEastAsia"/>
          <w:szCs w:val="24"/>
        </w:rPr>
      </w:pPr>
    </w:p>
    <w:p w:rsidR="00242D9F" w:rsidRPr="00242D9F" w:rsidRDefault="00242D9F" w:rsidP="00242D9F">
      <w:pPr>
        <w:spacing w:line="360" w:lineRule="auto"/>
        <w:rPr>
          <w:rFonts w:asciiTheme="majorEastAsia" w:eastAsiaTheme="majorEastAsia" w:hAnsiTheme="majorEastAsia"/>
          <w:szCs w:val="24"/>
        </w:rPr>
      </w:pPr>
      <w:r w:rsidRPr="00242D9F">
        <w:rPr>
          <w:rFonts w:asciiTheme="majorEastAsia" w:eastAsiaTheme="majorEastAsia" w:hAnsiTheme="majorEastAsia" w:hint="eastAsia"/>
          <w:szCs w:val="24"/>
        </w:rPr>
        <w:t>2</w:t>
      </w:r>
      <w:r w:rsidRPr="00242D9F">
        <w:rPr>
          <w:rFonts w:asciiTheme="majorEastAsia" w:eastAsiaTheme="majorEastAsia" w:hAnsiTheme="majorEastAsia"/>
          <w:szCs w:val="24"/>
        </w:rPr>
        <w:t>.</w:t>
      </w:r>
      <w:r w:rsidRPr="00242D9F">
        <w:rPr>
          <w:rFonts w:asciiTheme="majorEastAsia" w:eastAsiaTheme="majorEastAsia" w:hAnsiTheme="majorEastAsia"/>
          <w:szCs w:val="24"/>
        </w:rPr>
        <w:tab/>
        <w:t>清算财务报表的编制基础</w:t>
      </w:r>
    </w:p>
    <w:p w:rsidR="00242D9F" w:rsidRPr="00242D9F" w:rsidRDefault="00242D9F" w:rsidP="00242D9F">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242D9F">
        <w:rPr>
          <w:rFonts w:asciiTheme="majorEastAsia" w:eastAsiaTheme="majorEastAsia" w:hAnsiTheme="majorEastAsia"/>
          <w:color w:val="000000"/>
          <w:szCs w:val="24"/>
          <w:lang w:val="en-US"/>
        </w:rPr>
        <w:t>本清算财务报表是在清算基础上，按照附注</w:t>
      </w:r>
      <w:r w:rsidRPr="00242D9F">
        <w:rPr>
          <w:rFonts w:asciiTheme="majorEastAsia" w:eastAsiaTheme="majorEastAsia" w:hAnsiTheme="majorEastAsia" w:hint="eastAsia"/>
          <w:color w:val="000000"/>
          <w:szCs w:val="24"/>
          <w:lang w:val="en-US"/>
        </w:rPr>
        <w:t>3</w:t>
      </w:r>
      <w:r w:rsidRPr="00242D9F">
        <w:rPr>
          <w:rFonts w:asciiTheme="majorEastAsia" w:eastAsiaTheme="majorEastAsia" w:hAnsiTheme="majorEastAsia"/>
          <w:color w:val="000000"/>
          <w:szCs w:val="24"/>
          <w:lang w:val="en-US"/>
        </w:rPr>
        <w:t>所述的会计政策和会计估计编制。附注</w:t>
      </w:r>
      <w:r w:rsidRPr="00242D9F">
        <w:rPr>
          <w:rFonts w:asciiTheme="majorEastAsia" w:eastAsiaTheme="majorEastAsia" w:hAnsiTheme="majorEastAsia" w:hint="eastAsia"/>
          <w:color w:val="000000"/>
          <w:szCs w:val="24"/>
          <w:lang w:val="en-US"/>
        </w:rPr>
        <w:t>3</w:t>
      </w:r>
      <w:r w:rsidRPr="00242D9F">
        <w:rPr>
          <w:rFonts w:asciiTheme="majorEastAsia" w:eastAsiaTheme="majorEastAsia" w:hAnsiTheme="majorEastAsia"/>
          <w:color w:val="000000"/>
          <w:szCs w:val="24"/>
          <w:lang w:val="en-US"/>
        </w:rPr>
        <w:t>所述的会计政策和会计估计由广发</w:t>
      </w:r>
      <w:r w:rsidRPr="00242D9F">
        <w:rPr>
          <w:rFonts w:asciiTheme="majorEastAsia" w:eastAsiaTheme="majorEastAsia" w:hAnsiTheme="majorEastAsia" w:hint="eastAsia"/>
          <w:color w:val="000000"/>
          <w:szCs w:val="24"/>
          <w:lang w:val="en-US"/>
        </w:rPr>
        <w:t>基金管理</w:t>
      </w:r>
      <w:r w:rsidRPr="00242D9F">
        <w:rPr>
          <w:rFonts w:asciiTheme="majorEastAsia" w:eastAsiaTheme="majorEastAsia" w:hAnsiTheme="majorEastAsia"/>
          <w:color w:val="000000"/>
          <w:szCs w:val="24"/>
          <w:lang w:val="en-US"/>
        </w:rPr>
        <w:t>有限公司</w:t>
      </w:r>
      <w:r w:rsidRPr="00242D9F">
        <w:rPr>
          <w:rFonts w:asciiTheme="majorEastAsia" w:eastAsiaTheme="majorEastAsia" w:hAnsiTheme="majorEastAsia" w:hint="eastAsia"/>
          <w:color w:val="000000"/>
          <w:szCs w:val="24"/>
          <w:lang w:val="en-US"/>
        </w:rPr>
        <w:t>制</w:t>
      </w:r>
      <w:r w:rsidRPr="00242D9F">
        <w:rPr>
          <w:rFonts w:asciiTheme="majorEastAsia" w:eastAsiaTheme="majorEastAsia" w:hAnsiTheme="majorEastAsia"/>
          <w:color w:val="000000"/>
          <w:szCs w:val="24"/>
          <w:lang w:val="en-US"/>
        </w:rPr>
        <w:t>定。</w:t>
      </w:r>
    </w:p>
    <w:p w:rsidR="00242D9F" w:rsidRPr="00242D9F" w:rsidRDefault="00242D9F" w:rsidP="00242D9F">
      <w:pPr>
        <w:autoSpaceDE w:val="0"/>
        <w:autoSpaceDN w:val="0"/>
        <w:adjustRightInd w:val="0"/>
        <w:spacing w:line="360" w:lineRule="auto"/>
        <w:ind w:left="720"/>
        <w:jc w:val="both"/>
        <w:rPr>
          <w:rFonts w:asciiTheme="majorEastAsia" w:eastAsiaTheme="majorEastAsia" w:hAnsiTheme="majorEastAsia"/>
          <w:color w:val="000000"/>
          <w:szCs w:val="24"/>
          <w:lang w:val="en-US"/>
        </w:rPr>
      </w:pPr>
    </w:p>
    <w:p w:rsidR="00242D9F" w:rsidRPr="00242D9F" w:rsidRDefault="00242D9F" w:rsidP="00242D9F">
      <w:pPr>
        <w:pStyle w:val="a4"/>
        <w:spacing w:line="360" w:lineRule="auto"/>
        <w:ind w:left="720" w:hanging="720"/>
        <w:jc w:val="both"/>
        <w:rPr>
          <w:rFonts w:asciiTheme="majorEastAsia" w:eastAsiaTheme="majorEastAsia" w:hAnsiTheme="majorEastAsia"/>
          <w:color w:val="000000"/>
          <w:szCs w:val="24"/>
          <w:lang w:val="en-US"/>
        </w:rPr>
      </w:pPr>
      <w:r w:rsidRPr="00242D9F">
        <w:rPr>
          <w:rFonts w:asciiTheme="majorEastAsia" w:eastAsiaTheme="majorEastAsia" w:hAnsiTheme="majorEastAsia" w:hint="eastAsia"/>
          <w:color w:val="000000"/>
          <w:szCs w:val="24"/>
          <w:lang w:val="en-US" w:eastAsia="zh-CN"/>
        </w:rPr>
        <w:t>3.</w:t>
      </w:r>
      <w:r w:rsidRPr="00242D9F">
        <w:rPr>
          <w:rFonts w:asciiTheme="majorEastAsia" w:eastAsiaTheme="majorEastAsia" w:hAnsiTheme="majorEastAsia"/>
          <w:color w:val="000000"/>
          <w:szCs w:val="24"/>
          <w:lang w:val="en-US"/>
        </w:rPr>
        <w:tab/>
        <w:t>重要会计政策和会计估计</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242D9F">
        <w:rPr>
          <w:rFonts w:asciiTheme="majorEastAsia" w:eastAsiaTheme="majorEastAsia" w:hAnsiTheme="majorEastAsia" w:hint="eastAsia"/>
          <w:color w:val="000000"/>
          <w:szCs w:val="24"/>
          <w:lang w:val="en-US"/>
        </w:rPr>
        <w:t>按照基金合同第十七部分作出的规定，</w:t>
      </w:r>
      <w:r w:rsidRPr="00242D9F">
        <w:rPr>
          <w:rFonts w:asciiTheme="majorEastAsia" w:eastAsiaTheme="majorEastAsia" w:hAnsiTheme="majorEastAsia"/>
          <w:color w:val="000000"/>
          <w:szCs w:val="24"/>
          <w:lang w:val="en-US"/>
        </w:rPr>
        <w:t>本清算财务报表执行的会计政策和会计估计比照证券投资基金现行政策执行，主要包括：</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lang w:val="en-US"/>
        </w:rPr>
      </w:pPr>
    </w:p>
    <w:p w:rsidR="00242D9F" w:rsidRPr="00242D9F" w:rsidRDefault="00242D9F" w:rsidP="00242D9F">
      <w:pPr>
        <w:pStyle w:val="a4"/>
        <w:spacing w:line="360" w:lineRule="auto"/>
        <w:ind w:left="1440" w:hanging="720"/>
        <w:jc w:val="both"/>
        <w:rPr>
          <w:rFonts w:asciiTheme="majorEastAsia" w:eastAsiaTheme="majorEastAsia" w:hAnsiTheme="majorEastAsia"/>
          <w:szCs w:val="24"/>
          <w:u w:val="single"/>
          <w:lang w:eastAsia="zh-CN"/>
        </w:rPr>
      </w:pPr>
      <w:r w:rsidRPr="00242D9F">
        <w:rPr>
          <w:rFonts w:asciiTheme="majorEastAsia" w:eastAsiaTheme="majorEastAsia" w:hAnsiTheme="majorEastAsia" w:hint="eastAsia"/>
          <w:szCs w:val="24"/>
          <w:u w:val="single"/>
          <w:lang w:eastAsia="zh-CN"/>
        </w:rPr>
        <w:t>清算期间</w:t>
      </w:r>
    </w:p>
    <w:p w:rsidR="00242D9F" w:rsidRPr="0045087D" w:rsidRDefault="00025B28" w:rsidP="0045087D">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025B28">
        <w:rPr>
          <w:rFonts w:asciiTheme="majorEastAsia" w:eastAsiaTheme="majorEastAsia" w:hAnsiTheme="majorEastAsia" w:hint="eastAsia"/>
          <w:color w:val="000000"/>
          <w:szCs w:val="24"/>
          <w:lang w:val="en-US"/>
        </w:rPr>
        <w:t>本清算期间为2018年8月30日(清算开始日)至2018年9月18日(清算结束日)止。其中，清算开始日资产负债表金额为清算开始日日初数据</w:t>
      </w:r>
      <w:r w:rsidR="00005AB1">
        <w:rPr>
          <w:rFonts w:asciiTheme="majorEastAsia" w:eastAsiaTheme="majorEastAsia" w:hAnsiTheme="majorEastAsia" w:hint="eastAsia"/>
          <w:color w:val="000000"/>
          <w:szCs w:val="24"/>
          <w:lang w:val="en-US"/>
        </w:rPr>
        <w:t>。</w:t>
      </w:r>
    </w:p>
    <w:p w:rsidR="00242D9F" w:rsidRPr="00242D9F" w:rsidRDefault="00242D9F" w:rsidP="00242D9F">
      <w:pPr>
        <w:spacing w:line="360" w:lineRule="auto"/>
        <w:ind w:leftChars="150" w:left="360"/>
        <w:jc w:val="both"/>
        <w:rPr>
          <w:rFonts w:asciiTheme="majorEastAsia" w:eastAsiaTheme="majorEastAsia" w:hAnsiTheme="majorEastAsia"/>
          <w:szCs w:val="24"/>
        </w:rPr>
      </w:pPr>
    </w:p>
    <w:p w:rsidR="00242D9F" w:rsidRPr="00242D9F" w:rsidRDefault="00242D9F" w:rsidP="00242D9F">
      <w:pPr>
        <w:pStyle w:val="a4"/>
        <w:spacing w:line="360" w:lineRule="auto"/>
        <w:ind w:left="1440" w:hanging="720"/>
        <w:jc w:val="both"/>
        <w:rPr>
          <w:rFonts w:asciiTheme="majorEastAsia" w:eastAsiaTheme="majorEastAsia" w:hAnsiTheme="majorEastAsia"/>
          <w:szCs w:val="24"/>
          <w:u w:val="single"/>
        </w:rPr>
      </w:pPr>
      <w:r w:rsidRPr="00242D9F">
        <w:rPr>
          <w:rFonts w:asciiTheme="majorEastAsia" w:eastAsiaTheme="majorEastAsia" w:hAnsiTheme="majorEastAsia" w:hint="eastAsia"/>
          <w:szCs w:val="24"/>
          <w:u w:val="single"/>
        </w:rPr>
        <w:t>记账本位币</w:t>
      </w:r>
    </w:p>
    <w:p w:rsidR="00242D9F" w:rsidRPr="00242D9F" w:rsidRDefault="00242D9F" w:rsidP="00242D9F">
      <w:pPr>
        <w:pStyle w:val="a4"/>
        <w:spacing w:line="360" w:lineRule="auto"/>
        <w:ind w:left="1440" w:hanging="720"/>
        <w:jc w:val="both"/>
        <w:rPr>
          <w:rFonts w:asciiTheme="majorEastAsia" w:eastAsiaTheme="majorEastAsia" w:hAnsiTheme="majorEastAsia"/>
          <w:color w:val="000000"/>
          <w:szCs w:val="24"/>
          <w:lang w:val="en-US"/>
        </w:rPr>
      </w:pPr>
      <w:r w:rsidRPr="00242D9F">
        <w:rPr>
          <w:rFonts w:asciiTheme="majorEastAsia" w:eastAsiaTheme="majorEastAsia" w:hAnsiTheme="majorEastAsia"/>
          <w:color w:val="000000"/>
          <w:szCs w:val="24"/>
          <w:lang w:val="en-US"/>
        </w:rPr>
        <w:t>本清算财务报表以人民币为记账本位币。</w:t>
      </w:r>
    </w:p>
    <w:p w:rsidR="00242D9F" w:rsidRPr="00242D9F" w:rsidRDefault="00242D9F" w:rsidP="00242D9F">
      <w:pPr>
        <w:pStyle w:val="a4"/>
        <w:spacing w:line="360" w:lineRule="auto"/>
        <w:ind w:left="1440" w:hanging="720"/>
        <w:jc w:val="both"/>
        <w:rPr>
          <w:rFonts w:asciiTheme="majorEastAsia" w:eastAsiaTheme="majorEastAsia" w:hAnsiTheme="majorEastAsia"/>
          <w:color w:val="000000"/>
          <w:szCs w:val="24"/>
          <w:lang w:val="en-US" w:eastAsia="zh-CN"/>
        </w:rPr>
      </w:pPr>
    </w:p>
    <w:p w:rsidR="00242D9F" w:rsidRPr="00242D9F" w:rsidRDefault="00242D9F" w:rsidP="00242D9F">
      <w:pPr>
        <w:pStyle w:val="a4"/>
        <w:spacing w:line="360" w:lineRule="auto"/>
        <w:ind w:left="1440" w:hanging="720"/>
        <w:jc w:val="both"/>
        <w:rPr>
          <w:rFonts w:asciiTheme="majorEastAsia" w:eastAsiaTheme="majorEastAsia" w:hAnsiTheme="majorEastAsia"/>
          <w:color w:val="000000"/>
          <w:u w:val="single"/>
          <w:lang w:val="en-US"/>
        </w:rPr>
      </w:pPr>
      <w:r w:rsidRPr="00242D9F">
        <w:rPr>
          <w:rFonts w:asciiTheme="majorEastAsia" w:eastAsiaTheme="majorEastAsia" w:hAnsiTheme="majorEastAsia" w:hint="eastAsia"/>
          <w:color w:val="000000"/>
          <w:szCs w:val="24"/>
          <w:u w:val="single"/>
          <w:lang w:val="en-US"/>
        </w:rPr>
        <w:t>金融工具</w:t>
      </w:r>
    </w:p>
    <w:p w:rsidR="00242D9F" w:rsidRPr="00242D9F" w:rsidRDefault="00242D9F" w:rsidP="00242D9F">
      <w:pPr>
        <w:spacing w:line="360" w:lineRule="auto"/>
        <w:ind w:firstLine="720"/>
        <w:rPr>
          <w:rFonts w:asciiTheme="majorEastAsia" w:eastAsiaTheme="majorEastAsia" w:hAnsiTheme="majorEastAsia"/>
          <w:color w:val="000000"/>
        </w:rPr>
      </w:pPr>
      <w:r w:rsidRPr="00242D9F">
        <w:rPr>
          <w:rFonts w:asciiTheme="majorEastAsia" w:eastAsiaTheme="majorEastAsia" w:hAnsiTheme="majorEastAsia" w:hint="eastAsia"/>
          <w:color w:val="000000"/>
        </w:rPr>
        <w:t>金融资产和金融负债的分类</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242D9F">
        <w:rPr>
          <w:rFonts w:asciiTheme="majorEastAsia" w:eastAsiaTheme="majorEastAsia" w:hAnsiTheme="majorEastAsia" w:hint="eastAsia"/>
          <w:color w:val="000000"/>
          <w:szCs w:val="24"/>
          <w:lang w:val="en-US"/>
        </w:rPr>
        <w:t>本基金在清算期间将所持有的金融资产划分为交易性金融资产和贷款及应收款项。交易性金融资产包括股票投资。本基金在</w:t>
      </w:r>
      <w:r w:rsidRPr="00242D9F">
        <w:rPr>
          <w:rFonts w:asciiTheme="majorEastAsia" w:eastAsiaTheme="majorEastAsia" w:hAnsiTheme="majorEastAsia"/>
          <w:color w:val="000000"/>
        </w:rPr>
        <w:t>清算期间持有的在活跃市场中没有报价、回收金额固定或可确定的各类应收款项分类为贷款及应收款项。</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rPr>
      </w:pPr>
      <w:r w:rsidRPr="00242D9F">
        <w:rPr>
          <w:rFonts w:asciiTheme="majorEastAsia" w:eastAsiaTheme="majorEastAsia" w:hAnsiTheme="majorEastAsia" w:hint="eastAsia"/>
          <w:color w:val="000000"/>
        </w:rPr>
        <w:t>本</w:t>
      </w:r>
      <w:r w:rsidRPr="00242D9F">
        <w:rPr>
          <w:rFonts w:asciiTheme="majorEastAsia" w:eastAsiaTheme="majorEastAsia" w:hAnsiTheme="majorEastAsia" w:hint="eastAsia"/>
          <w:color w:val="000000"/>
          <w:szCs w:val="24"/>
          <w:lang w:val="en-US"/>
        </w:rPr>
        <w:t>基金</w:t>
      </w:r>
      <w:r w:rsidRPr="00242D9F">
        <w:rPr>
          <w:rFonts w:asciiTheme="majorEastAsia" w:eastAsiaTheme="majorEastAsia" w:hAnsiTheme="majorEastAsia" w:hint="eastAsia"/>
          <w:color w:val="000000"/>
        </w:rPr>
        <w:t>将清算期间持有的金融负债全部划分为其他金融负债。其他金融负债包括各类应付款项。</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rPr>
      </w:pPr>
    </w:p>
    <w:p w:rsidR="00242D9F" w:rsidRPr="00242D9F" w:rsidRDefault="00242D9F" w:rsidP="00242D9F">
      <w:pPr>
        <w:spacing w:line="360" w:lineRule="auto"/>
        <w:ind w:firstLine="720"/>
        <w:rPr>
          <w:rFonts w:asciiTheme="majorEastAsia" w:eastAsiaTheme="majorEastAsia" w:hAnsiTheme="majorEastAsia"/>
          <w:color w:val="000000"/>
        </w:rPr>
      </w:pPr>
      <w:r w:rsidRPr="00242D9F">
        <w:rPr>
          <w:rFonts w:asciiTheme="majorEastAsia" w:eastAsiaTheme="majorEastAsia" w:hAnsiTheme="majorEastAsia" w:hint="eastAsia"/>
          <w:color w:val="000000"/>
        </w:rPr>
        <w:t>金融资产和金融负债的计量和终止确认</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242D9F">
        <w:rPr>
          <w:rFonts w:asciiTheme="majorEastAsia" w:eastAsiaTheme="majorEastAsia" w:hAnsiTheme="majorEastAsia" w:hint="eastAsia"/>
          <w:color w:val="000000"/>
          <w:szCs w:val="24"/>
          <w:lang w:val="en-US"/>
        </w:rPr>
        <w:t>交易性金融资产在清算期间按照公允价值进行计量，公允价值变动形成的利得或损失以及与该等金融资产相关的股利和利息收入计入当期损益；应收款项和其他金融负债采用实际利率法，以摊余成本进行计量。</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rPr>
      </w:pP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lang w:val="en-US"/>
        </w:rPr>
      </w:pPr>
      <w:r w:rsidRPr="00242D9F">
        <w:rPr>
          <w:rFonts w:asciiTheme="majorEastAsia" w:eastAsiaTheme="majorEastAsia" w:hAnsiTheme="majorEastAsia" w:hint="eastAsia"/>
          <w:color w:val="000000"/>
          <w:szCs w:val="24"/>
          <w:lang w:val="en-US"/>
        </w:rPr>
        <w:t>满足下列条件之一的金融资产，予以终止确认：(1)收取该金融资产现金流量的合同权利终止；(2)该金融资产已转移，且将金融资产所有权上几乎所有的风险和报酬转移给转入方；(3)该金融资产已转移，虽然本基金既没有转移也没有保留金融资产所有权上几乎所有的风险和报酬，但是放弃了对该金融资产控制。金融负债的现时义务全部或部分已经解除的，才能终止确认该金融负债或其一部分。</w:t>
      </w:r>
    </w:p>
    <w:p w:rsidR="00242D9F" w:rsidRPr="00242D9F" w:rsidRDefault="00242D9F" w:rsidP="00242D9F">
      <w:pPr>
        <w:autoSpaceDE w:val="0"/>
        <w:autoSpaceDN w:val="0"/>
        <w:adjustRightInd w:val="0"/>
        <w:spacing w:line="360" w:lineRule="auto"/>
        <w:jc w:val="both"/>
        <w:rPr>
          <w:rFonts w:asciiTheme="majorEastAsia" w:eastAsiaTheme="majorEastAsia" w:hAnsiTheme="majorEastAsia"/>
          <w:color w:val="000000"/>
          <w:szCs w:val="24"/>
          <w:lang w:val="en-US"/>
        </w:rPr>
      </w:pPr>
    </w:p>
    <w:p w:rsidR="00242D9F" w:rsidRPr="00242D9F" w:rsidRDefault="00242D9F" w:rsidP="00242D9F">
      <w:pPr>
        <w:pStyle w:val="a4"/>
        <w:spacing w:line="360" w:lineRule="auto"/>
        <w:ind w:left="1440" w:hanging="720"/>
        <w:jc w:val="both"/>
        <w:rPr>
          <w:rFonts w:asciiTheme="majorEastAsia" w:eastAsiaTheme="majorEastAsia" w:hAnsiTheme="majorEastAsia"/>
          <w:szCs w:val="24"/>
          <w:u w:val="single"/>
          <w:lang w:eastAsia="zh-CN"/>
        </w:rPr>
      </w:pPr>
      <w:r w:rsidRPr="00242D9F">
        <w:rPr>
          <w:rFonts w:asciiTheme="majorEastAsia" w:eastAsiaTheme="majorEastAsia" w:hAnsiTheme="majorEastAsia" w:hint="eastAsia"/>
          <w:szCs w:val="24"/>
          <w:u w:val="single"/>
          <w:lang w:eastAsia="zh-CN"/>
        </w:rPr>
        <w:t>清算收益</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szCs w:val="24"/>
        </w:rPr>
      </w:pPr>
      <w:r w:rsidRPr="00242D9F">
        <w:rPr>
          <w:rFonts w:asciiTheme="majorEastAsia" w:eastAsiaTheme="majorEastAsia" w:hAnsiTheme="majorEastAsia"/>
          <w:szCs w:val="24"/>
        </w:rPr>
        <w:t>清算收益主要包括</w:t>
      </w:r>
      <w:r w:rsidRPr="00242D9F">
        <w:rPr>
          <w:rFonts w:asciiTheme="majorEastAsia" w:eastAsiaTheme="majorEastAsia" w:hAnsiTheme="majorEastAsia" w:hint="eastAsia"/>
          <w:color w:val="000000"/>
          <w:szCs w:val="24"/>
          <w:lang w:val="en-US"/>
        </w:rPr>
        <w:t>本基金</w:t>
      </w:r>
      <w:r w:rsidRPr="00242D9F">
        <w:rPr>
          <w:rFonts w:asciiTheme="majorEastAsia" w:eastAsiaTheme="majorEastAsia" w:hAnsiTheme="majorEastAsia"/>
          <w:color w:val="000000"/>
          <w:szCs w:val="24"/>
          <w:lang w:val="en-US"/>
        </w:rPr>
        <w:t>在清算期间收到的银行</w:t>
      </w:r>
      <w:r w:rsidRPr="00242D9F">
        <w:rPr>
          <w:rFonts w:asciiTheme="majorEastAsia" w:eastAsiaTheme="majorEastAsia" w:hAnsiTheme="majorEastAsia"/>
          <w:color w:val="000000"/>
        </w:rPr>
        <w:t>存款利息收入及</w:t>
      </w:r>
      <w:r w:rsidRPr="00242D9F">
        <w:rPr>
          <w:rFonts w:asciiTheme="majorEastAsia" w:eastAsiaTheme="majorEastAsia" w:hAnsiTheme="majorEastAsia" w:hint="eastAsia"/>
          <w:color w:val="000000"/>
        </w:rPr>
        <w:t>其他收入</w:t>
      </w:r>
      <w:r w:rsidRPr="00242D9F">
        <w:rPr>
          <w:rFonts w:asciiTheme="majorEastAsia" w:eastAsiaTheme="majorEastAsia" w:hAnsiTheme="majorEastAsia"/>
          <w:color w:val="000000"/>
        </w:rPr>
        <w:t>；</w:t>
      </w:r>
      <w:r w:rsidRPr="00242D9F">
        <w:rPr>
          <w:rFonts w:asciiTheme="majorEastAsia" w:eastAsiaTheme="majorEastAsia" w:hAnsiTheme="majorEastAsia"/>
          <w:color w:val="000000"/>
          <w:szCs w:val="24"/>
        </w:rPr>
        <w:t>清算</w:t>
      </w:r>
      <w:r w:rsidRPr="00242D9F">
        <w:rPr>
          <w:rFonts w:asciiTheme="majorEastAsia" w:eastAsiaTheme="majorEastAsia" w:hAnsiTheme="majorEastAsia" w:hint="eastAsia"/>
          <w:color w:val="000000"/>
          <w:szCs w:val="24"/>
        </w:rPr>
        <w:t>收益</w:t>
      </w:r>
      <w:r w:rsidRPr="00242D9F">
        <w:rPr>
          <w:rFonts w:asciiTheme="majorEastAsia" w:eastAsiaTheme="majorEastAsia" w:hAnsiTheme="majorEastAsia"/>
          <w:color w:val="000000"/>
          <w:szCs w:val="24"/>
        </w:rPr>
        <w:t>按照实际发生的</w:t>
      </w:r>
      <w:r w:rsidRPr="00242D9F">
        <w:rPr>
          <w:rFonts w:asciiTheme="majorEastAsia" w:eastAsiaTheme="majorEastAsia" w:hAnsiTheme="majorEastAsia" w:hint="eastAsia"/>
          <w:color w:val="000000"/>
          <w:szCs w:val="24"/>
        </w:rPr>
        <w:t>收益</w:t>
      </w:r>
      <w:r w:rsidRPr="00242D9F">
        <w:rPr>
          <w:rFonts w:asciiTheme="majorEastAsia" w:eastAsiaTheme="majorEastAsia" w:hAnsiTheme="majorEastAsia"/>
          <w:color w:val="000000"/>
          <w:szCs w:val="24"/>
        </w:rPr>
        <w:t>金额或未来应</w:t>
      </w:r>
      <w:r w:rsidRPr="00242D9F">
        <w:rPr>
          <w:rFonts w:asciiTheme="majorEastAsia" w:eastAsiaTheme="majorEastAsia" w:hAnsiTheme="majorEastAsia" w:hint="eastAsia"/>
          <w:color w:val="000000"/>
          <w:szCs w:val="24"/>
        </w:rPr>
        <w:t>收取</w:t>
      </w:r>
      <w:r w:rsidRPr="00242D9F">
        <w:rPr>
          <w:rFonts w:asciiTheme="majorEastAsia" w:eastAsiaTheme="majorEastAsia" w:hAnsiTheme="majorEastAsia"/>
          <w:color w:val="000000"/>
          <w:szCs w:val="24"/>
        </w:rPr>
        <w:t>的款项金额计量。</w:t>
      </w:r>
    </w:p>
    <w:p w:rsidR="00242D9F" w:rsidRPr="00242D9F" w:rsidRDefault="00242D9F" w:rsidP="00242D9F">
      <w:pPr>
        <w:widowControl w:val="0"/>
        <w:spacing w:line="360" w:lineRule="auto"/>
        <w:jc w:val="both"/>
        <w:rPr>
          <w:rFonts w:asciiTheme="majorEastAsia" w:eastAsiaTheme="majorEastAsia" w:hAnsiTheme="majorEastAsia"/>
          <w:color w:val="000000"/>
          <w:szCs w:val="24"/>
          <w:lang w:val="en-US"/>
        </w:rPr>
      </w:pPr>
    </w:p>
    <w:p w:rsidR="00242D9F" w:rsidRPr="00242D9F" w:rsidRDefault="00242D9F" w:rsidP="00242D9F">
      <w:pPr>
        <w:pStyle w:val="a4"/>
        <w:spacing w:line="360" w:lineRule="auto"/>
        <w:ind w:left="720"/>
        <w:jc w:val="both"/>
        <w:rPr>
          <w:rFonts w:asciiTheme="majorEastAsia" w:eastAsiaTheme="majorEastAsia" w:hAnsiTheme="majorEastAsia"/>
          <w:szCs w:val="24"/>
          <w:u w:val="single"/>
          <w:lang w:eastAsia="zh-CN"/>
        </w:rPr>
      </w:pPr>
      <w:r w:rsidRPr="00242D9F">
        <w:rPr>
          <w:rFonts w:asciiTheme="majorEastAsia" w:eastAsiaTheme="majorEastAsia" w:hAnsiTheme="majorEastAsia" w:hint="eastAsia"/>
          <w:szCs w:val="24"/>
          <w:u w:val="single"/>
          <w:lang w:eastAsia="zh-CN"/>
        </w:rPr>
        <w:t>清算费用</w:t>
      </w:r>
    </w:p>
    <w:p w:rsidR="00242D9F" w:rsidRPr="00242D9F" w:rsidRDefault="00242D9F" w:rsidP="00242D9F">
      <w:pPr>
        <w:autoSpaceDE w:val="0"/>
        <w:autoSpaceDN w:val="0"/>
        <w:adjustRightInd w:val="0"/>
        <w:spacing w:line="360" w:lineRule="auto"/>
        <w:ind w:left="728"/>
        <w:jc w:val="both"/>
        <w:rPr>
          <w:rFonts w:asciiTheme="majorEastAsia" w:eastAsiaTheme="majorEastAsia" w:hAnsiTheme="majorEastAsia"/>
          <w:color w:val="000000"/>
          <w:szCs w:val="24"/>
        </w:rPr>
      </w:pPr>
      <w:r w:rsidRPr="00242D9F">
        <w:rPr>
          <w:rFonts w:asciiTheme="majorEastAsia" w:eastAsiaTheme="majorEastAsia" w:hAnsiTheme="majorEastAsia"/>
          <w:color w:val="000000"/>
          <w:szCs w:val="24"/>
        </w:rPr>
        <w:t>清算费用</w:t>
      </w:r>
      <w:r w:rsidRPr="00242D9F">
        <w:rPr>
          <w:rFonts w:asciiTheme="majorEastAsia" w:eastAsiaTheme="majorEastAsia" w:hAnsiTheme="majorEastAsia" w:hint="eastAsia"/>
          <w:color w:val="000000"/>
          <w:szCs w:val="24"/>
        </w:rPr>
        <w:t>主要包括</w:t>
      </w:r>
      <w:r w:rsidRPr="00242D9F">
        <w:rPr>
          <w:rFonts w:asciiTheme="majorEastAsia" w:eastAsiaTheme="majorEastAsia" w:hAnsiTheme="majorEastAsia"/>
          <w:szCs w:val="24"/>
        </w:rPr>
        <w:t>本基金在清算期间发生的各项费用；</w:t>
      </w:r>
      <w:r w:rsidRPr="00242D9F">
        <w:rPr>
          <w:rFonts w:asciiTheme="majorEastAsia" w:eastAsiaTheme="majorEastAsia" w:hAnsiTheme="majorEastAsia"/>
          <w:color w:val="000000"/>
          <w:szCs w:val="24"/>
        </w:rPr>
        <w:t>清算费用按照实际发生的费用金额或未来应支付的款项金额计量。</w:t>
      </w:r>
    </w:p>
    <w:p w:rsidR="00242D9F" w:rsidRPr="00242D9F" w:rsidRDefault="00242D9F" w:rsidP="00242D9F">
      <w:pPr>
        <w:spacing w:line="360" w:lineRule="auto"/>
        <w:rPr>
          <w:rFonts w:asciiTheme="majorEastAsia" w:eastAsiaTheme="majorEastAsia" w:hAnsiTheme="majorEastAsia"/>
          <w:szCs w:val="24"/>
        </w:rPr>
      </w:pPr>
    </w:p>
    <w:p w:rsidR="00242D9F" w:rsidRPr="00242D9F" w:rsidRDefault="00242D9F" w:rsidP="00242D9F">
      <w:pPr>
        <w:pStyle w:val="a4"/>
        <w:spacing w:line="360" w:lineRule="auto"/>
        <w:jc w:val="both"/>
        <w:rPr>
          <w:rFonts w:asciiTheme="majorEastAsia" w:eastAsiaTheme="majorEastAsia" w:hAnsiTheme="majorEastAsia"/>
          <w:szCs w:val="24"/>
        </w:rPr>
      </w:pPr>
      <w:r w:rsidRPr="00242D9F">
        <w:rPr>
          <w:rFonts w:asciiTheme="majorEastAsia" w:eastAsiaTheme="majorEastAsia" w:hAnsiTheme="majorEastAsia" w:hint="eastAsia"/>
          <w:szCs w:val="24"/>
          <w:lang w:eastAsia="zh-CN"/>
        </w:rPr>
        <w:t>4.</w:t>
      </w:r>
      <w:r w:rsidRPr="00242D9F">
        <w:rPr>
          <w:rFonts w:asciiTheme="majorEastAsia" w:eastAsiaTheme="majorEastAsia" w:hAnsiTheme="majorEastAsia"/>
          <w:szCs w:val="24"/>
        </w:rPr>
        <w:tab/>
        <w:t>税项</w:t>
      </w:r>
    </w:p>
    <w:p w:rsidR="00242D9F" w:rsidRPr="00975ABC" w:rsidRDefault="00A7414C" w:rsidP="00975ABC">
      <w:pPr>
        <w:autoSpaceDE w:val="0"/>
        <w:autoSpaceDN w:val="0"/>
        <w:adjustRightInd w:val="0"/>
        <w:spacing w:line="360" w:lineRule="auto"/>
        <w:ind w:left="720"/>
        <w:jc w:val="both"/>
        <w:rPr>
          <w:rFonts w:asciiTheme="majorEastAsia" w:eastAsiaTheme="majorEastAsia" w:hAnsiTheme="majorEastAsia"/>
          <w:color w:val="000000"/>
          <w:szCs w:val="24"/>
          <w:lang w:val="en-US"/>
        </w:rPr>
      </w:pPr>
      <w:r w:rsidRPr="00A7414C">
        <w:rPr>
          <w:rFonts w:asciiTheme="majorEastAsia" w:eastAsiaTheme="majorEastAsia" w:hAnsiTheme="majorEastAsia" w:hint="eastAsia"/>
          <w:color w:val="000000"/>
          <w:szCs w:val="24"/>
          <w:lang w:val="en-US"/>
        </w:rPr>
        <w:t>根据财政部、国家税务总局财税[2004]78号《关于证券投资基金税收政策的通知》、财税[2008]1号《财政部、国家税务总局关于企业所得税若干优惠政策的通知》、2008年9月18日《上海、深圳证券交易所关于做好证券交易印花税征收方式调整工作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140号《关于明确金融房地产开发教育辅助服务等增值税政策的通知》、财税[2017]56号《关于资管产品增值税有关问题的通知》、财税[2017]90号《关于租入固定资产进项税额抵扣等增值税政策的通知》及其他相关税务法规和实务操作，主要税项列示</w:t>
      </w:r>
      <w:r>
        <w:rPr>
          <w:rFonts w:asciiTheme="majorEastAsia" w:eastAsiaTheme="majorEastAsia" w:hAnsiTheme="majorEastAsia" w:hint="eastAsia"/>
          <w:color w:val="000000"/>
          <w:szCs w:val="24"/>
          <w:lang w:val="en-US"/>
        </w:rPr>
        <w:t>如下</w:t>
      </w:r>
      <w:r w:rsidR="00242D9F">
        <w:rPr>
          <w:rFonts w:asciiTheme="majorEastAsia" w:eastAsiaTheme="majorEastAsia" w:hAnsiTheme="majorEastAsia" w:hint="eastAsia"/>
          <w:color w:val="000000"/>
          <w:szCs w:val="24"/>
          <w:lang w:val="en-US"/>
        </w:rPr>
        <w:t>：</w:t>
      </w:r>
    </w:p>
    <w:p w:rsidR="00242D9F" w:rsidRPr="00975ABC" w:rsidRDefault="00242D9F" w:rsidP="00975ABC">
      <w:pPr>
        <w:spacing w:line="360" w:lineRule="auto"/>
        <w:ind w:leftChars="250" w:left="708" w:hangingChars="45" w:hanging="108"/>
        <w:rPr>
          <w:rFonts w:ascii="宋体" w:hAnsi="宋体"/>
          <w:color w:val="000000"/>
          <w:szCs w:val="24"/>
        </w:rPr>
      </w:pPr>
      <w:r>
        <w:rPr>
          <w:rFonts w:ascii="宋体" w:hAnsi="宋体" w:hint="eastAsia"/>
          <w:color w:val="000000"/>
          <w:szCs w:val="24"/>
        </w:rPr>
        <w:t>（1）</w:t>
      </w:r>
      <w:r w:rsidRPr="00242D9F">
        <w:rPr>
          <w:rFonts w:ascii="宋体" w:hAnsi="宋体" w:hint="eastAsia"/>
          <w:color w:val="000000"/>
          <w:szCs w:val="24"/>
        </w:rPr>
        <w:t>证券投资基金(封闭式证券投资基金，开放式证券投资基金)管理人运用基金买卖股票、债券免征营业税或增值税；</w:t>
      </w:r>
      <w:r w:rsidRPr="00242D9F">
        <w:rPr>
          <w:rFonts w:ascii="宋体" w:hAnsi="宋体"/>
          <w:color w:val="000000"/>
          <w:szCs w:val="24"/>
        </w:rPr>
        <w:t>2018</w:t>
      </w:r>
      <w:r w:rsidRPr="00242D9F">
        <w:rPr>
          <w:rFonts w:ascii="宋体" w:hAnsi="宋体" w:hint="eastAsia"/>
          <w:color w:val="000000"/>
          <w:szCs w:val="24"/>
        </w:rPr>
        <w:t>年</w:t>
      </w:r>
      <w:r w:rsidRPr="00242D9F">
        <w:rPr>
          <w:rFonts w:ascii="宋体" w:hAnsi="宋体"/>
          <w:color w:val="000000"/>
          <w:szCs w:val="24"/>
        </w:rPr>
        <w:t>1</w:t>
      </w:r>
      <w:r w:rsidRPr="00242D9F">
        <w:rPr>
          <w:rFonts w:ascii="宋体" w:hAnsi="宋体" w:hint="eastAsia"/>
          <w:color w:val="000000"/>
          <w:szCs w:val="24"/>
        </w:rPr>
        <w:t>月</w:t>
      </w:r>
      <w:r w:rsidRPr="00242D9F">
        <w:rPr>
          <w:rFonts w:ascii="宋体" w:hAnsi="宋体"/>
          <w:color w:val="000000"/>
          <w:szCs w:val="24"/>
        </w:rPr>
        <w:t>1</w:t>
      </w:r>
      <w:r w:rsidRPr="00242D9F">
        <w:rPr>
          <w:rFonts w:ascii="宋体" w:hAnsi="宋体" w:hint="eastAsia"/>
          <w:color w:val="000000"/>
          <w:szCs w:val="24"/>
        </w:rPr>
        <w:t>日起，公开募集证券投资基金运营过程中发生的其他增值税应税行为，以基金管理人为增值税纳税人，暂适用简易计税方法，按照</w:t>
      </w:r>
      <w:r w:rsidRPr="00242D9F">
        <w:rPr>
          <w:rFonts w:ascii="宋体" w:hAnsi="宋体"/>
          <w:color w:val="000000"/>
          <w:szCs w:val="24"/>
        </w:rPr>
        <w:t>3%</w:t>
      </w:r>
      <w:r w:rsidRPr="00242D9F">
        <w:rPr>
          <w:rFonts w:ascii="宋体" w:hAnsi="宋体" w:hint="eastAsia"/>
          <w:color w:val="000000"/>
          <w:szCs w:val="24"/>
        </w:rPr>
        <w:t>的征收率缴纳增值税</w:t>
      </w:r>
      <w:r w:rsidRPr="00242D9F">
        <w:rPr>
          <w:rFonts w:ascii="宋体" w:hAnsi="宋体"/>
          <w:color w:val="000000"/>
          <w:szCs w:val="24"/>
        </w:rPr>
        <w:t>。</w:t>
      </w:r>
    </w:p>
    <w:p w:rsidR="00242D9F" w:rsidRPr="00975ABC" w:rsidRDefault="00242D9F" w:rsidP="00975ABC">
      <w:pPr>
        <w:spacing w:line="360" w:lineRule="auto"/>
        <w:ind w:leftChars="250" w:left="708" w:hangingChars="45" w:hanging="108"/>
        <w:rPr>
          <w:rFonts w:ascii="宋体" w:hAnsi="宋体"/>
          <w:color w:val="000000"/>
          <w:szCs w:val="24"/>
        </w:rPr>
      </w:pPr>
      <w:r>
        <w:rPr>
          <w:rFonts w:ascii="宋体" w:hAnsi="宋体" w:hint="eastAsia"/>
          <w:color w:val="000000"/>
          <w:szCs w:val="24"/>
        </w:rPr>
        <w:t>（2）</w:t>
      </w:r>
      <w:r w:rsidRPr="00242D9F">
        <w:rPr>
          <w:rFonts w:ascii="宋体" w:hAnsi="宋体"/>
          <w:color w:val="000000"/>
          <w:szCs w:val="24"/>
        </w:rPr>
        <w:t>对证券投资基金从</w:t>
      </w:r>
      <w:r w:rsidRPr="00242D9F">
        <w:rPr>
          <w:rFonts w:ascii="宋体" w:hAnsi="宋体" w:hint="eastAsia"/>
          <w:color w:val="000000"/>
          <w:szCs w:val="24"/>
        </w:rPr>
        <w:t>证券市场</w:t>
      </w:r>
      <w:r w:rsidRPr="00242D9F">
        <w:rPr>
          <w:rFonts w:ascii="宋体" w:hAnsi="宋体"/>
          <w:color w:val="000000"/>
          <w:szCs w:val="24"/>
        </w:rPr>
        <w:t>中取得的收入，包括买卖股票、债券的差价收入，股权的股息、红利收入，债券的利息收入及其他收入，暂不缴纳企业所得税。</w:t>
      </w:r>
    </w:p>
    <w:p w:rsidR="00242D9F" w:rsidRPr="00975ABC" w:rsidRDefault="00242D9F" w:rsidP="00975ABC">
      <w:pPr>
        <w:spacing w:line="360" w:lineRule="auto"/>
        <w:ind w:leftChars="250" w:left="708" w:hangingChars="45" w:hanging="108"/>
        <w:rPr>
          <w:rFonts w:ascii="宋体" w:hAnsi="宋体"/>
          <w:color w:val="000000"/>
          <w:szCs w:val="24"/>
        </w:rPr>
      </w:pPr>
      <w:r>
        <w:rPr>
          <w:rFonts w:ascii="宋体" w:hAnsi="宋体" w:hint="eastAsia"/>
          <w:color w:val="000000"/>
          <w:szCs w:val="24"/>
        </w:rPr>
        <w:t>（3）</w:t>
      </w:r>
      <w:r w:rsidRPr="00242D9F">
        <w:rPr>
          <w:rFonts w:ascii="宋体" w:hAnsi="宋体" w:hint="eastAsia"/>
          <w:color w:val="000000"/>
          <w:szCs w:val="24"/>
        </w:rPr>
        <w:t>对基金取得的股票股息、红利收入，由上市公司在收到相关扣收税款当月的法定申报期内向主管税务机关申报缴纳，从公开发行和转让市场取得的上市公司股票，持股期限在1个月以内(含1个月)的，其股息红利所得全额计入应纳税所得额；持股期限在1个月以上至1年(含1年)的，暂减按50%计入应纳税所得额；持股期限超过1年的，股息红利所得暂免征收个人所得税。上述所得统一适用20%的税率计征个人所得税。</w:t>
      </w:r>
    </w:p>
    <w:p w:rsidR="00242D9F" w:rsidRPr="00975ABC" w:rsidRDefault="00242D9F" w:rsidP="00975ABC">
      <w:pPr>
        <w:spacing w:line="360" w:lineRule="auto"/>
        <w:ind w:leftChars="250" w:left="708" w:hangingChars="45" w:hanging="108"/>
        <w:rPr>
          <w:rFonts w:ascii="宋体" w:hAnsi="宋体"/>
          <w:color w:val="000000"/>
          <w:szCs w:val="24"/>
        </w:rPr>
      </w:pPr>
      <w:r>
        <w:rPr>
          <w:rFonts w:ascii="宋体" w:hAnsi="宋体" w:hint="eastAsia"/>
          <w:color w:val="000000"/>
          <w:szCs w:val="24"/>
        </w:rPr>
        <w:t>（4）</w:t>
      </w:r>
      <w:r w:rsidRPr="00242D9F">
        <w:rPr>
          <w:rFonts w:ascii="宋体" w:hAnsi="宋体" w:hint="eastAsia"/>
          <w:color w:val="000000"/>
          <w:szCs w:val="24"/>
        </w:rPr>
        <w:t>对基金取得的债券利息收入，由发行债券的企业在向基金支付上述收入时代扣代缴</w:t>
      </w:r>
      <w:r w:rsidRPr="00242D9F">
        <w:rPr>
          <w:rFonts w:ascii="宋体" w:hAnsi="宋体"/>
          <w:color w:val="000000"/>
          <w:szCs w:val="24"/>
        </w:rPr>
        <w:t>20%</w:t>
      </w:r>
      <w:r w:rsidRPr="00242D9F">
        <w:rPr>
          <w:rFonts w:ascii="宋体" w:hAnsi="宋体" w:hint="eastAsia"/>
          <w:color w:val="000000"/>
          <w:szCs w:val="24"/>
        </w:rPr>
        <w:t>的个人所得税，暂不缴纳企业所得税。</w:t>
      </w:r>
    </w:p>
    <w:p w:rsidR="00242D9F" w:rsidRPr="00242D9F" w:rsidRDefault="00242D9F" w:rsidP="00242D9F">
      <w:pPr>
        <w:spacing w:line="360" w:lineRule="auto"/>
        <w:ind w:leftChars="250" w:left="708" w:hangingChars="45" w:hanging="108"/>
        <w:rPr>
          <w:rFonts w:ascii="宋体" w:hAnsi="宋体"/>
          <w:color w:val="000000"/>
          <w:szCs w:val="24"/>
        </w:rPr>
      </w:pPr>
      <w:r>
        <w:rPr>
          <w:rFonts w:ascii="宋体" w:hAnsi="宋体" w:hint="eastAsia"/>
          <w:color w:val="000000"/>
          <w:szCs w:val="24"/>
        </w:rPr>
        <w:t>（5）</w:t>
      </w:r>
      <w:r w:rsidRPr="00242D9F">
        <w:rPr>
          <w:rFonts w:ascii="宋体" w:hAnsi="宋体" w:hint="eastAsia"/>
          <w:color w:val="000000"/>
          <w:szCs w:val="24"/>
        </w:rPr>
        <w:t>对于基金从事</w:t>
      </w:r>
      <w:r w:rsidRPr="00242D9F">
        <w:rPr>
          <w:rFonts w:ascii="宋体" w:hAnsi="宋体"/>
          <w:color w:val="000000"/>
          <w:szCs w:val="24"/>
        </w:rPr>
        <w:t>A</w:t>
      </w:r>
      <w:r w:rsidRPr="00242D9F">
        <w:rPr>
          <w:rFonts w:ascii="宋体" w:hAnsi="宋体" w:hint="eastAsia"/>
          <w:color w:val="000000"/>
          <w:szCs w:val="24"/>
        </w:rPr>
        <w:t>股买卖，出让方按</w:t>
      </w:r>
      <w:r w:rsidRPr="00242D9F">
        <w:rPr>
          <w:rFonts w:ascii="宋体" w:hAnsi="宋体"/>
          <w:color w:val="000000"/>
          <w:szCs w:val="24"/>
        </w:rPr>
        <w:t>0.10%</w:t>
      </w:r>
      <w:r w:rsidRPr="00242D9F">
        <w:rPr>
          <w:rFonts w:ascii="宋体" w:hAnsi="宋体" w:hint="eastAsia"/>
          <w:color w:val="000000"/>
          <w:szCs w:val="24"/>
        </w:rPr>
        <w:t>的税率缴纳证券</w:t>
      </w:r>
      <w:r w:rsidRPr="00242D9F">
        <w:rPr>
          <w:rFonts w:ascii="宋体" w:hAnsi="宋体"/>
          <w:color w:val="000000"/>
          <w:szCs w:val="24"/>
        </w:rPr>
        <w:t>(</w:t>
      </w:r>
      <w:r w:rsidRPr="00242D9F">
        <w:rPr>
          <w:rFonts w:ascii="宋体" w:hAnsi="宋体" w:hint="eastAsia"/>
          <w:color w:val="000000"/>
          <w:szCs w:val="24"/>
        </w:rPr>
        <w:t>股票</w:t>
      </w:r>
      <w:r w:rsidRPr="00242D9F">
        <w:rPr>
          <w:rFonts w:ascii="宋体" w:hAnsi="宋体"/>
          <w:color w:val="000000"/>
          <w:szCs w:val="24"/>
        </w:rPr>
        <w:t>)</w:t>
      </w:r>
      <w:r w:rsidRPr="00242D9F">
        <w:rPr>
          <w:rFonts w:ascii="宋体" w:hAnsi="宋体" w:hint="eastAsia"/>
          <w:color w:val="000000"/>
          <w:szCs w:val="24"/>
        </w:rPr>
        <w:t>交易印花税，对受让方不再缴纳印花税。</w:t>
      </w:r>
    </w:p>
    <w:p w:rsidR="00242D9F" w:rsidRPr="00242D9F" w:rsidRDefault="00242D9F" w:rsidP="00242D9F">
      <w:pPr>
        <w:autoSpaceDE w:val="0"/>
        <w:autoSpaceDN w:val="0"/>
        <w:adjustRightInd w:val="0"/>
        <w:spacing w:line="360" w:lineRule="auto"/>
        <w:ind w:left="720"/>
        <w:jc w:val="both"/>
        <w:rPr>
          <w:rFonts w:asciiTheme="majorEastAsia" w:eastAsiaTheme="majorEastAsia" w:hAnsiTheme="majorEastAsia"/>
          <w:color w:val="000000"/>
          <w:lang w:val="en-US"/>
        </w:rPr>
      </w:pPr>
    </w:p>
    <w:p w:rsidR="0076320C" w:rsidRPr="0076320C" w:rsidRDefault="00242D9F" w:rsidP="0076320C">
      <w:pPr>
        <w:pStyle w:val="1"/>
        <w:rPr>
          <w:lang w:eastAsia="zh-CN"/>
        </w:rPr>
      </w:pPr>
      <w:r w:rsidRPr="00242D9F">
        <w:rPr>
          <w:rFonts w:hint="eastAsia"/>
        </w:rPr>
        <w:t>本清算财务报表于</w:t>
      </w:r>
      <w:r w:rsidRPr="00242D9F">
        <w:t>201</w:t>
      </w:r>
      <w:r w:rsidRPr="00242D9F">
        <w:rPr>
          <w:lang w:eastAsia="zh-CN"/>
        </w:rPr>
        <w:t>8</w:t>
      </w:r>
      <w:r w:rsidR="00A85586">
        <w:rPr>
          <w:rFonts w:hint="eastAsia"/>
          <w:lang w:eastAsia="zh-CN"/>
        </w:rPr>
        <w:t>年</w:t>
      </w:r>
      <w:r w:rsidR="0076320C">
        <w:rPr>
          <w:rFonts w:hint="eastAsia"/>
          <w:lang w:eastAsia="zh-CN"/>
        </w:rPr>
        <w:t>11</w:t>
      </w:r>
      <w:r w:rsidRPr="00242D9F">
        <w:rPr>
          <w:rFonts w:hint="eastAsia"/>
          <w:lang w:eastAsia="zh-CN"/>
        </w:rPr>
        <w:t>月</w:t>
      </w:r>
      <w:r w:rsidR="0076320C">
        <w:rPr>
          <w:rFonts w:hint="eastAsia"/>
          <w:lang w:eastAsia="zh-CN"/>
        </w:rPr>
        <w:t>28</w:t>
      </w:r>
      <w:r w:rsidRPr="00242D9F">
        <w:rPr>
          <w:rFonts w:hint="eastAsia"/>
          <w:lang w:eastAsia="zh-CN"/>
        </w:rPr>
        <w:t>日</w:t>
      </w:r>
      <w:r w:rsidRPr="00242D9F">
        <w:t>已经</w:t>
      </w:r>
      <w:r w:rsidRPr="00242D9F">
        <w:rPr>
          <w:color w:val="000000"/>
          <w:lang w:val="en-US" w:eastAsia="zh-CN"/>
        </w:rPr>
        <w:t>本基金</w:t>
      </w:r>
      <w:r w:rsidRPr="00242D9F">
        <w:t>的</w:t>
      </w:r>
      <w:r w:rsidRPr="00242D9F">
        <w:rPr>
          <w:rFonts w:hint="eastAsia"/>
          <w:lang w:eastAsia="zh-CN"/>
        </w:rPr>
        <w:t>基金</w:t>
      </w:r>
      <w:r w:rsidRPr="00242D9F">
        <w:t>管理人批准报出</w:t>
      </w:r>
      <w:r w:rsidRPr="00242D9F">
        <w:rPr>
          <w:lang w:eastAsia="zh-CN"/>
        </w:rPr>
        <w:t>。</w:t>
      </w:r>
    </w:p>
    <w:p w:rsidR="00A85586" w:rsidRPr="00A85586" w:rsidRDefault="00A85586" w:rsidP="006B5C20">
      <w:pPr>
        <w:autoSpaceDE w:val="0"/>
        <w:autoSpaceDN w:val="0"/>
        <w:adjustRightInd w:val="0"/>
        <w:spacing w:line="360" w:lineRule="auto"/>
        <w:jc w:val="both"/>
        <w:rPr>
          <w:rFonts w:ascii="宋体" w:hAnsi="宋体"/>
          <w:szCs w:val="24"/>
        </w:rPr>
      </w:pPr>
    </w:p>
    <w:p w:rsidR="006041E8" w:rsidRPr="005906E7" w:rsidRDefault="006041E8" w:rsidP="006041E8">
      <w:pPr>
        <w:pStyle w:val="1"/>
        <w:spacing w:line="360" w:lineRule="auto"/>
        <w:ind w:left="0" w:hanging="567"/>
        <w:jc w:val="center"/>
        <w:rPr>
          <w:b/>
        </w:rPr>
      </w:pPr>
      <w:bookmarkStart w:id="7" w:name="_Toc497242351"/>
      <w:bookmarkStart w:id="8" w:name="_Toc524628632"/>
      <w:r w:rsidRPr="005906E7">
        <w:rPr>
          <w:rFonts w:hint="eastAsia"/>
          <w:b/>
        </w:rPr>
        <w:t>其他</w:t>
      </w:r>
      <w:r>
        <w:rPr>
          <w:rFonts w:hint="eastAsia"/>
          <w:b/>
        </w:rPr>
        <w:t>说明</w:t>
      </w:r>
      <w:r w:rsidRPr="005906E7">
        <w:rPr>
          <w:rFonts w:hint="eastAsia"/>
          <w:b/>
        </w:rPr>
        <w:t>事项</w:t>
      </w:r>
      <w:bookmarkEnd w:id="7"/>
      <w:bookmarkEnd w:id="8"/>
    </w:p>
    <w:p w:rsidR="00A913C6" w:rsidRDefault="00721521" w:rsidP="00721521">
      <w:pPr>
        <w:autoSpaceDE w:val="0"/>
        <w:autoSpaceDN w:val="0"/>
        <w:adjustRightInd w:val="0"/>
        <w:spacing w:line="360" w:lineRule="auto"/>
        <w:ind w:left="720"/>
        <w:jc w:val="both"/>
        <w:rPr>
          <w:rFonts w:ascii="宋体" w:hAnsi="宋体"/>
          <w:color w:val="000000"/>
          <w:szCs w:val="24"/>
          <w:lang w:val="en-US"/>
        </w:rPr>
      </w:pPr>
      <w:r>
        <w:rPr>
          <w:rFonts w:ascii="宋体" w:hAnsi="宋体" w:hint="eastAsia"/>
          <w:color w:val="000000"/>
          <w:szCs w:val="24"/>
          <w:lang w:val="en-US"/>
        </w:rPr>
        <w:t>清算结束日至清算款划出日前一日的银行存款（包括活期存款、最低备付金、交易保证金）产生的利息亦属份额持有人所有，期间的应收利息以当前适用的利率按日计算。</w:t>
      </w:r>
    </w:p>
    <w:p w:rsidR="00975ABC" w:rsidRDefault="00975ABC" w:rsidP="00721521">
      <w:pPr>
        <w:autoSpaceDE w:val="0"/>
        <w:autoSpaceDN w:val="0"/>
        <w:adjustRightInd w:val="0"/>
        <w:spacing w:line="360" w:lineRule="auto"/>
        <w:ind w:left="720"/>
        <w:jc w:val="both"/>
        <w:rPr>
          <w:rFonts w:ascii="宋体" w:hAnsi="宋体"/>
          <w:szCs w:val="24"/>
        </w:rPr>
      </w:pPr>
    </w:p>
    <w:p w:rsidR="0076320C" w:rsidRDefault="0076320C" w:rsidP="00721521">
      <w:pPr>
        <w:autoSpaceDE w:val="0"/>
        <w:autoSpaceDN w:val="0"/>
        <w:adjustRightInd w:val="0"/>
        <w:spacing w:line="360" w:lineRule="auto"/>
        <w:ind w:left="720"/>
        <w:jc w:val="both"/>
        <w:rPr>
          <w:rFonts w:ascii="宋体" w:hAnsi="宋体"/>
          <w:szCs w:val="24"/>
        </w:rPr>
      </w:pPr>
    </w:p>
    <w:p w:rsidR="0076320C" w:rsidRDefault="0076320C" w:rsidP="00721521">
      <w:pPr>
        <w:autoSpaceDE w:val="0"/>
        <w:autoSpaceDN w:val="0"/>
        <w:adjustRightInd w:val="0"/>
        <w:spacing w:line="360" w:lineRule="auto"/>
        <w:ind w:left="720"/>
        <w:jc w:val="both"/>
        <w:rPr>
          <w:rFonts w:ascii="宋体" w:hAnsi="宋体"/>
          <w:szCs w:val="24"/>
        </w:rPr>
      </w:pPr>
    </w:p>
    <w:p w:rsidR="006041E8" w:rsidRPr="005906E7" w:rsidRDefault="006041E8" w:rsidP="006041E8">
      <w:pPr>
        <w:pStyle w:val="1"/>
        <w:spacing w:line="360" w:lineRule="auto"/>
        <w:ind w:left="567" w:hanging="567"/>
        <w:jc w:val="center"/>
        <w:rPr>
          <w:b/>
        </w:rPr>
      </w:pPr>
      <w:bookmarkStart w:id="9" w:name="_Toc497242352"/>
      <w:bookmarkStart w:id="10" w:name="_Toc524628633"/>
      <w:r w:rsidRPr="005906E7">
        <w:rPr>
          <w:rFonts w:hint="eastAsia"/>
          <w:b/>
        </w:rPr>
        <w:t>备查文件目录</w:t>
      </w:r>
      <w:bookmarkEnd w:id="9"/>
      <w:bookmarkEnd w:id="10"/>
    </w:p>
    <w:p w:rsidR="004707A3" w:rsidRPr="005906E7" w:rsidRDefault="004707A3" w:rsidP="004707A3">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（1）</w:t>
      </w:r>
      <w:r>
        <w:rPr>
          <w:rFonts w:ascii="宋体" w:hAnsi="宋体" w:hint="eastAsia"/>
          <w:color w:val="000000"/>
          <w:szCs w:val="24"/>
          <w:lang w:val="en-US"/>
        </w:rPr>
        <w:t>《</w:t>
      </w:r>
      <w:r w:rsidRPr="005906E7">
        <w:rPr>
          <w:rFonts w:ascii="宋体" w:hAnsi="宋体"/>
          <w:color w:val="000000"/>
          <w:szCs w:val="24"/>
          <w:lang w:val="en-US"/>
        </w:rPr>
        <w:t>审计报告</w:t>
      </w:r>
      <w:r>
        <w:rPr>
          <w:rFonts w:ascii="宋体" w:hAnsi="宋体" w:hint="eastAsia"/>
          <w:color w:val="000000"/>
          <w:szCs w:val="24"/>
          <w:lang w:val="en-US"/>
        </w:rPr>
        <w:t>》</w:t>
      </w:r>
    </w:p>
    <w:p w:rsidR="004707A3" w:rsidRPr="005906E7" w:rsidRDefault="004707A3" w:rsidP="00975ABC">
      <w:pPr>
        <w:autoSpaceDE w:val="0"/>
        <w:autoSpaceDN w:val="0"/>
        <w:adjustRightInd w:val="0"/>
        <w:spacing w:line="360" w:lineRule="auto"/>
        <w:ind w:leftChars="300" w:left="1274" w:hangingChars="231" w:hanging="554"/>
        <w:jc w:val="both"/>
        <w:rPr>
          <w:rFonts w:ascii="宋体" w:hAnsi="宋体"/>
          <w:color w:val="000000"/>
          <w:szCs w:val="24"/>
          <w:lang w:val="en-US"/>
        </w:rPr>
      </w:pPr>
      <w:r w:rsidRPr="0060501A">
        <w:rPr>
          <w:rFonts w:ascii="宋体" w:hAnsi="宋体" w:hint="eastAsia"/>
          <w:color w:val="000000"/>
          <w:szCs w:val="24"/>
          <w:lang w:val="en-US"/>
        </w:rPr>
        <w:t>（2）</w:t>
      </w:r>
      <w:r w:rsidRPr="00ED42E2">
        <w:rPr>
          <w:rFonts w:ascii="宋体" w:hAnsi="宋体" w:hint="eastAsia"/>
        </w:rPr>
        <w:t>广东广信君达律师事务所</w:t>
      </w:r>
      <w:r w:rsidR="00A913C6">
        <w:rPr>
          <w:rFonts w:ascii="宋体" w:hAnsi="宋体" w:hint="eastAsia"/>
        </w:rPr>
        <w:t>《</w:t>
      </w:r>
      <w:r>
        <w:rPr>
          <w:rFonts w:ascii="宋体" w:hAnsi="宋体" w:hint="eastAsia"/>
          <w:color w:val="000000"/>
          <w:szCs w:val="24"/>
          <w:lang w:val="en-US"/>
        </w:rPr>
        <w:t>关于</w:t>
      </w:r>
      <w:r w:rsidR="00A913C6">
        <w:rPr>
          <w:rFonts w:ascii="宋体" w:hAnsi="宋体" w:hint="eastAsia"/>
          <w:color w:val="000000"/>
          <w:szCs w:val="24"/>
          <w:lang w:val="en-US"/>
        </w:rPr>
        <w:t>广发基金管理有限公司</w:t>
      </w:r>
      <w:r w:rsidR="007D6F80">
        <w:rPr>
          <w:rFonts w:ascii="宋体" w:hAnsi="宋体" w:hint="eastAsia"/>
          <w:color w:val="000000"/>
          <w:szCs w:val="24"/>
          <w:lang w:val="en-US"/>
        </w:rPr>
        <w:t>广发安泰回报混合型证券投资基金</w:t>
      </w:r>
      <w:r>
        <w:rPr>
          <w:rFonts w:ascii="宋体" w:hAnsi="宋体" w:hint="eastAsia"/>
          <w:color w:val="000000"/>
          <w:szCs w:val="24"/>
          <w:lang w:val="en-US"/>
        </w:rPr>
        <w:t>基金财产清算</w:t>
      </w:r>
      <w:r w:rsidR="00721521">
        <w:rPr>
          <w:rFonts w:ascii="宋体" w:hAnsi="宋体" w:hint="eastAsia"/>
          <w:color w:val="000000"/>
          <w:szCs w:val="24"/>
          <w:lang w:val="en-US"/>
        </w:rPr>
        <w:t>之</w:t>
      </w:r>
      <w:r w:rsidRPr="005906E7">
        <w:rPr>
          <w:rFonts w:ascii="宋体" w:hAnsi="宋体"/>
          <w:color w:val="000000"/>
          <w:szCs w:val="24"/>
          <w:lang w:val="en-US"/>
        </w:rPr>
        <w:t>法律意见</w:t>
      </w:r>
      <w:r w:rsidR="00A913C6">
        <w:rPr>
          <w:rFonts w:ascii="宋体" w:hAnsi="宋体" w:hint="eastAsia"/>
          <w:color w:val="000000"/>
          <w:szCs w:val="24"/>
          <w:lang w:val="en-US"/>
        </w:rPr>
        <w:t>书</w:t>
      </w:r>
      <w:r>
        <w:rPr>
          <w:rFonts w:ascii="宋体" w:hAnsi="宋体" w:hint="eastAsia"/>
          <w:color w:val="000000"/>
          <w:szCs w:val="24"/>
          <w:lang w:val="en-US"/>
        </w:rPr>
        <w:t>》</w:t>
      </w:r>
    </w:p>
    <w:p w:rsidR="004707A3" w:rsidRPr="005906E7" w:rsidRDefault="004707A3" w:rsidP="004707A3">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（3）</w:t>
      </w:r>
      <w:r w:rsidRPr="005906E7">
        <w:rPr>
          <w:rFonts w:ascii="宋体" w:hAnsi="宋体"/>
          <w:color w:val="000000"/>
          <w:szCs w:val="24"/>
          <w:lang w:val="en-US"/>
        </w:rPr>
        <w:t>存放地点</w:t>
      </w:r>
      <w:r>
        <w:rPr>
          <w:rFonts w:ascii="宋体" w:hAnsi="宋体" w:hint="eastAsia"/>
          <w:color w:val="000000"/>
          <w:szCs w:val="24"/>
          <w:lang w:val="en-US"/>
        </w:rPr>
        <w:t>：</w:t>
      </w:r>
      <w:r w:rsidRPr="005906E7">
        <w:rPr>
          <w:rFonts w:ascii="宋体" w:hAnsi="宋体"/>
          <w:color w:val="000000"/>
          <w:szCs w:val="24"/>
          <w:lang w:val="en-US"/>
        </w:rPr>
        <w:t>广州市海珠区琶洲大道东1号保利国际广场南塔31-33楼</w:t>
      </w:r>
    </w:p>
    <w:p w:rsidR="004707A3" w:rsidRDefault="004707A3" w:rsidP="004707A3">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（4）</w:t>
      </w:r>
      <w:r w:rsidRPr="005906E7">
        <w:rPr>
          <w:rFonts w:ascii="宋体" w:hAnsi="宋体"/>
          <w:color w:val="000000"/>
          <w:szCs w:val="24"/>
          <w:lang w:val="en-US"/>
        </w:rPr>
        <w:t>查阅方式</w:t>
      </w:r>
      <w:r>
        <w:rPr>
          <w:rFonts w:ascii="宋体" w:hAnsi="宋体" w:hint="eastAsia"/>
          <w:color w:val="000000"/>
          <w:szCs w:val="24"/>
          <w:lang w:val="en-US"/>
        </w:rPr>
        <w:t>：</w:t>
      </w:r>
      <w:r w:rsidRPr="005906E7">
        <w:rPr>
          <w:rFonts w:ascii="宋体" w:hAnsi="宋体"/>
          <w:color w:val="000000"/>
          <w:szCs w:val="24"/>
          <w:lang w:val="en-US"/>
        </w:rPr>
        <w:t>投资者可在营业时间内至基金管理人的办公场所免费查阅。</w:t>
      </w:r>
    </w:p>
    <w:p w:rsidR="00975ABC" w:rsidRPr="005906E7" w:rsidRDefault="00975ABC" w:rsidP="004707A3">
      <w:pPr>
        <w:autoSpaceDE w:val="0"/>
        <w:autoSpaceDN w:val="0"/>
        <w:adjustRightInd w:val="0"/>
        <w:spacing w:line="360" w:lineRule="auto"/>
        <w:ind w:left="720"/>
        <w:jc w:val="both"/>
        <w:rPr>
          <w:rFonts w:ascii="宋体" w:hAnsi="宋体"/>
          <w:color w:val="000000"/>
          <w:szCs w:val="24"/>
          <w:lang w:val="en-US"/>
        </w:rPr>
      </w:pPr>
    </w:p>
    <w:p w:rsidR="004707A3" w:rsidRPr="005906E7" w:rsidRDefault="007D6F80" w:rsidP="004707A3">
      <w:pPr>
        <w:autoSpaceDE w:val="0"/>
        <w:autoSpaceDN w:val="0"/>
        <w:adjustRightInd w:val="0"/>
        <w:spacing w:line="360" w:lineRule="auto"/>
        <w:ind w:left="720"/>
        <w:jc w:val="right"/>
        <w:rPr>
          <w:rFonts w:ascii="宋体" w:hAnsi="宋体"/>
          <w:color w:val="000000"/>
          <w:szCs w:val="24"/>
          <w:lang w:val="en-US"/>
        </w:rPr>
      </w:pPr>
      <w:r>
        <w:rPr>
          <w:rFonts w:ascii="宋体" w:hAnsi="宋体" w:hint="eastAsia"/>
          <w:color w:val="000000"/>
          <w:szCs w:val="24"/>
          <w:lang w:val="en-US"/>
        </w:rPr>
        <w:t>广发安泰回报混合型证券投资基金</w:t>
      </w:r>
      <w:r w:rsidR="004707A3" w:rsidRPr="005906E7">
        <w:rPr>
          <w:rFonts w:ascii="宋体" w:hAnsi="宋体"/>
          <w:color w:val="000000"/>
          <w:szCs w:val="24"/>
          <w:lang w:val="en-US"/>
        </w:rPr>
        <w:t>基金财产清算小组</w:t>
      </w:r>
    </w:p>
    <w:p w:rsidR="004707A3" w:rsidRPr="0060501A" w:rsidRDefault="004707A3" w:rsidP="004707A3">
      <w:pPr>
        <w:autoSpaceDE w:val="0"/>
        <w:autoSpaceDN w:val="0"/>
        <w:adjustRightInd w:val="0"/>
        <w:spacing w:line="360" w:lineRule="auto"/>
        <w:ind w:left="720"/>
        <w:jc w:val="right"/>
        <w:rPr>
          <w:rFonts w:ascii="宋体" w:hAnsi="宋体"/>
          <w:color w:val="000000"/>
          <w:szCs w:val="24"/>
          <w:lang w:val="en-US"/>
        </w:rPr>
      </w:pPr>
      <w:r>
        <w:rPr>
          <w:rFonts w:ascii="宋体" w:hAnsi="宋体"/>
          <w:color w:val="000000"/>
          <w:szCs w:val="24"/>
          <w:lang w:val="en-US"/>
        </w:rPr>
        <w:t>201</w:t>
      </w:r>
      <w:r w:rsidR="00952A21">
        <w:rPr>
          <w:rFonts w:ascii="宋体" w:hAnsi="宋体" w:hint="eastAsia"/>
          <w:color w:val="000000"/>
          <w:szCs w:val="24"/>
          <w:lang w:val="en-US"/>
        </w:rPr>
        <w:t>9</w:t>
      </w:r>
      <w:r w:rsidRPr="0060501A">
        <w:rPr>
          <w:rFonts w:ascii="宋体" w:hAnsi="宋体"/>
          <w:color w:val="000000"/>
          <w:szCs w:val="24"/>
          <w:lang w:val="en-US"/>
        </w:rPr>
        <w:t>年</w:t>
      </w:r>
      <w:r w:rsidR="00952A21">
        <w:rPr>
          <w:rFonts w:ascii="宋体" w:hAnsi="宋体" w:hint="eastAsia"/>
          <w:color w:val="000000"/>
          <w:szCs w:val="24"/>
          <w:lang w:val="en-US"/>
        </w:rPr>
        <w:t>1</w:t>
      </w:r>
      <w:r w:rsidRPr="0060501A">
        <w:rPr>
          <w:rFonts w:ascii="宋体" w:hAnsi="宋体"/>
          <w:color w:val="000000"/>
          <w:szCs w:val="24"/>
          <w:lang w:val="en-US"/>
        </w:rPr>
        <w:t>月</w:t>
      </w:r>
      <w:r w:rsidR="00952A21">
        <w:rPr>
          <w:rFonts w:ascii="宋体" w:hAnsi="宋体" w:hint="eastAsia"/>
          <w:color w:val="000000"/>
          <w:szCs w:val="24"/>
          <w:lang w:val="en-US"/>
        </w:rPr>
        <w:t>22</w:t>
      </w:r>
      <w:bookmarkStart w:id="11" w:name="_GoBack"/>
      <w:bookmarkEnd w:id="11"/>
      <w:r w:rsidRPr="0060501A">
        <w:rPr>
          <w:rFonts w:ascii="宋体" w:hAnsi="宋体"/>
          <w:color w:val="000000"/>
          <w:szCs w:val="24"/>
          <w:lang w:val="en-US"/>
        </w:rPr>
        <w:t>日</w:t>
      </w:r>
    </w:p>
    <w:p w:rsidR="006041E8" w:rsidRPr="006041E8" w:rsidRDefault="006041E8" w:rsidP="00466274">
      <w:pPr>
        <w:pStyle w:val="a4"/>
        <w:ind w:left="720" w:hanging="720"/>
        <w:jc w:val="both"/>
        <w:rPr>
          <w:rFonts w:ascii="宋体" w:hAnsi="宋体"/>
          <w:b/>
          <w:szCs w:val="24"/>
          <w:lang w:eastAsia="zh-CN"/>
        </w:rPr>
      </w:pPr>
    </w:p>
    <w:p w:rsidR="005F2DFF" w:rsidRPr="00ED42E2" w:rsidRDefault="005F2DFF" w:rsidP="00466274">
      <w:pPr>
        <w:jc w:val="center"/>
        <w:rPr>
          <w:rFonts w:ascii="宋体" w:hAnsi="宋体"/>
          <w:szCs w:val="24"/>
        </w:rPr>
      </w:pPr>
    </w:p>
    <w:sectPr w:rsidR="005F2DFF" w:rsidRPr="00ED42E2" w:rsidSect="00B71983">
      <w:headerReference w:type="default" r:id="rId44"/>
      <w:pgSz w:w="11909" w:h="16834" w:code="9"/>
      <w:pgMar w:top="864" w:right="720" w:bottom="432" w:left="1008" w:header="864"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10E" w:rsidRDefault="003B710E" w:rsidP="00E45AD7">
      <w:r>
        <w:separator/>
      </w:r>
    </w:p>
  </w:endnote>
  <w:endnote w:type="continuationSeparator" w:id="1">
    <w:p w:rsidR="003B710E" w:rsidRDefault="003B710E" w:rsidP="00E45AD7">
      <w:r>
        <w:continuationSeparator/>
      </w:r>
    </w:p>
  </w:endnote>
  <w:endnote w:type="continuationNotice" w:id="2">
    <w:p w:rsidR="003B710E" w:rsidRDefault="003B710E"/>
  </w:endnote>
</w:endnotes>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FZShuSong-Z01">
    <w:altName w:val="仿宋_GB2312"/>
    <w:charset w:val="86"/>
    <w:family w:val="script"/>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CB" w:rsidRDefault="00DD245C">
    <w:pPr>
      <w:pStyle w:val="a3"/>
      <w:framePr w:wrap="around" w:vAnchor="text" w:hAnchor="margin" w:xAlign="right" w:y="1"/>
      <w:rPr>
        <w:rStyle w:val="af0"/>
      </w:rPr>
    </w:pPr>
    <w:r>
      <w:rPr>
        <w:rStyle w:val="af0"/>
      </w:rPr>
      <w:fldChar w:fldCharType="begin"/>
    </w:r>
    <w:r w:rsidR="001A71CB">
      <w:rPr>
        <w:rStyle w:val="af0"/>
      </w:rPr>
      <w:instrText xml:space="preserve">PAGE  </w:instrText>
    </w:r>
    <w:r>
      <w:rPr>
        <w:rStyle w:val="af0"/>
      </w:rPr>
      <w:fldChar w:fldCharType="separate"/>
    </w:r>
    <w:r w:rsidR="00C962B8">
      <w:rPr>
        <w:rStyle w:val="af0"/>
        <w:noProof/>
      </w:rPr>
      <w:t>4</w:t>
    </w:r>
    <w:r>
      <w:rPr>
        <w:rStyle w:val="af0"/>
      </w:rPr>
      <w:fldChar w:fldCharType="end"/>
    </w:r>
  </w:p>
  <w:p w:rsidR="001A71CB" w:rsidRDefault="001A71C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CB" w:rsidRPr="00251334" w:rsidRDefault="001A71CB" w:rsidP="004B6CAD">
    <w:pPr>
      <w:pStyle w:val="a3"/>
      <w:tabs>
        <w:tab w:val="center" w:pos="5090"/>
        <w:tab w:val="left" w:pos="7785"/>
      </w:tabs>
    </w:pPr>
    <w:r>
      <w:rPr>
        <w:sz w:val="20"/>
      </w:rPr>
      <w:tab/>
    </w:r>
    <w:r w:rsidR="00DD245C" w:rsidRPr="00251334">
      <w:fldChar w:fldCharType="begin"/>
    </w:r>
    <w:r w:rsidRPr="0028208A">
      <w:rPr>
        <w:szCs w:val="24"/>
      </w:rPr>
      <w:instrText xml:space="preserve"> PAGE   \* MERGEFORMAT </w:instrText>
    </w:r>
    <w:r w:rsidR="00DD245C" w:rsidRPr="00251334">
      <w:fldChar w:fldCharType="separate"/>
    </w:r>
    <w:r w:rsidR="00595198">
      <w:rPr>
        <w:noProof/>
        <w:szCs w:val="24"/>
      </w:rPr>
      <w:t>1</w:t>
    </w:r>
    <w:r w:rsidR="00DD245C" w:rsidRPr="00251334">
      <w:fldChar w:fldCharType="end"/>
    </w:r>
    <w:r w:rsidRPr="00251334">
      <w:tab/>
    </w:r>
  </w:p>
  <w:p w:rsidR="001A71CB" w:rsidRPr="005824F8" w:rsidRDefault="001A71CB" w:rsidP="005824F8">
    <w:pPr>
      <w:pStyle w:val="a3"/>
      <w:ind w:right="11"/>
      <w:jc w:val="cente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10E" w:rsidRDefault="003B710E" w:rsidP="00E45AD7">
      <w:r>
        <w:separator/>
      </w:r>
    </w:p>
  </w:footnote>
  <w:footnote w:type="continuationSeparator" w:id="1">
    <w:p w:rsidR="003B710E" w:rsidRDefault="003B710E" w:rsidP="00E45AD7">
      <w:r>
        <w:continuationSeparator/>
      </w:r>
    </w:p>
  </w:footnote>
  <w:footnote w:type="continuationNotice" w:id="2">
    <w:p w:rsidR="003B710E" w:rsidRDefault="003B71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98"/>
      <w:gridCol w:w="1198"/>
    </w:tblGrid>
    <w:tr w:rsidR="001A71CB">
      <w:tc>
        <w:tcPr>
          <w:tcW w:w="9198" w:type="dxa"/>
        </w:tcPr>
        <w:p w:rsidR="001A71CB" w:rsidRDefault="001A71CB">
          <w:pPr>
            <w:tabs>
              <w:tab w:val="left" w:pos="2709"/>
            </w:tabs>
            <w:rPr>
              <w:szCs w:val="24"/>
              <w:u w:val="single"/>
              <w:lang w:val="en-US"/>
            </w:rPr>
          </w:pPr>
          <w:r>
            <w:rPr>
              <w:szCs w:val="24"/>
              <w:u w:val="single"/>
              <w:lang w:val="en-US"/>
            </w:rPr>
            <w:t>交通银行股份有限公司</w:t>
          </w:r>
        </w:p>
        <w:p w:rsidR="001A71CB" w:rsidRDefault="001A71CB">
          <w:pPr>
            <w:rPr>
              <w:sz w:val="16"/>
            </w:rPr>
          </w:pPr>
        </w:p>
      </w:tc>
      <w:tc>
        <w:tcPr>
          <w:tcW w:w="1198" w:type="dxa"/>
        </w:tcPr>
        <w:p w:rsidR="001A71CB" w:rsidRDefault="001A71CB">
          <w:pPr>
            <w:pBdr>
              <w:top w:val="double" w:sz="6" w:space="1" w:color="auto"/>
              <w:left w:val="double" w:sz="6" w:space="1" w:color="auto"/>
              <w:bottom w:val="double" w:sz="6" w:space="1" w:color="auto"/>
              <w:right w:val="double" w:sz="6" w:space="1" w:color="auto"/>
            </w:pBdr>
            <w:jc w:val="center"/>
            <w:rPr>
              <w:rFonts w:eastAsia="FZShuSong-Z01"/>
              <w:b/>
              <w:i/>
              <w:sz w:val="16"/>
              <w:lang w:eastAsia="zh-TW"/>
            </w:rPr>
          </w:pPr>
          <w:r>
            <w:rPr>
              <w:rFonts w:eastAsia="FZShuSong-Z01" w:hint="eastAsia"/>
              <w:b/>
              <w:i/>
              <w:sz w:val="20"/>
              <w:lang w:eastAsia="zh-TW"/>
            </w:rPr>
            <w:t>中文草稿</w:t>
          </w:r>
        </w:p>
      </w:tc>
    </w:tr>
  </w:tbl>
  <w:p w:rsidR="001A71CB" w:rsidRPr="00BF1A47" w:rsidRDefault="001A71CB">
    <w:pPr>
      <w:pStyle w:val="a4"/>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CB" w:rsidRDefault="001A71C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CB" w:rsidRDefault="001A71CB">
    <w:pPr>
      <w:pStyle w:val="a4"/>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1CB" w:rsidRDefault="001A71CB">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42" w:rsidRDefault="001E6A42" w:rsidP="001E6A42">
    <w:pPr>
      <w:pStyle w:val="a4"/>
      <w:tabs>
        <w:tab w:val="right" w:pos="10170"/>
      </w:tabs>
      <w:rPr>
        <w:szCs w:val="24"/>
        <w:lang w:val="en-US"/>
      </w:rPr>
    </w:pPr>
    <w:r w:rsidRPr="00BC0F98">
      <w:rPr>
        <w:rFonts w:hint="eastAsia"/>
        <w:szCs w:val="24"/>
        <w:lang w:val="en-US"/>
      </w:rPr>
      <w:t>广发安泰回报混合型证券投资基金</w:t>
    </w:r>
  </w:p>
  <w:p w:rsidR="001E6A42" w:rsidRPr="000C5F1F" w:rsidRDefault="001E6A42" w:rsidP="001E6A42">
    <w:pPr>
      <w:pStyle w:val="a4"/>
      <w:tabs>
        <w:tab w:val="right" w:pos="10170"/>
      </w:tabs>
      <w:rPr>
        <w:szCs w:val="24"/>
      </w:rPr>
    </w:pPr>
    <w:r w:rsidRPr="000C5F1F">
      <w:rPr>
        <w:rFonts w:hint="eastAsia"/>
        <w:szCs w:val="24"/>
        <w:lang w:eastAsia="zh-CN"/>
      </w:rPr>
      <w:t>清算</w:t>
    </w:r>
    <w:r>
      <w:rPr>
        <w:rFonts w:hint="eastAsia"/>
        <w:szCs w:val="24"/>
        <w:lang w:eastAsia="zh-CN"/>
      </w:rPr>
      <w:t>资产</w:t>
    </w:r>
    <w:r>
      <w:rPr>
        <w:rFonts w:hint="eastAsia"/>
        <w:szCs w:val="24"/>
        <w:lang w:val="en-US" w:eastAsia="zh-CN"/>
      </w:rPr>
      <w:t>负债</w:t>
    </w:r>
    <w:r w:rsidRPr="000C5F1F">
      <w:rPr>
        <w:rFonts w:hint="eastAsia"/>
        <w:szCs w:val="24"/>
        <w:lang w:eastAsia="zh-CN"/>
      </w:rPr>
      <w:t>表</w:t>
    </w:r>
  </w:p>
  <w:p w:rsidR="00A3655D" w:rsidRPr="00043755" w:rsidRDefault="001E6A42" w:rsidP="001E6A42">
    <w:pPr>
      <w:pStyle w:val="a4"/>
      <w:tabs>
        <w:tab w:val="right" w:pos="10170"/>
      </w:tabs>
      <w:rPr>
        <w:szCs w:val="24"/>
        <w:lang w:eastAsia="zh-CN"/>
      </w:rPr>
    </w:pPr>
    <w:r>
      <w:rPr>
        <w:szCs w:val="24"/>
        <w:u w:val="single"/>
      </w:rPr>
      <w:t>201</w:t>
    </w:r>
    <w:r>
      <w:rPr>
        <w:rFonts w:hint="eastAsia"/>
        <w:szCs w:val="24"/>
        <w:u w:val="single"/>
        <w:lang w:eastAsia="zh-CN"/>
      </w:rPr>
      <w:t>8</w:t>
    </w:r>
    <w:r>
      <w:rPr>
        <w:szCs w:val="24"/>
        <w:u w:val="single"/>
      </w:rPr>
      <w:t>年</w:t>
    </w:r>
    <w:r>
      <w:rPr>
        <w:szCs w:val="24"/>
        <w:u w:val="single"/>
        <w:lang w:eastAsia="zh-CN"/>
      </w:rPr>
      <w:t>9</w:t>
    </w:r>
    <w:r>
      <w:rPr>
        <w:rFonts w:hint="eastAsia"/>
        <w:szCs w:val="24"/>
        <w:u w:val="single"/>
        <w:lang w:eastAsia="zh-CN"/>
      </w:rPr>
      <w:t>月</w:t>
    </w:r>
    <w:r>
      <w:rPr>
        <w:rFonts w:hint="eastAsia"/>
        <w:szCs w:val="24"/>
        <w:u w:val="single"/>
        <w:lang w:eastAsia="zh-CN"/>
      </w:rPr>
      <w:t>18</w:t>
    </w:r>
    <w:r>
      <w:rPr>
        <w:rFonts w:hint="eastAsia"/>
        <w:szCs w:val="24"/>
        <w:u w:val="single"/>
        <w:lang w:eastAsia="zh-CN"/>
      </w:rPr>
      <w:t>日</w:t>
    </w:r>
    <w:r>
      <w:rPr>
        <w:u w:val="single"/>
        <w:lang w:val="en-US"/>
      </w:rPr>
      <w:t>(</w:t>
    </w:r>
    <w:r>
      <w:rPr>
        <w:rFonts w:hint="eastAsia"/>
        <w:u w:val="single"/>
        <w:lang w:val="en-US"/>
      </w:rPr>
      <w:t>清算结束日</w:t>
    </w:r>
    <w:r>
      <w:rPr>
        <w:u w:val="single"/>
        <w:lang w:val="en-US"/>
      </w:rPr>
      <w:t>)</w:t>
    </w:r>
    <w:r w:rsidR="00A3655D" w:rsidRPr="001F04C9">
      <w:rPr>
        <w:szCs w:val="24"/>
        <w:u w:val="single"/>
        <w:lang w:eastAsia="zh-CN"/>
      </w:rPr>
      <w:tab/>
    </w:r>
  </w:p>
  <w:p w:rsidR="00C962B8" w:rsidRDefault="00C962B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42" w:rsidRDefault="001E6A42" w:rsidP="001E6A42">
    <w:pPr>
      <w:pStyle w:val="a4"/>
      <w:tabs>
        <w:tab w:val="right" w:pos="10170"/>
      </w:tabs>
      <w:rPr>
        <w:szCs w:val="24"/>
        <w:lang w:val="en-US"/>
      </w:rPr>
    </w:pPr>
    <w:r w:rsidRPr="004075CD">
      <w:rPr>
        <w:rFonts w:hint="eastAsia"/>
        <w:szCs w:val="24"/>
        <w:lang w:val="en-US"/>
      </w:rPr>
      <w:t>广发安泰回报混合型证券投资基金</w:t>
    </w:r>
  </w:p>
  <w:p w:rsidR="001E6A42" w:rsidRPr="000C5F1F" w:rsidRDefault="001E6A42" w:rsidP="001E6A42">
    <w:pPr>
      <w:pStyle w:val="a4"/>
      <w:tabs>
        <w:tab w:val="right" w:pos="10170"/>
      </w:tabs>
      <w:rPr>
        <w:szCs w:val="24"/>
      </w:rPr>
    </w:pPr>
    <w:r w:rsidRPr="000C5F1F">
      <w:rPr>
        <w:rFonts w:hint="eastAsia"/>
        <w:szCs w:val="24"/>
        <w:lang w:eastAsia="zh-CN"/>
      </w:rPr>
      <w:t>清算</w:t>
    </w:r>
    <w:r>
      <w:rPr>
        <w:rFonts w:hint="eastAsia"/>
        <w:szCs w:val="24"/>
        <w:lang w:eastAsia="zh-CN"/>
      </w:rPr>
      <w:t>损益</w:t>
    </w:r>
    <w:r w:rsidRPr="000C5F1F">
      <w:rPr>
        <w:rFonts w:hint="eastAsia"/>
        <w:szCs w:val="24"/>
        <w:lang w:eastAsia="zh-CN"/>
      </w:rPr>
      <w:t>表</w:t>
    </w:r>
  </w:p>
  <w:p w:rsidR="00635B1D" w:rsidRPr="00043755" w:rsidRDefault="001E6A42" w:rsidP="001E6A42">
    <w:pPr>
      <w:pStyle w:val="a4"/>
      <w:tabs>
        <w:tab w:val="right" w:pos="10170"/>
      </w:tabs>
      <w:rPr>
        <w:szCs w:val="24"/>
        <w:lang w:eastAsia="zh-CN"/>
      </w:rPr>
    </w:pPr>
    <w:r w:rsidRPr="00D067B0">
      <w:rPr>
        <w:rFonts w:hint="eastAsia"/>
        <w:szCs w:val="24"/>
        <w:u w:val="single"/>
      </w:rPr>
      <w:t>2018</w:t>
    </w:r>
    <w:r w:rsidRPr="00D067B0">
      <w:rPr>
        <w:rFonts w:hint="eastAsia"/>
        <w:szCs w:val="24"/>
        <w:u w:val="single"/>
      </w:rPr>
      <w:t>年</w:t>
    </w:r>
    <w:r>
      <w:rPr>
        <w:szCs w:val="24"/>
        <w:u w:val="single"/>
      </w:rPr>
      <w:t>8</w:t>
    </w:r>
    <w:r>
      <w:rPr>
        <w:rFonts w:hint="eastAsia"/>
        <w:szCs w:val="24"/>
        <w:u w:val="single"/>
      </w:rPr>
      <w:t>月</w:t>
    </w:r>
    <w:r>
      <w:rPr>
        <w:szCs w:val="24"/>
        <w:u w:val="single"/>
      </w:rPr>
      <w:t>30</w:t>
    </w:r>
    <w:r>
      <w:rPr>
        <w:rFonts w:hint="eastAsia"/>
        <w:szCs w:val="24"/>
        <w:u w:val="single"/>
      </w:rPr>
      <w:t>日</w:t>
    </w:r>
    <w:r w:rsidRPr="00D067B0">
      <w:rPr>
        <w:rFonts w:hint="eastAsia"/>
        <w:szCs w:val="24"/>
        <w:u w:val="single"/>
      </w:rPr>
      <w:t>(</w:t>
    </w:r>
    <w:r w:rsidRPr="00D067B0">
      <w:rPr>
        <w:rFonts w:hint="eastAsia"/>
        <w:szCs w:val="24"/>
        <w:u w:val="single"/>
      </w:rPr>
      <w:t>清算开始日</w:t>
    </w:r>
    <w:r w:rsidRPr="00D067B0">
      <w:rPr>
        <w:rFonts w:hint="eastAsia"/>
        <w:szCs w:val="24"/>
        <w:u w:val="single"/>
      </w:rPr>
      <w:t>)</w:t>
    </w:r>
    <w:r w:rsidRPr="00D067B0">
      <w:rPr>
        <w:rFonts w:hint="eastAsia"/>
        <w:szCs w:val="24"/>
        <w:u w:val="single"/>
      </w:rPr>
      <w:t>至</w:t>
    </w:r>
    <w:r w:rsidRPr="00D067B0">
      <w:rPr>
        <w:rFonts w:hint="eastAsia"/>
        <w:szCs w:val="24"/>
        <w:u w:val="single"/>
      </w:rPr>
      <w:t>2018</w:t>
    </w:r>
    <w:r w:rsidRPr="00D067B0">
      <w:rPr>
        <w:rFonts w:hint="eastAsia"/>
        <w:szCs w:val="24"/>
        <w:u w:val="single"/>
      </w:rPr>
      <w:t>年</w:t>
    </w:r>
    <w:r>
      <w:rPr>
        <w:szCs w:val="24"/>
        <w:u w:val="single"/>
      </w:rPr>
      <w:t>9</w:t>
    </w:r>
    <w:r>
      <w:rPr>
        <w:rFonts w:hint="eastAsia"/>
        <w:szCs w:val="24"/>
        <w:u w:val="single"/>
      </w:rPr>
      <w:t>月</w:t>
    </w:r>
    <w:r>
      <w:rPr>
        <w:szCs w:val="24"/>
        <w:u w:val="single"/>
      </w:rPr>
      <w:t>18</w:t>
    </w:r>
    <w:r>
      <w:rPr>
        <w:rFonts w:hint="eastAsia"/>
        <w:szCs w:val="24"/>
        <w:u w:val="single"/>
      </w:rPr>
      <w:t>日</w:t>
    </w:r>
    <w:r w:rsidRPr="00D067B0">
      <w:rPr>
        <w:rFonts w:hint="eastAsia"/>
        <w:szCs w:val="24"/>
        <w:u w:val="single"/>
      </w:rPr>
      <w:t>(</w:t>
    </w:r>
    <w:r w:rsidRPr="00D067B0">
      <w:rPr>
        <w:rFonts w:hint="eastAsia"/>
        <w:szCs w:val="24"/>
        <w:u w:val="single"/>
      </w:rPr>
      <w:t>清算结束日</w:t>
    </w:r>
    <w:r w:rsidRPr="00D067B0">
      <w:rPr>
        <w:rFonts w:hint="eastAsia"/>
        <w:szCs w:val="24"/>
        <w:u w:val="single"/>
      </w:rPr>
      <w:t>)</w:t>
    </w:r>
    <w:r w:rsidRPr="00D067B0">
      <w:rPr>
        <w:rFonts w:hint="eastAsia"/>
        <w:szCs w:val="24"/>
        <w:u w:val="single"/>
      </w:rPr>
      <w:t>止期间</w:t>
    </w:r>
    <w:r w:rsidR="00635B1D" w:rsidRPr="001F04C9">
      <w:rPr>
        <w:szCs w:val="24"/>
        <w:u w:val="single"/>
        <w:lang w:eastAsia="zh-CN"/>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28" w:rsidRDefault="00025B28" w:rsidP="00025B28">
    <w:pPr>
      <w:pStyle w:val="a4"/>
      <w:tabs>
        <w:tab w:val="right" w:pos="10170"/>
      </w:tabs>
      <w:rPr>
        <w:szCs w:val="24"/>
        <w:lang w:val="en-US"/>
      </w:rPr>
    </w:pPr>
    <w:r w:rsidRPr="0032769A">
      <w:rPr>
        <w:rFonts w:hint="eastAsia"/>
        <w:szCs w:val="24"/>
        <w:lang w:val="en-US"/>
      </w:rPr>
      <w:t>广发安泰回报混合型证券投资基金</w:t>
    </w:r>
  </w:p>
  <w:p w:rsidR="00025B28" w:rsidRDefault="00025B28" w:rsidP="00025B28">
    <w:pPr>
      <w:pStyle w:val="a4"/>
      <w:tabs>
        <w:tab w:val="right" w:pos="10170"/>
      </w:tabs>
      <w:rPr>
        <w:szCs w:val="24"/>
        <w:lang w:val="en-US" w:eastAsia="zh-CN"/>
      </w:rPr>
    </w:pPr>
    <w:r>
      <w:rPr>
        <w:szCs w:val="24"/>
        <w:lang w:val="en-US" w:eastAsia="zh-CN"/>
      </w:rPr>
      <w:t>清算</w:t>
    </w:r>
    <w:r>
      <w:rPr>
        <w:rFonts w:hint="eastAsia"/>
        <w:szCs w:val="24"/>
        <w:lang w:val="en-US" w:eastAsia="zh-CN"/>
      </w:rPr>
      <w:t>财务报表附注</w:t>
    </w:r>
  </w:p>
  <w:p w:rsidR="001A71CB" w:rsidRPr="00E12676" w:rsidRDefault="00025B28" w:rsidP="00025B28">
    <w:pPr>
      <w:widowControl w:val="0"/>
      <w:tabs>
        <w:tab w:val="right" w:pos="10170"/>
      </w:tabs>
      <w:rPr>
        <w:szCs w:val="24"/>
        <w:u w:val="single"/>
        <w:lang w:val="en-US"/>
      </w:rPr>
    </w:pPr>
    <w:r>
      <w:rPr>
        <w:rFonts w:hint="eastAsia"/>
        <w:szCs w:val="24"/>
        <w:u w:val="single"/>
      </w:rPr>
      <w:t>2018</w:t>
    </w:r>
    <w:r>
      <w:rPr>
        <w:rFonts w:hint="eastAsia"/>
        <w:szCs w:val="24"/>
        <w:u w:val="single"/>
      </w:rPr>
      <w:t>年</w:t>
    </w:r>
    <w:r>
      <w:rPr>
        <w:szCs w:val="24"/>
        <w:u w:val="single"/>
      </w:rPr>
      <w:t>8</w:t>
    </w:r>
    <w:r>
      <w:rPr>
        <w:rFonts w:hint="eastAsia"/>
        <w:szCs w:val="24"/>
        <w:u w:val="single"/>
      </w:rPr>
      <w:t>月</w:t>
    </w:r>
    <w:r>
      <w:rPr>
        <w:szCs w:val="24"/>
        <w:u w:val="single"/>
      </w:rPr>
      <w:t>30</w:t>
    </w:r>
    <w:r>
      <w:rPr>
        <w:rFonts w:hint="eastAsia"/>
        <w:szCs w:val="24"/>
        <w:u w:val="single"/>
      </w:rPr>
      <w:t>日</w:t>
    </w:r>
    <w:r>
      <w:rPr>
        <w:szCs w:val="24"/>
        <w:u w:val="single"/>
      </w:rPr>
      <w:t>(</w:t>
    </w:r>
    <w:r>
      <w:rPr>
        <w:rFonts w:hint="eastAsia"/>
        <w:szCs w:val="24"/>
        <w:u w:val="single"/>
      </w:rPr>
      <w:t>清算开始日</w:t>
    </w:r>
    <w:r>
      <w:rPr>
        <w:szCs w:val="24"/>
        <w:u w:val="single"/>
      </w:rPr>
      <w:t>)</w:t>
    </w:r>
    <w:r w:rsidRPr="001F04C9">
      <w:rPr>
        <w:rFonts w:hAnsi="宋体"/>
        <w:szCs w:val="24"/>
        <w:u w:val="single"/>
      </w:rPr>
      <w:t>至</w:t>
    </w:r>
    <w:r>
      <w:rPr>
        <w:szCs w:val="24"/>
        <w:u w:val="single"/>
      </w:rPr>
      <w:t>201</w:t>
    </w:r>
    <w:r>
      <w:rPr>
        <w:rFonts w:hint="eastAsia"/>
        <w:szCs w:val="24"/>
        <w:u w:val="single"/>
      </w:rPr>
      <w:t>8</w:t>
    </w:r>
    <w:r>
      <w:rPr>
        <w:szCs w:val="24"/>
        <w:u w:val="single"/>
      </w:rPr>
      <w:t>年</w:t>
    </w:r>
    <w:r>
      <w:rPr>
        <w:szCs w:val="24"/>
        <w:u w:val="single"/>
      </w:rPr>
      <w:t>9</w:t>
    </w:r>
    <w:r>
      <w:rPr>
        <w:rFonts w:hint="eastAsia"/>
        <w:szCs w:val="24"/>
        <w:u w:val="single"/>
      </w:rPr>
      <w:t>月</w:t>
    </w:r>
    <w:r>
      <w:rPr>
        <w:szCs w:val="24"/>
        <w:u w:val="single"/>
      </w:rPr>
      <w:t>18</w:t>
    </w:r>
    <w:r>
      <w:rPr>
        <w:rFonts w:hint="eastAsia"/>
        <w:szCs w:val="24"/>
        <w:u w:val="single"/>
      </w:rPr>
      <w:t>日</w:t>
    </w:r>
    <w:r>
      <w:rPr>
        <w:u w:val="single"/>
        <w:lang w:val="en-US"/>
      </w:rPr>
      <w:t>(</w:t>
    </w:r>
    <w:r>
      <w:rPr>
        <w:rFonts w:hint="eastAsia"/>
        <w:u w:val="single"/>
        <w:lang w:val="en-US"/>
      </w:rPr>
      <w:t>清算结束日</w:t>
    </w:r>
    <w:r>
      <w:rPr>
        <w:u w:val="single"/>
        <w:lang w:val="en-US"/>
      </w:rPr>
      <w:t>)</w:t>
    </w:r>
    <w:r w:rsidRPr="001F04C9">
      <w:rPr>
        <w:rFonts w:hAnsi="宋体"/>
        <w:szCs w:val="24"/>
        <w:u w:val="single"/>
      </w:rPr>
      <w:t>止期间</w:t>
    </w:r>
    <w:r w:rsidR="001A71CB">
      <w:rPr>
        <w:rFonts w:hint="eastAsia"/>
        <w:szCs w:val="24"/>
        <w:u w:val="single"/>
        <w:lang w:val="en-US"/>
      </w:rPr>
      <w:tab/>
    </w:r>
  </w:p>
  <w:p w:rsidR="001A71CB" w:rsidRPr="00166DD2" w:rsidRDefault="001A71CB" w:rsidP="002C2B1F">
    <w:pPr>
      <w:widowControl w:val="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20"/>
      <w:lvlJc w:val="left"/>
      <w:pPr>
        <w:ind w:left="720" w:hanging="720"/>
      </w:pPr>
      <w:rPr>
        <w:rFonts w:ascii="CG Times (W1)" w:hAnsi="CG Times (W1)" w:hint="default"/>
        <w:b w:val="0"/>
        <w:i w:val="0"/>
        <w:sz w:val="24"/>
      </w:rPr>
    </w:lvl>
    <w:lvl w:ilvl="1">
      <w:start w:val="1"/>
      <w:numFmt w:val="upperLetter"/>
      <w:pStyle w:val="2"/>
      <w:lvlText w:val="%2."/>
      <w:legacy w:legacy="1" w:legacySpace="0" w:legacyIndent="720"/>
      <w:lvlJc w:val="left"/>
      <w:pPr>
        <w:ind w:left="1440" w:hanging="720"/>
      </w:pPr>
    </w:lvl>
    <w:lvl w:ilvl="2">
      <w:start w:val="1"/>
      <w:numFmt w:val="decimal"/>
      <w:pStyle w:val="3"/>
      <w:lvlText w:val="%3."/>
      <w:legacy w:legacy="1" w:legacySpace="0" w:legacyIndent="720"/>
      <w:lvlJc w:val="left"/>
      <w:pPr>
        <w:ind w:left="1019" w:hanging="720"/>
      </w:pPr>
    </w:lvl>
    <w:lvl w:ilvl="3">
      <w:start w:val="1"/>
      <w:numFmt w:val="lowerLetter"/>
      <w:pStyle w:val="4"/>
      <w:lvlText w:val="%4)"/>
      <w:legacy w:legacy="1" w:legacySpace="0" w:legacyIndent="720"/>
      <w:lvlJc w:val="left"/>
      <w:pPr>
        <w:ind w:left="2880" w:hanging="720"/>
      </w:pPr>
    </w:lvl>
    <w:lvl w:ilvl="4">
      <w:start w:val="1"/>
      <w:numFmt w:val="decimal"/>
      <w:pStyle w:val="5"/>
      <w:lvlText w:val="(%5)"/>
      <w:legacy w:legacy="1" w:legacySpace="0" w:legacyIndent="720"/>
      <w:lvlJc w:val="left"/>
      <w:pPr>
        <w:ind w:left="3600" w:hanging="720"/>
      </w:pPr>
    </w:lvl>
    <w:lvl w:ilvl="5">
      <w:start w:val="1"/>
      <w:numFmt w:val="lowerLetter"/>
      <w:pStyle w:val="6"/>
      <w:lvlText w:val="(%6)"/>
      <w:legacy w:legacy="1" w:legacySpace="0" w:legacyIndent="720"/>
      <w:lvlJc w:val="left"/>
      <w:pPr>
        <w:ind w:left="4320" w:hanging="720"/>
      </w:pPr>
    </w:lvl>
    <w:lvl w:ilvl="6">
      <w:start w:val="1"/>
      <w:numFmt w:val="lowerRoman"/>
      <w:pStyle w:val="7"/>
      <w:lvlText w:val="(%7)"/>
      <w:legacy w:legacy="1" w:legacySpace="0" w:legacyIndent="720"/>
      <w:lvlJc w:val="left"/>
      <w:pPr>
        <w:ind w:left="5040" w:hanging="720"/>
      </w:pPr>
    </w:lvl>
    <w:lvl w:ilvl="7">
      <w:start w:val="1"/>
      <w:numFmt w:val="lowerLetter"/>
      <w:pStyle w:val="8"/>
      <w:lvlText w:val="(%8)"/>
      <w:legacy w:legacy="1" w:legacySpace="0" w:legacyIndent="720"/>
      <w:lvlJc w:val="left"/>
      <w:pPr>
        <w:ind w:left="5760" w:hanging="720"/>
      </w:pPr>
    </w:lvl>
    <w:lvl w:ilvl="8">
      <w:start w:val="1"/>
      <w:numFmt w:val="lowerRoman"/>
      <w:pStyle w:val="9"/>
      <w:lvlText w:val="(%9)"/>
      <w:legacy w:legacy="1" w:legacySpace="0" w:legacyIndent="720"/>
      <w:lvlJc w:val="left"/>
      <w:pPr>
        <w:ind w:left="6480" w:hanging="720"/>
      </w:pPr>
    </w:lvl>
  </w:abstractNum>
  <w:abstractNum w:abstractNumId="1">
    <w:nsid w:val="08C524B3"/>
    <w:multiLevelType w:val="hybridMultilevel"/>
    <w:tmpl w:val="F5EACC8A"/>
    <w:lvl w:ilvl="0" w:tplc="40A0B1F8">
      <w:start w:val="1"/>
      <w:numFmt w:val="decimal"/>
      <w:lvlText w:val="%1、"/>
      <w:lvlJc w:val="left"/>
      <w:pPr>
        <w:ind w:left="1078" w:hanging="360"/>
      </w:pPr>
      <w:rPr>
        <w:rFonts w:hAnsi="宋体"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nsid w:val="090121FC"/>
    <w:multiLevelType w:val="multilevel"/>
    <w:tmpl w:val="1C901DD8"/>
    <w:lvl w:ilvl="0">
      <w:start w:val="1"/>
      <w:numFmt w:val="decimal"/>
      <w:lvlRestart w:val="0"/>
      <w:pStyle w:val="1"/>
      <w:lvlText w:val="%1."/>
      <w:lvlJc w:val="left"/>
      <w:pPr>
        <w:tabs>
          <w:tab w:val="num" w:pos="720"/>
        </w:tabs>
        <w:ind w:left="720" w:hanging="720"/>
      </w:pPr>
      <w:rPr>
        <w:rFonts w:ascii="宋体" w:eastAsia="宋体" w:hAnsi="宋体" w:cs="Times New Roman" w:hint="default"/>
        <w:b/>
        <w:i w:val="0"/>
        <w:kern w:val="0"/>
        <w:sz w:val="24"/>
      </w:rPr>
    </w:lvl>
    <w:lvl w:ilvl="1">
      <w:start w:val="1"/>
      <w:numFmt w:val="decimal"/>
      <w:lvlText w:val="%2"/>
      <w:lvlJc w:val="left"/>
      <w:pPr>
        <w:ind w:left="780" w:hanging="360"/>
      </w:pPr>
      <w:rPr>
        <w:rFonts w:ascii="宋体" w:hAnsi="宋体" w:hint="default"/>
        <w:b/>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0BBB2B35"/>
    <w:multiLevelType w:val="hybridMultilevel"/>
    <w:tmpl w:val="25941EA6"/>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1E13EF"/>
    <w:multiLevelType w:val="hybridMultilevel"/>
    <w:tmpl w:val="14882226"/>
    <w:lvl w:ilvl="0" w:tplc="34D66150">
      <w:start w:val="1"/>
      <w:numFmt w:val="decimal"/>
      <w:lvlText w:val="(%1)"/>
      <w:lvlJc w:val="left"/>
      <w:pPr>
        <w:ind w:left="720" w:hanging="360"/>
      </w:pPr>
      <w:rPr>
        <w:rFonts w:hint="eastAsia"/>
      </w:rPr>
    </w:lvl>
    <w:lvl w:ilvl="1" w:tplc="6C5801AE">
      <w:start w:val="1"/>
      <w:numFmt w:val="decimal"/>
      <w:lvlText w:val="%2、"/>
      <w:lvlJc w:val="left"/>
      <w:pPr>
        <w:ind w:left="1785" w:hanging="705"/>
      </w:pPr>
      <w:rPr>
        <w:rFonts w:hint="default"/>
      </w:rPr>
    </w:lvl>
    <w:lvl w:ilvl="2" w:tplc="574EE5A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64DE7"/>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172F1061"/>
    <w:multiLevelType w:val="hybridMultilevel"/>
    <w:tmpl w:val="8E82BBFE"/>
    <w:lvl w:ilvl="0" w:tplc="7C203A80">
      <w:start w:val="3"/>
      <w:numFmt w:val="bullet"/>
      <w:lvlText w:val="-"/>
      <w:lvlJc w:val="left"/>
      <w:pPr>
        <w:tabs>
          <w:tab w:val="num" w:pos="1080"/>
        </w:tabs>
        <w:ind w:left="1080" w:hanging="360"/>
      </w:pPr>
      <w:rPr>
        <w:rFonts w:ascii="Arial" w:eastAsia="宋体" w:hAnsi="Arial" w:cs="Arial"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7">
    <w:nsid w:val="1F6D4A6F"/>
    <w:multiLevelType w:val="hybridMultilevel"/>
    <w:tmpl w:val="AE081260"/>
    <w:lvl w:ilvl="0" w:tplc="81CAA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74410"/>
    <w:multiLevelType w:val="hybridMultilevel"/>
    <w:tmpl w:val="859EA3AE"/>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752024"/>
    <w:multiLevelType w:val="hybridMultilevel"/>
    <w:tmpl w:val="F0128DA6"/>
    <w:lvl w:ilvl="0" w:tplc="9230D6AA">
      <w:start w:val="1"/>
      <w:numFmt w:val="decimal"/>
      <w:lvlText w:val="%1、"/>
      <w:lvlJc w:val="left"/>
      <w:pPr>
        <w:ind w:left="1425" w:hanging="705"/>
      </w:pPr>
      <w:rPr>
        <w:rFonts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6A64D1"/>
    <w:multiLevelType w:val="hybridMultilevel"/>
    <w:tmpl w:val="933A8C5E"/>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5175C5"/>
    <w:multiLevelType w:val="hybridMultilevel"/>
    <w:tmpl w:val="7A8A9814"/>
    <w:lvl w:ilvl="0" w:tplc="6B46D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7D1821"/>
    <w:multiLevelType w:val="hybridMultilevel"/>
    <w:tmpl w:val="E3B63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80667"/>
    <w:multiLevelType w:val="hybridMultilevel"/>
    <w:tmpl w:val="AB185088"/>
    <w:lvl w:ilvl="0" w:tplc="E57EBF4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F534C"/>
    <w:multiLevelType w:val="hybridMultilevel"/>
    <w:tmpl w:val="3D10F864"/>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354861"/>
    <w:multiLevelType w:val="hybridMultilevel"/>
    <w:tmpl w:val="31944E84"/>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6">
    <w:nsid w:val="40C15BBE"/>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nsid w:val="41906A6C"/>
    <w:multiLevelType w:val="hybridMultilevel"/>
    <w:tmpl w:val="04F2014E"/>
    <w:lvl w:ilvl="0" w:tplc="34D661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A0F59"/>
    <w:multiLevelType w:val="hybridMultilevel"/>
    <w:tmpl w:val="6F28AF76"/>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C5C25"/>
    <w:multiLevelType w:val="hybridMultilevel"/>
    <w:tmpl w:val="9FEA46EE"/>
    <w:lvl w:ilvl="0" w:tplc="34D66150">
      <w:start w:val="1"/>
      <w:numFmt w:val="decimal"/>
      <w:lvlText w:val="(%1)"/>
      <w:lvlJc w:val="left"/>
      <w:pPr>
        <w:ind w:left="2100" w:hanging="6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19E5ECC"/>
    <w:multiLevelType w:val="hybridMultilevel"/>
    <w:tmpl w:val="0E1EE0EA"/>
    <w:lvl w:ilvl="0" w:tplc="0734D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B96D67"/>
    <w:multiLevelType w:val="hybridMultilevel"/>
    <w:tmpl w:val="8EC0E06C"/>
    <w:lvl w:ilvl="0" w:tplc="81CAA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46C7E"/>
    <w:multiLevelType w:val="hybridMultilevel"/>
    <w:tmpl w:val="B68E096C"/>
    <w:lvl w:ilvl="0" w:tplc="BB90F35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34F5"/>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4">
    <w:nsid w:val="5727296C"/>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57506AEC"/>
    <w:multiLevelType w:val="hybridMultilevel"/>
    <w:tmpl w:val="420E8EFA"/>
    <w:lvl w:ilvl="0" w:tplc="34D66150">
      <w:start w:val="1"/>
      <w:numFmt w:val="decimal"/>
      <w:lvlText w:val="(%1)"/>
      <w:lvlJc w:val="left"/>
      <w:pPr>
        <w:ind w:left="1080" w:hanging="360"/>
      </w:pPr>
      <w:rPr>
        <w:rFonts w:hint="eastAsia"/>
      </w:rPr>
    </w:lvl>
    <w:lvl w:ilvl="1" w:tplc="BE2079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946646"/>
    <w:multiLevelType w:val="hybridMultilevel"/>
    <w:tmpl w:val="6C1E5732"/>
    <w:lvl w:ilvl="0" w:tplc="580C489E">
      <w:start w:val="1"/>
      <w:numFmt w:val="decimal"/>
      <w:lvlText w:val="%1、"/>
      <w:lvlJc w:val="left"/>
      <w:pPr>
        <w:ind w:left="4344" w:hanging="375"/>
      </w:pPr>
      <w:rPr>
        <w:rFonts w:hint="default"/>
      </w:rPr>
    </w:lvl>
    <w:lvl w:ilvl="1" w:tplc="04090019" w:tentative="1">
      <w:start w:val="1"/>
      <w:numFmt w:val="lowerLetter"/>
      <w:lvlText w:val="%2)"/>
      <w:lvlJc w:val="left"/>
      <w:pPr>
        <w:ind w:left="4809" w:hanging="420"/>
      </w:pPr>
    </w:lvl>
    <w:lvl w:ilvl="2" w:tplc="0409001B" w:tentative="1">
      <w:start w:val="1"/>
      <w:numFmt w:val="lowerRoman"/>
      <w:lvlText w:val="%3."/>
      <w:lvlJc w:val="right"/>
      <w:pPr>
        <w:ind w:left="5229" w:hanging="420"/>
      </w:pPr>
    </w:lvl>
    <w:lvl w:ilvl="3" w:tplc="0409000F" w:tentative="1">
      <w:start w:val="1"/>
      <w:numFmt w:val="decimal"/>
      <w:lvlText w:val="%4."/>
      <w:lvlJc w:val="left"/>
      <w:pPr>
        <w:ind w:left="5649" w:hanging="420"/>
      </w:pPr>
    </w:lvl>
    <w:lvl w:ilvl="4" w:tplc="04090019" w:tentative="1">
      <w:start w:val="1"/>
      <w:numFmt w:val="lowerLetter"/>
      <w:lvlText w:val="%5)"/>
      <w:lvlJc w:val="left"/>
      <w:pPr>
        <w:ind w:left="6069" w:hanging="420"/>
      </w:pPr>
    </w:lvl>
    <w:lvl w:ilvl="5" w:tplc="0409001B" w:tentative="1">
      <w:start w:val="1"/>
      <w:numFmt w:val="lowerRoman"/>
      <w:lvlText w:val="%6."/>
      <w:lvlJc w:val="right"/>
      <w:pPr>
        <w:ind w:left="6489" w:hanging="420"/>
      </w:pPr>
    </w:lvl>
    <w:lvl w:ilvl="6" w:tplc="0409000F" w:tentative="1">
      <w:start w:val="1"/>
      <w:numFmt w:val="decimal"/>
      <w:lvlText w:val="%7."/>
      <w:lvlJc w:val="left"/>
      <w:pPr>
        <w:ind w:left="6909" w:hanging="420"/>
      </w:pPr>
    </w:lvl>
    <w:lvl w:ilvl="7" w:tplc="04090019" w:tentative="1">
      <w:start w:val="1"/>
      <w:numFmt w:val="lowerLetter"/>
      <w:lvlText w:val="%8)"/>
      <w:lvlJc w:val="left"/>
      <w:pPr>
        <w:ind w:left="7329" w:hanging="420"/>
      </w:pPr>
    </w:lvl>
    <w:lvl w:ilvl="8" w:tplc="0409001B" w:tentative="1">
      <w:start w:val="1"/>
      <w:numFmt w:val="lowerRoman"/>
      <w:lvlText w:val="%9."/>
      <w:lvlJc w:val="right"/>
      <w:pPr>
        <w:ind w:left="7749" w:hanging="420"/>
      </w:pPr>
    </w:lvl>
  </w:abstractNum>
  <w:abstractNum w:abstractNumId="27">
    <w:nsid w:val="5E1E7007"/>
    <w:multiLevelType w:val="hybridMultilevel"/>
    <w:tmpl w:val="A0B85FCA"/>
    <w:lvl w:ilvl="0" w:tplc="B3987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800238"/>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9">
    <w:nsid w:val="6C7D45DE"/>
    <w:multiLevelType w:val="hybridMultilevel"/>
    <w:tmpl w:val="2A10349C"/>
    <w:lvl w:ilvl="0" w:tplc="4AE8378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371544"/>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6F9B60CB"/>
    <w:multiLevelType w:val="hybridMultilevel"/>
    <w:tmpl w:val="8732F4C6"/>
    <w:lvl w:ilvl="0" w:tplc="9D4E5774">
      <w:start w:val="1"/>
      <w:numFmt w:val="decimal"/>
      <w:lvlText w:val="%1."/>
      <w:lvlJc w:val="left"/>
      <w:pPr>
        <w:ind w:left="276" w:hanging="360"/>
      </w:pPr>
      <w:rPr>
        <w:rFonts w:hint="default"/>
      </w:rPr>
    </w:lvl>
    <w:lvl w:ilvl="1" w:tplc="04090019" w:tentative="1">
      <w:start w:val="1"/>
      <w:numFmt w:val="lowerLetter"/>
      <w:lvlText w:val="%2."/>
      <w:lvlJc w:val="left"/>
      <w:pPr>
        <w:ind w:left="996" w:hanging="360"/>
      </w:pPr>
    </w:lvl>
    <w:lvl w:ilvl="2" w:tplc="0409001B" w:tentative="1">
      <w:start w:val="1"/>
      <w:numFmt w:val="lowerRoman"/>
      <w:lvlText w:val="%3."/>
      <w:lvlJc w:val="right"/>
      <w:pPr>
        <w:ind w:left="1716" w:hanging="180"/>
      </w:pPr>
    </w:lvl>
    <w:lvl w:ilvl="3" w:tplc="0409000F" w:tentative="1">
      <w:start w:val="1"/>
      <w:numFmt w:val="decimal"/>
      <w:lvlText w:val="%4."/>
      <w:lvlJc w:val="left"/>
      <w:pPr>
        <w:ind w:left="2436" w:hanging="360"/>
      </w:pPr>
    </w:lvl>
    <w:lvl w:ilvl="4" w:tplc="04090019" w:tentative="1">
      <w:start w:val="1"/>
      <w:numFmt w:val="lowerLetter"/>
      <w:lvlText w:val="%5."/>
      <w:lvlJc w:val="left"/>
      <w:pPr>
        <w:ind w:left="3156" w:hanging="360"/>
      </w:pPr>
    </w:lvl>
    <w:lvl w:ilvl="5" w:tplc="0409001B" w:tentative="1">
      <w:start w:val="1"/>
      <w:numFmt w:val="lowerRoman"/>
      <w:lvlText w:val="%6."/>
      <w:lvlJc w:val="right"/>
      <w:pPr>
        <w:ind w:left="3876" w:hanging="180"/>
      </w:pPr>
    </w:lvl>
    <w:lvl w:ilvl="6" w:tplc="0409000F" w:tentative="1">
      <w:start w:val="1"/>
      <w:numFmt w:val="decimal"/>
      <w:lvlText w:val="%7."/>
      <w:lvlJc w:val="left"/>
      <w:pPr>
        <w:ind w:left="4596" w:hanging="360"/>
      </w:pPr>
    </w:lvl>
    <w:lvl w:ilvl="7" w:tplc="04090019" w:tentative="1">
      <w:start w:val="1"/>
      <w:numFmt w:val="lowerLetter"/>
      <w:lvlText w:val="%8."/>
      <w:lvlJc w:val="left"/>
      <w:pPr>
        <w:ind w:left="5316" w:hanging="360"/>
      </w:pPr>
    </w:lvl>
    <w:lvl w:ilvl="8" w:tplc="0409001B" w:tentative="1">
      <w:start w:val="1"/>
      <w:numFmt w:val="lowerRoman"/>
      <w:lvlText w:val="%9."/>
      <w:lvlJc w:val="right"/>
      <w:pPr>
        <w:ind w:left="6036" w:hanging="180"/>
      </w:pPr>
    </w:lvl>
  </w:abstractNum>
  <w:abstractNum w:abstractNumId="32">
    <w:nsid w:val="775F3907"/>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3">
    <w:nsid w:val="7846644A"/>
    <w:multiLevelType w:val="hybridMultilevel"/>
    <w:tmpl w:val="C074B8D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nsid w:val="7C9C3853"/>
    <w:multiLevelType w:val="hybridMultilevel"/>
    <w:tmpl w:val="274A956A"/>
    <w:lvl w:ilvl="0" w:tplc="68423D12">
      <w:start w:val="1"/>
      <w:numFmt w:val="japaneseCounting"/>
      <w:lvlText w:val="%1、"/>
      <w:lvlJc w:val="left"/>
      <w:pPr>
        <w:ind w:left="417" w:hanging="510"/>
      </w:pPr>
      <w:rPr>
        <w:rFonts w:hAnsi="宋体" w:hint="default"/>
      </w:rPr>
    </w:lvl>
    <w:lvl w:ilvl="1" w:tplc="04090019">
      <w:start w:val="1"/>
      <w:numFmt w:val="lowerLetter"/>
      <w:lvlText w:val="%2."/>
      <w:lvlJc w:val="left"/>
      <w:pPr>
        <w:ind w:left="987" w:hanging="360"/>
      </w:pPr>
    </w:lvl>
    <w:lvl w:ilvl="2" w:tplc="0409001B">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5">
    <w:nsid w:val="7D963ABF"/>
    <w:multiLevelType w:val="hybridMultilevel"/>
    <w:tmpl w:val="466E5ACA"/>
    <w:lvl w:ilvl="0" w:tplc="5EAC72B6">
      <w:start w:val="1"/>
      <w:numFmt w:val="decimal"/>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nsid w:val="7EE3202F"/>
    <w:multiLevelType w:val="hybridMultilevel"/>
    <w:tmpl w:val="864A3B72"/>
    <w:lvl w:ilvl="0" w:tplc="44A01C9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0"/>
  </w:num>
  <w:num w:numId="3">
    <w:abstractNumId w:val="6"/>
  </w:num>
  <w:num w:numId="4">
    <w:abstractNumId w:val="17"/>
  </w:num>
  <w:num w:numId="5">
    <w:abstractNumId w:val="25"/>
  </w:num>
  <w:num w:numId="6">
    <w:abstractNumId w:val="34"/>
  </w:num>
  <w:num w:numId="7">
    <w:abstractNumId w:val="15"/>
  </w:num>
  <w:num w:numId="8">
    <w:abstractNumId w:val="4"/>
  </w:num>
  <w:num w:numId="9">
    <w:abstractNumId w:val="31"/>
  </w:num>
  <w:num w:numId="10">
    <w:abstractNumId w:val="19"/>
  </w:num>
  <w:num w:numId="11">
    <w:abstractNumId w:val="35"/>
  </w:num>
  <w:num w:numId="12">
    <w:abstractNumId w:val="14"/>
  </w:num>
  <w:num w:numId="13">
    <w:abstractNumId w:val="18"/>
  </w:num>
  <w:num w:numId="14">
    <w:abstractNumId w:val="8"/>
  </w:num>
  <w:num w:numId="15">
    <w:abstractNumId w:val="9"/>
  </w:num>
  <w:num w:numId="16">
    <w:abstractNumId w:val="10"/>
  </w:num>
  <w:num w:numId="17">
    <w:abstractNumId w:val="27"/>
  </w:num>
  <w:num w:numId="18">
    <w:abstractNumId w:val="3"/>
  </w:num>
  <w:num w:numId="19">
    <w:abstractNumId w:val="16"/>
  </w:num>
  <w:num w:numId="20">
    <w:abstractNumId w:val="5"/>
  </w:num>
  <w:num w:numId="21">
    <w:abstractNumId w:val="20"/>
  </w:num>
  <w:num w:numId="22">
    <w:abstractNumId w:val="2"/>
    <w:lvlOverride w:ilvl="0">
      <w:startOverride w:val="1"/>
    </w:lvlOverride>
    <w:lvlOverride w:ilvl="1">
      <w:startOverride w:val="1"/>
    </w:lvlOverride>
    <w:lvlOverride w:ilvl="2">
      <w:startOverride w:val="4"/>
    </w:lvlOverride>
  </w:num>
  <w:num w:numId="23">
    <w:abstractNumId w:val="12"/>
  </w:num>
  <w:num w:numId="24">
    <w:abstractNumId w:val="21"/>
  </w:num>
  <w:num w:numId="25">
    <w:abstractNumId w:val="7"/>
  </w:num>
  <w:num w:numId="26">
    <w:abstractNumId w:val="23"/>
  </w:num>
  <w:num w:numId="27">
    <w:abstractNumId w:val="24"/>
  </w:num>
  <w:num w:numId="28">
    <w:abstractNumId w:val="30"/>
  </w:num>
  <w:num w:numId="29">
    <w:abstractNumId w:val="32"/>
  </w:num>
  <w:num w:numId="30">
    <w:abstractNumId w:val="22"/>
  </w:num>
  <w:num w:numId="31">
    <w:abstractNumId w:val="13"/>
  </w:num>
  <w:num w:numId="32">
    <w:abstractNumId w:val="29"/>
  </w:num>
  <w:num w:numId="33">
    <w:abstractNumId w:val="28"/>
  </w:num>
  <w:num w:numId="34">
    <w:abstractNumId w:val="11"/>
  </w:num>
  <w:num w:numId="35">
    <w:abstractNumId w:val="1"/>
  </w:num>
  <w:num w:numId="36">
    <w:abstractNumId w:val="33"/>
  </w:num>
  <w:num w:numId="37">
    <w:abstractNumId w:val="26"/>
  </w:num>
  <w:num w:numId="38">
    <w:abstractNumId w:val="3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 w:id="2"/>
  </w:footnotePr>
  <w:endnotePr>
    <w:endnote w:id="0"/>
    <w:endnote w:id="1"/>
    <w:endnote w:id="2"/>
  </w:endnotePr>
  <w:compat>
    <w:useFELayout/>
  </w:compat>
  <w:docVars>
    <w:docVar w:name="AS2DocOpenMode" w:val="AS2DocumentEdit"/>
  </w:docVars>
  <w:rsids>
    <w:rsidRoot w:val="00BC17DE"/>
    <w:rsid w:val="00000ACC"/>
    <w:rsid w:val="00000CBA"/>
    <w:rsid w:val="000016CD"/>
    <w:rsid w:val="000018FE"/>
    <w:rsid w:val="00001B16"/>
    <w:rsid w:val="00002427"/>
    <w:rsid w:val="0000294E"/>
    <w:rsid w:val="000049FA"/>
    <w:rsid w:val="00004C09"/>
    <w:rsid w:val="00004EC3"/>
    <w:rsid w:val="00004F99"/>
    <w:rsid w:val="00005AB1"/>
    <w:rsid w:val="00006482"/>
    <w:rsid w:val="00006871"/>
    <w:rsid w:val="00007795"/>
    <w:rsid w:val="00007B76"/>
    <w:rsid w:val="0001098C"/>
    <w:rsid w:val="00011650"/>
    <w:rsid w:val="00011A10"/>
    <w:rsid w:val="00011D2E"/>
    <w:rsid w:val="00012662"/>
    <w:rsid w:val="00015494"/>
    <w:rsid w:val="00015702"/>
    <w:rsid w:val="000160E3"/>
    <w:rsid w:val="00020D3B"/>
    <w:rsid w:val="00020DE6"/>
    <w:rsid w:val="00020F5C"/>
    <w:rsid w:val="000211F3"/>
    <w:rsid w:val="00021E80"/>
    <w:rsid w:val="0002330B"/>
    <w:rsid w:val="00023C36"/>
    <w:rsid w:val="00023D60"/>
    <w:rsid w:val="000246C2"/>
    <w:rsid w:val="00024834"/>
    <w:rsid w:val="00024AB8"/>
    <w:rsid w:val="00025B28"/>
    <w:rsid w:val="00025DE6"/>
    <w:rsid w:val="0002613C"/>
    <w:rsid w:val="0002724F"/>
    <w:rsid w:val="0002743C"/>
    <w:rsid w:val="000278C6"/>
    <w:rsid w:val="00027A00"/>
    <w:rsid w:val="00027EC3"/>
    <w:rsid w:val="00030B7E"/>
    <w:rsid w:val="00031552"/>
    <w:rsid w:val="00033562"/>
    <w:rsid w:val="0003591C"/>
    <w:rsid w:val="000368A2"/>
    <w:rsid w:val="00036C9D"/>
    <w:rsid w:val="000376DE"/>
    <w:rsid w:val="00040679"/>
    <w:rsid w:val="00041760"/>
    <w:rsid w:val="00043211"/>
    <w:rsid w:val="00043704"/>
    <w:rsid w:val="00043755"/>
    <w:rsid w:val="00043CBB"/>
    <w:rsid w:val="000442CD"/>
    <w:rsid w:val="000447EF"/>
    <w:rsid w:val="0004671E"/>
    <w:rsid w:val="00046B4E"/>
    <w:rsid w:val="000473F1"/>
    <w:rsid w:val="00050082"/>
    <w:rsid w:val="000501AA"/>
    <w:rsid w:val="00050FB5"/>
    <w:rsid w:val="00051688"/>
    <w:rsid w:val="0005248A"/>
    <w:rsid w:val="00052A26"/>
    <w:rsid w:val="000534D0"/>
    <w:rsid w:val="00054C0B"/>
    <w:rsid w:val="00055C96"/>
    <w:rsid w:val="00056547"/>
    <w:rsid w:val="0005726F"/>
    <w:rsid w:val="00057A50"/>
    <w:rsid w:val="00057DE3"/>
    <w:rsid w:val="000610A8"/>
    <w:rsid w:val="000627B6"/>
    <w:rsid w:val="00064851"/>
    <w:rsid w:val="00064F5E"/>
    <w:rsid w:val="000651C6"/>
    <w:rsid w:val="00065E5E"/>
    <w:rsid w:val="00066310"/>
    <w:rsid w:val="00067311"/>
    <w:rsid w:val="00070209"/>
    <w:rsid w:val="000704D1"/>
    <w:rsid w:val="00071BAA"/>
    <w:rsid w:val="00072352"/>
    <w:rsid w:val="00072C8D"/>
    <w:rsid w:val="0007385E"/>
    <w:rsid w:val="000743B0"/>
    <w:rsid w:val="000753DC"/>
    <w:rsid w:val="0007797D"/>
    <w:rsid w:val="000779CE"/>
    <w:rsid w:val="00077D06"/>
    <w:rsid w:val="00080220"/>
    <w:rsid w:val="0008144E"/>
    <w:rsid w:val="00081AC4"/>
    <w:rsid w:val="00081B14"/>
    <w:rsid w:val="00082B51"/>
    <w:rsid w:val="00083120"/>
    <w:rsid w:val="00083875"/>
    <w:rsid w:val="00083902"/>
    <w:rsid w:val="00086338"/>
    <w:rsid w:val="000867F7"/>
    <w:rsid w:val="00087262"/>
    <w:rsid w:val="00091133"/>
    <w:rsid w:val="0009194B"/>
    <w:rsid w:val="000919F5"/>
    <w:rsid w:val="000926EF"/>
    <w:rsid w:val="000930D0"/>
    <w:rsid w:val="000936C5"/>
    <w:rsid w:val="00095324"/>
    <w:rsid w:val="00096AEC"/>
    <w:rsid w:val="00097863"/>
    <w:rsid w:val="00097B8A"/>
    <w:rsid w:val="000A1171"/>
    <w:rsid w:val="000A22E5"/>
    <w:rsid w:val="000A2BA0"/>
    <w:rsid w:val="000A56A5"/>
    <w:rsid w:val="000A6322"/>
    <w:rsid w:val="000A6A0E"/>
    <w:rsid w:val="000A7A76"/>
    <w:rsid w:val="000A7DFE"/>
    <w:rsid w:val="000B07DE"/>
    <w:rsid w:val="000B273B"/>
    <w:rsid w:val="000B27BA"/>
    <w:rsid w:val="000B3E2F"/>
    <w:rsid w:val="000B4E71"/>
    <w:rsid w:val="000B5636"/>
    <w:rsid w:val="000C0077"/>
    <w:rsid w:val="000C00AC"/>
    <w:rsid w:val="000C0928"/>
    <w:rsid w:val="000C13F7"/>
    <w:rsid w:val="000C1EC0"/>
    <w:rsid w:val="000C2D7D"/>
    <w:rsid w:val="000C38E8"/>
    <w:rsid w:val="000C7905"/>
    <w:rsid w:val="000C7A73"/>
    <w:rsid w:val="000D0B76"/>
    <w:rsid w:val="000D3AF0"/>
    <w:rsid w:val="000D72F7"/>
    <w:rsid w:val="000E03F0"/>
    <w:rsid w:val="000E06AD"/>
    <w:rsid w:val="000E0AF6"/>
    <w:rsid w:val="000E0E1C"/>
    <w:rsid w:val="000E2198"/>
    <w:rsid w:val="000E2640"/>
    <w:rsid w:val="000E321A"/>
    <w:rsid w:val="000E4760"/>
    <w:rsid w:val="000E6868"/>
    <w:rsid w:val="000E7120"/>
    <w:rsid w:val="000E7515"/>
    <w:rsid w:val="000F0E3D"/>
    <w:rsid w:val="000F14D2"/>
    <w:rsid w:val="000F2045"/>
    <w:rsid w:val="000F20BA"/>
    <w:rsid w:val="000F2BF3"/>
    <w:rsid w:val="000F2C50"/>
    <w:rsid w:val="000F323A"/>
    <w:rsid w:val="000F3E1E"/>
    <w:rsid w:val="000F3F8D"/>
    <w:rsid w:val="000F45F2"/>
    <w:rsid w:val="000F49DE"/>
    <w:rsid w:val="000F4F0F"/>
    <w:rsid w:val="000F6143"/>
    <w:rsid w:val="000F6699"/>
    <w:rsid w:val="000F6E1E"/>
    <w:rsid w:val="000F717C"/>
    <w:rsid w:val="000F7650"/>
    <w:rsid w:val="0010177D"/>
    <w:rsid w:val="00101E5D"/>
    <w:rsid w:val="00102368"/>
    <w:rsid w:val="0010251B"/>
    <w:rsid w:val="00102F30"/>
    <w:rsid w:val="0010315C"/>
    <w:rsid w:val="0010329E"/>
    <w:rsid w:val="0010402F"/>
    <w:rsid w:val="001047B4"/>
    <w:rsid w:val="0010525E"/>
    <w:rsid w:val="001052A0"/>
    <w:rsid w:val="0010577D"/>
    <w:rsid w:val="001062F5"/>
    <w:rsid w:val="001064B5"/>
    <w:rsid w:val="001075DC"/>
    <w:rsid w:val="0011058A"/>
    <w:rsid w:val="0011092E"/>
    <w:rsid w:val="00110E5A"/>
    <w:rsid w:val="00112768"/>
    <w:rsid w:val="00114576"/>
    <w:rsid w:val="0011527A"/>
    <w:rsid w:val="00115B1F"/>
    <w:rsid w:val="00116F99"/>
    <w:rsid w:val="00117755"/>
    <w:rsid w:val="001178D9"/>
    <w:rsid w:val="00121070"/>
    <w:rsid w:val="00121EBE"/>
    <w:rsid w:val="001232F1"/>
    <w:rsid w:val="00124BBF"/>
    <w:rsid w:val="00124F9F"/>
    <w:rsid w:val="00125163"/>
    <w:rsid w:val="001251BD"/>
    <w:rsid w:val="001252B9"/>
    <w:rsid w:val="001254AD"/>
    <w:rsid w:val="001267B1"/>
    <w:rsid w:val="001267CD"/>
    <w:rsid w:val="00126896"/>
    <w:rsid w:val="0012774A"/>
    <w:rsid w:val="00127E85"/>
    <w:rsid w:val="00131C58"/>
    <w:rsid w:val="00132151"/>
    <w:rsid w:val="0013216B"/>
    <w:rsid w:val="00133C48"/>
    <w:rsid w:val="00134755"/>
    <w:rsid w:val="0013584F"/>
    <w:rsid w:val="00135DEA"/>
    <w:rsid w:val="00136BF5"/>
    <w:rsid w:val="00136D5D"/>
    <w:rsid w:val="001372B3"/>
    <w:rsid w:val="0014043C"/>
    <w:rsid w:val="001404BD"/>
    <w:rsid w:val="0014171B"/>
    <w:rsid w:val="00141936"/>
    <w:rsid w:val="00142927"/>
    <w:rsid w:val="00142962"/>
    <w:rsid w:val="00142AF4"/>
    <w:rsid w:val="00143149"/>
    <w:rsid w:val="001435CC"/>
    <w:rsid w:val="001449FB"/>
    <w:rsid w:val="00146788"/>
    <w:rsid w:val="00146C4D"/>
    <w:rsid w:val="00147438"/>
    <w:rsid w:val="00150CD5"/>
    <w:rsid w:val="00151595"/>
    <w:rsid w:val="00151C5C"/>
    <w:rsid w:val="001550F8"/>
    <w:rsid w:val="00155BBD"/>
    <w:rsid w:val="00160FB7"/>
    <w:rsid w:val="00162000"/>
    <w:rsid w:val="001621E8"/>
    <w:rsid w:val="00162425"/>
    <w:rsid w:val="00162790"/>
    <w:rsid w:val="00164151"/>
    <w:rsid w:val="0016419F"/>
    <w:rsid w:val="00164211"/>
    <w:rsid w:val="0016540A"/>
    <w:rsid w:val="001655D7"/>
    <w:rsid w:val="00166DD2"/>
    <w:rsid w:val="00170499"/>
    <w:rsid w:val="001704AF"/>
    <w:rsid w:val="00170BDF"/>
    <w:rsid w:val="001715F2"/>
    <w:rsid w:val="001725D6"/>
    <w:rsid w:val="001729ED"/>
    <w:rsid w:val="00173813"/>
    <w:rsid w:val="001739A2"/>
    <w:rsid w:val="00173BA5"/>
    <w:rsid w:val="00173FF0"/>
    <w:rsid w:val="001746E1"/>
    <w:rsid w:val="001762D6"/>
    <w:rsid w:val="00176829"/>
    <w:rsid w:val="00176945"/>
    <w:rsid w:val="00176AD5"/>
    <w:rsid w:val="00180B62"/>
    <w:rsid w:val="00180C5D"/>
    <w:rsid w:val="0018155A"/>
    <w:rsid w:val="00181F05"/>
    <w:rsid w:val="001822CA"/>
    <w:rsid w:val="0018232E"/>
    <w:rsid w:val="00182B8B"/>
    <w:rsid w:val="00183DC0"/>
    <w:rsid w:val="00186D79"/>
    <w:rsid w:val="00187798"/>
    <w:rsid w:val="00187CAF"/>
    <w:rsid w:val="0019041E"/>
    <w:rsid w:val="00190FE8"/>
    <w:rsid w:val="001913A0"/>
    <w:rsid w:val="001914E1"/>
    <w:rsid w:val="00191FDD"/>
    <w:rsid w:val="00193305"/>
    <w:rsid w:val="00193C89"/>
    <w:rsid w:val="00195FF2"/>
    <w:rsid w:val="00196578"/>
    <w:rsid w:val="00197FC5"/>
    <w:rsid w:val="001A1F71"/>
    <w:rsid w:val="001A2C47"/>
    <w:rsid w:val="001A30DC"/>
    <w:rsid w:val="001A4438"/>
    <w:rsid w:val="001A548F"/>
    <w:rsid w:val="001A67F8"/>
    <w:rsid w:val="001A6808"/>
    <w:rsid w:val="001A6B02"/>
    <w:rsid w:val="001A7067"/>
    <w:rsid w:val="001A71CB"/>
    <w:rsid w:val="001A7889"/>
    <w:rsid w:val="001B024C"/>
    <w:rsid w:val="001B1112"/>
    <w:rsid w:val="001B185E"/>
    <w:rsid w:val="001B310C"/>
    <w:rsid w:val="001B575A"/>
    <w:rsid w:val="001B5FEB"/>
    <w:rsid w:val="001B797F"/>
    <w:rsid w:val="001B79B4"/>
    <w:rsid w:val="001C0643"/>
    <w:rsid w:val="001C1053"/>
    <w:rsid w:val="001C1703"/>
    <w:rsid w:val="001C2EBC"/>
    <w:rsid w:val="001C38DA"/>
    <w:rsid w:val="001C3CA2"/>
    <w:rsid w:val="001C4CFD"/>
    <w:rsid w:val="001C4F2E"/>
    <w:rsid w:val="001C5210"/>
    <w:rsid w:val="001C7281"/>
    <w:rsid w:val="001C7AC3"/>
    <w:rsid w:val="001D0061"/>
    <w:rsid w:val="001D0232"/>
    <w:rsid w:val="001D0835"/>
    <w:rsid w:val="001D1904"/>
    <w:rsid w:val="001D3A03"/>
    <w:rsid w:val="001D3AA3"/>
    <w:rsid w:val="001D3AC5"/>
    <w:rsid w:val="001D3ECB"/>
    <w:rsid w:val="001D433D"/>
    <w:rsid w:val="001D513F"/>
    <w:rsid w:val="001D665B"/>
    <w:rsid w:val="001D677C"/>
    <w:rsid w:val="001D6F55"/>
    <w:rsid w:val="001D72EF"/>
    <w:rsid w:val="001E0FFB"/>
    <w:rsid w:val="001E1D07"/>
    <w:rsid w:val="001E2017"/>
    <w:rsid w:val="001E2F4E"/>
    <w:rsid w:val="001E3459"/>
    <w:rsid w:val="001E3E84"/>
    <w:rsid w:val="001E518F"/>
    <w:rsid w:val="001E5AE4"/>
    <w:rsid w:val="001E629C"/>
    <w:rsid w:val="001E6A42"/>
    <w:rsid w:val="001E6FBD"/>
    <w:rsid w:val="001E7395"/>
    <w:rsid w:val="001E78CF"/>
    <w:rsid w:val="001F04C9"/>
    <w:rsid w:val="001F06A7"/>
    <w:rsid w:val="001F06FD"/>
    <w:rsid w:val="001F07C0"/>
    <w:rsid w:val="001F0C3E"/>
    <w:rsid w:val="001F1A8E"/>
    <w:rsid w:val="001F1D7F"/>
    <w:rsid w:val="001F323B"/>
    <w:rsid w:val="001F323D"/>
    <w:rsid w:val="001F3328"/>
    <w:rsid w:val="001F3549"/>
    <w:rsid w:val="001F4170"/>
    <w:rsid w:val="001F50B3"/>
    <w:rsid w:val="001F5E3C"/>
    <w:rsid w:val="001F6292"/>
    <w:rsid w:val="001F7AAF"/>
    <w:rsid w:val="001F7B1E"/>
    <w:rsid w:val="001F7BE2"/>
    <w:rsid w:val="002006C3"/>
    <w:rsid w:val="00201073"/>
    <w:rsid w:val="002011B8"/>
    <w:rsid w:val="0020187D"/>
    <w:rsid w:val="00201BC4"/>
    <w:rsid w:val="00201BD4"/>
    <w:rsid w:val="00201E5E"/>
    <w:rsid w:val="00201F1B"/>
    <w:rsid w:val="00202280"/>
    <w:rsid w:val="00202D60"/>
    <w:rsid w:val="0020385A"/>
    <w:rsid w:val="0020463E"/>
    <w:rsid w:val="00206612"/>
    <w:rsid w:val="00206D91"/>
    <w:rsid w:val="0020726E"/>
    <w:rsid w:val="00207964"/>
    <w:rsid w:val="002100E9"/>
    <w:rsid w:val="002104EC"/>
    <w:rsid w:val="0021103D"/>
    <w:rsid w:val="0021171F"/>
    <w:rsid w:val="00211830"/>
    <w:rsid w:val="0021188E"/>
    <w:rsid w:val="00211B7C"/>
    <w:rsid w:val="00212843"/>
    <w:rsid w:val="00212DDF"/>
    <w:rsid w:val="002136FA"/>
    <w:rsid w:val="00213F25"/>
    <w:rsid w:val="00214176"/>
    <w:rsid w:val="0021572A"/>
    <w:rsid w:val="00215A96"/>
    <w:rsid w:val="00215A9B"/>
    <w:rsid w:val="00215B16"/>
    <w:rsid w:val="00215F4F"/>
    <w:rsid w:val="00216E83"/>
    <w:rsid w:val="002173BB"/>
    <w:rsid w:val="00220D3C"/>
    <w:rsid w:val="00221A44"/>
    <w:rsid w:val="00222197"/>
    <w:rsid w:val="002233AF"/>
    <w:rsid w:val="00223AA9"/>
    <w:rsid w:val="00223CE9"/>
    <w:rsid w:val="0022572F"/>
    <w:rsid w:val="002275D4"/>
    <w:rsid w:val="00227784"/>
    <w:rsid w:val="00227C45"/>
    <w:rsid w:val="00230161"/>
    <w:rsid w:val="00230E53"/>
    <w:rsid w:val="002314F5"/>
    <w:rsid w:val="00232137"/>
    <w:rsid w:val="002329EA"/>
    <w:rsid w:val="002343CD"/>
    <w:rsid w:val="00235466"/>
    <w:rsid w:val="00235863"/>
    <w:rsid w:val="0023785C"/>
    <w:rsid w:val="0024023E"/>
    <w:rsid w:val="002418E6"/>
    <w:rsid w:val="00242540"/>
    <w:rsid w:val="00242D9F"/>
    <w:rsid w:val="00243173"/>
    <w:rsid w:val="00245812"/>
    <w:rsid w:val="00245CBF"/>
    <w:rsid w:val="00247903"/>
    <w:rsid w:val="00251334"/>
    <w:rsid w:val="002520DE"/>
    <w:rsid w:val="00252AB0"/>
    <w:rsid w:val="0025307D"/>
    <w:rsid w:val="002533D3"/>
    <w:rsid w:val="00254353"/>
    <w:rsid w:val="002548C6"/>
    <w:rsid w:val="00255936"/>
    <w:rsid w:val="002559B4"/>
    <w:rsid w:val="0025682F"/>
    <w:rsid w:val="00256A55"/>
    <w:rsid w:val="002574E6"/>
    <w:rsid w:val="002611AD"/>
    <w:rsid w:val="00261504"/>
    <w:rsid w:val="00261789"/>
    <w:rsid w:val="00262C72"/>
    <w:rsid w:val="00262F5D"/>
    <w:rsid w:val="00262F78"/>
    <w:rsid w:val="00263528"/>
    <w:rsid w:val="00263A6B"/>
    <w:rsid w:val="00264AD0"/>
    <w:rsid w:val="002663AB"/>
    <w:rsid w:val="00266E7E"/>
    <w:rsid w:val="00266EA1"/>
    <w:rsid w:val="00267844"/>
    <w:rsid w:val="00267A6A"/>
    <w:rsid w:val="00273300"/>
    <w:rsid w:val="0027335A"/>
    <w:rsid w:val="002735B9"/>
    <w:rsid w:val="002735F8"/>
    <w:rsid w:val="00275747"/>
    <w:rsid w:val="00275980"/>
    <w:rsid w:val="00275E6D"/>
    <w:rsid w:val="0027698C"/>
    <w:rsid w:val="0028005A"/>
    <w:rsid w:val="002803A7"/>
    <w:rsid w:val="002816EC"/>
    <w:rsid w:val="0028208A"/>
    <w:rsid w:val="0028279E"/>
    <w:rsid w:val="00282C70"/>
    <w:rsid w:val="00284195"/>
    <w:rsid w:val="00284304"/>
    <w:rsid w:val="00284897"/>
    <w:rsid w:val="0028571E"/>
    <w:rsid w:val="00285DF4"/>
    <w:rsid w:val="0028795C"/>
    <w:rsid w:val="0029138C"/>
    <w:rsid w:val="002913A4"/>
    <w:rsid w:val="00291966"/>
    <w:rsid w:val="00292124"/>
    <w:rsid w:val="00292438"/>
    <w:rsid w:val="00292798"/>
    <w:rsid w:val="00292FB0"/>
    <w:rsid w:val="00293B9D"/>
    <w:rsid w:val="0029515C"/>
    <w:rsid w:val="00296B51"/>
    <w:rsid w:val="002973A8"/>
    <w:rsid w:val="0029785C"/>
    <w:rsid w:val="002A01F2"/>
    <w:rsid w:val="002A098B"/>
    <w:rsid w:val="002A1265"/>
    <w:rsid w:val="002A2010"/>
    <w:rsid w:val="002A3177"/>
    <w:rsid w:val="002A3F99"/>
    <w:rsid w:val="002A6E2A"/>
    <w:rsid w:val="002A781E"/>
    <w:rsid w:val="002A7F58"/>
    <w:rsid w:val="002B013C"/>
    <w:rsid w:val="002B0E13"/>
    <w:rsid w:val="002B10BB"/>
    <w:rsid w:val="002B10BD"/>
    <w:rsid w:val="002B2866"/>
    <w:rsid w:val="002B4D4D"/>
    <w:rsid w:val="002B5103"/>
    <w:rsid w:val="002C0409"/>
    <w:rsid w:val="002C0FA2"/>
    <w:rsid w:val="002C13AF"/>
    <w:rsid w:val="002C1CF8"/>
    <w:rsid w:val="002C2B1F"/>
    <w:rsid w:val="002C393E"/>
    <w:rsid w:val="002C3CCA"/>
    <w:rsid w:val="002C3F7D"/>
    <w:rsid w:val="002C40CA"/>
    <w:rsid w:val="002C47F6"/>
    <w:rsid w:val="002C6F21"/>
    <w:rsid w:val="002C6FC8"/>
    <w:rsid w:val="002C7F2F"/>
    <w:rsid w:val="002D03C7"/>
    <w:rsid w:val="002D17F9"/>
    <w:rsid w:val="002D2156"/>
    <w:rsid w:val="002D429B"/>
    <w:rsid w:val="002D47A9"/>
    <w:rsid w:val="002D5541"/>
    <w:rsid w:val="002D5DD7"/>
    <w:rsid w:val="002D6373"/>
    <w:rsid w:val="002E14F7"/>
    <w:rsid w:val="002E21A4"/>
    <w:rsid w:val="002E28F2"/>
    <w:rsid w:val="002E3208"/>
    <w:rsid w:val="002E3401"/>
    <w:rsid w:val="002E3CA2"/>
    <w:rsid w:val="002E63E1"/>
    <w:rsid w:val="002E67B0"/>
    <w:rsid w:val="002E6846"/>
    <w:rsid w:val="002E7036"/>
    <w:rsid w:val="002F07F4"/>
    <w:rsid w:val="002F1DC8"/>
    <w:rsid w:val="002F36A0"/>
    <w:rsid w:val="002F47E8"/>
    <w:rsid w:val="002F53AE"/>
    <w:rsid w:val="002F610F"/>
    <w:rsid w:val="00300E52"/>
    <w:rsid w:val="0030194B"/>
    <w:rsid w:val="00302285"/>
    <w:rsid w:val="003029ED"/>
    <w:rsid w:val="00303630"/>
    <w:rsid w:val="003041AA"/>
    <w:rsid w:val="00307431"/>
    <w:rsid w:val="003074D9"/>
    <w:rsid w:val="003079D5"/>
    <w:rsid w:val="00307D9C"/>
    <w:rsid w:val="00312179"/>
    <w:rsid w:val="003123FC"/>
    <w:rsid w:val="00314F7A"/>
    <w:rsid w:val="00315E39"/>
    <w:rsid w:val="0031620A"/>
    <w:rsid w:val="003163CD"/>
    <w:rsid w:val="0031744C"/>
    <w:rsid w:val="00317C39"/>
    <w:rsid w:val="0032066A"/>
    <w:rsid w:val="00320AC7"/>
    <w:rsid w:val="00320BD9"/>
    <w:rsid w:val="00320FAB"/>
    <w:rsid w:val="003216ED"/>
    <w:rsid w:val="00321BD9"/>
    <w:rsid w:val="0032264E"/>
    <w:rsid w:val="00322A86"/>
    <w:rsid w:val="00322C56"/>
    <w:rsid w:val="00323396"/>
    <w:rsid w:val="0032384C"/>
    <w:rsid w:val="003247A0"/>
    <w:rsid w:val="003259DF"/>
    <w:rsid w:val="00325D76"/>
    <w:rsid w:val="00326C9A"/>
    <w:rsid w:val="003278C7"/>
    <w:rsid w:val="0033006D"/>
    <w:rsid w:val="00330A7A"/>
    <w:rsid w:val="00330E8C"/>
    <w:rsid w:val="0033137E"/>
    <w:rsid w:val="003315A4"/>
    <w:rsid w:val="00331D10"/>
    <w:rsid w:val="0033690F"/>
    <w:rsid w:val="00336992"/>
    <w:rsid w:val="00336C6C"/>
    <w:rsid w:val="00337829"/>
    <w:rsid w:val="00337B5A"/>
    <w:rsid w:val="00340651"/>
    <w:rsid w:val="00340A52"/>
    <w:rsid w:val="0034105D"/>
    <w:rsid w:val="003412E8"/>
    <w:rsid w:val="00341746"/>
    <w:rsid w:val="00343751"/>
    <w:rsid w:val="003437A1"/>
    <w:rsid w:val="0034517E"/>
    <w:rsid w:val="00345DDD"/>
    <w:rsid w:val="00345E40"/>
    <w:rsid w:val="00346083"/>
    <w:rsid w:val="00346BBC"/>
    <w:rsid w:val="00347749"/>
    <w:rsid w:val="00347777"/>
    <w:rsid w:val="00347852"/>
    <w:rsid w:val="00350C14"/>
    <w:rsid w:val="00351F26"/>
    <w:rsid w:val="003531AC"/>
    <w:rsid w:val="0035366C"/>
    <w:rsid w:val="00353C37"/>
    <w:rsid w:val="003554BE"/>
    <w:rsid w:val="0035553F"/>
    <w:rsid w:val="00355847"/>
    <w:rsid w:val="0035605E"/>
    <w:rsid w:val="0035614A"/>
    <w:rsid w:val="0035639D"/>
    <w:rsid w:val="003605E2"/>
    <w:rsid w:val="003606F7"/>
    <w:rsid w:val="00360A3C"/>
    <w:rsid w:val="0036110F"/>
    <w:rsid w:val="003618AF"/>
    <w:rsid w:val="00362A1A"/>
    <w:rsid w:val="00363D96"/>
    <w:rsid w:val="00363EA9"/>
    <w:rsid w:val="00364349"/>
    <w:rsid w:val="003645A6"/>
    <w:rsid w:val="00364704"/>
    <w:rsid w:val="00365B59"/>
    <w:rsid w:val="00365D24"/>
    <w:rsid w:val="00367499"/>
    <w:rsid w:val="00370663"/>
    <w:rsid w:val="0037188D"/>
    <w:rsid w:val="00371EC3"/>
    <w:rsid w:val="00371F77"/>
    <w:rsid w:val="00371FB0"/>
    <w:rsid w:val="003734E2"/>
    <w:rsid w:val="003749E6"/>
    <w:rsid w:val="00374A62"/>
    <w:rsid w:val="00375B7F"/>
    <w:rsid w:val="003779BB"/>
    <w:rsid w:val="00377B05"/>
    <w:rsid w:val="00380685"/>
    <w:rsid w:val="00381804"/>
    <w:rsid w:val="003818B1"/>
    <w:rsid w:val="0038191B"/>
    <w:rsid w:val="00381D5C"/>
    <w:rsid w:val="00381ED3"/>
    <w:rsid w:val="003835B8"/>
    <w:rsid w:val="00383723"/>
    <w:rsid w:val="003846B3"/>
    <w:rsid w:val="003851F8"/>
    <w:rsid w:val="00386BBC"/>
    <w:rsid w:val="003873F0"/>
    <w:rsid w:val="00387528"/>
    <w:rsid w:val="0039017F"/>
    <w:rsid w:val="003901E3"/>
    <w:rsid w:val="003906D8"/>
    <w:rsid w:val="00390A0E"/>
    <w:rsid w:val="00390A66"/>
    <w:rsid w:val="00390DF4"/>
    <w:rsid w:val="00391CCE"/>
    <w:rsid w:val="003923D6"/>
    <w:rsid w:val="0039262A"/>
    <w:rsid w:val="00392817"/>
    <w:rsid w:val="00393E1C"/>
    <w:rsid w:val="003941BD"/>
    <w:rsid w:val="003954D1"/>
    <w:rsid w:val="0039648E"/>
    <w:rsid w:val="003969CD"/>
    <w:rsid w:val="003A10B0"/>
    <w:rsid w:val="003A1101"/>
    <w:rsid w:val="003A5378"/>
    <w:rsid w:val="003A55ED"/>
    <w:rsid w:val="003A5EDF"/>
    <w:rsid w:val="003B359E"/>
    <w:rsid w:val="003B3E18"/>
    <w:rsid w:val="003B4CB1"/>
    <w:rsid w:val="003B595A"/>
    <w:rsid w:val="003B60DC"/>
    <w:rsid w:val="003B64C5"/>
    <w:rsid w:val="003B664F"/>
    <w:rsid w:val="003B6F7A"/>
    <w:rsid w:val="003B710E"/>
    <w:rsid w:val="003B73C4"/>
    <w:rsid w:val="003B7468"/>
    <w:rsid w:val="003B7D87"/>
    <w:rsid w:val="003C0066"/>
    <w:rsid w:val="003C0AFC"/>
    <w:rsid w:val="003C0C1D"/>
    <w:rsid w:val="003C0EAE"/>
    <w:rsid w:val="003C23A4"/>
    <w:rsid w:val="003C3BA1"/>
    <w:rsid w:val="003C4DB6"/>
    <w:rsid w:val="003C574E"/>
    <w:rsid w:val="003C6C22"/>
    <w:rsid w:val="003D040B"/>
    <w:rsid w:val="003D1978"/>
    <w:rsid w:val="003D1EDD"/>
    <w:rsid w:val="003D202C"/>
    <w:rsid w:val="003D21E2"/>
    <w:rsid w:val="003D37AB"/>
    <w:rsid w:val="003D6D80"/>
    <w:rsid w:val="003D7BDC"/>
    <w:rsid w:val="003D7C1D"/>
    <w:rsid w:val="003E27E3"/>
    <w:rsid w:val="003E3151"/>
    <w:rsid w:val="003E33C9"/>
    <w:rsid w:val="003E45EF"/>
    <w:rsid w:val="003E46EC"/>
    <w:rsid w:val="003E4704"/>
    <w:rsid w:val="003E4BB7"/>
    <w:rsid w:val="003E5792"/>
    <w:rsid w:val="003F1F33"/>
    <w:rsid w:val="003F1FB2"/>
    <w:rsid w:val="003F2571"/>
    <w:rsid w:val="003F2A2C"/>
    <w:rsid w:val="003F63BE"/>
    <w:rsid w:val="003F63F0"/>
    <w:rsid w:val="003F64D8"/>
    <w:rsid w:val="003F73AE"/>
    <w:rsid w:val="0040144C"/>
    <w:rsid w:val="0040236C"/>
    <w:rsid w:val="0040280A"/>
    <w:rsid w:val="00402A30"/>
    <w:rsid w:val="004033FD"/>
    <w:rsid w:val="00404B81"/>
    <w:rsid w:val="00404F26"/>
    <w:rsid w:val="00406998"/>
    <w:rsid w:val="00406E30"/>
    <w:rsid w:val="00407946"/>
    <w:rsid w:val="00410BCC"/>
    <w:rsid w:val="00410DCC"/>
    <w:rsid w:val="00411C2B"/>
    <w:rsid w:val="00412899"/>
    <w:rsid w:val="00412DA6"/>
    <w:rsid w:val="004132CD"/>
    <w:rsid w:val="00414621"/>
    <w:rsid w:val="00415FF3"/>
    <w:rsid w:val="0041639B"/>
    <w:rsid w:val="00416B98"/>
    <w:rsid w:val="00420394"/>
    <w:rsid w:val="00421B4D"/>
    <w:rsid w:val="004227CF"/>
    <w:rsid w:val="0042311A"/>
    <w:rsid w:val="00424FDC"/>
    <w:rsid w:val="0042535B"/>
    <w:rsid w:val="0042611B"/>
    <w:rsid w:val="00426C29"/>
    <w:rsid w:val="00427183"/>
    <w:rsid w:val="00430E2C"/>
    <w:rsid w:val="00431C97"/>
    <w:rsid w:val="00432C18"/>
    <w:rsid w:val="00433864"/>
    <w:rsid w:val="004346E2"/>
    <w:rsid w:val="00434BDE"/>
    <w:rsid w:val="00436142"/>
    <w:rsid w:val="00436BDC"/>
    <w:rsid w:val="00437C97"/>
    <w:rsid w:val="004404F4"/>
    <w:rsid w:val="004411A9"/>
    <w:rsid w:val="00442BE5"/>
    <w:rsid w:val="00442E70"/>
    <w:rsid w:val="00443895"/>
    <w:rsid w:val="004439A5"/>
    <w:rsid w:val="00444A2F"/>
    <w:rsid w:val="004457B0"/>
    <w:rsid w:val="00445CB9"/>
    <w:rsid w:val="00446FD9"/>
    <w:rsid w:val="00447453"/>
    <w:rsid w:val="0045087D"/>
    <w:rsid w:val="004521A3"/>
    <w:rsid w:val="00452A06"/>
    <w:rsid w:val="0045394D"/>
    <w:rsid w:val="00453ABB"/>
    <w:rsid w:val="00455B8F"/>
    <w:rsid w:val="004564E4"/>
    <w:rsid w:val="0045653B"/>
    <w:rsid w:val="00456AFA"/>
    <w:rsid w:val="00457093"/>
    <w:rsid w:val="00460160"/>
    <w:rsid w:val="00460216"/>
    <w:rsid w:val="00460558"/>
    <w:rsid w:val="00460929"/>
    <w:rsid w:val="00462020"/>
    <w:rsid w:val="00463197"/>
    <w:rsid w:val="004641CB"/>
    <w:rsid w:val="00465012"/>
    <w:rsid w:val="00465108"/>
    <w:rsid w:val="004651D0"/>
    <w:rsid w:val="00466274"/>
    <w:rsid w:val="004701F7"/>
    <w:rsid w:val="004707A3"/>
    <w:rsid w:val="00470BE8"/>
    <w:rsid w:val="00470F52"/>
    <w:rsid w:val="004726F4"/>
    <w:rsid w:val="00472C40"/>
    <w:rsid w:val="004740F3"/>
    <w:rsid w:val="004742A9"/>
    <w:rsid w:val="004747E0"/>
    <w:rsid w:val="00480DFC"/>
    <w:rsid w:val="004811B5"/>
    <w:rsid w:val="00481555"/>
    <w:rsid w:val="00481644"/>
    <w:rsid w:val="00481EF8"/>
    <w:rsid w:val="00481F33"/>
    <w:rsid w:val="00483C2A"/>
    <w:rsid w:val="00483E1D"/>
    <w:rsid w:val="00484200"/>
    <w:rsid w:val="00484EC5"/>
    <w:rsid w:val="00485DC3"/>
    <w:rsid w:val="00486873"/>
    <w:rsid w:val="00487BC4"/>
    <w:rsid w:val="004903C1"/>
    <w:rsid w:val="004914E1"/>
    <w:rsid w:val="00491E0C"/>
    <w:rsid w:val="0049212A"/>
    <w:rsid w:val="004923E7"/>
    <w:rsid w:val="004930EC"/>
    <w:rsid w:val="00493BDC"/>
    <w:rsid w:val="0049448F"/>
    <w:rsid w:val="00494CEF"/>
    <w:rsid w:val="004952B8"/>
    <w:rsid w:val="004955A2"/>
    <w:rsid w:val="004964D0"/>
    <w:rsid w:val="004A037F"/>
    <w:rsid w:val="004A0770"/>
    <w:rsid w:val="004A18AC"/>
    <w:rsid w:val="004A2535"/>
    <w:rsid w:val="004A26E3"/>
    <w:rsid w:val="004A2D4C"/>
    <w:rsid w:val="004A2FE2"/>
    <w:rsid w:val="004A35EB"/>
    <w:rsid w:val="004A40D1"/>
    <w:rsid w:val="004A4776"/>
    <w:rsid w:val="004A5470"/>
    <w:rsid w:val="004A7457"/>
    <w:rsid w:val="004B0012"/>
    <w:rsid w:val="004B0D4A"/>
    <w:rsid w:val="004B10EF"/>
    <w:rsid w:val="004B1705"/>
    <w:rsid w:val="004B332A"/>
    <w:rsid w:val="004B415E"/>
    <w:rsid w:val="004B47AE"/>
    <w:rsid w:val="004B5954"/>
    <w:rsid w:val="004B5C44"/>
    <w:rsid w:val="004B61AB"/>
    <w:rsid w:val="004B62AE"/>
    <w:rsid w:val="004B62DC"/>
    <w:rsid w:val="004B6516"/>
    <w:rsid w:val="004B6BF6"/>
    <w:rsid w:val="004B6CAD"/>
    <w:rsid w:val="004B7B03"/>
    <w:rsid w:val="004C0A2F"/>
    <w:rsid w:val="004C0D65"/>
    <w:rsid w:val="004C0F13"/>
    <w:rsid w:val="004C2E17"/>
    <w:rsid w:val="004C3356"/>
    <w:rsid w:val="004C3556"/>
    <w:rsid w:val="004C45CC"/>
    <w:rsid w:val="004C4F45"/>
    <w:rsid w:val="004C53B9"/>
    <w:rsid w:val="004C5410"/>
    <w:rsid w:val="004C6038"/>
    <w:rsid w:val="004D061B"/>
    <w:rsid w:val="004D1C54"/>
    <w:rsid w:val="004D2026"/>
    <w:rsid w:val="004D5BE9"/>
    <w:rsid w:val="004D670E"/>
    <w:rsid w:val="004D7964"/>
    <w:rsid w:val="004E040C"/>
    <w:rsid w:val="004E0684"/>
    <w:rsid w:val="004E0CC2"/>
    <w:rsid w:val="004E1FDD"/>
    <w:rsid w:val="004E2471"/>
    <w:rsid w:val="004E2E04"/>
    <w:rsid w:val="004E2F3F"/>
    <w:rsid w:val="004E334E"/>
    <w:rsid w:val="004E3579"/>
    <w:rsid w:val="004E612C"/>
    <w:rsid w:val="004E64A8"/>
    <w:rsid w:val="004E6CB8"/>
    <w:rsid w:val="004E74E8"/>
    <w:rsid w:val="004E786D"/>
    <w:rsid w:val="004E7BDF"/>
    <w:rsid w:val="004F015B"/>
    <w:rsid w:val="004F07E3"/>
    <w:rsid w:val="004F2FAB"/>
    <w:rsid w:val="004F32F8"/>
    <w:rsid w:val="004F3CA3"/>
    <w:rsid w:val="004F4453"/>
    <w:rsid w:val="004F4F49"/>
    <w:rsid w:val="0050121C"/>
    <w:rsid w:val="00501D13"/>
    <w:rsid w:val="0050245C"/>
    <w:rsid w:val="0050428E"/>
    <w:rsid w:val="00504677"/>
    <w:rsid w:val="0050597F"/>
    <w:rsid w:val="00505CB1"/>
    <w:rsid w:val="00506331"/>
    <w:rsid w:val="005066F8"/>
    <w:rsid w:val="005072F8"/>
    <w:rsid w:val="00507B82"/>
    <w:rsid w:val="00507FE7"/>
    <w:rsid w:val="005105FB"/>
    <w:rsid w:val="00511A0E"/>
    <w:rsid w:val="00511E9D"/>
    <w:rsid w:val="00512397"/>
    <w:rsid w:val="00512448"/>
    <w:rsid w:val="005131D3"/>
    <w:rsid w:val="0051400A"/>
    <w:rsid w:val="005147F3"/>
    <w:rsid w:val="00514FA7"/>
    <w:rsid w:val="005164B9"/>
    <w:rsid w:val="0051777B"/>
    <w:rsid w:val="00520EAB"/>
    <w:rsid w:val="005211E1"/>
    <w:rsid w:val="005214E2"/>
    <w:rsid w:val="00523238"/>
    <w:rsid w:val="005238D1"/>
    <w:rsid w:val="00524684"/>
    <w:rsid w:val="00524A55"/>
    <w:rsid w:val="00524DDD"/>
    <w:rsid w:val="00525857"/>
    <w:rsid w:val="00526B03"/>
    <w:rsid w:val="005270C6"/>
    <w:rsid w:val="005271D6"/>
    <w:rsid w:val="00527461"/>
    <w:rsid w:val="0052766B"/>
    <w:rsid w:val="00527692"/>
    <w:rsid w:val="00527C48"/>
    <w:rsid w:val="00530912"/>
    <w:rsid w:val="00530D3C"/>
    <w:rsid w:val="005315D2"/>
    <w:rsid w:val="00531E87"/>
    <w:rsid w:val="00532AEE"/>
    <w:rsid w:val="00532C6B"/>
    <w:rsid w:val="00532FD0"/>
    <w:rsid w:val="00533970"/>
    <w:rsid w:val="00534473"/>
    <w:rsid w:val="00534ECE"/>
    <w:rsid w:val="005356A1"/>
    <w:rsid w:val="00536FD5"/>
    <w:rsid w:val="00540CCE"/>
    <w:rsid w:val="00540CF9"/>
    <w:rsid w:val="00540EAA"/>
    <w:rsid w:val="005432FA"/>
    <w:rsid w:val="00543348"/>
    <w:rsid w:val="00546918"/>
    <w:rsid w:val="005470C4"/>
    <w:rsid w:val="005475F2"/>
    <w:rsid w:val="0055048B"/>
    <w:rsid w:val="00553FB1"/>
    <w:rsid w:val="00554AFC"/>
    <w:rsid w:val="00557B50"/>
    <w:rsid w:val="00557E9D"/>
    <w:rsid w:val="00560608"/>
    <w:rsid w:val="00560838"/>
    <w:rsid w:val="00561735"/>
    <w:rsid w:val="005617D9"/>
    <w:rsid w:val="00562519"/>
    <w:rsid w:val="00562CD7"/>
    <w:rsid w:val="0056314F"/>
    <w:rsid w:val="0056345B"/>
    <w:rsid w:val="00564A68"/>
    <w:rsid w:val="005653CC"/>
    <w:rsid w:val="00566BE5"/>
    <w:rsid w:val="005671ED"/>
    <w:rsid w:val="00567780"/>
    <w:rsid w:val="00571A80"/>
    <w:rsid w:val="00572184"/>
    <w:rsid w:val="0057220D"/>
    <w:rsid w:val="0057230B"/>
    <w:rsid w:val="0057380B"/>
    <w:rsid w:val="00574177"/>
    <w:rsid w:val="00574804"/>
    <w:rsid w:val="0057592D"/>
    <w:rsid w:val="00575F94"/>
    <w:rsid w:val="00576344"/>
    <w:rsid w:val="00576730"/>
    <w:rsid w:val="00576ACE"/>
    <w:rsid w:val="0058059A"/>
    <w:rsid w:val="0058070B"/>
    <w:rsid w:val="005819FF"/>
    <w:rsid w:val="005824F8"/>
    <w:rsid w:val="005826E6"/>
    <w:rsid w:val="0058425B"/>
    <w:rsid w:val="005846D6"/>
    <w:rsid w:val="00585345"/>
    <w:rsid w:val="00585F7C"/>
    <w:rsid w:val="0058693A"/>
    <w:rsid w:val="005900DE"/>
    <w:rsid w:val="005933D4"/>
    <w:rsid w:val="00595198"/>
    <w:rsid w:val="00595704"/>
    <w:rsid w:val="005972CA"/>
    <w:rsid w:val="005A14FC"/>
    <w:rsid w:val="005A1C65"/>
    <w:rsid w:val="005A2A5E"/>
    <w:rsid w:val="005A2D62"/>
    <w:rsid w:val="005A2DE1"/>
    <w:rsid w:val="005A3857"/>
    <w:rsid w:val="005A4257"/>
    <w:rsid w:val="005A4888"/>
    <w:rsid w:val="005A5437"/>
    <w:rsid w:val="005A5F1E"/>
    <w:rsid w:val="005A6386"/>
    <w:rsid w:val="005A65AC"/>
    <w:rsid w:val="005A7496"/>
    <w:rsid w:val="005A77B4"/>
    <w:rsid w:val="005A7ABA"/>
    <w:rsid w:val="005B045B"/>
    <w:rsid w:val="005B08A1"/>
    <w:rsid w:val="005B1192"/>
    <w:rsid w:val="005B299E"/>
    <w:rsid w:val="005B3CAD"/>
    <w:rsid w:val="005B4165"/>
    <w:rsid w:val="005B428E"/>
    <w:rsid w:val="005B4C86"/>
    <w:rsid w:val="005B54AD"/>
    <w:rsid w:val="005B6062"/>
    <w:rsid w:val="005B6134"/>
    <w:rsid w:val="005C05B9"/>
    <w:rsid w:val="005C1205"/>
    <w:rsid w:val="005C197A"/>
    <w:rsid w:val="005C2B07"/>
    <w:rsid w:val="005C4F48"/>
    <w:rsid w:val="005C4F5B"/>
    <w:rsid w:val="005C52B4"/>
    <w:rsid w:val="005C5D2B"/>
    <w:rsid w:val="005C619E"/>
    <w:rsid w:val="005D064C"/>
    <w:rsid w:val="005D33AB"/>
    <w:rsid w:val="005D4AF1"/>
    <w:rsid w:val="005D540E"/>
    <w:rsid w:val="005D5F18"/>
    <w:rsid w:val="005D6451"/>
    <w:rsid w:val="005D6767"/>
    <w:rsid w:val="005D7335"/>
    <w:rsid w:val="005D7937"/>
    <w:rsid w:val="005D7F6F"/>
    <w:rsid w:val="005E07C9"/>
    <w:rsid w:val="005E09BC"/>
    <w:rsid w:val="005E1D90"/>
    <w:rsid w:val="005E28CB"/>
    <w:rsid w:val="005E2B88"/>
    <w:rsid w:val="005E3AF4"/>
    <w:rsid w:val="005E623A"/>
    <w:rsid w:val="005E65E3"/>
    <w:rsid w:val="005E6F19"/>
    <w:rsid w:val="005E72C3"/>
    <w:rsid w:val="005F0DB9"/>
    <w:rsid w:val="005F1869"/>
    <w:rsid w:val="005F1894"/>
    <w:rsid w:val="005F22F6"/>
    <w:rsid w:val="005F24C1"/>
    <w:rsid w:val="005F2B2E"/>
    <w:rsid w:val="005F2DFF"/>
    <w:rsid w:val="005F3CFB"/>
    <w:rsid w:val="005F4E73"/>
    <w:rsid w:val="005F5301"/>
    <w:rsid w:val="005F54EC"/>
    <w:rsid w:val="005F55C9"/>
    <w:rsid w:val="005F685C"/>
    <w:rsid w:val="005F78F4"/>
    <w:rsid w:val="005F7A43"/>
    <w:rsid w:val="00600598"/>
    <w:rsid w:val="006014F7"/>
    <w:rsid w:val="00602385"/>
    <w:rsid w:val="006027CE"/>
    <w:rsid w:val="006029F1"/>
    <w:rsid w:val="00603063"/>
    <w:rsid w:val="00603278"/>
    <w:rsid w:val="006041E8"/>
    <w:rsid w:val="00604226"/>
    <w:rsid w:val="006044CF"/>
    <w:rsid w:val="00605021"/>
    <w:rsid w:val="0060516E"/>
    <w:rsid w:val="0060568A"/>
    <w:rsid w:val="00605DED"/>
    <w:rsid w:val="00605EA7"/>
    <w:rsid w:val="00610091"/>
    <w:rsid w:val="00610D08"/>
    <w:rsid w:val="006130BC"/>
    <w:rsid w:val="00613723"/>
    <w:rsid w:val="00614110"/>
    <w:rsid w:val="00614F2C"/>
    <w:rsid w:val="00615F89"/>
    <w:rsid w:val="006174A6"/>
    <w:rsid w:val="006218B4"/>
    <w:rsid w:val="00621F81"/>
    <w:rsid w:val="00622089"/>
    <w:rsid w:val="00623831"/>
    <w:rsid w:val="00623F71"/>
    <w:rsid w:val="006242D2"/>
    <w:rsid w:val="006246EC"/>
    <w:rsid w:val="0062491E"/>
    <w:rsid w:val="0062492F"/>
    <w:rsid w:val="00627F50"/>
    <w:rsid w:val="006312EB"/>
    <w:rsid w:val="0063131D"/>
    <w:rsid w:val="0063152D"/>
    <w:rsid w:val="006318D3"/>
    <w:rsid w:val="0063460F"/>
    <w:rsid w:val="00635B1D"/>
    <w:rsid w:val="00637DF3"/>
    <w:rsid w:val="00640782"/>
    <w:rsid w:val="00640B14"/>
    <w:rsid w:val="00640B97"/>
    <w:rsid w:val="006411A6"/>
    <w:rsid w:val="00641A0E"/>
    <w:rsid w:val="006434FE"/>
    <w:rsid w:val="0064433E"/>
    <w:rsid w:val="006444C9"/>
    <w:rsid w:val="006446AF"/>
    <w:rsid w:val="006452B4"/>
    <w:rsid w:val="006468D9"/>
    <w:rsid w:val="006502BC"/>
    <w:rsid w:val="006508FB"/>
    <w:rsid w:val="006518D1"/>
    <w:rsid w:val="00651D81"/>
    <w:rsid w:val="00652AF9"/>
    <w:rsid w:val="00652C81"/>
    <w:rsid w:val="00654060"/>
    <w:rsid w:val="006558EE"/>
    <w:rsid w:val="006576B4"/>
    <w:rsid w:val="00657A3B"/>
    <w:rsid w:val="00660059"/>
    <w:rsid w:val="00660916"/>
    <w:rsid w:val="0066093C"/>
    <w:rsid w:val="00660985"/>
    <w:rsid w:val="00660CD5"/>
    <w:rsid w:val="00662470"/>
    <w:rsid w:val="00662671"/>
    <w:rsid w:val="0066434D"/>
    <w:rsid w:val="00665577"/>
    <w:rsid w:val="0066599C"/>
    <w:rsid w:val="00665C3A"/>
    <w:rsid w:val="006663CA"/>
    <w:rsid w:val="00666C6A"/>
    <w:rsid w:val="0067083B"/>
    <w:rsid w:val="00670CD8"/>
    <w:rsid w:val="00672427"/>
    <w:rsid w:val="006773EA"/>
    <w:rsid w:val="00677716"/>
    <w:rsid w:val="00677F9F"/>
    <w:rsid w:val="006801DC"/>
    <w:rsid w:val="006810F8"/>
    <w:rsid w:val="0068190B"/>
    <w:rsid w:val="00681DC6"/>
    <w:rsid w:val="00682359"/>
    <w:rsid w:val="006829BE"/>
    <w:rsid w:val="00684001"/>
    <w:rsid w:val="00684007"/>
    <w:rsid w:val="006860CB"/>
    <w:rsid w:val="006864B6"/>
    <w:rsid w:val="006868A9"/>
    <w:rsid w:val="00686A7C"/>
    <w:rsid w:val="00687294"/>
    <w:rsid w:val="0068764B"/>
    <w:rsid w:val="00687E63"/>
    <w:rsid w:val="006907D3"/>
    <w:rsid w:val="006907F6"/>
    <w:rsid w:val="00690CE3"/>
    <w:rsid w:val="006915D3"/>
    <w:rsid w:val="00691CB5"/>
    <w:rsid w:val="00691CB7"/>
    <w:rsid w:val="0069206E"/>
    <w:rsid w:val="0069217F"/>
    <w:rsid w:val="00693EEA"/>
    <w:rsid w:val="0069503F"/>
    <w:rsid w:val="006955CD"/>
    <w:rsid w:val="00695FD7"/>
    <w:rsid w:val="006962A1"/>
    <w:rsid w:val="00696C1B"/>
    <w:rsid w:val="00696D2B"/>
    <w:rsid w:val="00697CAF"/>
    <w:rsid w:val="006A1974"/>
    <w:rsid w:val="006A1ED7"/>
    <w:rsid w:val="006A203F"/>
    <w:rsid w:val="006A32EA"/>
    <w:rsid w:val="006A448A"/>
    <w:rsid w:val="006A5237"/>
    <w:rsid w:val="006A7D05"/>
    <w:rsid w:val="006B050E"/>
    <w:rsid w:val="006B205C"/>
    <w:rsid w:val="006B35F7"/>
    <w:rsid w:val="006B3FF1"/>
    <w:rsid w:val="006B448B"/>
    <w:rsid w:val="006B4534"/>
    <w:rsid w:val="006B4C9A"/>
    <w:rsid w:val="006B52B2"/>
    <w:rsid w:val="006B548F"/>
    <w:rsid w:val="006B5C20"/>
    <w:rsid w:val="006B61DE"/>
    <w:rsid w:val="006B6578"/>
    <w:rsid w:val="006B6A2C"/>
    <w:rsid w:val="006B6EEF"/>
    <w:rsid w:val="006B7601"/>
    <w:rsid w:val="006B7827"/>
    <w:rsid w:val="006B7AD4"/>
    <w:rsid w:val="006C073F"/>
    <w:rsid w:val="006C1FB8"/>
    <w:rsid w:val="006C231F"/>
    <w:rsid w:val="006C29D8"/>
    <w:rsid w:val="006C3A1A"/>
    <w:rsid w:val="006C46B5"/>
    <w:rsid w:val="006C47CD"/>
    <w:rsid w:val="006C6BE8"/>
    <w:rsid w:val="006C713A"/>
    <w:rsid w:val="006C74E7"/>
    <w:rsid w:val="006C7D35"/>
    <w:rsid w:val="006D0551"/>
    <w:rsid w:val="006D05BE"/>
    <w:rsid w:val="006D0D01"/>
    <w:rsid w:val="006D1020"/>
    <w:rsid w:val="006D23D9"/>
    <w:rsid w:val="006D3ED9"/>
    <w:rsid w:val="006D4DDB"/>
    <w:rsid w:val="006D69A5"/>
    <w:rsid w:val="006D6B50"/>
    <w:rsid w:val="006D76A6"/>
    <w:rsid w:val="006D7913"/>
    <w:rsid w:val="006D7DC2"/>
    <w:rsid w:val="006E06A6"/>
    <w:rsid w:val="006E119B"/>
    <w:rsid w:val="006E2797"/>
    <w:rsid w:val="006E3244"/>
    <w:rsid w:val="006E3629"/>
    <w:rsid w:val="006E5371"/>
    <w:rsid w:val="006E5E02"/>
    <w:rsid w:val="006E601D"/>
    <w:rsid w:val="006E6779"/>
    <w:rsid w:val="006E74D7"/>
    <w:rsid w:val="006E7BA5"/>
    <w:rsid w:val="006F008B"/>
    <w:rsid w:val="006F1269"/>
    <w:rsid w:val="006F1501"/>
    <w:rsid w:val="006F15FC"/>
    <w:rsid w:val="006F26D5"/>
    <w:rsid w:val="006F347F"/>
    <w:rsid w:val="006F3BFB"/>
    <w:rsid w:val="006F3E9C"/>
    <w:rsid w:val="006F4EB3"/>
    <w:rsid w:val="006F5216"/>
    <w:rsid w:val="006F6446"/>
    <w:rsid w:val="006F6AEE"/>
    <w:rsid w:val="006F7B46"/>
    <w:rsid w:val="00700436"/>
    <w:rsid w:val="00701D17"/>
    <w:rsid w:val="0070412C"/>
    <w:rsid w:val="00705820"/>
    <w:rsid w:val="0071052B"/>
    <w:rsid w:val="00711C46"/>
    <w:rsid w:val="00712943"/>
    <w:rsid w:val="00713700"/>
    <w:rsid w:val="00713A40"/>
    <w:rsid w:val="00713AB8"/>
    <w:rsid w:val="007144D3"/>
    <w:rsid w:val="007156D1"/>
    <w:rsid w:val="007206CD"/>
    <w:rsid w:val="00721521"/>
    <w:rsid w:val="00721A6A"/>
    <w:rsid w:val="00722454"/>
    <w:rsid w:val="007227D2"/>
    <w:rsid w:val="0072424A"/>
    <w:rsid w:val="00724794"/>
    <w:rsid w:val="00726696"/>
    <w:rsid w:val="00726A88"/>
    <w:rsid w:val="00726CE0"/>
    <w:rsid w:val="00730459"/>
    <w:rsid w:val="00730514"/>
    <w:rsid w:val="0073109A"/>
    <w:rsid w:val="007315B3"/>
    <w:rsid w:val="00733036"/>
    <w:rsid w:val="00733740"/>
    <w:rsid w:val="00733DB6"/>
    <w:rsid w:val="00736E37"/>
    <w:rsid w:val="007371D1"/>
    <w:rsid w:val="00737713"/>
    <w:rsid w:val="0074047A"/>
    <w:rsid w:val="007408CF"/>
    <w:rsid w:val="007410BE"/>
    <w:rsid w:val="00743054"/>
    <w:rsid w:val="007445DA"/>
    <w:rsid w:val="007448F5"/>
    <w:rsid w:val="007458B2"/>
    <w:rsid w:val="00745CF4"/>
    <w:rsid w:val="00746514"/>
    <w:rsid w:val="007477BA"/>
    <w:rsid w:val="007477E9"/>
    <w:rsid w:val="00750672"/>
    <w:rsid w:val="0075130C"/>
    <w:rsid w:val="007516E1"/>
    <w:rsid w:val="00752D4E"/>
    <w:rsid w:val="00752FED"/>
    <w:rsid w:val="007533F5"/>
    <w:rsid w:val="00755AD1"/>
    <w:rsid w:val="00755F7A"/>
    <w:rsid w:val="00756520"/>
    <w:rsid w:val="00757B49"/>
    <w:rsid w:val="00760822"/>
    <w:rsid w:val="00760DF5"/>
    <w:rsid w:val="0076103E"/>
    <w:rsid w:val="007626CC"/>
    <w:rsid w:val="0076320C"/>
    <w:rsid w:val="007647F8"/>
    <w:rsid w:val="0076506D"/>
    <w:rsid w:val="007650DC"/>
    <w:rsid w:val="0076609B"/>
    <w:rsid w:val="007664C5"/>
    <w:rsid w:val="00767BAC"/>
    <w:rsid w:val="00770004"/>
    <w:rsid w:val="007700C0"/>
    <w:rsid w:val="00770A9A"/>
    <w:rsid w:val="00771135"/>
    <w:rsid w:val="00771B22"/>
    <w:rsid w:val="00771C81"/>
    <w:rsid w:val="0077244C"/>
    <w:rsid w:val="007725C9"/>
    <w:rsid w:val="00772F66"/>
    <w:rsid w:val="007738C6"/>
    <w:rsid w:val="007740DD"/>
    <w:rsid w:val="00774168"/>
    <w:rsid w:val="00775AFE"/>
    <w:rsid w:val="00775DB6"/>
    <w:rsid w:val="007764E9"/>
    <w:rsid w:val="00776D29"/>
    <w:rsid w:val="00776EB1"/>
    <w:rsid w:val="0077758B"/>
    <w:rsid w:val="00777E4B"/>
    <w:rsid w:val="00780074"/>
    <w:rsid w:val="007801D2"/>
    <w:rsid w:val="0078158E"/>
    <w:rsid w:val="00781E69"/>
    <w:rsid w:val="00782C82"/>
    <w:rsid w:val="00782F6D"/>
    <w:rsid w:val="00783446"/>
    <w:rsid w:val="00783476"/>
    <w:rsid w:val="00785744"/>
    <w:rsid w:val="00785CF0"/>
    <w:rsid w:val="007871A5"/>
    <w:rsid w:val="00790575"/>
    <w:rsid w:val="007911C3"/>
    <w:rsid w:val="00791B8D"/>
    <w:rsid w:val="007921A6"/>
    <w:rsid w:val="00794322"/>
    <w:rsid w:val="007956F2"/>
    <w:rsid w:val="007957DD"/>
    <w:rsid w:val="00796100"/>
    <w:rsid w:val="007963DE"/>
    <w:rsid w:val="007972F1"/>
    <w:rsid w:val="00797BF5"/>
    <w:rsid w:val="00797EF7"/>
    <w:rsid w:val="007A0301"/>
    <w:rsid w:val="007A0F98"/>
    <w:rsid w:val="007A13DB"/>
    <w:rsid w:val="007A1856"/>
    <w:rsid w:val="007A1E9E"/>
    <w:rsid w:val="007A2D27"/>
    <w:rsid w:val="007A31FA"/>
    <w:rsid w:val="007A3431"/>
    <w:rsid w:val="007A3E72"/>
    <w:rsid w:val="007A4FD9"/>
    <w:rsid w:val="007A6676"/>
    <w:rsid w:val="007A7594"/>
    <w:rsid w:val="007A78E8"/>
    <w:rsid w:val="007A7C58"/>
    <w:rsid w:val="007B107A"/>
    <w:rsid w:val="007B1AC3"/>
    <w:rsid w:val="007B1C04"/>
    <w:rsid w:val="007B26C6"/>
    <w:rsid w:val="007B2C03"/>
    <w:rsid w:val="007B4CA6"/>
    <w:rsid w:val="007B4E0D"/>
    <w:rsid w:val="007B5DE7"/>
    <w:rsid w:val="007B5F4B"/>
    <w:rsid w:val="007B737F"/>
    <w:rsid w:val="007C0436"/>
    <w:rsid w:val="007C04DC"/>
    <w:rsid w:val="007C0BF4"/>
    <w:rsid w:val="007C0C7D"/>
    <w:rsid w:val="007C2599"/>
    <w:rsid w:val="007C2C95"/>
    <w:rsid w:val="007C3827"/>
    <w:rsid w:val="007C42F9"/>
    <w:rsid w:val="007C466A"/>
    <w:rsid w:val="007C492D"/>
    <w:rsid w:val="007C4BDF"/>
    <w:rsid w:val="007C4D28"/>
    <w:rsid w:val="007C55B1"/>
    <w:rsid w:val="007C563A"/>
    <w:rsid w:val="007C6687"/>
    <w:rsid w:val="007C7559"/>
    <w:rsid w:val="007D055A"/>
    <w:rsid w:val="007D1340"/>
    <w:rsid w:val="007D24D5"/>
    <w:rsid w:val="007D2564"/>
    <w:rsid w:val="007D45ED"/>
    <w:rsid w:val="007D4BB2"/>
    <w:rsid w:val="007D4CB3"/>
    <w:rsid w:val="007D5A29"/>
    <w:rsid w:val="007D6870"/>
    <w:rsid w:val="007D6F80"/>
    <w:rsid w:val="007D7904"/>
    <w:rsid w:val="007E0716"/>
    <w:rsid w:val="007E0E27"/>
    <w:rsid w:val="007E1965"/>
    <w:rsid w:val="007E2958"/>
    <w:rsid w:val="007E5042"/>
    <w:rsid w:val="007E7BA1"/>
    <w:rsid w:val="007F0636"/>
    <w:rsid w:val="007F0848"/>
    <w:rsid w:val="007F0CD3"/>
    <w:rsid w:val="007F14F1"/>
    <w:rsid w:val="007F2308"/>
    <w:rsid w:val="007F2863"/>
    <w:rsid w:val="007F2892"/>
    <w:rsid w:val="007F312B"/>
    <w:rsid w:val="007F4FE5"/>
    <w:rsid w:val="007F51B1"/>
    <w:rsid w:val="007F6B3E"/>
    <w:rsid w:val="007F7E41"/>
    <w:rsid w:val="008008B8"/>
    <w:rsid w:val="00802A08"/>
    <w:rsid w:val="00803E56"/>
    <w:rsid w:val="00803FD0"/>
    <w:rsid w:val="008047E3"/>
    <w:rsid w:val="008054E1"/>
    <w:rsid w:val="00805F3C"/>
    <w:rsid w:val="00806120"/>
    <w:rsid w:val="00810F48"/>
    <w:rsid w:val="00810FD1"/>
    <w:rsid w:val="00811995"/>
    <w:rsid w:val="00812519"/>
    <w:rsid w:val="008141F1"/>
    <w:rsid w:val="0081512C"/>
    <w:rsid w:val="00815AA7"/>
    <w:rsid w:val="008169C5"/>
    <w:rsid w:val="00816C60"/>
    <w:rsid w:val="00820519"/>
    <w:rsid w:val="00820F28"/>
    <w:rsid w:val="00822265"/>
    <w:rsid w:val="00822561"/>
    <w:rsid w:val="00823215"/>
    <w:rsid w:val="008236C8"/>
    <w:rsid w:val="00823770"/>
    <w:rsid w:val="008238D3"/>
    <w:rsid w:val="00823FB5"/>
    <w:rsid w:val="00824491"/>
    <w:rsid w:val="00825F9D"/>
    <w:rsid w:val="0082620E"/>
    <w:rsid w:val="00826DC1"/>
    <w:rsid w:val="008316E8"/>
    <w:rsid w:val="00833621"/>
    <w:rsid w:val="00834D4D"/>
    <w:rsid w:val="00834D6D"/>
    <w:rsid w:val="00834ECC"/>
    <w:rsid w:val="00834FD3"/>
    <w:rsid w:val="008359CF"/>
    <w:rsid w:val="008359E7"/>
    <w:rsid w:val="00835C9B"/>
    <w:rsid w:val="0083615E"/>
    <w:rsid w:val="00836237"/>
    <w:rsid w:val="00836F00"/>
    <w:rsid w:val="00837068"/>
    <w:rsid w:val="00840268"/>
    <w:rsid w:val="008407B4"/>
    <w:rsid w:val="008414B2"/>
    <w:rsid w:val="00841DE8"/>
    <w:rsid w:val="00841ED6"/>
    <w:rsid w:val="0084215F"/>
    <w:rsid w:val="008445EC"/>
    <w:rsid w:val="00844E6B"/>
    <w:rsid w:val="00844F0C"/>
    <w:rsid w:val="00845479"/>
    <w:rsid w:val="00845ED8"/>
    <w:rsid w:val="00845FE6"/>
    <w:rsid w:val="00846953"/>
    <w:rsid w:val="008504CD"/>
    <w:rsid w:val="008509BB"/>
    <w:rsid w:val="00851616"/>
    <w:rsid w:val="00851EB7"/>
    <w:rsid w:val="0085291E"/>
    <w:rsid w:val="0085410D"/>
    <w:rsid w:val="008549BE"/>
    <w:rsid w:val="00856523"/>
    <w:rsid w:val="00857BED"/>
    <w:rsid w:val="00857C13"/>
    <w:rsid w:val="00857CA0"/>
    <w:rsid w:val="00860B97"/>
    <w:rsid w:val="00862094"/>
    <w:rsid w:val="0086229F"/>
    <w:rsid w:val="00864B20"/>
    <w:rsid w:val="00871429"/>
    <w:rsid w:val="008714BC"/>
    <w:rsid w:val="00871C0B"/>
    <w:rsid w:val="0087256C"/>
    <w:rsid w:val="00873745"/>
    <w:rsid w:val="008739F3"/>
    <w:rsid w:val="00873D7E"/>
    <w:rsid w:val="00873DF0"/>
    <w:rsid w:val="008753C6"/>
    <w:rsid w:val="00875476"/>
    <w:rsid w:val="00876BD0"/>
    <w:rsid w:val="00876CA8"/>
    <w:rsid w:val="00876D51"/>
    <w:rsid w:val="00877D1D"/>
    <w:rsid w:val="00881935"/>
    <w:rsid w:val="0088207B"/>
    <w:rsid w:val="008828F9"/>
    <w:rsid w:val="0088294E"/>
    <w:rsid w:val="00882B88"/>
    <w:rsid w:val="008832D4"/>
    <w:rsid w:val="00885D93"/>
    <w:rsid w:val="00885F53"/>
    <w:rsid w:val="008866B9"/>
    <w:rsid w:val="00887123"/>
    <w:rsid w:val="008878FA"/>
    <w:rsid w:val="008915DC"/>
    <w:rsid w:val="00891E2D"/>
    <w:rsid w:val="0089232D"/>
    <w:rsid w:val="00892C0F"/>
    <w:rsid w:val="008934E9"/>
    <w:rsid w:val="00894120"/>
    <w:rsid w:val="00894839"/>
    <w:rsid w:val="00896C06"/>
    <w:rsid w:val="00896CFF"/>
    <w:rsid w:val="0089739F"/>
    <w:rsid w:val="00897C6B"/>
    <w:rsid w:val="00897C7B"/>
    <w:rsid w:val="008A127A"/>
    <w:rsid w:val="008A4263"/>
    <w:rsid w:val="008A47C7"/>
    <w:rsid w:val="008A541A"/>
    <w:rsid w:val="008A5F8F"/>
    <w:rsid w:val="008A68C4"/>
    <w:rsid w:val="008A6E39"/>
    <w:rsid w:val="008A7019"/>
    <w:rsid w:val="008A71AA"/>
    <w:rsid w:val="008A78A9"/>
    <w:rsid w:val="008A7C4D"/>
    <w:rsid w:val="008B0527"/>
    <w:rsid w:val="008B0737"/>
    <w:rsid w:val="008B1262"/>
    <w:rsid w:val="008B264E"/>
    <w:rsid w:val="008B2908"/>
    <w:rsid w:val="008B3DEF"/>
    <w:rsid w:val="008B405F"/>
    <w:rsid w:val="008B4A6D"/>
    <w:rsid w:val="008B4ABC"/>
    <w:rsid w:val="008B669C"/>
    <w:rsid w:val="008C136E"/>
    <w:rsid w:val="008C4706"/>
    <w:rsid w:val="008C5326"/>
    <w:rsid w:val="008C5F09"/>
    <w:rsid w:val="008C6751"/>
    <w:rsid w:val="008C7574"/>
    <w:rsid w:val="008C764F"/>
    <w:rsid w:val="008C7D2E"/>
    <w:rsid w:val="008D1745"/>
    <w:rsid w:val="008D26ED"/>
    <w:rsid w:val="008D299C"/>
    <w:rsid w:val="008D2FE4"/>
    <w:rsid w:val="008D389F"/>
    <w:rsid w:val="008D3963"/>
    <w:rsid w:val="008D3DB0"/>
    <w:rsid w:val="008D445C"/>
    <w:rsid w:val="008D49EE"/>
    <w:rsid w:val="008D50A9"/>
    <w:rsid w:val="008D6192"/>
    <w:rsid w:val="008D6461"/>
    <w:rsid w:val="008D70E9"/>
    <w:rsid w:val="008D7382"/>
    <w:rsid w:val="008D754D"/>
    <w:rsid w:val="008E0FCD"/>
    <w:rsid w:val="008E1224"/>
    <w:rsid w:val="008E12B3"/>
    <w:rsid w:val="008E134B"/>
    <w:rsid w:val="008E14A1"/>
    <w:rsid w:val="008E1ABA"/>
    <w:rsid w:val="008E2F27"/>
    <w:rsid w:val="008E35E9"/>
    <w:rsid w:val="008E5F43"/>
    <w:rsid w:val="008E65AD"/>
    <w:rsid w:val="008E66C4"/>
    <w:rsid w:val="008E6D0F"/>
    <w:rsid w:val="008E72B8"/>
    <w:rsid w:val="008F0011"/>
    <w:rsid w:val="008F099C"/>
    <w:rsid w:val="008F09A6"/>
    <w:rsid w:val="008F1761"/>
    <w:rsid w:val="008F1C1D"/>
    <w:rsid w:val="008F2BFE"/>
    <w:rsid w:val="008F3771"/>
    <w:rsid w:val="008F5483"/>
    <w:rsid w:val="008F5C2E"/>
    <w:rsid w:val="008F78FE"/>
    <w:rsid w:val="008F7C92"/>
    <w:rsid w:val="00900207"/>
    <w:rsid w:val="00901079"/>
    <w:rsid w:val="00901B5C"/>
    <w:rsid w:val="00904186"/>
    <w:rsid w:val="009041D6"/>
    <w:rsid w:val="009065FD"/>
    <w:rsid w:val="00907121"/>
    <w:rsid w:val="0090725F"/>
    <w:rsid w:val="00907D27"/>
    <w:rsid w:val="00910A42"/>
    <w:rsid w:val="0091197C"/>
    <w:rsid w:val="00911989"/>
    <w:rsid w:val="00911B06"/>
    <w:rsid w:val="00911E08"/>
    <w:rsid w:val="0091244F"/>
    <w:rsid w:val="00913199"/>
    <w:rsid w:val="009142B4"/>
    <w:rsid w:val="00914949"/>
    <w:rsid w:val="00914C14"/>
    <w:rsid w:val="00915162"/>
    <w:rsid w:val="009164B8"/>
    <w:rsid w:val="0091653C"/>
    <w:rsid w:val="009170DC"/>
    <w:rsid w:val="009204EE"/>
    <w:rsid w:val="00920BD7"/>
    <w:rsid w:val="00920EEF"/>
    <w:rsid w:val="00920FCD"/>
    <w:rsid w:val="00921B7F"/>
    <w:rsid w:val="009222CF"/>
    <w:rsid w:val="009223E4"/>
    <w:rsid w:val="009231EE"/>
    <w:rsid w:val="00923C84"/>
    <w:rsid w:val="009244E9"/>
    <w:rsid w:val="009246AD"/>
    <w:rsid w:val="0092585F"/>
    <w:rsid w:val="009268BA"/>
    <w:rsid w:val="00926DD9"/>
    <w:rsid w:val="009271E6"/>
    <w:rsid w:val="009275D8"/>
    <w:rsid w:val="00930CCD"/>
    <w:rsid w:val="009314C4"/>
    <w:rsid w:val="00931BC4"/>
    <w:rsid w:val="00933324"/>
    <w:rsid w:val="009333BB"/>
    <w:rsid w:val="009333BC"/>
    <w:rsid w:val="00933403"/>
    <w:rsid w:val="00934A91"/>
    <w:rsid w:val="009357D0"/>
    <w:rsid w:val="00935ED2"/>
    <w:rsid w:val="0093776B"/>
    <w:rsid w:val="00940137"/>
    <w:rsid w:val="00940553"/>
    <w:rsid w:val="0094090A"/>
    <w:rsid w:val="00940D6B"/>
    <w:rsid w:val="00941283"/>
    <w:rsid w:val="009421CC"/>
    <w:rsid w:val="009421CE"/>
    <w:rsid w:val="0094284E"/>
    <w:rsid w:val="00943043"/>
    <w:rsid w:val="00943490"/>
    <w:rsid w:val="00943DF6"/>
    <w:rsid w:val="009440DC"/>
    <w:rsid w:val="0094414B"/>
    <w:rsid w:val="00944484"/>
    <w:rsid w:val="00945006"/>
    <w:rsid w:val="009450F9"/>
    <w:rsid w:val="009456DD"/>
    <w:rsid w:val="00945B5E"/>
    <w:rsid w:val="00946B80"/>
    <w:rsid w:val="009472F6"/>
    <w:rsid w:val="0095060E"/>
    <w:rsid w:val="00951C97"/>
    <w:rsid w:val="00952A21"/>
    <w:rsid w:val="0095332A"/>
    <w:rsid w:val="00953807"/>
    <w:rsid w:val="009539AD"/>
    <w:rsid w:val="0095462E"/>
    <w:rsid w:val="00955B5D"/>
    <w:rsid w:val="009574B2"/>
    <w:rsid w:val="0095796F"/>
    <w:rsid w:val="0096043D"/>
    <w:rsid w:val="00960B64"/>
    <w:rsid w:val="009613D7"/>
    <w:rsid w:val="00962593"/>
    <w:rsid w:val="00962B07"/>
    <w:rsid w:val="00963C54"/>
    <w:rsid w:val="00964162"/>
    <w:rsid w:val="00964779"/>
    <w:rsid w:val="009656E0"/>
    <w:rsid w:val="00966263"/>
    <w:rsid w:val="00966B07"/>
    <w:rsid w:val="00966EED"/>
    <w:rsid w:val="00967407"/>
    <w:rsid w:val="009676C7"/>
    <w:rsid w:val="009677B6"/>
    <w:rsid w:val="00967BE6"/>
    <w:rsid w:val="00970F57"/>
    <w:rsid w:val="0097198A"/>
    <w:rsid w:val="009719FC"/>
    <w:rsid w:val="00971D34"/>
    <w:rsid w:val="00972481"/>
    <w:rsid w:val="00972724"/>
    <w:rsid w:val="00972EC1"/>
    <w:rsid w:val="009730D3"/>
    <w:rsid w:val="00973BAC"/>
    <w:rsid w:val="009743C2"/>
    <w:rsid w:val="009743F1"/>
    <w:rsid w:val="00974838"/>
    <w:rsid w:val="00974A7F"/>
    <w:rsid w:val="00975A73"/>
    <w:rsid w:val="00975ABC"/>
    <w:rsid w:val="00975AE3"/>
    <w:rsid w:val="00977836"/>
    <w:rsid w:val="00980AF7"/>
    <w:rsid w:val="00980CF0"/>
    <w:rsid w:val="009818DC"/>
    <w:rsid w:val="00981D51"/>
    <w:rsid w:val="00981DFE"/>
    <w:rsid w:val="0098228C"/>
    <w:rsid w:val="009848BF"/>
    <w:rsid w:val="00985A4D"/>
    <w:rsid w:val="00985DAC"/>
    <w:rsid w:val="009917D2"/>
    <w:rsid w:val="00992053"/>
    <w:rsid w:val="009929DE"/>
    <w:rsid w:val="00993653"/>
    <w:rsid w:val="00995793"/>
    <w:rsid w:val="00997DD8"/>
    <w:rsid w:val="009A07AE"/>
    <w:rsid w:val="009A0A2F"/>
    <w:rsid w:val="009A0C39"/>
    <w:rsid w:val="009A2ED1"/>
    <w:rsid w:val="009A5D49"/>
    <w:rsid w:val="009A5E41"/>
    <w:rsid w:val="009A6392"/>
    <w:rsid w:val="009A653A"/>
    <w:rsid w:val="009B03B8"/>
    <w:rsid w:val="009B1477"/>
    <w:rsid w:val="009B26F4"/>
    <w:rsid w:val="009B2B27"/>
    <w:rsid w:val="009B3AB4"/>
    <w:rsid w:val="009B3EF5"/>
    <w:rsid w:val="009B49B9"/>
    <w:rsid w:val="009B4DD5"/>
    <w:rsid w:val="009B63B2"/>
    <w:rsid w:val="009B7071"/>
    <w:rsid w:val="009B7FDB"/>
    <w:rsid w:val="009C11A6"/>
    <w:rsid w:val="009C122F"/>
    <w:rsid w:val="009C1586"/>
    <w:rsid w:val="009C2860"/>
    <w:rsid w:val="009C2B98"/>
    <w:rsid w:val="009C2F57"/>
    <w:rsid w:val="009C2FE2"/>
    <w:rsid w:val="009C45A0"/>
    <w:rsid w:val="009C65D1"/>
    <w:rsid w:val="009C680F"/>
    <w:rsid w:val="009C6D2D"/>
    <w:rsid w:val="009C7208"/>
    <w:rsid w:val="009C7DEA"/>
    <w:rsid w:val="009C7ED4"/>
    <w:rsid w:val="009C7F15"/>
    <w:rsid w:val="009D0AF3"/>
    <w:rsid w:val="009D147E"/>
    <w:rsid w:val="009D22ED"/>
    <w:rsid w:val="009D27F2"/>
    <w:rsid w:val="009D3295"/>
    <w:rsid w:val="009D32FB"/>
    <w:rsid w:val="009D36CC"/>
    <w:rsid w:val="009D3AA2"/>
    <w:rsid w:val="009D5C13"/>
    <w:rsid w:val="009D72D9"/>
    <w:rsid w:val="009D77A8"/>
    <w:rsid w:val="009E08A1"/>
    <w:rsid w:val="009E0D24"/>
    <w:rsid w:val="009E113B"/>
    <w:rsid w:val="009E197D"/>
    <w:rsid w:val="009E2ED5"/>
    <w:rsid w:val="009E2F3C"/>
    <w:rsid w:val="009E318E"/>
    <w:rsid w:val="009E3ADE"/>
    <w:rsid w:val="009E4709"/>
    <w:rsid w:val="009E5037"/>
    <w:rsid w:val="009E519A"/>
    <w:rsid w:val="009E562D"/>
    <w:rsid w:val="009E5C07"/>
    <w:rsid w:val="009E61C4"/>
    <w:rsid w:val="009E6539"/>
    <w:rsid w:val="009E7092"/>
    <w:rsid w:val="009E7DBE"/>
    <w:rsid w:val="009F06C9"/>
    <w:rsid w:val="009F0EC1"/>
    <w:rsid w:val="009F0FE0"/>
    <w:rsid w:val="009F110A"/>
    <w:rsid w:val="009F15E4"/>
    <w:rsid w:val="009F1CD1"/>
    <w:rsid w:val="009F487B"/>
    <w:rsid w:val="009F627C"/>
    <w:rsid w:val="009F6832"/>
    <w:rsid w:val="009F6BEA"/>
    <w:rsid w:val="009F6F50"/>
    <w:rsid w:val="009F7482"/>
    <w:rsid w:val="00A0019C"/>
    <w:rsid w:val="00A013D2"/>
    <w:rsid w:val="00A0203D"/>
    <w:rsid w:val="00A02DFD"/>
    <w:rsid w:val="00A032FE"/>
    <w:rsid w:val="00A037F5"/>
    <w:rsid w:val="00A047E1"/>
    <w:rsid w:val="00A04FC0"/>
    <w:rsid w:val="00A05D91"/>
    <w:rsid w:val="00A05FB2"/>
    <w:rsid w:val="00A06704"/>
    <w:rsid w:val="00A1130D"/>
    <w:rsid w:val="00A11538"/>
    <w:rsid w:val="00A12534"/>
    <w:rsid w:val="00A12730"/>
    <w:rsid w:val="00A12FBF"/>
    <w:rsid w:val="00A13021"/>
    <w:rsid w:val="00A13586"/>
    <w:rsid w:val="00A13ACD"/>
    <w:rsid w:val="00A1424E"/>
    <w:rsid w:val="00A16005"/>
    <w:rsid w:val="00A202DE"/>
    <w:rsid w:val="00A2181C"/>
    <w:rsid w:val="00A22509"/>
    <w:rsid w:val="00A229BD"/>
    <w:rsid w:val="00A22E58"/>
    <w:rsid w:val="00A23032"/>
    <w:rsid w:val="00A25A1B"/>
    <w:rsid w:val="00A263B3"/>
    <w:rsid w:val="00A273FC"/>
    <w:rsid w:val="00A27C88"/>
    <w:rsid w:val="00A3019D"/>
    <w:rsid w:val="00A307EE"/>
    <w:rsid w:val="00A30C7C"/>
    <w:rsid w:val="00A325F2"/>
    <w:rsid w:val="00A32C2B"/>
    <w:rsid w:val="00A33E68"/>
    <w:rsid w:val="00A34A76"/>
    <w:rsid w:val="00A362E1"/>
    <w:rsid w:val="00A3655D"/>
    <w:rsid w:val="00A36AF8"/>
    <w:rsid w:val="00A40C41"/>
    <w:rsid w:val="00A425C9"/>
    <w:rsid w:val="00A42D59"/>
    <w:rsid w:val="00A4312D"/>
    <w:rsid w:val="00A4324D"/>
    <w:rsid w:val="00A43677"/>
    <w:rsid w:val="00A43968"/>
    <w:rsid w:val="00A44C55"/>
    <w:rsid w:val="00A45DD4"/>
    <w:rsid w:val="00A46238"/>
    <w:rsid w:val="00A46C2D"/>
    <w:rsid w:val="00A46EB0"/>
    <w:rsid w:val="00A4702F"/>
    <w:rsid w:val="00A47983"/>
    <w:rsid w:val="00A50FE4"/>
    <w:rsid w:val="00A513F0"/>
    <w:rsid w:val="00A5149F"/>
    <w:rsid w:val="00A521A2"/>
    <w:rsid w:val="00A52E4A"/>
    <w:rsid w:val="00A53E8C"/>
    <w:rsid w:val="00A54583"/>
    <w:rsid w:val="00A547B8"/>
    <w:rsid w:val="00A54805"/>
    <w:rsid w:val="00A54819"/>
    <w:rsid w:val="00A5485B"/>
    <w:rsid w:val="00A54A3B"/>
    <w:rsid w:val="00A54C5A"/>
    <w:rsid w:val="00A54E3B"/>
    <w:rsid w:val="00A55F44"/>
    <w:rsid w:val="00A56432"/>
    <w:rsid w:val="00A57302"/>
    <w:rsid w:val="00A60070"/>
    <w:rsid w:val="00A605DC"/>
    <w:rsid w:val="00A6183F"/>
    <w:rsid w:val="00A658C6"/>
    <w:rsid w:val="00A66978"/>
    <w:rsid w:val="00A6713B"/>
    <w:rsid w:val="00A673D4"/>
    <w:rsid w:val="00A71E68"/>
    <w:rsid w:val="00A72884"/>
    <w:rsid w:val="00A72F41"/>
    <w:rsid w:val="00A73DD1"/>
    <w:rsid w:val="00A7414C"/>
    <w:rsid w:val="00A75006"/>
    <w:rsid w:val="00A7542F"/>
    <w:rsid w:val="00A75CC9"/>
    <w:rsid w:val="00A7659B"/>
    <w:rsid w:val="00A765DC"/>
    <w:rsid w:val="00A800EE"/>
    <w:rsid w:val="00A81AFB"/>
    <w:rsid w:val="00A81D2D"/>
    <w:rsid w:val="00A82068"/>
    <w:rsid w:val="00A821A0"/>
    <w:rsid w:val="00A8256E"/>
    <w:rsid w:val="00A826B6"/>
    <w:rsid w:val="00A82CAA"/>
    <w:rsid w:val="00A83F37"/>
    <w:rsid w:val="00A83F66"/>
    <w:rsid w:val="00A8479F"/>
    <w:rsid w:val="00A8490F"/>
    <w:rsid w:val="00A84A9C"/>
    <w:rsid w:val="00A85586"/>
    <w:rsid w:val="00A87C4F"/>
    <w:rsid w:val="00A87E6E"/>
    <w:rsid w:val="00A90E73"/>
    <w:rsid w:val="00A913C6"/>
    <w:rsid w:val="00A91716"/>
    <w:rsid w:val="00A9208A"/>
    <w:rsid w:val="00A93184"/>
    <w:rsid w:val="00A94505"/>
    <w:rsid w:val="00A9506E"/>
    <w:rsid w:val="00AA04E2"/>
    <w:rsid w:val="00AA22F2"/>
    <w:rsid w:val="00AA2C06"/>
    <w:rsid w:val="00AA315F"/>
    <w:rsid w:val="00AA4BC4"/>
    <w:rsid w:val="00AA5FF4"/>
    <w:rsid w:val="00AA65A4"/>
    <w:rsid w:val="00AA6906"/>
    <w:rsid w:val="00AA7FC1"/>
    <w:rsid w:val="00AB1E4B"/>
    <w:rsid w:val="00AB1FE8"/>
    <w:rsid w:val="00AB2A22"/>
    <w:rsid w:val="00AB356B"/>
    <w:rsid w:val="00AB4B62"/>
    <w:rsid w:val="00AB57EA"/>
    <w:rsid w:val="00AB59A4"/>
    <w:rsid w:val="00AB62DF"/>
    <w:rsid w:val="00AB65E8"/>
    <w:rsid w:val="00AB700A"/>
    <w:rsid w:val="00AB7A19"/>
    <w:rsid w:val="00AB7DE8"/>
    <w:rsid w:val="00AC0DBE"/>
    <w:rsid w:val="00AC1957"/>
    <w:rsid w:val="00AC28DC"/>
    <w:rsid w:val="00AC33AF"/>
    <w:rsid w:val="00AC3866"/>
    <w:rsid w:val="00AC428D"/>
    <w:rsid w:val="00AC4DDD"/>
    <w:rsid w:val="00AC555B"/>
    <w:rsid w:val="00AC55B4"/>
    <w:rsid w:val="00AC5850"/>
    <w:rsid w:val="00AC66D9"/>
    <w:rsid w:val="00AC799E"/>
    <w:rsid w:val="00AD07F5"/>
    <w:rsid w:val="00AD09F3"/>
    <w:rsid w:val="00AD0F68"/>
    <w:rsid w:val="00AD1834"/>
    <w:rsid w:val="00AD24FF"/>
    <w:rsid w:val="00AD2FA3"/>
    <w:rsid w:val="00AD30BF"/>
    <w:rsid w:val="00AD39E2"/>
    <w:rsid w:val="00AD4287"/>
    <w:rsid w:val="00AD6827"/>
    <w:rsid w:val="00AE0283"/>
    <w:rsid w:val="00AE1334"/>
    <w:rsid w:val="00AE1AC8"/>
    <w:rsid w:val="00AE2B2A"/>
    <w:rsid w:val="00AE4017"/>
    <w:rsid w:val="00AE5769"/>
    <w:rsid w:val="00AE755C"/>
    <w:rsid w:val="00AE79E1"/>
    <w:rsid w:val="00AF03D4"/>
    <w:rsid w:val="00AF0C15"/>
    <w:rsid w:val="00AF1086"/>
    <w:rsid w:val="00AF18E2"/>
    <w:rsid w:val="00AF1F89"/>
    <w:rsid w:val="00AF2371"/>
    <w:rsid w:val="00AF23E6"/>
    <w:rsid w:val="00AF3024"/>
    <w:rsid w:val="00AF4313"/>
    <w:rsid w:val="00AF4C82"/>
    <w:rsid w:val="00AF4FAF"/>
    <w:rsid w:val="00AF5864"/>
    <w:rsid w:val="00AF5FAD"/>
    <w:rsid w:val="00AF61A3"/>
    <w:rsid w:val="00AF7CE0"/>
    <w:rsid w:val="00B00A3C"/>
    <w:rsid w:val="00B02649"/>
    <w:rsid w:val="00B026FD"/>
    <w:rsid w:val="00B03006"/>
    <w:rsid w:val="00B03017"/>
    <w:rsid w:val="00B06398"/>
    <w:rsid w:val="00B10E5C"/>
    <w:rsid w:val="00B115F7"/>
    <w:rsid w:val="00B11B3D"/>
    <w:rsid w:val="00B121B7"/>
    <w:rsid w:val="00B12794"/>
    <w:rsid w:val="00B14AB3"/>
    <w:rsid w:val="00B14D8C"/>
    <w:rsid w:val="00B17F36"/>
    <w:rsid w:val="00B21634"/>
    <w:rsid w:val="00B218B6"/>
    <w:rsid w:val="00B23E3F"/>
    <w:rsid w:val="00B24862"/>
    <w:rsid w:val="00B2508E"/>
    <w:rsid w:val="00B259F9"/>
    <w:rsid w:val="00B25D41"/>
    <w:rsid w:val="00B2615B"/>
    <w:rsid w:val="00B26252"/>
    <w:rsid w:val="00B26D42"/>
    <w:rsid w:val="00B27D26"/>
    <w:rsid w:val="00B30094"/>
    <w:rsid w:val="00B320D8"/>
    <w:rsid w:val="00B32494"/>
    <w:rsid w:val="00B3278A"/>
    <w:rsid w:val="00B35A4A"/>
    <w:rsid w:val="00B35D22"/>
    <w:rsid w:val="00B35EB8"/>
    <w:rsid w:val="00B36EDB"/>
    <w:rsid w:val="00B37813"/>
    <w:rsid w:val="00B37CB8"/>
    <w:rsid w:val="00B43278"/>
    <w:rsid w:val="00B4374C"/>
    <w:rsid w:val="00B4385D"/>
    <w:rsid w:val="00B43BBF"/>
    <w:rsid w:val="00B44704"/>
    <w:rsid w:val="00B452FA"/>
    <w:rsid w:val="00B45F41"/>
    <w:rsid w:val="00B46071"/>
    <w:rsid w:val="00B46ABF"/>
    <w:rsid w:val="00B47298"/>
    <w:rsid w:val="00B47EFE"/>
    <w:rsid w:val="00B52A11"/>
    <w:rsid w:val="00B53517"/>
    <w:rsid w:val="00B539B2"/>
    <w:rsid w:val="00B54FD7"/>
    <w:rsid w:val="00B55017"/>
    <w:rsid w:val="00B559B6"/>
    <w:rsid w:val="00B56504"/>
    <w:rsid w:val="00B570C6"/>
    <w:rsid w:val="00B603C2"/>
    <w:rsid w:val="00B62013"/>
    <w:rsid w:val="00B6241A"/>
    <w:rsid w:val="00B62450"/>
    <w:rsid w:val="00B625C8"/>
    <w:rsid w:val="00B63444"/>
    <w:rsid w:val="00B63ACE"/>
    <w:rsid w:val="00B66013"/>
    <w:rsid w:val="00B664CE"/>
    <w:rsid w:val="00B67115"/>
    <w:rsid w:val="00B70012"/>
    <w:rsid w:val="00B7018C"/>
    <w:rsid w:val="00B70920"/>
    <w:rsid w:val="00B70CBD"/>
    <w:rsid w:val="00B714B1"/>
    <w:rsid w:val="00B71983"/>
    <w:rsid w:val="00B7285D"/>
    <w:rsid w:val="00B72913"/>
    <w:rsid w:val="00B72986"/>
    <w:rsid w:val="00B77A5E"/>
    <w:rsid w:val="00B77B59"/>
    <w:rsid w:val="00B807DA"/>
    <w:rsid w:val="00B82282"/>
    <w:rsid w:val="00B8287F"/>
    <w:rsid w:val="00B829AC"/>
    <w:rsid w:val="00B839A1"/>
    <w:rsid w:val="00B84D40"/>
    <w:rsid w:val="00B92851"/>
    <w:rsid w:val="00B944F7"/>
    <w:rsid w:val="00B953FD"/>
    <w:rsid w:val="00B956F1"/>
    <w:rsid w:val="00B957F3"/>
    <w:rsid w:val="00B96B46"/>
    <w:rsid w:val="00B97E53"/>
    <w:rsid w:val="00BA053D"/>
    <w:rsid w:val="00BA05B8"/>
    <w:rsid w:val="00BA0915"/>
    <w:rsid w:val="00BA0A89"/>
    <w:rsid w:val="00BA4917"/>
    <w:rsid w:val="00BA6D09"/>
    <w:rsid w:val="00BA7AC6"/>
    <w:rsid w:val="00BB0600"/>
    <w:rsid w:val="00BB0B14"/>
    <w:rsid w:val="00BB1E33"/>
    <w:rsid w:val="00BB2052"/>
    <w:rsid w:val="00BB2854"/>
    <w:rsid w:val="00BB2FF9"/>
    <w:rsid w:val="00BB3892"/>
    <w:rsid w:val="00BB4083"/>
    <w:rsid w:val="00BB4299"/>
    <w:rsid w:val="00BB49E9"/>
    <w:rsid w:val="00BB5409"/>
    <w:rsid w:val="00BB5B6F"/>
    <w:rsid w:val="00BB60E9"/>
    <w:rsid w:val="00BB6A76"/>
    <w:rsid w:val="00BB7F7E"/>
    <w:rsid w:val="00BC0725"/>
    <w:rsid w:val="00BC09AF"/>
    <w:rsid w:val="00BC117C"/>
    <w:rsid w:val="00BC17DE"/>
    <w:rsid w:val="00BC18F0"/>
    <w:rsid w:val="00BC24C9"/>
    <w:rsid w:val="00BC2FDA"/>
    <w:rsid w:val="00BC39E7"/>
    <w:rsid w:val="00BC591A"/>
    <w:rsid w:val="00BC68E8"/>
    <w:rsid w:val="00BC6B38"/>
    <w:rsid w:val="00BC70E3"/>
    <w:rsid w:val="00BD1748"/>
    <w:rsid w:val="00BD2550"/>
    <w:rsid w:val="00BD2B16"/>
    <w:rsid w:val="00BD2E85"/>
    <w:rsid w:val="00BD2FA8"/>
    <w:rsid w:val="00BD38BE"/>
    <w:rsid w:val="00BD443A"/>
    <w:rsid w:val="00BD6509"/>
    <w:rsid w:val="00BD651A"/>
    <w:rsid w:val="00BD6F33"/>
    <w:rsid w:val="00BD79D3"/>
    <w:rsid w:val="00BD79EE"/>
    <w:rsid w:val="00BE0C44"/>
    <w:rsid w:val="00BE1289"/>
    <w:rsid w:val="00BE1DA0"/>
    <w:rsid w:val="00BE1DA6"/>
    <w:rsid w:val="00BE1FAA"/>
    <w:rsid w:val="00BE28E2"/>
    <w:rsid w:val="00BE2ACF"/>
    <w:rsid w:val="00BE2EF2"/>
    <w:rsid w:val="00BE35C5"/>
    <w:rsid w:val="00BE3677"/>
    <w:rsid w:val="00BE4970"/>
    <w:rsid w:val="00BE65A4"/>
    <w:rsid w:val="00BE68BD"/>
    <w:rsid w:val="00BE6BDF"/>
    <w:rsid w:val="00BE6C0C"/>
    <w:rsid w:val="00BF114B"/>
    <w:rsid w:val="00BF12BF"/>
    <w:rsid w:val="00BF1629"/>
    <w:rsid w:val="00BF266E"/>
    <w:rsid w:val="00BF2705"/>
    <w:rsid w:val="00BF3232"/>
    <w:rsid w:val="00BF3BAE"/>
    <w:rsid w:val="00BF42B8"/>
    <w:rsid w:val="00BF5142"/>
    <w:rsid w:val="00BF5DB1"/>
    <w:rsid w:val="00BF63A1"/>
    <w:rsid w:val="00BF6E04"/>
    <w:rsid w:val="00BF7278"/>
    <w:rsid w:val="00BF7EBB"/>
    <w:rsid w:val="00C00986"/>
    <w:rsid w:val="00C0137E"/>
    <w:rsid w:val="00C01651"/>
    <w:rsid w:val="00C04C46"/>
    <w:rsid w:val="00C06378"/>
    <w:rsid w:val="00C06528"/>
    <w:rsid w:val="00C067F1"/>
    <w:rsid w:val="00C07DD4"/>
    <w:rsid w:val="00C10866"/>
    <w:rsid w:val="00C10E6F"/>
    <w:rsid w:val="00C1170B"/>
    <w:rsid w:val="00C11938"/>
    <w:rsid w:val="00C11D49"/>
    <w:rsid w:val="00C12834"/>
    <w:rsid w:val="00C135D4"/>
    <w:rsid w:val="00C136E1"/>
    <w:rsid w:val="00C13D9E"/>
    <w:rsid w:val="00C14725"/>
    <w:rsid w:val="00C157B4"/>
    <w:rsid w:val="00C15FA8"/>
    <w:rsid w:val="00C16903"/>
    <w:rsid w:val="00C16C9A"/>
    <w:rsid w:val="00C17033"/>
    <w:rsid w:val="00C17500"/>
    <w:rsid w:val="00C17D8B"/>
    <w:rsid w:val="00C2288B"/>
    <w:rsid w:val="00C2297F"/>
    <w:rsid w:val="00C22B1E"/>
    <w:rsid w:val="00C22B8F"/>
    <w:rsid w:val="00C3237A"/>
    <w:rsid w:val="00C35639"/>
    <w:rsid w:val="00C36393"/>
    <w:rsid w:val="00C41B29"/>
    <w:rsid w:val="00C41EBA"/>
    <w:rsid w:val="00C42657"/>
    <w:rsid w:val="00C4303E"/>
    <w:rsid w:val="00C43971"/>
    <w:rsid w:val="00C44BAA"/>
    <w:rsid w:val="00C46577"/>
    <w:rsid w:val="00C50AA3"/>
    <w:rsid w:val="00C51AC3"/>
    <w:rsid w:val="00C52E67"/>
    <w:rsid w:val="00C53A4E"/>
    <w:rsid w:val="00C53B12"/>
    <w:rsid w:val="00C53C35"/>
    <w:rsid w:val="00C562FF"/>
    <w:rsid w:val="00C571D9"/>
    <w:rsid w:val="00C574EC"/>
    <w:rsid w:val="00C60AB0"/>
    <w:rsid w:val="00C6153B"/>
    <w:rsid w:val="00C61BA4"/>
    <w:rsid w:val="00C61FD0"/>
    <w:rsid w:val="00C621F0"/>
    <w:rsid w:val="00C64263"/>
    <w:rsid w:val="00C6452C"/>
    <w:rsid w:val="00C64596"/>
    <w:rsid w:val="00C6475B"/>
    <w:rsid w:val="00C64DB0"/>
    <w:rsid w:val="00C65BD1"/>
    <w:rsid w:val="00C66C9C"/>
    <w:rsid w:val="00C67A42"/>
    <w:rsid w:val="00C67B2E"/>
    <w:rsid w:val="00C70274"/>
    <w:rsid w:val="00C71C19"/>
    <w:rsid w:val="00C71CE1"/>
    <w:rsid w:val="00C72636"/>
    <w:rsid w:val="00C730BB"/>
    <w:rsid w:val="00C73458"/>
    <w:rsid w:val="00C735FA"/>
    <w:rsid w:val="00C7387C"/>
    <w:rsid w:val="00C73EF5"/>
    <w:rsid w:val="00C74761"/>
    <w:rsid w:val="00C7579A"/>
    <w:rsid w:val="00C77832"/>
    <w:rsid w:val="00C802FA"/>
    <w:rsid w:val="00C8071C"/>
    <w:rsid w:val="00C808FC"/>
    <w:rsid w:val="00C80EB5"/>
    <w:rsid w:val="00C8135B"/>
    <w:rsid w:val="00C82D05"/>
    <w:rsid w:val="00C85383"/>
    <w:rsid w:val="00C86C04"/>
    <w:rsid w:val="00C86FE2"/>
    <w:rsid w:val="00C92433"/>
    <w:rsid w:val="00C9282A"/>
    <w:rsid w:val="00C93266"/>
    <w:rsid w:val="00C93F9D"/>
    <w:rsid w:val="00C94223"/>
    <w:rsid w:val="00C942E9"/>
    <w:rsid w:val="00C9533F"/>
    <w:rsid w:val="00C962B8"/>
    <w:rsid w:val="00C96EAB"/>
    <w:rsid w:val="00C97B23"/>
    <w:rsid w:val="00CA001A"/>
    <w:rsid w:val="00CA01F0"/>
    <w:rsid w:val="00CA036F"/>
    <w:rsid w:val="00CA1511"/>
    <w:rsid w:val="00CA2E3E"/>
    <w:rsid w:val="00CA72A4"/>
    <w:rsid w:val="00CB0F3C"/>
    <w:rsid w:val="00CB0F49"/>
    <w:rsid w:val="00CB14BB"/>
    <w:rsid w:val="00CB1E70"/>
    <w:rsid w:val="00CB2195"/>
    <w:rsid w:val="00CB283E"/>
    <w:rsid w:val="00CB2A24"/>
    <w:rsid w:val="00CB453D"/>
    <w:rsid w:val="00CB5058"/>
    <w:rsid w:val="00CB55AB"/>
    <w:rsid w:val="00CB572C"/>
    <w:rsid w:val="00CB5FA6"/>
    <w:rsid w:val="00CB7C56"/>
    <w:rsid w:val="00CC03FB"/>
    <w:rsid w:val="00CC0F6E"/>
    <w:rsid w:val="00CC1804"/>
    <w:rsid w:val="00CC22A5"/>
    <w:rsid w:val="00CC249C"/>
    <w:rsid w:val="00CC25F4"/>
    <w:rsid w:val="00CC28FD"/>
    <w:rsid w:val="00CC297D"/>
    <w:rsid w:val="00CC2B20"/>
    <w:rsid w:val="00CC3347"/>
    <w:rsid w:val="00CC3C94"/>
    <w:rsid w:val="00CC43A4"/>
    <w:rsid w:val="00CC4615"/>
    <w:rsid w:val="00CC5324"/>
    <w:rsid w:val="00CC5557"/>
    <w:rsid w:val="00CC5AF1"/>
    <w:rsid w:val="00CC5C06"/>
    <w:rsid w:val="00CC5F4D"/>
    <w:rsid w:val="00CC622D"/>
    <w:rsid w:val="00CC64AC"/>
    <w:rsid w:val="00CC729E"/>
    <w:rsid w:val="00CD1EB4"/>
    <w:rsid w:val="00CD31CB"/>
    <w:rsid w:val="00CD4F8D"/>
    <w:rsid w:val="00CD5A24"/>
    <w:rsid w:val="00CD5B75"/>
    <w:rsid w:val="00CD6FE4"/>
    <w:rsid w:val="00CD7800"/>
    <w:rsid w:val="00CD7B28"/>
    <w:rsid w:val="00CE105A"/>
    <w:rsid w:val="00CE2020"/>
    <w:rsid w:val="00CE27D8"/>
    <w:rsid w:val="00CE41A9"/>
    <w:rsid w:val="00CE42FD"/>
    <w:rsid w:val="00CE4543"/>
    <w:rsid w:val="00CE545F"/>
    <w:rsid w:val="00CE5509"/>
    <w:rsid w:val="00CE592B"/>
    <w:rsid w:val="00CE68EB"/>
    <w:rsid w:val="00CE79DB"/>
    <w:rsid w:val="00CF1678"/>
    <w:rsid w:val="00CF1C9F"/>
    <w:rsid w:val="00CF25BA"/>
    <w:rsid w:val="00CF35BD"/>
    <w:rsid w:val="00CF4E63"/>
    <w:rsid w:val="00CF4F50"/>
    <w:rsid w:val="00CF56BA"/>
    <w:rsid w:val="00CF60D2"/>
    <w:rsid w:val="00CF6E0F"/>
    <w:rsid w:val="00CF797B"/>
    <w:rsid w:val="00D007E8"/>
    <w:rsid w:val="00D00E4D"/>
    <w:rsid w:val="00D01170"/>
    <w:rsid w:val="00D01237"/>
    <w:rsid w:val="00D017E4"/>
    <w:rsid w:val="00D01C43"/>
    <w:rsid w:val="00D02466"/>
    <w:rsid w:val="00D07471"/>
    <w:rsid w:val="00D11461"/>
    <w:rsid w:val="00D12636"/>
    <w:rsid w:val="00D12C42"/>
    <w:rsid w:val="00D13467"/>
    <w:rsid w:val="00D1503A"/>
    <w:rsid w:val="00D155CE"/>
    <w:rsid w:val="00D1589E"/>
    <w:rsid w:val="00D15E7A"/>
    <w:rsid w:val="00D16110"/>
    <w:rsid w:val="00D217E4"/>
    <w:rsid w:val="00D24345"/>
    <w:rsid w:val="00D24569"/>
    <w:rsid w:val="00D2520E"/>
    <w:rsid w:val="00D25519"/>
    <w:rsid w:val="00D257B2"/>
    <w:rsid w:val="00D25A39"/>
    <w:rsid w:val="00D27194"/>
    <w:rsid w:val="00D27CE8"/>
    <w:rsid w:val="00D30E61"/>
    <w:rsid w:val="00D31575"/>
    <w:rsid w:val="00D33DFF"/>
    <w:rsid w:val="00D40012"/>
    <w:rsid w:val="00D41FE2"/>
    <w:rsid w:val="00D42210"/>
    <w:rsid w:val="00D42937"/>
    <w:rsid w:val="00D43564"/>
    <w:rsid w:val="00D43A7C"/>
    <w:rsid w:val="00D43BC8"/>
    <w:rsid w:val="00D43E1E"/>
    <w:rsid w:val="00D4409B"/>
    <w:rsid w:val="00D44CF8"/>
    <w:rsid w:val="00D45C00"/>
    <w:rsid w:val="00D46E56"/>
    <w:rsid w:val="00D46FAC"/>
    <w:rsid w:val="00D4782B"/>
    <w:rsid w:val="00D50CB2"/>
    <w:rsid w:val="00D50D36"/>
    <w:rsid w:val="00D53372"/>
    <w:rsid w:val="00D53A26"/>
    <w:rsid w:val="00D569CC"/>
    <w:rsid w:val="00D57054"/>
    <w:rsid w:val="00D57189"/>
    <w:rsid w:val="00D60804"/>
    <w:rsid w:val="00D614EE"/>
    <w:rsid w:val="00D61BED"/>
    <w:rsid w:val="00D62106"/>
    <w:rsid w:val="00D621EC"/>
    <w:rsid w:val="00D646FC"/>
    <w:rsid w:val="00D64F99"/>
    <w:rsid w:val="00D66835"/>
    <w:rsid w:val="00D7159D"/>
    <w:rsid w:val="00D73691"/>
    <w:rsid w:val="00D73F27"/>
    <w:rsid w:val="00D740F0"/>
    <w:rsid w:val="00D76571"/>
    <w:rsid w:val="00D773F0"/>
    <w:rsid w:val="00D8120D"/>
    <w:rsid w:val="00D81288"/>
    <w:rsid w:val="00D82501"/>
    <w:rsid w:val="00D828B0"/>
    <w:rsid w:val="00D84C63"/>
    <w:rsid w:val="00D85221"/>
    <w:rsid w:val="00D854BF"/>
    <w:rsid w:val="00D8570D"/>
    <w:rsid w:val="00D85C0E"/>
    <w:rsid w:val="00D87366"/>
    <w:rsid w:val="00D877B5"/>
    <w:rsid w:val="00D87963"/>
    <w:rsid w:val="00D87DD5"/>
    <w:rsid w:val="00D87DFF"/>
    <w:rsid w:val="00D90C7C"/>
    <w:rsid w:val="00D90FA4"/>
    <w:rsid w:val="00D924BA"/>
    <w:rsid w:val="00D926AA"/>
    <w:rsid w:val="00D92C5F"/>
    <w:rsid w:val="00D94BC3"/>
    <w:rsid w:val="00D9562E"/>
    <w:rsid w:val="00D95836"/>
    <w:rsid w:val="00D95894"/>
    <w:rsid w:val="00D95C9C"/>
    <w:rsid w:val="00D96C01"/>
    <w:rsid w:val="00D970F8"/>
    <w:rsid w:val="00D976F8"/>
    <w:rsid w:val="00D97CD9"/>
    <w:rsid w:val="00DA00B1"/>
    <w:rsid w:val="00DA1116"/>
    <w:rsid w:val="00DA1123"/>
    <w:rsid w:val="00DA1D14"/>
    <w:rsid w:val="00DA25F1"/>
    <w:rsid w:val="00DA39F3"/>
    <w:rsid w:val="00DA4924"/>
    <w:rsid w:val="00DA4CBF"/>
    <w:rsid w:val="00DA7AAA"/>
    <w:rsid w:val="00DB0405"/>
    <w:rsid w:val="00DB1947"/>
    <w:rsid w:val="00DB1B9F"/>
    <w:rsid w:val="00DB3220"/>
    <w:rsid w:val="00DB411B"/>
    <w:rsid w:val="00DB4B88"/>
    <w:rsid w:val="00DB590A"/>
    <w:rsid w:val="00DB633A"/>
    <w:rsid w:val="00DB63B5"/>
    <w:rsid w:val="00DB684E"/>
    <w:rsid w:val="00DC0B41"/>
    <w:rsid w:val="00DC0C99"/>
    <w:rsid w:val="00DC14F4"/>
    <w:rsid w:val="00DC2EA5"/>
    <w:rsid w:val="00DC36AC"/>
    <w:rsid w:val="00DC44D4"/>
    <w:rsid w:val="00DC5096"/>
    <w:rsid w:val="00DC5C7F"/>
    <w:rsid w:val="00DC650F"/>
    <w:rsid w:val="00DC768D"/>
    <w:rsid w:val="00DC7C13"/>
    <w:rsid w:val="00DC7D0F"/>
    <w:rsid w:val="00DD10B6"/>
    <w:rsid w:val="00DD20FF"/>
    <w:rsid w:val="00DD21F5"/>
    <w:rsid w:val="00DD245C"/>
    <w:rsid w:val="00DD28EE"/>
    <w:rsid w:val="00DD4C91"/>
    <w:rsid w:val="00DD52B8"/>
    <w:rsid w:val="00DD5BEC"/>
    <w:rsid w:val="00DD5CD9"/>
    <w:rsid w:val="00DD7163"/>
    <w:rsid w:val="00DE0702"/>
    <w:rsid w:val="00DE1BE8"/>
    <w:rsid w:val="00DE1BF0"/>
    <w:rsid w:val="00DE1DB4"/>
    <w:rsid w:val="00DE30FF"/>
    <w:rsid w:val="00DE36AE"/>
    <w:rsid w:val="00DE372C"/>
    <w:rsid w:val="00DE44FC"/>
    <w:rsid w:val="00DE4B0D"/>
    <w:rsid w:val="00DE63B6"/>
    <w:rsid w:val="00DE7760"/>
    <w:rsid w:val="00DF0063"/>
    <w:rsid w:val="00DF0BF8"/>
    <w:rsid w:val="00DF0C47"/>
    <w:rsid w:val="00DF1FE5"/>
    <w:rsid w:val="00DF3109"/>
    <w:rsid w:val="00DF3C70"/>
    <w:rsid w:val="00DF5271"/>
    <w:rsid w:val="00DF5C7F"/>
    <w:rsid w:val="00DF5C9E"/>
    <w:rsid w:val="00DF5FEE"/>
    <w:rsid w:val="00DF6F1F"/>
    <w:rsid w:val="00E00B12"/>
    <w:rsid w:val="00E0167B"/>
    <w:rsid w:val="00E01E61"/>
    <w:rsid w:val="00E02090"/>
    <w:rsid w:val="00E04536"/>
    <w:rsid w:val="00E0679B"/>
    <w:rsid w:val="00E06F63"/>
    <w:rsid w:val="00E10231"/>
    <w:rsid w:val="00E11563"/>
    <w:rsid w:val="00E12375"/>
    <w:rsid w:val="00E12545"/>
    <w:rsid w:val="00E12676"/>
    <w:rsid w:val="00E13BA6"/>
    <w:rsid w:val="00E13C76"/>
    <w:rsid w:val="00E14C05"/>
    <w:rsid w:val="00E14F10"/>
    <w:rsid w:val="00E1537D"/>
    <w:rsid w:val="00E15523"/>
    <w:rsid w:val="00E16424"/>
    <w:rsid w:val="00E164FE"/>
    <w:rsid w:val="00E166A5"/>
    <w:rsid w:val="00E17F53"/>
    <w:rsid w:val="00E205CE"/>
    <w:rsid w:val="00E20B3D"/>
    <w:rsid w:val="00E20EEC"/>
    <w:rsid w:val="00E23FC1"/>
    <w:rsid w:val="00E2443E"/>
    <w:rsid w:val="00E24553"/>
    <w:rsid w:val="00E24FCA"/>
    <w:rsid w:val="00E2505D"/>
    <w:rsid w:val="00E250F9"/>
    <w:rsid w:val="00E2584E"/>
    <w:rsid w:val="00E269C1"/>
    <w:rsid w:val="00E30D2B"/>
    <w:rsid w:val="00E311D8"/>
    <w:rsid w:val="00E35D4A"/>
    <w:rsid w:val="00E3701C"/>
    <w:rsid w:val="00E371E5"/>
    <w:rsid w:val="00E42FD9"/>
    <w:rsid w:val="00E430EA"/>
    <w:rsid w:val="00E4432E"/>
    <w:rsid w:val="00E444DC"/>
    <w:rsid w:val="00E45AD7"/>
    <w:rsid w:val="00E45B75"/>
    <w:rsid w:val="00E4674A"/>
    <w:rsid w:val="00E467B2"/>
    <w:rsid w:val="00E47038"/>
    <w:rsid w:val="00E477D3"/>
    <w:rsid w:val="00E479BC"/>
    <w:rsid w:val="00E5114F"/>
    <w:rsid w:val="00E5120E"/>
    <w:rsid w:val="00E51E63"/>
    <w:rsid w:val="00E52C8B"/>
    <w:rsid w:val="00E541C3"/>
    <w:rsid w:val="00E548A4"/>
    <w:rsid w:val="00E56AC0"/>
    <w:rsid w:val="00E5709F"/>
    <w:rsid w:val="00E57CF8"/>
    <w:rsid w:val="00E60400"/>
    <w:rsid w:val="00E61ED4"/>
    <w:rsid w:val="00E624ED"/>
    <w:rsid w:val="00E641F2"/>
    <w:rsid w:val="00E65197"/>
    <w:rsid w:val="00E6570D"/>
    <w:rsid w:val="00E6758C"/>
    <w:rsid w:val="00E71071"/>
    <w:rsid w:val="00E71496"/>
    <w:rsid w:val="00E726AF"/>
    <w:rsid w:val="00E72F87"/>
    <w:rsid w:val="00E73CBD"/>
    <w:rsid w:val="00E75B17"/>
    <w:rsid w:val="00E76259"/>
    <w:rsid w:val="00E80CE0"/>
    <w:rsid w:val="00E80DB3"/>
    <w:rsid w:val="00E8271C"/>
    <w:rsid w:val="00E84EA5"/>
    <w:rsid w:val="00E86F2D"/>
    <w:rsid w:val="00E86F68"/>
    <w:rsid w:val="00E87902"/>
    <w:rsid w:val="00E87CEB"/>
    <w:rsid w:val="00E87FE2"/>
    <w:rsid w:val="00E90A14"/>
    <w:rsid w:val="00E90C10"/>
    <w:rsid w:val="00E91081"/>
    <w:rsid w:val="00E91107"/>
    <w:rsid w:val="00E92393"/>
    <w:rsid w:val="00E947DB"/>
    <w:rsid w:val="00E956B2"/>
    <w:rsid w:val="00E964BE"/>
    <w:rsid w:val="00E96632"/>
    <w:rsid w:val="00EA17C8"/>
    <w:rsid w:val="00EA187F"/>
    <w:rsid w:val="00EA198C"/>
    <w:rsid w:val="00EA3131"/>
    <w:rsid w:val="00EA34C5"/>
    <w:rsid w:val="00EA5837"/>
    <w:rsid w:val="00EA6908"/>
    <w:rsid w:val="00EB032F"/>
    <w:rsid w:val="00EB0A2A"/>
    <w:rsid w:val="00EB1344"/>
    <w:rsid w:val="00EB28EF"/>
    <w:rsid w:val="00EB580C"/>
    <w:rsid w:val="00EB59AA"/>
    <w:rsid w:val="00EB637E"/>
    <w:rsid w:val="00EB687B"/>
    <w:rsid w:val="00EB6A82"/>
    <w:rsid w:val="00EB7340"/>
    <w:rsid w:val="00EC0BB1"/>
    <w:rsid w:val="00EC2733"/>
    <w:rsid w:val="00EC318F"/>
    <w:rsid w:val="00EC4228"/>
    <w:rsid w:val="00EC4E56"/>
    <w:rsid w:val="00EC5967"/>
    <w:rsid w:val="00EC5ECB"/>
    <w:rsid w:val="00EC69BD"/>
    <w:rsid w:val="00EC6BB6"/>
    <w:rsid w:val="00EC72FA"/>
    <w:rsid w:val="00EC73B6"/>
    <w:rsid w:val="00ED054A"/>
    <w:rsid w:val="00ED14E4"/>
    <w:rsid w:val="00ED2C7B"/>
    <w:rsid w:val="00ED33FD"/>
    <w:rsid w:val="00ED42E2"/>
    <w:rsid w:val="00ED49AA"/>
    <w:rsid w:val="00ED52DB"/>
    <w:rsid w:val="00ED6846"/>
    <w:rsid w:val="00ED71D9"/>
    <w:rsid w:val="00ED74C0"/>
    <w:rsid w:val="00ED7A28"/>
    <w:rsid w:val="00EE0BD1"/>
    <w:rsid w:val="00EE0EA3"/>
    <w:rsid w:val="00EE15A6"/>
    <w:rsid w:val="00EE2976"/>
    <w:rsid w:val="00EE46DE"/>
    <w:rsid w:val="00EE7070"/>
    <w:rsid w:val="00EE751C"/>
    <w:rsid w:val="00EF18E9"/>
    <w:rsid w:val="00EF1EAB"/>
    <w:rsid w:val="00EF2720"/>
    <w:rsid w:val="00EF3680"/>
    <w:rsid w:val="00EF42B4"/>
    <w:rsid w:val="00EF5064"/>
    <w:rsid w:val="00EF766C"/>
    <w:rsid w:val="00EF7745"/>
    <w:rsid w:val="00EF7F7D"/>
    <w:rsid w:val="00EF7F91"/>
    <w:rsid w:val="00EF7FD0"/>
    <w:rsid w:val="00F00835"/>
    <w:rsid w:val="00F0135E"/>
    <w:rsid w:val="00F0200C"/>
    <w:rsid w:val="00F0228A"/>
    <w:rsid w:val="00F024B7"/>
    <w:rsid w:val="00F03A7B"/>
    <w:rsid w:val="00F059B4"/>
    <w:rsid w:val="00F070AE"/>
    <w:rsid w:val="00F126A3"/>
    <w:rsid w:val="00F13216"/>
    <w:rsid w:val="00F138E9"/>
    <w:rsid w:val="00F14822"/>
    <w:rsid w:val="00F15086"/>
    <w:rsid w:val="00F157FB"/>
    <w:rsid w:val="00F15C4B"/>
    <w:rsid w:val="00F166E2"/>
    <w:rsid w:val="00F16D2B"/>
    <w:rsid w:val="00F17D51"/>
    <w:rsid w:val="00F17E7A"/>
    <w:rsid w:val="00F20FEF"/>
    <w:rsid w:val="00F21327"/>
    <w:rsid w:val="00F21719"/>
    <w:rsid w:val="00F21FC0"/>
    <w:rsid w:val="00F2213E"/>
    <w:rsid w:val="00F22203"/>
    <w:rsid w:val="00F22221"/>
    <w:rsid w:val="00F2331E"/>
    <w:rsid w:val="00F252FE"/>
    <w:rsid w:val="00F275DC"/>
    <w:rsid w:val="00F27949"/>
    <w:rsid w:val="00F30A1D"/>
    <w:rsid w:val="00F30F46"/>
    <w:rsid w:val="00F31B1D"/>
    <w:rsid w:val="00F31FEF"/>
    <w:rsid w:val="00F3236A"/>
    <w:rsid w:val="00F323C4"/>
    <w:rsid w:val="00F3281D"/>
    <w:rsid w:val="00F32A37"/>
    <w:rsid w:val="00F32E28"/>
    <w:rsid w:val="00F33800"/>
    <w:rsid w:val="00F34060"/>
    <w:rsid w:val="00F340BE"/>
    <w:rsid w:val="00F342A7"/>
    <w:rsid w:val="00F348F1"/>
    <w:rsid w:val="00F34F3F"/>
    <w:rsid w:val="00F354BA"/>
    <w:rsid w:val="00F3575B"/>
    <w:rsid w:val="00F35D50"/>
    <w:rsid w:val="00F36E1E"/>
    <w:rsid w:val="00F40065"/>
    <w:rsid w:val="00F40862"/>
    <w:rsid w:val="00F40AE5"/>
    <w:rsid w:val="00F41DE6"/>
    <w:rsid w:val="00F42600"/>
    <w:rsid w:val="00F42617"/>
    <w:rsid w:val="00F4495B"/>
    <w:rsid w:val="00F44E12"/>
    <w:rsid w:val="00F463F3"/>
    <w:rsid w:val="00F464F9"/>
    <w:rsid w:val="00F46AF3"/>
    <w:rsid w:val="00F47587"/>
    <w:rsid w:val="00F503D3"/>
    <w:rsid w:val="00F512D3"/>
    <w:rsid w:val="00F515A8"/>
    <w:rsid w:val="00F5189E"/>
    <w:rsid w:val="00F523F8"/>
    <w:rsid w:val="00F53497"/>
    <w:rsid w:val="00F53691"/>
    <w:rsid w:val="00F544B7"/>
    <w:rsid w:val="00F545C5"/>
    <w:rsid w:val="00F54A15"/>
    <w:rsid w:val="00F550B6"/>
    <w:rsid w:val="00F5572B"/>
    <w:rsid w:val="00F559CA"/>
    <w:rsid w:val="00F55F7F"/>
    <w:rsid w:val="00F57784"/>
    <w:rsid w:val="00F57C26"/>
    <w:rsid w:val="00F57C41"/>
    <w:rsid w:val="00F61C02"/>
    <w:rsid w:val="00F61F38"/>
    <w:rsid w:val="00F629F9"/>
    <w:rsid w:val="00F6309C"/>
    <w:rsid w:val="00F63445"/>
    <w:rsid w:val="00F64050"/>
    <w:rsid w:val="00F64922"/>
    <w:rsid w:val="00F64AE5"/>
    <w:rsid w:val="00F655A3"/>
    <w:rsid w:val="00F65AA6"/>
    <w:rsid w:val="00F66820"/>
    <w:rsid w:val="00F7004F"/>
    <w:rsid w:val="00F7109C"/>
    <w:rsid w:val="00F719C9"/>
    <w:rsid w:val="00F71C42"/>
    <w:rsid w:val="00F72918"/>
    <w:rsid w:val="00F72BE5"/>
    <w:rsid w:val="00F7405D"/>
    <w:rsid w:val="00F747AE"/>
    <w:rsid w:val="00F75C0F"/>
    <w:rsid w:val="00F768AE"/>
    <w:rsid w:val="00F777E3"/>
    <w:rsid w:val="00F77F20"/>
    <w:rsid w:val="00F8159A"/>
    <w:rsid w:val="00F836CC"/>
    <w:rsid w:val="00F83C0E"/>
    <w:rsid w:val="00F84734"/>
    <w:rsid w:val="00F84753"/>
    <w:rsid w:val="00F84D90"/>
    <w:rsid w:val="00F8528B"/>
    <w:rsid w:val="00F858F5"/>
    <w:rsid w:val="00F874C6"/>
    <w:rsid w:val="00F9326F"/>
    <w:rsid w:val="00F9457C"/>
    <w:rsid w:val="00F945BE"/>
    <w:rsid w:val="00F95B91"/>
    <w:rsid w:val="00F96610"/>
    <w:rsid w:val="00F96F47"/>
    <w:rsid w:val="00F97AF5"/>
    <w:rsid w:val="00FA1347"/>
    <w:rsid w:val="00FA172B"/>
    <w:rsid w:val="00FA1CC4"/>
    <w:rsid w:val="00FA20A4"/>
    <w:rsid w:val="00FA257F"/>
    <w:rsid w:val="00FA327C"/>
    <w:rsid w:val="00FA3DB3"/>
    <w:rsid w:val="00FA405D"/>
    <w:rsid w:val="00FA69D0"/>
    <w:rsid w:val="00FA6D49"/>
    <w:rsid w:val="00FB1093"/>
    <w:rsid w:val="00FB2DE1"/>
    <w:rsid w:val="00FB4B71"/>
    <w:rsid w:val="00FB56E0"/>
    <w:rsid w:val="00FB7325"/>
    <w:rsid w:val="00FC0071"/>
    <w:rsid w:val="00FC04EC"/>
    <w:rsid w:val="00FC04FD"/>
    <w:rsid w:val="00FC2385"/>
    <w:rsid w:val="00FC3125"/>
    <w:rsid w:val="00FC32C9"/>
    <w:rsid w:val="00FC3FD2"/>
    <w:rsid w:val="00FC49F1"/>
    <w:rsid w:val="00FC5149"/>
    <w:rsid w:val="00FC55B9"/>
    <w:rsid w:val="00FC603D"/>
    <w:rsid w:val="00FC69B8"/>
    <w:rsid w:val="00FC790F"/>
    <w:rsid w:val="00FD0533"/>
    <w:rsid w:val="00FD08F4"/>
    <w:rsid w:val="00FD1858"/>
    <w:rsid w:val="00FD1AB9"/>
    <w:rsid w:val="00FD1CE6"/>
    <w:rsid w:val="00FD1E57"/>
    <w:rsid w:val="00FD246B"/>
    <w:rsid w:val="00FD410F"/>
    <w:rsid w:val="00FD56C0"/>
    <w:rsid w:val="00FD6096"/>
    <w:rsid w:val="00FD69EE"/>
    <w:rsid w:val="00FD6A13"/>
    <w:rsid w:val="00FD6A40"/>
    <w:rsid w:val="00FD7BE7"/>
    <w:rsid w:val="00FE01D4"/>
    <w:rsid w:val="00FE0C94"/>
    <w:rsid w:val="00FE1358"/>
    <w:rsid w:val="00FE1376"/>
    <w:rsid w:val="00FE1B8C"/>
    <w:rsid w:val="00FE1E78"/>
    <w:rsid w:val="00FE3320"/>
    <w:rsid w:val="00FE37CE"/>
    <w:rsid w:val="00FE38B5"/>
    <w:rsid w:val="00FE3E6C"/>
    <w:rsid w:val="00FE447E"/>
    <w:rsid w:val="00FE4A61"/>
    <w:rsid w:val="00FE5ABB"/>
    <w:rsid w:val="00FE5DF9"/>
    <w:rsid w:val="00FE62FC"/>
    <w:rsid w:val="00FE6C65"/>
    <w:rsid w:val="00FE7A0D"/>
    <w:rsid w:val="00FF02AA"/>
    <w:rsid w:val="00FF05F4"/>
    <w:rsid w:val="00FF0755"/>
    <w:rsid w:val="00FF1168"/>
    <w:rsid w:val="00FF29D3"/>
    <w:rsid w:val="00FF2A05"/>
    <w:rsid w:val="00FF3038"/>
    <w:rsid w:val="00FF4A80"/>
    <w:rsid w:val="00FF5675"/>
    <w:rsid w:val="00FF5A13"/>
    <w:rsid w:val="00FF7E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DE"/>
    <w:rPr>
      <w:rFonts w:ascii="Times New Roman" w:hAnsi="Times New Roman"/>
      <w:sz w:val="24"/>
      <w:lang w:val="en-GB"/>
    </w:rPr>
  </w:style>
  <w:style w:type="paragraph" w:styleId="1">
    <w:name w:val="heading 1"/>
    <w:basedOn w:val="a"/>
    <w:next w:val="a"/>
    <w:link w:val="1Char"/>
    <w:qFormat/>
    <w:rsid w:val="00BC17DE"/>
    <w:pPr>
      <w:numPr>
        <w:numId w:val="1"/>
      </w:numPr>
      <w:outlineLvl w:val="0"/>
    </w:pPr>
    <w:rPr>
      <w:lang/>
    </w:rPr>
  </w:style>
  <w:style w:type="paragraph" w:styleId="2">
    <w:name w:val="heading 2"/>
    <w:basedOn w:val="a"/>
    <w:next w:val="a"/>
    <w:link w:val="2Char"/>
    <w:qFormat/>
    <w:rsid w:val="00BC17DE"/>
    <w:pPr>
      <w:keepNext/>
      <w:numPr>
        <w:ilvl w:val="1"/>
        <w:numId w:val="2"/>
      </w:numPr>
      <w:spacing w:before="240" w:after="60"/>
      <w:outlineLvl w:val="1"/>
    </w:pPr>
    <w:rPr>
      <w:rFonts w:ascii="Arial" w:hAnsi="Arial"/>
      <w:b/>
      <w:i/>
      <w:lang/>
    </w:rPr>
  </w:style>
  <w:style w:type="paragraph" w:styleId="3">
    <w:name w:val="heading 3"/>
    <w:basedOn w:val="a"/>
    <w:next w:val="a"/>
    <w:link w:val="3Char"/>
    <w:qFormat/>
    <w:rsid w:val="00BC17DE"/>
    <w:pPr>
      <w:keepNext/>
      <w:numPr>
        <w:ilvl w:val="2"/>
        <w:numId w:val="2"/>
      </w:numPr>
      <w:spacing w:before="240" w:after="60"/>
      <w:ind w:left="2160"/>
      <w:outlineLvl w:val="2"/>
    </w:pPr>
    <w:rPr>
      <w:b/>
      <w:lang/>
    </w:rPr>
  </w:style>
  <w:style w:type="paragraph" w:styleId="4">
    <w:name w:val="heading 4"/>
    <w:basedOn w:val="a"/>
    <w:next w:val="a"/>
    <w:link w:val="4Char"/>
    <w:qFormat/>
    <w:rsid w:val="00BC17DE"/>
    <w:pPr>
      <w:keepNext/>
      <w:numPr>
        <w:ilvl w:val="3"/>
        <w:numId w:val="2"/>
      </w:numPr>
      <w:spacing w:before="240" w:after="60"/>
      <w:outlineLvl w:val="3"/>
    </w:pPr>
    <w:rPr>
      <w:b/>
      <w:i/>
      <w:lang/>
    </w:rPr>
  </w:style>
  <w:style w:type="paragraph" w:styleId="5">
    <w:name w:val="heading 5"/>
    <w:basedOn w:val="a"/>
    <w:next w:val="a"/>
    <w:link w:val="5Char"/>
    <w:qFormat/>
    <w:rsid w:val="00BC17DE"/>
    <w:pPr>
      <w:numPr>
        <w:ilvl w:val="4"/>
        <w:numId w:val="2"/>
      </w:numPr>
      <w:spacing w:before="240" w:after="60"/>
      <w:outlineLvl w:val="4"/>
    </w:pPr>
    <w:rPr>
      <w:rFonts w:ascii="Arial" w:hAnsi="Arial"/>
      <w:sz w:val="20"/>
      <w:lang/>
    </w:rPr>
  </w:style>
  <w:style w:type="paragraph" w:styleId="6">
    <w:name w:val="heading 6"/>
    <w:basedOn w:val="a"/>
    <w:next w:val="a"/>
    <w:link w:val="6Char"/>
    <w:qFormat/>
    <w:rsid w:val="00BC17DE"/>
    <w:pPr>
      <w:numPr>
        <w:ilvl w:val="5"/>
        <w:numId w:val="2"/>
      </w:numPr>
      <w:spacing w:before="240" w:after="60"/>
      <w:outlineLvl w:val="5"/>
    </w:pPr>
    <w:rPr>
      <w:rFonts w:ascii="Arial" w:hAnsi="Arial"/>
      <w:i/>
      <w:sz w:val="20"/>
      <w:lang/>
    </w:rPr>
  </w:style>
  <w:style w:type="paragraph" w:styleId="7">
    <w:name w:val="heading 7"/>
    <w:basedOn w:val="a"/>
    <w:next w:val="a"/>
    <w:link w:val="7Char"/>
    <w:qFormat/>
    <w:rsid w:val="00BC17DE"/>
    <w:pPr>
      <w:numPr>
        <w:ilvl w:val="6"/>
        <w:numId w:val="2"/>
      </w:numPr>
      <w:spacing w:before="240" w:after="60"/>
      <w:outlineLvl w:val="6"/>
    </w:pPr>
    <w:rPr>
      <w:rFonts w:ascii="Arial" w:hAnsi="Arial"/>
      <w:sz w:val="20"/>
      <w:lang/>
    </w:rPr>
  </w:style>
  <w:style w:type="paragraph" w:styleId="8">
    <w:name w:val="heading 8"/>
    <w:basedOn w:val="a"/>
    <w:next w:val="a"/>
    <w:link w:val="8Char"/>
    <w:qFormat/>
    <w:rsid w:val="00BC17DE"/>
    <w:pPr>
      <w:numPr>
        <w:ilvl w:val="7"/>
        <w:numId w:val="2"/>
      </w:numPr>
      <w:spacing w:before="240" w:after="60"/>
      <w:outlineLvl w:val="7"/>
    </w:pPr>
    <w:rPr>
      <w:rFonts w:ascii="Arial" w:hAnsi="Arial"/>
      <w:i/>
      <w:sz w:val="20"/>
      <w:lang/>
    </w:rPr>
  </w:style>
  <w:style w:type="paragraph" w:styleId="9">
    <w:name w:val="heading 9"/>
    <w:basedOn w:val="a"/>
    <w:next w:val="a"/>
    <w:link w:val="9Char"/>
    <w:qFormat/>
    <w:rsid w:val="00BC17DE"/>
    <w:pPr>
      <w:numPr>
        <w:ilvl w:val="8"/>
        <w:numId w:val="2"/>
      </w:numPr>
      <w:spacing w:before="240" w:after="60"/>
      <w:outlineLvl w:val="8"/>
    </w:pPr>
    <w:rPr>
      <w:rFonts w:ascii="Arial" w:hAnsi="Arial"/>
      <w:i/>
      <w:sz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C17DE"/>
    <w:rPr>
      <w:rFonts w:ascii="Times New Roman" w:hAnsi="Times New Roman"/>
      <w:sz w:val="24"/>
      <w:lang w:val="en-GB"/>
    </w:rPr>
  </w:style>
  <w:style w:type="character" w:customStyle="1" w:styleId="2Char">
    <w:name w:val="标题 2 Char"/>
    <w:link w:val="2"/>
    <w:rsid w:val="00BC17DE"/>
    <w:rPr>
      <w:rFonts w:ascii="Arial" w:hAnsi="Arial"/>
      <w:b/>
      <w:i/>
      <w:sz w:val="24"/>
      <w:lang w:val="en-GB"/>
    </w:rPr>
  </w:style>
  <w:style w:type="character" w:customStyle="1" w:styleId="3Char">
    <w:name w:val="标题 3 Char"/>
    <w:link w:val="3"/>
    <w:rsid w:val="00BC17DE"/>
    <w:rPr>
      <w:rFonts w:ascii="Times New Roman" w:hAnsi="Times New Roman"/>
      <w:b/>
      <w:sz w:val="24"/>
      <w:lang w:val="en-GB"/>
    </w:rPr>
  </w:style>
  <w:style w:type="character" w:customStyle="1" w:styleId="4Char">
    <w:name w:val="标题 4 Char"/>
    <w:link w:val="4"/>
    <w:rsid w:val="00BC17DE"/>
    <w:rPr>
      <w:rFonts w:ascii="Times New Roman" w:hAnsi="Times New Roman"/>
      <w:b/>
      <w:i/>
      <w:sz w:val="24"/>
      <w:lang w:val="en-GB"/>
    </w:rPr>
  </w:style>
  <w:style w:type="character" w:customStyle="1" w:styleId="5Char">
    <w:name w:val="标题 5 Char"/>
    <w:link w:val="5"/>
    <w:rsid w:val="00BC17DE"/>
    <w:rPr>
      <w:rFonts w:ascii="Arial" w:hAnsi="Arial"/>
      <w:lang w:val="en-GB"/>
    </w:rPr>
  </w:style>
  <w:style w:type="character" w:customStyle="1" w:styleId="6Char">
    <w:name w:val="标题 6 Char"/>
    <w:link w:val="6"/>
    <w:rsid w:val="00BC17DE"/>
    <w:rPr>
      <w:rFonts w:ascii="Arial" w:hAnsi="Arial"/>
      <w:i/>
      <w:lang w:val="en-GB"/>
    </w:rPr>
  </w:style>
  <w:style w:type="character" w:customStyle="1" w:styleId="7Char">
    <w:name w:val="标题 7 Char"/>
    <w:link w:val="7"/>
    <w:rsid w:val="00BC17DE"/>
    <w:rPr>
      <w:rFonts w:ascii="Arial" w:hAnsi="Arial"/>
      <w:lang w:val="en-GB"/>
    </w:rPr>
  </w:style>
  <w:style w:type="character" w:customStyle="1" w:styleId="8Char">
    <w:name w:val="标题 8 Char"/>
    <w:link w:val="8"/>
    <w:rsid w:val="00BC17DE"/>
    <w:rPr>
      <w:rFonts w:ascii="Arial" w:hAnsi="Arial"/>
      <w:i/>
      <w:lang w:val="en-GB"/>
    </w:rPr>
  </w:style>
  <w:style w:type="character" w:customStyle="1" w:styleId="9Char">
    <w:name w:val="标题 9 Char"/>
    <w:link w:val="9"/>
    <w:rsid w:val="00BC17DE"/>
    <w:rPr>
      <w:rFonts w:ascii="Arial" w:hAnsi="Arial"/>
      <w:i/>
      <w:sz w:val="18"/>
      <w:lang w:val="en-GB"/>
    </w:rPr>
  </w:style>
  <w:style w:type="paragraph" w:styleId="a3">
    <w:name w:val="footer"/>
    <w:basedOn w:val="a"/>
    <w:link w:val="Char"/>
    <w:uiPriority w:val="99"/>
    <w:rsid w:val="00BC17DE"/>
    <w:rPr>
      <w:lang/>
    </w:rPr>
  </w:style>
  <w:style w:type="character" w:customStyle="1" w:styleId="Char">
    <w:name w:val="页脚 Char"/>
    <w:link w:val="a3"/>
    <w:uiPriority w:val="99"/>
    <w:rsid w:val="00BC17DE"/>
    <w:rPr>
      <w:rFonts w:ascii="Times New Roman" w:eastAsia="宋体" w:hAnsi="Times New Roman" w:cs="Times New Roman"/>
      <w:sz w:val="24"/>
      <w:szCs w:val="20"/>
      <w:lang w:val="en-GB"/>
    </w:rPr>
  </w:style>
  <w:style w:type="paragraph" w:styleId="a4">
    <w:name w:val="header"/>
    <w:basedOn w:val="a"/>
    <w:link w:val="Char0"/>
    <w:uiPriority w:val="99"/>
    <w:rsid w:val="00BC17DE"/>
    <w:rPr>
      <w:lang/>
    </w:rPr>
  </w:style>
  <w:style w:type="character" w:customStyle="1" w:styleId="Char0">
    <w:name w:val="页眉 Char"/>
    <w:link w:val="a4"/>
    <w:uiPriority w:val="99"/>
    <w:rsid w:val="00BC17DE"/>
    <w:rPr>
      <w:rFonts w:ascii="Times New Roman" w:eastAsia="宋体" w:hAnsi="Times New Roman" w:cs="Times New Roman"/>
      <w:sz w:val="24"/>
      <w:szCs w:val="20"/>
      <w:lang w:val="en-GB"/>
    </w:rPr>
  </w:style>
  <w:style w:type="paragraph" w:styleId="a5">
    <w:name w:val="Date"/>
    <w:basedOn w:val="a"/>
    <w:next w:val="a"/>
    <w:link w:val="Char1"/>
    <w:rsid w:val="00BC17DE"/>
    <w:rPr>
      <w:lang/>
    </w:rPr>
  </w:style>
  <w:style w:type="character" w:customStyle="1" w:styleId="Char1">
    <w:name w:val="日期 Char"/>
    <w:link w:val="a5"/>
    <w:rsid w:val="00BC17DE"/>
    <w:rPr>
      <w:rFonts w:ascii="Times New Roman" w:eastAsia="宋体" w:hAnsi="Times New Roman" w:cs="Times New Roman"/>
      <w:sz w:val="24"/>
      <w:szCs w:val="20"/>
      <w:lang w:val="en-GB"/>
    </w:rPr>
  </w:style>
  <w:style w:type="paragraph" w:styleId="a6">
    <w:name w:val="Plain Text"/>
    <w:basedOn w:val="a"/>
    <w:link w:val="Char2"/>
    <w:rsid w:val="00BC17DE"/>
    <w:pPr>
      <w:widowControl w:val="0"/>
      <w:jc w:val="both"/>
    </w:pPr>
    <w:rPr>
      <w:rFonts w:ascii="宋体" w:hAnsi="Courier New"/>
      <w:kern w:val="2"/>
      <w:sz w:val="21"/>
      <w:lang/>
    </w:rPr>
  </w:style>
  <w:style w:type="character" w:customStyle="1" w:styleId="Char2">
    <w:name w:val="纯文本 Char"/>
    <w:link w:val="a6"/>
    <w:rsid w:val="00BC17DE"/>
    <w:rPr>
      <w:rFonts w:ascii="宋体" w:eastAsia="宋体" w:hAnsi="Courier New" w:cs="Times New Roman"/>
      <w:kern w:val="2"/>
      <w:sz w:val="21"/>
      <w:szCs w:val="20"/>
    </w:rPr>
  </w:style>
  <w:style w:type="character" w:styleId="a7">
    <w:name w:val="annotation reference"/>
    <w:rsid w:val="00BC17DE"/>
    <w:rPr>
      <w:sz w:val="21"/>
      <w:szCs w:val="21"/>
    </w:rPr>
  </w:style>
  <w:style w:type="paragraph" w:styleId="a8">
    <w:name w:val="annotation text"/>
    <w:basedOn w:val="a"/>
    <w:link w:val="Char3"/>
    <w:rsid w:val="00BC17DE"/>
    <w:rPr>
      <w:lang/>
    </w:rPr>
  </w:style>
  <w:style w:type="character" w:customStyle="1" w:styleId="Char3">
    <w:name w:val="批注文字 Char"/>
    <w:link w:val="a8"/>
    <w:rsid w:val="00BC17DE"/>
    <w:rPr>
      <w:rFonts w:ascii="Times New Roman" w:eastAsia="宋体" w:hAnsi="Times New Roman" w:cs="Times New Roman"/>
      <w:sz w:val="24"/>
      <w:szCs w:val="20"/>
      <w:lang w:val="en-GB"/>
    </w:rPr>
  </w:style>
  <w:style w:type="paragraph" w:styleId="a9">
    <w:name w:val="Balloon Text"/>
    <w:basedOn w:val="a"/>
    <w:link w:val="Char4"/>
    <w:semiHidden/>
    <w:rsid w:val="00BC17DE"/>
    <w:rPr>
      <w:sz w:val="16"/>
      <w:szCs w:val="16"/>
      <w:lang/>
    </w:rPr>
  </w:style>
  <w:style w:type="character" w:customStyle="1" w:styleId="Char4">
    <w:name w:val="批注框文本 Char"/>
    <w:link w:val="a9"/>
    <w:semiHidden/>
    <w:rsid w:val="00BC17DE"/>
    <w:rPr>
      <w:rFonts w:ascii="Times New Roman" w:eastAsia="宋体" w:hAnsi="Times New Roman" w:cs="Times New Roman"/>
      <w:sz w:val="16"/>
      <w:szCs w:val="16"/>
      <w:lang w:val="en-GB"/>
    </w:rPr>
  </w:style>
  <w:style w:type="paragraph" w:styleId="aa">
    <w:name w:val="Document Map"/>
    <w:basedOn w:val="a"/>
    <w:link w:val="Char5"/>
    <w:semiHidden/>
    <w:rsid w:val="00BC17DE"/>
    <w:pPr>
      <w:shd w:val="clear" w:color="auto" w:fill="000080"/>
    </w:pPr>
    <w:rPr>
      <w:lang/>
    </w:rPr>
  </w:style>
  <w:style w:type="character" w:customStyle="1" w:styleId="Char5">
    <w:name w:val="文档结构图 Char"/>
    <w:link w:val="aa"/>
    <w:semiHidden/>
    <w:rsid w:val="00BC17DE"/>
    <w:rPr>
      <w:rFonts w:ascii="Times New Roman" w:eastAsia="宋体" w:hAnsi="Times New Roman" w:cs="Times New Roman"/>
      <w:sz w:val="24"/>
      <w:szCs w:val="20"/>
      <w:shd w:val="clear" w:color="auto" w:fill="000080"/>
      <w:lang w:val="en-GB"/>
    </w:rPr>
  </w:style>
  <w:style w:type="paragraph" w:styleId="ab">
    <w:name w:val="Body Text Indent"/>
    <w:basedOn w:val="a"/>
    <w:link w:val="Char6"/>
    <w:rsid w:val="00BC17DE"/>
    <w:pPr>
      <w:autoSpaceDE w:val="0"/>
      <w:autoSpaceDN w:val="0"/>
      <w:adjustRightInd w:val="0"/>
      <w:spacing w:line="315" w:lineRule="atLeast"/>
      <w:ind w:left="720"/>
      <w:jc w:val="both"/>
      <w:textAlignment w:val="baseline"/>
    </w:pPr>
    <w:rPr>
      <w:rFonts w:ascii="宋体" w:hAnsi="Tms Rmn"/>
      <w:lang/>
    </w:rPr>
  </w:style>
  <w:style w:type="character" w:customStyle="1" w:styleId="Char6">
    <w:name w:val="正文文本缩进 Char"/>
    <w:link w:val="ab"/>
    <w:rsid w:val="00BC17DE"/>
    <w:rPr>
      <w:rFonts w:ascii="宋体" w:eastAsia="宋体" w:hAnsi="Tms Rmn" w:cs="Times New Roman"/>
      <w:sz w:val="24"/>
      <w:szCs w:val="20"/>
    </w:rPr>
  </w:style>
  <w:style w:type="paragraph" w:styleId="ac">
    <w:name w:val="annotation subject"/>
    <w:basedOn w:val="a8"/>
    <w:next w:val="a8"/>
    <w:link w:val="Char7"/>
    <w:semiHidden/>
    <w:rsid w:val="00BC17DE"/>
    <w:rPr>
      <w:b/>
      <w:bCs/>
      <w:sz w:val="20"/>
    </w:rPr>
  </w:style>
  <w:style w:type="character" w:customStyle="1" w:styleId="Char7">
    <w:name w:val="批注主题 Char"/>
    <w:link w:val="ac"/>
    <w:semiHidden/>
    <w:rsid w:val="00BC17DE"/>
    <w:rPr>
      <w:rFonts w:ascii="Times New Roman" w:eastAsia="宋体" w:hAnsi="Times New Roman" w:cs="Times New Roman"/>
      <w:b/>
      <w:bCs/>
      <w:sz w:val="20"/>
      <w:szCs w:val="20"/>
      <w:lang w:val="en-GB"/>
    </w:rPr>
  </w:style>
  <w:style w:type="character" w:styleId="ad">
    <w:name w:val="Hyperlink"/>
    <w:uiPriority w:val="99"/>
    <w:rsid w:val="00BC17DE"/>
    <w:rPr>
      <w:color w:val="0000FF"/>
      <w:u w:val="single"/>
    </w:rPr>
  </w:style>
  <w:style w:type="paragraph" w:styleId="ae">
    <w:name w:val="Normal (Web)"/>
    <w:basedOn w:val="a"/>
    <w:rsid w:val="00BC17DE"/>
    <w:pPr>
      <w:widowControl w:val="0"/>
      <w:jc w:val="both"/>
    </w:pPr>
    <w:rPr>
      <w:kern w:val="2"/>
      <w:szCs w:val="24"/>
      <w:lang w:val="en-US"/>
    </w:rPr>
  </w:style>
  <w:style w:type="paragraph" w:customStyle="1" w:styleId="xl98">
    <w:name w:val="xl98"/>
    <w:basedOn w:val="a"/>
    <w:rsid w:val="00BC17DE"/>
    <w:pPr>
      <w:spacing w:before="100" w:beforeAutospacing="1" w:after="100" w:afterAutospacing="1"/>
      <w:jc w:val="right"/>
      <w:textAlignment w:val="top"/>
    </w:pPr>
    <w:rPr>
      <w:rFonts w:eastAsia="Arial Unicode MS"/>
      <w:sz w:val="21"/>
      <w:szCs w:val="21"/>
      <w:lang w:val="en-US"/>
    </w:rPr>
  </w:style>
  <w:style w:type="table" w:styleId="af">
    <w:name w:val="Table Grid"/>
    <w:basedOn w:val="a1"/>
    <w:rsid w:val="00BC17D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BC17DE"/>
    <w:pPr>
      <w:spacing w:after="160" w:line="240" w:lineRule="exact"/>
    </w:pPr>
    <w:rPr>
      <w:rFonts w:ascii="Verdana" w:eastAsia="Times New Roman" w:hAnsi="Verdana"/>
      <w:sz w:val="20"/>
      <w:lang w:val="en-US" w:eastAsia="en-US"/>
    </w:rPr>
  </w:style>
  <w:style w:type="character" w:styleId="af0">
    <w:name w:val="page number"/>
    <w:basedOn w:val="a0"/>
    <w:rsid w:val="00BC17DE"/>
  </w:style>
  <w:style w:type="paragraph" w:customStyle="1" w:styleId="Style1">
    <w:name w:val="Style1"/>
    <w:basedOn w:val="1"/>
    <w:rsid w:val="00BC17DE"/>
    <w:pPr>
      <w:keepNext/>
      <w:numPr>
        <w:numId w:val="0"/>
      </w:numPr>
      <w:spacing w:before="240" w:after="60"/>
    </w:pPr>
    <w:rPr>
      <w:kern w:val="32"/>
      <w:lang w:val="en-US"/>
    </w:rPr>
  </w:style>
  <w:style w:type="paragraph" w:customStyle="1" w:styleId="xl31">
    <w:name w:val="xl31"/>
    <w:basedOn w:val="a"/>
    <w:rsid w:val="00BC17DE"/>
    <w:pPr>
      <w:pBdr>
        <w:left w:val="single" w:sz="4" w:space="0" w:color="auto"/>
        <w:right w:val="single" w:sz="4" w:space="0" w:color="auto"/>
      </w:pBdr>
      <w:spacing w:before="100" w:beforeAutospacing="1" w:after="100" w:afterAutospacing="1"/>
      <w:jc w:val="center"/>
      <w:textAlignment w:val="center"/>
    </w:pPr>
    <w:rPr>
      <w:rFonts w:ascii="FZShuSong-Z01" w:eastAsia="FZShuSong-Z01" w:hAnsi="Arial Unicode MS" w:hint="eastAsia"/>
      <w:szCs w:val="24"/>
      <w:lang w:val="en-US" w:eastAsia="en-US"/>
    </w:rPr>
  </w:style>
  <w:style w:type="paragraph" w:customStyle="1" w:styleId="CharChar1CharCharCharCharCharCharCharCharCharCharCharCharCharCharCharChar">
    <w:name w:val="Char Char1 Char Char Char Char Char Char Char Char Char Char Char Char Char Char Char Char"/>
    <w:basedOn w:val="a"/>
    <w:rsid w:val="00BC17DE"/>
    <w:pPr>
      <w:spacing w:after="160" w:line="240" w:lineRule="exact"/>
    </w:pPr>
    <w:rPr>
      <w:rFonts w:ascii="Verdana" w:eastAsia="Times New Roman" w:hAnsi="Verdana"/>
      <w:sz w:val="20"/>
      <w:lang w:val="en-US" w:eastAsia="en-US"/>
    </w:rPr>
  </w:style>
  <w:style w:type="character" w:styleId="af1">
    <w:name w:val="FollowedHyperlink"/>
    <w:rsid w:val="00BC17DE"/>
    <w:rPr>
      <w:color w:val="800080"/>
      <w:u w:val="single"/>
    </w:rPr>
  </w:style>
  <w:style w:type="paragraph" w:styleId="20">
    <w:name w:val="Body Text 2"/>
    <w:basedOn w:val="a"/>
    <w:link w:val="2Char0"/>
    <w:rsid w:val="00BC17DE"/>
    <w:pPr>
      <w:ind w:left="709"/>
      <w:jc w:val="both"/>
    </w:pPr>
    <w:rPr>
      <w:rFonts w:hAnsi="宋体"/>
      <w:szCs w:val="24"/>
      <w:lang/>
    </w:rPr>
  </w:style>
  <w:style w:type="character" w:customStyle="1" w:styleId="2Char0">
    <w:name w:val="正文文本 2 Char"/>
    <w:link w:val="20"/>
    <w:rsid w:val="00BC17DE"/>
    <w:rPr>
      <w:rFonts w:ascii="Times New Roman" w:eastAsia="宋体" w:hAnsi="宋体" w:cs="Times New Roman"/>
      <w:sz w:val="24"/>
      <w:szCs w:val="24"/>
    </w:rPr>
  </w:style>
  <w:style w:type="paragraph" w:customStyle="1" w:styleId="Char8">
    <w:name w:val="Char"/>
    <w:basedOn w:val="a"/>
    <w:rsid w:val="00BC17DE"/>
    <w:pPr>
      <w:spacing w:after="160" w:line="240" w:lineRule="exact"/>
    </w:pPr>
    <w:rPr>
      <w:rFonts w:ascii="Verdana" w:eastAsia="Times New Roman" w:hAnsi="Verdana"/>
      <w:sz w:val="20"/>
      <w:lang w:val="en-US" w:eastAsia="en-US"/>
    </w:rPr>
  </w:style>
  <w:style w:type="paragraph" w:customStyle="1" w:styleId="CharChar1CharCharCharChar1">
    <w:name w:val="Char Char1 Char Char Char Char1"/>
    <w:basedOn w:val="a"/>
    <w:rsid w:val="00BC17DE"/>
    <w:pPr>
      <w:spacing w:after="160" w:line="240" w:lineRule="exact"/>
    </w:pPr>
    <w:rPr>
      <w:rFonts w:ascii="Verdana" w:eastAsia="Times New Roman" w:hAnsi="Verdana"/>
      <w:sz w:val="20"/>
      <w:lang w:val="en-US" w:eastAsia="en-US"/>
    </w:rPr>
  </w:style>
  <w:style w:type="paragraph" w:customStyle="1" w:styleId="af2">
    <w:name w:val=".."/>
    <w:basedOn w:val="a"/>
    <w:next w:val="a"/>
    <w:uiPriority w:val="99"/>
    <w:rsid w:val="00BC17DE"/>
    <w:pPr>
      <w:autoSpaceDE w:val="0"/>
      <w:autoSpaceDN w:val="0"/>
      <w:adjustRightInd w:val="0"/>
    </w:pPr>
    <w:rPr>
      <w:rFonts w:ascii="仿宋_GB2312" w:eastAsia="仿宋_GB2312"/>
      <w:szCs w:val="24"/>
      <w:lang w:val="en-US"/>
    </w:rPr>
  </w:style>
  <w:style w:type="paragraph" w:customStyle="1" w:styleId="CharCharCharCharCharChar">
    <w:name w:val="Char Char Char Char Char Char"/>
    <w:basedOn w:val="a"/>
    <w:rsid w:val="00BC17DE"/>
    <w:pPr>
      <w:spacing w:after="160" w:line="240" w:lineRule="exact"/>
    </w:pPr>
    <w:rPr>
      <w:rFonts w:ascii="Verdana" w:eastAsia="Times New Roman" w:hAnsi="Verdana"/>
      <w:sz w:val="20"/>
      <w:lang w:val="en-US" w:eastAsia="en-US"/>
    </w:rPr>
  </w:style>
  <w:style w:type="paragraph" w:customStyle="1" w:styleId="ParaCharCharCharCharCharChar">
    <w:name w:val="默认段落字体 Para Char Char Char Char Char Char"/>
    <w:basedOn w:val="a"/>
    <w:autoRedefine/>
    <w:rsid w:val="00BC17DE"/>
    <w:pPr>
      <w:widowControl w:val="0"/>
      <w:tabs>
        <w:tab w:val="num" w:pos="840"/>
      </w:tabs>
      <w:ind w:left="840" w:hanging="360"/>
      <w:jc w:val="both"/>
    </w:pPr>
    <w:rPr>
      <w:kern w:val="2"/>
      <w:szCs w:val="24"/>
      <w:lang w:val="en-US"/>
    </w:rPr>
  </w:style>
  <w:style w:type="paragraph" w:customStyle="1" w:styleId="CharChar1">
    <w:name w:val="Char Char1"/>
    <w:basedOn w:val="a"/>
    <w:rsid w:val="00BC17DE"/>
    <w:pPr>
      <w:spacing w:after="160" w:line="240" w:lineRule="exact"/>
    </w:pPr>
    <w:rPr>
      <w:rFonts w:ascii="Verdana" w:eastAsia="Times New Roman" w:hAnsi="Verdana"/>
      <w:sz w:val="20"/>
      <w:lang w:val="en-US" w:eastAsia="en-US"/>
    </w:rPr>
  </w:style>
  <w:style w:type="paragraph" w:styleId="21">
    <w:name w:val="Body Text Indent 2"/>
    <w:basedOn w:val="a"/>
    <w:link w:val="2Char1"/>
    <w:rsid w:val="00BC17DE"/>
    <w:pPr>
      <w:spacing w:after="120" w:line="480" w:lineRule="auto"/>
      <w:ind w:leftChars="200" w:left="420"/>
    </w:pPr>
    <w:rPr>
      <w:lang/>
    </w:rPr>
  </w:style>
  <w:style w:type="character" w:customStyle="1" w:styleId="2Char1">
    <w:name w:val="正文文本缩进 2 Char"/>
    <w:link w:val="21"/>
    <w:rsid w:val="00BC17DE"/>
    <w:rPr>
      <w:rFonts w:ascii="Times New Roman" w:eastAsia="宋体" w:hAnsi="Times New Roman" w:cs="Times New Roman"/>
      <w:sz w:val="24"/>
      <w:szCs w:val="20"/>
      <w:lang w:val="en-GB"/>
    </w:rPr>
  </w:style>
  <w:style w:type="paragraph" w:customStyle="1" w:styleId="FormLabel">
    <w:name w:val="Form Label"/>
    <w:basedOn w:val="a"/>
    <w:rsid w:val="00BC17DE"/>
    <w:pPr>
      <w:spacing w:line="280" w:lineRule="exact"/>
    </w:pPr>
    <w:rPr>
      <w:sz w:val="18"/>
      <w:lang w:eastAsia="en-US"/>
    </w:rPr>
  </w:style>
  <w:style w:type="paragraph" w:styleId="af3">
    <w:name w:val="Body Text"/>
    <w:basedOn w:val="a"/>
    <w:link w:val="Char9"/>
    <w:rsid w:val="00BC17DE"/>
    <w:pPr>
      <w:spacing w:after="120"/>
    </w:pPr>
    <w:rPr>
      <w:lang/>
    </w:rPr>
  </w:style>
  <w:style w:type="character" w:customStyle="1" w:styleId="Char9">
    <w:name w:val="正文文本 Char"/>
    <w:link w:val="af3"/>
    <w:rsid w:val="00BC17DE"/>
    <w:rPr>
      <w:rFonts w:ascii="Times New Roman" w:eastAsia="宋体" w:hAnsi="Times New Roman" w:cs="Times New Roman"/>
      <w:sz w:val="24"/>
      <w:szCs w:val="20"/>
      <w:lang w:val="en-GB"/>
    </w:rPr>
  </w:style>
  <w:style w:type="paragraph" w:customStyle="1" w:styleId="Default">
    <w:name w:val="Default"/>
    <w:rsid w:val="00BC17DE"/>
    <w:pPr>
      <w:widowControl w:val="0"/>
      <w:autoSpaceDE w:val="0"/>
      <w:autoSpaceDN w:val="0"/>
      <w:adjustRightInd w:val="0"/>
    </w:pPr>
    <w:rPr>
      <w:rFonts w:ascii="宋体" w:hAnsi="Times New Roman" w:cs="宋体"/>
      <w:color w:val="000000"/>
      <w:sz w:val="24"/>
      <w:szCs w:val="24"/>
    </w:rPr>
  </w:style>
  <w:style w:type="table" w:customStyle="1" w:styleId="TableGrid1">
    <w:name w:val="Table Grid1"/>
    <w:basedOn w:val="a1"/>
    <w:next w:val="af"/>
    <w:rsid w:val="00BC17D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
    <w:name w:val="xl34"/>
    <w:basedOn w:val="a"/>
    <w:rsid w:val="00BC17DE"/>
    <w:pPr>
      <w:spacing w:before="100" w:beforeAutospacing="1" w:after="100" w:afterAutospacing="1"/>
      <w:jc w:val="center"/>
    </w:pPr>
    <w:rPr>
      <w:rFonts w:ascii="黑体" w:eastAsia="黑体" w:hAnsi="宋体" w:hint="eastAsia"/>
      <w:szCs w:val="24"/>
      <w:lang w:val="en-US"/>
    </w:rPr>
  </w:style>
  <w:style w:type="paragraph" w:styleId="af4">
    <w:name w:val="Revision"/>
    <w:hidden/>
    <w:uiPriority w:val="99"/>
    <w:semiHidden/>
    <w:rsid w:val="00BC17DE"/>
    <w:rPr>
      <w:rFonts w:ascii="Times New Roman" w:hAnsi="Times New Roman"/>
      <w:sz w:val="24"/>
      <w:lang w:val="en-GB"/>
    </w:rPr>
  </w:style>
  <w:style w:type="character" w:styleId="af5">
    <w:name w:val="footnote reference"/>
    <w:rsid w:val="00BC17DE"/>
    <w:rPr>
      <w:vertAlign w:val="superscript"/>
    </w:rPr>
  </w:style>
  <w:style w:type="paragraph" w:styleId="af6">
    <w:name w:val="footnote text"/>
    <w:basedOn w:val="a"/>
    <w:link w:val="Chara"/>
    <w:rsid w:val="00BC17DE"/>
    <w:pPr>
      <w:widowControl w:val="0"/>
      <w:snapToGrid w:val="0"/>
    </w:pPr>
    <w:rPr>
      <w:kern w:val="2"/>
      <w:sz w:val="18"/>
      <w:lang/>
    </w:rPr>
  </w:style>
  <w:style w:type="character" w:customStyle="1" w:styleId="Chara">
    <w:name w:val="脚注文本 Char"/>
    <w:link w:val="af6"/>
    <w:rsid w:val="00BC17DE"/>
    <w:rPr>
      <w:rFonts w:ascii="Times New Roman" w:eastAsia="宋体" w:hAnsi="Times New Roman" w:cs="Times New Roman"/>
      <w:kern w:val="2"/>
      <w:sz w:val="18"/>
      <w:szCs w:val="20"/>
    </w:rPr>
  </w:style>
  <w:style w:type="paragraph" w:customStyle="1" w:styleId="10">
    <w:name w:val="1"/>
    <w:basedOn w:val="a"/>
    <w:rsid w:val="00BC17DE"/>
    <w:pPr>
      <w:widowControl w:val="0"/>
      <w:autoSpaceDE w:val="0"/>
      <w:autoSpaceDN w:val="0"/>
      <w:adjustRightInd w:val="0"/>
      <w:textAlignment w:val="baseline"/>
    </w:pPr>
    <w:rPr>
      <w:kern w:val="2"/>
      <w:sz w:val="21"/>
      <w:lang w:val="en-US"/>
    </w:rPr>
  </w:style>
  <w:style w:type="paragraph" w:styleId="af7">
    <w:name w:val="List Paragraph"/>
    <w:basedOn w:val="a"/>
    <w:uiPriority w:val="34"/>
    <w:qFormat/>
    <w:rsid w:val="00BC17DE"/>
    <w:pPr>
      <w:ind w:left="720"/>
      <w:contextualSpacing/>
    </w:pPr>
  </w:style>
  <w:style w:type="paragraph" w:customStyle="1" w:styleId="xl30">
    <w:name w:val="xl30"/>
    <w:basedOn w:val="a"/>
    <w:rsid w:val="0090725F"/>
    <w:pPr>
      <w:spacing w:before="100" w:beforeAutospacing="1" w:after="100" w:afterAutospacing="1"/>
      <w:jc w:val="right"/>
    </w:pPr>
    <w:rPr>
      <w:rFonts w:eastAsia="Arial Unicode MS"/>
      <w:sz w:val="21"/>
      <w:lang w:val="en-US"/>
    </w:rPr>
  </w:style>
  <w:style w:type="paragraph" w:customStyle="1" w:styleId="af8">
    <w:name w:val="..(..)"/>
    <w:basedOn w:val="Default"/>
    <w:next w:val="Default"/>
    <w:uiPriority w:val="99"/>
    <w:rsid w:val="006218B4"/>
    <w:pPr>
      <w:widowControl/>
    </w:pPr>
    <w:rPr>
      <w:rFonts w:hAnsi="Calibri" w:cs="Times New Roman"/>
      <w:color w:val="auto"/>
    </w:rPr>
  </w:style>
  <w:style w:type="character" w:styleId="af9">
    <w:name w:val="Strong"/>
    <w:uiPriority w:val="22"/>
    <w:qFormat/>
    <w:rsid w:val="008E66C4"/>
    <w:rPr>
      <w:b/>
      <w:bCs/>
    </w:rPr>
  </w:style>
  <w:style w:type="paragraph" w:styleId="TOC">
    <w:name w:val="TOC Heading"/>
    <w:basedOn w:val="1"/>
    <w:next w:val="a"/>
    <w:uiPriority w:val="39"/>
    <w:semiHidden/>
    <w:unhideWhenUsed/>
    <w:qFormat/>
    <w:rsid w:val="0008144E"/>
    <w:pPr>
      <w:keepNext/>
      <w:keepLines/>
      <w:numPr>
        <w:numId w:val="0"/>
      </w:numPr>
      <w:spacing w:before="480" w:line="276" w:lineRule="auto"/>
      <w:outlineLvl w:val="9"/>
    </w:pPr>
    <w:rPr>
      <w:rFonts w:asciiTheme="majorHAnsi" w:eastAsiaTheme="majorEastAsia" w:hAnsiTheme="majorHAnsi" w:cstheme="majorBidi"/>
      <w:b/>
      <w:bCs/>
      <w:color w:val="2E74B5" w:themeColor="accent1" w:themeShade="BF"/>
      <w:sz w:val="28"/>
      <w:szCs w:val="28"/>
      <w:lang w:val="en-US" w:eastAsia="zh-CN"/>
    </w:rPr>
  </w:style>
  <w:style w:type="paragraph" w:styleId="22">
    <w:name w:val="toc 2"/>
    <w:basedOn w:val="a"/>
    <w:next w:val="a"/>
    <w:autoRedefine/>
    <w:uiPriority w:val="39"/>
    <w:semiHidden/>
    <w:unhideWhenUsed/>
    <w:qFormat/>
    <w:rsid w:val="0008144E"/>
    <w:pPr>
      <w:spacing w:after="100" w:line="276" w:lineRule="auto"/>
      <w:ind w:left="220"/>
    </w:pPr>
    <w:rPr>
      <w:rFonts w:asciiTheme="minorHAnsi" w:eastAsiaTheme="minorEastAsia" w:hAnsiTheme="minorHAnsi" w:cstheme="minorBidi"/>
      <w:sz w:val="22"/>
      <w:szCs w:val="22"/>
      <w:lang w:val="en-US"/>
    </w:rPr>
  </w:style>
  <w:style w:type="paragraph" w:styleId="11">
    <w:name w:val="toc 1"/>
    <w:basedOn w:val="a"/>
    <w:next w:val="a"/>
    <w:autoRedefine/>
    <w:uiPriority w:val="39"/>
    <w:unhideWhenUsed/>
    <w:qFormat/>
    <w:rsid w:val="0008144E"/>
    <w:pPr>
      <w:spacing w:after="100" w:line="276" w:lineRule="auto"/>
    </w:pPr>
    <w:rPr>
      <w:rFonts w:asciiTheme="minorHAnsi" w:eastAsiaTheme="minorEastAsia" w:hAnsiTheme="minorHAnsi" w:cstheme="minorBidi"/>
      <w:sz w:val="22"/>
      <w:szCs w:val="22"/>
      <w:lang w:val="en-US"/>
    </w:rPr>
  </w:style>
  <w:style w:type="paragraph" w:styleId="30">
    <w:name w:val="toc 3"/>
    <w:basedOn w:val="a"/>
    <w:next w:val="a"/>
    <w:autoRedefine/>
    <w:uiPriority w:val="39"/>
    <w:semiHidden/>
    <w:unhideWhenUsed/>
    <w:qFormat/>
    <w:rsid w:val="0008144E"/>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0037017">
      <w:bodyDiv w:val="1"/>
      <w:marLeft w:val="0"/>
      <w:marRight w:val="0"/>
      <w:marTop w:val="0"/>
      <w:marBottom w:val="0"/>
      <w:divBdr>
        <w:top w:val="none" w:sz="0" w:space="0" w:color="auto"/>
        <w:left w:val="none" w:sz="0" w:space="0" w:color="auto"/>
        <w:bottom w:val="none" w:sz="0" w:space="0" w:color="auto"/>
        <w:right w:val="none" w:sz="0" w:space="0" w:color="auto"/>
      </w:divBdr>
    </w:div>
    <w:div w:id="13070466">
      <w:bodyDiv w:val="1"/>
      <w:marLeft w:val="0"/>
      <w:marRight w:val="0"/>
      <w:marTop w:val="0"/>
      <w:marBottom w:val="0"/>
      <w:divBdr>
        <w:top w:val="none" w:sz="0" w:space="0" w:color="auto"/>
        <w:left w:val="none" w:sz="0" w:space="0" w:color="auto"/>
        <w:bottom w:val="none" w:sz="0" w:space="0" w:color="auto"/>
        <w:right w:val="none" w:sz="0" w:space="0" w:color="auto"/>
      </w:divBdr>
    </w:div>
    <w:div w:id="32003329">
      <w:bodyDiv w:val="1"/>
      <w:marLeft w:val="0"/>
      <w:marRight w:val="0"/>
      <w:marTop w:val="0"/>
      <w:marBottom w:val="0"/>
      <w:divBdr>
        <w:top w:val="none" w:sz="0" w:space="0" w:color="auto"/>
        <w:left w:val="none" w:sz="0" w:space="0" w:color="auto"/>
        <w:bottom w:val="none" w:sz="0" w:space="0" w:color="auto"/>
        <w:right w:val="none" w:sz="0" w:space="0" w:color="auto"/>
      </w:divBdr>
    </w:div>
    <w:div w:id="32384516">
      <w:bodyDiv w:val="1"/>
      <w:marLeft w:val="0"/>
      <w:marRight w:val="0"/>
      <w:marTop w:val="0"/>
      <w:marBottom w:val="0"/>
      <w:divBdr>
        <w:top w:val="none" w:sz="0" w:space="0" w:color="auto"/>
        <w:left w:val="none" w:sz="0" w:space="0" w:color="auto"/>
        <w:bottom w:val="none" w:sz="0" w:space="0" w:color="auto"/>
        <w:right w:val="none" w:sz="0" w:space="0" w:color="auto"/>
      </w:divBdr>
    </w:div>
    <w:div w:id="34697453">
      <w:bodyDiv w:val="1"/>
      <w:marLeft w:val="0"/>
      <w:marRight w:val="0"/>
      <w:marTop w:val="0"/>
      <w:marBottom w:val="0"/>
      <w:divBdr>
        <w:top w:val="none" w:sz="0" w:space="0" w:color="auto"/>
        <w:left w:val="none" w:sz="0" w:space="0" w:color="auto"/>
        <w:bottom w:val="none" w:sz="0" w:space="0" w:color="auto"/>
        <w:right w:val="none" w:sz="0" w:space="0" w:color="auto"/>
      </w:divBdr>
    </w:div>
    <w:div w:id="37517563">
      <w:bodyDiv w:val="1"/>
      <w:marLeft w:val="0"/>
      <w:marRight w:val="0"/>
      <w:marTop w:val="0"/>
      <w:marBottom w:val="0"/>
      <w:divBdr>
        <w:top w:val="none" w:sz="0" w:space="0" w:color="auto"/>
        <w:left w:val="none" w:sz="0" w:space="0" w:color="auto"/>
        <w:bottom w:val="none" w:sz="0" w:space="0" w:color="auto"/>
        <w:right w:val="none" w:sz="0" w:space="0" w:color="auto"/>
      </w:divBdr>
    </w:div>
    <w:div w:id="41174274">
      <w:bodyDiv w:val="1"/>
      <w:marLeft w:val="0"/>
      <w:marRight w:val="0"/>
      <w:marTop w:val="0"/>
      <w:marBottom w:val="0"/>
      <w:divBdr>
        <w:top w:val="none" w:sz="0" w:space="0" w:color="auto"/>
        <w:left w:val="none" w:sz="0" w:space="0" w:color="auto"/>
        <w:bottom w:val="none" w:sz="0" w:space="0" w:color="auto"/>
        <w:right w:val="none" w:sz="0" w:space="0" w:color="auto"/>
      </w:divBdr>
    </w:div>
    <w:div w:id="48115825">
      <w:bodyDiv w:val="1"/>
      <w:marLeft w:val="0"/>
      <w:marRight w:val="0"/>
      <w:marTop w:val="0"/>
      <w:marBottom w:val="0"/>
      <w:divBdr>
        <w:top w:val="none" w:sz="0" w:space="0" w:color="auto"/>
        <w:left w:val="none" w:sz="0" w:space="0" w:color="auto"/>
        <w:bottom w:val="none" w:sz="0" w:space="0" w:color="auto"/>
        <w:right w:val="none" w:sz="0" w:space="0" w:color="auto"/>
      </w:divBdr>
    </w:div>
    <w:div w:id="53236351">
      <w:bodyDiv w:val="1"/>
      <w:marLeft w:val="0"/>
      <w:marRight w:val="0"/>
      <w:marTop w:val="0"/>
      <w:marBottom w:val="0"/>
      <w:divBdr>
        <w:top w:val="none" w:sz="0" w:space="0" w:color="auto"/>
        <w:left w:val="none" w:sz="0" w:space="0" w:color="auto"/>
        <w:bottom w:val="none" w:sz="0" w:space="0" w:color="auto"/>
        <w:right w:val="none" w:sz="0" w:space="0" w:color="auto"/>
      </w:divBdr>
    </w:div>
    <w:div w:id="62339428">
      <w:bodyDiv w:val="1"/>
      <w:marLeft w:val="0"/>
      <w:marRight w:val="0"/>
      <w:marTop w:val="0"/>
      <w:marBottom w:val="0"/>
      <w:divBdr>
        <w:top w:val="none" w:sz="0" w:space="0" w:color="auto"/>
        <w:left w:val="none" w:sz="0" w:space="0" w:color="auto"/>
        <w:bottom w:val="none" w:sz="0" w:space="0" w:color="auto"/>
        <w:right w:val="none" w:sz="0" w:space="0" w:color="auto"/>
      </w:divBdr>
    </w:div>
    <w:div w:id="66420587">
      <w:bodyDiv w:val="1"/>
      <w:marLeft w:val="0"/>
      <w:marRight w:val="0"/>
      <w:marTop w:val="0"/>
      <w:marBottom w:val="0"/>
      <w:divBdr>
        <w:top w:val="none" w:sz="0" w:space="0" w:color="auto"/>
        <w:left w:val="none" w:sz="0" w:space="0" w:color="auto"/>
        <w:bottom w:val="none" w:sz="0" w:space="0" w:color="auto"/>
        <w:right w:val="none" w:sz="0" w:space="0" w:color="auto"/>
      </w:divBdr>
    </w:div>
    <w:div w:id="77681969">
      <w:bodyDiv w:val="1"/>
      <w:marLeft w:val="0"/>
      <w:marRight w:val="0"/>
      <w:marTop w:val="0"/>
      <w:marBottom w:val="0"/>
      <w:divBdr>
        <w:top w:val="none" w:sz="0" w:space="0" w:color="auto"/>
        <w:left w:val="none" w:sz="0" w:space="0" w:color="auto"/>
        <w:bottom w:val="none" w:sz="0" w:space="0" w:color="auto"/>
        <w:right w:val="none" w:sz="0" w:space="0" w:color="auto"/>
      </w:divBdr>
    </w:div>
    <w:div w:id="83917897">
      <w:bodyDiv w:val="1"/>
      <w:marLeft w:val="0"/>
      <w:marRight w:val="0"/>
      <w:marTop w:val="0"/>
      <w:marBottom w:val="0"/>
      <w:divBdr>
        <w:top w:val="none" w:sz="0" w:space="0" w:color="auto"/>
        <w:left w:val="none" w:sz="0" w:space="0" w:color="auto"/>
        <w:bottom w:val="none" w:sz="0" w:space="0" w:color="auto"/>
        <w:right w:val="none" w:sz="0" w:space="0" w:color="auto"/>
      </w:divBdr>
    </w:div>
    <w:div w:id="99187922">
      <w:bodyDiv w:val="1"/>
      <w:marLeft w:val="0"/>
      <w:marRight w:val="0"/>
      <w:marTop w:val="0"/>
      <w:marBottom w:val="0"/>
      <w:divBdr>
        <w:top w:val="none" w:sz="0" w:space="0" w:color="auto"/>
        <w:left w:val="none" w:sz="0" w:space="0" w:color="auto"/>
        <w:bottom w:val="none" w:sz="0" w:space="0" w:color="auto"/>
        <w:right w:val="none" w:sz="0" w:space="0" w:color="auto"/>
      </w:divBdr>
    </w:div>
    <w:div w:id="101150791">
      <w:bodyDiv w:val="1"/>
      <w:marLeft w:val="0"/>
      <w:marRight w:val="0"/>
      <w:marTop w:val="0"/>
      <w:marBottom w:val="0"/>
      <w:divBdr>
        <w:top w:val="none" w:sz="0" w:space="0" w:color="auto"/>
        <w:left w:val="none" w:sz="0" w:space="0" w:color="auto"/>
        <w:bottom w:val="none" w:sz="0" w:space="0" w:color="auto"/>
        <w:right w:val="none" w:sz="0" w:space="0" w:color="auto"/>
      </w:divBdr>
    </w:div>
    <w:div w:id="106852885">
      <w:bodyDiv w:val="1"/>
      <w:marLeft w:val="0"/>
      <w:marRight w:val="0"/>
      <w:marTop w:val="0"/>
      <w:marBottom w:val="0"/>
      <w:divBdr>
        <w:top w:val="none" w:sz="0" w:space="0" w:color="auto"/>
        <w:left w:val="none" w:sz="0" w:space="0" w:color="auto"/>
        <w:bottom w:val="none" w:sz="0" w:space="0" w:color="auto"/>
        <w:right w:val="none" w:sz="0" w:space="0" w:color="auto"/>
      </w:divBdr>
    </w:div>
    <w:div w:id="110513006">
      <w:bodyDiv w:val="1"/>
      <w:marLeft w:val="0"/>
      <w:marRight w:val="0"/>
      <w:marTop w:val="0"/>
      <w:marBottom w:val="0"/>
      <w:divBdr>
        <w:top w:val="none" w:sz="0" w:space="0" w:color="auto"/>
        <w:left w:val="none" w:sz="0" w:space="0" w:color="auto"/>
        <w:bottom w:val="none" w:sz="0" w:space="0" w:color="auto"/>
        <w:right w:val="none" w:sz="0" w:space="0" w:color="auto"/>
      </w:divBdr>
    </w:div>
    <w:div w:id="116485640">
      <w:bodyDiv w:val="1"/>
      <w:marLeft w:val="0"/>
      <w:marRight w:val="0"/>
      <w:marTop w:val="0"/>
      <w:marBottom w:val="0"/>
      <w:divBdr>
        <w:top w:val="none" w:sz="0" w:space="0" w:color="auto"/>
        <w:left w:val="none" w:sz="0" w:space="0" w:color="auto"/>
        <w:bottom w:val="none" w:sz="0" w:space="0" w:color="auto"/>
        <w:right w:val="none" w:sz="0" w:space="0" w:color="auto"/>
      </w:divBdr>
    </w:div>
    <w:div w:id="119688854">
      <w:bodyDiv w:val="1"/>
      <w:marLeft w:val="0"/>
      <w:marRight w:val="0"/>
      <w:marTop w:val="0"/>
      <w:marBottom w:val="0"/>
      <w:divBdr>
        <w:top w:val="none" w:sz="0" w:space="0" w:color="auto"/>
        <w:left w:val="none" w:sz="0" w:space="0" w:color="auto"/>
        <w:bottom w:val="none" w:sz="0" w:space="0" w:color="auto"/>
        <w:right w:val="none" w:sz="0" w:space="0" w:color="auto"/>
      </w:divBdr>
    </w:div>
    <w:div w:id="122888976">
      <w:bodyDiv w:val="1"/>
      <w:marLeft w:val="0"/>
      <w:marRight w:val="0"/>
      <w:marTop w:val="0"/>
      <w:marBottom w:val="0"/>
      <w:divBdr>
        <w:top w:val="none" w:sz="0" w:space="0" w:color="auto"/>
        <w:left w:val="none" w:sz="0" w:space="0" w:color="auto"/>
        <w:bottom w:val="none" w:sz="0" w:space="0" w:color="auto"/>
        <w:right w:val="none" w:sz="0" w:space="0" w:color="auto"/>
      </w:divBdr>
    </w:div>
    <w:div w:id="132068964">
      <w:bodyDiv w:val="1"/>
      <w:marLeft w:val="0"/>
      <w:marRight w:val="0"/>
      <w:marTop w:val="0"/>
      <w:marBottom w:val="0"/>
      <w:divBdr>
        <w:top w:val="none" w:sz="0" w:space="0" w:color="auto"/>
        <w:left w:val="none" w:sz="0" w:space="0" w:color="auto"/>
        <w:bottom w:val="none" w:sz="0" w:space="0" w:color="auto"/>
        <w:right w:val="none" w:sz="0" w:space="0" w:color="auto"/>
      </w:divBdr>
    </w:div>
    <w:div w:id="137692031">
      <w:bodyDiv w:val="1"/>
      <w:marLeft w:val="0"/>
      <w:marRight w:val="0"/>
      <w:marTop w:val="0"/>
      <w:marBottom w:val="0"/>
      <w:divBdr>
        <w:top w:val="none" w:sz="0" w:space="0" w:color="auto"/>
        <w:left w:val="none" w:sz="0" w:space="0" w:color="auto"/>
        <w:bottom w:val="none" w:sz="0" w:space="0" w:color="auto"/>
        <w:right w:val="none" w:sz="0" w:space="0" w:color="auto"/>
      </w:divBdr>
    </w:div>
    <w:div w:id="145636344">
      <w:bodyDiv w:val="1"/>
      <w:marLeft w:val="0"/>
      <w:marRight w:val="0"/>
      <w:marTop w:val="0"/>
      <w:marBottom w:val="0"/>
      <w:divBdr>
        <w:top w:val="none" w:sz="0" w:space="0" w:color="auto"/>
        <w:left w:val="none" w:sz="0" w:space="0" w:color="auto"/>
        <w:bottom w:val="none" w:sz="0" w:space="0" w:color="auto"/>
        <w:right w:val="none" w:sz="0" w:space="0" w:color="auto"/>
      </w:divBdr>
    </w:div>
    <w:div w:id="147478186">
      <w:bodyDiv w:val="1"/>
      <w:marLeft w:val="0"/>
      <w:marRight w:val="0"/>
      <w:marTop w:val="0"/>
      <w:marBottom w:val="0"/>
      <w:divBdr>
        <w:top w:val="none" w:sz="0" w:space="0" w:color="auto"/>
        <w:left w:val="none" w:sz="0" w:space="0" w:color="auto"/>
        <w:bottom w:val="none" w:sz="0" w:space="0" w:color="auto"/>
        <w:right w:val="none" w:sz="0" w:space="0" w:color="auto"/>
      </w:divBdr>
    </w:div>
    <w:div w:id="149100311">
      <w:bodyDiv w:val="1"/>
      <w:marLeft w:val="0"/>
      <w:marRight w:val="0"/>
      <w:marTop w:val="0"/>
      <w:marBottom w:val="0"/>
      <w:divBdr>
        <w:top w:val="none" w:sz="0" w:space="0" w:color="auto"/>
        <w:left w:val="none" w:sz="0" w:space="0" w:color="auto"/>
        <w:bottom w:val="none" w:sz="0" w:space="0" w:color="auto"/>
        <w:right w:val="none" w:sz="0" w:space="0" w:color="auto"/>
      </w:divBdr>
    </w:div>
    <w:div w:id="171187096">
      <w:bodyDiv w:val="1"/>
      <w:marLeft w:val="0"/>
      <w:marRight w:val="0"/>
      <w:marTop w:val="0"/>
      <w:marBottom w:val="0"/>
      <w:divBdr>
        <w:top w:val="none" w:sz="0" w:space="0" w:color="auto"/>
        <w:left w:val="none" w:sz="0" w:space="0" w:color="auto"/>
        <w:bottom w:val="none" w:sz="0" w:space="0" w:color="auto"/>
        <w:right w:val="none" w:sz="0" w:space="0" w:color="auto"/>
      </w:divBdr>
    </w:div>
    <w:div w:id="171574824">
      <w:bodyDiv w:val="1"/>
      <w:marLeft w:val="0"/>
      <w:marRight w:val="0"/>
      <w:marTop w:val="0"/>
      <w:marBottom w:val="0"/>
      <w:divBdr>
        <w:top w:val="none" w:sz="0" w:space="0" w:color="auto"/>
        <w:left w:val="none" w:sz="0" w:space="0" w:color="auto"/>
        <w:bottom w:val="none" w:sz="0" w:space="0" w:color="auto"/>
        <w:right w:val="none" w:sz="0" w:space="0" w:color="auto"/>
      </w:divBdr>
    </w:div>
    <w:div w:id="178205987">
      <w:bodyDiv w:val="1"/>
      <w:marLeft w:val="0"/>
      <w:marRight w:val="0"/>
      <w:marTop w:val="0"/>
      <w:marBottom w:val="0"/>
      <w:divBdr>
        <w:top w:val="none" w:sz="0" w:space="0" w:color="auto"/>
        <w:left w:val="none" w:sz="0" w:space="0" w:color="auto"/>
        <w:bottom w:val="none" w:sz="0" w:space="0" w:color="auto"/>
        <w:right w:val="none" w:sz="0" w:space="0" w:color="auto"/>
      </w:divBdr>
    </w:div>
    <w:div w:id="184757079">
      <w:bodyDiv w:val="1"/>
      <w:marLeft w:val="0"/>
      <w:marRight w:val="0"/>
      <w:marTop w:val="0"/>
      <w:marBottom w:val="0"/>
      <w:divBdr>
        <w:top w:val="none" w:sz="0" w:space="0" w:color="auto"/>
        <w:left w:val="none" w:sz="0" w:space="0" w:color="auto"/>
        <w:bottom w:val="none" w:sz="0" w:space="0" w:color="auto"/>
        <w:right w:val="none" w:sz="0" w:space="0" w:color="auto"/>
      </w:divBdr>
    </w:div>
    <w:div w:id="184945053">
      <w:bodyDiv w:val="1"/>
      <w:marLeft w:val="0"/>
      <w:marRight w:val="0"/>
      <w:marTop w:val="0"/>
      <w:marBottom w:val="0"/>
      <w:divBdr>
        <w:top w:val="none" w:sz="0" w:space="0" w:color="auto"/>
        <w:left w:val="none" w:sz="0" w:space="0" w:color="auto"/>
        <w:bottom w:val="none" w:sz="0" w:space="0" w:color="auto"/>
        <w:right w:val="none" w:sz="0" w:space="0" w:color="auto"/>
      </w:divBdr>
    </w:div>
    <w:div w:id="201136555">
      <w:bodyDiv w:val="1"/>
      <w:marLeft w:val="0"/>
      <w:marRight w:val="0"/>
      <w:marTop w:val="0"/>
      <w:marBottom w:val="0"/>
      <w:divBdr>
        <w:top w:val="none" w:sz="0" w:space="0" w:color="auto"/>
        <w:left w:val="none" w:sz="0" w:space="0" w:color="auto"/>
        <w:bottom w:val="none" w:sz="0" w:space="0" w:color="auto"/>
        <w:right w:val="none" w:sz="0" w:space="0" w:color="auto"/>
      </w:divBdr>
    </w:div>
    <w:div w:id="207685873">
      <w:bodyDiv w:val="1"/>
      <w:marLeft w:val="0"/>
      <w:marRight w:val="0"/>
      <w:marTop w:val="0"/>
      <w:marBottom w:val="0"/>
      <w:divBdr>
        <w:top w:val="none" w:sz="0" w:space="0" w:color="auto"/>
        <w:left w:val="none" w:sz="0" w:space="0" w:color="auto"/>
        <w:bottom w:val="none" w:sz="0" w:space="0" w:color="auto"/>
        <w:right w:val="none" w:sz="0" w:space="0" w:color="auto"/>
      </w:divBdr>
    </w:div>
    <w:div w:id="208225706">
      <w:bodyDiv w:val="1"/>
      <w:marLeft w:val="0"/>
      <w:marRight w:val="0"/>
      <w:marTop w:val="0"/>
      <w:marBottom w:val="0"/>
      <w:divBdr>
        <w:top w:val="none" w:sz="0" w:space="0" w:color="auto"/>
        <w:left w:val="none" w:sz="0" w:space="0" w:color="auto"/>
        <w:bottom w:val="none" w:sz="0" w:space="0" w:color="auto"/>
        <w:right w:val="none" w:sz="0" w:space="0" w:color="auto"/>
      </w:divBdr>
    </w:div>
    <w:div w:id="210114519">
      <w:bodyDiv w:val="1"/>
      <w:marLeft w:val="0"/>
      <w:marRight w:val="0"/>
      <w:marTop w:val="0"/>
      <w:marBottom w:val="0"/>
      <w:divBdr>
        <w:top w:val="none" w:sz="0" w:space="0" w:color="auto"/>
        <w:left w:val="none" w:sz="0" w:space="0" w:color="auto"/>
        <w:bottom w:val="none" w:sz="0" w:space="0" w:color="auto"/>
        <w:right w:val="none" w:sz="0" w:space="0" w:color="auto"/>
      </w:divBdr>
    </w:div>
    <w:div w:id="211314273">
      <w:bodyDiv w:val="1"/>
      <w:marLeft w:val="0"/>
      <w:marRight w:val="0"/>
      <w:marTop w:val="0"/>
      <w:marBottom w:val="0"/>
      <w:divBdr>
        <w:top w:val="none" w:sz="0" w:space="0" w:color="auto"/>
        <w:left w:val="none" w:sz="0" w:space="0" w:color="auto"/>
        <w:bottom w:val="none" w:sz="0" w:space="0" w:color="auto"/>
        <w:right w:val="none" w:sz="0" w:space="0" w:color="auto"/>
      </w:divBdr>
    </w:div>
    <w:div w:id="212080616">
      <w:bodyDiv w:val="1"/>
      <w:marLeft w:val="0"/>
      <w:marRight w:val="0"/>
      <w:marTop w:val="0"/>
      <w:marBottom w:val="0"/>
      <w:divBdr>
        <w:top w:val="none" w:sz="0" w:space="0" w:color="auto"/>
        <w:left w:val="none" w:sz="0" w:space="0" w:color="auto"/>
        <w:bottom w:val="none" w:sz="0" w:space="0" w:color="auto"/>
        <w:right w:val="none" w:sz="0" w:space="0" w:color="auto"/>
      </w:divBdr>
    </w:div>
    <w:div w:id="214046155">
      <w:bodyDiv w:val="1"/>
      <w:marLeft w:val="0"/>
      <w:marRight w:val="0"/>
      <w:marTop w:val="0"/>
      <w:marBottom w:val="0"/>
      <w:divBdr>
        <w:top w:val="none" w:sz="0" w:space="0" w:color="auto"/>
        <w:left w:val="none" w:sz="0" w:space="0" w:color="auto"/>
        <w:bottom w:val="none" w:sz="0" w:space="0" w:color="auto"/>
        <w:right w:val="none" w:sz="0" w:space="0" w:color="auto"/>
      </w:divBdr>
    </w:div>
    <w:div w:id="223680039">
      <w:bodyDiv w:val="1"/>
      <w:marLeft w:val="0"/>
      <w:marRight w:val="0"/>
      <w:marTop w:val="0"/>
      <w:marBottom w:val="0"/>
      <w:divBdr>
        <w:top w:val="none" w:sz="0" w:space="0" w:color="auto"/>
        <w:left w:val="none" w:sz="0" w:space="0" w:color="auto"/>
        <w:bottom w:val="none" w:sz="0" w:space="0" w:color="auto"/>
        <w:right w:val="none" w:sz="0" w:space="0" w:color="auto"/>
      </w:divBdr>
    </w:div>
    <w:div w:id="253243711">
      <w:bodyDiv w:val="1"/>
      <w:marLeft w:val="0"/>
      <w:marRight w:val="0"/>
      <w:marTop w:val="0"/>
      <w:marBottom w:val="0"/>
      <w:divBdr>
        <w:top w:val="none" w:sz="0" w:space="0" w:color="auto"/>
        <w:left w:val="none" w:sz="0" w:space="0" w:color="auto"/>
        <w:bottom w:val="none" w:sz="0" w:space="0" w:color="auto"/>
        <w:right w:val="none" w:sz="0" w:space="0" w:color="auto"/>
      </w:divBdr>
    </w:div>
    <w:div w:id="256330139">
      <w:bodyDiv w:val="1"/>
      <w:marLeft w:val="0"/>
      <w:marRight w:val="0"/>
      <w:marTop w:val="0"/>
      <w:marBottom w:val="0"/>
      <w:divBdr>
        <w:top w:val="none" w:sz="0" w:space="0" w:color="auto"/>
        <w:left w:val="none" w:sz="0" w:space="0" w:color="auto"/>
        <w:bottom w:val="none" w:sz="0" w:space="0" w:color="auto"/>
        <w:right w:val="none" w:sz="0" w:space="0" w:color="auto"/>
      </w:divBdr>
    </w:div>
    <w:div w:id="258489327">
      <w:bodyDiv w:val="1"/>
      <w:marLeft w:val="0"/>
      <w:marRight w:val="0"/>
      <w:marTop w:val="0"/>
      <w:marBottom w:val="0"/>
      <w:divBdr>
        <w:top w:val="none" w:sz="0" w:space="0" w:color="auto"/>
        <w:left w:val="none" w:sz="0" w:space="0" w:color="auto"/>
        <w:bottom w:val="none" w:sz="0" w:space="0" w:color="auto"/>
        <w:right w:val="none" w:sz="0" w:space="0" w:color="auto"/>
      </w:divBdr>
    </w:div>
    <w:div w:id="263272767">
      <w:bodyDiv w:val="1"/>
      <w:marLeft w:val="0"/>
      <w:marRight w:val="0"/>
      <w:marTop w:val="0"/>
      <w:marBottom w:val="0"/>
      <w:divBdr>
        <w:top w:val="none" w:sz="0" w:space="0" w:color="auto"/>
        <w:left w:val="none" w:sz="0" w:space="0" w:color="auto"/>
        <w:bottom w:val="none" w:sz="0" w:space="0" w:color="auto"/>
        <w:right w:val="none" w:sz="0" w:space="0" w:color="auto"/>
      </w:divBdr>
    </w:div>
    <w:div w:id="266548488">
      <w:bodyDiv w:val="1"/>
      <w:marLeft w:val="0"/>
      <w:marRight w:val="0"/>
      <w:marTop w:val="0"/>
      <w:marBottom w:val="0"/>
      <w:divBdr>
        <w:top w:val="none" w:sz="0" w:space="0" w:color="auto"/>
        <w:left w:val="none" w:sz="0" w:space="0" w:color="auto"/>
        <w:bottom w:val="none" w:sz="0" w:space="0" w:color="auto"/>
        <w:right w:val="none" w:sz="0" w:space="0" w:color="auto"/>
      </w:divBdr>
    </w:div>
    <w:div w:id="272328748">
      <w:bodyDiv w:val="1"/>
      <w:marLeft w:val="0"/>
      <w:marRight w:val="0"/>
      <w:marTop w:val="0"/>
      <w:marBottom w:val="0"/>
      <w:divBdr>
        <w:top w:val="none" w:sz="0" w:space="0" w:color="auto"/>
        <w:left w:val="none" w:sz="0" w:space="0" w:color="auto"/>
        <w:bottom w:val="none" w:sz="0" w:space="0" w:color="auto"/>
        <w:right w:val="none" w:sz="0" w:space="0" w:color="auto"/>
      </w:divBdr>
    </w:div>
    <w:div w:id="273945136">
      <w:bodyDiv w:val="1"/>
      <w:marLeft w:val="0"/>
      <w:marRight w:val="0"/>
      <w:marTop w:val="0"/>
      <w:marBottom w:val="0"/>
      <w:divBdr>
        <w:top w:val="none" w:sz="0" w:space="0" w:color="auto"/>
        <w:left w:val="none" w:sz="0" w:space="0" w:color="auto"/>
        <w:bottom w:val="none" w:sz="0" w:space="0" w:color="auto"/>
        <w:right w:val="none" w:sz="0" w:space="0" w:color="auto"/>
      </w:divBdr>
    </w:div>
    <w:div w:id="277832461">
      <w:bodyDiv w:val="1"/>
      <w:marLeft w:val="0"/>
      <w:marRight w:val="0"/>
      <w:marTop w:val="0"/>
      <w:marBottom w:val="0"/>
      <w:divBdr>
        <w:top w:val="none" w:sz="0" w:space="0" w:color="auto"/>
        <w:left w:val="none" w:sz="0" w:space="0" w:color="auto"/>
        <w:bottom w:val="none" w:sz="0" w:space="0" w:color="auto"/>
        <w:right w:val="none" w:sz="0" w:space="0" w:color="auto"/>
      </w:divBdr>
    </w:div>
    <w:div w:id="285045729">
      <w:bodyDiv w:val="1"/>
      <w:marLeft w:val="0"/>
      <w:marRight w:val="0"/>
      <w:marTop w:val="0"/>
      <w:marBottom w:val="0"/>
      <w:divBdr>
        <w:top w:val="none" w:sz="0" w:space="0" w:color="auto"/>
        <w:left w:val="none" w:sz="0" w:space="0" w:color="auto"/>
        <w:bottom w:val="none" w:sz="0" w:space="0" w:color="auto"/>
        <w:right w:val="none" w:sz="0" w:space="0" w:color="auto"/>
      </w:divBdr>
    </w:div>
    <w:div w:id="285502585">
      <w:bodyDiv w:val="1"/>
      <w:marLeft w:val="0"/>
      <w:marRight w:val="0"/>
      <w:marTop w:val="0"/>
      <w:marBottom w:val="0"/>
      <w:divBdr>
        <w:top w:val="none" w:sz="0" w:space="0" w:color="auto"/>
        <w:left w:val="none" w:sz="0" w:space="0" w:color="auto"/>
        <w:bottom w:val="none" w:sz="0" w:space="0" w:color="auto"/>
        <w:right w:val="none" w:sz="0" w:space="0" w:color="auto"/>
      </w:divBdr>
    </w:div>
    <w:div w:id="286745983">
      <w:bodyDiv w:val="1"/>
      <w:marLeft w:val="0"/>
      <w:marRight w:val="0"/>
      <w:marTop w:val="0"/>
      <w:marBottom w:val="0"/>
      <w:divBdr>
        <w:top w:val="none" w:sz="0" w:space="0" w:color="auto"/>
        <w:left w:val="none" w:sz="0" w:space="0" w:color="auto"/>
        <w:bottom w:val="none" w:sz="0" w:space="0" w:color="auto"/>
        <w:right w:val="none" w:sz="0" w:space="0" w:color="auto"/>
      </w:divBdr>
    </w:div>
    <w:div w:id="293751494">
      <w:bodyDiv w:val="1"/>
      <w:marLeft w:val="0"/>
      <w:marRight w:val="0"/>
      <w:marTop w:val="0"/>
      <w:marBottom w:val="0"/>
      <w:divBdr>
        <w:top w:val="none" w:sz="0" w:space="0" w:color="auto"/>
        <w:left w:val="none" w:sz="0" w:space="0" w:color="auto"/>
        <w:bottom w:val="none" w:sz="0" w:space="0" w:color="auto"/>
        <w:right w:val="none" w:sz="0" w:space="0" w:color="auto"/>
      </w:divBdr>
    </w:div>
    <w:div w:id="297952678">
      <w:bodyDiv w:val="1"/>
      <w:marLeft w:val="0"/>
      <w:marRight w:val="0"/>
      <w:marTop w:val="0"/>
      <w:marBottom w:val="0"/>
      <w:divBdr>
        <w:top w:val="none" w:sz="0" w:space="0" w:color="auto"/>
        <w:left w:val="none" w:sz="0" w:space="0" w:color="auto"/>
        <w:bottom w:val="none" w:sz="0" w:space="0" w:color="auto"/>
        <w:right w:val="none" w:sz="0" w:space="0" w:color="auto"/>
      </w:divBdr>
    </w:div>
    <w:div w:id="299457504">
      <w:bodyDiv w:val="1"/>
      <w:marLeft w:val="0"/>
      <w:marRight w:val="0"/>
      <w:marTop w:val="0"/>
      <w:marBottom w:val="0"/>
      <w:divBdr>
        <w:top w:val="none" w:sz="0" w:space="0" w:color="auto"/>
        <w:left w:val="none" w:sz="0" w:space="0" w:color="auto"/>
        <w:bottom w:val="none" w:sz="0" w:space="0" w:color="auto"/>
        <w:right w:val="none" w:sz="0" w:space="0" w:color="auto"/>
      </w:divBdr>
    </w:div>
    <w:div w:id="301468570">
      <w:bodyDiv w:val="1"/>
      <w:marLeft w:val="0"/>
      <w:marRight w:val="0"/>
      <w:marTop w:val="0"/>
      <w:marBottom w:val="0"/>
      <w:divBdr>
        <w:top w:val="none" w:sz="0" w:space="0" w:color="auto"/>
        <w:left w:val="none" w:sz="0" w:space="0" w:color="auto"/>
        <w:bottom w:val="none" w:sz="0" w:space="0" w:color="auto"/>
        <w:right w:val="none" w:sz="0" w:space="0" w:color="auto"/>
      </w:divBdr>
    </w:div>
    <w:div w:id="304628011">
      <w:bodyDiv w:val="1"/>
      <w:marLeft w:val="0"/>
      <w:marRight w:val="0"/>
      <w:marTop w:val="0"/>
      <w:marBottom w:val="0"/>
      <w:divBdr>
        <w:top w:val="none" w:sz="0" w:space="0" w:color="auto"/>
        <w:left w:val="none" w:sz="0" w:space="0" w:color="auto"/>
        <w:bottom w:val="none" w:sz="0" w:space="0" w:color="auto"/>
        <w:right w:val="none" w:sz="0" w:space="0" w:color="auto"/>
      </w:divBdr>
    </w:div>
    <w:div w:id="309599363">
      <w:bodyDiv w:val="1"/>
      <w:marLeft w:val="0"/>
      <w:marRight w:val="0"/>
      <w:marTop w:val="0"/>
      <w:marBottom w:val="0"/>
      <w:divBdr>
        <w:top w:val="none" w:sz="0" w:space="0" w:color="auto"/>
        <w:left w:val="none" w:sz="0" w:space="0" w:color="auto"/>
        <w:bottom w:val="none" w:sz="0" w:space="0" w:color="auto"/>
        <w:right w:val="none" w:sz="0" w:space="0" w:color="auto"/>
      </w:divBdr>
    </w:div>
    <w:div w:id="312951773">
      <w:bodyDiv w:val="1"/>
      <w:marLeft w:val="0"/>
      <w:marRight w:val="0"/>
      <w:marTop w:val="0"/>
      <w:marBottom w:val="0"/>
      <w:divBdr>
        <w:top w:val="none" w:sz="0" w:space="0" w:color="auto"/>
        <w:left w:val="none" w:sz="0" w:space="0" w:color="auto"/>
        <w:bottom w:val="none" w:sz="0" w:space="0" w:color="auto"/>
        <w:right w:val="none" w:sz="0" w:space="0" w:color="auto"/>
      </w:divBdr>
    </w:div>
    <w:div w:id="318702619">
      <w:bodyDiv w:val="1"/>
      <w:marLeft w:val="0"/>
      <w:marRight w:val="0"/>
      <w:marTop w:val="0"/>
      <w:marBottom w:val="0"/>
      <w:divBdr>
        <w:top w:val="none" w:sz="0" w:space="0" w:color="auto"/>
        <w:left w:val="none" w:sz="0" w:space="0" w:color="auto"/>
        <w:bottom w:val="none" w:sz="0" w:space="0" w:color="auto"/>
        <w:right w:val="none" w:sz="0" w:space="0" w:color="auto"/>
      </w:divBdr>
    </w:div>
    <w:div w:id="325015880">
      <w:bodyDiv w:val="1"/>
      <w:marLeft w:val="0"/>
      <w:marRight w:val="0"/>
      <w:marTop w:val="0"/>
      <w:marBottom w:val="0"/>
      <w:divBdr>
        <w:top w:val="none" w:sz="0" w:space="0" w:color="auto"/>
        <w:left w:val="none" w:sz="0" w:space="0" w:color="auto"/>
        <w:bottom w:val="none" w:sz="0" w:space="0" w:color="auto"/>
        <w:right w:val="none" w:sz="0" w:space="0" w:color="auto"/>
      </w:divBdr>
    </w:div>
    <w:div w:id="331880587">
      <w:bodyDiv w:val="1"/>
      <w:marLeft w:val="0"/>
      <w:marRight w:val="0"/>
      <w:marTop w:val="0"/>
      <w:marBottom w:val="0"/>
      <w:divBdr>
        <w:top w:val="none" w:sz="0" w:space="0" w:color="auto"/>
        <w:left w:val="none" w:sz="0" w:space="0" w:color="auto"/>
        <w:bottom w:val="none" w:sz="0" w:space="0" w:color="auto"/>
        <w:right w:val="none" w:sz="0" w:space="0" w:color="auto"/>
      </w:divBdr>
    </w:div>
    <w:div w:id="336352462">
      <w:bodyDiv w:val="1"/>
      <w:marLeft w:val="0"/>
      <w:marRight w:val="0"/>
      <w:marTop w:val="0"/>
      <w:marBottom w:val="0"/>
      <w:divBdr>
        <w:top w:val="none" w:sz="0" w:space="0" w:color="auto"/>
        <w:left w:val="none" w:sz="0" w:space="0" w:color="auto"/>
        <w:bottom w:val="none" w:sz="0" w:space="0" w:color="auto"/>
        <w:right w:val="none" w:sz="0" w:space="0" w:color="auto"/>
      </w:divBdr>
    </w:div>
    <w:div w:id="339503172">
      <w:bodyDiv w:val="1"/>
      <w:marLeft w:val="0"/>
      <w:marRight w:val="0"/>
      <w:marTop w:val="0"/>
      <w:marBottom w:val="0"/>
      <w:divBdr>
        <w:top w:val="none" w:sz="0" w:space="0" w:color="auto"/>
        <w:left w:val="none" w:sz="0" w:space="0" w:color="auto"/>
        <w:bottom w:val="none" w:sz="0" w:space="0" w:color="auto"/>
        <w:right w:val="none" w:sz="0" w:space="0" w:color="auto"/>
      </w:divBdr>
    </w:div>
    <w:div w:id="343628351">
      <w:bodyDiv w:val="1"/>
      <w:marLeft w:val="0"/>
      <w:marRight w:val="0"/>
      <w:marTop w:val="0"/>
      <w:marBottom w:val="0"/>
      <w:divBdr>
        <w:top w:val="none" w:sz="0" w:space="0" w:color="auto"/>
        <w:left w:val="none" w:sz="0" w:space="0" w:color="auto"/>
        <w:bottom w:val="none" w:sz="0" w:space="0" w:color="auto"/>
        <w:right w:val="none" w:sz="0" w:space="0" w:color="auto"/>
      </w:divBdr>
    </w:div>
    <w:div w:id="344791355">
      <w:bodyDiv w:val="1"/>
      <w:marLeft w:val="0"/>
      <w:marRight w:val="0"/>
      <w:marTop w:val="0"/>
      <w:marBottom w:val="0"/>
      <w:divBdr>
        <w:top w:val="none" w:sz="0" w:space="0" w:color="auto"/>
        <w:left w:val="none" w:sz="0" w:space="0" w:color="auto"/>
        <w:bottom w:val="none" w:sz="0" w:space="0" w:color="auto"/>
        <w:right w:val="none" w:sz="0" w:space="0" w:color="auto"/>
      </w:divBdr>
    </w:div>
    <w:div w:id="351490813">
      <w:bodyDiv w:val="1"/>
      <w:marLeft w:val="0"/>
      <w:marRight w:val="0"/>
      <w:marTop w:val="0"/>
      <w:marBottom w:val="0"/>
      <w:divBdr>
        <w:top w:val="none" w:sz="0" w:space="0" w:color="auto"/>
        <w:left w:val="none" w:sz="0" w:space="0" w:color="auto"/>
        <w:bottom w:val="none" w:sz="0" w:space="0" w:color="auto"/>
        <w:right w:val="none" w:sz="0" w:space="0" w:color="auto"/>
      </w:divBdr>
    </w:div>
    <w:div w:id="362946542">
      <w:bodyDiv w:val="1"/>
      <w:marLeft w:val="0"/>
      <w:marRight w:val="0"/>
      <w:marTop w:val="0"/>
      <w:marBottom w:val="0"/>
      <w:divBdr>
        <w:top w:val="none" w:sz="0" w:space="0" w:color="auto"/>
        <w:left w:val="none" w:sz="0" w:space="0" w:color="auto"/>
        <w:bottom w:val="none" w:sz="0" w:space="0" w:color="auto"/>
        <w:right w:val="none" w:sz="0" w:space="0" w:color="auto"/>
      </w:divBdr>
    </w:div>
    <w:div w:id="364211555">
      <w:bodyDiv w:val="1"/>
      <w:marLeft w:val="0"/>
      <w:marRight w:val="0"/>
      <w:marTop w:val="0"/>
      <w:marBottom w:val="0"/>
      <w:divBdr>
        <w:top w:val="none" w:sz="0" w:space="0" w:color="auto"/>
        <w:left w:val="none" w:sz="0" w:space="0" w:color="auto"/>
        <w:bottom w:val="none" w:sz="0" w:space="0" w:color="auto"/>
        <w:right w:val="none" w:sz="0" w:space="0" w:color="auto"/>
      </w:divBdr>
    </w:div>
    <w:div w:id="374283141">
      <w:bodyDiv w:val="1"/>
      <w:marLeft w:val="0"/>
      <w:marRight w:val="0"/>
      <w:marTop w:val="0"/>
      <w:marBottom w:val="0"/>
      <w:divBdr>
        <w:top w:val="none" w:sz="0" w:space="0" w:color="auto"/>
        <w:left w:val="none" w:sz="0" w:space="0" w:color="auto"/>
        <w:bottom w:val="none" w:sz="0" w:space="0" w:color="auto"/>
        <w:right w:val="none" w:sz="0" w:space="0" w:color="auto"/>
      </w:divBdr>
    </w:div>
    <w:div w:id="384989135">
      <w:bodyDiv w:val="1"/>
      <w:marLeft w:val="0"/>
      <w:marRight w:val="0"/>
      <w:marTop w:val="0"/>
      <w:marBottom w:val="0"/>
      <w:divBdr>
        <w:top w:val="none" w:sz="0" w:space="0" w:color="auto"/>
        <w:left w:val="none" w:sz="0" w:space="0" w:color="auto"/>
        <w:bottom w:val="none" w:sz="0" w:space="0" w:color="auto"/>
        <w:right w:val="none" w:sz="0" w:space="0" w:color="auto"/>
      </w:divBdr>
    </w:div>
    <w:div w:id="389697692">
      <w:bodyDiv w:val="1"/>
      <w:marLeft w:val="0"/>
      <w:marRight w:val="0"/>
      <w:marTop w:val="0"/>
      <w:marBottom w:val="0"/>
      <w:divBdr>
        <w:top w:val="none" w:sz="0" w:space="0" w:color="auto"/>
        <w:left w:val="none" w:sz="0" w:space="0" w:color="auto"/>
        <w:bottom w:val="none" w:sz="0" w:space="0" w:color="auto"/>
        <w:right w:val="none" w:sz="0" w:space="0" w:color="auto"/>
      </w:divBdr>
    </w:div>
    <w:div w:id="399402065">
      <w:bodyDiv w:val="1"/>
      <w:marLeft w:val="0"/>
      <w:marRight w:val="0"/>
      <w:marTop w:val="0"/>
      <w:marBottom w:val="0"/>
      <w:divBdr>
        <w:top w:val="none" w:sz="0" w:space="0" w:color="auto"/>
        <w:left w:val="none" w:sz="0" w:space="0" w:color="auto"/>
        <w:bottom w:val="none" w:sz="0" w:space="0" w:color="auto"/>
        <w:right w:val="none" w:sz="0" w:space="0" w:color="auto"/>
      </w:divBdr>
    </w:div>
    <w:div w:id="417530422">
      <w:bodyDiv w:val="1"/>
      <w:marLeft w:val="0"/>
      <w:marRight w:val="0"/>
      <w:marTop w:val="0"/>
      <w:marBottom w:val="0"/>
      <w:divBdr>
        <w:top w:val="none" w:sz="0" w:space="0" w:color="auto"/>
        <w:left w:val="none" w:sz="0" w:space="0" w:color="auto"/>
        <w:bottom w:val="none" w:sz="0" w:space="0" w:color="auto"/>
        <w:right w:val="none" w:sz="0" w:space="0" w:color="auto"/>
      </w:divBdr>
    </w:div>
    <w:div w:id="417601953">
      <w:bodyDiv w:val="1"/>
      <w:marLeft w:val="0"/>
      <w:marRight w:val="0"/>
      <w:marTop w:val="0"/>
      <w:marBottom w:val="0"/>
      <w:divBdr>
        <w:top w:val="none" w:sz="0" w:space="0" w:color="auto"/>
        <w:left w:val="none" w:sz="0" w:space="0" w:color="auto"/>
        <w:bottom w:val="none" w:sz="0" w:space="0" w:color="auto"/>
        <w:right w:val="none" w:sz="0" w:space="0" w:color="auto"/>
      </w:divBdr>
    </w:div>
    <w:div w:id="419327912">
      <w:bodyDiv w:val="1"/>
      <w:marLeft w:val="0"/>
      <w:marRight w:val="0"/>
      <w:marTop w:val="0"/>
      <w:marBottom w:val="0"/>
      <w:divBdr>
        <w:top w:val="none" w:sz="0" w:space="0" w:color="auto"/>
        <w:left w:val="none" w:sz="0" w:space="0" w:color="auto"/>
        <w:bottom w:val="none" w:sz="0" w:space="0" w:color="auto"/>
        <w:right w:val="none" w:sz="0" w:space="0" w:color="auto"/>
      </w:divBdr>
    </w:div>
    <w:div w:id="425425178">
      <w:bodyDiv w:val="1"/>
      <w:marLeft w:val="0"/>
      <w:marRight w:val="0"/>
      <w:marTop w:val="0"/>
      <w:marBottom w:val="0"/>
      <w:divBdr>
        <w:top w:val="none" w:sz="0" w:space="0" w:color="auto"/>
        <w:left w:val="none" w:sz="0" w:space="0" w:color="auto"/>
        <w:bottom w:val="none" w:sz="0" w:space="0" w:color="auto"/>
        <w:right w:val="none" w:sz="0" w:space="0" w:color="auto"/>
      </w:divBdr>
    </w:div>
    <w:div w:id="429854312">
      <w:bodyDiv w:val="1"/>
      <w:marLeft w:val="0"/>
      <w:marRight w:val="0"/>
      <w:marTop w:val="0"/>
      <w:marBottom w:val="0"/>
      <w:divBdr>
        <w:top w:val="none" w:sz="0" w:space="0" w:color="auto"/>
        <w:left w:val="none" w:sz="0" w:space="0" w:color="auto"/>
        <w:bottom w:val="none" w:sz="0" w:space="0" w:color="auto"/>
        <w:right w:val="none" w:sz="0" w:space="0" w:color="auto"/>
      </w:divBdr>
    </w:div>
    <w:div w:id="432865920">
      <w:bodyDiv w:val="1"/>
      <w:marLeft w:val="0"/>
      <w:marRight w:val="0"/>
      <w:marTop w:val="0"/>
      <w:marBottom w:val="0"/>
      <w:divBdr>
        <w:top w:val="none" w:sz="0" w:space="0" w:color="auto"/>
        <w:left w:val="none" w:sz="0" w:space="0" w:color="auto"/>
        <w:bottom w:val="none" w:sz="0" w:space="0" w:color="auto"/>
        <w:right w:val="none" w:sz="0" w:space="0" w:color="auto"/>
      </w:divBdr>
    </w:div>
    <w:div w:id="440616307">
      <w:bodyDiv w:val="1"/>
      <w:marLeft w:val="0"/>
      <w:marRight w:val="0"/>
      <w:marTop w:val="0"/>
      <w:marBottom w:val="0"/>
      <w:divBdr>
        <w:top w:val="none" w:sz="0" w:space="0" w:color="auto"/>
        <w:left w:val="none" w:sz="0" w:space="0" w:color="auto"/>
        <w:bottom w:val="none" w:sz="0" w:space="0" w:color="auto"/>
        <w:right w:val="none" w:sz="0" w:space="0" w:color="auto"/>
      </w:divBdr>
    </w:div>
    <w:div w:id="441725412">
      <w:bodyDiv w:val="1"/>
      <w:marLeft w:val="0"/>
      <w:marRight w:val="0"/>
      <w:marTop w:val="0"/>
      <w:marBottom w:val="0"/>
      <w:divBdr>
        <w:top w:val="none" w:sz="0" w:space="0" w:color="auto"/>
        <w:left w:val="none" w:sz="0" w:space="0" w:color="auto"/>
        <w:bottom w:val="none" w:sz="0" w:space="0" w:color="auto"/>
        <w:right w:val="none" w:sz="0" w:space="0" w:color="auto"/>
      </w:divBdr>
    </w:div>
    <w:div w:id="442727499">
      <w:bodyDiv w:val="1"/>
      <w:marLeft w:val="0"/>
      <w:marRight w:val="0"/>
      <w:marTop w:val="0"/>
      <w:marBottom w:val="0"/>
      <w:divBdr>
        <w:top w:val="none" w:sz="0" w:space="0" w:color="auto"/>
        <w:left w:val="none" w:sz="0" w:space="0" w:color="auto"/>
        <w:bottom w:val="none" w:sz="0" w:space="0" w:color="auto"/>
        <w:right w:val="none" w:sz="0" w:space="0" w:color="auto"/>
      </w:divBdr>
    </w:div>
    <w:div w:id="448818533">
      <w:bodyDiv w:val="1"/>
      <w:marLeft w:val="0"/>
      <w:marRight w:val="0"/>
      <w:marTop w:val="0"/>
      <w:marBottom w:val="0"/>
      <w:divBdr>
        <w:top w:val="none" w:sz="0" w:space="0" w:color="auto"/>
        <w:left w:val="none" w:sz="0" w:space="0" w:color="auto"/>
        <w:bottom w:val="none" w:sz="0" w:space="0" w:color="auto"/>
        <w:right w:val="none" w:sz="0" w:space="0" w:color="auto"/>
      </w:divBdr>
    </w:div>
    <w:div w:id="452288528">
      <w:bodyDiv w:val="1"/>
      <w:marLeft w:val="0"/>
      <w:marRight w:val="0"/>
      <w:marTop w:val="0"/>
      <w:marBottom w:val="0"/>
      <w:divBdr>
        <w:top w:val="none" w:sz="0" w:space="0" w:color="auto"/>
        <w:left w:val="none" w:sz="0" w:space="0" w:color="auto"/>
        <w:bottom w:val="none" w:sz="0" w:space="0" w:color="auto"/>
        <w:right w:val="none" w:sz="0" w:space="0" w:color="auto"/>
      </w:divBdr>
    </w:div>
    <w:div w:id="457994787">
      <w:bodyDiv w:val="1"/>
      <w:marLeft w:val="0"/>
      <w:marRight w:val="0"/>
      <w:marTop w:val="0"/>
      <w:marBottom w:val="0"/>
      <w:divBdr>
        <w:top w:val="none" w:sz="0" w:space="0" w:color="auto"/>
        <w:left w:val="none" w:sz="0" w:space="0" w:color="auto"/>
        <w:bottom w:val="none" w:sz="0" w:space="0" w:color="auto"/>
        <w:right w:val="none" w:sz="0" w:space="0" w:color="auto"/>
      </w:divBdr>
    </w:div>
    <w:div w:id="461189983">
      <w:bodyDiv w:val="1"/>
      <w:marLeft w:val="0"/>
      <w:marRight w:val="0"/>
      <w:marTop w:val="0"/>
      <w:marBottom w:val="0"/>
      <w:divBdr>
        <w:top w:val="none" w:sz="0" w:space="0" w:color="auto"/>
        <w:left w:val="none" w:sz="0" w:space="0" w:color="auto"/>
        <w:bottom w:val="none" w:sz="0" w:space="0" w:color="auto"/>
        <w:right w:val="none" w:sz="0" w:space="0" w:color="auto"/>
      </w:divBdr>
    </w:div>
    <w:div w:id="465047684">
      <w:bodyDiv w:val="1"/>
      <w:marLeft w:val="0"/>
      <w:marRight w:val="0"/>
      <w:marTop w:val="0"/>
      <w:marBottom w:val="0"/>
      <w:divBdr>
        <w:top w:val="none" w:sz="0" w:space="0" w:color="auto"/>
        <w:left w:val="none" w:sz="0" w:space="0" w:color="auto"/>
        <w:bottom w:val="none" w:sz="0" w:space="0" w:color="auto"/>
        <w:right w:val="none" w:sz="0" w:space="0" w:color="auto"/>
      </w:divBdr>
    </w:div>
    <w:div w:id="469979567">
      <w:bodyDiv w:val="1"/>
      <w:marLeft w:val="0"/>
      <w:marRight w:val="0"/>
      <w:marTop w:val="0"/>
      <w:marBottom w:val="0"/>
      <w:divBdr>
        <w:top w:val="none" w:sz="0" w:space="0" w:color="auto"/>
        <w:left w:val="none" w:sz="0" w:space="0" w:color="auto"/>
        <w:bottom w:val="none" w:sz="0" w:space="0" w:color="auto"/>
        <w:right w:val="none" w:sz="0" w:space="0" w:color="auto"/>
      </w:divBdr>
    </w:div>
    <w:div w:id="472523553">
      <w:bodyDiv w:val="1"/>
      <w:marLeft w:val="0"/>
      <w:marRight w:val="0"/>
      <w:marTop w:val="0"/>
      <w:marBottom w:val="0"/>
      <w:divBdr>
        <w:top w:val="none" w:sz="0" w:space="0" w:color="auto"/>
        <w:left w:val="none" w:sz="0" w:space="0" w:color="auto"/>
        <w:bottom w:val="none" w:sz="0" w:space="0" w:color="auto"/>
        <w:right w:val="none" w:sz="0" w:space="0" w:color="auto"/>
      </w:divBdr>
    </w:div>
    <w:div w:id="486092483">
      <w:bodyDiv w:val="1"/>
      <w:marLeft w:val="0"/>
      <w:marRight w:val="0"/>
      <w:marTop w:val="0"/>
      <w:marBottom w:val="0"/>
      <w:divBdr>
        <w:top w:val="none" w:sz="0" w:space="0" w:color="auto"/>
        <w:left w:val="none" w:sz="0" w:space="0" w:color="auto"/>
        <w:bottom w:val="none" w:sz="0" w:space="0" w:color="auto"/>
        <w:right w:val="none" w:sz="0" w:space="0" w:color="auto"/>
      </w:divBdr>
    </w:div>
    <w:div w:id="486215699">
      <w:bodyDiv w:val="1"/>
      <w:marLeft w:val="0"/>
      <w:marRight w:val="0"/>
      <w:marTop w:val="0"/>
      <w:marBottom w:val="0"/>
      <w:divBdr>
        <w:top w:val="none" w:sz="0" w:space="0" w:color="auto"/>
        <w:left w:val="none" w:sz="0" w:space="0" w:color="auto"/>
        <w:bottom w:val="none" w:sz="0" w:space="0" w:color="auto"/>
        <w:right w:val="none" w:sz="0" w:space="0" w:color="auto"/>
      </w:divBdr>
    </w:div>
    <w:div w:id="491026444">
      <w:bodyDiv w:val="1"/>
      <w:marLeft w:val="0"/>
      <w:marRight w:val="0"/>
      <w:marTop w:val="0"/>
      <w:marBottom w:val="0"/>
      <w:divBdr>
        <w:top w:val="none" w:sz="0" w:space="0" w:color="auto"/>
        <w:left w:val="none" w:sz="0" w:space="0" w:color="auto"/>
        <w:bottom w:val="none" w:sz="0" w:space="0" w:color="auto"/>
        <w:right w:val="none" w:sz="0" w:space="0" w:color="auto"/>
      </w:divBdr>
    </w:div>
    <w:div w:id="496650538">
      <w:bodyDiv w:val="1"/>
      <w:marLeft w:val="0"/>
      <w:marRight w:val="0"/>
      <w:marTop w:val="0"/>
      <w:marBottom w:val="0"/>
      <w:divBdr>
        <w:top w:val="none" w:sz="0" w:space="0" w:color="auto"/>
        <w:left w:val="none" w:sz="0" w:space="0" w:color="auto"/>
        <w:bottom w:val="none" w:sz="0" w:space="0" w:color="auto"/>
        <w:right w:val="none" w:sz="0" w:space="0" w:color="auto"/>
      </w:divBdr>
    </w:div>
    <w:div w:id="497036703">
      <w:bodyDiv w:val="1"/>
      <w:marLeft w:val="0"/>
      <w:marRight w:val="0"/>
      <w:marTop w:val="0"/>
      <w:marBottom w:val="0"/>
      <w:divBdr>
        <w:top w:val="none" w:sz="0" w:space="0" w:color="auto"/>
        <w:left w:val="none" w:sz="0" w:space="0" w:color="auto"/>
        <w:bottom w:val="none" w:sz="0" w:space="0" w:color="auto"/>
        <w:right w:val="none" w:sz="0" w:space="0" w:color="auto"/>
      </w:divBdr>
    </w:div>
    <w:div w:id="497112245">
      <w:bodyDiv w:val="1"/>
      <w:marLeft w:val="0"/>
      <w:marRight w:val="0"/>
      <w:marTop w:val="0"/>
      <w:marBottom w:val="0"/>
      <w:divBdr>
        <w:top w:val="none" w:sz="0" w:space="0" w:color="auto"/>
        <w:left w:val="none" w:sz="0" w:space="0" w:color="auto"/>
        <w:bottom w:val="none" w:sz="0" w:space="0" w:color="auto"/>
        <w:right w:val="none" w:sz="0" w:space="0" w:color="auto"/>
      </w:divBdr>
    </w:div>
    <w:div w:id="507906625">
      <w:bodyDiv w:val="1"/>
      <w:marLeft w:val="0"/>
      <w:marRight w:val="0"/>
      <w:marTop w:val="0"/>
      <w:marBottom w:val="0"/>
      <w:divBdr>
        <w:top w:val="none" w:sz="0" w:space="0" w:color="auto"/>
        <w:left w:val="none" w:sz="0" w:space="0" w:color="auto"/>
        <w:bottom w:val="none" w:sz="0" w:space="0" w:color="auto"/>
        <w:right w:val="none" w:sz="0" w:space="0" w:color="auto"/>
      </w:divBdr>
    </w:div>
    <w:div w:id="510337570">
      <w:bodyDiv w:val="1"/>
      <w:marLeft w:val="0"/>
      <w:marRight w:val="0"/>
      <w:marTop w:val="0"/>
      <w:marBottom w:val="0"/>
      <w:divBdr>
        <w:top w:val="none" w:sz="0" w:space="0" w:color="auto"/>
        <w:left w:val="none" w:sz="0" w:space="0" w:color="auto"/>
        <w:bottom w:val="none" w:sz="0" w:space="0" w:color="auto"/>
        <w:right w:val="none" w:sz="0" w:space="0" w:color="auto"/>
      </w:divBdr>
    </w:div>
    <w:div w:id="525678749">
      <w:bodyDiv w:val="1"/>
      <w:marLeft w:val="0"/>
      <w:marRight w:val="0"/>
      <w:marTop w:val="0"/>
      <w:marBottom w:val="0"/>
      <w:divBdr>
        <w:top w:val="none" w:sz="0" w:space="0" w:color="auto"/>
        <w:left w:val="none" w:sz="0" w:space="0" w:color="auto"/>
        <w:bottom w:val="none" w:sz="0" w:space="0" w:color="auto"/>
        <w:right w:val="none" w:sz="0" w:space="0" w:color="auto"/>
      </w:divBdr>
    </w:div>
    <w:div w:id="526216847">
      <w:bodyDiv w:val="1"/>
      <w:marLeft w:val="0"/>
      <w:marRight w:val="0"/>
      <w:marTop w:val="0"/>
      <w:marBottom w:val="0"/>
      <w:divBdr>
        <w:top w:val="none" w:sz="0" w:space="0" w:color="auto"/>
        <w:left w:val="none" w:sz="0" w:space="0" w:color="auto"/>
        <w:bottom w:val="none" w:sz="0" w:space="0" w:color="auto"/>
        <w:right w:val="none" w:sz="0" w:space="0" w:color="auto"/>
      </w:divBdr>
    </w:div>
    <w:div w:id="535580417">
      <w:bodyDiv w:val="1"/>
      <w:marLeft w:val="0"/>
      <w:marRight w:val="0"/>
      <w:marTop w:val="0"/>
      <w:marBottom w:val="0"/>
      <w:divBdr>
        <w:top w:val="none" w:sz="0" w:space="0" w:color="auto"/>
        <w:left w:val="none" w:sz="0" w:space="0" w:color="auto"/>
        <w:bottom w:val="none" w:sz="0" w:space="0" w:color="auto"/>
        <w:right w:val="none" w:sz="0" w:space="0" w:color="auto"/>
      </w:divBdr>
    </w:div>
    <w:div w:id="539361705">
      <w:bodyDiv w:val="1"/>
      <w:marLeft w:val="0"/>
      <w:marRight w:val="0"/>
      <w:marTop w:val="0"/>
      <w:marBottom w:val="0"/>
      <w:divBdr>
        <w:top w:val="none" w:sz="0" w:space="0" w:color="auto"/>
        <w:left w:val="none" w:sz="0" w:space="0" w:color="auto"/>
        <w:bottom w:val="none" w:sz="0" w:space="0" w:color="auto"/>
        <w:right w:val="none" w:sz="0" w:space="0" w:color="auto"/>
      </w:divBdr>
    </w:div>
    <w:div w:id="540020116">
      <w:bodyDiv w:val="1"/>
      <w:marLeft w:val="0"/>
      <w:marRight w:val="0"/>
      <w:marTop w:val="0"/>
      <w:marBottom w:val="0"/>
      <w:divBdr>
        <w:top w:val="none" w:sz="0" w:space="0" w:color="auto"/>
        <w:left w:val="none" w:sz="0" w:space="0" w:color="auto"/>
        <w:bottom w:val="none" w:sz="0" w:space="0" w:color="auto"/>
        <w:right w:val="none" w:sz="0" w:space="0" w:color="auto"/>
      </w:divBdr>
    </w:div>
    <w:div w:id="554048067">
      <w:bodyDiv w:val="1"/>
      <w:marLeft w:val="0"/>
      <w:marRight w:val="0"/>
      <w:marTop w:val="0"/>
      <w:marBottom w:val="0"/>
      <w:divBdr>
        <w:top w:val="none" w:sz="0" w:space="0" w:color="auto"/>
        <w:left w:val="none" w:sz="0" w:space="0" w:color="auto"/>
        <w:bottom w:val="none" w:sz="0" w:space="0" w:color="auto"/>
        <w:right w:val="none" w:sz="0" w:space="0" w:color="auto"/>
      </w:divBdr>
    </w:div>
    <w:div w:id="554128124">
      <w:bodyDiv w:val="1"/>
      <w:marLeft w:val="0"/>
      <w:marRight w:val="0"/>
      <w:marTop w:val="0"/>
      <w:marBottom w:val="0"/>
      <w:divBdr>
        <w:top w:val="none" w:sz="0" w:space="0" w:color="auto"/>
        <w:left w:val="none" w:sz="0" w:space="0" w:color="auto"/>
        <w:bottom w:val="none" w:sz="0" w:space="0" w:color="auto"/>
        <w:right w:val="none" w:sz="0" w:space="0" w:color="auto"/>
      </w:divBdr>
    </w:div>
    <w:div w:id="558127976">
      <w:bodyDiv w:val="1"/>
      <w:marLeft w:val="0"/>
      <w:marRight w:val="0"/>
      <w:marTop w:val="0"/>
      <w:marBottom w:val="0"/>
      <w:divBdr>
        <w:top w:val="none" w:sz="0" w:space="0" w:color="auto"/>
        <w:left w:val="none" w:sz="0" w:space="0" w:color="auto"/>
        <w:bottom w:val="none" w:sz="0" w:space="0" w:color="auto"/>
        <w:right w:val="none" w:sz="0" w:space="0" w:color="auto"/>
      </w:divBdr>
    </w:div>
    <w:div w:id="558902363">
      <w:bodyDiv w:val="1"/>
      <w:marLeft w:val="0"/>
      <w:marRight w:val="0"/>
      <w:marTop w:val="0"/>
      <w:marBottom w:val="0"/>
      <w:divBdr>
        <w:top w:val="none" w:sz="0" w:space="0" w:color="auto"/>
        <w:left w:val="none" w:sz="0" w:space="0" w:color="auto"/>
        <w:bottom w:val="none" w:sz="0" w:space="0" w:color="auto"/>
        <w:right w:val="none" w:sz="0" w:space="0" w:color="auto"/>
      </w:divBdr>
    </w:div>
    <w:div w:id="558984128">
      <w:bodyDiv w:val="1"/>
      <w:marLeft w:val="0"/>
      <w:marRight w:val="0"/>
      <w:marTop w:val="0"/>
      <w:marBottom w:val="0"/>
      <w:divBdr>
        <w:top w:val="none" w:sz="0" w:space="0" w:color="auto"/>
        <w:left w:val="none" w:sz="0" w:space="0" w:color="auto"/>
        <w:bottom w:val="none" w:sz="0" w:space="0" w:color="auto"/>
        <w:right w:val="none" w:sz="0" w:space="0" w:color="auto"/>
      </w:divBdr>
    </w:div>
    <w:div w:id="566496075">
      <w:bodyDiv w:val="1"/>
      <w:marLeft w:val="0"/>
      <w:marRight w:val="0"/>
      <w:marTop w:val="0"/>
      <w:marBottom w:val="0"/>
      <w:divBdr>
        <w:top w:val="none" w:sz="0" w:space="0" w:color="auto"/>
        <w:left w:val="none" w:sz="0" w:space="0" w:color="auto"/>
        <w:bottom w:val="none" w:sz="0" w:space="0" w:color="auto"/>
        <w:right w:val="none" w:sz="0" w:space="0" w:color="auto"/>
      </w:divBdr>
    </w:div>
    <w:div w:id="570506403">
      <w:bodyDiv w:val="1"/>
      <w:marLeft w:val="0"/>
      <w:marRight w:val="0"/>
      <w:marTop w:val="0"/>
      <w:marBottom w:val="0"/>
      <w:divBdr>
        <w:top w:val="none" w:sz="0" w:space="0" w:color="auto"/>
        <w:left w:val="none" w:sz="0" w:space="0" w:color="auto"/>
        <w:bottom w:val="none" w:sz="0" w:space="0" w:color="auto"/>
        <w:right w:val="none" w:sz="0" w:space="0" w:color="auto"/>
      </w:divBdr>
    </w:div>
    <w:div w:id="579142899">
      <w:bodyDiv w:val="1"/>
      <w:marLeft w:val="0"/>
      <w:marRight w:val="0"/>
      <w:marTop w:val="0"/>
      <w:marBottom w:val="0"/>
      <w:divBdr>
        <w:top w:val="none" w:sz="0" w:space="0" w:color="auto"/>
        <w:left w:val="none" w:sz="0" w:space="0" w:color="auto"/>
        <w:bottom w:val="none" w:sz="0" w:space="0" w:color="auto"/>
        <w:right w:val="none" w:sz="0" w:space="0" w:color="auto"/>
      </w:divBdr>
    </w:div>
    <w:div w:id="579631846">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582372564">
      <w:bodyDiv w:val="1"/>
      <w:marLeft w:val="0"/>
      <w:marRight w:val="0"/>
      <w:marTop w:val="0"/>
      <w:marBottom w:val="0"/>
      <w:divBdr>
        <w:top w:val="none" w:sz="0" w:space="0" w:color="auto"/>
        <w:left w:val="none" w:sz="0" w:space="0" w:color="auto"/>
        <w:bottom w:val="none" w:sz="0" w:space="0" w:color="auto"/>
        <w:right w:val="none" w:sz="0" w:space="0" w:color="auto"/>
      </w:divBdr>
    </w:div>
    <w:div w:id="598682674">
      <w:bodyDiv w:val="1"/>
      <w:marLeft w:val="0"/>
      <w:marRight w:val="0"/>
      <w:marTop w:val="0"/>
      <w:marBottom w:val="0"/>
      <w:divBdr>
        <w:top w:val="none" w:sz="0" w:space="0" w:color="auto"/>
        <w:left w:val="none" w:sz="0" w:space="0" w:color="auto"/>
        <w:bottom w:val="none" w:sz="0" w:space="0" w:color="auto"/>
        <w:right w:val="none" w:sz="0" w:space="0" w:color="auto"/>
      </w:divBdr>
    </w:div>
    <w:div w:id="610665290">
      <w:bodyDiv w:val="1"/>
      <w:marLeft w:val="0"/>
      <w:marRight w:val="0"/>
      <w:marTop w:val="0"/>
      <w:marBottom w:val="0"/>
      <w:divBdr>
        <w:top w:val="none" w:sz="0" w:space="0" w:color="auto"/>
        <w:left w:val="none" w:sz="0" w:space="0" w:color="auto"/>
        <w:bottom w:val="none" w:sz="0" w:space="0" w:color="auto"/>
        <w:right w:val="none" w:sz="0" w:space="0" w:color="auto"/>
      </w:divBdr>
    </w:div>
    <w:div w:id="618685562">
      <w:bodyDiv w:val="1"/>
      <w:marLeft w:val="0"/>
      <w:marRight w:val="0"/>
      <w:marTop w:val="0"/>
      <w:marBottom w:val="0"/>
      <w:divBdr>
        <w:top w:val="none" w:sz="0" w:space="0" w:color="auto"/>
        <w:left w:val="none" w:sz="0" w:space="0" w:color="auto"/>
        <w:bottom w:val="none" w:sz="0" w:space="0" w:color="auto"/>
        <w:right w:val="none" w:sz="0" w:space="0" w:color="auto"/>
      </w:divBdr>
    </w:div>
    <w:div w:id="621040156">
      <w:bodyDiv w:val="1"/>
      <w:marLeft w:val="0"/>
      <w:marRight w:val="0"/>
      <w:marTop w:val="0"/>
      <w:marBottom w:val="0"/>
      <w:divBdr>
        <w:top w:val="none" w:sz="0" w:space="0" w:color="auto"/>
        <w:left w:val="none" w:sz="0" w:space="0" w:color="auto"/>
        <w:bottom w:val="none" w:sz="0" w:space="0" w:color="auto"/>
        <w:right w:val="none" w:sz="0" w:space="0" w:color="auto"/>
      </w:divBdr>
    </w:div>
    <w:div w:id="621305357">
      <w:bodyDiv w:val="1"/>
      <w:marLeft w:val="0"/>
      <w:marRight w:val="0"/>
      <w:marTop w:val="0"/>
      <w:marBottom w:val="0"/>
      <w:divBdr>
        <w:top w:val="none" w:sz="0" w:space="0" w:color="auto"/>
        <w:left w:val="none" w:sz="0" w:space="0" w:color="auto"/>
        <w:bottom w:val="none" w:sz="0" w:space="0" w:color="auto"/>
        <w:right w:val="none" w:sz="0" w:space="0" w:color="auto"/>
      </w:divBdr>
    </w:div>
    <w:div w:id="624120514">
      <w:bodyDiv w:val="1"/>
      <w:marLeft w:val="0"/>
      <w:marRight w:val="0"/>
      <w:marTop w:val="0"/>
      <w:marBottom w:val="0"/>
      <w:divBdr>
        <w:top w:val="none" w:sz="0" w:space="0" w:color="auto"/>
        <w:left w:val="none" w:sz="0" w:space="0" w:color="auto"/>
        <w:bottom w:val="none" w:sz="0" w:space="0" w:color="auto"/>
        <w:right w:val="none" w:sz="0" w:space="0" w:color="auto"/>
      </w:divBdr>
    </w:div>
    <w:div w:id="634717122">
      <w:bodyDiv w:val="1"/>
      <w:marLeft w:val="0"/>
      <w:marRight w:val="0"/>
      <w:marTop w:val="0"/>
      <w:marBottom w:val="0"/>
      <w:divBdr>
        <w:top w:val="none" w:sz="0" w:space="0" w:color="auto"/>
        <w:left w:val="none" w:sz="0" w:space="0" w:color="auto"/>
        <w:bottom w:val="none" w:sz="0" w:space="0" w:color="auto"/>
        <w:right w:val="none" w:sz="0" w:space="0" w:color="auto"/>
      </w:divBdr>
    </w:div>
    <w:div w:id="637688912">
      <w:bodyDiv w:val="1"/>
      <w:marLeft w:val="0"/>
      <w:marRight w:val="0"/>
      <w:marTop w:val="0"/>
      <w:marBottom w:val="0"/>
      <w:divBdr>
        <w:top w:val="none" w:sz="0" w:space="0" w:color="auto"/>
        <w:left w:val="none" w:sz="0" w:space="0" w:color="auto"/>
        <w:bottom w:val="none" w:sz="0" w:space="0" w:color="auto"/>
        <w:right w:val="none" w:sz="0" w:space="0" w:color="auto"/>
      </w:divBdr>
    </w:div>
    <w:div w:id="639308018">
      <w:bodyDiv w:val="1"/>
      <w:marLeft w:val="0"/>
      <w:marRight w:val="0"/>
      <w:marTop w:val="0"/>
      <w:marBottom w:val="0"/>
      <w:divBdr>
        <w:top w:val="none" w:sz="0" w:space="0" w:color="auto"/>
        <w:left w:val="none" w:sz="0" w:space="0" w:color="auto"/>
        <w:bottom w:val="none" w:sz="0" w:space="0" w:color="auto"/>
        <w:right w:val="none" w:sz="0" w:space="0" w:color="auto"/>
      </w:divBdr>
    </w:div>
    <w:div w:id="640305235">
      <w:bodyDiv w:val="1"/>
      <w:marLeft w:val="0"/>
      <w:marRight w:val="0"/>
      <w:marTop w:val="0"/>
      <w:marBottom w:val="0"/>
      <w:divBdr>
        <w:top w:val="none" w:sz="0" w:space="0" w:color="auto"/>
        <w:left w:val="none" w:sz="0" w:space="0" w:color="auto"/>
        <w:bottom w:val="none" w:sz="0" w:space="0" w:color="auto"/>
        <w:right w:val="none" w:sz="0" w:space="0" w:color="auto"/>
      </w:divBdr>
    </w:div>
    <w:div w:id="642777128">
      <w:bodyDiv w:val="1"/>
      <w:marLeft w:val="0"/>
      <w:marRight w:val="0"/>
      <w:marTop w:val="0"/>
      <w:marBottom w:val="0"/>
      <w:divBdr>
        <w:top w:val="none" w:sz="0" w:space="0" w:color="auto"/>
        <w:left w:val="none" w:sz="0" w:space="0" w:color="auto"/>
        <w:bottom w:val="none" w:sz="0" w:space="0" w:color="auto"/>
        <w:right w:val="none" w:sz="0" w:space="0" w:color="auto"/>
      </w:divBdr>
    </w:div>
    <w:div w:id="654917952">
      <w:bodyDiv w:val="1"/>
      <w:marLeft w:val="0"/>
      <w:marRight w:val="0"/>
      <w:marTop w:val="0"/>
      <w:marBottom w:val="0"/>
      <w:divBdr>
        <w:top w:val="none" w:sz="0" w:space="0" w:color="auto"/>
        <w:left w:val="none" w:sz="0" w:space="0" w:color="auto"/>
        <w:bottom w:val="none" w:sz="0" w:space="0" w:color="auto"/>
        <w:right w:val="none" w:sz="0" w:space="0" w:color="auto"/>
      </w:divBdr>
    </w:div>
    <w:div w:id="658927677">
      <w:bodyDiv w:val="1"/>
      <w:marLeft w:val="0"/>
      <w:marRight w:val="0"/>
      <w:marTop w:val="0"/>
      <w:marBottom w:val="0"/>
      <w:divBdr>
        <w:top w:val="none" w:sz="0" w:space="0" w:color="auto"/>
        <w:left w:val="none" w:sz="0" w:space="0" w:color="auto"/>
        <w:bottom w:val="none" w:sz="0" w:space="0" w:color="auto"/>
        <w:right w:val="none" w:sz="0" w:space="0" w:color="auto"/>
      </w:divBdr>
    </w:div>
    <w:div w:id="663823161">
      <w:bodyDiv w:val="1"/>
      <w:marLeft w:val="0"/>
      <w:marRight w:val="0"/>
      <w:marTop w:val="0"/>
      <w:marBottom w:val="0"/>
      <w:divBdr>
        <w:top w:val="none" w:sz="0" w:space="0" w:color="auto"/>
        <w:left w:val="none" w:sz="0" w:space="0" w:color="auto"/>
        <w:bottom w:val="none" w:sz="0" w:space="0" w:color="auto"/>
        <w:right w:val="none" w:sz="0" w:space="0" w:color="auto"/>
      </w:divBdr>
    </w:div>
    <w:div w:id="668023074">
      <w:bodyDiv w:val="1"/>
      <w:marLeft w:val="0"/>
      <w:marRight w:val="0"/>
      <w:marTop w:val="0"/>
      <w:marBottom w:val="0"/>
      <w:divBdr>
        <w:top w:val="none" w:sz="0" w:space="0" w:color="auto"/>
        <w:left w:val="none" w:sz="0" w:space="0" w:color="auto"/>
        <w:bottom w:val="none" w:sz="0" w:space="0" w:color="auto"/>
        <w:right w:val="none" w:sz="0" w:space="0" w:color="auto"/>
      </w:divBdr>
    </w:div>
    <w:div w:id="671419959">
      <w:bodyDiv w:val="1"/>
      <w:marLeft w:val="0"/>
      <w:marRight w:val="0"/>
      <w:marTop w:val="0"/>
      <w:marBottom w:val="0"/>
      <w:divBdr>
        <w:top w:val="none" w:sz="0" w:space="0" w:color="auto"/>
        <w:left w:val="none" w:sz="0" w:space="0" w:color="auto"/>
        <w:bottom w:val="none" w:sz="0" w:space="0" w:color="auto"/>
        <w:right w:val="none" w:sz="0" w:space="0" w:color="auto"/>
      </w:divBdr>
    </w:div>
    <w:div w:id="674654135">
      <w:bodyDiv w:val="1"/>
      <w:marLeft w:val="0"/>
      <w:marRight w:val="0"/>
      <w:marTop w:val="0"/>
      <w:marBottom w:val="0"/>
      <w:divBdr>
        <w:top w:val="none" w:sz="0" w:space="0" w:color="auto"/>
        <w:left w:val="none" w:sz="0" w:space="0" w:color="auto"/>
        <w:bottom w:val="none" w:sz="0" w:space="0" w:color="auto"/>
        <w:right w:val="none" w:sz="0" w:space="0" w:color="auto"/>
      </w:divBdr>
    </w:div>
    <w:div w:id="676271091">
      <w:bodyDiv w:val="1"/>
      <w:marLeft w:val="0"/>
      <w:marRight w:val="0"/>
      <w:marTop w:val="0"/>
      <w:marBottom w:val="0"/>
      <w:divBdr>
        <w:top w:val="none" w:sz="0" w:space="0" w:color="auto"/>
        <w:left w:val="none" w:sz="0" w:space="0" w:color="auto"/>
        <w:bottom w:val="none" w:sz="0" w:space="0" w:color="auto"/>
        <w:right w:val="none" w:sz="0" w:space="0" w:color="auto"/>
      </w:divBdr>
    </w:div>
    <w:div w:id="678626542">
      <w:bodyDiv w:val="1"/>
      <w:marLeft w:val="0"/>
      <w:marRight w:val="0"/>
      <w:marTop w:val="0"/>
      <w:marBottom w:val="0"/>
      <w:divBdr>
        <w:top w:val="none" w:sz="0" w:space="0" w:color="auto"/>
        <w:left w:val="none" w:sz="0" w:space="0" w:color="auto"/>
        <w:bottom w:val="none" w:sz="0" w:space="0" w:color="auto"/>
        <w:right w:val="none" w:sz="0" w:space="0" w:color="auto"/>
      </w:divBdr>
    </w:div>
    <w:div w:id="683821710">
      <w:bodyDiv w:val="1"/>
      <w:marLeft w:val="0"/>
      <w:marRight w:val="0"/>
      <w:marTop w:val="0"/>
      <w:marBottom w:val="0"/>
      <w:divBdr>
        <w:top w:val="none" w:sz="0" w:space="0" w:color="auto"/>
        <w:left w:val="none" w:sz="0" w:space="0" w:color="auto"/>
        <w:bottom w:val="none" w:sz="0" w:space="0" w:color="auto"/>
        <w:right w:val="none" w:sz="0" w:space="0" w:color="auto"/>
      </w:divBdr>
    </w:div>
    <w:div w:id="684745704">
      <w:bodyDiv w:val="1"/>
      <w:marLeft w:val="0"/>
      <w:marRight w:val="0"/>
      <w:marTop w:val="0"/>
      <w:marBottom w:val="0"/>
      <w:divBdr>
        <w:top w:val="none" w:sz="0" w:space="0" w:color="auto"/>
        <w:left w:val="none" w:sz="0" w:space="0" w:color="auto"/>
        <w:bottom w:val="none" w:sz="0" w:space="0" w:color="auto"/>
        <w:right w:val="none" w:sz="0" w:space="0" w:color="auto"/>
      </w:divBdr>
    </w:div>
    <w:div w:id="692464690">
      <w:bodyDiv w:val="1"/>
      <w:marLeft w:val="0"/>
      <w:marRight w:val="0"/>
      <w:marTop w:val="0"/>
      <w:marBottom w:val="0"/>
      <w:divBdr>
        <w:top w:val="none" w:sz="0" w:space="0" w:color="auto"/>
        <w:left w:val="none" w:sz="0" w:space="0" w:color="auto"/>
        <w:bottom w:val="none" w:sz="0" w:space="0" w:color="auto"/>
        <w:right w:val="none" w:sz="0" w:space="0" w:color="auto"/>
      </w:divBdr>
    </w:div>
    <w:div w:id="699430775">
      <w:bodyDiv w:val="1"/>
      <w:marLeft w:val="0"/>
      <w:marRight w:val="0"/>
      <w:marTop w:val="0"/>
      <w:marBottom w:val="0"/>
      <w:divBdr>
        <w:top w:val="none" w:sz="0" w:space="0" w:color="auto"/>
        <w:left w:val="none" w:sz="0" w:space="0" w:color="auto"/>
        <w:bottom w:val="none" w:sz="0" w:space="0" w:color="auto"/>
        <w:right w:val="none" w:sz="0" w:space="0" w:color="auto"/>
      </w:divBdr>
    </w:div>
    <w:div w:id="703098959">
      <w:bodyDiv w:val="1"/>
      <w:marLeft w:val="0"/>
      <w:marRight w:val="0"/>
      <w:marTop w:val="0"/>
      <w:marBottom w:val="0"/>
      <w:divBdr>
        <w:top w:val="none" w:sz="0" w:space="0" w:color="auto"/>
        <w:left w:val="none" w:sz="0" w:space="0" w:color="auto"/>
        <w:bottom w:val="none" w:sz="0" w:space="0" w:color="auto"/>
        <w:right w:val="none" w:sz="0" w:space="0" w:color="auto"/>
      </w:divBdr>
    </w:div>
    <w:div w:id="708727052">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12460388">
      <w:bodyDiv w:val="1"/>
      <w:marLeft w:val="0"/>
      <w:marRight w:val="0"/>
      <w:marTop w:val="0"/>
      <w:marBottom w:val="0"/>
      <w:divBdr>
        <w:top w:val="none" w:sz="0" w:space="0" w:color="auto"/>
        <w:left w:val="none" w:sz="0" w:space="0" w:color="auto"/>
        <w:bottom w:val="none" w:sz="0" w:space="0" w:color="auto"/>
        <w:right w:val="none" w:sz="0" w:space="0" w:color="auto"/>
      </w:divBdr>
    </w:div>
    <w:div w:id="712802161">
      <w:bodyDiv w:val="1"/>
      <w:marLeft w:val="0"/>
      <w:marRight w:val="0"/>
      <w:marTop w:val="0"/>
      <w:marBottom w:val="0"/>
      <w:divBdr>
        <w:top w:val="none" w:sz="0" w:space="0" w:color="auto"/>
        <w:left w:val="none" w:sz="0" w:space="0" w:color="auto"/>
        <w:bottom w:val="none" w:sz="0" w:space="0" w:color="auto"/>
        <w:right w:val="none" w:sz="0" w:space="0" w:color="auto"/>
      </w:divBdr>
    </w:div>
    <w:div w:id="721176932">
      <w:bodyDiv w:val="1"/>
      <w:marLeft w:val="0"/>
      <w:marRight w:val="0"/>
      <w:marTop w:val="0"/>
      <w:marBottom w:val="0"/>
      <w:divBdr>
        <w:top w:val="none" w:sz="0" w:space="0" w:color="auto"/>
        <w:left w:val="none" w:sz="0" w:space="0" w:color="auto"/>
        <w:bottom w:val="none" w:sz="0" w:space="0" w:color="auto"/>
        <w:right w:val="none" w:sz="0" w:space="0" w:color="auto"/>
      </w:divBdr>
    </w:div>
    <w:div w:id="723065159">
      <w:bodyDiv w:val="1"/>
      <w:marLeft w:val="0"/>
      <w:marRight w:val="0"/>
      <w:marTop w:val="0"/>
      <w:marBottom w:val="0"/>
      <w:divBdr>
        <w:top w:val="none" w:sz="0" w:space="0" w:color="auto"/>
        <w:left w:val="none" w:sz="0" w:space="0" w:color="auto"/>
        <w:bottom w:val="none" w:sz="0" w:space="0" w:color="auto"/>
        <w:right w:val="none" w:sz="0" w:space="0" w:color="auto"/>
      </w:divBdr>
    </w:div>
    <w:div w:id="733429566">
      <w:bodyDiv w:val="1"/>
      <w:marLeft w:val="0"/>
      <w:marRight w:val="0"/>
      <w:marTop w:val="0"/>
      <w:marBottom w:val="0"/>
      <w:divBdr>
        <w:top w:val="none" w:sz="0" w:space="0" w:color="auto"/>
        <w:left w:val="none" w:sz="0" w:space="0" w:color="auto"/>
        <w:bottom w:val="none" w:sz="0" w:space="0" w:color="auto"/>
        <w:right w:val="none" w:sz="0" w:space="0" w:color="auto"/>
      </w:divBdr>
    </w:div>
    <w:div w:id="734015413">
      <w:bodyDiv w:val="1"/>
      <w:marLeft w:val="0"/>
      <w:marRight w:val="0"/>
      <w:marTop w:val="0"/>
      <w:marBottom w:val="0"/>
      <w:divBdr>
        <w:top w:val="none" w:sz="0" w:space="0" w:color="auto"/>
        <w:left w:val="none" w:sz="0" w:space="0" w:color="auto"/>
        <w:bottom w:val="none" w:sz="0" w:space="0" w:color="auto"/>
        <w:right w:val="none" w:sz="0" w:space="0" w:color="auto"/>
      </w:divBdr>
    </w:div>
    <w:div w:id="749079762">
      <w:bodyDiv w:val="1"/>
      <w:marLeft w:val="0"/>
      <w:marRight w:val="0"/>
      <w:marTop w:val="0"/>
      <w:marBottom w:val="0"/>
      <w:divBdr>
        <w:top w:val="none" w:sz="0" w:space="0" w:color="auto"/>
        <w:left w:val="none" w:sz="0" w:space="0" w:color="auto"/>
        <w:bottom w:val="none" w:sz="0" w:space="0" w:color="auto"/>
        <w:right w:val="none" w:sz="0" w:space="0" w:color="auto"/>
      </w:divBdr>
    </w:div>
    <w:div w:id="751511449">
      <w:bodyDiv w:val="1"/>
      <w:marLeft w:val="0"/>
      <w:marRight w:val="0"/>
      <w:marTop w:val="0"/>
      <w:marBottom w:val="0"/>
      <w:divBdr>
        <w:top w:val="none" w:sz="0" w:space="0" w:color="auto"/>
        <w:left w:val="none" w:sz="0" w:space="0" w:color="auto"/>
        <w:bottom w:val="none" w:sz="0" w:space="0" w:color="auto"/>
        <w:right w:val="none" w:sz="0" w:space="0" w:color="auto"/>
      </w:divBdr>
    </w:div>
    <w:div w:id="754399019">
      <w:bodyDiv w:val="1"/>
      <w:marLeft w:val="0"/>
      <w:marRight w:val="0"/>
      <w:marTop w:val="0"/>
      <w:marBottom w:val="0"/>
      <w:divBdr>
        <w:top w:val="none" w:sz="0" w:space="0" w:color="auto"/>
        <w:left w:val="none" w:sz="0" w:space="0" w:color="auto"/>
        <w:bottom w:val="none" w:sz="0" w:space="0" w:color="auto"/>
        <w:right w:val="none" w:sz="0" w:space="0" w:color="auto"/>
      </w:divBdr>
    </w:div>
    <w:div w:id="760417417">
      <w:bodyDiv w:val="1"/>
      <w:marLeft w:val="0"/>
      <w:marRight w:val="0"/>
      <w:marTop w:val="0"/>
      <w:marBottom w:val="0"/>
      <w:divBdr>
        <w:top w:val="none" w:sz="0" w:space="0" w:color="auto"/>
        <w:left w:val="none" w:sz="0" w:space="0" w:color="auto"/>
        <w:bottom w:val="none" w:sz="0" w:space="0" w:color="auto"/>
        <w:right w:val="none" w:sz="0" w:space="0" w:color="auto"/>
      </w:divBdr>
    </w:div>
    <w:div w:id="773210422">
      <w:bodyDiv w:val="1"/>
      <w:marLeft w:val="0"/>
      <w:marRight w:val="0"/>
      <w:marTop w:val="0"/>
      <w:marBottom w:val="0"/>
      <w:divBdr>
        <w:top w:val="none" w:sz="0" w:space="0" w:color="auto"/>
        <w:left w:val="none" w:sz="0" w:space="0" w:color="auto"/>
        <w:bottom w:val="none" w:sz="0" w:space="0" w:color="auto"/>
        <w:right w:val="none" w:sz="0" w:space="0" w:color="auto"/>
      </w:divBdr>
    </w:div>
    <w:div w:id="773980672">
      <w:bodyDiv w:val="1"/>
      <w:marLeft w:val="0"/>
      <w:marRight w:val="0"/>
      <w:marTop w:val="0"/>
      <w:marBottom w:val="0"/>
      <w:divBdr>
        <w:top w:val="none" w:sz="0" w:space="0" w:color="auto"/>
        <w:left w:val="none" w:sz="0" w:space="0" w:color="auto"/>
        <w:bottom w:val="none" w:sz="0" w:space="0" w:color="auto"/>
        <w:right w:val="none" w:sz="0" w:space="0" w:color="auto"/>
      </w:divBdr>
    </w:div>
    <w:div w:id="778572535">
      <w:bodyDiv w:val="1"/>
      <w:marLeft w:val="0"/>
      <w:marRight w:val="0"/>
      <w:marTop w:val="0"/>
      <w:marBottom w:val="0"/>
      <w:divBdr>
        <w:top w:val="none" w:sz="0" w:space="0" w:color="auto"/>
        <w:left w:val="none" w:sz="0" w:space="0" w:color="auto"/>
        <w:bottom w:val="none" w:sz="0" w:space="0" w:color="auto"/>
        <w:right w:val="none" w:sz="0" w:space="0" w:color="auto"/>
      </w:divBdr>
    </w:div>
    <w:div w:id="783109717">
      <w:bodyDiv w:val="1"/>
      <w:marLeft w:val="0"/>
      <w:marRight w:val="0"/>
      <w:marTop w:val="0"/>
      <w:marBottom w:val="0"/>
      <w:divBdr>
        <w:top w:val="none" w:sz="0" w:space="0" w:color="auto"/>
        <w:left w:val="none" w:sz="0" w:space="0" w:color="auto"/>
        <w:bottom w:val="none" w:sz="0" w:space="0" w:color="auto"/>
        <w:right w:val="none" w:sz="0" w:space="0" w:color="auto"/>
      </w:divBdr>
    </w:div>
    <w:div w:id="790435981">
      <w:bodyDiv w:val="1"/>
      <w:marLeft w:val="0"/>
      <w:marRight w:val="0"/>
      <w:marTop w:val="0"/>
      <w:marBottom w:val="0"/>
      <w:divBdr>
        <w:top w:val="none" w:sz="0" w:space="0" w:color="auto"/>
        <w:left w:val="none" w:sz="0" w:space="0" w:color="auto"/>
        <w:bottom w:val="none" w:sz="0" w:space="0" w:color="auto"/>
        <w:right w:val="none" w:sz="0" w:space="0" w:color="auto"/>
      </w:divBdr>
    </w:div>
    <w:div w:id="793983553">
      <w:bodyDiv w:val="1"/>
      <w:marLeft w:val="0"/>
      <w:marRight w:val="0"/>
      <w:marTop w:val="0"/>
      <w:marBottom w:val="0"/>
      <w:divBdr>
        <w:top w:val="none" w:sz="0" w:space="0" w:color="auto"/>
        <w:left w:val="none" w:sz="0" w:space="0" w:color="auto"/>
        <w:bottom w:val="none" w:sz="0" w:space="0" w:color="auto"/>
        <w:right w:val="none" w:sz="0" w:space="0" w:color="auto"/>
      </w:divBdr>
    </w:div>
    <w:div w:id="798885888">
      <w:bodyDiv w:val="1"/>
      <w:marLeft w:val="0"/>
      <w:marRight w:val="0"/>
      <w:marTop w:val="0"/>
      <w:marBottom w:val="0"/>
      <w:divBdr>
        <w:top w:val="none" w:sz="0" w:space="0" w:color="auto"/>
        <w:left w:val="none" w:sz="0" w:space="0" w:color="auto"/>
        <w:bottom w:val="none" w:sz="0" w:space="0" w:color="auto"/>
        <w:right w:val="none" w:sz="0" w:space="0" w:color="auto"/>
      </w:divBdr>
    </w:div>
    <w:div w:id="801382015">
      <w:bodyDiv w:val="1"/>
      <w:marLeft w:val="0"/>
      <w:marRight w:val="0"/>
      <w:marTop w:val="0"/>
      <w:marBottom w:val="0"/>
      <w:divBdr>
        <w:top w:val="none" w:sz="0" w:space="0" w:color="auto"/>
        <w:left w:val="none" w:sz="0" w:space="0" w:color="auto"/>
        <w:bottom w:val="none" w:sz="0" w:space="0" w:color="auto"/>
        <w:right w:val="none" w:sz="0" w:space="0" w:color="auto"/>
      </w:divBdr>
    </w:div>
    <w:div w:id="804009757">
      <w:bodyDiv w:val="1"/>
      <w:marLeft w:val="0"/>
      <w:marRight w:val="0"/>
      <w:marTop w:val="0"/>
      <w:marBottom w:val="0"/>
      <w:divBdr>
        <w:top w:val="none" w:sz="0" w:space="0" w:color="auto"/>
        <w:left w:val="none" w:sz="0" w:space="0" w:color="auto"/>
        <w:bottom w:val="none" w:sz="0" w:space="0" w:color="auto"/>
        <w:right w:val="none" w:sz="0" w:space="0" w:color="auto"/>
      </w:divBdr>
    </w:div>
    <w:div w:id="811405099">
      <w:bodyDiv w:val="1"/>
      <w:marLeft w:val="0"/>
      <w:marRight w:val="0"/>
      <w:marTop w:val="0"/>
      <w:marBottom w:val="0"/>
      <w:divBdr>
        <w:top w:val="none" w:sz="0" w:space="0" w:color="auto"/>
        <w:left w:val="none" w:sz="0" w:space="0" w:color="auto"/>
        <w:bottom w:val="none" w:sz="0" w:space="0" w:color="auto"/>
        <w:right w:val="none" w:sz="0" w:space="0" w:color="auto"/>
      </w:divBdr>
    </w:div>
    <w:div w:id="816532251">
      <w:bodyDiv w:val="1"/>
      <w:marLeft w:val="0"/>
      <w:marRight w:val="0"/>
      <w:marTop w:val="0"/>
      <w:marBottom w:val="0"/>
      <w:divBdr>
        <w:top w:val="none" w:sz="0" w:space="0" w:color="auto"/>
        <w:left w:val="none" w:sz="0" w:space="0" w:color="auto"/>
        <w:bottom w:val="none" w:sz="0" w:space="0" w:color="auto"/>
        <w:right w:val="none" w:sz="0" w:space="0" w:color="auto"/>
      </w:divBdr>
    </w:div>
    <w:div w:id="825710420">
      <w:bodyDiv w:val="1"/>
      <w:marLeft w:val="0"/>
      <w:marRight w:val="0"/>
      <w:marTop w:val="0"/>
      <w:marBottom w:val="0"/>
      <w:divBdr>
        <w:top w:val="none" w:sz="0" w:space="0" w:color="auto"/>
        <w:left w:val="none" w:sz="0" w:space="0" w:color="auto"/>
        <w:bottom w:val="none" w:sz="0" w:space="0" w:color="auto"/>
        <w:right w:val="none" w:sz="0" w:space="0" w:color="auto"/>
      </w:divBdr>
    </w:div>
    <w:div w:id="833181313">
      <w:bodyDiv w:val="1"/>
      <w:marLeft w:val="0"/>
      <w:marRight w:val="0"/>
      <w:marTop w:val="0"/>
      <w:marBottom w:val="0"/>
      <w:divBdr>
        <w:top w:val="none" w:sz="0" w:space="0" w:color="auto"/>
        <w:left w:val="none" w:sz="0" w:space="0" w:color="auto"/>
        <w:bottom w:val="none" w:sz="0" w:space="0" w:color="auto"/>
        <w:right w:val="none" w:sz="0" w:space="0" w:color="auto"/>
      </w:divBdr>
    </w:div>
    <w:div w:id="834805453">
      <w:bodyDiv w:val="1"/>
      <w:marLeft w:val="0"/>
      <w:marRight w:val="0"/>
      <w:marTop w:val="0"/>
      <w:marBottom w:val="0"/>
      <w:divBdr>
        <w:top w:val="none" w:sz="0" w:space="0" w:color="auto"/>
        <w:left w:val="none" w:sz="0" w:space="0" w:color="auto"/>
        <w:bottom w:val="none" w:sz="0" w:space="0" w:color="auto"/>
        <w:right w:val="none" w:sz="0" w:space="0" w:color="auto"/>
      </w:divBdr>
    </w:div>
    <w:div w:id="843134428">
      <w:bodyDiv w:val="1"/>
      <w:marLeft w:val="0"/>
      <w:marRight w:val="0"/>
      <w:marTop w:val="0"/>
      <w:marBottom w:val="0"/>
      <w:divBdr>
        <w:top w:val="none" w:sz="0" w:space="0" w:color="auto"/>
        <w:left w:val="none" w:sz="0" w:space="0" w:color="auto"/>
        <w:bottom w:val="none" w:sz="0" w:space="0" w:color="auto"/>
        <w:right w:val="none" w:sz="0" w:space="0" w:color="auto"/>
      </w:divBdr>
    </w:div>
    <w:div w:id="843863618">
      <w:bodyDiv w:val="1"/>
      <w:marLeft w:val="0"/>
      <w:marRight w:val="0"/>
      <w:marTop w:val="0"/>
      <w:marBottom w:val="0"/>
      <w:divBdr>
        <w:top w:val="none" w:sz="0" w:space="0" w:color="auto"/>
        <w:left w:val="none" w:sz="0" w:space="0" w:color="auto"/>
        <w:bottom w:val="none" w:sz="0" w:space="0" w:color="auto"/>
        <w:right w:val="none" w:sz="0" w:space="0" w:color="auto"/>
      </w:divBdr>
    </w:div>
    <w:div w:id="846796938">
      <w:bodyDiv w:val="1"/>
      <w:marLeft w:val="0"/>
      <w:marRight w:val="0"/>
      <w:marTop w:val="0"/>
      <w:marBottom w:val="0"/>
      <w:divBdr>
        <w:top w:val="none" w:sz="0" w:space="0" w:color="auto"/>
        <w:left w:val="none" w:sz="0" w:space="0" w:color="auto"/>
        <w:bottom w:val="none" w:sz="0" w:space="0" w:color="auto"/>
        <w:right w:val="none" w:sz="0" w:space="0" w:color="auto"/>
      </w:divBdr>
    </w:div>
    <w:div w:id="848327342">
      <w:bodyDiv w:val="1"/>
      <w:marLeft w:val="0"/>
      <w:marRight w:val="0"/>
      <w:marTop w:val="0"/>
      <w:marBottom w:val="0"/>
      <w:divBdr>
        <w:top w:val="none" w:sz="0" w:space="0" w:color="auto"/>
        <w:left w:val="none" w:sz="0" w:space="0" w:color="auto"/>
        <w:bottom w:val="none" w:sz="0" w:space="0" w:color="auto"/>
        <w:right w:val="none" w:sz="0" w:space="0" w:color="auto"/>
      </w:divBdr>
    </w:div>
    <w:div w:id="849370984">
      <w:bodyDiv w:val="1"/>
      <w:marLeft w:val="0"/>
      <w:marRight w:val="0"/>
      <w:marTop w:val="0"/>
      <w:marBottom w:val="0"/>
      <w:divBdr>
        <w:top w:val="none" w:sz="0" w:space="0" w:color="auto"/>
        <w:left w:val="none" w:sz="0" w:space="0" w:color="auto"/>
        <w:bottom w:val="none" w:sz="0" w:space="0" w:color="auto"/>
        <w:right w:val="none" w:sz="0" w:space="0" w:color="auto"/>
      </w:divBdr>
    </w:div>
    <w:div w:id="850950826">
      <w:bodyDiv w:val="1"/>
      <w:marLeft w:val="0"/>
      <w:marRight w:val="0"/>
      <w:marTop w:val="0"/>
      <w:marBottom w:val="0"/>
      <w:divBdr>
        <w:top w:val="none" w:sz="0" w:space="0" w:color="auto"/>
        <w:left w:val="none" w:sz="0" w:space="0" w:color="auto"/>
        <w:bottom w:val="none" w:sz="0" w:space="0" w:color="auto"/>
        <w:right w:val="none" w:sz="0" w:space="0" w:color="auto"/>
      </w:divBdr>
    </w:div>
    <w:div w:id="854422393">
      <w:bodyDiv w:val="1"/>
      <w:marLeft w:val="0"/>
      <w:marRight w:val="0"/>
      <w:marTop w:val="0"/>
      <w:marBottom w:val="0"/>
      <w:divBdr>
        <w:top w:val="none" w:sz="0" w:space="0" w:color="auto"/>
        <w:left w:val="none" w:sz="0" w:space="0" w:color="auto"/>
        <w:bottom w:val="none" w:sz="0" w:space="0" w:color="auto"/>
        <w:right w:val="none" w:sz="0" w:space="0" w:color="auto"/>
      </w:divBdr>
    </w:div>
    <w:div w:id="858200672">
      <w:bodyDiv w:val="1"/>
      <w:marLeft w:val="0"/>
      <w:marRight w:val="0"/>
      <w:marTop w:val="0"/>
      <w:marBottom w:val="0"/>
      <w:divBdr>
        <w:top w:val="none" w:sz="0" w:space="0" w:color="auto"/>
        <w:left w:val="none" w:sz="0" w:space="0" w:color="auto"/>
        <w:bottom w:val="none" w:sz="0" w:space="0" w:color="auto"/>
        <w:right w:val="none" w:sz="0" w:space="0" w:color="auto"/>
      </w:divBdr>
    </w:div>
    <w:div w:id="861287848">
      <w:bodyDiv w:val="1"/>
      <w:marLeft w:val="0"/>
      <w:marRight w:val="0"/>
      <w:marTop w:val="0"/>
      <w:marBottom w:val="0"/>
      <w:divBdr>
        <w:top w:val="none" w:sz="0" w:space="0" w:color="auto"/>
        <w:left w:val="none" w:sz="0" w:space="0" w:color="auto"/>
        <w:bottom w:val="none" w:sz="0" w:space="0" w:color="auto"/>
        <w:right w:val="none" w:sz="0" w:space="0" w:color="auto"/>
      </w:divBdr>
    </w:div>
    <w:div w:id="864558313">
      <w:bodyDiv w:val="1"/>
      <w:marLeft w:val="0"/>
      <w:marRight w:val="0"/>
      <w:marTop w:val="0"/>
      <w:marBottom w:val="0"/>
      <w:divBdr>
        <w:top w:val="none" w:sz="0" w:space="0" w:color="auto"/>
        <w:left w:val="none" w:sz="0" w:space="0" w:color="auto"/>
        <w:bottom w:val="none" w:sz="0" w:space="0" w:color="auto"/>
        <w:right w:val="none" w:sz="0" w:space="0" w:color="auto"/>
      </w:divBdr>
    </w:div>
    <w:div w:id="866023792">
      <w:bodyDiv w:val="1"/>
      <w:marLeft w:val="0"/>
      <w:marRight w:val="0"/>
      <w:marTop w:val="0"/>
      <w:marBottom w:val="0"/>
      <w:divBdr>
        <w:top w:val="none" w:sz="0" w:space="0" w:color="auto"/>
        <w:left w:val="none" w:sz="0" w:space="0" w:color="auto"/>
        <w:bottom w:val="none" w:sz="0" w:space="0" w:color="auto"/>
        <w:right w:val="none" w:sz="0" w:space="0" w:color="auto"/>
      </w:divBdr>
    </w:div>
    <w:div w:id="869416187">
      <w:bodyDiv w:val="1"/>
      <w:marLeft w:val="0"/>
      <w:marRight w:val="0"/>
      <w:marTop w:val="0"/>
      <w:marBottom w:val="0"/>
      <w:divBdr>
        <w:top w:val="none" w:sz="0" w:space="0" w:color="auto"/>
        <w:left w:val="none" w:sz="0" w:space="0" w:color="auto"/>
        <w:bottom w:val="none" w:sz="0" w:space="0" w:color="auto"/>
        <w:right w:val="none" w:sz="0" w:space="0" w:color="auto"/>
      </w:divBdr>
    </w:div>
    <w:div w:id="872618344">
      <w:bodyDiv w:val="1"/>
      <w:marLeft w:val="0"/>
      <w:marRight w:val="0"/>
      <w:marTop w:val="0"/>
      <w:marBottom w:val="0"/>
      <w:divBdr>
        <w:top w:val="none" w:sz="0" w:space="0" w:color="auto"/>
        <w:left w:val="none" w:sz="0" w:space="0" w:color="auto"/>
        <w:bottom w:val="none" w:sz="0" w:space="0" w:color="auto"/>
        <w:right w:val="none" w:sz="0" w:space="0" w:color="auto"/>
      </w:divBdr>
    </w:div>
    <w:div w:id="896936816">
      <w:bodyDiv w:val="1"/>
      <w:marLeft w:val="0"/>
      <w:marRight w:val="0"/>
      <w:marTop w:val="0"/>
      <w:marBottom w:val="0"/>
      <w:divBdr>
        <w:top w:val="none" w:sz="0" w:space="0" w:color="auto"/>
        <w:left w:val="none" w:sz="0" w:space="0" w:color="auto"/>
        <w:bottom w:val="none" w:sz="0" w:space="0" w:color="auto"/>
        <w:right w:val="none" w:sz="0" w:space="0" w:color="auto"/>
      </w:divBdr>
    </w:div>
    <w:div w:id="903030375">
      <w:bodyDiv w:val="1"/>
      <w:marLeft w:val="0"/>
      <w:marRight w:val="0"/>
      <w:marTop w:val="0"/>
      <w:marBottom w:val="0"/>
      <w:divBdr>
        <w:top w:val="none" w:sz="0" w:space="0" w:color="auto"/>
        <w:left w:val="none" w:sz="0" w:space="0" w:color="auto"/>
        <w:bottom w:val="none" w:sz="0" w:space="0" w:color="auto"/>
        <w:right w:val="none" w:sz="0" w:space="0" w:color="auto"/>
      </w:divBdr>
    </w:div>
    <w:div w:id="903832249">
      <w:bodyDiv w:val="1"/>
      <w:marLeft w:val="0"/>
      <w:marRight w:val="0"/>
      <w:marTop w:val="0"/>
      <w:marBottom w:val="0"/>
      <w:divBdr>
        <w:top w:val="none" w:sz="0" w:space="0" w:color="auto"/>
        <w:left w:val="none" w:sz="0" w:space="0" w:color="auto"/>
        <w:bottom w:val="none" w:sz="0" w:space="0" w:color="auto"/>
        <w:right w:val="none" w:sz="0" w:space="0" w:color="auto"/>
      </w:divBdr>
    </w:div>
    <w:div w:id="914707766">
      <w:bodyDiv w:val="1"/>
      <w:marLeft w:val="0"/>
      <w:marRight w:val="0"/>
      <w:marTop w:val="0"/>
      <w:marBottom w:val="0"/>
      <w:divBdr>
        <w:top w:val="none" w:sz="0" w:space="0" w:color="auto"/>
        <w:left w:val="none" w:sz="0" w:space="0" w:color="auto"/>
        <w:bottom w:val="none" w:sz="0" w:space="0" w:color="auto"/>
        <w:right w:val="none" w:sz="0" w:space="0" w:color="auto"/>
      </w:divBdr>
    </w:div>
    <w:div w:id="915824877">
      <w:bodyDiv w:val="1"/>
      <w:marLeft w:val="0"/>
      <w:marRight w:val="0"/>
      <w:marTop w:val="0"/>
      <w:marBottom w:val="0"/>
      <w:divBdr>
        <w:top w:val="none" w:sz="0" w:space="0" w:color="auto"/>
        <w:left w:val="none" w:sz="0" w:space="0" w:color="auto"/>
        <w:bottom w:val="none" w:sz="0" w:space="0" w:color="auto"/>
        <w:right w:val="none" w:sz="0" w:space="0" w:color="auto"/>
      </w:divBdr>
    </w:div>
    <w:div w:id="919559507">
      <w:bodyDiv w:val="1"/>
      <w:marLeft w:val="0"/>
      <w:marRight w:val="0"/>
      <w:marTop w:val="0"/>
      <w:marBottom w:val="0"/>
      <w:divBdr>
        <w:top w:val="none" w:sz="0" w:space="0" w:color="auto"/>
        <w:left w:val="none" w:sz="0" w:space="0" w:color="auto"/>
        <w:bottom w:val="none" w:sz="0" w:space="0" w:color="auto"/>
        <w:right w:val="none" w:sz="0" w:space="0" w:color="auto"/>
      </w:divBdr>
    </w:div>
    <w:div w:id="928345183">
      <w:bodyDiv w:val="1"/>
      <w:marLeft w:val="0"/>
      <w:marRight w:val="0"/>
      <w:marTop w:val="0"/>
      <w:marBottom w:val="0"/>
      <w:divBdr>
        <w:top w:val="none" w:sz="0" w:space="0" w:color="auto"/>
        <w:left w:val="none" w:sz="0" w:space="0" w:color="auto"/>
        <w:bottom w:val="none" w:sz="0" w:space="0" w:color="auto"/>
        <w:right w:val="none" w:sz="0" w:space="0" w:color="auto"/>
      </w:divBdr>
    </w:div>
    <w:div w:id="931088203">
      <w:bodyDiv w:val="1"/>
      <w:marLeft w:val="0"/>
      <w:marRight w:val="0"/>
      <w:marTop w:val="0"/>
      <w:marBottom w:val="0"/>
      <w:divBdr>
        <w:top w:val="none" w:sz="0" w:space="0" w:color="auto"/>
        <w:left w:val="none" w:sz="0" w:space="0" w:color="auto"/>
        <w:bottom w:val="none" w:sz="0" w:space="0" w:color="auto"/>
        <w:right w:val="none" w:sz="0" w:space="0" w:color="auto"/>
      </w:divBdr>
    </w:div>
    <w:div w:id="946428008">
      <w:bodyDiv w:val="1"/>
      <w:marLeft w:val="0"/>
      <w:marRight w:val="0"/>
      <w:marTop w:val="0"/>
      <w:marBottom w:val="0"/>
      <w:divBdr>
        <w:top w:val="none" w:sz="0" w:space="0" w:color="auto"/>
        <w:left w:val="none" w:sz="0" w:space="0" w:color="auto"/>
        <w:bottom w:val="none" w:sz="0" w:space="0" w:color="auto"/>
        <w:right w:val="none" w:sz="0" w:space="0" w:color="auto"/>
      </w:divBdr>
    </w:div>
    <w:div w:id="946501637">
      <w:bodyDiv w:val="1"/>
      <w:marLeft w:val="0"/>
      <w:marRight w:val="0"/>
      <w:marTop w:val="0"/>
      <w:marBottom w:val="0"/>
      <w:divBdr>
        <w:top w:val="none" w:sz="0" w:space="0" w:color="auto"/>
        <w:left w:val="none" w:sz="0" w:space="0" w:color="auto"/>
        <w:bottom w:val="none" w:sz="0" w:space="0" w:color="auto"/>
        <w:right w:val="none" w:sz="0" w:space="0" w:color="auto"/>
      </w:divBdr>
    </w:div>
    <w:div w:id="947934277">
      <w:bodyDiv w:val="1"/>
      <w:marLeft w:val="0"/>
      <w:marRight w:val="0"/>
      <w:marTop w:val="0"/>
      <w:marBottom w:val="0"/>
      <w:divBdr>
        <w:top w:val="none" w:sz="0" w:space="0" w:color="auto"/>
        <w:left w:val="none" w:sz="0" w:space="0" w:color="auto"/>
        <w:bottom w:val="none" w:sz="0" w:space="0" w:color="auto"/>
        <w:right w:val="none" w:sz="0" w:space="0" w:color="auto"/>
      </w:divBdr>
    </w:div>
    <w:div w:id="950090756">
      <w:bodyDiv w:val="1"/>
      <w:marLeft w:val="0"/>
      <w:marRight w:val="0"/>
      <w:marTop w:val="0"/>
      <w:marBottom w:val="0"/>
      <w:divBdr>
        <w:top w:val="none" w:sz="0" w:space="0" w:color="auto"/>
        <w:left w:val="none" w:sz="0" w:space="0" w:color="auto"/>
        <w:bottom w:val="none" w:sz="0" w:space="0" w:color="auto"/>
        <w:right w:val="none" w:sz="0" w:space="0" w:color="auto"/>
      </w:divBdr>
    </w:div>
    <w:div w:id="950822896">
      <w:bodyDiv w:val="1"/>
      <w:marLeft w:val="0"/>
      <w:marRight w:val="0"/>
      <w:marTop w:val="0"/>
      <w:marBottom w:val="0"/>
      <w:divBdr>
        <w:top w:val="none" w:sz="0" w:space="0" w:color="auto"/>
        <w:left w:val="none" w:sz="0" w:space="0" w:color="auto"/>
        <w:bottom w:val="none" w:sz="0" w:space="0" w:color="auto"/>
        <w:right w:val="none" w:sz="0" w:space="0" w:color="auto"/>
      </w:divBdr>
    </w:div>
    <w:div w:id="961498198">
      <w:bodyDiv w:val="1"/>
      <w:marLeft w:val="0"/>
      <w:marRight w:val="0"/>
      <w:marTop w:val="0"/>
      <w:marBottom w:val="0"/>
      <w:divBdr>
        <w:top w:val="none" w:sz="0" w:space="0" w:color="auto"/>
        <w:left w:val="none" w:sz="0" w:space="0" w:color="auto"/>
        <w:bottom w:val="none" w:sz="0" w:space="0" w:color="auto"/>
        <w:right w:val="none" w:sz="0" w:space="0" w:color="auto"/>
      </w:divBdr>
    </w:div>
    <w:div w:id="967398439">
      <w:bodyDiv w:val="1"/>
      <w:marLeft w:val="0"/>
      <w:marRight w:val="0"/>
      <w:marTop w:val="0"/>
      <w:marBottom w:val="0"/>
      <w:divBdr>
        <w:top w:val="none" w:sz="0" w:space="0" w:color="auto"/>
        <w:left w:val="none" w:sz="0" w:space="0" w:color="auto"/>
        <w:bottom w:val="none" w:sz="0" w:space="0" w:color="auto"/>
        <w:right w:val="none" w:sz="0" w:space="0" w:color="auto"/>
      </w:divBdr>
    </w:div>
    <w:div w:id="968784595">
      <w:bodyDiv w:val="1"/>
      <w:marLeft w:val="0"/>
      <w:marRight w:val="0"/>
      <w:marTop w:val="0"/>
      <w:marBottom w:val="0"/>
      <w:divBdr>
        <w:top w:val="none" w:sz="0" w:space="0" w:color="auto"/>
        <w:left w:val="none" w:sz="0" w:space="0" w:color="auto"/>
        <w:bottom w:val="none" w:sz="0" w:space="0" w:color="auto"/>
        <w:right w:val="none" w:sz="0" w:space="0" w:color="auto"/>
      </w:divBdr>
    </w:div>
    <w:div w:id="977150427">
      <w:bodyDiv w:val="1"/>
      <w:marLeft w:val="0"/>
      <w:marRight w:val="0"/>
      <w:marTop w:val="0"/>
      <w:marBottom w:val="0"/>
      <w:divBdr>
        <w:top w:val="none" w:sz="0" w:space="0" w:color="auto"/>
        <w:left w:val="none" w:sz="0" w:space="0" w:color="auto"/>
        <w:bottom w:val="none" w:sz="0" w:space="0" w:color="auto"/>
        <w:right w:val="none" w:sz="0" w:space="0" w:color="auto"/>
      </w:divBdr>
    </w:div>
    <w:div w:id="977538868">
      <w:bodyDiv w:val="1"/>
      <w:marLeft w:val="0"/>
      <w:marRight w:val="0"/>
      <w:marTop w:val="0"/>
      <w:marBottom w:val="0"/>
      <w:divBdr>
        <w:top w:val="none" w:sz="0" w:space="0" w:color="auto"/>
        <w:left w:val="none" w:sz="0" w:space="0" w:color="auto"/>
        <w:bottom w:val="none" w:sz="0" w:space="0" w:color="auto"/>
        <w:right w:val="none" w:sz="0" w:space="0" w:color="auto"/>
      </w:divBdr>
    </w:div>
    <w:div w:id="979260664">
      <w:bodyDiv w:val="1"/>
      <w:marLeft w:val="0"/>
      <w:marRight w:val="0"/>
      <w:marTop w:val="0"/>
      <w:marBottom w:val="0"/>
      <w:divBdr>
        <w:top w:val="none" w:sz="0" w:space="0" w:color="auto"/>
        <w:left w:val="none" w:sz="0" w:space="0" w:color="auto"/>
        <w:bottom w:val="none" w:sz="0" w:space="0" w:color="auto"/>
        <w:right w:val="none" w:sz="0" w:space="0" w:color="auto"/>
      </w:divBdr>
    </w:div>
    <w:div w:id="984237323">
      <w:bodyDiv w:val="1"/>
      <w:marLeft w:val="0"/>
      <w:marRight w:val="0"/>
      <w:marTop w:val="0"/>
      <w:marBottom w:val="0"/>
      <w:divBdr>
        <w:top w:val="none" w:sz="0" w:space="0" w:color="auto"/>
        <w:left w:val="none" w:sz="0" w:space="0" w:color="auto"/>
        <w:bottom w:val="none" w:sz="0" w:space="0" w:color="auto"/>
        <w:right w:val="none" w:sz="0" w:space="0" w:color="auto"/>
      </w:divBdr>
    </w:div>
    <w:div w:id="985938506">
      <w:bodyDiv w:val="1"/>
      <w:marLeft w:val="0"/>
      <w:marRight w:val="0"/>
      <w:marTop w:val="0"/>
      <w:marBottom w:val="0"/>
      <w:divBdr>
        <w:top w:val="none" w:sz="0" w:space="0" w:color="auto"/>
        <w:left w:val="none" w:sz="0" w:space="0" w:color="auto"/>
        <w:bottom w:val="none" w:sz="0" w:space="0" w:color="auto"/>
        <w:right w:val="none" w:sz="0" w:space="0" w:color="auto"/>
      </w:divBdr>
    </w:div>
    <w:div w:id="993491802">
      <w:bodyDiv w:val="1"/>
      <w:marLeft w:val="0"/>
      <w:marRight w:val="0"/>
      <w:marTop w:val="0"/>
      <w:marBottom w:val="0"/>
      <w:divBdr>
        <w:top w:val="none" w:sz="0" w:space="0" w:color="auto"/>
        <w:left w:val="none" w:sz="0" w:space="0" w:color="auto"/>
        <w:bottom w:val="none" w:sz="0" w:space="0" w:color="auto"/>
        <w:right w:val="none" w:sz="0" w:space="0" w:color="auto"/>
      </w:divBdr>
    </w:div>
    <w:div w:id="995383076">
      <w:bodyDiv w:val="1"/>
      <w:marLeft w:val="0"/>
      <w:marRight w:val="0"/>
      <w:marTop w:val="0"/>
      <w:marBottom w:val="0"/>
      <w:divBdr>
        <w:top w:val="none" w:sz="0" w:space="0" w:color="auto"/>
        <w:left w:val="none" w:sz="0" w:space="0" w:color="auto"/>
        <w:bottom w:val="none" w:sz="0" w:space="0" w:color="auto"/>
        <w:right w:val="none" w:sz="0" w:space="0" w:color="auto"/>
      </w:divBdr>
    </w:div>
    <w:div w:id="996763451">
      <w:bodyDiv w:val="1"/>
      <w:marLeft w:val="0"/>
      <w:marRight w:val="0"/>
      <w:marTop w:val="0"/>
      <w:marBottom w:val="0"/>
      <w:divBdr>
        <w:top w:val="none" w:sz="0" w:space="0" w:color="auto"/>
        <w:left w:val="none" w:sz="0" w:space="0" w:color="auto"/>
        <w:bottom w:val="none" w:sz="0" w:space="0" w:color="auto"/>
        <w:right w:val="none" w:sz="0" w:space="0" w:color="auto"/>
      </w:divBdr>
    </w:div>
    <w:div w:id="1002126786">
      <w:bodyDiv w:val="1"/>
      <w:marLeft w:val="0"/>
      <w:marRight w:val="0"/>
      <w:marTop w:val="0"/>
      <w:marBottom w:val="0"/>
      <w:divBdr>
        <w:top w:val="none" w:sz="0" w:space="0" w:color="auto"/>
        <w:left w:val="none" w:sz="0" w:space="0" w:color="auto"/>
        <w:bottom w:val="none" w:sz="0" w:space="0" w:color="auto"/>
        <w:right w:val="none" w:sz="0" w:space="0" w:color="auto"/>
      </w:divBdr>
    </w:div>
    <w:div w:id="1005715937">
      <w:bodyDiv w:val="1"/>
      <w:marLeft w:val="0"/>
      <w:marRight w:val="0"/>
      <w:marTop w:val="0"/>
      <w:marBottom w:val="0"/>
      <w:divBdr>
        <w:top w:val="none" w:sz="0" w:space="0" w:color="auto"/>
        <w:left w:val="none" w:sz="0" w:space="0" w:color="auto"/>
        <w:bottom w:val="none" w:sz="0" w:space="0" w:color="auto"/>
        <w:right w:val="none" w:sz="0" w:space="0" w:color="auto"/>
      </w:divBdr>
    </w:div>
    <w:div w:id="1006707333">
      <w:bodyDiv w:val="1"/>
      <w:marLeft w:val="0"/>
      <w:marRight w:val="0"/>
      <w:marTop w:val="0"/>
      <w:marBottom w:val="0"/>
      <w:divBdr>
        <w:top w:val="none" w:sz="0" w:space="0" w:color="auto"/>
        <w:left w:val="none" w:sz="0" w:space="0" w:color="auto"/>
        <w:bottom w:val="none" w:sz="0" w:space="0" w:color="auto"/>
        <w:right w:val="none" w:sz="0" w:space="0" w:color="auto"/>
      </w:divBdr>
    </w:div>
    <w:div w:id="1013386623">
      <w:bodyDiv w:val="1"/>
      <w:marLeft w:val="0"/>
      <w:marRight w:val="0"/>
      <w:marTop w:val="0"/>
      <w:marBottom w:val="0"/>
      <w:divBdr>
        <w:top w:val="none" w:sz="0" w:space="0" w:color="auto"/>
        <w:left w:val="none" w:sz="0" w:space="0" w:color="auto"/>
        <w:bottom w:val="none" w:sz="0" w:space="0" w:color="auto"/>
        <w:right w:val="none" w:sz="0" w:space="0" w:color="auto"/>
      </w:divBdr>
    </w:div>
    <w:div w:id="1026129261">
      <w:bodyDiv w:val="1"/>
      <w:marLeft w:val="0"/>
      <w:marRight w:val="0"/>
      <w:marTop w:val="0"/>
      <w:marBottom w:val="0"/>
      <w:divBdr>
        <w:top w:val="none" w:sz="0" w:space="0" w:color="auto"/>
        <w:left w:val="none" w:sz="0" w:space="0" w:color="auto"/>
        <w:bottom w:val="none" w:sz="0" w:space="0" w:color="auto"/>
        <w:right w:val="none" w:sz="0" w:space="0" w:color="auto"/>
      </w:divBdr>
    </w:div>
    <w:div w:id="1028021544">
      <w:bodyDiv w:val="1"/>
      <w:marLeft w:val="0"/>
      <w:marRight w:val="0"/>
      <w:marTop w:val="0"/>
      <w:marBottom w:val="0"/>
      <w:divBdr>
        <w:top w:val="none" w:sz="0" w:space="0" w:color="auto"/>
        <w:left w:val="none" w:sz="0" w:space="0" w:color="auto"/>
        <w:bottom w:val="none" w:sz="0" w:space="0" w:color="auto"/>
        <w:right w:val="none" w:sz="0" w:space="0" w:color="auto"/>
      </w:divBdr>
    </w:div>
    <w:div w:id="1043210879">
      <w:bodyDiv w:val="1"/>
      <w:marLeft w:val="0"/>
      <w:marRight w:val="0"/>
      <w:marTop w:val="0"/>
      <w:marBottom w:val="0"/>
      <w:divBdr>
        <w:top w:val="none" w:sz="0" w:space="0" w:color="auto"/>
        <w:left w:val="none" w:sz="0" w:space="0" w:color="auto"/>
        <w:bottom w:val="none" w:sz="0" w:space="0" w:color="auto"/>
        <w:right w:val="none" w:sz="0" w:space="0" w:color="auto"/>
      </w:divBdr>
    </w:div>
    <w:div w:id="1046223721">
      <w:bodyDiv w:val="1"/>
      <w:marLeft w:val="0"/>
      <w:marRight w:val="0"/>
      <w:marTop w:val="0"/>
      <w:marBottom w:val="0"/>
      <w:divBdr>
        <w:top w:val="none" w:sz="0" w:space="0" w:color="auto"/>
        <w:left w:val="none" w:sz="0" w:space="0" w:color="auto"/>
        <w:bottom w:val="none" w:sz="0" w:space="0" w:color="auto"/>
        <w:right w:val="none" w:sz="0" w:space="0" w:color="auto"/>
      </w:divBdr>
    </w:div>
    <w:div w:id="1051660190">
      <w:bodyDiv w:val="1"/>
      <w:marLeft w:val="0"/>
      <w:marRight w:val="0"/>
      <w:marTop w:val="0"/>
      <w:marBottom w:val="0"/>
      <w:divBdr>
        <w:top w:val="none" w:sz="0" w:space="0" w:color="auto"/>
        <w:left w:val="none" w:sz="0" w:space="0" w:color="auto"/>
        <w:bottom w:val="none" w:sz="0" w:space="0" w:color="auto"/>
        <w:right w:val="none" w:sz="0" w:space="0" w:color="auto"/>
      </w:divBdr>
    </w:div>
    <w:div w:id="1055616542">
      <w:bodyDiv w:val="1"/>
      <w:marLeft w:val="0"/>
      <w:marRight w:val="0"/>
      <w:marTop w:val="0"/>
      <w:marBottom w:val="0"/>
      <w:divBdr>
        <w:top w:val="none" w:sz="0" w:space="0" w:color="auto"/>
        <w:left w:val="none" w:sz="0" w:space="0" w:color="auto"/>
        <w:bottom w:val="none" w:sz="0" w:space="0" w:color="auto"/>
        <w:right w:val="none" w:sz="0" w:space="0" w:color="auto"/>
      </w:divBdr>
    </w:div>
    <w:div w:id="1059598032">
      <w:bodyDiv w:val="1"/>
      <w:marLeft w:val="0"/>
      <w:marRight w:val="0"/>
      <w:marTop w:val="0"/>
      <w:marBottom w:val="0"/>
      <w:divBdr>
        <w:top w:val="none" w:sz="0" w:space="0" w:color="auto"/>
        <w:left w:val="none" w:sz="0" w:space="0" w:color="auto"/>
        <w:bottom w:val="none" w:sz="0" w:space="0" w:color="auto"/>
        <w:right w:val="none" w:sz="0" w:space="0" w:color="auto"/>
      </w:divBdr>
    </w:div>
    <w:div w:id="1066075660">
      <w:bodyDiv w:val="1"/>
      <w:marLeft w:val="0"/>
      <w:marRight w:val="0"/>
      <w:marTop w:val="0"/>
      <w:marBottom w:val="0"/>
      <w:divBdr>
        <w:top w:val="none" w:sz="0" w:space="0" w:color="auto"/>
        <w:left w:val="none" w:sz="0" w:space="0" w:color="auto"/>
        <w:bottom w:val="none" w:sz="0" w:space="0" w:color="auto"/>
        <w:right w:val="none" w:sz="0" w:space="0" w:color="auto"/>
      </w:divBdr>
    </w:div>
    <w:div w:id="1073233297">
      <w:bodyDiv w:val="1"/>
      <w:marLeft w:val="0"/>
      <w:marRight w:val="0"/>
      <w:marTop w:val="0"/>
      <w:marBottom w:val="0"/>
      <w:divBdr>
        <w:top w:val="none" w:sz="0" w:space="0" w:color="auto"/>
        <w:left w:val="none" w:sz="0" w:space="0" w:color="auto"/>
        <w:bottom w:val="none" w:sz="0" w:space="0" w:color="auto"/>
        <w:right w:val="none" w:sz="0" w:space="0" w:color="auto"/>
      </w:divBdr>
    </w:div>
    <w:div w:id="1080518993">
      <w:bodyDiv w:val="1"/>
      <w:marLeft w:val="0"/>
      <w:marRight w:val="0"/>
      <w:marTop w:val="0"/>
      <w:marBottom w:val="0"/>
      <w:divBdr>
        <w:top w:val="none" w:sz="0" w:space="0" w:color="auto"/>
        <w:left w:val="none" w:sz="0" w:space="0" w:color="auto"/>
        <w:bottom w:val="none" w:sz="0" w:space="0" w:color="auto"/>
        <w:right w:val="none" w:sz="0" w:space="0" w:color="auto"/>
      </w:divBdr>
    </w:div>
    <w:div w:id="1082217636">
      <w:bodyDiv w:val="1"/>
      <w:marLeft w:val="0"/>
      <w:marRight w:val="0"/>
      <w:marTop w:val="0"/>
      <w:marBottom w:val="0"/>
      <w:divBdr>
        <w:top w:val="none" w:sz="0" w:space="0" w:color="auto"/>
        <w:left w:val="none" w:sz="0" w:space="0" w:color="auto"/>
        <w:bottom w:val="none" w:sz="0" w:space="0" w:color="auto"/>
        <w:right w:val="none" w:sz="0" w:space="0" w:color="auto"/>
      </w:divBdr>
    </w:div>
    <w:div w:id="1084033588">
      <w:bodyDiv w:val="1"/>
      <w:marLeft w:val="0"/>
      <w:marRight w:val="0"/>
      <w:marTop w:val="0"/>
      <w:marBottom w:val="0"/>
      <w:divBdr>
        <w:top w:val="none" w:sz="0" w:space="0" w:color="auto"/>
        <w:left w:val="none" w:sz="0" w:space="0" w:color="auto"/>
        <w:bottom w:val="none" w:sz="0" w:space="0" w:color="auto"/>
        <w:right w:val="none" w:sz="0" w:space="0" w:color="auto"/>
      </w:divBdr>
    </w:div>
    <w:div w:id="1084494257">
      <w:bodyDiv w:val="1"/>
      <w:marLeft w:val="0"/>
      <w:marRight w:val="0"/>
      <w:marTop w:val="0"/>
      <w:marBottom w:val="0"/>
      <w:divBdr>
        <w:top w:val="none" w:sz="0" w:space="0" w:color="auto"/>
        <w:left w:val="none" w:sz="0" w:space="0" w:color="auto"/>
        <w:bottom w:val="none" w:sz="0" w:space="0" w:color="auto"/>
        <w:right w:val="none" w:sz="0" w:space="0" w:color="auto"/>
      </w:divBdr>
    </w:div>
    <w:div w:id="1088039354">
      <w:bodyDiv w:val="1"/>
      <w:marLeft w:val="0"/>
      <w:marRight w:val="0"/>
      <w:marTop w:val="0"/>
      <w:marBottom w:val="0"/>
      <w:divBdr>
        <w:top w:val="none" w:sz="0" w:space="0" w:color="auto"/>
        <w:left w:val="none" w:sz="0" w:space="0" w:color="auto"/>
        <w:bottom w:val="none" w:sz="0" w:space="0" w:color="auto"/>
        <w:right w:val="none" w:sz="0" w:space="0" w:color="auto"/>
      </w:divBdr>
    </w:div>
    <w:div w:id="1093865496">
      <w:bodyDiv w:val="1"/>
      <w:marLeft w:val="0"/>
      <w:marRight w:val="0"/>
      <w:marTop w:val="0"/>
      <w:marBottom w:val="0"/>
      <w:divBdr>
        <w:top w:val="none" w:sz="0" w:space="0" w:color="auto"/>
        <w:left w:val="none" w:sz="0" w:space="0" w:color="auto"/>
        <w:bottom w:val="none" w:sz="0" w:space="0" w:color="auto"/>
        <w:right w:val="none" w:sz="0" w:space="0" w:color="auto"/>
      </w:divBdr>
    </w:div>
    <w:div w:id="1096831856">
      <w:bodyDiv w:val="1"/>
      <w:marLeft w:val="0"/>
      <w:marRight w:val="0"/>
      <w:marTop w:val="0"/>
      <w:marBottom w:val="0"/>
      <w:divBdr>
        <w:top w:val="none" w:sz="0" w:space="0" w:color="auto"/>
        <w:left w:val="none" w:sz="0" w:space="0" w:color="auto"/>
        <w:bottom w:val="none" w:sz="0" w:space="0" w:color="auto"/>
        <w:right w:val="none" w:sz="0" w:space="0" w:color="auto"/>
      </w:divBdr>
    </w:div>
    <w:div w:id="1100837868">
      <w:bodyDiv w:val="1"/>
      <w:marLeft w:val="0"/>
      <w:marRight w:val="0"/>
      <w:marTop w:val="0"/>
      <w:marBottom w:val="0"/>
      <w:divBdr>
        <w:top w:val="none" w:sz="0" w:space="0" w:color="auto"/>
        <w:left w:val="none" w:sz="0" w:space="0" w:color="auto"/>
        <w:bottom w:val="none" w:sz="0" w:space="0" w:color="auto"/>
        <w:right w:val="none" w:sz="0" w:space="0" w:color="auto"/>
      </w:divBdr>
    </w:div>
    <w:div w:id="1101222915">
      <w:bodyDiv w:val="1"/>
      <w:marLeft w:val="0"/>
      <w:marRight w:val="0"/>
      <w:marTop w:val="0"/>
      <w:marBottom w:val="0"/>
      <w:divBdr>
        <w:top w:val="none" w:sz="0" w:space="0" w:color="auto"/>
        <w:left w:val="none" w:sz="0" w:space="0" w:color="auto"/>
        <w:bottom w:val="none" w:sz="0" w:space="0" w:color="auto"/>
        <w:right w:val="none" w:sz="0" w:space="0" w:color="auto"/>
      </w:divBdr>
    </w:div>
    <w:div w:id="1108543661">
      <w:bodyDiv w:val="1"/>
      <w:marLeft w:val="0"/>
      <w:marRight w:val="0"/>
      <w:marTop w:val="0"/>
      <w:marBottom w:val="0"/>
      <w:divBdr>
        <w:top w:val="none" w:sz="0" w:space="0" w:color="auto"/>
        <w:left w:val="none" w:sz="0" w:space="0" w:color="auto"/>
        <w:bottom w:val="none" w:sz="0" w:space="0" w:color="auto"/>
        <w:right w:val="none" w:sz="0" w:space="0" w:color="auto"/>
      </w:divBdr>
    </w:div>
    <w:div w:id="1109010667">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51167296">
      <w:bodyDiv w:val="1"/>
      <w:marLeft w:val="0"/>
      <w:marRight w:val="0"/>
      <w:marTop w:val="0"/>
      <w:marBottom w:val="0"/>
      <w:divBdr>
        <w:top w:val="none" w:sz="0" w:space="0" w:color="auto"/>
        <w:left w:val="none" w:sz="0" w:space="0" w:color="auto"/>
        <w:bottom w:val="none" w:sz="0" w:space="0" w:color="auto"/>
        <w:right w:val="none" w:sz="0" w:space="0" w:color="auto"/>
      </w:divBdr>
    </w:div>
    <w:div w:id="1153645194">
      <w:bodyDiv w:val="1"/>
      <w:marLeft w:val="0"/>
      <w:marRight w:val="0"/>
      <w:marTop w:val="0"/>
      <w:marBottom w:val="0"/>
      <w:divBdr>
        <w:top w:val="none" w:sz="0" w:space="0" w:color="auto"/>
        <w:left w:val="none" w:sz="0" w:space="0" w:color="auto"/>
        <w:bottom w:val="none" w:sz="0" w:space="0" w:color="auto"/>
        <w:right w:val="none" w:sz="0" w:space="0" w:color="auto"/>
      </w:divBdr>
    </w:div>
    <w:div w:id="1169054750">
      <w:bodyDiv w:val="1"/>
      <w:marLeft w:val="0"/>
      <w:marRight w:val="0"/>
      <w:marTop w:val="0"/>
      <w:marBottom w:val="0"/>
      <w:divBdr>
        <w:top w:val="none" w:sz="0" w:space="0" w:color="auto"/>
        <w:left w:val="none" w:sz="0" w:space="0" w:color="auto"/>
        <w:bottom w:val="none" w:sz="0" w:space="0" w:color="auto"/>
        <w:right w:val="none" w:sz="0" w:space="0" w:color="auto"/>
      </w:divBdr>
    </w:div>
    <w:div w:id="1174615665">
      <w:bodyDiv w:val="1"/>
      <w:marLeft w:val="0"/>
      <w:marRight w:val="0"/>
      <w:marTop w:val="0"/>
      <w:marBottom w:val="0"/>
      <w:divBdr>
        <w:top w:val="none" w:sz="0" w:space="0" w:color="auto"/>
        <w:left w:val="none" w:sz="0" w:space="0" w:color="auto"/>
        <w:bottom w:val="none" w:sz="0" w:space="0" w:color="auto"/>
        <w:right w:val="none" w:sz="0" w:space="0" w:color="auto"/>
      </w:divBdr>
    </w:div>
    <w:div w:id="1179660832">
      <w:bodyDiv w:val="1"/>
      <w:marLeft w:val="0"/>
      <w:marRight w:val="0"/>
      <w:marTop w:val="0"/>
      <w:marBottom w:val="0"/>
      <w:divBdr>
        <w:top w:val="none" w:sz="0" w:space="0" w:color="auto"/>
        <w:left w:val="none" w:sz="0" w:space="0" w:color="auto"/>
        <w:bottom w:val="none" w:sz="0" w:space="0" w:color="auto"/>
        <w:right w:val="none" w:sz="0" w:space="0" w:color="auto"/>
      </w:divBdr>
    </w:div>
    <w:div w:id="1182010972">
      <w:bodyDiv w:val="1"/>
      <w:marLeft w:val="0"/>
      <w:marRight w:val="0"/>
      <w:marTop w:val="0"/>
      <w:marBottom w:val="0"/>
      <w:divBdr>
        <w:top w:val="none" w:sz="0" w:space="0" w:color="auto"/>
        <w:left w:val="none" w:sz="0" w:space="0" w:color="auto"/>
        <w:bottom w:val="none" w:sz="0" w:space="0" w:color="auto"/>
        <w:right w:val="none" w:sz="0" w:space="0" w:color="auto"/>
      </w:divBdr>
    </w:div>
    <w:div w:id="1190290047">
      <w:bodyDiv w:val="1"/>
      <w:marLeft w:val="0"/>
      <w:marRight w:val="0"/>
      <w:marTop w:val="0"/>
      <w:marBottom w:val="0"/>
      <w:divBdr>
        <w:top w:val="none" w:sz="0" w:space="0" w:color="auto"/>
        <w:left w:val="none" w:sz="0" w:space="0" w:color="auto"/>
        <w:bottom w:val="none" w:sz="0" w:space="0" w:color="auto"/>
        <w:right w:val="none" w:sz="0" w:space="0" w:color="auto"/>
      </w:divBdr>
    </w:div>
    <w:div w:id="1192109735">
      <w:bodyDiv w:val="1"/>
      <w:marLeft w:val="0"/>
      <w:marRight w:val="0"/>
      <w:marTop w:val="0"/>
      <w:marBottom w:val="0"/>
      <w:divBdr>
        <w:top w:val="none" w:sz="0" w:space="0" w:color="auto"/>
        <w:left w:val="none" w:sz="0" w:space="0" w:color="auto"/>
        <w:bottom w:val="none" w:sz="0" w:space="0" w:color="auto"/>
        <w:right w:val="none" w:sz="0" w:space="0" w:color="auto"/>
      </w:divBdr>
    </w:div>
    <w:div w:id="1201553019">
      <w:bodyDiv w:val="1"/>
      <w:marLeft w:val="0"/>
      <w:marRight w:val="0"/>
      <w:marTop w:val="0"/>
      <w:marBottom w:val="0"/>
      <w:divBdr>
        <w:top w:val="none" w:sz="0" w:space="0" w:color="auto"/>
        <w:left w:val="none" w:sz="0" w:space="0" w:color="auto"/>
        <w:bottom w:val="none" w:sz="0" w:space="0" w:color="auto"/>
        <w:right w:val="none" w:sz="0" w:space="0" w:color="auto"/>
      </w:divBdr>
    </w:div>
    <w:div w:id="1207252375">
      <w:bodyDiv w:val="1"/>
      <w:marLeft w:val="0"/>
      <w:marRight w:val="0"/>
      <w:marTop w:val="0"/>
      <w:marBottom w:val="0"/>
      <w:divBdr>
        <w:top w:val="none" w:sz="0" w:space="0" w:color="auto"/>
        <w:left w:val="none" w:sz="0" w:space="0" w:color="auto"/>
        <w:bottom w:val="none" w:sz="0" w:space="0" w:color="auto"/>
        <w:right w:val="none" w:sz="0" w:space="0" w:color="auto"/>
      </w:divBdr>
    </w:div>
    <w:div w:id="1207764084">
      <w:bodyDiv w:val="1"/>
      <w:marLeft w:val="0"/>
      <w:marRight w:val="0"/>
      <w:marTop w:val="0"/>
      <w:marBottom w:val="0"/>
      <w:divBdr>
        <w:top w:val="none" w:sz="0" w:space="0" w:color="auto"/>
        <w:left w:val="none" w:sz="0" w:space="0" w:color="auto"/>
        <w:bottom w:val="none" w:sz="0" w:space="0" w:color="auto"/>
        <w:right w:val="none" w:sz="0" w:space="0" w:color="auto"/>
      </w:divBdr>
    </w:div>
    <w:div w:id="1209876579">
      <w:bodyDiv w:val="1"/>
      <w:marLeft w:val="0"/>
      <w:marRight w:val="0"/>
      <w:marTop w:val="0"/>
      <w:marBottom w:val="0"/>
      <w:divBdr>
        <w:top w:val="none" w:sz="0" w:space="0" w:color="auto"/>
        <w:left w:val="none" w:sz="0" w:space="0" w:color="auto"/>
        <w:bottom w:val="none" w:sz="0" w:space="0" w:color="auto"/>
        <w:right w:val="none" w:sz="0" w:space="0" w:color="auto"/>
      </w:divBdr>
    </w:div>
    <w:div w:id="1226914556">
      <w:bodyDiv w:val="1"/>
      <w:marLeft w:val="0"/>
      <w:marRight w:val="0"/>
      <w:marTop w:val="0"/>
      <w:marBottom w:val="0"/>
      <w:divBdr>
        <w:top w:val="none" w:sz="0" w:space="0" w:color="auto"/>
        <w:left w:val="none" w:sz="0" w:space="0" w:color="auto"/>
        <w:bottom w:val="none" w:sz="0" w:space="0" w:color="auto"/>
        <w:right w:val="none" w:sz="0" w:space="0" w:color="auto"/>
      </w:divBdr>
    </w:div>
    <w:div w:id="1235117173">
      <w:bodyDiv w:val="1"/>
      <w:marLeft w:val="0"/>
      <w:marRight w:val="0"/>
      <w:marTop w:val="0"/>
      <w:marBottom w:val="0"/>
      <w:divBdr>
        <w:top w:val="none" w:sz="0" w:space="0" w:color="auto"/>
        <w:left w:val="none" w:sz="0" w:space="0" w:color="auto"/>
        <w:bottom w:val="none" w:sz="0" w:space="0" w:color="auto"/>
        <w:right w:val="none" w:sz="0" w:space="0" w:color="auto"/>
      </w:divBdr>
    </w:div>
    <w:div w:id="1235772955">
      <w:bodyDiv w:val="1"/>
      <w:marLeft w:val="0"/>
      <w:marRight w:val="0"/>
      <w:marTop w:val="0"/>
      <w:marBottom w:val="0"/>
      <w:divBdr>
        <w:top w:val="none" w:sz="0" w:space="0" w:color="auto"/>
        <w:left w:val="none" w:sz="0" w:space="0" w:color="auto"/>
        <w:bottom w:val="none" w:sz="0" w:space="0" w:color="auto"/>
        <w:right w:val="none" w:sz="0" w:space="0" w:color="auto"/>
      </w:divBdr>
    </w:div>
    <w:div w:id="1236817181">
      <w:bodyDiv w:val="1"/>
      <w:marLeft w:val="0"/>
      <w:marRight w:val="0"/>
      <w:marTop w:val="0"/>
      <w:marBottom w:val="0"/>
      <w:divBdr>
        <w:top w:val="none" w:sz="0" w:space="0" w:color="auto"/>
        <w:left w:val="none" w:sz="0" w:space="0" w:color="auto"/>
        <w:bottom w:val="none" w:sz="0" w:space="0" w:color="auto"/>
        <w:right w:val="none" w:sz="0" w:space="0" w:color="auto"/>
      </w:divBdr>
    </w:div>
    <w:div w:id="1249584367">
      <w:bodyDiv w:val="1"/>
      <w:marLeft w:val="0"/>
      <w:marRight w:val="0"/>
      <w:marTop w:val="0"/>
      <w:marBottom w:val="0"/>
      <w:divBdr>
        <w:top w:val="none" w:sz="0" w:space="0" w:color="auto"/>
        <w:left w:val="none" w:sz="0" w:space="0" w:color="auto"/>
        <w:bottom w:val="none" w:sz="0" w:space="0" w:color="auto"/>
        <w:right w:val="none" w:sz="0" w:space="0" w:color="auto"/>
      </w:divBdr>
    </w:div>
    <w:div w:id="1251816840">
      <w:bodyDiv w:val="1"/>
      <w:marLeft w:val="0"/>
      <w:marRight w:val="0"/>
      <w:marTop w:val="0"/>
      <w:marBottom w:val="0"/>
      <w:divBdr>
        <w:top w:val="none" w:sz="0" w:space="0" w:color="auto"/>
        <w:left w:val="none" w:sz="0" w:space="0" w:color="auto"/>
        <w:bottom w:val="none" w:sz="0" w:space="0" w:color="auto"/>
        <w:right w:val="none" w:sz="0" w:space="0" w:color="auto"/>
      </w:divBdr>
    </w:div>
    <w:div w:id="1257789018">
      <w:bodyDiv w:val="1"/>
      <w:marLeft w:val="0"/>
      <w:marRight w:val="0"/>
      <w:marTop w:val="0"/>
      <w:marBottom w:val="0"/>
      <w:divBdr>
        <w:top w:val="none" w:sz="0" w:space="0" w:color="auto"/>
        <w:left w:val="none" w:sz="0" w:space="0" w:color="auto"/>
        <w:bottom w:val="none" w:sz="0" w:space="0" w:color="auto"/>
        <w:right w:val="none" w:sz="0" w:space="0" w:color="auto"/>
      </w:divBdr>
    </w:div>
    <w:div w:id="1266618859">
      <w:bodyDiv w:val="1"/>
      <w:marLeft w:val="0"/>
      <w:marRight w:val="0"/>
      <w:marTop w:val="0"/>
      <w:marBottom w:val="0"/>
      <w:divBdr>
        <w:top w:val="none" w:sz="0" w:space="0" w:color="auto"/>
        <w:left w:val="none" w:sz="0" w:space="0" w:color="auto"/>
        <w:bottom w:val="none" w:sz="0" w:space="0" w:color="auto"/>
        <w:right w:val="none" w:sz="0" w:space="0" w:color="auto"/>
      </w:divBdr>
    </w:div>
    <w:div w:id="1277786792">
      <w:bodyDiv w:val="1"/>
      <w:marLeft w:val="0"/>
      <w:marRight w:val="0"/>
      <w:marTop w:val="0"/>
      <w:marBottom w:val="0"/>
      <w:divBdr>
        <w:top w:val="none" w:sz="0" w:space="0" w:color="auto"/>
        <w:left w:val="none" w:sz="0" w:space="0" w:color="auto"/>
        <w:bottom w:val="none" w:sz="0" w:space="0" w:color="auto"/>
        <w:right w:val="none" w:sz="0" w:space="0" w:color="auto"/>
      </w:divBdr>
    </w:div>
    <w:div w:id="1285042215">
      <w:bodyDiv w:val="1"/>
      <w:marLeft w:val="0"/>
      <w:marRight w:val="0"/>
      <w:marTop w:val="0"/>
      <w:marBottom w:val="0"/>
      <w:divBdr>
        <w:top w:val="none" w:sz="0" w:space="0" w:color="auto"/>
        <w:left w:val="none" w:sz="0" w:space="0" w:color="auto"/>
        <w:bottom w:val="none" w:sz="0" w:space="0" w:color="auto"/>
        <w:right w:val="none" w:sz="0" w:space="0" w:color="auto"/>
      </w:divBdr>
    </w:div>
    <w:div w:id="1289509649">
      <w:bodyDiv w:val="1"/>
      <w:marLeft w:val="0"/>
      <w:marRight w:val="0"/>
      <w:marTop w:val="0"/>
      <w:marBottom w:val="0"/>
      <w:divBdr>
        <w:top w:val="none" w:sz="0" w:space="0" w:color="auto"/>
        <w:left w:val="none" w:sz="0" w:space="0" w:color="auto"/>
        <w:bottom w:val="none" w:sz="0" w:space="0" w:color="auto"/>
        <w:right w:val="none" w:sz="0" w:space="0" w:color="auto"/>
      </w:divBdr>
    </w:div>
    <w:div w:id="1291210159">
      <w:bodyDiv w:val="1"/>
      <w:marLeft w:val="0"/>
      <w:marRight w:val="0"/>
      <w:marTop w:val="0"/>
      <w:marBottom w:val="0"/>
      <w:divBdr>
        <w:top w:val="none" w:sz="0" w:space="0" w:color="auto"/>
        <w:left w:val="none" w:sz="0" w:space="0" w:color="auto"/>
        <w:bottom w:val="none" w:sz="0" w:space="0" w:color="auto"/>
        <w:right w:val="none" w:sz="0" w:space="0" w:color="auto"/>
      </w:divBdr>
    </w:div>
    <w:div w:id="1295985658">
      <w:bodyDiv w:val="1"/>
      <w:marLeft w:val="0"/>
      <w:marRight w:val="0"/>
      <w:marTop w:val="0"/>
      <w:marBottom w:val="0"/>
      <w:divBdr>
        <w:top w:val="none" w:sz="0" w:space="0" w:color="auto"/>
        <w:left w:val="none" w:sz="0" w:space="0" w:color="auto"/>
        <w:bottom w:val="none" w:sz="0" w:space="0" w:color="auto"/>
        <w:right w:val="none" w:sz="0" w:space="0" w:color="auto"/>
      </w:divBdr>
    </w:div>
    <w:div w:id="1307585075">
      <w:bodyDiv w:val="1"/>
      <w:marLeft w:val="0"/>
      <w:marRight w:val="0"/>
      <w:marTop w:val="0"/>
      <w:marBottom w:val="0"/>
      <w:divBdr>
        <w:top w:val="none" w:sz="0" w:space="0" w:color="auto"/>
        <w:left w:val="none" w:sz="0" w:space="0" w:color="auto"/>
        <w:bottom w:val="none" w:sz="0" w:space="0" w:color="auto"/>
        <w:right w:val="none" w:sz="0" w:space="0" w:color="auto"/>
      </w:divBdr>
    </w:div>
    <w:div w:id="1310791704">
      <w:bodyDiv w:val="1"/>
      <w:marLeft w:val="0"/>
      <w:marRight w:val="0"/>
      <w:marTop w:val="0"/>
      <w:marBottom w:val="0"/>
      <w:divBdr>
        <w:top w:val="none" w:sz="0" w:space="0" w:color="auto"/>
        <w:left w:val="none" w:sz="0" w:space="0" w:color="auto"/>
        <w:bottom w:val="none" w:sz="0" w:space="0" w:color="auto"/>
        <w:right w:val="none" w:sz="0" w:space="0" w:color="auto"/>
      </w:divBdr>
    </w:div>
    <w:div w:id="1314606024">
      <w:bodyDiv w:val="1"/>
      <w:marLeft w:val="0"/>
      <w:marRight w:val="0"/>
      <w:marTop w:val="0"/>
      <w:marBottom w:val="0"/>
      <w:divBdr>
        <w:top w:val="none" w:sz="0" w:space="0" w:color="auto"/>
        <w:left w:val="none" w:sz="0" w:space="0" w:color="auto"/>
        <w:bottom w:val="none" w:sz="0" w:space="0" w:color="auto"/>
        <w:right w:val="none" w:sz="0" w:space="0" w:color="auto"/>
      </w:divBdr>
    </w:div>
    <w:div w:id="1317806349">
      <w:bodyDiv w:val="1"/>
      <w:marLeft w:val="0"/>
      <w:marRight w:val="0"/>
      <w:marTop w:val="0"/>
      <w:marBottom w:val="0"/>
      <w:divBdr>
        <w:top w:val="none" w:sz="0" w:space="0" w:color="auto"/>
        <w:left w:val="none" w:sz="0" w:space="0" w:color="auto"/>
        <w:bottom w:val="none" w:sz="0" w:space="0" w:color="auto"/>
        <w:right w:val="none" w:sz="0" w:space="0" w:color="auto"/>
      </w:divBdr>
    </w:div>
    <w:div w:id="1324433908">
      <w:bodyDiv w:val="1"/>
      <w:marLeft w:val="0"/>
      <w:marRight w:val="0"/>
      <w:marTop w:val="0"/>
      <w:marBottom w:val="0"/>
      <w:divBdr>
        <w:top w:val="none" w:sz="0" w:space="0" w:color="auto"/>
        <w:left w:val="none" w:sz="0" w:space="0" w:color="auto"/>
        <w:bottom w:val="none" w:sz="0" w:space="0" w:color="auto"/>
        <w:right w:val="none" w:sz="0" w:space="0" w:color="auto"/>
      </w:divBdr>
    </w:div>
    <w:div w:id="1325931476">
      <w:bodyDiv w:val="1"/>
      <w:marLeft w:val="0"/>
      <w:marRight w:val="0"/>
      <w:marTop w:val="0"/>
      <w:marBottom w:val="0"/>
      <w:divBdr>
        <w:top w:val="none" w:sz="0" w:space="0" w:color="auto"/>
        <w:left w:val="none" w:sz="0" w:space="0" w:color="auto"/>
        <w:bottom w:val="none" w:sz="0" w:space="0" w:color="auto"/>
        <w:right w:val="none" w:sz="0" w:space="0" w:color="auto"/>
      </w:divBdr>
    </w:div>
    <w:div w:id="1326739234">
      <w:bodyDiv w:val="1"/>
      <w:marLeft w:val="0"/>
      <w:marRight w:val="0"/>
      <w:marTop w:val="0"/>
      <w:marBottom w:val="0"/>
      <w:divBdr>
        <w:top w:val="none" w:sz="0" w:space="0" w:color="auto"/>
        <w:left w:val="none" w:sz="0" w:space="0" w:color="auto"/>
        <w:bottom w:val="none" w:sz="0" w:space="0" w:color="auto"/>
        <w:right w:val="none" w:sz="0" w:space="0" w:color="auto"/>
      </w:divBdr>
    </w:div>
    <w:div w:id="1338076776">
      <w:bodyDiv w:val="1"/>
      <w:marLeft w:val="0"/>
      <w:marRight w:val="0"/>
      <w:marTop w:val="0"/>
      <w:marBottom w:val="0"/>
      <w:divBdr>
        <w:top w:val="none" w:sz="0" w:space="0" w:color="auto"/>
        <w:left w:val="none" w:sz="0" w:space="0" w:color="auto"/>
        <w:bottom w:val="none" w:sz="0" w:space="0" w:color="auto"/>
        <w:right w:val="none" w:sz="0" w:space="0" w:color="auto"/>
      </w:divBdr>
    </w:div>
    <w:div w:id="1350906836">
      <w:bodyDiv w:val="1"/>
      <w:marLeft w:val="0"/>
      <w:marRight w:val="0"/>
      <w:marTop w:val="0"/>
      <w:marBottom w:val="0"/>
      <w:divBdr>
        <w:top w:val="none" w:sz="0" w:space="0" w:color="auto"/>
        <w:left w:val="none" w:sz="0" w:space="0" w:color="auto"/>
        <w:bottom w:val="none" w:sz="0" w:space="0" w:color="auto"/>
        <w:right w:val="none" w:sz="0" w:space="0" w:color="auto"/>
      </w:divBdr>
    </w:div>
    <w:div w:id="1353340763">
      <w:bodyDiv w:val="1"/>
      <w:marLeft w:val="0"/>
      <w:marRight w:val="0"/>
      <w:marTop w:val="0"/>
      <w:marBottom w:val="0"/>
      <w:divBdr>
        <w:top w:val="none" w:sz="0" w:space="0" w:color="auto"/>
        <w:left w:val="none" w:sz="0" w:space="0" w:color="auto"/>
        <w:bottom w:val="none" w:sz="0" w:space="0" w:color="auto"/>
        <w:right w:val="none" w:sz="0" w:space="0" w:color="auto"/>
      </w:divBdr>
    </w:div>
    <w:div w:id="1355425026">
      <w:bodyDiv w:val="1"/>
      <w:marLeft w:val="0"/>
      <w:marRight w:val="0"/>
      <w:marTop w:val="0"/>
      <w:marBottom w:val="0"/>
      <w:divBdr>
        <w:top w:val="none" w:sz="0" w:space="0" w:color="auto"/>
        <w:left w:val="none" w:sz="0" w:space="0" w:color="auto"/>
        <w:bottom w:val="none" w:sz="0" w:space="0" w:color="auto"/>
        <w:right w:val="none" w:sz="0" w:space="0" w:color="auto"/>
      </w:divBdr>
    </w:div>
    <w:div w:id="1358504292">
      <w:bodyDiv w:val="1"/>
      <w:marLeft w:val="0"/>
      <w:marRight w:val="0"/>
      <w:marTop w:val="0"/>
      <w:marBottom w:val="0"/>
      <w:divBdr>
        <w:top w:val="none" w:sz="0" w:space="0" w:color="auto"/>
        <w:left w:val="none" w:sz="0" w:space="0" w:color="auto"/>
        <w:bottom w:val="none" w:sz="0" w:space="0" w:color="auto"/>
        <w:right w:val="none" w:sz="0" w:space="0" w:color="auto"/>
      </w:divBdr>
    </w:div>
    <w:div w:id="1362901371">
      <w:bodyDiv w:val="1"/>
      <w:marLeft w:val="0"/>
      <w:marRight w:val="0"/>
      <w:marTop w:val="0"/>
      <w:marBottom w:val="0"/>
      <w:divBdr>
        <w:top w:val="none" w:sz="0" w:space="0" w:color="auto"/>
        <w:left w:val="none" w:sz="0" w:space="0" w:color="auto"/>
        <w:bottom w:val="none" w:sz="0" w:space="0" w:color="auto"/>
        <w:right w:val="none" w:sz="0" w:space="0" w:color="auto"/>
      </w:divBdr>
    </w:div>
    <w:div w:id="1365401302">
      <w:bodyDiv w:val="1"/>
      <w:marLeft w:val="0"/>
      <w:marRight w:val="0"/>
      <w:marTop w:val="0"/>
      <w:marBottom w:val="0"/>
      <w:divBdr>
        <w:top w:val="none" w:sz="0" w:space="0" w:color="auto"/>
        <w:left w:val="none" w:sz="0" w:space="0" w:color="auto"/>
        <w:bottom w:val="none" w:sz="0" w:space="0" w:color="auto"/>
        <w:right w:val="none" w:sz="0" w:space="0" w:color="auto"/>
      </w:divBdr>
    </w:div>
    <w:div w:id="1367371410">
      <w:bodyDiv w:val="1"/>
      <w:marLeft w:val="0"/>
      <w:marRight w:val="0"/>
      <w:marTop w:val="0"/>
      <w:marBottom w:val="0"/>
      <w:divBdr>
        <w:top w:val="none" w:sz="0" w:space="0" w:color="auto"/>
        <w:left w:val="none" w:sz="0" w:space="0" w:color="auto"/>
        <w:bottom w:val="none" w:sz="0" w:space="0" w:color="auto"/>
        <w:right w:val="none" w:sz="0" w:space="0" w:color="auto"/>
      </w:divBdr>
    </w:div>
    <w:div w:id="1369139652">
      <w:bodyDiv w:val="1"/>
      <w:marLeft w:val="0"/>
      <w:marRight w:val="0"/>
      <w:marTop w:val="0"/>
      <w:marBottom w:val="0"/>
      <w:divBdr>
        <w:top w:val="none" w:sz="0" w:space="0" w:color="auto"/>
        <w:left w:val="none" w:sz="0" w:space="0" w:color="auto"/>
        <w:bottom w:val="none" w:sz="0" w:space="0" w:color="auto"/>
        <w:right w:val="none" w:sz="0" w:space="0" w:color="auto"/>
      </w:divBdr>
    </w:div>
    <w:div w:id="1385527349">
      <w:bodyDiv w:val="1"/>
      <w:marLeft w:val="0"/>
      <w:marRight w:val="0"/>
      <w:marTop w:val="0"/>
      <w:marBottom w:val="0"/>
      <w:divBdr>
        <w:top w:val="none" w:sz="0" w:space="0" w:color="auto"/>
        <w:left w:val="none" w:sz="0" w:space="0" w:color="auto"/>
        <w:bottom w:val="none" w:sz="0" w:space="0" w:color="auto"/>
        <w:right w:val="none" w:sz="0" w:space="0" w:color="auto"/>
      </w:divBdr>
    </w:div>
    <w:div w:id="1391416155">
      <w:bodyDiv w:val="1"/>
      <w:marLeft w:val="0"/>
      <w:marRight w:val="0"/>
      <w:marTop w:val="0"/>
      <w:marBottom w:val="0"/>
      <w:divBdr>
        <w:top w:val="none" w:sz="0" w:space="0" w:color="auto"/>
        <w:left w:val="none" w:sz="0" w:space="0" w:color="auto"/>
        <w:bottom w:val="none" w:sz="0" w:space="0" w:color="auto"/>
        <w:right w:val="none" w:sz="0" w:space="0" w:color="auto"/>
      </w:divBdr>
    </w:div>
    <w:div w:id="1397776660">
      <w:bodyDiv w:val="1"/>
      <w:marLeft w:val="0"/>
      <w:marRight w:val="0"/>
      <w:marTop w:val="0"/>
      <w:marBottom w:val="0"/>
      <w:divBdr>
        <w:top w:val="none" w:sz="0" w:space="0" w:color="auto"/>
        <w:left w:val="none" w:sz="0" w:space="0" w:color="auto"/>
        <w:bottom w:val="none" w:sz="0" w:space="0" w:color="auto"/>
        <w:right w:val="none" w:sz="0" w:space="0" w:color="auto"/>
      </w:divBdr>
    </w:div>
    <w:div w:id="1401438907">
      <w:bodyDiv w:val="1"/>
      <w:marLeft w:val="0"/>
      <w:marRight w:val="0"/>
      <w:marTop w:val="0"/>
      <w:marBottom w:val="0"/>
      <w:divBdr>
        <w:top w:val="none" w:sz="0" w:space="0" w:color="auto"/>
        <w:left w:val="none" w:sz="0" w:space="0" w:color="auto"/>
        <w:bottom w:val="none" w:sz="0" w:space="0" w:color="auto"/>
        <w:right w:val="none" w:sz="0" w:space="0" w:color="auto"/>
      </w:divBdr>
    </w:div>
    <w:div w:id="1411610828">
      <w:bodyDiv w:val="1"/>
      <w:marLeft w:val="0"/>
      <w:marRight w:val="0"/>
      <w:marTop w:val="0"/>
      <w:marBottom w:val="0"/>
      <w:divBdr>
        <w:top w:val="none" w:sz="0" w:space="0" w:color="auto"/>
        <w:left w:val="none" w:sz="0" w:space="0" w:color="auto"/>
        <w:bottom w:val="none" w:sz="0" w:space="0" w:color="auto"/>
        <w:right w:val="none" w:sz="0" w:space="0" w:color="auto"/>
      </w:divBdr>
    </w:div>
    <w:div w:id="1413119907">
      <w:bodyDiv w:val="1"/>
      <w:marLeft w:val="0"/>
      <w:marRight w:val="0"/>
      <w:marTop w:val="0"/>
      <w:marBottom w:val="0"/>
      <w:divBdr>
        <w:top w:val="none" w:sz="0" w:space="0" w:color="auto"/>
        <w:left w:val="none" w:sz="0" w:space="0" w:color="auto"/>
        <w:bottom w:val="none" w:sz="0" w:space="0" w:color="auto"/>
        <w:right w:val="none" w:sz="0" w:space="0" w:color="auto"/>
      </w:divBdr>
    </w:div>
    <w:div w:id="1423599062">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403466">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72135997">
      <w:bodyDiv w:val="1"/>
      <w:marLeft w:val="0"/>
      <w:marRight w:val="0"/>
      <w:marTop w:val="0"/>
      <w:marBottom w:val="0"/>
      <w:divBdr>
        <w:top w:val="none" w:sz="0" w:space="0" w:color="auto"/>
        <w:left w:val="none" w:sz="0" w:space="0" w:color="auto"/>
        <w:bottom w:val="none" w:sz="0" w:space="0" w:color="auto"/>
        <w:right w:val="none" w:sz="0" w:space="0" w:color="auto"/>
      </w:divBdr>
    </w:div>
    <w:div w:id="1476987689">
      <w:bodyDiv w:val="1"/>
      <w:marLeft w:val="0"/>
      <w:marRight w:val="0"/>
      <w:marTop w:val="0"/>
      <w:marBottom w:val="0"/>
      <w:divBdr>
        <w:top w:val="none" w:sz="0" w:space="0" w:color="auto"/>
        <w:left w:val="none" w:sz="0" w:space="0" w:color="auto"/>
        <w:bottom w:val="none" w:sz="0" w:space="0" w:color="auto"/>
        <w:right w:val="none" w:sz="0" w:space="0" w:color="auto"/>
      </w:divBdr>
    </w:div>
    <w:div w:id="1485315224">
      <w:bodyDiv w:val="1"/>
      <w:marLeft w:val="0"/>
      <w:marRight w:val="0"/>
      <w:marTop w:val="0"/>
      <w:marBottom w:val="0"/>
      <w:divBdr>
        <w:top w:val="none" w:sz="0" w:space="0" w:color="auto"/>
        <w:left w:val="none" w:sz="0" w:space="0" w:color="auto"/>
        <w:bottom w:val="none" w:sz="0" w:space="0" w:color="auto"/>
        <w:right w:val="none" w:sz="0" w:space="0" w:color="auto"/>
      </w:divBdr>
    </w:div>
    <w:div w:id="1485967274">
      <w:bodyDiv w:val="1"/>
      <w:marLeft w:val="0"/>
      <w:marRight w:val="0"/>
      <w:marTop w:val="0"/>
      <w:marBottom w:val="0"/>
      <w:divBdr>
        <w:top w:val="none" w:sz="0" w:space="0" w:color="auto"/>
        <w:left w:val="none" w:sz="0" w:space="0" w:color="auto"/>
        <w:bottom w:val="none" w:sz="0" w:space="0" w:color="auto"/>
        <w:right w:val="none" w:sz="0" w:space="0" w:color="auto"/>
      </w:divBdr>
    </w:div>
    <w:div w:id="1492990647">
      <w:bodyDiv w:val="1"/>
      <w:marLeft w:val="0"/>
      <w:marRight w:val="0"/>
      <w:marTop w:val="0"/>
      <w:marBottom w:val="0"/>
      <w:divBdr>
        <w:top w:val="none" w:sz="0" w:space="0" w:color="auto"/>
        <w:left w:val="none" w:sz="0" w:space="0" w:color="auto"/>
        <w:bottom w:val="none" w:sz="0" w:space="0" w:color="auto"/>
        <w:right w:val="none" w:sz="0" w:space="0" w:color="auto"/>
      </w:divBdr>
    </w:div>
    <w:div w:id="1495223766">
      <w:bodyDiv w:val="1"/>
      <w:marLeft w:val="0"/>
      <w:marRight w:val="0"/>
      <w:marTop w:val="0"/>
      <w:marBottom w:val="0"/>
      <w:divBdr>
        <w:top w:val="none" w:sz="0" w:space="0" w:color="auto"/>
        <w:left w:val="none" w:sz="0" w:space="0" w:color="auto"/>
        <w:bottom w:val="none" w:sz="0" w:space="0" w:color="auto"/>
        <w:right w:val="none" w:sz="0" w:space="0" w:color="auto"/>
      </w:divBdr>
    </w:div>
    <w:div w:id="1498694238">
      <w:bodyDiv w:val="1"/>
      <w:marLeft w:val="0"/>
      <w:marRight w:val="0"/>
      <w:marTop w:val="0"/>
      <w:marBottom w:val="0"/>
      <w:divBdr>
        <w:top w:val="none" w:sz="0" w:space="0" w:color="auto"/>
        <w:left w:val="none" w:sz="0" w:space="0" w:color="auto"/>
        <w:bottom w:val="none" w:sz="0" w:space="0" w:color="auto"/>
        <w:right w:val="none" w:sz="0" w:space="0" w:color="auto"/>
      </w:divBdr>
    </w:div>
    <w:div w:id="1507788625">
      <w:bodyDiv w:val="1"/>
      <w:marLeft w:val="0"/>
      <w:marRight w:val="0"/>
      <w:marTop w:val="0"/>
      <w:marBottom w:val="0"/>
      <w:divBdr>
        <w:top w:val="none" w:sz="0" w:space="0" w:color="auto"/>
        <w:left w:val="none" w:sz="0" w:space="0" w:color="auto"/>
        <w:bottom w:val="none" w:sz="0" w:space="0" w:color="auto"/>
        <w:right w:val="none" w:sz="0" w:space="0" w:color="auto"/>
      </w:divBdr>
    </w:div>
    <w:div w:id="1509174358">
      <w:bodyDiv w:val="1"/>
      <w:marLeft w:val="0"/>
      <w:marRight w:val="0"/>
      <w:marTop w:val="0"/>
      <w:marBottom w:val="0"/>
      <w:divBdr>
        <w:top w:val="none" w:sz="0" w:space="0" w:color="auto"/>
        <w:left w:val="none" w:sz="0" w:space="0" w:color="auto"/>
        <w:bottom w:val="none" w:sz="0" w:space="0" w:color="auto"/>
        <w:right w:val="none" w:sz="0" w:space="0" w:color="auto"/>
      </w:divBdr>
    </w:div>
    <w:div w:id="1512258051">
      <w:bodyDiv w:val="1"/>
      <w:marLeft w:val="0"/>
      <w:marRight w:val="0"/>
      <w:marTop w:val="0"/>
      <w:marBottom w:val="0"/>
      <w:divBdr>
        <w:top w:val="none" w:sz="0" w:space="0" w:color="auto"/>
        <w:left w:val="none" w:sz="0" w:space="0" w:color="auto"/>
        <w:bottom w:val="none" w:sz="0" w:space="0" w:color="auto"/>
        <w:right w:val="none" w:sz="0" w:space="0" w:color="auto"/>
      </w:divBdr>
    </w:div>
    <w:div w:id="1514151424">
      <w:bodyDiv w:val="1"/>
      <w:marLeft w:val="0"/>
      <w:marRight w:val="0"/>
      <w:marTop w:val="0"/>
      <w:marBottom w:val="0"/>
      <w:divBdr>
        <w:top w:val="none" w:sz="0" w:space="0" w:color="auto"/>
        <w:left w:val="none" w:sz="0" w:space="0" w:color="auto"/>
        <w:bottom w:val="none" w:sz="0" w:space="0" w:color="auto"/>
        <w:right w:val="none" w:sz="0" w:space="0" w:color="auto"/>
      </w:divBdr>
    </w:div>
    <w:div w:id="1516726250">
      <w:bodyDiv w:val="1"/>
      <w:marLeft w:val="0"/>
      <w:marRight w:val="0"/>
      <w:marTop w:val="0"/>
      <w:marBottom w:val="0"/>
      <w:divBdr>
        <w:top w:val="none" w:sz="0" w:space="0" w:color="auto"/>
        <w:left w:val="none" w:sz="0" w:space="0" w:color="auto"/>
        <w:bottom w:val="none" w:sz="0" w:space="0" w:color="auto"/>
        <w:right w:val="none" w:sz="0" w:space="0" w:color="auto"/>
      </w:divBdr>
    </w:div>
    <w:div w:id="1518232362">
      <w:bodyDiv w:val="1"/>
      <w:marLeft w:val="0"/>
      <w:marRight w:val="0"/>
      <w:marTop w:val="0"/>
      <w:marBottom w:val="0"/>
      <w:divBdr>
        <w:top w:val="none" w:sz="0" w:space="0" w:color="auto"/>
        <w:left w:val="none" w:sz="0" w:space="0" w:color="auto"/>
        <w:bottom w:val="none" w:sz="0" w:space="0" w:color="auto"/>
        <w:right w:val="none" w:sz="0" w:space="0" w:color="auto"/>
      </w:divBdr>
    </w:div>
    <w:div w:id="1530293716">
      <w:bodyDiv w:val="1"/>
      <w:marLeft w:val="0"/>
      <w:marRight w:val="0"/>
      <w:marTop w:val="0"/>
      <w:marBottom w:val="0"/>
      <w:divBdr>
        <w:top w:val="none" w:sz="0" w:space="0" w:color="auto"/>
        <w:left w:val="none" w:sz="0" w:space="0" w:color="auto"/>
        <w:bottom w:val="none" w:sz="0" w:space="0" w:color="auto"/>
        <w:right w:val="none" w:sz="0" w:space="0" w:color="auto"/>
      </w:divBdr>
    </w:div>
    <w:div w:id="1533230845">
      <w:bodyDiv w:val="1"/>
      <w:marLeft w:val="0"/>
      <w:marRight w:val="0"/>
      <w:marTop w:val="0"/>
      <w:marBottom w:val="0"/>
      <w:divBdr>
        <w:top w:val="none" w:sz="0" w:space="0" w:color="auto"/>
        <w:left w:val="none" w:sz="0" w:space="0" w:color="auto"/>
        <w:bottom w:val="none" w:sz="0" w:space="0" w:color="auto"/>
        <w:right w:val="none" w:sz="0" w:space="0" w:color="auto"/>
      </w:divBdr>
    </w:div>
    <w:div w:id="1550529682">
      <w:bodyDiv w:val="1"/>
      <w:marLeft w:val="0"/>
      <w:marRight w:val="0"/>
      <w:marTop w:val="0"/>
      <w:marBottom w:val="0"/>
      <w:divBdr>
        <w:top w:val="none" w:sz="0" w:space="0" w:color="auto"/>
        <w:left w:val="none" w:sz="0" w:space="0" w:color="auto"/>
        <w:bottom w:val="none" w:sz="0" w:space="0" w:color="auto"/>
        <w:right w:val="none" w:sz="0" w:space="0" w:color="auto"/>
      </w:divBdr>
    </w:div>
    <w:div w:id="1554345093">
      <w:bodyDiv w:val="1"/>
      <w:marLeft w:val="0"/>
      <w:marRight w:val="0"/>
      <w:marTop w:val="0"/>
      <w:marBottom w:val="0"/>
      <w:divBdr>
        <w:top w:val="none" w:sz="0" w:space="0" w:color="auto"/>
        <w:left w:val="none" w:sz="0" w:space="0" w:color="auto"/>
        <w:bottom w:val="none" w:sz="0" w:space="0" w:color="auto"/>
        <w:right w:val="none" w:sz="0" w:space="0" w:color="auto"/>
      </w:divBdr>
    </w:div>
    <w:div w:id="1559172330">
      <w:bodyDiv w:val="1"/>
      <w:marLeft w:val="0"/>
      <w:marRight w:val="0"/>
      <w:marTop w:val="0"/>
      <w:marBottom w:val="0"/>
      <w:divBdr>
        <w:top w:val="none" w:sz="0" w:space="0" w:color="auto"/>
        <w:left w:val="none" w:sz="0" w:space="0" w:color="auto"/>
        <w:bottom w:val="none" w:sz="0" w:space="0" w:color="auto"/>
        <w:right w:val="none" w:sz="0" w:space="0" w:color="auto"/>
      </w:divBdr>
    </w:div>
    <w:div w:id="1575240118">
      <w:bodyDiv w:val="1"/>
      <w:marLeft w:val="0"/>
      <w:marRight w:val="0"/>
      <w:marTop w:val="0"/>
      <w:marBottom w:val="0"/>
      <w:divBdr>
        <w:top w:val="none" w:sz="0" w:space="0" w:color="auto"/>
        <w:left w:val="none" w:sz="0" w:space="0" w:color="auto"/>
        <w:bottom w:val="none" w:sz="0" w:space="0" w:color="auto"/>
        <w:right w:val="none" w:sz="0" w:space="0" w:color="auto"/>
      </w:divBdr>
    </w:div>
    <w:div w:id="1580628309">
      <w:bodyDiv w:val="1"/>
      <w:marLeft w:val="0"/>
      <w:marRight w:val="0"/>
      <w:marTop w:val="0"/>
      <w:marBottom w:val="0"/>
      <w:divBdr>
        <w:top w:val="none" w:sz="0" w:space="0" w:color="auto"/>
        <w:left w:val="none" w:sz="0" w:space="0" w:color="auto"/>
        <w:bottom w:val="none" w:sz="0" w:space="0" w:color="auto"/>
        <w:right w:val="none" w:sz="0" w:space="0" w:color="auto"/>
      </w:divBdr>
    </w:div>
    <w:div w:id="1599287118">
      <w:bodyDiv w:val="1"/>
      <w:marLeft w:val="0"/>
      <w:marRight w:val="0"/>
      <w:marTop w:val="0"/>
      <w:marBottom w:val="0"/>
      <w:divBdr>
        <w:top w:val="none" w:sz="0" w:space="0" w:color="auto"/>
        <w:left w:val="none" w:sz="0" w:space="0" w:color="auto"/>
        <w:bottom w:val="none" w:sz="0" w:space="0" w:color="auto"/>
        <w:right w:val="none" w:sz="0" w:space="0" w:color="auto"/>
      </w:divBdr>
    </w:div>
    <w:div w:id="1604335974">
      <w:bodyDiv w:val="1"/>
      <w:marLeft w:val="0"/>
      <w:marRight w:val="0"/>
      <w:marTop w:val="0"/>
      <w:marBottom w:val="0"/>
      <w:divBdr>
        <w:top w:val="none" w:sz="0" w:space="0" w:color="auto"/>
        <w:left w:val="none" w:sz="0" w:space="0" w:color="auto"/>
        <w:bottom w:val="none" w:sz="0" w:space="0" w:color="auto"/>
        <w:right w:val="none" w:sz="0" w:space="0" w:color="auto"/>
      </w:divBdr>
    </w:div>
    <w:div w:id="1604916700">
      <w:bodyDiv w:val="1"/>
      <w:marLeft w:val="30"/>
      <w:marRight w:val="30"/>
      <w:marTop w:val="0"/>
      <w:marBottom w:val="0"/>
      <w:divBdr>
        <w:top w:val="none" w:sz="0" w:space="0" w:color="auto"/>
        <w:left w:val="none" w:sz="0" w:space="0" w:color="auto"/>
        <w:bottom w:val="none" w:sz="0" w:space="0" w:color="auto"/>
        <w:right w:val="none" w:sz="0" w:space="0" w:color="auto"/>
      </w:divBdr>
      <w:divsChild>
        <w:div w:id="1309280412">
          <w:marLeft w:val="0"/>
          <w:marRight w:val="0"/>
          <w:marTop w:val="0"/>
          <w:marBottom w:val="0"/>
          <w:divBdr>
            <w:top w:val="none" w:sz="0" w:space="0" w:color="auto"/>
            <w:left w:val="none" w:sz="0" w:space="0" w:color="auto"/>
            <w:bottom w:val="none" w:sz="0" w:space="0" w:color="auto"/>
            <w:right w:val="none" w:sz="0" w:space="0" w:color="auto"/>
          </w:divBdr>
          <w:divsChild>
            <w:div w:id="869732181">
              <w:marLeft w:val="0"/>
              <w:marRight w:val="0"/>
              <w:marTop w:val="0"/>
              <w:marBottom w:val="0"/>
              <w:divBdr>
                <w:top w:val="none" w:sz="0" w:space="0" w:color="auto"/>
                <w:left w:val="none" w:sz="0" w:space="0" w:color="auto"/>
                <w:bottom w:val="none" w:sz="0" w:space="0" w:color="auto"/>
                <w:right w:val="none" w:sz="0" w:space="0" w:color="auto"/>
              </w:divBdr>
              <w:divsChild>
                <w:div w:id="34820306">
                  <w:marLeft w:val="180"/>
                  <w:marRight w:val="0"/>
                  <w:marTop w:val="0"/>
                  <w:marBottom w:val="0"/>
                  <w:divBdr>
                    <w:top w:val="none" w:sz="0" w:space="0" w:color="auto"/>
                    <w:left w:val="none" w:sz="0" w:space="0" w:color="auto"/>
                    <w:bottom w:val="none" w:sz="0" w:space="0" w:color="auto"/>
                    <w:right w:val="none" w:sz="0" w:space="0" w:color="auto"/>
                  </w:divBdr>
                  <w:divsChild>
                    <w:div w:id="196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7728">
      <w:bodyDiv w:val="1"/>
      <w:marLeft w:val="0"/>
      <w:marRight w:val="0"/>
      <w:marTop w:val="0"/>
      <w:marBottom w:val="0"/>
      <w:divBdr>
        <w:top w:val="none" w:sz="0" w:space="0" w:color="auto"/>
        <w:left w:val="none" w:sz="0" w:space="0" w:color="auto"/>
        <w:bottom w:val="none" w:sz="0" w:space="0" w:color="auto"/>
        <w:right w:val="none" w:sz="0" w:space="0" w:color="auto"/>
      </w:divBdr>
    </w:div>
    <w:div w:id="1608729633">
      <w:bodyDiv w:val="1"/>
      <w:marLeft w:val="0"/>
      <w:marRight w:val="0"/>
      <w:marTop w:val="0"/>
      <w:marBottom w:val="0"/>
      <w:divBdr>
        <w:top w:val="none" w:sz="0" w:space="0" w:color="auto"/>
        <w:left w:val="none" w:sz="0" w:space="0" w:color="auto"/>
        <w:bottom w:val="none" w:sz="0" w:space="0" w:color="auto"/>
        <w:right w:val="none" w:sz="0" w:space="0" w:color="auto"/>
      </w:divBdr>
    </w:div>
    <w:div w:id="1614821194">
      <w:bodyDiv w:val="1"/>
      <w:marLeft w:val="0"/>
      <w:marRight w:val="0"/>
      <w:marTop w:val="0"/>
      <w:marBottom w:val="0"/>
      <w:divBdr>
        <w:top w:val="none" w:sz="0" w:space="0" w:color="auto"/>
        <w:left w:val="none" w:sz="0" w:space="0" w:color="auto"/>
        <w:bottom w:val="none" w:sz="0" w:space="0" w:color="auto"/>
        <w:right w:val="none" w:sz="0" w:space="0" w:color="auto"/>
      </w:divBdr>
    </w:div>
    <w:div w:id="1623658670">
      <w:bodyDiv w:val="1"/>
      <w:marLeft w:val="0"/>
      <w:marRight w:val="0"/>
      <w:marTop w:val="0"/>
      <w:marBottom w:val="0"/>
      <w:divBdr>
        <w:top w:val="none" w:sz="0" w:space="0" w:color="auto"/>
        <w:left w:val="none" w:sz="0" w:space="0" w:color="auto"/>
        <w:bottom w:val="none" w:sz="0" w:space="0" w:color="auto"/>
        <w:right w:val="none" w:sz="0" w:space="0" w:color="auto"/>
      </w:divBdr>
    </w:div>
    <w:div w:id="1624457227">
      <w:bodyDiv w:val="1"/>
      <w:marLeft w:val="0"/>
      <w:marRight w:val="0"/>
      <w:marTop w:val="0"/>
      <w:marBottom w:val="0"/>
      <w:divBdr>
        <w:top w:val="none" w:sz="0" w:space="0" w:color="auto"/>
        <w:left w:val="none" w:sz="0" w:space="0" w:color="auto"/>
        <w:bottom w:val="none" w:sz="0" w:space="0" w:color="auto"/>
        <w:right w:val="none" w:sz="0" w:space="0" w:color="auto"/>
      </w:divBdr>
    </w:div>
    <w:div w:id="1627849274">
      <w:bodyDiv w:val="1"/>
      <w:marLeft w:val="0"/>
      <w:marRight w:val="0"/>
      <w:marTop w:val="0"/>
      <w:marBottom w:val="0"/>
      <w:divBdr>
        <w:top w:val="none" w:sz="0" w:space="0" w:color="auto"/>
        <w:left w:val="none" w:sz="0" w:space="0" w:color="auto"/>
        <w:bottom w:val="none" w:sz="0" w:space="0" w:color="auto"/>
        <w:right w:val="none" w:sz="0" w:space="0" w:color="auto"/>
      </w:divBdr>
    </w:div>
    <w:div w:id="1632049710">
      <w:bodyDiv w:val="1"/>
      <w:marLeft w:val="0"/>
      <w:marRight w:val="0"/>
      <w:marTop w:val="0"/>
      <w:marBottom w:val="0"/>
      <w:divBdr>
        <w:top w:val="none" w:sz="0" w:space="0" w:color="auto"/>
        <w:left w:val="none" w:sz="0" w:space="0" w:color="auto"/>
        <w:bottom w:val="none" w:sz="0" w:space="0" w:color="auto"/>
        <w:right w:val="none" w:sz="0" w:space="0" w:color="auto"/>
      </w:divBdr>
    </w:div>
    <w:div w:id="1634559246">
      <w:bodyDiv w:val="1"/>
      <w:marLeft w:val="0"/>
      <w:marRight w:val="0"/>
      <w:marTop w:val="0"/>
      <w:marBottom w:val="0"/>
      <w:divBdr>
        <w:top w:val="none" w:sz="0" w:space="0" w:color="auto"/>
        <w:left w:val="none" w:sz="0" w:space="0" w:color="auto"/>
        <w:bottom w:val="none" w:sz="0" w:space="0" w:color="auto"/>
        <w:right w:val="none" w:sz="0" w:space="0" w:color="auto"/>
      </w:divBdr>
    </w:div>
    <w:div w:id="1636450263">
      <w:bodyDiv w:val="1"/>
      <w:marLeft w:val="0"/>
      <w:marRight w:val="0"/>
      <w:marTop w:val="0"/>
      <w:marBottom w:val="0"/>
      <w:divBdr>
        <w:top w:val="none" w:sz="0" w:space="0" w:color="auto"/>
        <w:left w:val="none" w:sz="0" w:space="0" w:color="auto"/>
        <w:bottom w:val="none" w:sz="0" w:space="0" w:color="auto"/>
        <w:right w:val="none" w:sz="0" w:space="0" w:color="auto"/>
      </w:divBdr>
    </w:div>
    <w:div w:id="1645044161">
      <w:bodyDiv w:val="1"/>
      <w:marLeft w:val="0"/>
      <w:marRight w:val="0"/>
      <w:marTop w:val="0"/>
      <w:marBottom w:val="0"/>
      <w:divBdr>
        <w:top w:val="none" w:sz="0" w:space="0" w:color="auto"/>
        <w:left w:val="none" w:sz="0" w:space="0" w:color="auto"/>
        <w:bottom w:val="none" w:sz="0" w:space="0" w:color="auto"/>
        <w:right w:val="none" w:sz="0" w:space="0" w:color="auto"/>
      </w:divBdr>
    </w:div>
    <w:div w:id="1647319059">
      <w:bodyDiv w:val="1"/>
      <w:marLeft w:val="0"/>
      <w:marRight w:val="0"/>
      <w:marTop w:val="0"/>
      <w:marBottom w:val="0"/>
      <w:divBdr>
        <w:top w:val="none" w:sz="0" w:space="0" w:color="auto"/>
        <w:left w:val="none" w:sz="0" w:space="0" w:color="auto"/>
        <w:bottom w:val="none" w:sz="0" w:space="0" w:color="auto"/>
        <w:right w:val="none" w:sz="0" w:space="0" w:color="auto"/>
      </w:divBdr>
    </w:div>
    <w:div w:id="1649699843">
      <w:bodyDiv w:val="1"/>
      <w:marLeft w:val="0"/>
      <w:marRight w:val="0"/>
      <w:marTop w:val="0"/>
      <w:marBottom w:val="0"/>
      <w:divBdr>
        <w:top w:val="none" w:sz="0" w:space="0" w:color="auto"/>
        <w:left w:val="none" w:sz="0" w:space="0" w:color="auto"/>
        <w:bottom w:val="none" w:sz="0" w:space="0" w:color="auto"/>
        <w:right w:val="none" w:sz="0" w:space="0" w:color="auto"/>
      </w:divBdr>
    </w:div>
    <w:div w:id="1653486107">
      <w:bodyDiv w:val="1"/>
      <w:marLeft w:val="0"/>
      <w:marRight w:val="0"/>
      <w:marTop w:val="0"/>
      <w:marBottom w:val="0"/>
      <w:divBdr>
        <w:top w:val="none" w:sz="0" w:space="0" w:color="auto"/>
        <w:left w:val="none" w:sz="0" w:space="0" w:color="auto"/>
        <w:bottom w:val="none" w:sz="0" w:space="0" w:color="auto"/>
        <w:right w:val="none" w:sz="0" w:space="0" w:color="auto"/>
      </w:divBdr>
    </w:div>
    <w:div w:id="1662811892">
      <w:bodyDiv w:val="1"/>
      <w:marLeft w:val="0"/>
      <w:marRight w:val="0"/>
      <w:marTop w:val="0"/>
      <w:marBottom w:val="0"/>
      <w:divBdr>
        <w:top w:val="none" w:sz="0" w:space="0" w:color="auto"/>
        <w:left w:val="none" w:sz="0" w:space="0" w:color="auto"/>
        <w:bottom w:val="none" w:sz="0" w:space="0" w:color="auto"/>
        <w:right w:val="none" w:sz="0" w:space="0" w:color="auto"/>
      </w:divBdr>
    </w:div>
    <w:div w:id="1664357912">
      <w:bodyDiv w:val="1"/>
      <w:marLeft w:val="0"/>
      <w:marRight w:val="0"/>
      <w:marTop w:val="0"/>
      <w:marBottom w:val="0"/>
      <w:divBdr>
        <w:top w:val="none" w:sz="0" w:space="0" w:color="auto"/>
        <w:left w:val="none" w:sz="0" w:space="0" w:color="auto"/>
        <w:bottom w:val="none" w:sz="0" w:space="0" w:color="auto"/>
        <w:right w:val="none" w:sz="0" w:space="0" w:color="auto"/>
      </w:divBdr>
    </w:div>
    <w:div w:id="1665428803">
      <w:bodyDiv w:val="1"/>
      <w:marLeft w:val="0"/>
      <w:marRight w:val="0"/>
      <w:marTop w:val="0"/>
      <w:marBottom w:val="0"/>
      <w:divBdr>
        <w:top w:val="none" w:sz="0" w:space="0" w:color="auto"/>
        <w:left w:val="none" w:sz="0" w:space="0" w:color="auto"/>
        <w:bottom w:val="none" w:sz="0" w:space="0" w:color="auto"/>
        <w:right w:val="none" w:sz="0" w:space="0" w:color="auto"/>
      </w:divBdr>
    </w:div>
    <w:div w:id="1668362101">
      <w:bodyDiv w:val="1"/>
      <w:marLeft w:val="0"/>
      <w:marRight w:val="0"/>
      <w:marTop w:val="0"/>
      <w:marBottom w:val="0"/>
      <w:divBdr>
        <w:top w:val="none" w:sz="0" w:space="0" w:color="auto"/>
        <w:left w:val="none" w:sz="0" w:space="0" w:color="auto"/>
        <w:bottom w:val="none" w:sz="0" w:space="0" w:color="auto"/>
        <w:right w:val="none" w:sz="0" w:space="0" w:color="auto"/>
      </w:divBdr>
    </w:div>
    <w:div w:id="1672488896">
      <w:bodyDiv w:val="1"/>
      <w:marLeft w:val="0"/>
      <w:marRight w:val="0"/>
      <w:marTop w:val="0"/>
      <w:marBottom w:val="0"/>
      <w:divBdr>
        <w:top w:val="none" w:sz="0" w:space="0" w:color="auto"/>
        <w:left w:val="none" w:sz="0" w:space="0" w:color="auto"/>
        <w:bottom w:val="none" w:sz="0" w:space="0" w:color="auto"/>
        <w:right w:val="none" w:sz="0" w:space="0" w:color="auto"/>
      </w:divBdr>
    </w:div>
    <w:div w:id="1672566860">
      <w:bodyDiv w:val="1"/>
      <w:marLeft w:val="0"/>
      <w:marRight w:val="0"/>
      <w:marTop w:val="0"/>
      <w:marBottom w:val="0"/>
      <w:divBdr>
        <w:top w:val="none" w:sz="0" w:space="0" w:color="auto"/>
        <w:left w:val="none" w:sz="0" w:space="0" w:color="auto"/>
        <w:bottom w:val="none" w:sz="0" w:space="0" w:color="auto"/>
        <w:right w:val="none" w:sz="0" w:space="0" w:color="auto"/>
      </w:divBdr>
    </w:div>
    <w:div w:id="1674917836">
      <w:bodyDiv w:val="1"/>
      <w:marLeft w:val="0"/>
      <w:marRight w:val="0"/>
      <w:marTop w:val="0"/>
      <w:marBottom w:val="0"/>
      <w:divBdr>
        <w:top w:val="none" w:sz="0" w:space="0" w:color="auto"/>
        <w:left w:val="none" w:sz="0" w:space="0" w:color="auto"/>
        <w:bottom w:val="none" w:sz="0" w:space="0" w:color="auto"/>
        <w:right w:val="none" w:sz="0" w:space="0" w:color="auto"/>
      </w:divBdr>
    </w:div>
    <w:div w:id="1675381323">
      <w:bodyDiv w:val="1"/>
      <w:marLeft w:val="0"/>
      <w:marRight w:val="0"/>
      <w:marTop w:val="0"/>
      <w:marBottom w:val="0"/>
      <w:divBdr>
        <w:top w:val="none" w:sz="0" w:space="0" w:color="auto"/>
        <w:left w:val="none" w:sz="0" w:space="0" w:color="auto"/>
        <w:bottom w:val="none" w:sz="0" w:space="0" w:color="auto"/>
        <w:right w:val="none" w:sz="0" w:space="0" w:color="auto"/>
      </w:divBdr>
    </w:div>
    <w:div w:id="1677150662">
      <w:bodyDiv w:val="1"/>
      <w:marLeft w:val="0"/>
      <w:marRight w:val="0"/>
      <w:marTop w:val="0"/>
      <w:marBottom w:val="0"/>
      <w:divBdr>
        <w:top w:val="none" w:sz="0" w:space="0" w:color="auto"/>
        <w:left w:val="none" w:sz="0" w:space="0" w:color="auto"/>
        <w:bottom w:val="none" w:sz="0" w:space="0" w:color="auto"/>
        <w:right w:val="none" w:sz="0" w:space="0" w:color="auto"/>
      </w:divBdr>
    </w:div>
    <w:div w:id="1693799030">
      <w:bodyDiv w:val="1"/>
      <w:marLeft w:val="0"/>
      <w:marRight w:val="0"/>
      <w:marTop w:val="0"/>
      <w:marBottom w:val="0"/>
      <w:divBdr>
        <w:top w:val="none" w:sz="0" w:space="0" w:color="auto"/>
        <w:left w:val="none" w:sz="0" w:space="0" w:color="auto"/>
        <w:bottom w:val="none" w:sz="0" w:space="0" w:color="auto"/>
        <w:right w:val="none" w:sz="0" w:space="0" w:color="auto"/>
      </w:divBdr>
    </w:div>
    <w:div w:id="1699549202">
      <w:bodyDiv w:val="1"/>
      <w:marLeft w:val="0"/>
      <w:marRight w:val="0"/>
      <w:marTop w:val="0"/>
      <w:marBottom w:val="0"/>
      <w:divBdr>
        <w:top w:val="none" w:sz="0" w:space="0" w:color="auto"/>
        <w:left w:val="none" w:sz="0" w:space="0" w:color="auto"/>
        <w:bottom w:val="none" w:sz="0" w:space="0" w:color="auto"/>
        <w:right w:val="none" w:sz="0" w:space="0" w:color="auto"/>
      </w:divBdr>
    </w:div>
    <w:div w:id="1714038357">
      <w:bodyDiv w:val="1"/>
      <w:marLeft w:val="0"/>
      <w:marRight w:val="0"/>
      <w:marTop w:val="0"/>
      <w:marBottom w:val="0"/>
      <w:divBdr>
        <w:top w:val="none" w:sz="0" w:space="0" w:color="auto"/>
        <w:left w:val="none" w:sz="0" w:space="0" w:color="auto"/>
        <w:bottom w:val="none" w:sz="0" w:space="0" w:color="auto"/>
        <w:right w:val="none" w:sz="0" w:space="0" w:color="auto"/>
      </w:divBdr>
    </w:div>
    <w:div w:id="1720590548">
      <w:bodyDiv w:val="1"/>
      <w:marLeft w:val="0"/>
      <w:marRight w:val="0"/>
      <w:marTop w:val="0"/>
      <w:marBottom w:val="0"/>
      <w:divBdr>
        <w:top w:val="none" w:sz="0" w:space="0" w:color="auto"/>
        <w:left w:val="none" w:sz="0" w:space="0" w:color="auto"/>
        <w:bottom w:val="none" w:sz="0" w:space="0" w:color="auto"/>
        <w:right w:val="none" w:sz="0" w:space="0" w:color="auto"/>
      </w:divBdr>
    </w:div>
    <w:div w:id="1720859896">
      <w:bodyDiv w:val="1"/>
      <w:marLeft w:val="0"/>
      <w:marRight w:val="0"/>
      <w:marTop w:val="0"/>
      <w:marBottom w:val="0"/>
      <w:divBdr>
        <w:top w:val="none" w:sz="0" w:space="0" w:color="auto"/>
        <w:left w:val="none" w:sz="0" w:space="0" w:color="auto"/>
        <w:bottom w:val="none" w:sz="0" w:space="0" w:color="auto"/>
        <w:right w:val="none" w:sz="0" w:space="0" w:color="auto"/>
      </w:divBdr>
    </w:div>
    <w:div w:id="1721204119">
      <w:bodyDiv w:val="1"/>
      <w:marLeft w:val="0"/>
      <w:marRight w:val="0"/>
      <w:marTop w:val="0"/>
      <w:marBottom w:val="0"/>
      <w:divBdr>
        <w:top w:val="none" w:sz="0" w:space="0" w:color="auto"/>
        <w:left w:val="none" w:sz="0" w:space="0" w:color="auto"/>
        <w:bottom w:val="none" w:sz="0" w:space="0" w:color="auto"/>
        <w:right w:val="none" w:sz="0" w:space="0" w:color="auto"/>
      </w:divBdr>
    </w:div>
    <w:div w:id="1724938585">
      <w:bodyDiv w:val="1"/>
      <w:marLeft w:val="0"/>
      <w:marRight w:val="0"/>
      <w:marTop w:val="0"/>
      <w:marBottom w:val="0"/>
      <w:divBdr>
        <w:top w:val="none" w:sz="0" w:space="0" w:color="auto"/>
        <w:left w:val="none" w:sz="0" w:space="0" w:color="auto"/>
        <w:bottom w:val="none" w:sz="0" w:space="0" w:color="auto"/>
        <w:right w:val="none" w:sz="0" w:space="0" w:color="auto"/>
      </w:divBdr>
    </w:div>
    <w:div w:id="1740665401">
      <w:bodyDiv w:val="1"/>
      <w:marLeft w:val="0"/>
      <w:marRight w:val="0"/>
      <w:marTop w:val="0"/>
      <w:marBottom w:val="0"/>
      <w:divBdr>
        <w:top w:val="none" w:sz="0" w:space="0" w:color="auto"/>
        <w:left w:val="none" w:sz="0" w:space="0" w:color="auto"/>
        <w:bottom w:val="none" w:sz="0" w:space="0" w:color="auto"/>
        <w:right w:val="none" w:sz="0" w:space="0" w:color="auto"/>
      </w:divBdr>
    </w:div>
    <w:div w:id="1747023017">
      <w:bodyDiv w:val="1"/>
      <w:marLeft w:val="0"/>
      <w:marRight w:val="0"/>
      <w:marTop w:val="0"/>
      <w:marBottom w:val="0"/>
      <w:divBdr>
        <w:top w:val="none" w:sz="0" w:space="0" w:color="auto"/>
        <w:left w:val="none" w:sz="0" w:space="0" w:color="auto"/>
        <w:bottom w:val="none" w:sz="0" w:space="0" w:color="auto"/>
        <w:right w:val="none" w:sz="0" w:space="0" w:color="auto"/>
      </w:divBdr>
    </w:div>
    <w:div w:id="1754349430">
      <w:bodyDiv w:val="1"/>
      <w:marLeft w:val="0"/>
      <w:marRight w:val="0"/>
      <w:marTop w:val="0"/>
      <w:marBottom w:val="0"/>
      <w:divBdr>
        <w:top w:val="none" w:sz="0" w:space="0" w:color="auto"/>
        <w:left w:val="none" w:sz="0" w:space="0" w:color="auto"/>
        <w:bottom w:val="none" w:sz="0" w:space="0" w:color="auto"/>
        <w:right w:val="none" w:sz="0" w:space="0" w:color="auto"/>
      </w:divBdr>
    </w:div>
    <w:div w:id="1758089654">
      <w:bodyDiv w:val="1"/>
      <w:marLeft w:val="0"/>
      <w:marRight w:val="0"/>
      <w:marTop w:val="0"/>
      <w:marBottom w:val="0"/>
      <w:divBdr>
        <w:top w:val="none" w:sz="0" w:space="0" w:color="auto"/>
        <w:left w:val="none" w:sz="0" w:space="0" w:color="auto"/>
        <w:bottom w:val="none" w:sz="0" w:space="0" w:color="auto"/>
        <w:right w:val="none" w:sz="0" w:space="0" w:color="auto"/>
      </w:divBdr>
    </w:div>
    <w:div w:id="1759667079">
      <w:bodyDiv w:val="1"/>
      <w:marLeft w:val="0"/>
      <w:marRight w:val="0"/>
      <w:marTop w:val="0"/>
      <w:marBottom w:val="0"/>
      <w:divBdr>
        <w:top w:val="none" w:sz="0" w:space="0" w:color="auto"/>
        <w:left w:val="none" w:sz="0" w:space="0" w:color="auto"/>
        <w:bottom w:val="none" w:sz="0" w:space="0" w:color="auto"/>
        <w:right w:val="none" w:sz="0" w:space="0" w:color="auto"/>
      </w:divBdr>
    </w:div>
    <w:div w:id="1776707013">
      <w:bodyDiv w:val="1"/>
      <w:marLeft w:val="0"/>
      <w:marRight w:val="0"/>
      <w:marTop w:val="0"/>
      <w:marBottom w:val="0"/>
      <w:divBdr>
        <w:top w:val="none" w:sz="0" w:space="0" w:color="auto"/>
        <w:left w:val="none" w:sz="0" w:space="0" w:color="auto"/>
        <w:bottom w:val="none" w:sz="0" w:space="0" w:color="auto"/>
        <w:right w:val="none" w:sz="0" w:space="0" w:color="auto"/>
      </w:divBdr>
    </w:div>
    <w:div w:id="1780683188">
      <w:bodyDiv w:val="1"/>
      <w:marLeft w:val="0"/>
      <w:marRight w:val="0"/>
      <w:marTop w:val="0"/>
      <w:marBottom w:val="0"/>
      <w:divBdr>
        <w:top w:val="none" w:sz="0" w:space="0" w:color="auto"/>
        <w:left w:val="none" w:sz="0" w:space="0" w:color="auto"/>
        <w:bottom w:val="none" w:sz="0" w:space="0" w:color="auto"/>
        <w:right w:val="none" w:sz="0" w:space="0" w:color="auto"/>
      </w:divBdr>
    </w:div>
    <w:div w:id="1780903951">
      <w:bodyDiv w:val="1"/>
      <w:marLeft w:val="0"/>
      <w:marRight w:val="0"/>
      <w:marTop w:val="0"/>
      <w:marBottom w:val="0"/>
      <w:divBdr>
        <w:top w:val="none" w:sz="0" w:space="0" w:color="auto"/>
        <w:left w:val="none" w:sz="0" w:space="0" w:color="auto"/>
        <w:bottom w:val="none" w:sz="0" w:space="0" w:color="auto"/>
        <w:right w:val="none" w:sz="0" w:space="0" w:color="auto"/>
      </w:divBdr>
    </w:div>
    <w:div w:id="1781337936">
      <w:bodyDiv w:val="1"/>
      <w:marLeft w:val="0"/>
      <w:marRight w:val="0"/>
      <w:marTop w:val="0"/>
      <w:marBottom w:val="0"/>
      <w:divBdr>
        <w:top w:val="none" w:sz="0" w:space="0" w:color="auto"/>
        <w:left w:val="none" w:sz="0" w:space="0" w:color="auto"/>
        <w:bottom w:val="none" w:sz="0" w:space="0" w:color="auto"/>
        <w:right w:val="none" w:sz="0" w:space="0" w:color="auto"/>
      </w:divBdr>
    </w:div>
    <w:div w:id="1783458483">
      <w:bodyDiv w:val="1"/>
      <w:marLeft w:val="0"/>
      <w:marRight w:val="0"/>
      <w:marTop w:val="0"/>
      <w:marBottom w:val="0"/>
      <w:divBdr>
        <w:top w:val="none" w:sz="0" w:space="0" w:color="auto"/>
        <w:left w:val="none" w:sz="0" w:space="0" w:color="auto"/>
        <w:bottom w:val="none" w:sz="0" w:space="0" w:color="auto"/>
        <w:right w:val="none" w:sz="0" w:space="0" w:color="auto"/>
      </w:divBdr>
    </w:div>
    <w:div w:id="1788430919">
      <w:bodyDiv w:val="1"/>
      <w:marLeft w:val="0"/>
      <w:marRight w:val="0"/>
      <w:marTop w:val="0"/>
      <w:marBottom w:val="0"/>
      <w:divBdr>
        <w:top w:val="none" w:sz="0" w:space="0" w:color="auto"/>
        <w:left w:val="none" w:sz="0" w:space="0" w:color="auto"/>
        <w:bottom w:val="none" w:sz="0" w:space="0" w:color="auto"/>
        <w:right w:val="none" w:sz="0" w:space="0" w:color="auto"/>
      </w:divBdr>
    </w:div>
    <w:div w:id="1795781600">
      <w:bodyDiv w:val="1"/>
      <w:marLeft w:val="0"/>
      <w:marRight w:val="0"/>
      <w:marTop w:val="0"/>
      <w:marBottom w:val="0"/>
      <w:divBdr>
        <w:top w:val="none" w:sz="0" w:space="0" w:color="auto"/>
        <w:left w:val="none" w:sz="0" w:space="0" w:color="auto"/>
        <w:bottom w:val="none" w:sz="0" w:space="0" w:color="auto"/>
        <w:right w:val="none" w:sz="0" w:space="0" w:color="auto"/>
      </w:divBdr>
    </w:div>
    <w:div w:id="1796169134">
      <w:bodyDiv w:val="1"/>
      <w:marLeft w:val="0"/>
      <w:marRight w:val="0"/>
      <w:marTop w:val="0"/>
      <w:marBottom w:val="0"/>
      <w:divBdr>
        <w:top w:val="none" w:sz="0" w:space="0" w:color="auto"/>
        <w:left w:val="none" w:sz="0" w:space="0" w:color="auto"/>
        <w:bottom w:val="none" w:sz="0" w:space="0" w:color="auto"/>
        <w:right w:val="none" w:sz="0" w:space="0" w:color="auto"/>
      </w:divBdr>
    </w:div>
    <w:div w:id="1808620211">
      <w:bodyDiv w:val="1"/>
      <w:marLeft w:val="0"/>
      <w:marRight w:val="0"/>
      <w:marTop w:val="0"/>
      <w:marBottom w:val="0"/>
      <w:divBdr>
        <w:top w:val="none" w:sz="0" w:space="0" w:color="auto"/>
        <w:left w:val="none" w:sz="0" w:space="0" w:color="auto"/>
        <w:bottom w:val="none" w:sz="0" w:space="0" w:color="auto"/>
        <w:right w:val="none" w:sz="0" w:space="0" w:color="auto"/>
      </w:divBdr>
    </w:div>
    <w:div w:id="1817844054">
      <w:bodyDiv w:val="1"/>
      <w:marLeft w:val="0"/>
      <w:marRight w:val="0"/>
      <w:marTop w:val="0"/>
      <w:marBottom w:val="0"/>
      <w:divBdr>
        <w:top w:val="none" w:sz="0" w:space="0" w:color="auto"/>
        <w:left w:val="none" w:sz="0" w:space="0" w:color="auto"/>
        <w:bottom w:val="none" w:sz="0" w:space="0" w:color="auto"/>
        <w:right w:val="none" w:sz="0" w:space="0" w:color="auto"/>
      </w:divBdr>
    </w:div>
    <w:div w:id="1822697553">
      <w:bodyDiv w:val="1"/>
      <w:marLeft w:val="0"/>
      <w:marRight w:val="0"/>
      <w:marTop w:val="0"/>
      <w:marBottom w:val="0"/>
      <w:divBdr>
        <w:top w:val="none" w:sz="0" w:space="0" w:color="auto"/>
        <w:left w:val="none" w:sz="0" w:space="0" w:color="auto"/>
        <w:bottom w:val="none" w:sz="0" w:space="0" w:color="auto"/>
        <w:right w:val="none" w:sz="0" w:space="0" w:color="auto"/>
      </w:divBdr>
    </w:div>
    <w:div w:id="1824001314">
      <w:bodyDiv w:val="1"/>
      <w:marLeft w:val="0"/>
      <w:marRight w:val="0"/>
      <w:marTop w:val="0"/>
      <w:marBottom w:val="0"/>
      <w:divBdr>
        <w:top w:val="none" w:sz="0" w:space="0" w:color="auto"/>
        <w:left w:val="none" w:sz="0" w:space="0" w:color="auto"/>
        <w:bottom w:val="none" w:sz="0" w:space="0" w:color="auto"/>
        <w:right w:val="none" w:sz="0" w:space="0" w:color="auto"/>
      </w:divBdr>
    </w:div>
    <w:div w:id="1826163996">
      <w:bodyDiv w:val="1"/>
      <w:marLeft w:val="0"/>
      <w:marRight w:val="0"/>
      <w:marTop w:val="0"/>
      <w:marBottom w:val="0"/>
      <w:divBdr>
        <w:top w:val="none" w:sz="0" w:space="0" w:color="auto"/>
        <w:left w:val="none" w:sz="0" w:space="0" w:color="auto"/>
        <w:bottom w:val="none" w:sz="0" w:space="0" w:color="auto"/>
        <w:right w:val="none" w:sz="0" w:space="0" w:color="auto"/>
      </w:divBdr>
    </w:div>
    <w:div w:id="1838031697">
      <w:bodyDiv w:val="1"/>
      <w:marLeft w:val="0"/>
      <w:marRight w:val="0"/>
      <w:marTop w:val="0"/>
      <w:marBottom w:val="0"/>
      <w:divBdr>
        <w:top w:val="none" w:sz="0" w:space="0" w:color="auto"/>
        <w:left w:val="none" w:sz="0" w:space="0" w:color="auto"/>
        <w:bottom w:val="none" w:sz="0" w:space="0" w:color="auto"/>
        <w:right w:val="none" w:sz="0" w:space="0" w:color="auto"/>
      </w:divBdr>
    </w:div>
    <w:div w:id="1843814896">
      <w:bodyDiv w:val="1"/>
      <w:marLeft w:val="0"/>
      <w:marRight w:val="0"/>
      <w:marTop w:val="0"/>
      <w:marBottom w:val="0"/>
      <w:divBdr>
        <w:top w:val="none" w:sz="0" w:space="0" w:color="auto"/>
        <w:left w:val="none" w:sz="0" w:space="0" w:color="auto"/>
        <w:bottom w:val="none" w:sz="0" w:space="0" w:color="auto"/>
        <w:right w:val="none" w:sz="0" w:space="0" w:color="auto"/>
      </w:divBdr>
    </w:div>
    <w:div w:id="1853451243">
      <w:bodyDiv w:val="1"/>
      <w:marLeft w:val="0"/>
      <w:marRight w:val="0"/>
      <w:marTop w:val="0"/>
      <w:marBottom w:val="0"/>
      <w:divBdr>
        <w:top w:val="none" w:sz="0" w:space="0" w:color="auto"/>
        <w:left w:val="none" w:sz="0" w:space="0" w:color="auto"/>
        <w:bottom w:val="none" w:sz="0" w:space="0" w:color="auto"/>
        <w:right w:val="none" w:sz="0" w:space="0" w:color="auto"/>
      </w:divBdr>
    </w:div>
    <w:div w:id="1855067848">
      <w:bodyDiv w:val="1"/>
      <w:marLeft w:val="0"/>
      <w:marRight w:val="0"/>
      <w:marTop w:val="0"/>
      <w:marBottom w:val="0"/>
      <w:divBdr>
        <w:top w:val="none" w:sz="0" w:space="0" w:color="auto"/>
        <w:left w:val="none" w:sz="0" w:space="0" w:color="auto"/>
        <w:bottom w:val="none" w:sz="0" w:space="0" w:color="auto"/>
        <w:right w:val="none" w:sz="0" w:space="0" w:color="auto"/>
      </w:divBdr>
    </w:div>
    <w:div w:id="1880162457">
      <w:bodyDiv w:val="1"/>
      <w:marLeft w:val="0"/>
      <w:marRight w:val="0"/>
      <w:marTop w:val="0"/>
      <w:marBottom w:val="0"/>
      <w:divBdr>
        <w:top w:val="none" w:sz="0" w:space="0" w:color="auto"/>
        <w:left w:val="none" w:sz="0" w:space="0" w:color="auto"/>
        <w:bottom w:val="none" w:sz="0" w:space="0" w:color="auto"/>
        <w:right w:val="none" w:sz="0" w:space="0" w:color="auto"/>
      </w:divBdr>
    </w:div>
    <w:div w:id="1880556155">
      <w:bodyDiv w:val="1"/>
      <w:marLeft w:val="0"/>
      <w:marRight w:val="0"/>
      <w:marTop w:val="0"/>
      <w:marBottom w:val="0"/>
      <w:divBdr>
        <w:top w:val="none" w:sz="0" w:space="0" w:color="auto"/>
        <w:left w:val="none" w:sz="0" w:space="0" w:color="auto"/>
        <w:bottom w:val="none" w:sz="0" w:space="0" w:color="auto"/>
        <w:right w:val="none" w:sz="0" w:space="0" w:color="auto"/>
      </w:divBdr>
    </w:div>
    <w:div w:id="1880584304">
      <w:bodyDiv w:val="1"/>
      <w:marLeft w:val="0"/>
      <w:marRight w:val="0"/>
      <w:marTop w:val="0"/>
      <w:marBottom w:val="0"/>
      <w:divBdr>
        <w:top w:val="none" w:sz="0" w:space="0" w:color="auto"/>
        <w:left w:val="none" w:sz="0" w:space="0" w:color="auto"/>
        <w:bottom w:val="none" w:sz="0" w:space="0" w:color="auto"/>
        <w:right w:val="none" w:sz="0" w:space="0" w:color="auto"/>
      </w:divBdr>
    </w:div>
    <w:div w:id="1898012045">
      <w:bodyDiv w:val="1"/>
      <w:marLeft w:val="0"/>
      <w:marRight w:val="0"/>
      <w:marTop w:val="0"/>
      <w:marBottom w:val="0"/>
      <w:divBdr>
        <w:top w:val="none" w:sz="0" w:space="0" w:color="auto"/>
        <w:left w:val="none" w:sz="0" w:space="0" w:color="auto"/>
        <w:bottom w:val="none" w:sz="0" w:space="0" w:color="auto"/>
        <w:right w:val="none" w:sz="0" w:space="0" w:color="auto"/>
      </w:divBdr>
    </w:div>
    <w:div w:id="1902710172">
      <w:bodyDiv w:val="1"/>
      <w:marLeft w:val="0"/>
      <w:marRight w:val="0"/>
      <w:marTop w:val="0"/>
      <w:marBottom w:val="0"/>
      <w:divBdr>
        <w:top w:val="none" w:sz="0" w:space="0" w:color="auto"/>
        <w:left w:val="none" w:sz="0" w:space="0" w:color="auto"/>
        <w:bottom w:val="none" w:sz="0" w:space="0" w:color="auto"/>
        <w:right w:val="none" w:sz="0" w:space="0" w:color="auto"/>
      </w:divBdr>
    </w:div>
    <w:div w:id="1910844898">
      <w:bodyDiv w:val="1"/>
      <w:marLeft w:val="0"/>
      <w:marRight w:val="0"/>
      <w:marTop w:val="0"/>
      <w:marBottom w:val="0"/>
      <w:divBdr>
        <w:top w:val="none" w:sz="0" w:space="0" w:color="auto"/>
        <w:left w:val="none" w:sz="0" w:space="0" w:color="auto"/>
        <w:bottom w:val="none" w:sz="0" w:space="0" w:color="auto"/>
        <w:right w:val="none" w:sz="0" w:space="0" w:color="auto"/>
      </w:divBdr>
    </w:div>
    <w:div w:id="1919629415">
      <w:bodyDiv w:val="1"/>
      <w:marLeft w:val="0"/>
      <w:marRight w:val="0"/>
      <w:marTop w:val="0"/>
      <w:marBottom w:val="0"/>
      <w:divBdr>
        <w:top w:val="none" w:sz="0" w:space="0" w:color="auto"/>
        <w:left w:val="none" w:sz="0" w:space="0" w:color="auto"/>
        <w:bottom w:val="none" w:sz="0" w:space="0" w:color="auto"/>
        <w:right w:val="none" w:sz="0" w:space="0" w:color="auto"/>
      </w:divBdr>
    </w:div>
    <w:div w:id="1920675354">
      <w:bodyDiv w:val="1"/>
      <w:marLeft w:val="0"/>
      <w:marRight w:val="0"/>
      <w:marTop w:val="0"/>
      <w:marBottom w:val="0"/>
      <w:divBdr>
        <w:top w:val="none" w:sz="0" w:space="0" w:color="auto"/>
        <w:left w:val="none" w:sz="0" w:space="0" w:color="auto"/>
        <w:bottom w:val="none" w:sz="0" w:space="0" w:color="auto"/>
        <w:right w:val="none" w:sz="0" w:space="0" w:color="auto"/>
      </w:divBdr>
    </w:div>
    <w:div w:id="1928490103">
      <w:bodyDiv w:val="1"/>
      <w:marLeft w:val="0"/>
      <w:marRight w:val="0"/>
      <w:marTop w:val="0"/>
      <w:marBottom w:val="0"/>
      <w:divBdr>
        <w:top w:val="none" w:sz="0" w:space="0" w:color="auto"/>
        <w:left w:val="none" w:sz="0" w:space="0" w:color="auto"/>
        <w:bottom w:val="none" w:sz="0" w:space="0" w:color="auto"/>
        <w:right w:val="none" w:sz="0" w:space="0" w:color="auto"/>
      </w:divBdr>
    </w:div>
    <w:div w:id="1933664235">
      <w:bodyDiv w:val="1"/>
      <w:marLeft w:val="0"/>
      <w:marRight w:val="0"/>
      <w:marTop w:val="0"/>
      <w:marBottom w:val="0"/>
      <w:divBdr>
        <w:top w:val="none" w:sz="0" w:space="0" w:color="auto"/>
        <w:left w:val="none" w:sz="0" w:space="0" w:color="auto"/>
        <w:bottom w:val="none" w:sz="0" w:space="0" w:color="auto"/>
        <w:right w:val="none" w:sz="0" w:space="0" w:color="auto"/>
      </w:divBdr>
    </w:div>
    <w:div w:id="1942881767">
      <w:bodyDiv w:val="1"/>
      <w:marLeft w:val="0"/>
      <w:marRight w:val="0"/>
      <w:marTop w:val="0"/>
      <w:marBottom w:val="0"/>
      <w:divBdr>
        <w:top w:val="none" w:sz="0" w:space="0" w:color="auto"/>
        <w:left w:val="none" w:sz="0" w:space="0" w:color="auto"/>
        <w:bottom w:val="none" w:sz="0" w:space="0" w:color="auto"/>
        <w:right w:val="none" w:sz="0" w:space="0" w:color="auto"/>
      </w:divBdr>
    </w:div>
    <w:div w:id="1944150225">
      <w:bodyDiv w:val="1"/>
      <w:marLeft w:val="0"/>
      <w:marRight w:val="0"/>
      <w:marTop w:val="0"/>
      <w:marBottom w:val="0"/>
      <w:divBdr>
        <w:top w:val="none" w:sz="0" w:space="0" w:color="auto"/>
        <w:left w:val="none" w:sz="0" w:space="0" w:color="auto"/>
        <w:bottom w:val="none" w:sz="0" w:space="0" w:color="auto"/>
        <w:right w:val="none" w:sz="0" w:space="0" w:color="auto"/>
      </w:divBdr>
    </w:div>
    <w:div w:id="1946887417">
      <w:bodyDiv w:val="1"/>
      <w:marLeft w:val="0"/>
      <w:marRight w:val="0"/>
      <w:marTop w:val="0"/>
      <w:marBottom w:val="0"/>
      <w:divBdr>
        <w:top w:val="none" w:sz="0" w:space="0" w:color="auto"/>
        <w:left w:val="none" w:sz="0" w:space="0" w:color="auto"/>
        <w:bottom w:val="none" w:sz="0" w:space="0" w:color="auto"/>
        <w:right w:val="none" w:sz="0" w:space="0" w:color="auto"/>
      </w:divBdr>
    </w:div>
    <w:div w:id="1948541204">
      <w:bodyDiv w:val="1"/>
      <w:marLeft w:val="0"/>
      <w:marRight w:val="0"/>
      <w:marTop w:val="0"/>
      <w:marBottom w:val="0"/>
      <w:divBdr>
        <w:top w:val="none" w:sz="0" w:space="0" w:color="auto"/>
        <w:left w:val="none" w:sz="0" w:space="0" w:color="auto"/>
        <w:bottom w:val="none" w:sz="0" w:space="0" w:color="auto"/>
        <w:right w:val="none" w:sz="0" w:space="0" w:color="auto"/>
      </w:divBdr>
    </w:div>
    <w:div w:id="1949698679">
      <w:bodyDiv w:val="1"/>
      <w:marLeft w:val="0"/>
      <w:marRight w:val="0"/>
      <w:marTop w:val="0"/>
      <w:marBottom w:val="0"/>
      <w:divBdr>
        <w:top w:val="none" w:sz="0" w:space="0" w:color="auto"/>
        <w:left w:val="none" w:sz="0" w:space="0" w:color="auto"/>
        <w:bottom w:val="none" w:sz="0" w:space="0" w:color="auto"/>
        <w:right w:val="none" w:sz="0" w:space="0" w:color="auto"/>
      </w:divBdr>
    </w:div>
    <w:div w:id="1951664641">
      <w:bodyDiv w:val="1"/>
      <w:marLeft w:val="0"/>
      <w:marRight w:val="0"/>
      <w:marTop w:val="0"/>
      <w:marBottom w:val="0"/>
      <w:divBdr>
        <w:top w:val="none" w:sz="0" w:space="0" w:color="auto"/>
        <w:left w:val="none" w:sz="0" w:space="0" w:color="auto"/>
        <w:bottom w:val="none" w:sz="0" w:space="0" w:color="auto"/>
        <w:right w:val="none" w:sz="0" w:space="0" w:color="auto"/>
      </w:divBdr>
    </w:div>
    <w:div w:id="1962959609">
      <w:bodyDiv w:val="1"/>
      <w:marLeft w:val="0"/>
      <w:marRight w:val="0"/>
      <w:marTop w:val="0"/>
      <w:marBottom w:val="0"/>
      <w:divBdr>
        <w:top w:val="none" w:sz="0" w:space="0" w:color="auto"/>
        <w:left w:val="none" w:sz="0" w:space="0" w:color="auto"/>
        <w:bottom w:val="none" w:sz="0" w:space="0" w:color="auto"/>
        <w:right w:val="none" w:sz="0" w:space="0" w:color="auto"/>
      </w:divBdr>
    </w:div>
    <w:div w:id="1974938615">
      <w:bodyDiv w:val="1"/>
      <w:marLeft w:val="0"/>
      <w:marRight w:val="0"/>
      <w:marTop w:val="0"/>
      <w:marBottom w:val="0"/>
      <w:divBdr>
        <w:top w:val="none" w:sz="0" w:space="0" w:color="auto"/>
        <w:left w:val="none" w:sz="0" w:space="0" w:color="auto"/>
        <w:bottom w:val="none" w:sz="0" w:space="0" w:color="auto"/>
        <w:right w:val="none" w:sz="0" w:space="0" w:color="auto"/>
      </w:divBdr>
    </w:div>
    <w:div w:id="1976786889">
      <w:bodyDiv w:val="1"/>
      <w:marLeft w:val="0"/>
      <w:marRight w:val="0"/>
      <w:marTop w:val="0"/>
      <w:marBottom w:val="0"/>
      <w:divBdr>
        <w:top w:val="none" w:sz="0" w:space="0" w:color="auto"/>
        <w:left w:val="none" w:sz="0" w:space="0" w:color="auto"/>
        <w:bottom w:val="none" w:sz="0" w:space="0" w:color="auto"/>
        <w:right w:val="none" w:sz="0" w:space="0" w:color="auto"/>
      </w:divBdr>
    </w:div>
    <w:div w:id="1977878164">
      <w:bodyDiv w:val="1"/>
      <w:marLeft w:val="0"/>
      <w:marRight w:val="0"/>
      <w:marTop w:val="0"/>
      <w:marBottom w:val="0"/>
      <w:divBdr>
        <w:top w:val="none" w:sz="0" w:space="0" w:color="auto"/>
        <w:left w:val="none" w:sz="0" w:space="0" w:color="auto"/>
        <w:bottom w:val="none" w:sz="0" w:space="0" w:color="auto"/>
        <w:right w:val="none" w:sz="0" w:space="0" w:color="auto"/>
      </w:divBdr>
    </w:div>
    <w:div w:id="1988049843">
      <w:bodyDiv w:val="1"/>
      <w:marLeft w:val="0"/>
      <w:marRight w:val="0"/>
      <w:marTop w:val="0"/>
      <w:marBottom w:val="0"/>
      <w:divBdr>
        <w:top w:val="none" w:sz="0" w:space="0" w:color="auto"/>
        <w:left w:val="none" w:sz="0" w:space="0" w:color="auto"/>
        <w:bottom w:val="none" w:sz="0" w:space="0" w:color="auto"/>
        <w:right w:val="none" w:sz="0" w:space="0" w:color="auto"/>
      </w:divBdr>
    </w:div>
    <w:div w:id="1989287985">
      <w:bodyDiv w:val="1"/>
      <w:marLeft w:val="0"/>
      <w:marRight w:val="0"/>
      <w:marTop w:val="0"/>
      <w:marBottom w:val="0"/>
      <w:divBdr>
        <w:top w:val="none" w:sz="0" w:space="0" w:color="auto"/>
        <w:left w:val="none" w:sz="0" w:space="0" w:color="auto"/>
        <w:bottom w:val="none" w:sz="0" w:space="0" w:color="auto"/>
        <w:right w:val="none" w:sz="0" w:space="0" w:color="auto"/>
      </w:divBdr>
    </w:div>
    <w:div w:id="1996836288">
      <w:bodyDiv w:val="1"/>
      <w:marLeft w:val="0"/>
      <w:marRight w:val="0"/>
      <w:marTop w:val="0"/>
      <w:marBottom w:val="0"/>
      <w:divBdr>
        <w:top w:val="none" w:sz="0" w:space="0" w:color="auto"/>
        <w:left w:val="none" w:sz="0" w:space="0" w:color="auto"/>
        <w:bottom w:val="none" w:sz="0" w:space="0" w:color="auto"/>
        <w:right w:val="none" w:sz="0" w:space="0" w:color="auto"/>
      </w:divBdr>
    </w:div>
    <w:div w:id="2007900405">
      <w:bodyDiv w:val="1"/>
      <w:marLeft w:val="0"/>
      <w:marRight w:val="0"/>
      <w:marTop w:val="0"/>
      <w:marBottom w:val="0"/>
      <w:divBdr>
        <w:top w:val="none" w:sz="0" w:space="0" w:color="auto"/>
        <w:left w:val="none" w:sz="0" w:space="0" w:color="auto"/>
        <w:bottom w:val="none" w:sz="0" w:space="0" w:color="auto"/>
        <w:right w:val="none" w:sz="0" w:space="0" w:color="auto"/>
      </w:divBdr>
    </w:div>
    <w:div w:id="2012100137">
      <w:bodyDiv w:val="1"/>
      <w:marLeft w:val="0"/>
      <w:marRight w:val="0"/>
      <w:marTop w:val="0"/>
      <w:marBottom w:val="0"/>
      <w:divBdr>
        <w:top w:val="none" w:sz="0" w:space="0" w:color="auto"/>
        <w:left w:val="none" w:sz="0" w:space="0" w:color="auto"/>
        <w:bottom w:val="none" w:sz="0" w:space="0" w:color="auto"/>
        <w:right w:val="none" w:sz="0" w:space="0" w:color="auto"/>
      </w:divBdr>
    </w:div>
    <w:div w:id="2017266059">
      <w:bodyDiv w:val="1"/>
      <w:marLeft w:val="0"/>
      <w:marRight w:val="0"/>
      <w:marTop w:val="0"/>
      <w:marBottom w:val="0"/>
      <w:divBdr>
        <w:top w:val="none" w:sz="0" w:space="0" w:color="auto"/>
        <w:left w:val="none" w:sz="0" w:space="0" w:color="auto"/>
        <w:bottom w:val="none" w:sz="0" w:space="0" w:color="auto"/>
        <w:right w:val="none" w:sz="0" w:space="0" w:color="auto"/>
      </w:divBdr>
    </w:div>
    <w:div w:id="2020420984">
      <w:bodyDiv w:val="1"/>
      <w:marLeft w:val="0"/>
      <w:marRight w:val="0"/>
      <w:marTop w:val="0"/>
      <w:marBottom w:val="0"/>
      <w:divBdr>
        <w:top w:val="none" w:sz="0" w:space="0" w:color="auto"/>
        <w:left w:val="none" w:sz="0" w:space="0" w:color="auto"/>
        <w:bottom w:val="none" w:sz="0" w:space="0" w:color="auto"/>
        <w:right w:val="none" w:sz="0" w:space="0" w:color="auto"/>
      </w:divBdr>
    </w:div>
    <w:div w:id="2021201083">
      <w:bodyDiv w:val="1"/>
      <w:marLeft w:val="0"/>
      <w:marRight w:val="0"/>
      <w:marTop w:val="0"/>
      <w:marBottom w:val="0"/>
      <w:divBdr>
        <w:top w:val="none" w:sz="0" w:space="0" w:color="auto"/>
        <w:left w:val="none" w:sz="0" w:space="0" w:color="auto"/>
        <w:bottom w:val="none" w:sz="0" w:space="0" w:color="auto"/>
        <w:right w:val="none" w:sz="0" w:space="0" w:color="auto"/>
      </w:divBdr>
    </w:div>
    <w:div w:id="2023192829">
      <w:bodyDiv w:val="1"/>
      <w:marLeft w:val="0"/>
      <w:marRight w:val="0"/>
      <w:marTop w:val="0"/>
      <w:marBottom w:val="0"/>
      <w:divBdr>
        <w:top w:val="none" w:sz="0" w:space="0" w:color="auto"/>
        <w:left w:val="none" w:sz="0" w:space="0" w:color="auto"/>
        <w:bottom w:val="none" w:sz="0" w:space="0" w:color="auto"/>
        <w:right w:val="none" w:sz="0" w:space="0" w:color="auto"/>
      </w:divBdr>
    </w:div>
    <w:div w:id="2025745534">
      <w:bodyDiv w:val="1"/>
      <w:marLeft w:val="0"/>
      <w:marRight w:val="0"/>
      <w:marTop w:val="0"/>
      <w:marBottom w:val="0"/>
      <w:divBdr>
        <w:top w:val="none" w:sz="0" w:space="0" w:color="auto"/>
        <w:left w:val="none" w:sz="0" w:space="0" w:color="auto"/>
        <w:bottom w:val="none" w:sz="0" w:space="0" w:color="auto"/>
        <w:right w:val="none" w:sz="0" w:space="0" w:color="auto"/>
      </w:divBdr>
    </w:div>
    <w:div w:id="2027947754">
      <w:bodyDiv w:val="1"/>
      <w:marLeft w:val="0"/>
      <w:marRight w:val="0"/>
      <w:marTop w:val="0"/>
      <w:marBottom w:val="0"/>
      <w:divBdr>
        <w:top w:val="none" w:sz="0" w:space="0" w:color="auto"/>
        <w:left w:val="none" w:sz="0" w:space="0" w:color="auto"/>
        <w:bottom w:val="none" w:sz="0" w:space="0" w:color="auto"/>
        <w:right w:val="none" w:sz="0" w:space="0" w:color="auto"/>
      </w:divBdr>
    </w:div>
    <w:div w:id="2029213917">
      <w:bodyDiv w:val="1"/>
      <w:marLeft w:val="0"/>
      <w:marRight w:val="0"/>
      <w:marTop w:val="0"/>
      <w:marBottom w:val="0"/>
      <w:divBdr>
        <w:top w:val="none" w:sz="0" w:space="0" w:color="auto"/>
        <w:left w:val="none" w:sz="0" w:space="0" w:color="auto"/>
        <w:bottom w:val="none" w:sz="0" w:space="0" w:color="auto"/>
        <w:right w:val="none" w:sz="0" w:space="0" w:color="auto"/>
      </w:divBdr>
    </w:div>
    <w:div w:id="2032880401">
      <w:bodyDiv w:val="1"/>
      <w:marLeft w:val="0"/>
      <w:marRight w:val="0"/>
      <w:marTop w:val="0"/>
      <w:marBottom w:val="0"/>
      <w:divBdr>
        <w:top w:val="none" w:sz="0" w:space="0" w:color="auto"/>
        <w:left w:val="none" w:sz="0" w:space="0" w:color="auto"/>
        <w:bottom w:val="none" w:sz="0" w:space="0" w:color="auto"/>
        <w:right w:val="none" w:sz="0" w:space="0" w:color="auto"/>
      </w:divBdr>
    </w:div>
    <w:div w:id="2038267869">
      <w:bodyDiv w:val="1"/>
      <w:marLeft w:val="0"/>
      <w:marRight w:val="0"/>
      <w:marTop w:val="0"/>
      <w:marBottom w:val="0"/>
      <w:divBdr>
        <w:top w:val="none" w:sz="0" w:space="0" w:color="auto"/>
        <w:left w:val="none" w:sz="0" w:space="0" w:color="auto"/>
        <w:bottom w:val="none" w:sz="0" w:space="0" w:color="auto"/>
        <w:right w:val="none" w:sz="0" w:space="0" w:color="auto"/>
      </w:divBdr>
    </w:div>
    <w:div w:id="2046517787">
      <w:bodyDiv w:val="1"/>
      <w:marLeft w:val="0"/>
      <w:marRight w:val="0"/>
      <w:marTop w:val="0"/>
      <w:marBottom w:val="0"/>
      <w:divBdr>
        <w:top w:val="none" w:sz="0" w:space="0" w:color="auto"/>
        <w:left w:val="none" w:sz="0" w:space="0" w:color="auto"/>
        <w:bottom w:val="none" w:sz="0" w:space="0" w:color="auto"/>
        <w:right w:val="none" w:sz="0" w:space="0" w:color="auto"/>
      </w:divBdr>
    </w:div>
    <w:div w:id="2048136604">
      <w:bodyDiv w:val="1"/>
      <w:marLeft w:val="0"/>
      <w:marRight w:val="0"/>
      <w:marTop w:val="0"/>
      <w:marBottom w:val="0"/>
      <w:divBdr>
        <w:top w:val="none" w:sz="0" w:space="0" w:color="auto"/>
        <w:left w:val="none" w:sz="0" w:space="0" w:color="auto"/>
        <w:bottom w:val="none" w:sz="0" w:space="0" w:color="auto"/>
        <w:right w:val="none" w:sz="0" w:space="0" w:color="auto"/>
      </w:divBdr>
    </w:div>
    <w:div w:id="2049602992">
      <w:bodyDiv w:val="1"/>
      <w:marLeft w:val="0"/>
      <w:marRight w:val="0"/>
      <w:marTop w:val="0"/>
      <w:marBottom w:val="0"/>
      <w:divBdr>
        <w:top w:val="none" w:sz="0" w:space="0" w:color="auto"/>
        <w:left w:val="none" w:sz="0" w:space="0" w:color="auto"/>
        <w:bottom w:val="none" w:sz="0" w:space="0" w:color="auto"/>
        <w:right w:val="none" w:sz="0" w:space="0" w:color="auto"/>
      </w:divBdr>
    </w:div>
    <w:div w:id="2049793457">
      <w:bodyDiv w:val="1"/>
      <w:marLeft w:val="0"/>
      <w:marRight w:val="0"/>
      <w:marTop w:val="0"/>
      <w:marBottom w:val="0"/>
      <w:divBdr>
        <w:top w:val="none" w:sz="0" w:space="0" w:color="auto"/>
        <w:left w:val="none" w:sz="0" w:space="0" w:color="auto"/>
        <w:bottom w:val="none" w:sz="0" w:space="0" w:color="auto"/>
        <w:right w:val="none" w:sz="0" w:space="0" w:color="auto"/>
      </w:divBdr>
    </w:div>
    <w:div w:id="2056074053">
      <w:bodyDiv w:val="1"/>
      <w:marLeft w:val="0"/>
      <w:marRight w:val="0"/>
      <w:marTop w:val="0"/>
      <w:marBottom w:val="0"/>
      <w:divBdr>
        <w:top w:val="none" w:sz="0" w:space="0" w:color="auto"/>
        <w:left w:val="none" w:sz="0" w:space="0" w:color="auto"/>
        <w:bottom w:val="none" w:sz="0" w:space="0" w:color="auto"/>
        <w:right w:val="none" w:sz="0" w:space="0" w:color="auto"/>
      </w:divBdr>
    </w:div>
    <w:div w:id="2066827157">
      <w:bodyDiv w:val="1"/>
      <w:marLeft w:val="0"/>
      <w:marRight w:val="0"/>
      <w:marTop w:val="0"/>
      <w:marBottom w:val="0"/>
      <w:divBdr>
        <w:top w:val="none" w:sz="0" w:space="0" w:color="auto"/>
        <w:left w:val="none" w:sz="0" w:space="0" w:color="auto"/>
        <w:bottom w:val="none" w:sz="0" w:space="0" w:color="auto"/>
        <w:right w:val="none" w:sz="0" w:space="0" w:color="auto"/>
      </w:divBdr>
    </w:div>
    <w:div w:id="2069761883">
      <w:bodyDiv w:val="1"/>
      <w:marLeft w:val="0"/>
      <w:marRight w:val="0"/>
      <w:marTop w:val="0"/>
      <w:marBottom w:val="0"/>
      <w:divBdr>
        <w:top w:val="none" w:sz="0" w:space="0" w:color="auto"/>
        <w:left w:val="none" w:sz="0" w:space="0" w:color="auto"/>
        <w:bottom w:val="none" w:sz="0" w:space="0" w:color="auto"/>
        <w:right w:val="none" w:sz="0" w:space="0" w:color="auto"/>
      </w:divBdr>
    </w:div>
    <w:div w:id="2070036920">
      <w:bodyDiv w:val="1"/>
      <w:marLeft w:val="0"/>
      <w:marRight w:val="0"/>
      <w:marTop w:val="0"/>
      <w:marBottom w:val="0"/>
      <w:divBdr>
        <w:top w:val="none" w:sz="0" w:space="0" w:color="auto"/>
        <w:left w:val="none" w:sz="0" w:space="0" w:color="auto"/>
        <w:bottom w:val="none" w:sz="0" w:space="0" w:color="auto"/>
        <w:right w:val="none" w:sz="0" w:space="0" w:color="auto"/>
      </w:divBdr>
    </w:div>
    <w:div w:id="2092964961">
      <w:bodyDiv w:val="1"/>
      <w:marLeft w:val="0"/>
      <w:marRight w:val="0"/>
      <w:marTop w:val="0"/>
      <w:marBottom w:val="0"/>
      <w:divBdr>
        <w:top w:val="none" w:sz="0" w:space="0" w:color="auto"/>
        <w:left w:val="none" w:sz="0" w:space="0" w:color="auto"/>
        <w:bottom w:val="none" w:sz="0" w:space="0" w:color="auto"/>
        <w:right w:val="none" w:sz="0" w:space="0" w:color="auto"/>
      </w:divBdr>
    </w:div>
    <w:div w:id="2098091598">
      <w:bodyDiv w:val="1"/>
      <w:marLeft w:val="0"/>
      <w:marRight w:val="0"/>
      <w:marTop w:val="0"/>
      <w:marBottom w:val="0"/>
      <w:divBdr>
        <w:top w:val="none" w:sz="0" w:space="0" w:color="auto"/>
        <w:left w:val="none" w:sz="0" w:space="0" w:color="auto"/>
        <w:bottom w:val="none" w:sz="0" w:space="0" w:color="auto"/>
        <w:right w:val="none" w:sz="0" w:space="0" w:color="auto"/>
      </w:divBdr>
    </w:div>
    <w:div w:id="2099054970">
      <w:bodyDiv w:val="1"/>
      <w:marLeft w:val="0"/>
      <w:marRight w:val="0"/>
      <w:marTop w:val="0"/>
      <w:marBottom w:val="0"/>
      <w:divBdr>
        <w:top w:val="none" w:sz="0" w:space="0" w:color="auto"/>
        <w:left w:val="none" w:sz="0" w:space="0" w:color="auto"/>
        <w:bottom w:val="none" w:sz="0" w:space="0" w:color="auto"/>
        <w:right w:val="none" w:sz="0" w:space="0" w:color="auto"/>
      </w:divBdr>
    </w:div>
    <w:div w:id="2099322906">
      <w:bodyDiv w:val="1"/>
      <w:marLeft w:val="0"/>
      <w:marRight w:val="0"/>
      <w:marTop w:val="0"/>
      <w:marBottom w:val="0"/>
      <w:divBdr>
        <w:top w:val="none" w:sz="0" w:space="0" w:color="auto"/>
        <w:left w:val="none" w:sz="0" w:space="0" w:color="auto"/>
        <w:bottom w:val="none" w:sz="0" w:space="0" w:color="auto"/>
        <w:right w:val="none" w:sz="0" w:space="0" w:color="auto"/>
      </w:divBdr>
    </w:div>
    <w:div w:id="2099861725">
      <w:bodyDiv w:val="1"/>
      <w:marLeft w:val="0"/>
      <w:marRight w:val="0"/>
      <w:marTop w:val="0"/>
      <w:marBottom w:val="0"/>
      <w:divBdr>
        <w:top w:val="none" w:sz="0" w:space="0" w:color="auto"/>
        <w:left w:val="none" w:sz="0" w:space="0" w:color="auto"/>
        <w:bottom w:val="none" w:sz="0" w:space="0" w:color="auto"/>
        <w:right w:val="none" w:sz="0" w:space="0" w:color="auto"/>
      </w:divBdr>
    </w:div>
    <w:div w:id="2103644209">
      <w:bodyDiv w:val="1"/>
      <w:marLeft w:val="0"/>
      <w:marRight w:val="0"/>
      <w:marTop w:val="0"/>
      <w:marBottom w:val="0"/>
      <w:divBdr>
        <w:top w:val="none" w:sz="0" w:space="0" w:color="auto"/>
        <w:left w:val="none" w:sz="0" w:space="0" w:color="auto"/>
        <w:bottom w:val="none" w:sz="0" w:space="0" w:color="auto"/>
        <w:right w:val="none" w:sz="0" w:space="0" w:color="auto"/>
      </w:divBdr>
    </w:div>
    <w:div w:id="2106075003">
      <w:bodyDiv w:val="1"/>
      <w:marLeft w:val="0"/>
      <w:marRight w:val="0"/>
      <w:marTop w:val="0"/>
      <w:marBottom w:val="0"/>
      <w:divBdr>
        <w:top w:val="none" w:sz="0" w:space="0" w:color="auto"/>
        <w:left w:val="none" w:sz="0" w:space="0" w:color="auto"/>
        <w:bottom w:val="none" w:sz="0" w:space="0" w:color="auto"/>
        <w:right w:val="none" w:sz="0" w:space="0" w:color="auto"/>
      </w:divBdr>
    </w:div>
    <w:div w:id="2106462696">
      <w:bodyDiv w:val="1"/>
      <w:marLeft w:val="0"/>
      <w:marRight w:val="0"/>
      <w:marTop w:val="0"/>
      <w:marBottom w:val="0"/>
      <w:divBdr>
        <w:top w:val="none" w:sz="0" w:space="0" w:color="auto"/>
        <w:left w:val="none" w:sz="0" w:space="0" w:color="auto"/>
        <w:bottom w:val="none" w:sz="0" w:space="0" w:color="auto"/>
        <w:right w:val="none" w:sz="0" w:space="0" w:color="auto"/>
      </w:divBdr>
    </w:div>
    <w:div w:id="2108965575">
      <w:bodyDiv w:val="1"/>
      <w:marLeft w:val="0"/>
      <w:marRight w:val="0"/>
      <w:marTop w:val="0"/>
      <w:marBottom w:val="0"/>
      <w:divBdr>
        <w:top w:val="none" w:sz="0" w:space="0" w:color="auto"/>
        <w:left w:val="none" w:sz="0" w:space="0" w:color="auto"/>
        <w:bottom w:val="none" w:sz="0" w:space="0" w:color="auto"/>
        <w:right w:val="none" w:sz="0" w:space="0" w:color="auto"/>
      </w:divBdr>
    </w:div>
    <w:div w:id="2111048750">
      <w:bodyDiv w:val="1"/>
      <w:marLeft w:val="0"/>
      <w:marRight w:val="0"/>
      <w:marTop w:val="0"/>
      <w:marBottom w:val="0"/>
      <w:divBdr>
        <w:top w:val="none" w:sz="0" w:space="0" w:color="auto"/>
        <w:left w:val="none" w:sz="0" w:space="0" w:color="auto"/>
        <w:bottom w:val="none" w:sz="0" w:space="0" w:color="auto"/>
        <w:right w:val="none" w:sz="0" w:space="0" w:color="auto"/>
      </w:divBdr>
    </w:div>
    <w:div w:id="2111125687">
      <w:bodyDiv w:val="1"/>
      <w:marLeft w:val="0"/>
      <w:marRight w:val="0"/>
      <w:marTop w:val="0"/>
      <w:marBottom w:val="0"/>
      <w:divBdr>
        <w:top w:val="none" w:sz="0" w:space="0" w:color="auto"/>
        <w:left w:val="none" w:sz="0" w:space="0" w:color="auto"/>
        <w:bottom w:val="none" w:sz="0" w:space="0" w:color="auto"/>
        <w:right w:val="none" w:sz="0" w:space="0" w:color="auto"/>
      </w:divBdr>
    </w:div>
    <w:div w:id="2116241787">
      <w:bodyDiv w:val="1"/>
      <w:marLeft w:val="0"/>
      <w:marRight w:val="0"/>
      <w:marTop w:val="0"/>
      <w:marBottom w:val="0"/>
      <w:divBdr>
        <w:top w:val="none" w:sz="0" w:space="0" w:color="auto"/>
        <w:left w:val="none" w:sz="0" w:space="0" w:color="auto"/>
        <w:bottom w:val="none" w:sz="0" w:space="0" w:color="auto"/>
        <w:right w:val="none" w:sz="0" w:space="0" w:color="auto"/>
      </w:divBdr>
    </w:div>
    <w:div w:id="2119445050">
      <w:bodyDiv w:val="1"/>
      <w:marLeft w:val="0"/>
      <w:marRight w:val="0"/>
      <w:marTop w:val="0"/>
      <w:marBottom w:val="0"/>
      <w:divBdr>
        <w:top w:val="none" w:sz="0" w:space="0" w:color="auto"/>
        <w:left w:val="none" w:sz="0" w:space="0" w:color="auto"/>
        <w:bottom w:val="none" w:sz="0" w:space="0" w:color="auto"/>
        <w:right w:val="none" w:sz="0" w:space="0" w:color="auto"/>
      </w:divBdr>
    </w:div>
    <w:div w:id="2123720049">
      <w:bodyDiv w:val="1"/>
      <w:marLeft w:val="0"/>
      <w:marRight w:val="0"/>
      <w:marTop w:val="0"/>
      <w:marBottom w:val="0"/>
      <w:divBdr>
        <w:top w:val="none" w:sz="0" w:space="0" w:color="auto"/>
        <w:left w:val="none" w:sz="0" w:space="0" w:color="auto"/>
        <w:bottom w:val="none" w:sz="0" w:space="0" w:color="auto"/>
        <w:right w:val="none" w:sz="0" w:space="0" w:color="auto"/>
      </w:divBdr>
    </w:div>
    <w:div w:id="2130779826">
      <w:bodyDiv w:val="1"/>
      <w:marLeft w:val="0"/>
      <w:marRight w:val="0"/>
      <w:marTop w:val="0"/>
      <w:marBottom w:val="0"/>
      <w:divBdr>
        <w:top w:val="none" w:sz="0" w:space="0" w:color="auto"/>
        <w:left w:val="none" w:sz="0" w:space="0" w:color="auto"/>
        <w:bottom w:val="none" w:sz="0" w:space="0" w:color="auto"/>
        <w:right w:val="none" w:sz="0" w:space="0" w:color="auto"/>
      </w:divBdr>
    </w:div>
    <w:div w:id="21411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DAEMSEngagementItemInfo xmlns="http://schemas.microsoft.com/DAEMSEngagementItemInfoXML">
  <EngagementID>38376</EngagementID>
  <LogicalEMSServerID>8068482798755241803</LogicalEMSServerID>
  <WorkingPaperID>1918556539200000049</WorkingPaperID>
</DAEMSEngagementItemInfo>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DAEMSEngagementItemInfo xmlns="http://schemas.microsoft.com/DAEMSEngagementItemInfoXML">
  <EngagementID>38376</EngagementID>
  <LogicalEMSServerID>8068482798755241803</LogicalEMSServerID>
  <WorkingPaperID>1918556539200000049</WorkingPaperID>
</DAEMSEngagementItemInfo>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F059-1B40-453E-909C-ACC751771D6D}">
  <ds:schemaRefs>
    <ds:schemaRef ds:uri="http://schemas.openxmlformats.org/officeDocument/2006/bibliography"/>
  </ds:schemaRefs>
</ds:datastoreItem>
</file>

<file path=customXml/itemProps10.xml><?xml version="1.0" encoding="utf-8"?>
<ds:datastoreItem xmlns:ds="http://schemas.openxmlformats.org/officeDocument/2006/customXml" ds:itemID="{7DD9A091-B568-47B9-A41D-0517E73D49C7}">
  <ds:schemaRefs>
    <ds:schemaRef ds:uri="http://schemas.microsoft.com/DAEMSEngagementItemInfoXML"/>
  </ds:schemaRefs>
</ds:datastoreItem>
</file>

<file path=customXml/itemProps11.xml><?xml version="1.0" encoding="utf-8"?>
<ds:datastoreItem xmlns:ds="http://schemas.openxmlformats.org/officeDocument/2006/customXml" ds:itemID="{337B4615-CE9C-404E-B64D-193BFF923DBA}">
  <ds:schemaRefs>
    <ds:schemaRef ds:uri="http://schemas.openxmlformats.org/officeDocument/2006/bibliography"/>
  </ds:schemaRefs>
</ds:datastoreItem>
</file>

<file path=customXml/itemProps12.xml><?xml version="1.0" encoding="utf-8"?>
<ds:datastoreItem xmlns:ds="http://schemas.openxmlformats.org/officeDocument/2006/customXml" ds:itemID="{CB9849BB-5D47-40A9-84EA-67563B5E75C8}">
  <ds:schemaRefs>
    <ds:schemaRef ds:uri="http://schemas.openxmlformats.org/officeDocument/2006/bibliography"/>
  </ds:schemaRefs>
</ds:datastoreItem>
</file>

<file path=customXml/itemProps13.xml><?xml version="1.0" encoding="utf-8"?>
<ds:datastoreItem xmlns:ds="http://schemas.openxmlformats.org/officeDocument/2006/customXml" ds:itemID="{CBB6E2D5-9A14-4EB8-B8AF-3315E38ACF5F}">
  <ds:schemaRefs>
    <ds:schemaRef ds:uri="http://schemas.openxmlformats.org/officeDocument/2006/bibliography"/>
  </ds:schemaRefs>
</ds:datastoreItem>
</file>

<file path=customXml/itemProps14.xml><?xml version="1.0" encoding="utf-8"?>
<ds:datastoreItem xmlns:ds="http://schemas.openxmlformats.org/officeDocument/2006/customXml" ds:itemID="{56ABB651-91F3-4B6E-86DB-1A7A809375EF}">
  <ds:schemaRefs>
    <ds:schemaRef ds:uri="http://schemas.openxmlformats.org/officeDocument/2006/bibliography"/>
  </ds:schemaRefs>
</ds:datastoreItem>
</file>

<file path=customXml/itemProps15.xml><?xml version="1.0" encoding="utf-8"?>
<ds:datastoreItem xmlns:ds="http://schemas.openxmlformats.org/officeDocument/2006/customXml" ds:itemID="{282BC150-D41A-4418-8F4C-6ABD0FB2918E}">
  <ds:schemaRefs>
    <ds:schemaRef ds:uri="http://schemas.openxmlformats.org/officeDocument/2006/bibliography"/>
  </ds:schemaRefs>
</ds:datastoreItem>
</file>

<file path=customXml/itemProps16.xml><?xml version="1.0" encoding="utf-8"?>
<ds:datastoreItem xmlns:ds="http://schemas.openxmlformats.org/officeDocument/2006/customXml" ds:itemID="{5A6030D4-45EF-4A1F-8B4A-6320D72AB2DD}">
  <ds:schemaRefs>
    <ds:schemaRef ds:uri="http://schemas.microsoft.com/DAEMSEngagementItemInfoXML"/>
  </ds:schemaRefs>
</ds:datastoreItem>
</file>

<file path=customXml/itemProps17.xml><?xml version="1.0" encoding="utf-8"?>
<ds:datastoreItem xmlns:ds="http://schemas.openxmlformats.org/officeDocument/2006/customXml" ds:itemID="{19A2953D-1AED-4E5B-A667-5FDBD52E7F14}">
  <ds:schemaRefs>
    <ds:schemaRef ds:uri="http://schemas.openxmlformats.org/officeDocument/2006/bibliography"/>
  </ds:schemaRefs>
</ds:datastoreItem>
</file>

<file path=customXml/itemProps18.xml><?xml version="1.0" encoding="utf-8"?>
<ds:datastoreItem xmlns:ds="http://schemas.openxmlformats.org/officeDocument/2006/customXml" ds:itemID="{A06DA776-A07F-4ADE-AD84-852D0ECDD44A}">
  <ds:schemaRefs>
    <ds:schemaRef ds:uri="http://schemas.openxmlformats.org/officeDocument/2006/bibliography"/>
  </ds:schemaRefs>
</ds:datastoreItem>
</file>

<file path=customXml/itemProps19.xml><?xml version="1.0" encoding="utf-8"?>
<ds:datastoreItem xmlns:ds="http://schemas.openxmlformats.org/officeDocument/2006/customXml" ds:itemID="{7570049C-CF81-450B-B60F-346264543B66}">
  <ds:schemaRefs>
    <ds:schemaRef ds:uri="http://schemas.openxmlformats.org/officeDocument/2006/bibliography"/>
  </ds:schemaRefs>
</ds:datastoreItem>
</file>

<file path=customXml/itemProps2.xml><?xml version="1.0" encoding="utf-8"?>
<ds:datastoreItem xmlns:ds="http://schemas.openxmlformats.org/officeDocument/2006/customXml" ds:itemID="{98AB46D2-9D1C-4795-A4DB-ABCC88CB8E0B}">
  <ds:schemaRefs>
    <ds:schemaRef ds:uri="http://schemas.openxmlformats.org/officeDocument/2006/bibliography"/>
  </ds:schemaRefs>
</ds:datastoreItem>
</file>

<file path=customXml/itemProps20.xml><?xml version="1.0" encoding="utf-8"?>
<ds:datastoreItem xmlns:ds="http://schemas.openxmlformats.org/officeDocument/2006/customXml" ds:itemID="{49B34E61-86A2-4299-8BD3-63B9F05EB779}">
  <ds:schemaRefs>
    <ds:schemaRef ds:uri="http://schemas.openxmlformats.org/officeDocument/2006/bibliography"/>
  </ds:schemaRefs>
</ds:datastoreItem>
</file>

<file path=customXml/itemProps21.xml><?xml version="1.0" encoding="utf-8"?>
<ds:datastoreItem xmlns:ds="http://schemas.openxmlformats.org/officeDocument/2006/customXml" ds:itemID="{8008ADF6-DC28-49AB-9E8E-48897FE9878D}">
  <ds:schemaRefs>
    <ds:schemaRef ds:uri="http://schemas.openxmlformats.org/officeDocument/2006/bibliography"/>
  </ds:schemaRefs>
</ds:datastoreItem>
</file>

<file path=customXml/itemProps22.xml><?xml version="1.0" encoding="utf-8"?>
<ds:datastoreItem xmlns:ds="http://schemas.openxmlformats.org/officeDocument/2006/customXml" ds:itemID="{6FC2039F-DBD6-4B7F-9311-BFA1BC6E8C3D}">
  <ds:schemaRefs>
    <ds:schemaRef ds:uri="http://schemas.openxmlformats.org/officeDocument/2006/bibliography"/>
  </ds:schemaRefs>
</ds:datastoreItem>
</file>

<file path=customXml/itemProps23.xml><?xml version="1.0" encoding="utf-8"?>
<ds:datastoreItem xmlns:ds="http://schemas.openxmlformats.org/officeDocument/2006/customXml" ds:itemID="{3BCA04E4-0AA7-4573-844E-193ACEC099CA}">
  <ds:schemaRefs>
    <ds:schemaRef ds:uri="http://schemas.openxmlformats.org/officeDocument/2006/bibliography"/>
  </ds:schemaRefs>
</ds:datastoreItem>
</file>

<file path=customXml/itemProps24.xml><?xml version="1.0" encoding="utf-8"?>
<ds:datastoreItem xmlns:ds="http://schemas.openxmlformats.org/officeDocument/2006/customXml" ds:itemID="{86CD22DB-8A72-4A41-A0D1-B561FB44929C}">
  <ds:schemaRefs>
    <ds:schemaRef ds:uri="http://schemas.openxmlformats.org/officeDocument/2006/bibliography"/>
  </ds:schemaRefs>
</ds:datastoreItem>
</file>

<file path=customXml/itemProps25.xml><?xml version="1.0" encoding="utf-8"?>
<ds:datastoreItem xmlns:ds="http://schemas.openxmlformats.org/officeDocument/2006/customXml" ds:itemID="{6FB4E800-E947-4B8C-95D2-8400E463567F}">
  <ds:schemaRefs>
    <ds:schemaRef ds:uri="http://schemas.openxmlformats.org/officeDocument/2006/bibliography"/>
  </ds:schemaRefs>
</ds:datastoreItem>
</file>

<file path=customXml/itemProps26.xml><?xml version="1.0" encoding="utf-8"?>
<ds:datastoreItem xmlns:ds="http://schemas.openxmlformats.org/officeDocument/2006/customXml" ds:itemID="{774E59CE-5711-4943-B168-0533418DFAC3}">
  <ds:schemaRefs>
    <ds:schemaRef ds:uri="http://schemas.openxmlformats.org/officeDocument/2006/bibliography"/>
  </ds:schemaRefs>
</ds:datastoreItem>
</file>

<file path=customXml/itemProps27.xml><?xml version="1.0" encoding="utf-8"?>
<ds:datastoreItem xmlns:ds="http://schemas.openxmlformats.org/officeDocument/2006/customXml" ds:itemID="{1EFDB063-D3CF-4272-B52D-B7713F03DAC2}">
  <ds:schemaRefs>
    <ds:schemaRef ds:uri="http://schemas.openxmlformats.org/officeDocument/2006/bibliography"/>
  </ds:schemaRefs>
</ds:datastoreItem>
</file>

<file path=customXml/itemProps28.xml><?xml version="1.0" encoding="utf-8"?>
<ds:datastoreItem xmlns:ds="http://schemas.openxmlformats.org/officeDocument/2006/customXml" ds:itemID="{E11944EE-CBB4-473B-A2F0-2258DE88C082}">
  <ds:schemaRefs>
    <ds:schemaRef ds:uri="http://schemas.openxmlformats.org/officeDocument/2006/bibliography"/>
  </ds:schemaRefs>
</ds:datastoreItem>
</file>

<file path=customXml/itemProps29.xml><?xml version="1.0" encoding="utf-8"?>
<ds:datastoreItem xmlns:ds="http://schemas.openxmlformats.org/officeDocument/2006/customXml" ds:itemID="{0DCCC007-CC59-4CCC-8786-A728F014B8D5}">
  <ds:schemaRefs>
    <ds:schemaRef ds:uri="http://schemas.openxmlformats.org/officeDocument/2006/bibliography"/>
  </ds:schemaRefs>
</ds:datastoreItem>
</file>

<file path=customXml/itemProps3.xml><?xml version="1.0" encoding="utf-8"?>
<ds:datastoreItem xmlns:ds="http://schemas.openxmlformats.org/officeDocument/2006/customXml" ds:itemID="{E7392C51-370F-42F4-B083-2DED4109CA12}">
  <ds:schemaRefs>
    <ds:schemaRef ds:uri="http://schemas.openxmlformats.org/officeDocument/2006/bibliography"/>
  </ds:schemaRefs>
</ds:datastoreItem>
</file>

<file path=customXml/itemProps4.xml><?xml version="1.0" encoding="utf-8"?>
<ds:datastoreItem xmlns:ds="http://schemas.openxmlformats.org/officeDocument/2006/customXml" ds:itemID="{AC0ADF81-8B6D-4599-B07D-90DEC64594BB}">
  <ds:schemaRefs>
    <ds:schemaRef ds:uri="http://schemas.openxmlformats.org/officeDocument/2006/bibliography"/>
  </ds:schemaRefs>
</ds:datastoreItem>
</file>

<file path=customXml/itemProps5.xml><?xml version="1.0" encoding="utf-8"?>
<ds:datastoreItem xmlns:ds="http://schemas.openxmlformats.org/officeDocument/2006/customXml" ds:itemID="{8D494976-1441-40A3-B790-E33FA7B33886}">
  <ds:schemaRefs>
    <ds:schemaRef ds:uri="http://schemas.openxmlformats.org/officeDocument/2006/bibliography"/>
  </ds:schemaRefs>
</ds:datastoreItem>
</file>

<file path=customXml/itemProps6.xml><?xml version="1.0" encoding="utf-8"?>
<ds:datastoreItem xmlns:ds="http://schemas.openxmlformats.org/officeDocument/2006/customXml" ds:itemID="{AB4D12EC-42D1-4BBD-AB9A-66E091ADF19A}">
  <ds:schemaRefs>
    <ds:schemaRef ds:uri="http://schemas.openxmlformats.org/officeDocument/2006/bibliography"/>
  </ds:schemaRefs>
</ds:datastoreItem>
</file>

<file path=customXml/itemProps7.xml><?xml version="1.0" encoding="utf-8"?>
<ds:datastoreItem xmlns:ds="http://schemas.openxmlformats.org/officeDocument/2006/customXml" ds:itemID="{14E57E21-61EC-42FC-90A7-C48914194BC5}">
  <ds:schemaRefs>
    <ds:schemaRef ds:uri="http://schemas.openxmlformats.org/officeDocument/2006/bibliography"/>
  </ds:schemaRefs>
</ds:datastoreItem>
</file>

<file path=customXml/itemProps8.xml><?xml version="1.0" encoding="utf-8"?>
<ds:datastoreItem xmlns:ds="http://schemas.openxmlformats.org/officeDocument/2006/customXml" ds:itemID="{92654DF2-A96E-4992-9EC0-F31C3E8ABE01}">
  <ds:schemaRefs>
    <ds:schemaRef ds:uri="http://schemas.openxmlformats.org/officeDocument/2006/bibliography"/>
  </ds:schemaRefs>
</ds:datastoreItem>
</file>

<file path=customXml/itemProps9.xml><?xml version="1.0" encoding="utf-8"?>
<ds:datastoreItem xmlns:ds="http://schemas.openxmlformats.org/officeDocument/2006/customXml" ds:itemID="{9A2D3C48-62A3-43BF-A2B4-00F90B0C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6676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广发聚富开放式证券投资基金</vt:lpstr>
    </vt:vector>
  </TitlesOfParts>
  <Company>Deloitte Touche Tohmatsu Services, Inc.</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广发聚富开放式证券投资基金</dc:title>
  <dc:subject/>
  <dc:creator>Li Ling Liu</dc:creator>
  <cp:keywords/>
  <dc:description/>
  <cp:lastModifiedBy>ZHONGM</cp:lastModifiedBy>
  <cp:revision>2</cp:revision>
  <cp:lastPrinted>2015-01-27T14:01:00Z</cp:lastPrinted>
  <dcterms:created xsi:type="dcterms:W3CDTF">2019-01-21T16:04:00Z</dcterms:created>
  <dcterms:modified xsi:type="dcterms:W3CDTF">2019-01-21T16:04:00Z</dcterms:modified>
</cp:coreProperties>
</file>