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广发中证全指主要消费交易型开放式指数证券投资基金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2018年第4季度报告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2018年12月31日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中国银行股份有限公司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二〇一九年一月十九日</w:t>
      </w:r>
    </w:p>
    <w:p w:rsidR="004061AC" w:rsidRPr="001611C5" w:rsidRDefault="004061AC" w:rsidP="00A65032">
      <w:pPr>
        <w:pStyle w:val="1"/>
        <w:spacing w:beforeLines="100" w:afterLines="100"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szCs w:val="24"/>
        </w:rPr>
        <w:t xml:space="preserve"> </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基金托管人中国银行股份有限公司根据本基金合同规定，于</w:t>
      </w:r>
      <w:r>
        <w:rPr>
          <w:rFonts w:eastAsiaTheme="minorEastAsia"/>
          <w:color w:val="000000"/>
          <w:sz w:val="24"/>
          <w:szCs w:val="24"/>
        </w:rPr>
        <w:t>2019</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17</w:t>
      </w:r>
      <w:r>
        <w:rPr>
          <w:rFonts w:eastAsiaTheme="minorEastAsia"/>
          <w:color w:val="000000"/>
          <w:sz w:val="24"/>
          <w:szCs w:val="24"/>
        </w:rPr>
        <w:t>日复核了本报告中的财务指标、净值表现和投资组合报告等内容，保证复核内容不存在虚假记载、误导性陈述或者重大遗漏。</w:t>
      </w:r>
      <w:r>
        <w:rPr>
          <w:rFonts w:eastAsiaTheme="minorEastAsia"/>
          <w:color w:val="000000"/>
          <w:sz w:val="24"/>
          <w:szCs w:val="24"/>
        </w:rPr>
        <w:t xml:space="preserve"> </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基金管理人承诺以诚实信用、勤勉尽责的原则管理和运用基金资产，但不保证基金一定盈利。</w:t>
      </w:r>
      <w:r>
        <w:rPr>
          <w:rFonts w:eastAsiaTheme="minorEastAsia"/>
          <w:color w:val="000000"/>
          <w:sz w:val="24"/>
          <w:szCs w:val="24"/>
        </w:rPr>
        <w:t xml:space="preserve"> </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基金的过往业绩并不代表其未来表现。投资有风险，投资者在作出投资决策前应仔细阅读本基金的招募说明书。</w:t>
      </w:r>
      <w:r>
        <w:rPr>
          <w:rFonts w:eastAsiaTheme="minorEastAsia"/>
          <w:color w:val="000000"/>
          <w:sz w:val="24"/>
          <w:szCs w:val="24"/>
        </w:rPr>
        <w:t xml:space="preserve"> </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w:t>
      </w:r>
      <w:r w:rsidRPr="00CD2DB1">
        <w:rPr>
          <w:rFonts w:eastAsiaTheme="minorEastAsia"/>
          <w:color w:val="000000"/>
          <w:sz w:val="24"/>
          <w:szCs w:val="24"/>
        </w:rPr>
        <w:t>2018</w:t>
      </w:r>
      <w:r w:rsidRPr="00CD2DB1">
        <w:rPr>
          <w:rFonts w:eastAsiaTheme="minorEastAsia"/>
          <w:color w:val="000000"/>
          <w:sz w:val="24"/>
          <w:szCs w:val="24"/>
        </w:rPr>
        <w:t>年</w:t>
      </w:r>
      <w:r w:rsidRPr="00CD2DB1">
        <w:rPr>
          <w:rFonts w:eastAsiaTheme="minorEastAsia"/>
          <w:color w:val="000000"/>
          <w:sz w:val="24"/>
          <w:szCs w:val="24"/>
        </w:rPr>
        <w:t>10</w:t>
      </w:r>
      <w:r w:rsidRPr="00CD2DB1">
        <w:rPr>
          <w:rFonts w:eastAsiaTheme="minorEastAsia"/>
          <w:color w:val="000000"/>
          <w:sz w:val="24"/>
          <w:szCs w:val="24"/>
        </w:rPr>
        <w:t>月</w:t>
      </w:r>
      <w:r w:rsidRPr="00CD2DB1">
        <w:rPr>
          <w:rFonts w:eastAsiaTheme="minorEastAsia"/>
          <w:color w:val="000000"/>
          <w:sz w:val="24"/>
          <w:szCs w:val="24"/>
        </w:rPr>
        <w:t>1</w:t>
      </w:r>
      <w:r w:rsidRPr="00CD2DB1">
        <w:rPr>
          <w:rFonts w:eastAsiaTheme="minorEastAsia"/>
          <w:color w:val="000000"/>
          <w:sz w:val="24"/>
          <w:szCs w:val="24"/>
        </w:rPr>
        <w:t>日起至</w:t>
      </w:r>
      <w:r w:rsidRPr="00CD2DB1">
        <w:rPr>
          <w:rFonts w:eastAsiaTheme="minorEastAsia"/>
          <w:color w:val="000000"/>
          <w:sz w:val="24"/>
          <w:szCs w:val="24"/>
        </w:rPr>
        <w:t>12</w:t>
      </w:r>
      <w:r w:rsidRPr="00CD2DB1">
        <w:rPr>
          <w:rFonts w:eastAsiaTheme="minorEastAsia"/>
          <w:color w:val="000000"/>
          <w:sz w:val="24"/>
          <w:szCs w:val="24"/>
        </w:rPr>
        <w:t>月</w:t>
      </w:r>
      <w:r w:rsidRPr="00CD2DB1">
        <w:rPr>
          <w:rFonts w:eastAsiaTheme="minorEastAsia"/>
          <w:color w:val="000000"/>
          <w:sz w:val="24"/>
          <w:szCs w:val="24"/>
        </w:rPr>
        <w:t>31</w:t>
      </w:r>
      <w:r w:rsidRPr="00CD2DB1">
        <w:rPr>
          <w:rFonts w:eastAsiaTheme="minorEastAsia"/>
          <w:color w:val="000000"/>
          <w:sz w:val="24"/>
          <w:szCs w:val="24"/>
        </w:rPr>
        <w:t>日止。</w:t>
      </w:r>
    </w:p>
    <w:p w:rsidR="004061AC" w:rsidRPr="001611C5" w:rsidRDefault="004061AC" w:rsidP="00A65032">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广发中证全指主要消费</w:t>
            </w:r>
            <w:r w:rsidRPr="006B72F7">
              <w:rPr>
                <w:rFonts w:eastAsiaTheme="minorEastAsia"/>
                <w:color w:val="000000"/>
                <w:kern w:val="0"/>
                <w:sz w:val="24"/>
                <w:szCs w:val="24"/>
              </w:rPr>
              <w:t>ETF</w:t>
            </w:r>
          </w:p>
        </w:tc>
      </w:tr>
      <w:tr w:rsidR="00C37530" w:rsidRPr="001611C5" w:rsidTr="00C37530">
        <w:tc>
          <w:tcPr>
            <w:tcW w:w="2835" w:type="dxa"/>
            <w:vAlign w:val="center"/>
          </w:tcPr>
          <w:p w:rsidR="00C37530" w:rsidRPr="006B72F7" w:rsidRDefault="00C37530" w:rsidP="00C37530">
            <w:pPr>
              <w:rPr>
                <w:sz w:val="24"/>
                <w:szCs w:val="24"/>
              </w:rPr>
            </w:pPr>
            <w:r w:rsidRPr="006B72F7">
              <w:rPr>
                <w:sz w:val="24"/>
                <w:szCs w:val="24"/>
              </w:rPr>
              <w:t>场内简称</w:t>
            </w:r>
          </w:p>
        </w:tc>
        <w:tc>
          <w:tcPr>
            <w:tcW w:w="5479" w:type="dxa"/>
            <w:vAlign w:val="center"/>
          </w:tcPr>
          <w:p w:rsidR="00C37530" w:rsidRPr="006B72F7" w:rsidRDefault="00C37530" w:rsidP="00C37530">
            <w:pPr>
              <w:rPr>
                <w:sz w:val="24"/>
                <w:szCs w:val="24"/>
              </w:rPr>
            </w:pPr>
            <w:r w:rsidRPr="006B72F7">
              <w:rPr>
                <w:sz w:val="24"/>
                <w:szCs w:val="24"/>
              </w:rPr>
              <w:t>全指消费</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159946</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159946</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交易型开放式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2015</w:t>
            </w:r>
            <w:r w:rsidRPr="006B72F7">
              <w:rPr>
                <w:rFonts w:eastAsiaTheme="minorEastAsia"/>
                <w:color w:val="000000"/>
                <w:kern w:val="0"/>
                <w:sz w:val="24"/>
                <w:szCs w:val="24"/>
              </w:rPr>
              <w:t>年</w:t>
            </w:r>
            <w:r w:rsidRPr="006B72F7">
              <w:rPr>
                <w:rFonts w:eastAsiaTheme="minorEastAsia"/>
                <w:color w:val="000000"/>
                <w:kern w:val="0"/>
                <w:sz w:val="24"/>
                <w:szCs w:val="24"/>
              </w:rPr>
              <w:t>7</w:t>
            </w:r>
            <w:r w:rsidRPr="006B72F7">
              <w:rPr>
                <w:rFonts w:eastAsiaTheme="minorEastAsia"/>
                <w:color w:val="000000"/>
                <w:kern w:val="0"/>
                <w:sz w:val="24"/>
                <w:szCs w:val="24"/>
              </w:rPr>
              <w:t>月</w:t>
            </w:r>
            <w:r w:rsidRPr="006B72F7">
              <w:rPr>
                <w:rFonts w:eastAsiaTheme="minorEastAsia"/>
                <w:color w:val="000000"/>
                <w:kern w:val="0"/>
                <w:sz w:val="24"/>
                <w:szCs w:val="24"/>
              </w:rPr>
              <w:t>1</w:t>
            </w:r>
            <w:r w:rsidRPr="006B72F7">
              <w:rPr>
                <w:rFonts w:eastAsiaTheme="minorEastAsia"/>
                <w:color w:val="000000"/>
                <w:kern w:val="0"/>
                <w:sz w:val="24"/>
                <w:szCs w:val="24"/>
              </w:rPr>
              <w:t>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4,315,634.00</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紧密跟踪标的指数，追求跟踪偏离度和跟踪误差最小化。</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本基金主要采取完全复制法，即按照标的指数的成份股的构成及其权重构建指数化投资组合，并根据标的指数成份股及其权重的变动进行相应的调整。本基金投资于标的指数成份股及备选成份股的比</w:t>
            </w:r>
            <w:r w:rsidRPr="006B72F7">
              <w:rPr>
                <w:rFonts w:eastAsiaTheme="minorEastAsia"/>
                <w:color w:val="000000"/>
                <w:kern w:val="0"/>
                <w:sz w:val="24"/>
                <w:szCs w:val="24"/>
              </w:rPr>
              <w:lastRenderedPageBreak/>
              <w:t>例不低于基金资产净值的</w:t>
            </w:r>
            <w:r w:rsidRPr="006B72F7">
              <w:rPr>
                <w:rFonts w:eastAsiaTheme="minorEastAsia"/>
                <w:color w:val="000000"/>
                <w:kern w:val="0"/>
                <w:sz w:val="24"/>
                <w:szCs w:val="24"/>
              </w:rPr>
              <w:t>95%</w:t>
            </w:r>
            <w:r w:rsidRPr="006B72F7">
              <w:rPr>
                <w:rFonts w:eastAsiaTheme="minorEastAsia"/>
                <w:color w:val="000000"/>
                <w:kern w:val="0"/>
                <w:sz w:val="24"/>
                <w:szCs w:val="24"/>
              </w:rPr>
              <w:t>。</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lastRenderedPageBreak/>
              <w:t>业绩比较基准</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本基金的业绩比较基准为标的指数。本基金标的指数为中证全指主要消费指数。</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中国银行股份有限公司</w:t>
            </w:r>
          </w:p>
        </w:tc>
      </w:tr>
    </w:tbl>
    <w:p w:rsidR="004061AC" w:rsidRPr="001611C5" w:rsidRDefault="004061AC" w:rsidP="00A65032">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10</w:t>
            </w:r>
            <w:r w:rsidRPr="006B72F7">
              <w:rPr>
                <w:rFonts w:eastAsiaTheme="minorEastAsia"/>
                <w:color w:val="000000"/>
                <w:sz w:val="24"/>
                <w:szCs w:val="24"/>
              </w:rPr>
              <w:t>月</w:t>
            </w:r>
            <w:r w:rsidRPr="006B72F7">
              <w:rPr>
                <w:rFonts w:eastAsiaTheme="minorEastAsia"/>
                <w:color w:val="000000"/>
                <w:sz w:val="24"/>
                <w:szCs w:val="24"/>
              </w:rPr>
              <w:t>1</w:t>
            </w:r>
            <w:r w:rsidRPr="006B72F7">
              <w:rPr>
                <w:rFonts w:eastAsiaTheme="minorEastAsia"/>
                <w:color w:val="000000"/>
                <w:sz w:val="24"/>
                <w:szCs w:val="24"/>
              </w:rPr>
              <w:t>日</w:t>
            </w: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12</w:t>
            </w:r>
            <w:r w:rsidRPr="006B72F7">
              <w:rPr>
                <w:rFonts w:eastAsiaTheme="minorEastAsia"/>
                <w:color w:val="000000"/>
                <w:sz w:val="24"/>
                <w:szCs w:val="24"/>
              </w:rPr>
              <w:t>月</w:t>
            </w:r>
            <w:r w:rsidRPr="006B72F7">
              <w:rPr>
                <w:rFonts w:eastAsiaTheme="minorEastAsia"/>
                <w:color w:val="000000"/>
                <w:sz w:val="24"/>
                <w:szCs w:val="24"/>
              </w:rPr>
              <w:t>31</w:t>
            </w:r>
            <w:r w:rsidRPr="006B72F7">
              <w:rPr>
                <w:rFonts w:eastAsiaTheme="minorEastAsia"/>
                <w:color w:val="000000"/>
                <w:sz w:val="24"/>
                <w:szCs w:val="24"/>
              </w:rPr>
              <w:t>日</w:t>
            </w:r>
            <w:r w:rsidRPr="006B72F7">
              <w:rPr>
                <w:rFonts w:eastAsiaTheme="minorEastAsia"/>
                <w:color w:val="000000"/>
                <w:sz w:val="24"/>
                <w:szCs w:val="24"/>
              </w:rPr>
              <w:t>)</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-1,192,748.89</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-848,364.01</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-0.1518</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4,261,773.22</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0.9875</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bl>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）所述基金业绩指标不包括持有人认购或交易基金的各项费用，计入费用后实际收益水平要低于所列数字。</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rsidR="00EE2D62">
        <w:tc>
          <w:tcPr>
            <w:tcW w:w="1395" w:type="dxa"/>
            <w:vAlign w:val="center"/>
          </w:tcPr>
          <w:p w:rsidR="00EE2D62" w:rsidRDefault="00A65032">
            <w:pPr>
              <w:jc w:val="left"/>
            </w:pPr>
            <w:r>
              <w:rPr>
                <w:rFonts w:eastAsiaTheme="minorEastAsia"/>
                <w:color w:val="000000"/>
                <w:sz w:val="24"/>
                <w:szCs w:val="24"/>
              </w:rPr>
              <w:t>过去三个月</w:t>
            </w:r>
          </w:p>
        </w:tc>
        <w:tc>
          <w:tcPr>
            <w:tcW w:w="1092" w:type="dxa"/>
            <w:vAlign w:val="center"/>
          </w:tcPr>
          <w:p w:rsidR="00EE2D62" w:rsidRDefault="00A65032">
            <w:pPr>
              <w:jc w:val="center"/>
            </w:pPr>
            <w:r>
              <w:rPr>
                <w:rFonts w:eastAsiaTheme="minorEastAsia"/>
                <w:color w:val="000000"/>
                <w:sz w:val="24"/>
                <w:szCs w:val="24"/>
              </w:rPr>
              <w:t>-13.79%</w:t>
            </w:r>
          </w:p>
        </w:tc>
        <w:tc>
          <w:tcPr>
            <w:tcW w:w="1161" w:type="dxa"/>
            <w:vAlign w:val="center"/>
          </w:tcPr>
          <w:p w:rsidR="00EE2D62" w:rsidRDefault="00A65032">
            <w:pPr>
              <w:jc w:val="center"/>
            </w:pPr>
            <w:r>
              <w:rPr>
                <w:rFonts w:eastAsiaTheme="minorEastAsia"/>
                <w:color w:val="000000"/>
                <w:sz w:val="24"/>
                <w:szCs w:val="24"/>
              </w:rPr>
              <w:t>1.97%</w:t>
            </w:r>
          </w:p>
        </w:tc>
        <w:tc>
          <w:tcPr>
            <w:tcW w:w="1181" w:type="dxa"/>
            <w:vAlign w:val="center"/>
          </w:tcPr>
          <w:p w:rsidR="00EE2D62" w:rsidRDefault="00A65032">
            <w:pPr>
              <w:jc w:val="center"/>
            </w:pPr>
            <w:r>
              <w:rPr>
                <w:rFonts w:eastAsiaTheme="minorEastAsia"/>
                <w:color w:val="000000"/>
                <w:sz w:val="24"/>
                <w:szCs w:val="24"/>
              </w:rPr>
              <w:t>-12.10%</w:t>
            </w:r>
          </w:p>
        </w:tc>
        <w:tc>
          <w:tcPr>
            <w:tcW w:w="1188" w:type="dxa"/>
            <w:vAlign w:val="center"/>
          </w:tcPr>
          <w:p w:rsidR="00EE2D62" w:rsidRDefault="00A65032">
            <w:pPr>
              <w:jc w:val="center"/>
            </w:pPr>
            <w:r>
              <w:rPr>
                <w:rFonts w:eastAsiaTheme="minorEastAsia"/>
                <w:color w:val="000000"/>
                <w:sz w:val="24"/>
                <w:szCs w:val="24"/>
              </w:rPr>
              <w:t>1.99%</w:t>
            </w:r>
          </w:p>
        </w:tc>
        <w:tc>
          <w:tcPr>
            <w:tcW w:w="1199" w:type="dxa"/>
            <w:vAlign w:val="center"/>
          </w:tcPr>
          <w:p w:rsidR="00EE2D62" w:rsidRDefault="00A65032">
            <w:pPr>
              <w:jc w:val="center"/>
            </w:pPr>
            <w:r>
              <w:rPr>
                <w:rFonts w:eastAsiaTheme="minorEastAsia"/>
                <w:color w:val="000000"/>
                <w:sz w:val="24"/>
                <w:szCs w:val="24"/>
              </w:rPr>
              <w:t>-1.69%</w:t>
            </w:r>
          </w:p>
        </w:tc>
        <w:tc>
          <w:tcPr>
            <w:tcW w:w="1204" w:type="dxa"/>
            <w:vAlign w:val="center"/>
          </w:tcPr>
          <w:p w:rsidR="00EE2D62" w:rsidRDefault="00A65032">
            <w:pPr>
              <w:jc w:val="center"/>
            </w:pPr>
            <w:r>
              <w:rPr>
                <w:rFonts w:eastAsiaTheme="minorEastAsia"/>
                <w:color w:val="000000"/>
                <w:sz w:val="24"/>
                <w:szCs w:val="24"/>
              </w:rPr>
              <w:t>-0.02%</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广发中证全指主要消费交易型开放式指数证券投资基金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2015</w:t>
      </w:r>
      <w:r w:rsidR="0042009D" w:rsidRPr="006B72F7">
        <w:rPr>
          <w:rFonts w:ascii="Times New Roman" w:eastAsiaTheme="minorEastAsia" w:hAnsi="Times New Roman" w:cs="Times New Roman"/>
          <w:sz w:val="24"/>
          <w:szCs w:val="24"/>
        </w:rPr>
        <w:t>年</w:t>
      </w:r>
      <w:r w:rsidR="0042009D" w:rsidRPr="006B72F7">
        <w:rPr>
          <w:rFonts w:ascii="Times New Roman" w:eastAsiaTheme="minorEastAsia" w:hAnsi="Times New Roman" w:cs="Times New Roman"/>
          <w:sz w:val="24"/>
          <w:szCs w:val="24"/>
        </w:rPr>
        <w:t>7</w:t>
      </w:r>
      <w:r w:rsidR="0042009D" w:rsidRPr="006B72F7">
        <w:rPr>
          <w:rFonts w:ascii="Times New Roman" w:eastAsiaTheme="minorEastAsia" w:hAnsi="Times New Roman" w:cs="Times New Roman"/>
          <w:sz w:val="24"/>
          <w:szCs w:val="24"/>
        </w:rPr>
        <w:t>月</w:t>
      </w:r>
      <w:r w:rsidR="0042009D" w:rsidRPr="006B72F7">
        <w:rPr>
          <w:rFonts w:ascii="Times New Roman" w:eastAsiaTheme="minorEastAsia" w:hAnsi="Times New Roman" w:cs="Times New Roman"/>
          <w:sz w:val="24"/>
          <w:szCs w:val="24"/>
        </w:rPr>
        <w:t>1</w:t>
      </w:r>
      <w:r w:rsidR="0042009D"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2018</w:t>
      </w:r>
      <w:r w:rsidRPr="006B72F7">
        <w:rPr>
          <w:rFonts w:ascii="Times New Roman" w:eastAsiaTheme="minorEastAsia" w:hAnsi="Times New Roman" w:cs="Times New Roman"/>
          <w:sz w:val="24"/>
          <w:szCs w:val="24"/>
        </w:rPr>
        <w:t>年</w:t>
      </w:r>
      <w:r w:rsidRPr="006B72F7">
        <w:rPr>
          <w:rFonts w:ascii="Times New Roman" w:eastAsiaTheme="minorEastAsia" w:hAnsi="Times New Roman" w:cs="Times New Roman"/>
          <w:sz w:val="24"/>
          <w:szCs w:val="24"/>
        </w:rPr>
        <w:t>12</w:t>
      </w:r>
      <w:r w:rsidRPr="006B72F7">
        <w:rPr>
          <w:rFonts w:ascii="Times New Roman" w:eastAsiaTheme="minorEastAsia" w:hAnsi="Times New Roman" w:cs="Times New Roman"/>
          <w:sz w:val="24"/>
          <w:szCs w:val="24"/>
        </w:rPr>
        <w:t>月</w:t>
      </w:r>
      <w:r w:rsidRPr="006B72F7">
        <w:rPr>
          <w:rFonts w:ascii="Times New Roman" w:eastAsiaTheme="minorEastAsia" w:hAnsi="Times New Roman" w:cs="Times New Roman"/>
          <w:sz w:val="24"/>
          <w:szCs w:val="24"/>
        </w:rPr>
        <w:t>31</w:t>
      </w:r>
      <w:r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93843" w:rsidRPr="006B72F7" w:rsidRDefault="00693843" w:rsidP="00693843">
      <w:pPr>
        <w:tabs>
          <w:tab w:val="left" w:pos="1800"/>
        </w:tabs>
        <w:spacing w:line="288" w:lineRule="auto"/>
        <w:rPr>
          <w:rFonts w:eastAsiaTheme="minorEastAsia"/>
          <w:color w:val="000000"/>
          <w:sz w:val="24"/>
          <w:szCs w:val="24"/>
        </w:rPr>
      </w:pPr>
    </w:p>
    <w:p w:rsidR="004061AC" w:rsidRPr="001611C5" w:rsidRDefault="004061AC" w:rsidP="00A65032">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rsidR="00EE2D62">
        <w:tc>
          <w:tcPr>
            <w:tcW w:w="851" w:type="dxa"/>
            <w:vAlign w:val="center"/>
          </w:tcPr>
          <w:p w:rsidR="00EE2D62" w:rsidRDefault="00A65032">
            <w:pPr>
              <w:jc w:val="center"/>
            </w:pPr>
            <w:r>
              <w:rPr>
                <w:rFonts w:eastAsiaTheme="minorEastAsia"/>
                <w:color w:val="000000"/>
                <w:sz w:val="24"/>
                <w:szCs w:val="24"/>
              </w:rPr>
              <w:t>陆志明</w:t>
            </w:r>
          </w:p>
        </w:tc>
        <w:tc>
          <w:tcPr>
            <w:tcW w:w="1701" w:type="dxa"/>
            <w:vAlign w:val="center"/>
          </w:tcPr>
          <w:p w:rsidR="00EE2D62" w:rsidRDefault="00A65032">
            <w:pPr>
              <w:jc w:val="center"/>
            </w:pPr>
            <w:r>
              <w:rPr>
                <w:rFonts w:eastAsiaTheme="minorEastAsia"/>
                <w:color w:val="000000"/>
                <w:sz w:val="24"/>
                <w:szCs w:val="24"/>
              </w:rPr>
              <w:t>本基金的基金经理；广发中证全指可选消费</w:t>
            </w:r>
            <w:r>
              <w:rPr>
                <w:rFonts w:eastAsiaTheme="minorEastAsia"/>
                <w:color w:val="000000"/>
                <w:sz w:val="24"/>
                <w:szCs w:val="24"/>
              </w:rPr>
              <w:t>ETF</w:t>
            </w:r>
            <w:r>
              <w:rPr>
                <w:rFonts w:eastAsiaTheme="minorEastAsia"/>
                <w:color w:val="000000"/>
                <w:sz w:val="24"/>
                <w:szCs w:val="24"/>
              </w:rPr>
              <w:t>基金的基金经理；广发中证全指医药卫生</w:t>
            </w:r>
            <w:r>
              <w:rPr>
                <w:rFonts w:eastAsiaTheme="minorEastAsia"/>
                <w:color w:val="000000"/>
                <w:sz w:val="24"/>
                <w:szCs w:val="24"/>
              </w:rPr>
              <w:t>ETF</w:t>
            </w:r>
            <w:r>
              <w:rPr>
                <w:rFonts w:eastAsiaTheme="minorEastAsia"/>
                <w:color w:val="000000"/>
                <w:sz w:val="24"/>
                <w:szCs w:val="24"/>
              </w:rPr>
              <w:t>基金的基金经理；广发中证全指信息技术</w:t>
            </w:r>
            <w:r>
              <w:rPr>
                <w:rFonts w:eastAsiaTheme="minorEastAsia"/>
                <w:color w:val="000000"/>
                <w:sz w:val="24"/>
                <w:szCs w:val="24"/>
              </w:rPr>
              <w:t>ETF</w:t>
            </w:r>
            <w:r>
              <w:rPr>
                <w:rFonts w:eastAsiaTheme="minorEastAsia"/>
                <w:color w:val="000000"/>
                <w:sz w:val="24"/>
                <w:szCs w:val="24"/>
              </w:rPr>
              <w:t>基金的基金经理；广发信息技术联接基金的基金经理；广发中证全指金融地产</w:t>
            </w:r>
            <w:r>
              <w:rPr>
                <w:rFonts w:eastAsiaTheme="minorEastAsia"/>
                <w:color w:val="000000"/>
                <w:sz w:val="24"/>
                <w:szCs w:val="24"/>
              </w:rPr>
              <w:t>ETF</w:t>
            </w:r>
            <w:r>
              <w:rPr>
                <w:rFonts w:eastAsiaTheme="minorEastAsia"/>
                <w:color w:val="000000"/>
                <w:sz w:val="24"/>
                <w:szCs w:val="24"/>
              </w:rPr>
              <w:t>基金的基金经理；广发可选消费联接基金的基金经理；广发医药卫生联接基金的基金经理；广发中证全指能源</w:t>
            </w:r>
            <w:r>
              <w:rPr>
                <w:rFonts w:eastAsiaTheme="minorEastAsia"/>
                <w:color w:val="000000"/>
                <w:sz w:val="24"/>
                <w:szCs w:val="24"/>
              </w:rPr>
              <w:t>ETF</w:t>
            </w:r>
            <w:r>
              <w:rPr>
                <w:rFonts w:eastAsiaTheme="minorEastAsia"/>
                <w:color w:val="000000"/>
                <w:sz w:val="24"/>
                <w:szCs w:val="24"/>
              </w:rPr>
              <w:t>基金的基金经理；广发中证全指原材料</w:t>
            </w:r>
            <w:r>
              <w:rPr>
                <w:rFonts w:eastAsiaTheme="minorEastAsia"/>
                <w:color w:val="000000"/>
                <w:sz w:val="24"/>
                <w:szCs w:val="24"/>
              </w:rPr>
              <w:t>ETF</w:t>
            </w:r>
            <w:r>
              <w:rPr>
                <w:rFonts w:eastAsiaTheme="minorEastAsia"/>
                <w:color w:val="000000"/>
                <w:sz w:val="24"/>
                <w:szCs w:val="24"/>
              </w:rPr>
              <w:t>基金的基金经理；广发金融地产联接基金的基金经理；广发中证全指工业</w:t>
            </w:r>
            <w:r>
              <w:rPr>
                <w:rFonts w:eastAsiaTheme="minorEastAsia"/>
                <w:color w:val="000000"/>
                <w:sz w:val="24"/>
                <w:szCs w:val="24"/>
              </w:rPr>
              <w:t>ETF</w:t>
            </w:r>
            <w:r>
              <w:rPr>
                <w:rFonts w:eastAsiaTheme="minorEastAsia"/>
                <w:color w:val="000000"/>
                <w:sz w:val="24"/>
                <w:szCs w:val="24"/>
              </w:rPr>
              <w:t>基金的基金经理；广发中证全指工业</w:t>
            </w:r>
            <w:r>
              <w:rPr>
                <w:rFonts w:eastAsiaTheme="minorEastAsia"/>
                <w:color w:val="000000"/>
                <w:sz w:val="24"/>
                <w:szCs w:val="24"/>
              </w:rPr>
              <w:t>ETF</w:t>
            </w:r>
            <w:r>
              <w:rPr>
                <w:rFonts w:eastAsiaTheme="minorEastAsia"/>
                <w:color w:val="000000"/>
                <w:sz w:val="24"/>
                <w:szCs w:val="24"/>
              </w:rPr>
              <w:t>联接基金的基金经理；量化投资部副总经理</w:t>
            </w:r>
          </w:p>
        </w:tc>
        <w:tc>
          <w:tcPr>
            <w:tcW w:w="1134" w:type="dxa"/>
            <w:vAlign w:val="center"/>
          </w:tcPr>
          <w:p w:rsidR="00EE2D62" w:rsidRDefault="00A65032">
            <w:pPr>
              <w:jc w:val="center"/>
            </w:pPr>
            <w:r>
              <w:rPr>
                <w:rFonts w:eastAsiaTheme="minorEastAsia"/>
                <w:color w:val="000000"/>
                <w:sz w:val="24"/>
                <w:szCs w:val="24"/>
              </w:rPr>
              <w:t>2015-07-01</w:t>
            </w:r>
          </w:p>
        </w:tc>
        <w:tc>
          <w:tcPr>
            <w:tcW w:w="1134" w:type="dxa"/>
            <w:vAlign w:val="center"/>
          </w:tcPr>
          <w:p w:rsidR="00EE2D62" w:rsidRDefault="00A65032">
            <w:pPr>
              <w:jc w:val="center"/>
            </w:pPr>
            <w:r>
              <w:rPr>
                <w:rFonts w:eastAsiaTheme="minorEastAsia"/>
                <w:color w:val="000000"/>
                <w:sz w:val="24"/>
                <w:szCs w:val="24"/>
              </w:rPr>
              <w:t>-</w:t>
            </w:r>
          </w:p>
        </w:tc>
        <w:tc>
          <w:tcPr>
            <w:tcW w:w="1417" w:type="dxa"/>
            <w:vAlign w:val="center"/>
          </w:tcPr>
          <w:p w:rsidR="00EE2D62" w:rsidRDefault="00A65032">
            <w:pPr>
              <w:jc w:val="center"/>
            </w:pPr>
            <w:r>
              <w:rPr>
                <w:rFonts w:eastAsiaTheme="minorEastAsia"/>
                <w:color w:val="000000"/>
                <w:sz w:val="24"/>
                <w:szCs w:val="24"/>
              </w:rPr>
              <w:t>20</w:t>
            </w:r>
            <w:r>
              <w:rPr>
                <w:rFonts w:eastAsiaTheme="minorEastAsia"/>
                <w:color w:val="000000"/>
                <w:sz w:val="24"/>
                <w:szCs w:val="24"/>
              </w:rPr>
              <w:t>年</w:t>
            </w:r>
          </w:p>
        </w:tc>
        <w:tc>
          <w:tcPr>
            <w:tcW w:w="2694" w:type="dxa"/>
            <w:vAlign w:val="center"/>
          </w:tcPr>
          <w:p w:rsidR="00EE2D62" w:rsidRDefault="00A65032">
            <w:r>
              <w:rPr>
                <w:rFonts w:eastAsiaTheme="minorEastAsia"/>
                <w:color w:val="000000"/>
                <w:sz w:val="24"/>
                <w:szCs w:val="24"/>
              </w:rPr>
              <w:t>陆志明先生，经济学硕士，持有中国证券投资基金业从业证书。曾任大鹏证券有限公司研究员，深圳证券信息有限公司部门总监，广发基金管理有限公司数量投资部总经理、指数投资部副总经理、广发中小板</w:t>
            </w:r>
            <w:r>
              <w:rPr>
                <w:rFonts w:eastAsiaTheme="minorEastAsia"/>
                <w:color w:val="000000"/>
                <w:sz w:val="24"/>
                <w:szCs w:val="24"/>
              </w:rPr>
              <w:t>300</w:t>
            </w:r>
            <w:r>
              <w:rPr>
                <w:rFonts w:eastAsiaTheme="minorEastAsia"/>
                <w:color w:val="000000"/>
                <w:sz w:val="24"/>
                <w:szCs w:val="24"/>
              </w:rPr>
              <w:t>交易型开放式指数证券投资基金基金经理（自</w:t>
            </w:r>
            <w:r>
              <w:rPr>
                <w:rFonts w:eastAsiaTheme="minorEastAsia"/>
                <w:color w:val="000000"/>
                <w:sz w:val="24"/>
                <w:szCs w:val="24"/>
              </w:rPr>
              <w:t>2011</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3</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日）、广发中小板</w:t>
            </w:r>
            <w:r>
              <w:rPr>
                <w:rFonts w:eastAsiaTheme="minorEastAsia"/>
                <w:color w:val="000000"/>
                <w:sz w:val="24"/>
                <w:szCs w:val="24"/>
              </w:rPr>
              <w:t>300</w:t>
            </w:r>
            <w:r>
              <w:rPr>
                <w:rFonts w:eastAsiaTheme="minorEastAsia"/>
                <w:color w:val="000000"/>
                <w:sz w:val="24"/>
                <w:szCs w:val="24"/>
              </w:rPr>
              <w:t>交易型开放式指数证券投资基金联接基金基金经理（自</w:t>
            </w:r>
            <w:r>
              <w:rPr>
                <w:rFonts w:eastAsiaTheme="minorEastAsia"/>
                <w:color w:val="000000"/>
                <w:sz w:val="24"/>
                <w:szCs w:val="24"/>
              </w:rPr>
              <w:t>2011</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日）、广发深证</w:t>
            </w:r>
            <w:r>
              <w:rPr>
                <w:rFonts w:eastAsiaTheme="minorEastAsia"/>
                <w:color w:val="000000"/>
                <w:sz w:val="24"/>
                <w:szCs w:val="24"/>
              </w:rPr>
              <w:t>100</w:t>
            </w:r>
            <w:r>
              <w:rPr>
                <w:rFonts w:eastAsiaTheme="minorEastAsia"/>
                <w:color w:val="000000"/>
                <w:sz w:val="24"/>
                <w:szCs w:val="24"/>
              </w:rPr>
              <w:t>指数分级证券投资基金基金经理（自</w:t>
            </w:r>
            <w:r>
              <w:rPr>
                <w:rFonts w:eastAsiaTheme="minorEastAsia"/>
                <w:color w:val="000000"/>
                <w:sz w:val="24"/>
                <w:szCs w:val="24"/>
              </w:rPr>
              <w:t>2012</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7</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日）、广发中证百度百发策略</w:t>
            </w:r>
            <w:r>
              <w:rPr>
                <w:rFonts w:eastAsiaTheme="minorEastAsia"/>
                <w:color w:val="000000"/>
                <w:sz w:val="24"/>
                <w:szCs w:val="24"/>
              </w:rPr>
              <w:t>100</w:t>
            </w:r>
            <w:r>
              <w:rPr>
                <w:rFonts w:eastAsiaTheme="minorEastAsia"/>
                <w:color w:val="000000"/>
                <w:sz w:val="24"/>
                <w:szCs w:val="24"/>
              </w:rPr>
              <w:t>指</w:t>
            </w:r>
            <w:r>
              <w:rPr>
                <w:rFonts w:eastAsiaTheme="minorEastAsia"/>
                <w:color w:val="000000"/>
                <w:sz w:val="24"/>
                <w:szCs w:val="24"/>
              </w:rPr>
              <w:t>数型证券投资基金基金经理（自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30</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日）、广发中证医疗指数分级证券投资基金基金经理（自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23</w:t>
            </w:r>
            <w:r>
              <w:rPr>
                <w:rFonts w:eastAsiaTheme="minorEastAsia"/>
                <w:color w:val="000000"/>
                <w:sz w:val="24"/>
                <w:szCs w:val="24"/>
              </w:rPr>
              <w:t>日至</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日）、广发中证全指能源交易型开放式指数证券投资基金发起式联接基金基金经理（自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日）、广发中证全指原材料交易型开放式指数证券投资基金发起式联接基金基金经理（自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日）、广发中证全指主要消费交易型开放式指数证券投资基金发起式联接基金基金经理（自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日）。现任广发基金管理有限公司量化投资部副总经理、广发中证全指可选消费交易型开放式指数证券投资基金基金经理（自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3</w:t>
            </w:r>
            <w:r>
              <w:rPr>
                <w:rFonts w:eastAsiaTheme="minorEastAsia"/>
                <w:color w:val="000000"/>
                <w:sz w:val="24"/>
                <w:szCs w:val="24"/>
              </w:rPr>
              <w:t>日起任职）、广发中证全指医药卫生交易型开放式指数证券投资基金基金经理（自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1</w:t>
            </w:r>
            <w:r>
              <w:rPr>
                <w:rFonts w:eastAsiaTheme="minorEastAsia"/>
                <w:color w:val="000000"/>
                <w:sz w:val="24"/>
                <w:szCs w:val="24"/>
              </w:rPr>
              <w:t>日起任职）、广发中证全指信息技术交易型开放式指数证券投资基金基金经理（自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8</w:t>
            </w:r>
            <w:r>
              <w:rPr>
                <w:rFonts w:eastAsiaTheme="minorEastAsia"/>
                <w:color w:val="000000"/>
                <w:sz w:val="24"/>
                <w:szCs w:val="24"/>
              </w:rPr>
              <w:t>日起任职）、广发中证全指信息技术交易型开放式指数证券投资基金发起式联接基金基金经理（自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29</w:t>
            </w:r>
            <w:r>
              <w:rPr>
                <w:rFonts w:eastAsiaTheme="minorEastAsia"/>
                <w:color w:val="000000"/>
                <w:sz w:val="24"/>
                <w:szCs w:val="24"/>
              </w:rPr>
              <w:t>日起任职）、广发中证全指金融地产交易型开放式指数证券投资基金基金经理（自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23</w:t>
            </w:r>
            <w:r>
              <w:rPr>
                <w:rFonts w:eastAsiaTheme="minorEastAsia"/>
                <w:color w:val="000000"/>
                <w:sz w:val="24"/>
                <w:szCs w:val="24"/>
              </w:rPr>
              <w:t>日起任职）</w:t>
            </w:r>
            <w:r>
              <w:rPr>
                <w:rFonts w:eastAsiaTheme="minorEastAsia"/>
                <w:color w:val="000000"/>
                <w:sz w:val="24"/>
                <w:szCs w:val="24"/>
              </w:rPr>
              <w:t>、广发中证全指可选消费交易型开放式指数证券投资基金发起式联接基金基金经理（自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15</w:t>
            </w:r>
            <w:r>
              <w:rPr>
                <w:rFonts w:eastAsiaTheme="minorEastAsia"/>
                <w:color w:val="000000"/>
                <w:sz w:val="24"/>
                <w:szCs w:val="24"/>
              </w:rPr>
              <w:t>日起任职）、广发中证全指医药卫生交易型开放式指数证券投资基金发起式联接基金基金经理（自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日起任职）、广发中证全指能源交易型开放式指数证券投资基金基金经理（自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日起任职）、广发中证全指原材料交易型开放式指数证券投资基金基金经理（自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25</w:t>
            </w:r>
            <w:r>
              <w:rPr>
                <w:rFonts w:eastAsiaTheme="minorEastAsia"/>
                <w:color w:val="000000"/>
                <w:sz w:val="24"/>
                <w:szCs w:val="24"/>
              </w:rPr>
              <w:t>日起任职）、广发中证全指主要消费交易型开放式指数证券投资基金基金经理（自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1</w:t>
            </w:r>
            <w:r>
              <w:rPr>
                <w:rFonts w:eastAsiaTheme="minorEastAsia"/>
                <w:color w:val="000000"/>
                <w:sz w:val="24"/>
                <w:szCs w:val="24"/>
              </w:rPr>
              <w:t>日起任职）、广发中证全指金融地产交易型开放式指数证券投</w:t>
            </w:r>
            <w:r>
              <w:rPr>
                <w:rFonts w:eastAsiaTheme="minorEastAsia"/>
                <w:color w:val="000000"/>
                <w:sz w:val="24"/>
                <w:szCs w:val="24"/>
              </w:rPr>
              <w:t>资基金发起式联接基金基金经理（自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日起任职）、广发中证全指工业交易型开放式指数证券投资基金基金经理（自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日起任职）、广发中证全指工业交易型开放式指数证券投资基金发起式联接基金基金经理（自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w:t>
            </w:r>
          </w:p>
        </w:tc>
      </w:tr>
    </w:tbl>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任职日期</w:t>
      </w:r>
      <w:r>
        <w:rPr>
          <w:rFonts w:eastAsiaTheme="minorEastAsia"/>
          <w:color w:val="000000"/>
          <w:sz w:val="24"/>
          <w:szCs w:val="24"/>
        </w:rPr>
        <w:t>”</w:t>
      </w:r>
      <w:r>
        <w:rPr>
          <w:rFonts w:eastAsiaTheme="minorEastAsia"/>
          <w:color w:val="000000"/>
          <w:sz w:val="24"/>
          <w:szCs w:val="24"/>
        </w:rPr>
        <w:t>和</w:t>
      </w:r>
      <w:r>
        <w:rPr>
          <w:rFonts w:eastAsiaTheme="minorEastAsia"/>
          <w:color w:val="000000"/>
          <w:sz w:val="24"/>
          <w:szCs w:val="24"/>
        </w:rPr>
        <w:t>“</w:t>
      </w:r>
      <w:r>
        <w:rPr>
          <w:rFonts w:eastAsiaTheme="minorEastAsia"/>
          <w:color w:val="000000"/>
          <w:sz w:val="24"/>
          <w:szCs w:val="24"/>
        </w:rPr>
        <w:t>离职日期</w:t>
      </w:r>
      <w:r>
        <w:rPr>
          <w:rFonts w:eastAsiaTheme="minorEastAsia"/>
          <w:color w:val="000000"/>
          <w:sz w:val="24"/>
          <w:szCs w:val="24"/>
        </w:rPr>
        <w:t>”</w:t>
      </w:r>
      <w:r>
        <w:rPr>
          <w:rFonts w:eastAsiaTheme="minorEastAsia"/>
          <w:color w:val="000000"/>
          <w:sz w:val="24"/>
          <w:szCs w:val="24"/>
        </w:rPr>
        <w:t>指公司公告聘任或解聘日期。</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2.</w:t>
      </w:r>
      <w:r w:rsidRPr="00CD2DB1">
        <w:rPr>
          <w:rFonts w:eastAsiaTheme="minorEastAsia"/>
          <w:color w:val="000000"/>
          <w:sz w:val="24"/>
          <w:szCs w:val="24"/>
        </w:rPr>
        <w:t>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中证全指主要消费交易型开放式指数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w:t>
      </w:r>
      <w:r>
        <w:rPr>
          <w:rFonts w:eastAsiaTheme="minorEastAsia"/>
          <w:color w:val="000000"/>
          <w:sz w:val="24"/>
          <w:szCs w:val="24"/>
        </w:rPr>
        <w:t>监控与及时的分析评估，保证公平交易原则的实现。</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szCs w:val="24"/>
        </w:rPr>
        <w:t>“</w:t>
      </w:r>
      <w:r>
        <w:rPr>
          <w:rFonts w:eastAsiaTheme="minorEastAsia"/>
          <w:color w:val="000000"/>
          <w:sz w:val="24"/>
          <w:szCs w:val="24"/>
        </w:rPr>
        <w:t>时间优先、价格优先、比例分配、综合平衡</w:t>
      </w:r>
      <w:r>
        <w:rPr>
          <w:rFonts w:eastAsiaTheme="minorEastAsia"/>
          <w:color w:val="000000"/>
          <w:sz w:val="24"/>
          <w:szCs w:val="24"/>
        </w:rPr>
        <w:t>”</w:t>
      </w:r>
      <w:r>
        <w:rPr>
          <w:rFonts w:eastAsiaTheme="minorEastAsia"/>
          <w:color w:val="000000"/>
          <w:sz w:val="24"/>
          <w:szCs w:val="24"/>
        </w:rPr>
        <w:t>的原则，公平分配投资指令。金融工程与风险管理部风险控制岗通过投资交易系统对投资交易过程进行实时监控及预警，实现投资风险的事中风险控制；稽核岗</w:t>
      </w:r>
      <w:r>
        <w:rPr>
          <w:rFonts w:eastAsiaTheme="minorEastAsia"/>
          <w:color w:val="000000"/>
          <w:sz w:val="24"/>
          <w:szCs w:val="24"/>
        </w:rPr>
        <w:t>通过对投资、研究及交易等全流程的独立监察稽核，实现投资风险的事后控制。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本投资组合为完全按照有关指数的构成比例进行证券投资的投资组合。本报告期内，本投资组合与本公司管理的其他投资组合发生过同日反向交易的情况，但成交较少的单边交易量不超过该证券当日成交量的</w:t>
      </w:r>
      <w:r w:rsidRPr="00CD2DB1">
        <w:rPr>
          <w:rFonts w:eastAsiaTheme="minorEastAsia" w:hint="eastAsia"/>
          <w:color w:val="000000"/>
          <w:sz w:val="24"/>
          <w:szCs w:val="24"/>
        </w:rPr>
        <w:t>5%</w:t>
      </w:r>
      <w:r w:rsidRPr="00CD2DB1">
        <w:rPr>
          <w:rFonts w:eastAsiaTheme="minorEastAsia" w:hint="eastAsia"/>
          <w:color w:val="000000"/>
          <w:sz w:val="24"/>
          <w:szCs w:val="24"/>
        </w:rPr>
        <w:t>。这些交易不存在任何利益输送的嫌疑。</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EE2D62" w:rsidRDefault="00A65032">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）投资策略</w:t>
      </w:r>
    </w:p>
    <w:p w:rsidR="00EE2D62" w:rsidRDefault="00A65032">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作为</w:t>
      </w:r>
      <w:r>
        <w:rPr>
          <w:rFonts w:eastAsiaTheme="minorEastAsia"/>
          <w:color w:val="000000"/>
          <w:sz w:val="24"/>
        </w:rPr>
        <w:t>ETF</w:t>
      </w:r>
      <w:r>
        <w:rPr>
          <w:rFonts w:eastAsiaTheme="minorEastAsia"/>
          <w:color w:val="000000"/>
          <w:sz w:val="24"/>
        </w:rPr>
        <w:t>基金，本基金将继续秉承指数化被动投资策略，积极应对成份股调整、基金申购赎回等因素对指数跟踪效果带来的冲击，进一步降低基金的跟踪误差。</w:t>
      </w:r>
    </w:p>
    <w:p w:rsidR="00EE2D62" w:rsidRDefault="00A65032">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w:t>
      </w:r>
      <w:r>
        <w:rPr>
          <w:rFonts w:eastAsiaTheme="minorEastAsia"/>
          <w:color w:val="000000"/>
          <w:sz w:val="24"/>
        </w:rPr>
        <w:t>2</w:t>
      </w:r>
      <w:r>
        <w:rPr>
          <w:rFonts w:eastAsiaTheme="minorEastAsia"/>
          <w:color w:val="000000"/>
          <w:sz w:val="24"/>
        </w:rPr>
        <w:t>）运作分析</w:t>
      </w:r>
    </w:p>
    <w:p w:rsidR="00EE2D62" w:rsidRDefault="00A65032">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报告期内，本基金交易和申购赎回正常，运作过程中未发生风险事件。本基金跟踪误差来源主要是申购和赎回因素，作为</w:t>
      </w:r>
      <w:r>
        <w:rPr>
          <w:rFonts w:eastAsiaTheme="minorEastAsia"/>
          <w:color w:val="000000"/>
          <w:sz w:val="24"/>
        </w:rPr>
        <w:t>ETF</w:t>
      </w:r>
      <w:r>
        <w:rPr>
          <w:rFonts w:eastAsiaTheme="minorEastAsia"/>
          <w:color w:val="000000"/>
          <w:sz w:val="24"/>
        </w:rPr>
        <w:t>基金，由于本基金规模较小，申购赎回对本基金的跟踪效果有较大影响</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4</w:t>
      </w:r>
      <w:r w:rsidRPr="00264591">
        <w:rPr>
          <w:rFonts w:eastAsiaTheme="minorEastAsia"/>
          <w:color w:val="000000"/>
          <w:sz w:val="24"/>
        </w:rPr>
        <w:t>季度，受中美贸易问题、美股暴跌、中国经济下行压力增大以及企业质押平仓等问题的影响，</w:t>
      </w:r>
      <w:r w:rsidRPr="00264591">
        <w:rPr>
          <w:rFonts w:eastAsiaTheme="minorEastAsia"/>
          <w:color w:val="000000"/>
          <w:sz w:val="24"/>
        </w:rPr>
        <w:t>A</w:t>
      </w:r>
      <w:r w:rsidRPr="00264591">
        <w:rPr>
          <w:rFonts w:eastAsiaTheme="minorEastAsia"/>
          <w:color w:val="000000"/>
          <w:sz w:val="24"/>
        </w:rPr>
        <w:t>股市场大幅度调整。管理层密切关注</w:t>
      </w:r>
      <w:r w:rsidRPr="00264591">
        <w:rPr>
          <w:rFonts w:eastAsiaTheme="minorEastAsia"/>
          <w:color w:val="000000"/>
          <w:sz w:val="24"/>
        </w:rPr>
        <w:t>A</w:t>
      </w:r>
      <w:r w:rsidRPr="00264591">
        <w:rPr>
          <w:rFonts w:eastAsiaTheme="minorEastAsia"/>
          <w:color w:val="000000"/>
          <w:sz w:val="24"/>
        </w:rPr>
        <w:t>股市场动态并出台相关利好政策，地方政府出台资金排解上市企业质押问题，允许保险资金设立专项资金化解质押流动性问题等。另外，政府一再强调了民营经济在整体经济的重要性，国营企业入股民营仅仅为了帮助民营企业度过难关。众多政策的密集出台，有利于</w:t>
      </w:r>
      <w:r w:rsidRPr="00264591">
        <w:rPr>
          <w:rFonts w:eastAsiaTheme="minorEastAsia"/>
          <w:color w:val="000000"/>
          <w:sz w:val="24"/>
        </w:rPr>
        <w:t>A</w:t>
      </w:r>
      <w:r w:rsidRPr="00264591">
        <w:rPr>
          <w:rFonts w:eastAsiaTheme="minorEastAsia"/>
          <w:color w:val="000000"/>
          <w:sz w:val="24"/>
        </w:rPr>
        <w:t>股市场底部区域的夯实。目前</w:t>
      </w:r>
      <w:r w:rsidRPr="00264591">
        <w:rPr>
          <w:rFonts w:eastAsiaTheme="minorEastAsia"/>
          <w:color w:val="000000"/>
          <w:sz w:val="24"/>
        </w:rPr>
        <w:t>A</w:t>
      </w:r>
      <w:r w:rsidRPr="00264591">
        <w:rPr>
          <w:rFonts w:eastAsiaTheme="minorEastAsia"/>
          <w:color w:val="000000"/>
          <w:sz w:val="24"/>
        </w:rPr>
        <w:t>股的估值水平合理偏低，无论从破净的公司数量、公司的业绩增长、增持与回购的企业数量上进行判断，</w:t>
      </w:r>
      <w:r w:rsidRPr="00264591">
        <w:rPr>
          <w:rFonts w:eastAsiaTheme="minorEastAsia"/>
          <w:color w:val="000000"/>
          <w:sz w:val="24"/>
        </w:rPr>
        <w:t>A</w:t>
      </w:r>
      <w:r w:rsidRPr="00264591">
        <w:rPr>
          <w:rFonts w:eastAsiaTheme="minorEastAsia"/>
          <w:color w:val="000000"/>
          <w:sz w:val="24"/>
        </w:rPr>
        <w:t>股是不错的长期投资标的之一。</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本报告期内，本基金净值增长率为</w:t>
      </w:r>
      <w:r w:rsidRPr="00264591">
        <w:rPr>
          <w:rFonts w:eastAsiaTheme="minorEastAsia"/>
          <w:color w:val="000000"/>
          <w:sz w:val="24"/>
        </w:rPr>
        <w:t>-13.79%</w:t>
      </w:r>
      <w:r w:rsidRPr="00264591">
        <w:rPr>
          <w:rFonts w:eastAsiaTheme="minorEastAsia"/>
          <w:color w:val="000000"/>
          <w:sz w:val="24"/>
        </w:rPr>
        <w:t>，同期业绩基准收益率为</w:t>
      </w:r>
      <w:r w:rsidRPr="00264591">
        <w:rPr>
          <w:rFonts w:eastAsiaTheme="minorEastAsia"/>
          <w:color w:val="000000"/>
          <w:sz w:val="24"/>
        </w:rPr>
        <w:t>-12.10%</w:t>
      </w:r>
      <w:r w:rsidRPr="00264591">
        <w:rPr>
          <w:rFonts w:eastAsiaTheme="minorEastAsia"/>
          <w:color w:val="000000"/>
          <w:sz w:val="24"/>
        </w:rPr>
        <w:t>。</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本报告期内，本基金于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10</w:t>
      </w:r>
      <w:r w:rsidRPr="00C61B41">
        <w:rPr>
          <w:rFonts w:eastAsiaTheme="minorEastAsia"/>
          <w:color w:val="000000" w:themeColor="text1"/>
          <w:kern w:val="0"/>
          <w:sz w:val="24"/>
        </w:rPr>
        <w:t>月</w:t>
      </w:r>
      <w:r w:rsidRPr="00C61B41">
        <w:rPr>
          <w:rFonts w:eastAsiaTheme="minorEastAsia"/>
          <w:color w:val="000000" w:themeColor="text1"/>
          <w:kern w:val="0"/>
          <w:sz w:val="24"/>
        </w:rPr>
        <w:t>08</w:t>
      </w:r>
      <w:r w:rsidRPr="00C61B41">
        <w:rPr>
          <w:rFonts w:eastAsiaTheme="minorEastAsia"/>
          <w:color w:val="000000" w:themeColor="text1"/>
          <w:kern w:val="0"/>
          <w:sz w:val="24"/>
        </w:rPr>
        <w:t>日至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12</w:t>
      </w:r>
      <w:r w:rsidRPr="00C61B41">
        <w:rPr>
          <w:rFonts w:eastAsiaTheme="minorEastAsia"/>
          <w:color w:val="000000" w:themeColor="text1"/>
          <w:kern w:val="0"/>
          <w:sz w:val="24"/>
        </w:rPr>
        <w:t>月</w:t>
      </w:r>
      <w:r w:rsidRPr="00C61B41">
        <w:rPr>
          <w:rFonts w:eastAsiaTheme="minorEastAsia"/>
          <w:color w:val="000000" w:themeColor="text1"/>
          <w:kern w:val="0"/>
          <w:sz w:val="24"/>
        </w:rPr>
        <w:t>28</w:t>
      </w:r>
      <w:r w:rsidRPr="00C61B41">
        <w:rPr>
          <w:rFonts w:eastAsiaTheme="minorEastAsia"/>
          <w:color w:val="000000" w:themeColor="text1"/>
          <w:kern w:val="0"/>
          <w:sz w:val="24"/>
        </w:rPr>
        <w:t>日连续</w:t>
      </w:r>
      <w:r w:rsidRPr="00C61B41">
        <w:rPr>
          <w:rFonts w:eastAsiaTheme="minorEastAsia"/>
          <w:color w:val="000000" w:themeColor="text1"/>
          <w:kern w:val="0"/>
          <w:sz w:val="24"/>
        </w:rPr>
        <w:t>60</w:t>
      </w:r>
      <w:r w:rsidRPr="00C61B41">
        <w:rPr>
          <w:rFonts w:eastAsiaTheme="minorEastAsia"/>
          <w:color w:val="000000" w:themeColor="text1"/>
          <w:kern w:val="0"/>
          <w:sz w:val="24"/>
        </w:rPr>
        <w:t>个工作日出现了基金资产净值低于五千万的情形。本基金管理人已召开基金份额持有人大会，表决通过了终止本基金基金合同的议案，本基金已于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12</w:t>
      </w:r>
      <w:r w:rsidRPr="00C61B41">
        <w:rPr>
          <w:rFonts w:eastAsiaTheme="minorEastAsia"/>
          <w:color w:val="000000" w:themeColor="text1"/>
          <w:kern w:val="0"/>
          <w:sz w:val="24"/>
        </w:rPr>
        <w:t>月</w:t>
      </w:r>
      <w:r w:rsidRPr="00C61B41">
        <w:rPr>
          <w:rFonts w:eastAsiaTheme="minorEastAsia"/>
          <w:color w:val="000000" w:themeColor="text1"/>
          <w:kern w:val="0"/>
          <w:sz w:val="24"/>
        </w:rPr>
        <w:t>25</w:t>
      </w:r>
      <w:r w:rsidRPr="00C61B41">
        <w:rPr>
          <w:rFonts w:eastAsiaTheme="minorEastAsia"/>
          <w:color w:val="000000" w:themeColor="text1"/>
          <w:kern w:val="0"/>
          <w:sz w:val="24"/>
        </w:rPr>
        <w:t>日进入清算期。</w:t>
      </w:r>
    </w:p>
    <w:p w:rsidR="004061AC" w:rsidRPr="001611C5" w:rsidRDefault="004061AC" w:rsidP="00A65032">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4,386,719.40</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99.63</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16,495.11</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0.37</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4,403,214.51</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4061AC" w:rsidRPr="006B72F7" w:rsidRDefault="001675CD"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注：上表中的股票投资项含可退替代款估值增值，而</w:t>
      </w:r>
      <w:r w:rsidRPr="00CD2DB1">
        <w:rPr>
          <w:rFonts w:eastAsiaTheme="minorEastAsia" w:hint="eastAsia"/>
          <w:color w:val="000000"/>
          <w:sz w:val="24"/>
          <w:szCs w:val="24"/>
        </w:rPr>
        <w:t>5.2</w:t>
      </w:r>
      <w:r w:rsidRPr="00CD2DB1">
        <w:rPr>
          <w:rFonts w:eastAsiaTheme="minorEastAsia" w:hint="eastAsia"/>
          <w:color w:val="000000"/>
          <w:sz w:val="24"/>
          <w:szCs w:val="24"/>
        </w:rPr>
        <w:t>的合计项不含可退替代款估值增值。</w:t>
      </w:r>
    </w:p>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p w:rsidR="004061AC"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A917B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5.8</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本基金本报告期末未持有权证。</w:t>
      </w:r>
    </w:p>
    <w:p w:rsidR="00275745"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）本基金本报告期末未持有股指期货。</w:t>
      </w:r>
      <w:r>
        <w:rPr>
          <w:rFonts w:eastAsiaTheme="minorEastAsia"/>
          <w:color w:val="000000"/>
          <w:sz w:val="24"/>
          <w:szCs w:val="24"/>
        </w:rPr>
        <w:t xml:space="preserve"> </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rsidR="00EE2D62" w:rsidRDefault="00A65032">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）本基金本报告期末未持有国债期货。</w:t>
      </w:r>
      <w:r>
        <w:rPr>
          <w:rFonts w:eastAsiaTheme="minorEastAsia"/>
          <w:color w:val="000000"/>
          <w:sz w:val="24"/>
          <w:szCs w:val="24"/>
        </w:rPr>
        <w:t xml:space="preserve"> </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3,162.86</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12,848.99</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483.26</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16,495.11</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本基金本报告期末前十名股票中不存在流通受限情况。</w:t>
      </w:r>
    </w:p>
    <w:p w:rsidR="004061AC" w:rsidRPr="001611C5" w:rsidRDefault="004061AC" w:rsidP="00A65032">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6D7FF8"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5,315,634.00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5,944,099.02</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6,944,099.02</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4,315,634.00</w:t>
            </w:r>
          </w:p>
        </w:tc>
      </w:tr>
    </w:tbl>
    <w:p w:rsidR="00EB374A" w:rsidRPr="001611C5" w:rsidRDefault="00EB374A" w:rsidP="00A65032">
      <w:pPr>
        <w:pStyle w:val="1"/>
        <w:tabs>
          <w:tab w:val="center" w:pos="4156"/>
          <w:tab w:val="right" w:pos="8312"/>
        </w:tabs>
        <w:spacing w:beforeLines="100" w:afterLines="100" w:line="360" w:lineRule="auto"/>
        <w:jc w:val="center"/>
        <w:rPr>
          <w:rFonts w:ascii="方正仿宋简体"/>
          <w:sz w:val="24"/>
          <w:szCs w:val="24"/>
        </w:rPr>
      </w:pP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A65032">
      <w:pPr>
        <w:pStyle w:val="1"/>
        <w:spacing w:beforeLines="100" w:afterLines="100"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rsidR="00EE2D62">
        <w:tc>
          <w:tcPr>
            <w:tcW w:w="993" w:type="dxa"/>
            <w:vMerge w:val="restart"/>
          </w:tcPr>
          <w:p w:rsidR="00EE2D62" w:rsidRDefault="00EE2D62"/>
          <w:p w:rsidR="00EE2D62" w:rsidRDefault="00A65032">
            <w:r>
              <w:rPr>
                <w:sz w:val="24"/>
                <w:szCs w:val="24"/>
              </w:rPr>
              <w:t>机构</w:t>
            </w:r>
          </w:p>
        </w:tc>
        <w:tc>
          <w:tcPr>
            <w:tcW w:w="992" w:type="dxa"/>
            <w:vAlign w:val="center"/>
          </w:tcPr>
          <w:p w:rsidR="00EE2D62" w:rsidRDefault="00A65032">
            <w:pPr>
              <w:jc w:val="center"/>
            </w:pPr>
            <w:r>
              <w:rPr>
                <w:sz w:val="24"/>
                <w:szCs w:val="24"/>
              </w:rPr>
              <w:t>1</w:t>
            </w:r>
          </w:p>
        </w:tc>
        <w:tc>
          <w:tcPr>
            <w:tcW w:w="1843" w:type="dxa"/>
            <w:vAlign w:val="center"/>
          </w:tcPr>
          <w:p w:rsidR="00EE2D62" w:rsidRDefault="00A65032">
            <w:pPr>
              <w:jc w:val="center"/>
            </w:pPr>
            <w:r>
              <w:rPr>
                <w:sz w:val="24"/>
                <w:szCs w:val="24"/>
              </w:rPr>
              <w:t>20181116-20181122</w:t>
            </w:r>
          </w:p>
        </w:tc>
        <w:tc>
          <w:tcPr>
            <w:tcW w:w="851" w:type="dxa"/>
            <w:vAlign w:val="center"/>
          </w:tcPr>
          <w:p w:rsidR="00EE2D62" w:rsidRDefault="00A65032">
            <w:pPr>
              <w:jc w:val="center"/>
            </w:pPr>
            <w:r>
              <w:rPr>
                <w:sz w:val="24"/>
                <w:szCs w:val="24"/>
              </w:rPr>
              <w:t>-</w:t>
            </w:r>
          </w:p>
        </w:tc>
        <w:tc>
          <w:tcPr>
            <w:tcW w:w="992" w:type="dxa"/>
            <w:vAlign w:val="center"/>
          </w:tcPr>
          <w:p w:rsidR="00EE2D62" w:rsidRDefault="00A65032">
            <w:pPr>
              <w:jc w:val="center"/>
            </w:pPr>
            <w:r>
              <w:rPr>
                <w:sz w:val="24"/>
                <w:szCs w:val="24"/>
              </w:rPr>
              <w:t>2,773,912.88</w:t>
            </w:r>
          </w:p>
        </w:tc>
        <w:tc>
          <w:tcPr>
            <w:tcW w:w="850" w:type="dxa"/>
            <w:vAlign w:val="center"/>
          </w:tcPr>
          <w:p w:rsidR="00EE2D62" w:rsidRDefault="00A65032">
            <w:pPr>
              <w:jc w:val="center"/>
            </w:pPr>
            <w:r>
              <w:rPr>
                <w:sz w:val="24"/>
                <w:szCs w:val="24"/>
              </w:rPr>
              <w:t>2,773,912.88</w:t>
            </w:r>
          </w:p>
        </w:tc>
        <w:tc>
          <w:tcPr>
            <w:tcW w:w="1418" w:type="dxa"/>
            <w:vAlign w:val="center"/>
          </w:tcPr>
          <w:p w:rsidR="00EE2D62" w:rsidRDefault="00A65032">
            <w:pPr>
              <w:jc w:val="center"/>
            </w:pPr>
            <w:r>
              <w:rPr>
                <w:sz w:val="24"/>
                <w:szCs w:val="24"/>
              </w:rPr>
              <w:t>0.00</w:t>
            </w:r>
          </w:p>
        </w:tc>
        <w:tc>
          <w:tcPr>
            <w:tcW w:w="1273" w:type="dxa"/>
            <w:vAlign w:val="center"/>
          </w:tcPr>
          <w:p w:rsidR="00EE2D62" w:rsidRDefault="00A65032">
            <w:pPr>
              <w:jc w:val="center"/>
            </w:pPr>
            <w:r>
              <w:rPr>
                <w:sz w:val="24"/>
                <w:szCs w:val="24"/>
              </w:rPr>
              <w:t>0.00%</w:t>
            </w:r>
          </w:p>
        </w:tc>
      </w:tr>
      <w:tr w:rsidR="00EE2D62">
        <w:tc>
          <w:tcPr>
            <w:tcW w:w="993" w:type="dxa"/>
            <w:vMerge w:val="restart"/>
          </w:tcPr>
          <w:p w:rsidR="00EE2D62" w:rsidRDefault="00EE2D62"/>
          <w:p w:rsidR="00EE2D62" w:rsidRDefault="00A65032">
            <w:r>
              <w:rPr>
                <w:sz w:val="24"/>
                <w:szCs w:val="24"/>
              </w:rPr>
              <w:t>个人</w:t>
            </w:r>
          </w:p>
        </w:tc>
        <w:tc>
          <w:tcPr>
            <w:tcW w:w="992" w:type="dxa"/>
            <w:vAlign w:val="center"/>
          </w:tcPr>
          <w:p w:rsidR="00EE2D62" w:rsidRDefault="00A65032">
            <w:pPr>
              <w:jc w:val="center"/>
            </w:pPr>
            <w:r>
              <w:rPr>
                <w:sz w:val="24"/>
                <w:szCs w:val="24"/>
              </w:rPr>
              <w:t>1</w:t>
            </w:r>
          </w:p>
        </w:tc>
        <w:tc>
          <w:tcPr>
            <w:tcW w:w="1843" w:type="dxa"/>
            <w:vAlign w:val="center"/>
          </w:tcPr>
          <w:p w:rsidR="00EE2D62" w:rsidRDefault="00A65032">
            <w:pPr>
              <w:jc w:val="center"/>
            </w:pPr>
            <w:r>
              <w:rPr>
                <w:sz w:val="24"/>
                <w:szCs w:val="24"/>
              </w:rPr>
              <w:t>20181116-20181122</w:t>
            </w:r>
          </w:p>
        </w:tc>
        <w:tc>
          <w:tcPr>
            <w:tcW w:w="851" w:type="dxa"/>
            <w:vAlign w:val="center"/>
          </w:tcPr>
          <w:p w:rsidR="00EE2D62" w:rsidRDefault="00A65032">
            <w:pPr>
              <w:jc w:val="center"/>
            </w:pPr>
            <w:r>
              <w:rPr>
                <w:sz w:val="24"/>
                <w:szCs w:val="24"/>
              </w:rPr>
              <w:t>-</w:t>
            </w:r>
          </w:p>
        </w:tc>
        <w:tc>
          <w:tcPr>
            <w:tcW w:w="992" w:type="dxa"/>
            <w:vAlign w:val="center"/>
          </w:tcPr>
          <w:p w:rsidR="00EE2D62" w:rsidRDefault="00A65032">
            <w:pPr>
              <w:jc w:val="center"/>
            </w:pPr>
            <w:r>
              <w:rPr>
                <w:sz w:val="24"/>
                <w:szCs w:val="24"/>
              </w:rPr>
              <w:t>3,170,186.14</w:t>
            </w:r>
          </w:p>
        </w:tc>
        <w:tc>
          <w:tcPr>
            <w:tcW w:w="850" w:type="dxa"/>
            <w:vAlign w:val="center"/>
          </w:tcPr>
          <w:p w:rsidR="00EE2D62" w:rsidRDefault="00A65032">
            <w:pPr>
              <w:jc w:val="center"/>
            </w:pPr>
            <w:r>
              <w:rPr>
                <w:sz w:val="24"/>
                <w:szCs w:val="24"/>
              </w:rPr>
              <w:t>3,170,186.14</w:t>
            </w:r>
          </w:p>
        </w:tc>
        <w:tc>
          <w:tcPr>
            <w:tcW w:w="1418" w:type="dxa"/>
            <w:vAlign w:val="center"/>
          </w:tcPr>
          <w:p w:rsidR="00EE2D62" w:rsidRDefault="00A65032">
            <w:pPr>
              <w:jc w:val="center"/>
            </w:pPr>
            <w:r>
              <w:rPr>
                <w:sz w:val="24"/>
                <w:szCs w:val="24"/>
              </w:rPr>
              <w:t>0.00</w:t>
            </w:r>
          </w:p>
        </w:tc>
        <w:tc>
          <w:tcPr>
            <w:tcW w:w="1273" w:type="dxa"/>
            <w:vAlign w:val="center"/>
          </w:tcPr>
          <w:p w:rsidR="00EE2D62" w:rsidRDefault="00A65032">
            <w:pPr>
              <w:jc w:val="center"/>
            </w:pPr>
            <w:r>
              <w:rPr>
                <w:sz w:val="24"/>
                <w:szCs w:val="24"/>
              </w:rPr>
              <w:t>0.00%</w:t>
            </w:r>
          </w:p>
        </w:tc>
      </w:tr>
      <w:tr w:rsidR="00F21783" w:rsidRPr="003131FD" w:rsidTr="00C10F10">
        <w:tc>
          <w:tcPr>
            <w:tcW w:w="9212" w:type="dxa"/>
            <w:gridSpan w:val="8"/>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p>
        </w:tc>
      </w:tr>
      <w:tr w:rsidR="00F21783" w:rsidRPr="003131FD" w:rsidTr="00C10F10">
        <w:tc>
          <w:tcPr>
            <w:tcW w:w="9212" w:type="dxa"/>
            <w:gridSpan w:val="8"/>
            <w:vAlign w:val="center"/>
          </w:tcPr>
          <w:p w:rsidR="00F21783" w:rsidRPr="003131FD" w:rsidRDefault="00F21783" w:rsidP="00C10F10">
            <w:pPr>
              <w:autoSpaceDE w:val="0"/>
              <w:autoSpaceDN w:val="0"/>
              <w:adjustRightInd w:val="0"/>
              <w:jc w:val="left"/>
              <w:rPr>
                <w:sz w:val="24"/>
                <w:szCs w:val="24"/>
              </w:rPr>
            </w:pPr>
            <w:r w:rsidRPr="003131FD">
              <w:rPr>
                <w:sz w:val="24"/>
                <w:szCs w:val="24"/>
              </w:rPr>
              <w:t>报告期内，本基金存在单一投资者持有份额比例达到或超过</w:t>
            </w:r>
            <w:r w:rsidRPr="003131FD">
              <w:rPr>
                <w:sz w:val="24"/>
                <w:szCs w:val="24"/>
              </w:rPr>
              <w:t>20%</w:t>
            </w:r>
            <w:r w:rsidRPr="003131FD">
              <w:rPr>
                <w:sz w:val="24"/>
                <w:szCs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3131FD">
              <w:rPr>
                <w:sz w:val="24"/>
                <w:szCs w:val="24"/>
              </w:rPr>
              <w:t xml:space="preserve"> 5000 </w:t>
            </w:r>
            <w:r w:rsidRPr="003131FD">
              <w:rPr>
                <w:sz w:val="24"/>
                <w:szCs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本基金于</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11</w:t>
      </w:r>
      <w:r w:rsidRPr="00636531">
        <w:rPr>
          <w:rFonts w:eastAsiaTheme="minorEastAsia"/>
          <w:color w:val="000000" w:themeColor="text1"/>
          <w:sz w:val="24"/>
          <w:szCs w:val="24"/>
        </w:rPr>
        <w:t>月</w:t>
      </w:r>
      <w:r w:rsidRPr="00636531">
        <w:rPr>
          <w:rFonts w:eastAsiaTheme="minorEastAsia"/>
          <w:color w:val="000000" w:themeColor="text1"/>
          <w:sz w:val="24"/>
          <w:szCs w:val="24"/>
        </w:rPr>
        <w:t>21</w:t>
      </w:r>
      <w:r w:rsidRPr="00636531">
        <w:rPr>
          <w:rFonts w:eastAsiaTheme="minorEastAsia"/>
          <w:color w:val="000000" w:themeColor="text1"/>
          <w:sz w:val="24"/>
          <w:szCs w:val="24"/>
        </w:rPr>
        <w:t>日至</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12</w:t>
      </w:r>
      <w:r w:rsidRPr="00636531">
        <w:rPr>
          <w:rFonts w:eastAsiaTheme="minorEastAsia"/>
          <w:color w:val="000000" w:themeColor="text1"/>
          <w:sz w:val="24"/>
          <w:szCs w:val="24"/>
        </w:rPr>
        <w:t>月</w:t>
      </w:r>
      <w:r w:rsidRPr="00636531">
        <w:rPr>
          <w:rFonts w:eastAsiaTheme="minorEastAsia"/>
          <w:color w:val="000000" w:themeColor="text1"/>
          <w:sz w:val="24"/>
          <w:szCs w:val="24"/>
        </w:rPr>
        <w:t>20</w:t>
      </w:r>
      <w:r w:rsidRPr="00636531">
        <w:rPr>
          <w:rFonts w:eastAsiaTheme="minorEastAsia"/>
          <w:color w:val="000000" w:themeColor="text1"/>
          <w:sz w:val="24"/>
          <w:szCs w:val="24"/>
        </w:rPr>
        <w:t>日期间以通讯方式召开基金份额持有人大会，并于</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12</w:t>
      </w:r>
      <w:r w:rsidRPr="00636531">
        <w:rPr>
          <w:rFonts w:eastAsiaTheme="minorEastAsia"/>
          <w:color w:val="000000" w:themeColor="text1"/>
          <w:sz w:val="24"/>
          <w:szCs w:val="24"/>
        </w:rPr>
        <w:t>月</w:t>
      </w:r>
      <w:r w:rsidRPr="00636531">
        <w:rPr>
          <w:rFonts w:eastAsiaTheme="minorEastAsia"/>
          <w:color w:val="000000" w:themeColor="text1"/>
          <w:sz w:val="24"/>
          <w:szCs w:val="24"/>
        </w:rPr>
        <w:t>21</w:t>
      </w:r>
      <w:r w:rsidRPr="00636531">
        <w:rPr>
          <w:rFonts w:eastAsiaTheme="minorEastAsia"/>
          <w:color w:val="000000" w:themeColor="text1"/>
          <w:sz w:val="24"/>
          <w:szCs w:val="24"/>
        </w:rPr>
        <w:t>日通过了《关于广发中证全指主要消费交易型开放式指数证券投资基金终止基金合同并终止上市相关事项的议案》。根据持有人大会通过的议案，自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12</w:t>
      </w:r>
      <w:r w:rsidRPr="00636531">
        <w:rPr>
          <w:rFonts w:eastAsiaTheme="minorEastAsia"/>
          <w:color w:val="000000" w:themeColor="text1"/>
          <w:sz w:val="24"/>
          <w:szCs w:val="24"/>
        </w:rPr>
        <w:t>月</w:t>
      </w:r>
      <w:r w:rsidRPr="00636531">
        <w:rPr>
          <w:rFonts w:eastAsiaTheme="minorEastAsia"/>
          <w:color w:val="000000" w:themeColor="text1"/>
          <w:sz w:val="24"/>
          <w:szCs w:val="24"/>
        </w:rPr>
        <w:t>25</w:t>
      </w:r>
      <w:r w:rsidRPr="00636531">
        <w:rPr>
          <w:rFonts w:eastAsiaTheme="minorEastAsia"/>
          <w:color w:val="000000" w:themeColor="text1"/>
          <w:sz w:val="24"/>
          <w:szCs w:val="24"/>
        </w:rPr>
        <w:t>日起，本基金进入清算期，本基金管理人将组织成立基金财产清算小组履行基金财产清算程序，并将清算结果及时予以公告。有关重要事项详情可见本基金管理人</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12</w:t>
      </w:r>
      <w:r w:rsidRPr="00636531">
        <w:rPr>
          <w:rFonts w:eastAsiaTheme="minorEastAsia"/>
          <w:color w:val="000000" w:themeColor="text1"/>
          <w:sz w:val="24"/>
          <w:szCs w:val="24"/>
        </w:rPr>
        <w:t>月</w:t>
      </w:r>
      <w:r w:rsidRPr="00636531">
        <w:rPr>
          <w:rFonts w:eastAsiaTheme="minorEastAsia"/>
          <w:color w:val="000000" w:themeColor="text1"/>
          <w:sz w:val="24"/>
          <w:szCs w:val="24"/>
        </w:rPr>
        <w:t>24</w:t>
      </w:r>
      <w:r w:rsidRPr="00636531">
        <w:rPr>
          <w:rFonts w:eastAsiaTheme="minorEastAsia"/>
          <w:color w:val="000000" w:themeColor="text1"/>
          <w:sz w:val="24"/>
          <w:szCs w:val="24"/>
        </w:rPr>
        <w:t>日在《中国证券报》、《上海证券报》、《证券时报》及本公司网站（</w:t>
      </w:r>
      <w:r w:rsidRPr="00636531">
        <w:rPr>
          <w:rFonts w:eastAsiaTheme="minorEastAsia"/>
          <w:color w:val="000000" w:themeColor="text1"/>
          <w:sz w:val="24"/>
          <w:szCs w:val="24"/>
        </w:rPr>
        <w:t>www.gffunds.com.cn</w:t>
      </w:r>
      <w:r w:rsidRPr="00636531">
        <w:rPr>
          <w:rFonts w:eastAsiaTheme="minorEastAsia"/>
          <w:color w:val="000000" w:themeColor="text1"/>
          <w:sz w:val="24"/>
          <w:szCs w:val="24"/>
        </w:rPr>
        <w:t>）刊登的《关于广发中证全指主要消费交易型开放式指数证券投资基金基金份额持有人大会表决结果暨决议生效的公告》。</w:t>
      </w:r>
    </w:p>
    <w:p w:rsidR="004061AC" w:rsidRPr="001611C5" w:rsidRDefault="004061AC" w:rsidP="00A65032">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hint="eastAsia"/>
          <w:b/>
          <w:bCs/>
          <w:color w:val="000000"/>
          <w:kern w:val="0"/>
          <w:sz w:val="24"/>
          <w:szCs w:val="24"/>
        </w:rPr>
        <w:t>备查文件目录</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（一）中国证监会批准广发中证全指主要消费交易型开放式指数证券投资基金募集的文件</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（二）《广发中证全指主要消费交易型开放式指数证券投资基金基金合同》</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（三）《广发中证全指主要消费交易型开放式指数证券投资基金托管协议》</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（四）法律意见书</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（五）基金管理人业务资格批件、营业执照</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（六）基金托管人业务资格批件、营业执照</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广州市海珠区琶洲大道东</w:t>
      </w:r>
      <w:r w:rsidRPr="00CD2DB1">
        <w:rPr>
          <w:rFonts w:eastAsiaTheme="minorEastAsia" w:hint="eastAsia"/>
          <w:color w:val="000000"/>
          <w:sz w:val="24"/>
          <w:szCs w:val="24"/>
        </w:rPr>
        <w:t>1</w:t>
      </w:r>
      <w:r w:rsidRPr="00CD2DB1">
        <w:rPr>
          <w:rFonts w:eastAsiaTheme="minorEastAsia" w:hint="eastAsia"/>
          <w:color w:val="000000"/>
          <w:sz w:val="24"/>
          <w:szCs w:val="24"/>
        </w:rPr>
        <w:t>号保利国际广场南塔</w:t>
      </w:r>
      <w:r w:rsidRPr="00CD2DB1">
        <w:rPr>
          <w:rFonts w:eastAsiaTheme="minorEastAsia" w:hint="eastAsia"/>
          <w:color w:val="000000"/>
          <w:sz w:val="24"/>
          <w:szCs w:val="24"/>
        </w:rPr>
        <w:t>31-33</w:t>
      </w:r>
      <w:r w:rsidRPr="00CD2DB1">
        <w:rPr>
          <w:rFonts w:eastAsiaTheme="minorEastAsia" w:hint="eastAsia"/>
          <w:color w:val="000000"/>
          <w:sz w:val="24"/>
          <w:szCs w:val="24"/>
        </w:rPr>
        <w:t>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查阅方式</w:t>
      </w:r>
    </w:p>
    <w:p w:rsidR="00EE2D62" w:rsidRDefault="00A65032">
      <w:pPr>
        <w:spacing w:line="360" w:lineRule="auto"/>
        <w:ind w:firstLineChars="200" w:firstLine="480"/>
        <w:rPr>
          <w:rFonts w:eastAsiaTheme="minorEastAsia"/>
          <w:color w:val="000000"/>
          <w:sz w:val="24"/>
          <w:szCs w:val="24"/>
        </w:rPr>
      </w:pPr>
      <w:r>
        <w:rPr>
          <w:rFonts w:eastAsiaTheme="minorEastAsia" w:hint="eastAsia"/>
          <w:color w:val="000000"/>
          <w:sz w:val="24"/>
          <w:szCs w:val="24"/>
        </w:rPr>
        <w:t>1.</w:t>
      </w:r>
      <w:r>
        <w:rPr>
          <w:rFonts w:eastAsiaTheme="minorEastAsia" w:hint="eastAsia"/>
          <w:color w:val="000000"/>
          <w:sz w:val="24"/>
          <w:szCs w:val="24"/>
        </w:rPr>
        <w:t>书面查阅：查阅时间为每工作日</w:t>
      </w:r>
      <w:r>
        <w:rPr>
          <w:rFonts w:eastAsiaTheme="minorEastAsia" w:hint="eastAsia"/>
          <w:color w:val="000000"/>
          <w:sz w:val="24"/>
          <w:szCs w:val="24"/>
        </w:rPr>
        <w:t>8:30-11:30</w:t>
      </w:r>
      <w:r>
        <w:rPr>
          <w:rFonts w:eastAsiaTheme="minorEastAsia" w:hint="eastAsia"/>
          <w:color w:val="000000"/>
          <w:sz w:val="24"/>
          <w:szCs w:val="24"/>
        </w:rPr>
        <w:t>，</w:t>
      </w:r>
      <w:r>
        <w:rPr>
          <w:rFonts w:eastAsiaTheme="minorEastAsia" w:hint="eastAsia"/>
          <w:color w:val="000000"/>
          <w:sz w:val="24"/>
          <w:szCs w:val="24"/>
        </w:rPr>
        <w:t>13:30-17:00</w:t>
      </w:r>
      <w:r>
        <w:rPr>
          <w:rFonts w:eastAsiaTheme="minorEastAsia" w:hint="eastAsia"/>
          <w:color w:val="000000"/>
          <w:sz w:val="24"/>
          <w:szCs w:val="24"/>
        </w:rPr>
        <w:t>。投资者可免费查阅，也可按工本费购买复印件；</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2.</w:t>
      </w:r>
      <w:r w:rsidRPr="00CD2DB1">
        <w:rPr>
          <w:rFonts w:eastAsiaTheme="minorEastAsia" w:hint="eastAsia"/>
          <w:color w:val="000000"/>
          <w:sz w:val="24"/>
          <w:szCs w:val="24"/>
        </w:rPr>
        <w:t>网站查阅：基金管理人网址：</w:t>
      </w:r>
      <w:r w:rsidRPr="00CD2DB1">
        <w:rPr>
          <w:rFonts w:eastAsiaTheme="minorEastAsia" w:hint="eastAsia"/>
          <w:color w:val="000000"/>
          <w:sz w:val="24"/>
          <w:szCs w:val="24"/>
        </w:rPr>
        <w:t>http://www.gffunds.com.cn</w:t>
      </w:r>
      <w:r w:rsidRPr="00CD2DB1">
        <w:rPr>
          <w:rFonts w:eastAsiaTheme="minorEastAsia" w:hint="eastAsia"/>
          <w:color w:val="000000"/>
          <w:sz w:val="24"/>
          <w:szCs w:val="24"/>
        </w:rPr>
        <w:t>。</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二〇一九年一月十九日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38" w:rsidRDefault="000E4E38" w:rsidP="00876D65">
      <w:r>
        <w:separator/>
      </w:r>
    </w:p>
  </w:endnote>
  <w:endnote w:type="continuationSeparator" w:id="1">
    <w:p w:rsidR="000E4E38" w:rsidRDefault="000E4E3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EE2D62" w:rsidRPr="00EE2D62">
      <w:fldChar w:fldCharType="begin"/>
    </w:r>
    <w:r>
      <w:instrText xml:space="preserve"> PAGE   \* MERGEFORMAT </w:instrText>
    </w:r>
    <w:r w:rsidR="00EE2D62" w:rsidRPr="00EE2D62">
      <w:fldChar w:fldCharType="separate"/>
    </w:r>
    <w:r w:rsidR="00A65032" w:rsidRPr="00A65032">
      <w:rPr>
        <w:noProof/>
        <w:lang w:val="zh-CN"/>
      </w:rPr>
      <w:t>1</w:t>
    </w:r>
    <w:r w:rsidR="00EE2D62">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EE2D62">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A65032">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38" w:rsidRDefault="000E4E38" w:rsidP="00876D65">
      <w:r>
        <w:separator/>
      </w:r>
    </w:p>
  </w:footnote>
  <w:footnote w:type="continuationSeparator" w:id="1">
    <w:p w:rsidR="000E4E38" w:rsidRDefault="000E4E3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广发中证全指主要消费交易型开放式指数证券投资基金</w:t>
    </w:r>
    <w:r w:rsidRPr="007120CC">
      <w:rPr>
        <w:rFonts w:hint="eastAsia"/>
      </w:rPr>
      <w:t>2018</w:t>
    </w:r>
    <w:r w:rsidRPr="007120CC">
      <w:rPr>
        <w:rFonts w:hint="eastAsia"/>
      </w:rPr>
      <w:t>年第</w:t>
    </w:r>
    <w:r w:rsidRPr="007120CC">
      <w:rPr>
        <w:rFonts w:hint="eastAsia"/>
      </w:rPr>
      <w:t>4</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1775D"/>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E4E38"/>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70E2"/>
    <w:rsid w:val="00352719"/>
    <w:rsid w:val="0035422F"/>
    <w:rsid w:val="00355364"/>
    <w:rsid w:val="00364CCB"/>
    <w:rsid w:val="00374488"/>
    <w:rsid w:val="0039085F"/>
    <w:rsid w:val="00394069"/>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5032"/>
    <w:rsid w:val="00A66F42"/>
    <w:rsid w:val="00A71882"/>
    <w:rsid w:val="00A76625"/>
    <w:rsid w:val="00A83500"/>
    <w:rsid w:val="00A90049"/>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E2D62"/>
    <w:rsid w:val="00EF17AB"/>
    <w:rsid w:val="00EF6FA5"/>
    <w:rsid w:val="00F04C00"/>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96-360D-4540-97E9-3DBB971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4</DocSecurity>
  <Lines>51</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2019-01-18T16:14:00Z</dcterms:created>
  <dcterms:modified xsi:type="dcterms:W3CDTF">2019-01-18T16:14:00Z</dcterms:modified>
</cp:coreProperties>
</file>