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82" w:rsidRDefault="009C4304">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海富通富睿混合型证券投资基金暂停大额申购和转换转入业务的公告</w:t>
      </w:r>
    </w:p>
    <w:p w:rsidR="00844882" w:rsidRDefault="009C4304">
      <w:pPr>
        <w:spacing w:line="560" w:lineRule="exact"/>
        <w:jc w:val="center"/>
        <w:rPr>
          <w:rFonts w:asciiTheme="minorEastAsia" w:eastAsiaTheme="minorEastAsia" w:hAnsiTheme="minorEastAsia" w:cs="宋体"/>
          <w:bCs/>
          <w:sz w:val="24"/>
          <w:szCs w:val="24"/>
        </w:rPr>
      </w:pPr>
      <w:r>
        <w:rPr>
          <w:rFonts w:asciiTheme="minorEastAsia" w:eastAsiaTheme="minorEastAsia" w:hAnsiTheme="minorEastAsia"/>
          <w:color w:val="000000"/>
          <w:sz w:val="24"/>
          <w:szCs w:val="24"/>
        </w:rPr>
        <w:t>公告送出日期：</w:t>
      </w:r>
      <w:r>
        <w:rPr>
          <w:rFonts w:asciiTheme="minorEastAsia" w:eastAsiaTheme="minorEastAsia" w:hAnsiTheme="minorEastAsia" w:cs="宋体"/>
          <w:bCs/>
          <w:sz w:val="24"/>
          <w:szCs w:val="24"/>
        </w:rPr>
        <w:t>2019年1月9日</w:t>
      </w:r>
    </w:p>
    <w:p w:rsidR="00844882" w:rsidRDefault="00844882">
      <w:pPr>
        <w:spacing w:line="560" w:lineRule="exact"/>
        <w:jc w:val="center"/>
        <w:rPr>
          <w:rFonts w:asciiTheme="minorEastAsia" w:eastAsiaTheme="minorEastAsia" w:hAnsiTheme="minorEastAsia"/>
          <w:color w:val="000000"/>
          <w:sz w:val="24"/>
          <w:szCs w:val="24"/>
        </w:rPr>
      </w:pPr>
    </w:p>
    <w:p w:rsidR="00844882" w:rsidRDefault="009C4304">
      <w:pPr>
        <w:pStyle w:val="2"/>
        <w:spacing w:line="560" w:lineRule="exact"/>
        <w:rPr>
          <w:rFonts w:asciiTheme="minorEastAsia" w:eastAsiaTheme="minorEastAsia" w:hAnsiTheme="minorEastAsia"/>
          <w:bCs w:val="0"/>
          <w:color w:val="000000"/>
          <w:sz w:val="24"/>
          <w:szCs w:val="24"/>
        </w:rPr>
      </w:pPr>
      <w:bookmarkStart w:id="0" w:name="_Toc275961405"/>
      <w:r>
        <w:rPr>
          <w:rFonts w:asciiTheme="minorEastAsia" w:eastAsiaTheme="minorEastAsia" w:hAnsiTheme="minorEastAsia"/>
          <w:bCs w:val="0"/>
          <w:color w:val="000000"/>
          <w:sz w:val="24"/>
          <w:szCs w:val="24"/>
        </w:rPr>
        <w:t>1 公告基本信息</w:t>
      </w:r>
      <w:bookmarkEnd w:id="0"/>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4"/>
        <w:gridCol w:w="3085"/>
        <w:gridCol w:w="21"/>
        <w:gridCol w:w="3387"/>
        <w:gridCol w:w="41"/>
      </w:tblGrid>
      <w:tr w:rsidR="00844882">
        <w:trPr>
          <w:gridAfter w:val="1"/>
          <w:wAfter w:w="41" w:type="dxa"/>
          <w:jc w:val="center"/>
        </w:trPr>
        <w:tc>
          <w:tcPr>
            <w:tcW w:w="3077" w:type="dxa"/>
          </w:tcPr>
          <w:p w:rsidR="00844882" w:rsidRDefault="009C4304">
            <w:pPr>
              <w:spacing w:line="560" w:lineRule="exact"/>
              <w:rPr>
                <w:rFonts w:asciiTheme="minorEastAsia" w:eastAsiaTheme="minorEastAsia" w:hAnsiTheme="minorEastAsia"/>
                <w:color w:val="000000"/>
                <w:sz w:val="24"/>
                <w:szCs w:val="24"/>
                <w:highlight w:val="cyan"/>
              </w:rPr>
            </w:pPr>
            <w:r>
              <w:rPr>
                <w:rFonts w:asciiTheme="minorEastAsia" w:eastAsiaTheme="minorEastAsia" w:hAnsiTheme="minorEastAsia"/>
                <w:color w:val="000000"/>
                <w:sz w:val="24"/>
                <w:szCs w:val="24"/>
              </w:rPr>
              <w:t>基金名称</w:t>
            </w:r>
          </w:p>
        </w:tc>
        <w:tc>
          <w:tcPr>
            <w:tcW w:w="6521" w:type="dxa"/>
            <w:gridSpan w:val="3"/>
            <w:vAlign w:val="center"/>
          </w:tcPr>
          <w:p w:rsidR="00844882" w:rsidRDefault="009C4304">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海富通富睿混合型证券投资基金</w:t>
            </w:r>
          </w:p>
        </w:tc>
      </w:tr>
      <w:tr w:rsidR="00844882">
        <w:trPr>
          <w:gridAfter w:val="1"/>
          <w:wAfter w:w="41" w:type="dxa"/>
          <w:jc w:val="center"/>
        </w:trPr>
        <w:tc>
          <w:tcPr>
            <w:tcW w:w="3077" w:type="dxa"/>
          </w:tcPr>
          <w:p w:rsidR="00844882" w:rsidRDefault="009C4304">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基金简称</w:t>
            </w:r>
          </w:p>
        </w:tc>
        <w:tc>
          <w:tcPr>
            <w:tcW w:w="6521" w:type="dxa"/>
            <w:gridSpan w:val="3"/>
            <w:vAlign w:val="center"/>
          </w:tcPr>
          <w:p w:rsidR="00844882" w:rsidRDefault="009C4304">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海富通富睿混合</w:t>
            </w:r>
          </w:p>
        </w:tc>
      </w:tr>
      <w:tr w:rsidR="00844882">
        <w:trPr>
          <w:gridAfter w:val="1"/>
          <w:wAfter w:w="41" w:type="dxa"/>
          <w:jc w:val="center"/>
        </w:trPr>
        <w:tc>
          <w:tcPr>
            <w:tcW w:w="3077" w:type="dxa"/>
            <w:vAlign w:val="center"/>
          </w:tcPr>
          <w:p w:rsidR="00844882" w:rsidRDefault="009C4304">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基金主代码</w:t>
            </w:r>
          </w:p>
        </w:tc>
        <w:tc>
          <w:tcPr>
            <w:tcW w:w="6521" w:type="dxa"/>
            <w:gridSpan w:val="3"/>
            <w:vAlign w:val="center"/>
          </w:tcPr>
          <w:p w:rsidR="00844882" w:rsidRDefault="009C4304">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004512</w:t>
            </w:r>
          </w:p>
        </w:tc>
      </w:tr>
      <w:tr w:rsidR="00844882">
        <w:trPr>
          <w:gridAfter w:val="1"/>
          <w:wAfter w:w="41" w:type="dxa"/>
          <w:jc w:val="center"/>
        </w:trPr>
        <w:tc>
          <w:tcPr>
            <w:tcW w:w="3077" w:type="dxa"/>
          </w:tcPr>
          <w:p w:rsidR="00844882" w:rsidRDefault="009C4304">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基金管理人名称</w:t>
            </w:r>
          </w:p>
        </w:tc>
        <w:tc>
          <w:tcPr>
            <w:tcW w:w="6521" w:type="dxa"/>
            <w:gridSpan w:val="3"/>
            <w:vAlign w:val="center"/>
          </w:tcPr>
          <w:p w:rsidR="00844882" w:rsidRDefault="009C4304">
            <w:pPr>
              <w:rPr>
                <w:rFonts w:asciiTheme="minorEastAsia" w:eastAsiaTheme="minorEastAsia" w:hAnsiTheme="minorEastAsia"/>
                <w:sz w:val="24"/>
                <w:szCs w:val="24"/>
              </w:rPr>
            </w:pPr>
            <w:r>
              <w:rPr>
                <w:rFonts w:asciiTheme="minorEastAsia" w:eastAsiaTheme="minorEastAsia" w:hAnsiTheme="minorEastAsia"/>
                <w:sz w:val="24"/>
                <w:szCs w:val="24"/>
              </w:rPr>
              <w:t>海富通基金管理有限公司</w:t>
            </w:r>
          </w:p>
        </w:tc>
      </w:tr>
      <w:tr w:rsidR="00844882">
        <w:trPr>
          <w:gridAfter w:val="1"/>
          <w:wAfter w:w="41" w:type="dxa"/>
          <w:jc w:val="center"/>
        </w:trPr>
        <w:tc>
          <w:tcPr>
            <w:tcW w:w="3077" w:type="dxa"/>
          </w:tcPr>
          <w:p w:rsidR="00844882" w:rsidRDefault="009C4304">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公告依据</w:t>
            </w:r>
          </w:p>
        </w:tc>
        <w:tc>
          <w:tcPr>
            <w:tcW w:w="6521" w:type="dxa"/>
            <w:gridSpan w:val="3"/>
            <w:vAlign w:val="center"/>
          </w:tcPr>
          <w:p w:rsidR="00844882" w:rsidRDefault="009C4304">
            <w:pPr>
              <w:rPr>
                <w:rFonts w:asciiTheme="minorEastAsia" w:eastAsiaTheme="minorEastAsia" w:hAnsiTheme="minorEastAsia"/>
                <w:sz w:val="24"/>
                <w:szCs w:val="24"/>
              </w:rPr>
            </w:pPr>
            <w:r>
              <w:rPr>
                <w:rFonts w:asciiTheme="minorEastAsia" w:eastAsiaTheme="minorEastAsia" w:hAnsiTheme="minorEastAsia"/>
                <w:sz w:val="24"/>
                <w:szCs w:val="24"/>
              </w:rPr>
              <w:t>根据《证券投资基金信息披露管理办法》等法律法规和《海富通富睿混合型证券投资基金基金合同》、《海富通富睿混合型证券投资基金更新招募说明书》的规定</w:t>
            </w:r>
          </w:p>
        </w:tc>
      </w:tr>
      <w:tr w:rsidR="00844882">
        <w:trPr>
          <w:gridAfter w:val="1"/>
          <w:wAfter w:w="41" w:type="dxa"/>
          <w:jc w:val="center"/>
        </w:trPr>
        <w:tc>
          <w:tcPr>
            <w:tcW w:w="3077" w:type="dxa"/>
            <w:vMerge w:val="restart"/>
            <w:vAlign w:val="center"/>
          </w:tcPr>
          <w:p w:rsidR="00844882" w:rsidRDefault="00844882">
            <w:pPr>
              <w:spacing w:line="560" w:lineRule="exact"/>
              <w:rPr>
                <w:rFonts w:asciiTheme="minorEastAsia" w:eastAsiaTheme="minorEastAsia" w:hAnsiTheme="minorEastAsia"/>
                <w:color w:val="000000"/>
                <w:sz w:val="24"/>
                <w:szCs w:val="24"/>
              </w:rPr>
            </w:pPr>
          </w:p>
          <w:p w:rsidR="00844882" w:rsidRDefault="009C4304">
            <w:r>
              <w:rPr>
                <w:rFonts w:asciiTheme="minorEastAsia" w:eastAsiaTheme="minorEastAsia" w:hAnsiTheme="minorEastAsia"/>
                <w:color w:val="000000"/>
                <w:sz w:val="24"/>
                <w:szCs w:val="24"/>
              </w:rPr>
              <w:t>暂停相关业务的起始日、金额及原因说明</w:t>
            </w:r>
          </w:p>
        </w:tc>
        <w:tc>
          <w:tcPr>
            <w:tcW w:w="3098" w:type="dxa"/>
          </w:tcPr>
          <w:p w:rsidR="00844882" w:rsidRDefault="009C4304">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暂停大额申购起始日</w:t>
            </w:r>
          </w:p>
        </w:tc>
        <w:tc>
          <w:tcPr>
            <w:tcW w:w="3423" w:type="dxa"/>
            <w:gridSpan w:val="2"/>
            <w:vAlign w:val="center"/>
          </w:tcPr>
          <w:p w:rsidR="00844882" w:rsidRDefault="009C4304">
            <w:pPr>
              <w:rPr>
                <w:rFonts w:asciiTheme="minorEastAsia" w:eastAsiaTheme="minorEastAsia" w:hAnsiTheme="minorEastAsia"/>
                <w:sz w:val="24"/>
                <w:szCs w:val="24"/>
              </w:rPr>
            </w:pPr>
            <w:r>
              <w:rPr>
                <w:rFonts w:asciiTheme="minorEastAsia" w:eastAsiaTheme="minorEastAsia" w:hAnsiTheme="minorEastAsia" w:hint="eastAsia"/>
                <w:sz w:val="24"/>
                <w:szCs w:val="24"/>
              </w:rPr>
              <w:t>2019年1月9日</w:t>
            </w:r>
          </w:p>
        </w:tc>
      </w:tr>
      <w:tr w:rsidR="00844882">
        <w:trPr>
          <w:gridAfter w:val="1"/>
          <w:wAfter w:w="41" w:type="dxa"/>
          <w:jc w:val="center"/>
        </w:trPr>
        <w:tc>
          <w:tcPr>
            <w:tcW w:w="3077" w:type="dxa"/>
            <w:vMerge/>
          </w:tcPr>
          <w:p w:rsidR="00844882" w:rsidRDefault="00844882">
            <w:pPr>
              <w:spacing w:line="560" w:lineRule="exact"/>
              <w:rPr>
                <w:rFonts w:asciiTheme="minorEastAsia" w:eastAsiaTheme="minorEastAsia" w:hAnsiTheme="minorEastAsia"/>
                <w:color w:val="000000"/>
                <w:sz w:val="24"/>
                <w:szCs w:val="24"/>
              </w:rPr>
            </w:pPr>
          </w:p>
        </w:tc>
        <w:tc>
          <w:tcPr>
            <w:tcW w:w="3098" w:type="dxa"/>
          </w:tcPr>
          <w:p w:rsidR="00844882" w:rsidRDefault="009C4304">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暂停大额转换转入起始日</w:t>
            </w:r>
          </w:p>
        </w:tc>
        <w:tc>
          <w:tcPr>
            <w:tcW w:w="3423" w:type="dxa"/>
            <w:gridSpan w:val="2"/>
            <w:vAlign w:val="center"/>
          </w:tcPr>
          <w:p w:rsidR="00844882" w:rsidRDefault="009C4304">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2019年1月9日</w:t>
            </w:r>
          </w:p>
        </w:tc>
      </w:tr>
      <w:tr w:rsidR="00844882">
        <w:trPr>
          <w:gridAfter w:val="1"/>
          <w:wAfter w:w="41" w:type="dxa"/>
          <w:jc w:val="center"/>
        </w:trPr>
        <w:tc>
          <w:tcPr>
            <w:tcW w:w="3077" w:type="dxa"/>
            <w:vMerge/>
          </w:tcPr>
          <w:p w:rsidR="00844882" w:rsidRDefault="00844882">
            <w:pPr>
              <w:spacing w:line="560" w:lineRule="exact"/>
              <w:rPr>
                <w:rFonts w:asciiTheme="minorEastAsia" w:eastAsiaTheme="minorEastAsia" w:hAnsiTheme="minorEastAsia"/>
                <w:color w:val="000000"/>
                <w:sz w:val="24"/>
                <w:szCs w:val="24"/>
              </w:rPr>
            </w:pPr>
          </w:p>
        </w:tc>
        <w:tc>
          <w:tcPr>
            <w:tcW w:w="3098" w:type="dxa"/>
          </w:tcPr>
          <w:p w:rsidR="00844882" w:rsidRDefault="009C4304">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限制申购金额（单位：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color w:val="000000"/>
                <w:sz w:val="24"/>
                <w:szCs w:val="24"/>
              </w:rPr>
              <w:t xml:space="preserve"> ）</w:t>
            </w:r>
          </w:p>
        </w:tc>
        <w:tc>
          <w:tcPr>
            <w:tcW w:w="3423" w:type="dxa"/>
            <w:gridSpan w:val="2"/>
            <w:vAlign w:val="center"/>
          </w:tcPr>
          <w:p w:rsidR="00844882" w:rsidRDefault="00CF4F12">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5,000,000.00</w:t>
            </w:r>
          </w:p>
        </w:tc>
      </w:tr>
      <w:tr w:rsidR="00844882">
        <w:trPr>
          <w:gridAfter w:val="1"/>
          <w:wAfter w:w="41" w:type="dxa"/>
          <w:jc w:val="center"/>
        </w:trPr>
        <w:tc>
          <w:tcPr>
            <w:tcW w:w="3077" w:type="dxa"/>
            <w:vMerge/>
          </w:tcPr>
          <w:p w:rsidR="00844882" w:rsidRDefault="00844882">
            <w:pPr>
              <w:spacing w:line="560" w:lineRule="exact"/>
              <w:rPr>
                <w:rFonts w:asciiTheme="minorEastAsia" w:eastAsiaTheme="minorEastAsia" w:hAnsiTheme="minorEastAsia"/>
                <w:color w:val="000000"/>
                <w:sz w:val="24"/>
                <w:szCs w:val="24"/>
              </w:rPr>
            </w:pPr>
          </w:p>
        </w:tc>
        <w:tc>
          <w:tcPr>
            <w:tcW w:w="3098" w:type="dxa"/>
          </w:tcPr>
          <w:p w:rsidR="00844882" w:rsidRDefault="009C4304">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限制转换转入金额（单位：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color w:val="000000"/>
                <w:sz w:val="24"/>
                <w:szCs w:val="24"/>
              </w:rPr>
              <w:t xml:space="preserve"> ）</w:t>
            </w:r>
          </w:p>
        </w:tc>
        <w:tc>
          <w:tcPr>
            <w:tcW w:w="3423" w:type="dxa"/>
            <w:gridSpan w:val="2"/>
            <w:vAlign w:val="center"/>
          </w:tcPr>
          <w:p w:rsidR="00844882" w:rsidRDefault="00CF4F12">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5,000,000.00</w:t>
            </w:r>
          </w:p>
        </w:tc>
      </w:tr>
      <w:tr w:rsidR="00844882">
        <w:trPr>
          <w:gridAfter w:val="1"/>
          <w:wAfter w:w="41" w:type="dxa"/>
          <w:jc w:val="center"/>
        </w:trPr>
        <w:tc>
          <w:tcPr>
            <w:tcW w:w="3077" w:type="dxa"/>
            <w:vMerge w:val="restart"/>
          </w:tcPr>
          <w:p w:rsidR="00844882" w:rsidRDefault="00844882">
            <w:pPr>
              <w:spacing w:line="560" w:lineRule="exact"/>
              <w:rPr>
                <w:rFonts w:asciiTheme="minorEastAsia" w:eastAsiaTheme="minorEastAsia" w:hAnsiTheme="minorEastAsia"/>
                <w:color w:val="000000"/>
                <w:sz w:val="24"/>
                <w:szCs w:val="24"/>
              </w:rPr>
            </w:pPr>
          </w:p>
          <w:p w:rsidR="00844882" w:rsidRDefault="00844882"/>
        </w:tc>
        <w:tc>
          <w:tcPr>
            <w:tcW w:w="3098" w:type="dxa"/>
          </w:tcPr>
          <w:p w:rsidR="00844882" w:rsidRDefault="009C4304">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暂停（大额）申购（转换转入、赎回、转换转出、定期定额投资）的原因说明</w:t>
            </w:r>
          </w:p>
        </w:tc>
        <w:tc>
          <w:tcPr>
            <w:tcW w:w="3423" w:type="dxa"/>
            <w:gridSpan w:val="2"/>
          </w:tcPr>
          <w:p w:rsidR="00844882" w:rsidRDefault="009C4304">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为保护基金份额持有人利益</w:t>
            </w:r>
          </w:p>
        </w:tc>
      </w:tr>
      <w:tr w:rsidR="00844882">
        <w:trPr>
          <w:jc w:val="center"/>
        </w:trPr>
        <w:tc>
          <w:tcPr>
            <w:tcW w:w="3077" w:type="dxa"/>
            <w:vAlign w:val="center"/>
          </w:tcPr>
          <w:p w:rsidR="00844882" w:rsidRDefault="009C4304">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下属分级基金的基金简称</w:t>
            </w:r>
          </w:p>
        </w:tc>
        <w:tc>
          <w:tcPr>
            <w:tcW w:w="3119" w:type="dxa"/>
            <w:gridSpan w:val="2"/>
            <w:vAlign w:val="center"/>
          </w:tcPr>
          <w:p w:rsidR="00844882" w:rsidRDefault="009C4304">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海富通富睿混合A</w:t>
            </w:r>
          </w:p>
        </w:tc>
        <w:tc>
          <w:tcPr>
            <w:tcW w:w="3443" w:type="dxa"/>
            <w:gridSpan w:val="2"/>
            <w:vAlign w:val="center"/>
          </w:tcPr>
          <w:p w:rsidR="00844882" w:rsidRDefault="009C4304">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海富通富睿混合C</w:t>
            </w:r>
          </w:p>
        </w:tc>
      </w:tr>
      <w:tr w:rsidR="00844882">
        <w:trPr>
          <w:jc w:val="center"/>
        </w:trPr>
        <w:tc>
          <w:tcPr>
            <w:tcW w:w="3077" w:type="dxa"/>
            <w:vAlign w:val="center"/>
          </w:tcPr>
          <w:p w:rsidR="00844882" w:rsidRDefault="009C4304">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下属分级基金的交易代码</w:t>
            </w:r>
          </w:p>
        </w:tc>
        <w:tc>
          <w:tcPr>
            <w:tcW w:w="3119" w:type="dxa"/>
            <w:gridSpan w:val="2"/>
            <w:vAlign w:val="center"/>
          </w:tcPr>
          <w:p w:rsidR="00844882" w:rsidRDefault="009C4304">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004513</w:t>
            </w:r>
          </w:p>
        </w:tc>
        <w:tc>
          <w:tcPr>
            <w:tcW w:w="3443" w:type="dxa"/>
            <w:gridSpan w:val="2"/>
            <w:vAlign w:val="center"/>
          </w:tcPr>
          <w:p w:rsidR="00844882" w:rsidRDefault="009C4304">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004512</w:t>
            </w:r>
          </w:p>
        </w:tc>
      </w:tr>
      <w:tr w:rsidR="00844882">
        <w:trPr>
          <w:jc w:val="center"/>
        </w:trPr>
        <w:tc>
          <w:tcPr>
            <w:tcW w:w="3077" w:type="dxa"/>
          </w:tcPr>
          <w:p w:rsidR="00844882" w:rsidRDefault="009C4304">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该分级基金是否暂停（大额）申购（转换转入、赎回、</w:t>
            </w:r>
            <w:r>
              <w:rPr>
                <w:rFonts w:asciiTheme="minorEastAsia" w:eastAsiaTheme="minorEastAsia" w:hAnsiTheme="minorEastAsia"/>
                <w:color w:val="000000"/>
                <w:sz w:val="24"/>
                <w:szCs w:val="24"/>
              </w:rPr>
              <w:lastRenderedPageBreak/>
              <w:t>转换转出、定期定额投资）</w:t>
            </w:r>
          </w:p>
        </w:tc>
        <w:tc>
          <w:tcPr>
            <w:tcW w:w="3119" w:type="dxa"/>
            <w:gridSpan w:val="2"/>
            <w:vAlign w:val="center"/>
          </w:tcPr>
          <w:p w:rsidR="00844882" w:rsidRDefault="00054972">
            <w:pPr>
              <w:spacing w:line="560" w:lineRule="exact"/>
              <w:rPr>
                <w:rFonts w:asciiTheme="minorEastAsia" w:eastAsiaTheme="minorEastAsia" w:hAnsiTheme="minorEastAsia"/>
                <w:sz w:val="24"/>
                <w:szCs w:val="24"/>
              </w:rPr>
            </w:pPr>
            <w:r w:rsidRPr="00054972">
              <w:rPr>
                <w:rFonts w:asciiTheme="minorEastAsia" w:eastAsiaTheme="minorEastAsia" w:hAnsiTheme="minorEastAsia" w:hint="eastAsia"/>
                <w:sz w:val="24"/>
                <w:szCs w:val="24"/>
              </w:rPr>
              <w:lastRenderedPageBreak/>
              <w:t>暂停大额申购、转换转入</w:t>
            </w:r>
          </w:p>
        </w:tc>
        <w:tc>
          <w:tcPr>
            <w:tcW w:w="3443" w:type="dxa"/>
            <w:gridSpan w:val="2"/>
            <w:vAlign w:val="center"/>
          </w:tcPr>
          <w:p w:rsidR="00844882" w:rsidRDefault="00054972">
            <w:pPr>
              <w:spacing w:line="560" w:lineRule="exact"/>
              <w:rPr>
                <w:rFonts w:asciiTheme="minorEastAsia" w:eastAsiaTheme="minorEastAsia" w:hAnsiTheme="minorEastAsia"/>
                <w:sz w:val="24"/>
                <w:szCs w:val="24"/>
              </w:rPr>
            </w:pPr>
            <w:r w:rsidRPr="00054972">
              <w:rPr>
                <w:rFonts w:asciiTheme="minorEastAsia" w:eastAsiaTheme="minorEastAsia" w:hAnsiTheme="minorEastAsia" w:hint="eastAsia"/>
                <w:sz w:val="24"/>
                <w:szCs w:val="24"/>
              </w:rPr>
              <w:t>暂停大额申购、转换转入</w:t>
            </w:r>
          </w:p>
        </w:tc>
      </w:tr>
      <w:tr w:rsidR="00844882">
        <w:trPr>
          <w:jc w:val="center"/>
        </w:trPr>
        <w:tc>
          <w:tcPr>
            <w:tcW w:w="3077" w:type="dxa"/>
          </w:tcPr>
          <w:p w:rsidR="00844882" w:rsidRDefault="009C4304">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lastRenderedPageBreak/>
              <w:t>下属分级基金的限制申购金额（单位：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color w:val="000000"/>
                <w:sz w:val="24"/>
                <w:szCs w:val="24"/>
              </w:rPr>
              <w:t xml:space="preserve"> ）</w:t>
            </w:r>
          </w:p>
        </w:tc>
        <w:tc>
          <w:tcPr>
            <w:tcW w:w="3119" w:type="dxa"/>
            <w:gridSpan w:val="2"/>
            <w:vAlign w:val="center"/>
          </w:tcPr>
          <w:p w:rsidR="00844882" w:rsidRDefault="009C4304">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5,000,000.00</w:t>
            </w:r>
          </w:p>
        </w:tc>
        <w:tc>
          <w:tcPr>
            <w:tcW w:w="3443" w:type="dxa"/>
            <w:gridSpan w:val="2"/>
            <w:vAlign w:val="center"/>
          </w:tcPr>
          <w:p w:rsidR="00844882" w:rsidRDefault="009C4304">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5,000,000.00</w:t>
            </w:r>
          </w:p>
        </w:tc>
      </w:tr>
      <w:tr w:rsidR="00844882">
        <w:trPr>
          <w:jc w:val="center"/>
        </w:trPr>
        <w:tc>
          <w:tcPr>
            <w:tcW w:w="3077" w:type="dxa"/>
          </w:tcPr>
          <w:p w:rsidR="00844882" w:rsidRDefault="009C4304">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下属分级基金的限制转换转入金额（单位： </w:t>
            </w:r>
            <w:r>
              <w:rPr>
                <w:rFonts w:asciiTheme="minorEastAsia" w:eastAsiaTheme="minorEastAsia" w:hAnsiTheme="minorEastAsia" w:hint="eastAsia"/>
                <w:color w:val="000000"/>
                <w:kern w:val="0"/>
                <w:sz w:val="24"/>
                <w:szCs w:val="24"/>
              </w:rPr>
              <w:t>元</w:t>
            </w:r>
            <w:r>
              <w:rPr>
                <w:rFonts w:asciiTheme="minorEastAsia" w:eastAsiaTheme="minorEastAsia" w:hAnsiTheme="minorEastAsia"/>
                <w:color w:val="000000"/>
                <w:sz w:val="24"/>
                <w:szCs w:val="24"/>
              </w:rPr>
              <w:t>）</w:t>
            </w:r>
          </w:p>
        </w:tc>
        <w:tc>
          <w:tcPr>
            <w:tcW w:w="3119" w:type="dxa"/>
            <w:gridSpan w:val="2"/>
            <w:vAlign w:val="center"/>
          </w:tcPr>
          <w:p w:rsidR="00844882" w:rsidRDefault="009C4304">
            <w:pPr>
              <w:rPr>
                <w:rFonts w:asciiTheme="minorEastAsia" w:eastAsiaTheme="minorEastAsia" w:hAnsiTheme="minorEastAsia"/>
                <w:sz w:val="24"/>
                <w:szCs w:val="24"/>
              </w:rPr>
            </w:pPr>
            <w:r>
              <w:rPr>
                <w:rFonts w:asciiTheme="minorEastAsia" w:eastAsiaTheme="minorEastAsia" w:hAnsiTheme="minorEastAsia" w:hint="eastAsia"/>
                <w:sz w:val="24"/>
                <w:szCs w:val="24"/>
              </w:rPr>
              <w:t>5,000,000.00</w:t>
            </w:r>
          </w:p>
        </w:tc>
        <w:tc>
          <w:tcPr>
            <w:tcW w:w="3443" w:type="dxa"/>
            <w:gridSpan w:val="2"/>
            <w:vAlign w:val="center"/>
          </w:tcPr>
          <w:p w:rsidR="00844882" w:rsidRDefault="009C4304">
            <w:pPr>
              <w:rPr>
                <w:rFonts w:asciiTheme="minorEastAsia" w:eastAsiaTheme="minorEastAsia" w:hAnsiTheme="minorEastAsia"/>
                <w:sz w:val="24"/>
                <w:szCs w:val="24"/>
              </w:rPr>
            </w:pPr>
            <w:r>
              <w:rPr>
                <w:rFonts w:asciiTheme="minorEastAsia" w:eastAsiaTheme="minorEastAsia" w:hAnsiTheme="minorEastAsia" w:hint="eastAsia"/>
                <w:sz w:val="24"/>
                <w:szCs w:val="24"/>
              </w:rPr>
              <w:t>5,000,000.00</w:t>
            </w:r>
          </w:p>
        </w:tc>
      </w:tr>
    </w:tbl>
    <w:p w:rsidR="00844882" w:rsidRDefault="009C4304">
      <w:pPr>
        <w:pStyle w:val="2"/>
        <w:spacing w:line="560" w:lineRule="exact"/>
        <w:rPr>
          <w:rFonts w:asciiTheme="minorEastAsia" w:eastAsiaTheme="minorEastAsia" w:hAnsiTheme="minorEastAsia"/>
          <w:bCs w:val="0"/>
          <w:color w:val="000000"/>
          <w:sz w:val="24"/>
          <w:szCs w:val="24"/>
        </w:rPr>
      </w:pPr>
      <w:bookmarkStart w:id="1" w:name="_Toc275961406"/>
      <w:r>
        <w:rPr>
          <w:rFonts w:asciiTheme="minorEastAsia" w:eastAsiaTheme="minorEastAsia" w:hAnsiTheme="minorEastAsia"/>
          <w:bCs w:val="0"/>
          <w:color w:val="000000"/>
          <w:sz w:val="24"/>
          <w:szCs w:val="24"/>
        </w:rPr>
        <w:t>2其他需要提示的事项</w:t>
      </w:r>
      <w:bookmarkEnd w:id="1"/>
    </w:p>
    <w:p w:rsidR="00844882" w:rsidRDefault="009C4304">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1）、自2019年1月9日起，本基金管理人将限制本基金申购（包括日常申购和定期定额申购）及转换转入金额，单日单个基金账户累计申购（含定期定额申购）及转换转入本基金A类或C类的金额均不得超过500万元，对于超过限额的申请，本基金管理人有权予以拒绝。</w:t>
      </w:r>
    </w:p>
    <w:p w:rsidR="00844882" w:rsidRDefault="009C4304">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2）、2019年1月16日起，本公司将恢复办理本基金的大额申购</w:t>
      </w:r>
      <w:r w:rsidR="003E5388">
        <w:rPr>
          <w:rFonts w:asciiTheme="minorEastAsia" w:eastAsiaTheme="minorEastAsia" w:hAnsiTheme="minorEastAsia"/>
          <w:sz w:val="24"/>
          <w:szCs w:val="24"/>
        </w:rPr>
        <w:t>（包括日常申购和定期定额申购）</w:t>
      </w:r>
      <w:r>
        <w:rPr>
          <w:rFonts w:asciiTheme="minorEastAsia" w:eastAsiaTheme="minorEastAsia" w:hAnsiTheme="minorEastAsia"/>
          <w:sz w:val="24"/>
          <w:szCs w:val="24"/>
        </w:rPr>
        <w:t>及转换转入业务，届时将不再另行公告。</w:t>
      </w:r>
    </w:p>
    <w:p w:rsidR="00844882" w:rsidRDefault="009C4304">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3）、除有另行公告外，在实施上述限制期间，本基金的赎回、转换转出等其他业务照常办理。</w:t>
      </w:r>
    </w:p>
    <w:p w:rsidR="00844882" w:rsidRDefault="009C4304">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本公告解释权归海富通基金管理有限公司。</w:t>
      </w:r>
    </w:p>
    <w:p w:rsidR="00844882" w:rsidRDefault="00844882">
      <w:pPr>
        <w:spacing w:line="560" w:lineRule="exact"/>
        <w:ind w:firstLine="420"/>
        <w:rPr>
          <w:rFonts w:asciiTheme="minorEastAsia" w:eastAsiaTheme="minorEastAsia" w:hAnsiTheme="minorEastAsia"/>
          <w:sz w:val="24"/>
          <w:szCs w:val="24"/>
        </w:rPr>
      </w:pPr>
    </w:p>
    <w:p w:rsidR="00844882" w:rsidRDefault="009C4304">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投资者可访问本公司网站(www.hftfund.com)或拨打客户服务电话40088-40099（免长途话费）咨询相关情况。</w:t>
      </w:r>
    </w:p>
    <w:p w:rsidR="00844882" w:rsidRDefault="00844882">
      <w:pPr>
        <w:spacing w:line="560" w:lineRule="exact"/>
        <w:ind w:firstLine="420"/>
        <w:rPr>
          <w:rFonts w:asciiTheme="minorEastAsia" w:eastAsiaTheme="minorEastAsia" w:hAnsiTheme="minorEastAsia"/>
          <w:sz w:val="24"/>
          <w:szCs w:val="24"/>
        </w:rPr>
      </w:pPr>
    </w:p>
    <w:p w:rsidR="00844882" w:rsidRDefault="009C4304">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特此公告。</w:t>
      </w:r>
    </w:p>
    <w:p w:rsidR="00844882" w:rsidRDefault="00844882">
      <w:pPr>
        <w:spacing w:line="560" w:lineRule="exact"/>
        <w:ind w:firstLine="420"/>
        <w:rPr>
          <w:rFonts w:asciiTheme="minorEastAsia" w:eastAsiaTheme="minorEastAsia" w:hAnsiTheme="minorEastAsia"/>
          <w:sz w:val="24"/>
          <w:szCs w:val="24"/>
        </w:rPr>
      </w:pPr>
    </w:p>
    <w:p w:rsidR="00844882" w:rsidRPr="000055FC" w:rsidRDefault="009C4304" w:rsidP="000055FC">
      <w:pPr>
        <w:spacing w:line="560" w:lineRule="exact"/>
        <w:ind w:firstLine="420"/>
        <w:jc w:val="right"/>
        <w:rPr>
          <w:rFonts w:asciiTheme="minorEastAsia" w:eastAsiaTheme="minorEastAsia" w:hAnsiTheme="minorEastAsia"/>
          <w:sz w:val="24"/>
          <w:szCs w:val="24"/>
        </w:rPr>
      </w:pPr>
      <w:r w:rsidRPr="000055FC">
        <w:rPr>
          <w:rFonts w:asciiTheme="minorEastAsia" w:eastAsiaTheme="minorEastAsia" w:hAnsiTheme="minorEastAsia"/>
          <w:sz w:val="24"/>
          <w:szCs w:val="24"/>
        </w:rPr>
        <w:t>海富通基金管理有限公司</w:t>
      </w:r>
    </w:p>
    <w:p w:rsidR="00844882" w:rsidRPr="000055FC" w:rsidRDefault="009C4304" w:rsidP="000055FC">
      <w:pPr>
        <w:spacing w:line="560" w:lineRule="exact"/>
        <w:ind w:firstLine="420"/>
        <w:jc w:val="right"/>
        <w:rPr>
          <w:rFonts w:asciiTheme="minorEastAsia" w:eastAsiaTheme="minorEastAsia" w:hAnsiTheme="minorEastAsia"/>
          <w:sz w:val="24"/>
          <w:szCs w:val="24"/>
        </w:rPr>
      </w:pPr>
      <w:r w:rsidRPr="000055FC">
        <w:rPr>
          <w:rFonts w:asciiTheme="minorEastAsia" w:eastAsiaTheme="minorEastAsia" w:hAnsiTheme="minorEastAsia"/>
          <w:sz w:val="24"/>
          <w:szCs w:val="24"/>
        </w:rPr>
        <w:t>2019年1月9日</w:t>
      </w:r>
      <w:bookmarkStart w:id="2" w:name="_GoBack"/>
      <w:bookmarkEnd w:id="2"/>
    </w:p>
    <w:sectPr w:rsidR="00844882" w:rsidRPr="000055FC" w:rsidSect="008448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08B" w:rsidRDefault="00EC508B" w:rsidP="009C4304">
      <w:r>
        <w:separator/>
      </w:r>
    </w:p>
  </w:endnote>
  <w:endnote w:type="continuationSeparator" w:id="1">
    <w:p w:rsidR="00EC508B" w:rsidRDefault="00EC508B" w:rsidP="009C43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08B" w:rsidRDefault="00EC508B" w:rsidP="009C4304">
      <w:r>
        <w:separator/>
      </w:r>
    </w:p>
  </w:footnote>
  <w:footnote w:type="continuationSeparator" w:id="1">
    <w:p w:rsidR="00EC508B" w:rsidRDefault="00EC508B" w:rsidP="009C43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27FA"/>
    <w:rsid w:val="000055FC"/>
    <w:rsid w:val="000138D7"/>
    <w:rsid w:val="00014582"/>
    <w:rsid w:val="00020378"/>
    <w:rsid w:val="00041353"/>
    <w:rsid w:val="00054972"/>
    <w:rsid w:val="000746EF"/>
    <w:rsid w:val="000E2B3D"/>
    <w:rsid w:val="000E4CBF"/>
    <w:rsid w:val="001161A4"/>
    <w:rsid w:val="001169BB"/>
    <w:rsid w:val="00180DA3"/>
    <w:rsid w:val="001A08AC"/>
    <w:rsid w:val="001A3CA1"/>
    <w:rsid w:val="001B4F9F"/>
    <w:rsid w:val="001E4CD3"/>
    <w:rsid w:val="002061D4"/>
    <w:rsid w:val="00207484"/>
    <w:rsid w:val="00245724"/>
    <w:rsid w:val="00265B63"/>
    <w:rsid w:val="0028798D"/>
    <w:rsid w:val="002935EF"/>
    <w:rsid w:val="00297148"/>
    <w:rsid w:val="002A1B33"/>
    <w:rsid w:val="002C360B"/>
    <w:rsid w:val="002E26DF"/>
    <w:rsid w:val="002F7241"/>
    <w:rsid w:val="00327DA7"/>
    <w:rsid w:val="00333329"/>
    <w:rsid w:val="0033513C"/>
    <w:rsid w:val="003612CB"/>
    <w:rsid w:val="0036784E"/>
    <w:rsid w:val="00370663"/>
    <w:rsid w:val="00386A1F"/>
    <w:rsid w:val="00392083"/>
    <w:rsid w:val="003D2DA1"/>
    <w:rsid w:val="003E5388"/>
    <w:rsid w:val="00420C6A"/>
    <w:rsid w:val="0044297B"/>
    <w:rsid w:val="0048692B"/>
    <w:rsid w:val="004966BA"/>
    <w:rsid w:val="004D6346"/>
    <w:rsid w:val="004E2421"/>
    <w:rsid w:val="004F0521"/>
    <w:rsid w:val="004F51E8"/>
    <w:rsid w:val="00540343"/>
    <w:rsid w:val="00564298"/>
    <w:rsid w:val="005F1AF0"/>
    <w:rsid w:val="00614995"/>
    <w:rsid w:val="00646522"/>
    <w:rsid w:val="006B648A"/>
    <w:rsid w:val="006E0670"/>
    <w:rsid w:val="006F7FCA"/>
    <w:rsid w:val="00727899"/>
    <w:rsid w:val="00753DDE"/>
    <w:rsid w:val="00770DB7"/>
    <w:rsid w:val="00776E1D"/>
    <w:rsid w:val="007B1D31"/>
    <w:rsid w:val="007D0D12"/>
    <w:rsid w:val="008237B2"/>
    <w:rsid w:val="0082571C"/>
    <w:rsid w:val="00827D4A"/>
    <w:rsid w:val="0083445C"/>
    <w:rsid w:val="00841AFE"/>
    <w:rsid w:val="00844882"/>
    <w:rsid w:val="008472DB"/>
    <w:rsid w:val="00853A75"/>
    <w:rsid w:val="00875F57"/>
    <w:rsid w:val="008D3261"/>
    <w:rsid w:val="008F225D"/>
    <w:rsid w:val="00932FF1"/>
    <w:rsid w:val="00936257"/>
    <w:rsid w:val="00956B0F"/>
    <w:rsid w:val="009A0B67"/>
    <w:rsid w:val="009B403A"/>
    <w:rsid w:val="009C4304"/>
    <w:rsid w:val="009C5858"/>
    <w:rsid w:val="009E395B"/>
    <w:rsid w:val="00A516C4"/>
    <w:rsid w:val="00AF68A9"/>
    <w:rsid w:val="00B101F7"/>
    <w:rsid w:val="00B13229"/>
    <w:rsid w:val="00B20A37"/>
    <w:rsid w:val="00B243AE"/>
    <w:rsid w:val="00B40A5A"/>
    <w:rsid w:val="00B5053A"/>
    <w:rsid w:val="00BA6967"/>
    <w:rsid w:val="00BD601B"/>
    <w:rsid w:val="00BD6D93"/>
    <w:rsid w:val="00C429FD"/>
    <w:rsid w:val="00C50193"/>
    <w:rsid w:val="00CF4F12"/>
    <w:rsid w:val="00D100C9"/>
    <w:rsid w:val="00D114B7"/>
    <w:rsid w:val="00D327FA"/>
    <w:rsid w:val="00D33E60"/>
    <w:rsid w:val="00D64175"/>
    <w:rsid w:val="00D82740"/>
    <w:rsid w:val="00D906EB"/>
    <w:rsid w:val="00DB2A18"/>
    <w:rsid w:val="00DE5E75"/>
    <w:rsid w:val="00DE678B"/>
    <w:rsid w:val="00E31264"/>
    <w:rsid w:val="00E6017F"/>
    <w:rsid w:val="00E72255"/>
    <w:rsid w:val="00E72AFA"/>
    <w:rsid w:val="00E77D74"/>
    <w:rsid w:val="00EC508B"/>
    <w:rsid w:val="00ED0C20"/>
    <w:rsid w:val="00EE1823"/>
    <w:rsid w:val="00F14414"/>
    <w:rsid w:val="00F5252D"/>
    <w:rsid w:val="00F64447"/>
    <w:rsid w:val="00F706B3"/>
    <w:rsid w:val="00F875F9"/>
    <w:rsid w:val="00F95610"/>
    <w:rsid w:val="00FD7428"/>
    <w:rsid w:val="5E4524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lsdException w:name="footer" w:semiHidden="0"/>
    <w:lsdException w:name="caption" w:uiPriority="35" w:qFormat="1"/>
    <w:lsdException w:name="footnote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882"/>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844882"/>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44882"/>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844882"/>
    <w:rPr>
      <w:sz w:val="18"/>
      <w:szCs w:val="18"/>
    </w:rPr>
  </w:style>
  <w:style w:type="paragraph" w:styleId="a4">
    <w:name w:val="footer"/>
    <w:basedOn w:val="a"/>
    <w:link w:val="Char0"/>
    <w:uiPriority w:val="99"/>
    <w:unhideWhenUsed/>
    <w:rsid w:val="00844882"/>
    <w:pPr>
      <w:tabs>
        <w:tab w:val="center" w:pos="4153"/>
        <w:tab w:val="right" w:pos="8306"/>
      </w:tabs>
      <w:snapToGrid w:val="0"/>
      <w:jc w:val="left"/>
    </w:pPr>
    <w:rPr>
      <w:sz w:val="18"/>
      <w:szCs w:val="18"/>
    </w:rPr>
  </w:style>
  <w:style w:type="paragraph" w:styleId="a5">
    <w:name w:val="header"/>
    <w:basedOn w:val="a"/>
    <w:link w:val="Char1"/>
    <w:uiPriority w:val="99"/>
    <w:unhideWhenUsed/>
    <w:rsid w:val="00844882"/>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qFormat/>
    <w:rsid w:val="00844882"/>
    <w:pPr>
      <w:snapToGrid w:val="0"/>
      <w:jc w:val="left"/>
    </w:pPr>
    <w:rPr>
      <w:rFonts w:eastAsia="宋体"/>
      <w:sz w:val="18"/>
    </w:rPr>
  </w:style>
  <w:style w:type="character" w:styleId="a7">
    <w:name w:val="footnote reference"/>
    <w:basedOn w:val="a0"/>
    <w:rsid w:val="00844882"/>
    <w:rPr>
      <w:vertAlign w:val="superscript"/>
    </w:rPr>
  </w:style>
  <w:style w:type="character" w:customStyle="1" w:styleId="1Char">
    <w:name w:val="标题 1 Char"/>
    <w:basedOn w:val="a0"/>
    <w:link w:val="1"/>
    <w:rsid w:val="00844882"/>
    <w:rPr>
      <w:rFonts w:ascii="Times New Roman" w:eastAsia="宋体" w:hAnsi="Times New Roman" w:cs="Times New Roman"/>
      <w:b/>
      <w:bCs/>
      <w:kern w:val="44"/>
      <w:sz w:val="44"/>
      <w:szCs w:val="44"/>
    </w:rPr>
  </w:style>
  <w:style w:type="character" w:customStyle="1" w:styleId="2Char">
    <w:name w:val="标题 2 Char"/>
    <w:basedOn w:val="a0"/>
    <w:link w:val="2"/>
    <w:qFormat/>
    <w:rsid w:val="00844882"/>
    <w:rPr>
      <w:rFonts w:ascii="Arial" w:eastAsia="黑体" w:hAnsi="Arial" w:cs="Times New Roman"/>
      <w:b/>
      <w:bCs/>
      <w:sz w:val="32"/>
      <w:szCs w:val="32"/>
    </w:rPr>
  </w:style>
  <w:style w:type="character" w:customStyle="1" w:styleId="Char2">
    <w:name w:val="脚注文本 Char"/>
    <w:basedOn w:val="a0"/>
    <w:link w:val="a6"/>
    <w:rsid w:val="00844882"/>
    <w:rPr>
      <w:rFonts w:ascii="Times New Roman" w:eastAsia="宋体" w:hAnsi="Times New Roman" w:cs="Times New Roman"/>
      <w:sz w:val="18"/>
      <w:szCs w:val="20"/>
    </w:rPr>
  </w:style>
  <w:style w:type="character" w:customStyle="1" w:styleId="Char">
    <w:name w:val="批注框文本 Char"/>
    <w:basedOn w:val="a0"/>
    <w:link w:val="a3"/>
    <w:uiPriority w:val="99"/>
    <w:semiHidden/>
    <w:rsid w:val="00844882"/>
    <w:rPr>
      <w:rFonts w:ascii="Times New Roman" w:eastAsia="方正仿宋简体" w:hAnsi="Times New Roman" w:cs="Times New Roman"/>
      <w:sz w:val="18"/>
      <w:szCs w:val="18"/>
    </w:rPr>
  </w:style>
  <w:style w:type="character" w:customStyle="1" w:styleId="Char1">
    <w:name w:val="页眉 Char"/>
    <w:basedOn w:val="a0"/>
    <w:link w:val="a5"/>
    <w:uiPriority w:val="99"/>
    <w:rsid w:val="00844882"/>
    <w:rPr>
      <w:rFonts w:ascii="Times New Roman" w:eastAsia="方正仿宋简体" w:hAnsi="Times New Roman" w:cs="Times New Roman"/>
      <w:sz w:val="18"/>
      <w:szCs w:val="18"/>
    </w:rPr>
  </w:style>
  <w:style w:type="character" w:customStyle="1" w:styleId="Char0">
    <w:name w:val="页脚 Char"/>
    <w:basedOn w:val="a0"/>
    <w:link w:val="a4"/>
    <w:uiPriority w:val="99"/>
    <w:rsid w:val="00844882"/>
    <w:rPr>
      <w:rFonts w:ascii="Times New Roman" w:eastAsia="方正仿宋简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5BBD88D-DC5C-4F9F-AF5F-3A62F1B303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815</Characters>
  <Application>Microsoft Office Word</Application>
  <DocSecurity>4</DocSecurity>
  <Lines>6</Lines>
  <Paragraphs>1</Paragraphs>
  <ScaleCrop>false</ScaleCrop>
  <Company>微软中国</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2019-01-08T16:02:00Z</dcterms:created>
  <dcterms:modified xsi:type="dcterms:W3CDTF">2019-01-08T16:02:00Z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