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 w:val="44"/>
          <w:szCs w:val="44"/>
        </w:rPr>
      </w:pP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华安上证</w:t>
      </w:r>
      <w:r w:rsidRPr="00646A7D">
        <w:rPr>
          <w:rFonts w:eastAsiaTheme="minorEastAsia"/>
          <w:b/>
          <w:sz w:val="36"/>
          <w:szCs w:val="36"/>
        </w:rPr>
        <w:t>180</w:t>
      </w:r>
      <w:r w:rsidRPr="00646A7D">
        <w:rPr>
          <w:rFonts w:eastAsiaTheme="minorEastAsia"/>
          <w:b/>
          <w:sz w:val="36"/>
          <w:szCs w:val="36"/>
        </w:rPr>
        <w:t>交易型开放式指数证券投资基金联接基金</w:t>
      </w: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2019</w:t>
      </w:r>
      <w:r w:rsidRPr="00646A7D">
        <w:rPr>
          <w:rFonts w:eastAsiaTheme="minorEastAsia"/>
          <w:b/>
          <w:sz w:val="36"/>
          <w:szCs w:val="36"/>
        </w:rPr>
        <w:t>年半年度报告</w:t>
      </w:r>
      <w:r w:rsidR="00772876" w:rsidRPr="00646A7D">
        <w:rPr>
          <w:rFonts w:eastAsiaTheme="minorEastAsia"/>
          <w:b/>
          <w:sz w:val="36"/>
          <w:szCs w:val="36"/>
        </w:rPr>
        <w:t>摘要</w:t>
      </w:r>
    </w:p>
    <w:p w:rsidR="001548F9" w:rsidRPr="00646A7D" w:rsidRDefault="001548F9" w:rsidP="005E17AD">
      <w:pPr>
        <w:spacing w:line="360" w:lineRule="auto"/>
        <w:jc w:val="center"/>
        <w:rPr>
          <w:rFonts w:eastAsiaTheme="minorEastAsia"/>
          <w:b/>
          <w:sz w:val="28"/>
          <w:szCs w:val="28"/>
        </w:rPr>
      </w:pPr>
      <w:r w:rsidRPr="00646A7D">
        <w:rPr>
          <w:rFonts w:eastAsiaTheme="minorEastAsia"/>
          <w:b/>
          <w:sz w:val="36"/>
          <w:szCs w:val="36"/>
        </w:rPr>
        <w:t>2019</w:t>
      </w:r>
      <w:r w:rsidRPr="00646A7D">
        <w:rPr>
          <w:rFonts w:eastAsiaTheme="minorEastAsia"/>
          <w:b/>
          <w:sz w:val="36"/>
          <w:szCs w:val="36"/>
        </w:rPr>
        <w:t>年</w:t>
      </w:r>
      <w:r w:rsidRPr="00646A7D">
        <w:rPr>
          <w:rFonts w:eastAsiaTheme="minorEastAsia"/>
          <w:b/>
          <w:sz w:val="36"/>
          <w:szCs w:val="36"/>
        </w:rPr>
        <w:t>6</w:t>
      </w:r>
      <w:r w:rsidRPr="00646A7D">
        <w:rPr>
          <w:rFonts w:eastAsiaTheme="minorEastAsia"/>
          <w:b/>
          <w:sz w:val="36"/>
          <w:szCs w:val="36"/>
        </w:rPr>
        <w:t>月</w:t>
      </w:r>
      <w:r w:rsidRPr="00646A7D">
        <w:rPr>
          <w:rFonts w:eastAsiaTheme="minorEastAsia"/>
          <w:b/>
          <w:sz w:val="36"/>
          <w:szCs w:val="36"/>
        </w:rPr>
        <w:t>30</w:t>
      </w:r>
      <w:r w:rsidRPr="00646A7D">
        <w:rPr>
          <w:rFonts w:eastAsiaTheme="minorEastAsia"/>
          <w:b/>
          <w:sz w:val="36"/>
          <w:szCs w:val="36"/>
        </w:rPr>
        <w:t>日</w:t>
      </w: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rPr>
          <w:rFonts w:eastAsiaTheme="minorEastAsia"/>
          <w:color w:val="000000"/>
          <w:szCs w:val="21"/>
        </w:rPr>
      </w:pP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基金管理人：华安基金管理有限公司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基金托管人：中国建设银行股份有限公司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报告送出日期：二〇一九年八月二十八日</w:t>
      </w:r>
    </w:p>
    <w:p w:rsidR="001548F9" w:rsidRPr="00646A7D" w:rsidRDefault="001548F9" w:rsidP="005E17AD">
      <w:pPr>
        <w:spacing w:line="288" w:lineRule="auto"/>
        <w:ind w:firstLineChars="900" w:firstLine="1897"/>
        <w:rPr>
          <w:rFonts w:eastAsiaTheme="minorEastAsia"/>
          <w:b/>
          <w:color w:val="000000"/>
          <w:szCs w:val="21"/>
        </w:rPr>
        <w:sectPr w:rsidR="001548F9" w:rsidRPr="00646A7D">
          <w:headerReference w:type="default" r:id="rId8"/>
          <w:pgSz w:w="11926" w:h="15840"/>
          <w:pgMar w:top="1418" w:right="1418" w:bottom="851" w:left="1418" w:header="851" w:footer="992" w:gutter="0"/>
          <w:cols w:space="720"/>
        </w:sectPr>
      </w:pPr>
    </w:p>
    <w:p w:rsidR="001548F9" w:rsidRPr="00646A7D" w:rsidRDefault="001548F9" w:rsidP="000E18D9">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331410066"/>
      <w:bookmarkStart w:id="1" w:name="_Toc225498243"/>
      <w:r w:rsidRPr="00646A7D">
        <w:rPr>
          <w:rFonts w:eastAsiaTheme="minorEastAsia"/>
          <w:b/>
          <w:bCs/>
          <w:sz w:val="21"/>
          <w:szCs w:val="21"/>
          <w:lang w:val="en-US"/>
        </w:rPr>
        <w:lastRenderedPageBreak/>
        <w:t xml:space="preserve">1  </w:t>
      </w:r>
      <w:r w:rsidRPr="00646A7D">
        <w:rPr>
          <w:rFonts w:eastAsiaTheme="minorEastAsia"/>
          <w:b/>
          <w:bCs/>
          <w:sz w:val="21"/>
          <w:szCs w:val="21"/>
          <w:lang w:val="en-US"/>
        </w:rPr>
        <w:t>重要提示</w:t>
      </w:r>
      <w:bookmarkEnd w:id="0"/>
      <w:bookmarkEnd w:id="1"/>
    </w:p>
    <w:p w:rsidR="001548F9" w:rsidRPr="00646A7D" w:rsidRDefault="001548F9" w:rsidP="00CB05F1">
      <w:pPr>
        <w:pStyle w:val="20"/>
        <w:spacing w:before="0" w:after="0"/>
        <w:rPr>
          <w:rFonts w:ascii="Times New Roman" w:eastAsiaTheme="minorEastAsia" w:hAnsi="Times New Roman"/>
          <w:kern w:val="0"/>
          <w:sz w:val="21"/>
          <w:szCs w:val="21"/>
        </w:rPr>
      </w:pPr>
      <w:bookmarkStart w:id="2" w:name="_Toc331410067"/>
      <w:r w:rsidRPr="00646A7D">
        <w:rPr>
          <w:rFonts w:ascii="Times New Roman" w:eastAsiaTheme="minorEastAsia" w:hAnsi="Times New Roman"/>
          <w:kern w:val="0"/>
          <w:sz w:val="21"/>
          <w:szCs w:val="21"/>
        </w:rPr>
        <w:t xml:space="preserve">1.1 </w:t>
      </w:r>
      <w:r w:rsidRPr="00646A7D">
        <w:rPr>
          <w:rFonts w:ascii="Times New Roman" w:eastAsiaTheme="minorEastAsia" w:hAnsi="Times New Roman"/>
          <w:kern w:val="0"/>
          <w:sz w:val="21"/>
          <w:szCs w:val="21"/>
        </w:rPr>
        <w:t>重要提示</w:t>
      </w:r>
      <w:bookmarkEnd w:id="2"/>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基金托管人</w:t>
      </w:r>
      <w:r w:rsidRPr="00646A7D">
        <w:rPr>
          <w:rFonts w:eastAsiaTheme="minorEastAsia"/>
          <w:szCs w:val="21"/>
        </w:rPr>
        <w:t>中国建设银行股份有限公司</w:t>
      </w:r>
      <w:r w:rsidRPr="00646A7D">
        <w:rPr>
          <w:rFonts w:eastAsiaTheme="minorEastAsia"/>
          <w:color w:val="000000"/>
          <w:szCs w:val="21"/>
        </w:rPr>
        <w:t>根据本基金合同规定，于</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26</w:t>
      </w:r>
      <w:r w:rsidRPr="00646A7D">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基金管理人承诺以诚实信用、勤勉尽责的原则管理和运用基金资产，但不保证基金一定盈利。</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基金的过往业绩并不代表其未来表现。投资有风险，投资者在作出投资决策前应仔细阅读本基金的招募说明书及其更新。</w:t>
      </w:r>
    </w:p>
    <w:p w:rsidR="00A37EED" w:rsidRPr="00646A7D" w:rsidRDefault="00A37EED" w:rsidP="00A37EED">
      <w:pPr>
        <w:ind w:firstLineChars="200" w:firstLine="420"/>
        <w:rPr>
          <w:rFonts w:eastAsiaTheme="minorEastAsia"/>
          <w:color w:val="000000"/>
          <w:szCs w:val="21"/>
        </w:rPr>
      </w:pPr>
      <w:r w:rsidRPr="00646A7D">
        <w:rPr>
          <w:rFonts w:eastAsiaTheme="minorEastAsia"/>
          <w:color w:val="000000"/>
          <w:szCs w:val="21"/>
        </w:rPr>
        <w:t>本半年度报告摘要摘自半年度报告正文，投资者欲了解详细内容，应阅读半年度报告正文。</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本报告中财务资料未经审计。</w:t>
      </w:r>
    </w:p>
    <w:p w:rsidR="00D261D5" w:rsidRPr="00646A7D" w:rsidRDefault="00D261D5" w:rsidP="00CB05F1">
      <w:pPr>
        <w:spacing w:line="360" w:lineRule="auto"/>
        <w:ind w:firstLineChars="200" w:firstLine="420"/>
        <w:rPr>
          <w:rFonts w:eastAsiaTheme="minorEastAsia"/>
          <w:kern w:val="0"/>
          <w:szCs w:val="21"/>
        </w:rPr>
      </w:pPr>
      <w:r w:rsidRPr="00646A7D">
        <w:rPr>
          <w:rFonts w:eastAsiaTheme="minorEastAsia"/>
          <w:kern w:val="0"/>
          <w:szCs w:val="21"/>
        </w:rPr>
        <w:t>本报告期自</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日起至</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日止。</w:t>
      </w:r>
    </w:p>
    <w:p w:rsidR="00A80289" w:rsidRPr="00646A7D" w:rsidRDefault="00A80289" w:rsidP="005E17AD">
      <w:pPr>
        <w:spacing w:line="288" w:lineRule="auto"/>
        <w:ind w:firstLineChars="200" w:firstLine="420"/>
        <w:rPr>
          <w:rFonts w:eastAsiaTheme="minorEastAsia"/>
          <w:color w:val="000000"/>
          <w:szCs w:val="21"/>
        </w:rPr>
      </w:pPr>
    </w:p>
    <w:p w:rsidR="00A80289" w:rsidRPr="00646A7D" w:rsidRDefault="001548F9" w:rsidP="005E17AD">
      <w:pPr>
        <w:spacing w:line="288" w:lineRule="auto"/>
        <w:ind w:firstLineChars="200" w:firstLine="420"/>
        <w:rPr>
          <w:rFonts w:eastAsiaTheme="minorEastAsia"/>
          <w:b/>
          <w:color w:val="000000"/>
          <w:kern w:val="0"/>
          <w:szCs w:val="21"/>
        </w:rPr>
      </w:pPr>
      <w:r w:rsidRPr="00646A7D">
        <w:rPr>
          <w:rFonts w:eastAsiaTheme="minorEastAsia"/>
          <w:szCs w:val="21"/>
        </w:rPr>
        <w:br w:type="page"/>
      </w:r>
    </w:p>
    <w:p w:rsidR="001548F9" w:rsidRPr="00646A7D" w:rsidRDefault="001548F9" w:rsidP="000E18D9">
      <w:pPr>
        <w:pStyle w:val="1"/>
        <w:keepNext/>
        <w:keepLines/>
        <w:widowControl w:val="0"/>
        <w:spacing w:beforeLines="100" w:before="312" w:afterLines="100" w:after="312" w:line="360" w:lineRule="auto"/>
        <w:jc w:val="center"/>
        <w:rPr>
          <w:rFonts w:eastAsiaTheme="minorEastAsia"/>
          <w:sz w:val="21"/>
          <w:szCs w:val="21"/>
          <w:lang w:val="en-US"/>
        </w:rPr>
      </w:pPr>
      <w:bookmarkStart w:id="3" w:name="_Toc331410068"/>
      <w:bookmarkStart w:id="4" w:name="_Toc225498244"/>
      <w:r w:rsidRPr="00646A7D">
        <w:rPr>
          <w:rFonts w:eastAsiaTheme="minorEastAsia"/>
          <w:b/>
          <w:bCs/>
          <w:sz w:val="21"/>
          <w:szCs w:val="21"/>
          <w:lang w:val="en-US"/>
        </w:rPr>
        <w:lastRenderedPageBreak/>
        <w:t xml:space="preserve">2  </w:t>
      </w:r>
      <w:r w:rsidRPr="00646A7D">
        <w:rPr>
          <w:rFonts w:eastAsiaTheme="minorEastAsia"/>
          <w:b/>
          <w:bCs/>
          <w:sz w:val="21"/>
          <w:szCs w:val="21"/>
          <w:lang w:val="en-US"/>
        </w:rPr>
        <w:t>基金简介</w:t>
      </w:r>
      <w:bookmarkEnd w:id="3"/>
      <w:bookmarkEnd w:id="4"/>
    </w:p>
    <w:p w:rsidR="001548F9" w:rsidRPr="00646A7D" w:rsidRDefault="001548F9" w:rsidP="00CB05F1">
      <w:pPr>
        <w:pStyle w:val="20"/>
        <w:spacing w:before="0" w:after="0"/>
        <w:rPr>
          <w:rFonts w:ascii="Times New Roman" w:eastAsiaTheme="minorEastAsia" w:hAnsi="Times New Roman"/>
          <w:color w:val="000000"/>
          <w:sz w:val="21"/>
          <w:szCs w:val="21"/>
        </w:rPr>
      </w:pPr>
      <w:bookmarkStart w:id="5" w:name="_Toc331410069"/>
      <w:r w:rsidRPr="00646A7D">
        <w:rPr>
          <w:rFonts w:ascii="Times New Roman" w:eastAsiaTheme="minorEastAsia" w:hAnsi="Times New Roman"/>
          <w:kern w:val="0"/>
          <w:sz w:val="21"/>
          <w:szCs w:val="21"/>
        </w:rPr>
        <w:t>2.1</w:t>
      </w:r>
      <w:r w:rsidRPr="00646A7D">
        <w:rPr>
          <w:rFonts w:ascii="Times New Roman" w:eastAsiaTheme="minorEastAsia" w:hAnsi="Times New Roman"/>
          <w:kern w:val="0"/>
          <w:sz w:val="21"/>
          <w:szCs w:val="21"/>
        </w:rPr>
        <w:tab/>
      </w:r>
      <w:r w:rsidRPr="00646A7D">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1"/>
        <w:gridCol w:w="5217"/>
      </w:tblGrid>
      <w:tr w:rsidR="001548F9" w:rsidRPr="00646A7D" w:rsidTr="00646A7D">
        <w:tc>
          <w:tcPr>
            <w:tcW w:w="3491" w:type="dxa"/>
          </w:tcPr>
          <w:p w:rsidR="001548F9" w:rsidRPr="00646A7D" w:rsidRDefault="001548F9">
            <w:pPr>
              <w:rPr>
                <w:rFonts w:eastAsiaTheme="minorEastAsia"/>
                <w:color w:val="000000"/>
                <w:kern w:val="0"/>
                <w:szCs w:val="21"/>
              </w:rPr>
            </w:pPr>
            <w:r w:rsidRPr="00646A7D">
              <w:rPr>
                <w:rFonts w:eastAsiaTheme="minorEastAsia"/>
                <w:szCs w:val="21"/>
              </w:rPr>
              <w:t>基金简称</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华安上证</w:t>
            </w:r>
            <w:r w:rsidRPr="00646A7D">
              <w:rPr>
                <w:rFonts w:eastAsiaTheme="minorEastAsia"/>
                <w:szCs w:val="21"/>
              </w:rPr>
              <w:t>180ETF</w:t>
            </w:r>
            <w:r w:rsidRPr="00646A7D">
              <w:rPr>
                <w:rFonts w:eastAsiaTheme="minorEastAsia"/>
                <w:szCs w:val="21"/>
              </w:rPr>
              <w:t>联接</w:t>
            </w:r>
          </w:p>
        </w:tc>
      </w:tr>
      <w:tr w:rsidR="001548F9" w:rsidRPr="00646A7D" w:rsidTr="00646A7D">
        <w:tc>
          <w:tcPr>
            <w:tcW w:w="3491" w:type="dxa"/>
            <w:vAlign w:val="center"/>
          </w:tcPr>
          <w:p w:rsidR="001548F9" w:rsidRPr="00646A7D" w:rsidRDefault="001548F9">
            <w:pPr>
              <w:rPr>
                <w:rFonts w:eastAsiaTheme="minorEastAsia"/>
                <w:color w:val="000000"/>
                <w:kern w:val="0"/>
                <w:szCs w:val="21"/>
              </w:rPr>
            </w:pPr>
            <w:r w:rsidRPr="00646A7D">
              <w:rPr>
                <w:rFonts w:eastAsiaTheme="minorEastAsia"/>
                <w:szCs w:val="21"/>
              </w:rPr>
              <w:t>基金主代码</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040180</w:t>
            </w:r>
          </w:p>
        </w:tc>
      </w:tr>
      <w:tr w:rsidR="00AA2A75" w:rsidRPr="00646A7D" w:rsidTr="00646A7D">
        <w:tc>
          <w:tcPr>
            <w:tcW w:w="3491" w:type="dxa"/>
            <w:vAlign w:val="center"/>
          </w:tcPr>
          <w:p w:rsidR="00AA2A75" w:rsidRPr="00646A7D" w:rsidRDefault="00AA2A75" w:rsidP="00A47B26">
            <w:pPr>
              <w:spacing w:line="360" w:lineRule="auto"/>
              <w:rPr>
                <w:rFonts w:eastAsiaTheme="minorEastAsia"/>
                <w:szCs w:val="21"/>
              </w:rPr>
            </w:pPr>
            <w:r w:rsidRPr="00646A7D">
              <w:rPr>
                <w:rFonts w:eastAsiaTheme="minorEastAsia"/>
                <w:color w:val="000000"/>
                <w:kern w:val="0"/>
                <w:szCs w:val="21"/>
              </w:rPr>
              <w:t>交易代码</w:t>
            </w:r>
          </w:p>
        </w:tc>
        <w:tc>
          <w:tcPr>
            <w:tcW w:w="5217" w:type="dxa"/>
            <w:vAlign w:val="center"/>
          </w:tcPr>
          <w:p w:rsidR="00AA2A75" w:rsidRPr="00646A7D" w:rsidRDefault="00AA2A75" w:rsidP="0049538A">
            <w:pPr>
              <w:spacing w:line="360" w:lineRule="auto"/>
              <w:jc w:val="right"/>
              <w:rPr>
                <w:rFonts w:eastAsiaTheme="minorEastAsia"/>
                <w:szCs w:val="21"/>
              </w:rPr>
            </w:pPr>
            <w:r w:rsidRPr="00646A7D">
              <w:rPr>
                <w:rFonts w:eastAsiaTheme="minorEastAsia"/>
                <w:szCs w:val="21"/>
              </w:rPr>
              <w:t>040180</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基金运作方式</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契约型开放式</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基金合同生效日</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2009</w:t>
            </w:r>
            <w:r w:rsidRPr="00646A7D">
              <w:rPr>
                <w:rFonts w:eastAsiaTheme="minorEastAsia"/>
                <w:szCs w:val="21"/>
              </w:rPr>
              <w:t>年</w:t>
            </w:r>
            <w:r w:rsidRPr="00646A7D">
              <w:rPr>
                <w:rFonts w:eastAsiaTheme="minorEastAsia"/>
                <w:szCs w:val="21"/>
              </w:rPr>
              <w:t>9</w:t>
            </w:r>
            <w:r w:rsidRPr="00646A7D">
              <w:rPr>
                <w:rFonts w:eastAsiaTheme="minorEastAsia"/>
                <w:szCs w:val="21"/>
              </w:rPr>
              <w:t>月</w:t>
            </w:r>
            <w:r w:rsidRPr="00646A7D">
              <w:rPr>
                <w:rFonts w:eastAsiaTheme="minorEastAsia"/>
                <w:szCs w:val="21"/>
              </w:rPr>
              <w:t>29</w:t>
            </w:r>
            <w:r w:rsidRPr="00646A7D">
              <w:rPr>
                <w:rFonts w:eastAsiaTheme="minorEastAsia"/>
                <w:szCs w:val="21"/>
              </w:rPr>
              <w:t>日</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基金管理人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华安基金管理有限公司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基金托管人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中国建设银行股份有限公司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报告期末基金份额总额</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212,827,474.94</w:t>
            </w:r>
            <w:r w:rsidRPr="00646A7D">
              <w:rPr>
                <w:rFonts w:eastAsiaTheme="minorEastAsia"/>
                <w:szCs w:val="21"/>
              </w:rPr>
              <w:t>份</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基金合同存续期</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不定期</w:t>
            </w:r>
          </w:p>
        </w:tc>
      </w:tr>
    </w:tbl>
    <w:p w:rsidR="00FD7A40" w:rsidRPr="00646A7D" w:rsidRDefault="00FD7A40" w:rsidP="00FD7A40">
      <w:pPr>
        <w:spacing w:line="360" w:lineRule="auto"/>
        <w:rPr>
          <w:rFonts w:eastAsiaTheme="minorEastAsia"/>
          <w:b/>
          <w:szCs w:val="21"/>
        </w:rPr>
      </w:pPr>
      <w:smartTag w:uri="urn:schemas-microsoft-com:office:smarttags" w:element="chsdate">
        <w:smartTagPr>
          <w:attr w:name="Year" w:val="1899"/>
          <w:attr w:name="Month" w:val="12"/>
          <w:attr w:name="Day" w:val="30"/>
          <w:attr w:name="IsLunarDate" w:val="False"/>
          <w:attr w:name="IsROCDate" w:val="False"/>
        </w:smartTagPr>
        <w:r w:rsidRPr="00646A7D">
          <w:rPr>
            <w:rFonts w:eastAsiaTheme="minorEastAsia"/>
            <w:b/>
            <w:szCs w:val="21"/>
          </w:rPr>
          <w:t xml:space="preserve">2.1.1 </w:t>
        </w:r>
      </w:smartTag>
      <w:r w:rsidRPr="00646A7D">
        <w:rPr>
          <w:rFonts w:eastAsiaTheme="minorEastAsia"/>
          <w:b/>
          <w:szCs w:val="21"/>
        </w:rPr>
        <w:t>目标基金基本情况</w:t>
      </w:r>
    </w:p>
    <w:tbl>
      <w:tblPr>
        <w:tblW w:w="8846" w:type="dxa"/>
        <w:tblInd w:w="108" w:type="dxa"/>
        <w:tblLayout w:type="fixed"/>
        <w:tblLook w:val="0000" w:firstRow="0" w:lastRow="0" w:firstColumn="0" w:lastColumn="0" w:noHBand="0" w:noVBand="0"/>
      </w:tblPr>
      <w:tblGrid>
        <w:gridCol w:w="3574"/>
        <w:gridCol w:w="5272"/>
      </w:tblGrid>
      <w:tr w:rsidR="00FD7A40" w:rsidRPr="00646A7D" w:rsidTr="00646A7D">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基金名称</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华安上证</w:t>
            </w:r>
            <w:r w:rsidRPr="00646A7D">
              <w:rPr>
                <w:rFonts w:eastAsiaTheme="minorEastAsia"/>
                <w:szCs w:val="21"/>
              </w:rPr>
              <w:t>180</w:t>
            </w:r>
            <w:r w:rsidRPr="00646A7D">
              <w:rPr>
                <w:rFonts w:eastAsiaTheme="minorEastAsia"/>
                <w:szCs w:val="21"/>
              </w:rPr>
              <w:t>交易型开放式指数证券投资基金</w:t>
            </w:r>
          </w:p>
        </w:tc>
      </w:tr>
      <w:tr w:rsidR="00FD7A40" w:rsidRPr="00646A7D" w:rsidTr="00646A7D">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基金主代码</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510180</w:t>
            </w:r>
          </w:p>
        </w:tc>
      </w:tr>
      <w:tr w:rsidR="00FD7A40" w:rsidRPr="00646A7D" w:rsidTr="00646A7D">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基金运作方式</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交易型开放式</w:t>
            </w:r>
            <w:r w:rsidRPr="00646A7D">
              <w:rPr>
                <w:rFonts w:eastAsiaTheme="minorEastAsia"/>
                <w:szCs w:val="21"/>
              </w:rPr>
              <w:t>(ETF)</w:t>
            </w:r>
          </w:p>
        </w:tc>
      </w:tr>
      <w:tr w:rsidR="00FD7A40" w:rsidRPr="00646A7D" w:rsidTr="00646A7D">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基金合同生效日</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2006</w:t>
            </w:r>
            <w:r w:rsidRPr="00646A7D">
              <w:rPr>
                <w:rFonts w:eastAsiaTheme="minorEastAsia"/>
                <w:szCs w:val="21"/>
              </w:rPr>
              <w:t>年</w:t>
            </w:r>
            <w:r w:rsidRPr="00646A7D">
              <w:rPr>
                <w:rFonts w:eastAsiaTheme="minorEastAsia"/>
                <w:szCs w:val="21"/>
              </w:rPr>
              <w:t>4</w:t>
            </w:r>
            <w:r w:rsidRPr="00646A7D">
              <w:rPr>
                <w:rFonts w:eastAsiaTheme="minorEastAsia"/>
                <w:szCs w:val="21"/>
              </w:rPr>
              <w:t>月</w:t>
            </w:r>
            <w:r w:rsidRPr="00646A7D">
              <w:rPr>
                <w:rFonts w:eastAsiaTheme="minorEastAsia"/>
                <w:szCs w:val="21"/>
              </w:rPr>
              <w:t>13</w:t>
            </w:r>
            <w:r w:rsidRPr="00646A7D">
              <w:rPr>
                <w:rFonts w:eastAsiaTheme="minorEastAsia"/>
                <w:szCs w:val="21"/>
              </w:rPr>
              <w:t>日</w:t>
            </w:r>
          </w:p>
        </w:tc>
      </w:tr>
      <w:tr w:rsidR="00FD7A40" w:rsidRPr="00646A7D" w:rsidTr="00646A7D">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基金份额上市的证券交易所</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上海证券交易所</w:t>
            </w:r>
          </w:p>
        </w:tc>
      </w:tr>
      <w:tr w:rsidR="00FD7A40" w:rsidRPr="00646A7D" w:rsidTr="00646A7D">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上市日期</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2006</w:t>
            </w:r>
            <w:r w:rsidRPr="00646A7D">
              <w:rPr>
                <w:rFonts w:eastAsiaTheme="minorEastAsia"/>
                <w:szCs w:val="21"/>
              </w:rPr>
              <w:t>年</w:t>
            </w:r>
            <w:r w:rsidRPr="00646A7D">
              <w:rPr>
                <w:rFonts w:eastAsiaTheme="minorEastAsia"/>
                <w:szCs w:val="21"/>
              </w:rPr>
              <w:t>5</w:t>
            </w:r>
            <w:r w:rsidRPr="00646A7D">
              <w:rPr>
                <w:rFonts w:eastAsiaTheme="minorEastAsia"/>
                <w:szCs w:val="21"/>
              </w:rPr>
              <w:t>月</w:t>
            </w:r>
            <w:r w:rsidRPr="00646A7D">
              <w:rPr>
                <w:rFonts w:eastAsiaTheme="minorEastAsia"/>
                <w:szCs w:val="21"/>
              </w:rPr>
              <w:t>18</w:t>
            </w:r>
            <w:r w:rsidRPr="00646A7D">
              <w:rPr>
                <w:rFonts w:eastAsiaTheme="minorEastAsia"/>
                <w:szCs w:val="21"/>
              </w:rPr>
              <w:t>日</w:t>
            </w:r>
          </w:p>
        </w:tc>
      </w:tr>
      <w:tr w:rsidR="00FD7A40" w:rsidRPr="00646A7D" w:rsidTr="00646A7D">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基金管理人名称</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华安基金管理有限公司</w:t>
            </w:r>
          </w:p>
        </w:tc>
      </w:tr>
      <w:tr w:rsidR="00FD7A40" w:rsidRPr="00646A7D" w:rsidTr="00646A7D">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基金托管人名称</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中国建设银行股份有限公司</w:t>
            </w:r>
          </w:p>
        </w:tc>
      </w:tr>
    </w:tbl>
    <w:p w:rsidR="001548F9" w:rsidRPr="00646A7D" w:rsidRDefault="001548F9" w:rsidP="000E18D9">
      <w:pPr>
        <w:pStyle w:val="20"/>
        <w:spacing w:beforeLines="100" w:before="312" w:after="0"/>
        <w:jc w:val="left"/>
        <w:rPr>
          <w:rFonts w:ascii="Times New Roman" w:eastAsiaTheme="minorEastAsia" w:hAnsi="Times New Roman"/>
          <w:color w:val="000000"/>
          <w:sz w:val="21"/>
          <w:szCs w:val="21"/>
        </w:rPr>
      </w:pPr>
      <w:bookmarkStart w:id="6" w:name="_Toc331410070"/>
      <w:r w:rsidRPr="00646A7D">
        <w:rPr>
          <w:rFonts w:ascii="Times New Roman" w:eastAsiaTheme="minorEastAsia" w:hAnsi="Times New Roman"/>
          <w:kern w:val="0"/>
          <w:sz w:val="21"/>
          <w:szCs w:val="21"/>
        </w:rPr>
        <w:t xml:space="preserve">2.2 </w:t>
      </w:r>
      <w:r w:rsidRPr="00646A7D">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投资目标</w:t>
            </w:r>
          </w:p>
        </w:tc>
        <w:tc>
          <w:tcPr>
            <w:tcW w:w="6873" w:type="dxa"/>
            <w:vAlign w:val="bottom"/>
          </w:tcPr>
          <w:p w:rsidR="001548F9" w:rsidRPr="00646A7D" w:rsidRDefault="001548F9">
            <w:pPr>
              <w:rPr>
                <w:rFonts w:eastAsiaTheme="minorEastAsia"/>
                <w:szCs w:val="21"/>
              </w:rPr>
            </w:pPr>
            <w:r w:rsidRPr="00646A7D">
              <w:rPr>
                <w:rFonts w:eastAsiaTheme="minorEastAsia"/>
                <w:szCs w:val="21"/>
              </w:rPr>
              <w:t>通过控制基金投资组合相对于标的指数的偏离度，实现对标的指数的有效跟踪，并在谋求基金资产长期增值的基础上择机实现一定的收益和分配。</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投资策略</w:t>
            </w:r>
          </w:p>
        </w:tc>
        <w:tc>
          <w:tcPr>
            <w:tcW w:w="6873" w:type="dxa"/>
            <w:vAlign w:val="bottom"/>
          </w:tcPr>
          <w:p w:rsidR="001548F9" w:rsidRPr="00646A7D" w:rsidRDefault="001548F9">
            <w:pPr>
              <w:rPr>
                <w:rFonts w:eastAsiaTheme="minorEastAsia"/>
                <w:szCs w:val="21"/>
              </w:rPr>
            </w:pPr>
            <w:r w:rsidRPr="00646A7D">
              <w:rPr>
                <w:rFonts w:eastAsiaTheme="minorEastAsia"/>
                <w:szCs w:val="21"/>
              </w:rPr>
              <w:t>本基金主要通过投资于华安上证</w:t>
            </w:r>
            <w:r w:rsidRPr="00646A7D">
              <w:rPr>
                <w:rFonts w:eastAsiaTheme="minorEastAsia"/>
                <w:szCs w:val="21"/>
              </w:rPr>
              <w:t>180ETF</w:t>
            </w:r>
            <w:r w:rsidRPr="00646A7D">
              <w:rPr>
                <w:rFonts w:eastAsiaTheme="minorEastAsia"/>
                <w:szCs w:val="21"/>
              </w:rPr>
              <w:t>以求达到投资目标。当本基金申购赎回和买卖华安上证</w:t>
            </w:r>
            <w:r w:rsidRPr="00646A7D">
              <w:rPr>
                <w:rFonts w:eastAsiaTheme="minorEastAsia"/>
                <w:szCs w:val="21"/>
              </w:rPr>
              <w:t>180ETF</w:t>
            </w:r>
            <w:r w:rsidRPr="00646A7D">
              <w:rPr>
                <w:rFonts w:eastAsiaTheme="minorEastAsia"/>
                <w:szCs w:val="21"/>
              </w:rPr>
              <w:t>或本基金自身的申购赎回对本基金跟踪标的指数的效果可能带来影响时，或预期成份股发生调整和成份股发生配股、增发、分红等行为时，基金经理会对投资组合进行适当调整，降低跟踪误差。本基金对标的指数的跟踪目标是：在正常情况下，本基金相对于业绩比较基准的日均跟踪偏离度的绝对值不超过</w:t>
            </w:r>
            <w:r w:rsidRPr="00646A7D">
              <w:rPr>
                <w:rFonts w:eastAsiaTheme="minorEastAsia"/>
                <w:szCs w:val="21"/>
              </w:rPr>
              <w:t>0.35%</w:t>
            </w:r>
            <w:r w:rsidRPr="00646A7D">
              <w:rPr>
                <w:rFonts w:eastAsiaTheme="minorEastAsia"/>
                <w:szCs w:val="21"/>
              </w:rPr>
              <w:t>，年跟踪误差不超过</w:t>
            </w:r>
            <w:r w:rsidRPr="00646A7D">
              <w:rPr>
                <w:rFonts w:eastAsiaTheme="minorEastAsia"/>
                <w:szCs w:val="21"/>
              </w:rPr>
              <w:t>4%</w:t>
            </w:r>
            <w:r w:rsidRPr="00646A7D">
              <w:rPr>
                <w:rFonts w:eastAsiaTheme="minorEastAsia"/>
                <w:szCs w:val="21"/>
              </w:rPr>
              <w:t>。如因指数编制规则调整或其他因素导致跟踪偏离度和跟踪误差超过上述范围，基金管理人将采取合理措施避免跟踪偏离度、跟踪误差进一步扩大。</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业绩比较基准</w:t>
            </w:r>
          </w:p>
        </w:tc>
        <w:tc>
          <w:tcPr>
            <w:tcW w:w="6873" w:type="dxa"/>
            <w:vAlign w:val="bottom"/>
          </w:tcPr>
          <w:p w:rsidR="001548F9" w:rsidRPr="00646A7D" w:rsidRDefault="001548F9">
            <w:pPr>
              <w:rPr>
                <w:rFonts w:eastAsiaTheme="minorEastAsia"/>
                <w:szCs w:val="21"/>
              </w:rPr>
            </w:pPr>
            <w:r w:rsidRPr="00646A7D">
              <w:rPr>
                <w:rFonts w:eastAsiaTheme="minorEastAsia"/>
                <w:szCs w:val="21"/>
              </w:rPr>
              <w:t>95%×</w:t>
            </w:r>
            <w:r w:rsidRPr="00646A7D">
              <w:rPr>
                <w:rFonts w:eastAsiaTheme="minorEastAsia"/>
                <w:szCs w:val="21"/>
              </w:rPr>
              <w:t>上证</w:t>
            </w:r>
            <w:r w:rsidRPr="00646A7D">
              <w:rPr>
                <w:rFonts w:eastAsiaTheme="minorEastAsia"/>
                <w:szCs w:val="21"/>
              </w:rPr>
              <w:t>180</w:t>
            </w:r>
            <w:r w:rsidRPr="00646A7D">
              <w:rPr>
                <w:rFonts w:eastAsiaTheme="minorEastAsia"/>
                <w:szCs w:val="21"/>
              </w:rPr>
              <w:t>指数收益率</w:t>
            </w:r>
            <w:r w:rsidRPr="00646A7D">
              <w:rPr>
                <w:rFonts w:eastAsiaTheme="minorEastAsia"/>
                <w:szCs w:val="21"/>
              </w:rPr>
              <w:t>+5%×</w:t>
            </w:r>
            <w:r w:rsidRPr="00646A7D">
              <w:rPr>
                <w:rFonts w:eastAsiaTheme="minorEastAsia"/>
                <w:szCs w:val="21"/>
              </w:rPr>
              <w:t>商业银行税后活期存款利率。</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风险收益特征</w:t>
            </w:r>
          </w:p>
        </w:tc>
        <w:tc>
          <w:tcPr>
            <w:tcW w:w="6873" w:type="dxa"/>
            <w:vAlign w:val="bottom"/>
          </w:tcPr>
          <w:p w:rsidR="001548F9" w:rsidRPr="00646A7D" w:rsidRDefault="001548F9">
            <w:pPr>
              <w:rPr>
                <w:rFonts w:eastAsiaTheme="minorEastAsia"/>
                <w:szCs w:val="21"/>
              </w:rPr>
            </w:pPr>
            <w:r w:rsidRPr="00646A7D">
              <w:rPr>
                <w:rFonts w:eastAsiaTheme="minorEastAsia"/>
                <w:szCs w:val="21"/>
              </w:rPr>
              <w:t>基金为华安上证</w:t>
            </w:r>
            <w:r w:rsidRPr="00646A7D">
              <w:rPr>
                <w:rFonts w:eastAsiaTheme="minorEastAsia"/>
                <w:szCs w:val="21"/>
              </w:rPr>
              <w:t xml:space="preserve"> 180ETF </w:t>
            </w:r>
            <w:r w:rsidRPr="00646A7D">
              <w:rPr>
                <w:rFonts w:eastAsiaTheme="minorEastAsia"/>
                <w:szCs w:val="21"/>
              </w:rPr>
              <w:t>的联接基金，具有较高风险、较高预期收益的特征，其风险和预期收益均高于混合基金、债券型基金和货币市场基金。</w:t>
            </w:r>
          </w:p>
        </w:tc>
      </w:tr>
    </w:tbl>
    <w:p w:rsidR="00FD7A40" w:rsidRPr="00646A7D" w:rsidRDefault="00FD7A40" w:rsidP="00FD7A40">
      <w:pPr>
        <w:spacing w:line="360" w:lineRule="auto"/>
        <w:rPr>
          <w:rFonts w:eastAsiaTheme="minorEastAsia"/>
          <w:b/>
          <w:szCs w:val="21"/>
        </w:rPr>
      </w:pPr>
      <w:r w:rsidRPr="00646A7D">
        <w:rPr>
          <w:rFonts w:eastAsiaTheme="minorEastAsia"/>
          <w:b/>
          <w:szCs w:val="21"/>
        </w:rPr>
        <w:lastRenderedPageBreak/>
        <w:t xml:space="preserve">2.2.1 </w:t>
      </w:r>
      <w:r w:rsidRPr="00646A7D">
        <w:rPr>
          <w:rFonts w:eastAsiaTheme="minorEastAsia"/>
          <w:b/>
          <w:szCs w:val="21"/>
        </w:rPr>
        <w:t>目标基金产品说明</w:t>
      </w:r>
    </w:p>
    <w:tbl>
      <w:tblPr>
        <w:tblW w:w="0" w:type="auto"/>
        <w:tblInd w:w="108" w:type="dxa"/>
        <w:tblLayout w:type="fixed"/>
        <w:tblLook w:val="0000" w:firstRow="0" w:lastRow="0" w:firstColumn="0" w:lastColumn="0" w:noHBand="0" w:noVBand="0"/>
      </w:tblPr>
      <w:tblGrid>
        <w:gridCol w:w="2123"/>
        <w:gridCol w:w="6939"/>
      </w:tblGrid>
      <w:tr w:rsidR="00FD7A40" w:rsidRPr="00646A7D" w:rsidTr="00646A7D">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投资目标</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紧密跟踪标的指数，追求跟踪偏离度和跟踪误差最小化。</w:t>
            </w:r>
          </w:p>
        </w:tc>
      </w:tr>
      <w:tr w:rsidR="00FD7A40" w:rsidRPr="00646A7D" w:rsidTr="00646A7D">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投资策略</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采取抽样复制的指数跟踪方法，即根据定量化的选股</w:t>
            </w:r>
            <w:r w:rsidRPr="00646A7D">
              <w:rPr>
                <w:rFonts w:eastAsiaTheme="minorEastAsia"/>
                <w:szCs w:val="21"/>
              </w:rPr>
              <w:t xml:space="preserve"> </w:t>
            </w:r>
            <w:r w:rsidRPr="00646A7D">
              <w:rPr>
                <w:rFonts w:eastAsiaTheme="minorEastAsia"/>
                <w:szCs w:val="21"/>
              </w:rPr>
              <w:t>指标，选择部分标的指数成份股构建基金股票投资组</w:t>
            </w:r>
            <w:r w:rsidRPr="00646A7D">
              <w:rPr>
                <w:rFonts w:eastAsiaTheme="minorEastAsia"/>
                <w:szCs w:val="21"/>
              </w:rPr>
              <w:t xml:space="preserve"> </w:t>
            </w:r>
            <w:r w:rsidRPr="00646A7D">
              <w:rPr>
                <w:rFonts w:eastAsiaTheme="minorEastAsia"/>
                <w:szCs w:val="21"/>
              </w:rPr>
              <w:t>合，并通过优化模型确定投资组合中个股的权重，以</w:t>
            </w:r>
            <w:r w:rsidRPr="00646A7D">
              <w:rPr>
                <w:rFonts w:eastAsiaTheme="minorEastAsia"/>
                <w:szCs w:val="21"/>
              </w:rPr>
              <w:t xml:space="preserve"> </w:t>
            </w:r>
            <w:r w:rsidRPr="00646A7D">
              <w:rPr>
                <w:rFonts w:eastAsiaTheme="minorEastAsia"/>
                <w:szCs w:val="21"/>
              </w:rPr>
              <w:t>实现基金组合收益率和标的指数收益率跟踪偏离度</w:t>
            </w:r>
            <w:r w:rsidRPr="00646A7D">
              <w:rPr>
                <w:rFonts w:eastAsiaTheme="minorEastAsia"/>
                <w:szCs w:val="21"/>
              </w:rPr>
              <w:t xml:space="preserve"> </w:t>
            </w:r>
            <w:r w:rsidRPr="00646A7D">
              <w:rPr>
                <w:rFonts w:eastAsiaTheme="minorEastAsia"/>
                <w:szCs w:val="21"/>
              </w:rPr>
              <w:t>和跟踪误差的最小化。</w:t>
            </w:r>
          </w:p>
        </w:tc>
      </w:tr>
      <w:tr w:rsidR="00FD7A40" w:rsidRPr="00646A7D" w:rsidTr="00646A7D">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业绩比较基准</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上证</w:t>
            </w:r>
            <w:r w:rsidRPr="00646A7D">
              <w:rPr>
                <w:rFonts w:eastAsiaTheme="minorEastAsia"/>
                <w:szCs w:val="21"/>
              </w:rPr>
              <w:t>180</w:t>
            </w:r>
            <w:r w:rsidRPr="00646A7D">
              <w:rPr>
                <w:rFonts w:eastAsiaTheme="minorEastAsia"/>
                <w:szCs w:val="21"/>
              </w:rPr>
              <w:t>指数</w:t>
            </w:r>
          </w:p>
        </w:tc>
      </w:tr>
      <w:tr w:rsidR="00FD7A40" w:rsidRPr="00646A7D" w:rsidTr="00646A7D">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autoSpaceDE w:val="0"/>
              <w:autoSpaceDN w:val="0"/>
              <w:adjustRightInd w:val="0"/>
              <w:spacing w:before="29" w:line="360" w:lineRule="auto"/>
              <w:ind w:left="15"/>
              <w:jc w:val="left"/>
              <w:rPr>
                <w:rFonts w:eastAsiaTheme="minorEastAsia"/>
                <w:kern w:val="0"/>
                <w:szCs w:val="21"/>
              </w:rPr>
            </w:pPr>
            <w:r w:rsidRPr="00646A7D">
              <w:rPr>
                <w:rFonts w:eastAsiaTheme="minorEastAsia"/>
                <w:kern w:val="0"/>
                <w:szCs w:val="21"/>
              </w:rPr>
              <w:t>风险收益特征</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646A7D" w:rsidRDefault="00FD7A40" w:rsidP="00A47B26">
            <w:pPr>
              <w:jc w:val="left"/>
              <w:rPr>
                <w:rFonts w:eastAsiaTheme="minorEastAsia"/>
                <w:szCs w:val="21"/>
              </w:rPr>
            </w:pPr>
            <w:r w:rsidRPr="00646A7D">
              <w:rPr>
                <w:rFonts w:eastAsiaTheme="minorEastAsia"/>
                <w:szCs w:val="21"/>
              </w:rPr>
              <w:t>本基金属股票基金，风险与收益高于混合基金、债券基金与货币市场基金。本基金为指数型基金，采用抽样复制策略，跟踪上证</w:t>
            </w:r>
            <w:r w:rsidRPr="00646A7D">
              <w:rPr>
                <w:rFonts w:eastAsiaTheme="minorEastAsia"/>
                <w:szCs w:val="21"/>
              </w:rPr>
              <w:t>180</w:t>
            </w:r>
            <w:r w:rsidRPr="00646A7D">
              <w:rPr>
                <w:rFonts w:eastAsiaTheme="minorEastAsia"/>
                <w:szCs w:val="21"/>
              </w:rPr>
              <w:t>指数，是股票基金中风险中等、收益中等的产品。</w:t>
            </w:r>
          </w:p>
        </w:tc>
      </w:tr>
    </w:tbl>
    <w:p w:rsidR="001548F9" w:rsidRPr="00646A7D" w:rsidRDefault="001548F9" w:rsidP="000E18D9">
      <w:pPr>
        <w:pStyle w:val="20"/>
        <w:spacing w:beforeLines="100" w:before="312" w:after="0"/>
        <w:jc w:val="left"/>
        <w:rPr>
          <w:rFonts w:ascii="Times New Roman" w:eastAsiaTheme="minorEastAsia" w:hAnsi="Times New Roman"/>
          <w:kern w:val="0"/>
          <w:sz w:val="21"/>
          <w:szCs w:val="21"/>
        </w:rPr>
      </w:pPr>
      <w:bookmarkStart w:id="7" w:name="_Toc331410071"/>
      <w:bookmarkStart w:id="8" w:name="_Toc225498247"/>
      <w:r w:rsidRPr="00646A7D">
        <w:rPr>
          <w:rFonts w:ascii="Times New Roman" w:eastAsiaTheme="minorEastAsia" w:hAnsi="Times New Roman"/>
          <w:kern w:val="0"/>
          <w:sz w:val="21"/>
          <w:szCs w:val="21"/>
        </w:rPr>
        <w:t xml:space="preserve">2.3 </w:t>
      </w:r>
      <w:r w:rsidRPr="00646A7D">
        <w:rPr>
          <w:rFonts w:ascii="Times New Roman" w:eastAsiaTheme="minorEastAsia" w:hAnsi="Times New Roman"/>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项目</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基金管理人</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基金托管人</w:t>
            </w:r>
          </w:p>
        </w:tc>
      </w:tr>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rPr>
                <w:rFonts w:eastAsiaTheme="minorEastAsia"/>
                <w:color w:val="000000"/>
                <w:kern w:val="0"/>
                <w:szCs w:val="21"/>
              </w:rPr>
            </w:pPr>
            <w:r w:rsidRPr="00646A7D">
              <w:rPr>
                <w:rFonts w:eastAsiaTheme="minorEastAsia"/>
                <w:color w:val="000000"/>
                <w:kern w:val="0"/>
                <w:szCs w:val="21"/>
              </w:rPr>
              <w:t>名称</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华安基金管理有限公司</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中国建设银行股份有限公司</w:t>
            </w:r>
          </w:p>
        </w:tc>
      </w:tr>
      <w:tr w:rsidR="001548F9" w:rsidRPr="00646A7D" w:rsidTr="00646A7D">
        <w:tc>
          <w:tcPr>
            <w:tcW w:w="1260" w:type="dxa"/>
            <w:vMerge w:val="restart"/>
            <w:vAlign w:val="center"/>
          </w:tcPr>
          <w:p w:rsidR="001548F9" w:rsidRPr="00646A7D" w:rsidRDefault="001548F9">
            <w:pPr>
              <w:autoSpaceDE w:val="0"/>
              <w:autoSpaceDN w:val="0"/>
              <w:adjustRightInd w:val="0"/>
              <w:spacing w:before="29" w:line="360" w:lineRule="auto"/>
              <w:ind w:left="15"/>
              <w:rPr>
                <w:rFonts w:eastAsiaTheme="minorEastAsia"/>
                <w:color w:val="000000"/>
                <w:kern w:val="0"/>
                <w:szCs w:val="21"/>
              </w:rPr>
            </w:pPr>
            <w:r w:rsidRPr="00646A7D">
              <w:rPr>
                <w:rFonts w:eastAsiaTheme="minorEastAsia"/>
                <w:color w:val="000000"/>
                <w:szCs w:val="21"/>
              </w:rPr>
              <w:t>信息披露负责人</w:t>
            </w:r>
          </w:p>
        </w:tc>
        <w:tc>
          <w:tcPr>
            <w:tcW w:w="1371"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陆滢</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田青</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联系电话</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021-38969999</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010-67595096</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电子邮箱</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luying@huaan.com.cn</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tianqing1.zh@ccb.com</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t>客户服务电话</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4008850099</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010-67595096</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t>传真</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021-68863414</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010-66275853</w:t>
            </w:r>
          </w:p>
        </w:tc>
      </w:tr>
    </w:tbl>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9" w:name="_Toc331410072"/>
      <w:bookmarkStart w:id="10" w:name="_Toc225498248"/>
      <w:r w:rsidRPr="00646A7D">
        <w:rPr>
          <w:rFonts w:ascii="Times New Roman" w:eastAsiaTheme="minorEastAsia" w:hAnsi="Times New Roman"/>
          <w:kern w:val="0"/>
          <w:sz w:val="21"/>
          <w:szCs w:val="21"/>
        </w:rPr>
        <w:t xml:space="preserve">2.4 </w:t>
      </w:r>
      <w:r w:rsidRPr="00646A7D">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登载基金</w:t>
            </w:r>
            <w:r w:rsidR="00106605" w:rsidRPr="00646A7D">
              <w:rPr>
                <w:rFonts w:eastAsiaTheme="minorEastAsia"/>
                <w:color w:val="000000"/>
                <w:szCs w:val="21"/>
              </w:rPr>
              <w:t>半</w:t>
            </w:r>
            <w:r w:rsidR="00C7084C" w:rsidRPr="00646A7D">
              <w:rPr>
                <w:rFonts w:eastAsiaTheme="minorEastAsia"/>
                <w:color w:val="000000"/>
                <w:szCs w:val="21"/>
              </w:rPr>
              <w:t>年度报告摘要</w:t>
            </w:r>
            <w:r w:rsidRPr="00646A7D">
              <w:rPr>
                <w:rFonts w:eastAsiaTheme="minorEastAsia"/>
                <w:color w:val="000000"/>
                <w:szCs w:val="21"/>
              </w:rPr>
              <w:t>的管理人互联网网址</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www.huaan.com.cn</w:t>
            </w:r>
          </w:p>
        </w:tc>
      </w:tr>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基金</w:t>
            </w:r>
            <w:r w:rsidR="00813F84" w:rsidRPr="00646A7D">
              <w:rPr>
                <w:rFonts w:eastAsiaTheme="minorEastAsia"/>
                <w:color w:val="000000"/>
                <w:szCs w:val="21"/>
              </w:rPr>
              <w:t>半</w:t>
            </w:r>
            <w:r w:rsidRPr="00646A7D">
              <w:rPr>
                <w:rFonts w:eastAsiaTheme="minorEastAsia"/>
                <w:color w:val="000000"/>
                <w:szCs w:val="21"/>
              </w:rPr>
              <w:t>年度报告备置地点</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上海市世纪大道</w:t>
            </w:r>
            <w:r w:rsidRPr="00646A7D">
              <w:rPr>
                <w:rFonts w:eastAsiaTheme="minorEastAsia"/>
                <w:color w:val="000000"/>
                <w:szCs w:val="21"/>
              </w:rPr>
              <w:t>8</w:t>
            </w:r>
            <w:r w:rsidRPr="00646A7D">
              <w:rPr>
                <w:rFonts w:eastAsiaTheme="minorEastAsia"/>
                <w:color w:val="000000"/>
                <w:szCs w:val="21"/>
              </w:rPr>
              <w:t>号上海国金中心二期</w:t>
            </w:r>
            <w:r w:rsidRPr="00646A7D">
              <w:rPr>
                <w:rFonts w:eastAsiaTheme="minorEastAsia"/>
                <w:color w:val="000000"/>
                <w:szCs w:val="21"/>
              </w:rPr>
              <w:t>31</w:t>
            </w:r>
            <w:r w:rsidRPr="00646A7D">
              <w:rPr>
                <w:rFonts w:eastAsiaTheme="minorEastAsia"/>
                <w:color w:val="000000"/>
                <w:szCs w:val="21"/>
              </w:rPr>
              <w:t>、</w:t>
            </w:r>
            <w:r w:rsidRPr="00646A7D">
              <w:rPr>
                <w:rFonts w:eastAsiaTheme="minorEastAsia"/>
                <w:color w:val="000000"/>
                <w:szCs w:val="21"/>
              </w:rPr>
              <w:t>32</w:t>
            </w:r>
            <w:r w:rsidRPr="00646A7D">
              <w:rPr>
                <w:rFonts w:eastAsiaTheme="minorEastAsia"/>
                <w:color w:val="000000"/>
                <w:szCs w:val="21"/>
              </w:rPr>
              <w:t>层</w:t>
            </w:r>
          </w:p>
        </w:tc>
      </w:tr>
    </w:tbl>
    <w:p w:rsidR="001548F9" w:rsidRPr="00646A7D" w:rsidRDefault="001548F9" w:rsidP="000E18D9">
      <w:pPr>
        <w:pStyle w:val="1"/>
        <w:keepNext/>
        <w:keepLines/>
        <w:widowControl w:val="0"/>
        <w:spacing w:beforeLines="100" w:before="312" w:afterLines="100" w:after="312"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646A7D">
        <w:rPr>
          <w:rFonts w:eastAsiaTheme="minorEastAsia"/>
          <w:b/>
          <w:bCs/>
          <w:sz w:val="21"/>
          <w:szCs w:val="21"/>
          <w:lang w:val="en-US"/>
        </w:rPr>
        <w:t xml:space="preserve">3  </w:t>
      </w:r>
      <w:r w:rsidRPr="00646A7D">
        <w:rPr>
          <w:rFonts w:eastAsiaTheme="minorEastAsia"/>
          <w:b/>
          <w:bCs/>
          <w:sz w:val="21"/>
          <w:szCs w:val="21"/>
          <w:lang w:val="en-US"/>
        </w:rPr>
        <w:t>主要财务指标和基金净值表现</w:t>
      </w:r>
      <w:bookmarkEnd w:id="11"/>
      <w:bookmarkEnd w:id="12"/>
    </w:p>
    <w:p w:rsidR="001548F9" w:rsidRPr="00646A7D" w:rsidRDefault="001548F9" w:rsidP="003576C9">
      <w:pPr>
        <w:pStyle w:val="20"/>
        <w:spacing w:before="0" w:after="0"/>
        <w:rPr>
          <w:rFonts w:ascii="Times New Roman" w:eastAsiaTheme="minorEastAsia" w:hAnsi="Times New Roman"/>
          <w:kern w:val="0"/>
          <w:sz w:val="21"/>
          <w:szCs w:val="21"/>
        </w:rPr>
      </w:pPr>
      <w:bookmarkStart w:id="15" w:name="_Toc286996129"/>
      <w:r w:rsidRPr="00646A7D">
        <w:rPr>
          <w:rFonts w:ascii="Times New Roman" w:eastAsiaTheme="minorEastAsia" w:hAnsi="Times New Roman"/>
          <w:kern w:val="0"/>
          <w:sz w:val="21"/>
          <w:szCs w:val="21"/>
        </w:rPr>
        <w:t xml:space="preserve">3.1 </w:t>
      </w:r>
      <w:r w:rsidRPr="00646A7D">
        <w:rPr>
          <w:rFonts w:ascii="Times New Roman" w:eastAsiaTheme="minorEastAsia" w:hAnsi="Times New Roman"/>
          <w:kern w:val="0"/>
          <w:sz w:val="21"/>
          <w:szCs w:val="21"/>
        </w:rPr>
        <w:t>主要会计数据和财务指标</w:t>
      </w:r>
      <w:bookmarkEnd w:id="15"/>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1548F9" w:rsidRPr="00646A7D" w:rsidTr="00646A7D">
        <w:trPr>
          <w:trHeight w:val="487"/>
        </w:trPr>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3.1.1 </w:t>
            </w:r>
            <w:r w:rsidRPr="00646A7D">
              <w:rPr>
                <w:rFonts w:eastAsiaTheme="minorEastAsia"/>
                <w:b/>
                <w:szCs w:val="21"/>
              </w:rPr>
              <w:t>期间数据和指标</w:t>
            </w:r>
          </w:p>
        </w:tc>
        <w:tc>
          <w:tcPr>
            <w:tcW w:w="4744" w:type="dxa"/>
            <w:vAlign w:val="center"/>
          </w:tcPr>
          <w:p w:rsidR="001548F9" w:rsidRPr="00646A7D" w:rsidRDefault="001548F9" w:rsidP="0070173B">
            <w:pPr>
              <w:jc w:val="center"/>
              <w:rPr>
                <w:rFonts w:eastAsiaTheme="minorEastAsia"/>
                <w:b/>
                <w:szCs w:val="21"/>
              </w:rPr>
            </w:pPr>
            <w:r w:rsidRPr="00646A7D">
              <w:rPr>
                <w:rFonts w:eastAsiaTheme="minorEastAsia"/>
                <w:b/>
                <w:szCs w:val="21"/>
              </w:rPr>
              <w:t>报告期（</w:t>
            </w:r>
            <w:r w:rsidR="00A43357" w:rsidRPr="00646A7D">
              <w:rPr>
                <w:rFonts w:eastAsiaTheme="minorEastAsia"/>
                <w:b/>
                <w:szCs w:val="21"/>
              </w:rPr>
              <w:t>2019</w:t>
            </w:r>
            <w:r w:rsidR="00A43357" w:rsidRPr="00646A7D">
              <w:rPr>
                <w:rFonts w:eastAsiaTheme="minorEastAsia"/>
                <w:b/>
                <w:szCs w:val="21"/>
              </w:rPr>
              <w:t>年</w:t>
            </w:r>
            <w:r w:rsidR="00A43357" w:rsidRPr="00646A7D">
              <w:rPr>
                <w:rFonts w:eastAsiaTheme="minorEastAsia"/>
                <w:b/>
                <w:szCs w:val="21"/>
              </w:rPr>
              <w:t>1</w:t>
            </w:r>
            <w:r w:rsidR="00A43357" w:rsidRPr="00646A7D">
              <w:rPr>
                <w:rFonts w:eastAsiaTheme="minorEastAsia"/>
                <w:b/>
                <w:szCs w:val="21"/>
              </w:rPr>
              <w:t>月</w:t>
            </w:r>
            <w:r w:rsidR="00A43357" w:rsidRPr="00646A7D">
              <w:rPr>
                <w:rFonts w:eastAsiaTheme="minorEastAsia"/>
                <w:b/>
                <w:szCs w:val="21"/>
              </w:rPr>
              <w:t>1</w:t>
            </w:r>
            <w:r w:rsidR="00A43357" w:rsidRPr="00646A7D">
              <w:rPr>
                <w:rFonts w:eastAsiaTheme="minorEastAsia"/>
                <w:b/>
                <w:szCs w:val="21"/>
              </w:rPr>
              <w:t>日至</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本期已实现收益</w:t>
            </w:r>
          </w:p>
        </w:tc>
        <w:tc>
          <w:tcPr>
            <w:tcW w:w="4744" w:type="dxa"/>
            <w:vAlign w:val="bottom"/>
          </w:tcPr>
          <w:p w:rsidR="001548F9" w:rsidRPr="00646A7D" w:rsidRDefault="001548F9" w:rsidP="008A1B95">
            <w:pPr>
              <w:jc w:val="right"/>
              <w:rPr>
                <w:rFonts w:eastAsiaTheme="minorEastAsia"/>
                <w:szCs w:val="21"/>
              </w:rPr>
            </w:pPr>
            <w:r w:rsidRPr="00646A7D">
              <w:rPr>
                <w:rFonts w:eastAsiaTheme="minorEastAsia"/>
                <w:szCs w:val="21"/>
              </w:rPr>
              <w:t>5,726,675.74</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69,665,101.27</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加权平均基金份额本期利润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0.3087</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本期基金份额净值增长率</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25.41%</w:t>
            </w:r>
          </w:p>
        </w:tc>
      </w:tr>
      <w:tr w:rsidR="001548F9" w:rsidRPr="00646A7D" w:rsidTr="00646A7D">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3.1.2 </w:t>
            </w:r>
            <w:r w:rsidRPr="00646A7D">
              <w:rPr>
                <w:rFonts w:eastAsiaTheme="minorEastAsia"/>
                <w:b/>
                <w:szCs w:val="21"/>
              </w:rPr>
              <w:t>期末数据和指标</w:t>
            </w:r>
          </w:p>
        </w:tc>
        <w:tc>
          <w:tcPr>
            <w:tcW w:w="4744" w:type="dxa"/>
            <w:vAlign w:val="center"/>
          </w:tcPr>
          <w:p w:rsidR="001548F9" w:rsidRPr="00646A7D" w:rsidRDefault="001548F9" w:rsidP="00973C23">
            <w:pPr>
              <w:jc w:val="center"/>
              <w:rPr>
                <w:rFonts w:eastAsiaTheme="minorEastAsia"/>
                <w:b/>
                <w:szCs w:val="21"/>
              </w:rPr>
            </w:pPr>
            <w:r w:rsidRPr="00646A7D">
              <w:rPr>
                <w:rFonts w:eastAsiaTheme="minorEastAsia"/>
                <w:b/>
                <w:szCs w:val="21"/>
              </w:rPr>
              <w:t>报告期末</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r w:rsidRPr="00646A7D">
              <w:rPr>
                <w:rFonts w:eastAsiaTheme="minorEastAsia"/>
                <w:b/>
                <w:szCs w:val="21"/>
              </w:rPr>
              <w:t>)</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期末可供分配基金份额利润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0.4534</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期末基金资产净值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309,325,337.68</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期末基金份额净值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1.4534</w:t>
            </w:r>
          </w:p>
        </w:tc>
      </w:tr>
    </w:tbl>
    <w:bookmarkEnd w:id="13"/>
    <w:bookmarkEnd w:id="14"/>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所述基金业绩指标不包括持有人认购或交易基金的各项费用，计入费用后实际收益水平要低于所列数字。</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 xml:space="preserve">3) </w:t>
      </w:r>
      <w:r w:rsidRPr="00646A7D">
        <w:rPr>
          <w:rFonts w:eastAsiaTheme="minorEastAsia"/>
          <w:kern w:val="0"/>
          <w:szCs w:val="21"/>
        </w:rPr>
        <w:t>期末可供分配利润采用期末资产负债表中未分配利润与未分配利润中已实现部分的孰低数（为期末余额，不是当期发生数）。</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16" w:name="_Toc331410076"/>
      <w:bookmarkStart w:id="17" w:name="_Toc225498252"/>
      <w:r w:rsidRPr="00646A7D">
        <w:rPr>
          <w:rFonts w:ascii="Times New Roman" w:eastAsiaTheme="minorEastAsia" w:hAnsi="Times New Roman"/>
          <w:kern w:val="0"/>
          <w:sz w:val="21"/>
          <w:szCs w:val="21"/>
        </w:rPr>
        <w:t xml:space="preserve">3.2 </w:t>
      </w:r>
      <w:r w:rsidRPr="00646A7D">
        <w:rPr>
          <w:rFonts w:ascii="Times New Roman" w:eastAsiaTheme="minorEastAsia" w:hAnsi="Times New Roman"/>
          <w:kern w:val="0"/>
          <w:sz w:val="21"/>
          <w:szCs w:val="21"/>
        </w:rPr>
        <w:t>基金净值表现</w:t>
      </w:r>
      <w:bookmarkEnd w:id="16"/>
      <w:bookmarkEnd w:id="17"/>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3.2.1 </w:t>
      </w:r>
      <w:r w:rsidRPr="00646A7D">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646A7D" w:rsidTr="00646A7D">
        <w:tc>
          <w:tcPr>
            <w:tcW w:w="162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阶段</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w:t>
            </w:r>
            <w:r w:rsidRPr="00646A7D">
              <w:rPr>
                <w:rFonts w:ascii="宋体" w:hAnsi="宋体" w:cs="宋体" w:hint="eastAsia"/>
                <w:color w:val="000000"/>
                <w:szCs w:val="21"/>
              </w:rPr>
              <w:t>①</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份额净值增长率标准差</w:t>
            </w:r>
            <w:r w:rsidRPr="00646A7D">
              <w:rPr>
                <w:rFonts w:ascii="宋体" w:hAnsi="宋体" w:cs="宋体" w:hint="eastAsia"/>
                <w:color w:val="000000"/>
                <w:szCs w:val="21"/>
              </w:rPr>
              <w:t>②</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业绩比较基准收益率标准差</w:t>
            </w:r>
            <w:r w:rsidRPr="00646A7D">
              <w:rPr>
                <w:rFonts w:ascii="宋体" w:hAnsi="宋体" w:cs="宋体" w:hint="eastAsia"/>
                <w:color w:val="000000"/>
                <w:szCs w:val="21"/>
              </w:rPr>
              <w:t>④</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①</w:t>
            </w:r>
            <w:r w:rsidRPr="00646A7D">
              <w:rPr>
                <w:rFonts w:eastAsiaTheme="minorEastAsia"/>
                <w:color w:val="000000"/>
                <w:szCs w:val="21"/>
              </w:rPr>
              <w:t>－</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②</w:t>
            </w:r>
            <w:r w:rsidRPr="00646A7D">
              <w:rPr>
                <w:rFonts w:eastAsiaTheme="minorEastAsia"/>
                <w:color w:val="000000"/>
                <w:szCs w:val="21"/>
              </w:rPr>
              <w:t>－</w:t>
            </w:r>
            <w:r w:rsidRPr="00646A7D">
              <w:rPr>
                <w:rFonts w:ascii="宋体" w:hAnsi="宋体" w:cs="宋体" w:hint="eastAsia"/>
                <w:color w:val="000000"/>
                <w:szCs w:val="21"/>
              </w:rPr>
              <w:t>④</w:t>
            </w:r>
          </w:p>
        </w:tc>
      </w:tr>
      <w:tr w:rsidR="007951F4">
        <w:tc>
          <w:tcPr>
            <w:tcW w:w="1620" w:type="dxa"/>
            <w:vAlign w:val="center"/>
          </w:tcPr>
          <w:p w:rsidR="007951F4" w:rsidRDefault="005757D9">
            <w:pPr>
              <w:jc w:val="left"/>
            </w:pPr>
            <w:r>
              <w:rPr>
                <w:rFonts w:eastAsiaTheme="minorEastAsia"/>
                <w:color w:val="000000"/>
                <w:szCs w:val="21"/>
              </w:rPr>
              <w:t>过去一个月</w:t>
            </w:r>
          </w:p>
        </w:tc>
        <w:tc>
          <w:tcPr>
            <w:tcW w:w="1350" w:type="dxa"/>
            <w:vAlign w:val="center"/>
          </w:tcPr>
          <w:p w:rsidR="007951F4" w:rsidRDefault="005757D9">
            <w:pPr>
              <w:jc w:val="center"/>
            </w:pPr>
            <w:r>
              <w:rPr>
                <w:rFonts w:eastAsiaTheme="minorEastAsia"/>
                <w:color w:val="000000"/>
                <w:szCs w:val="21"/>
              </w:rPr>
              <w:t>6.38%</w:t>
            </w:r>
          </w:p>
        </w:tc>
        <w:tc>
          <w:tcPr>
            <w:tcW w:w="1350" w:type="dxa"/>
            <w:vAlign w:val="center"/>
          </w:tcPr>
          <w:p w:rsidR="007951F4" w:rsidRDefault="005757D9">
            <w:pPr>
              <w:jc w:val="center"/>
            </w:pPr>
            <w:r>
              <w:rPr>
                <w:rFonts w:eastAsiaTheme="minorEastAsia"/>
                <w:color w:val="000000"/>
                <w:szCs w:val="21"/>
              </w:rPr>
              <w:t>1.09%</w:t>
            </w:r>
          </w:p>
        </w:tc>
        <w:tc>
          <w:tcPr>
            <w:tcW w:w="1350" w:type="dxa"/>
            <w:vAlign w:val="center"/>
          </w:tcPr>
          <w:p w:rsidR="007951F4" w:rsidRDefault="005757D9">
            <w:pPr>
              <w:jc w:val="center"/>
            </w:pPr>
            <w:r>
              <w:rPr>
                <w:rFonts w:eastAsiaTheme="minorEastAsia"/>
                <w:color w:val="000000"/>
                <w:szCs w:val="21"/>
              </w:rPr>
              <w:t>5.72%</w:t>
            </w:r>
          </w:p>
        </w:tc>
        <w:tc>
          <w:tcPr>
            <w:tcW w:w="1350" w:type="dxa"/>
            <w:vAlign w:val="center"/>
          </w:tcPr>
          <w:p w:rsidR="007951F4" w:rsidRDefault="005757D9">
            <w:pPr>
              <w:jc w:val="center"/>
            </w:pPr>
            <w:r>
              <w:rPr>
                <w:rFonts w:eastAsiaTheme="minorEastAsia"/>
                <w:color w:val="000000"/>
                <w:szCs w:val="21"/>
              </w:rPr>
              <w:t>1.07%</w:t>
            </w:r>
          </w:p>
        </w:tc>
        <w:tc>
          <w:tcPr>
            <w:tcW w:w="1350" w:type="dxa"/>
            <w:vAlign w:val="center"/>
          </w:tcPr>
          <w:p w:rsidR="007951F4" w:rsidRDefault="005757D9">
            <w:pPr>
              <w:jc w:val="center"/>
            </w:pPr>
            <w:r>
              <w:rPr>
                <w:rFonts w:eastAsiaTheme="minorEastAsia"/>
                <w:color w:val="000000"/>
                <w:szCs w:val="21"/>
              </w:rPr>
              <w:t>0.66%</w:t>
            </w:r>
          </w:p>
        </w:tc>
        <w:tc>
          <w:tcPr>
            <w:tcW w:w="1350" w:type="dxa"/>
            <w:vAlign w:val="center"/>
          </w:tcPr>
          <w:p w:rsidR="007951F4" w:rsidRDefault="005757D9">
            <w:pPr>
              <w:jc w:val="center"/>
            </w:pPr>
            <w:r>
              <w:rPr>
                <w:rFonts w:eastAsiaTheme="minorEastAsia"/>
                <w:color w:val="000000"/>
                <w:szCs w:val="21"/>
              </w:rPr>
              <w:t>0.02%</w:t>
            </w:r>
          </w:p>
        </w:tc>
      </w:tr>
      <w:tr w:rsidR="007951F4">
        <w:tc>
          <w:tcPr>
            <w:tcW w:w="1620" w:type="dxa"/>
            <w:vAlign w:val="center"/>
          </w:tcPr>
          <w:p w:rsidR="007951F4" w:rsidRDefault="005757D9">
            <w:pPr>
              <w:jc w:val="left"/>
            </w:pPr>
            <w:r>
              <w:rPr>
                <w:rFonts w:eastAsiaTheme="minorEastAsia"/>
                <w:color w:val="000000"/>
                <w:szCs w:val="21"/>
              </w:rPr>
              <w:t>过去三个月</w:t>
            </w:r>
          </w:p>
        </w:tc>
        <w:tc>
          <w:tcPr>
            <w:tcW w:w="1350" w:type="dxa"/>
            <w:vAlign w:val="center"/>
          </w:tcPr>
          <w:p w:rsidR="007951F4" w:rsidRDefault="005757D9">
            <w:pPr>
              <w:jc w:val="center"/>
            </w:pPr>
            <w:r>
              <w:rPr>
                <w:rFonts w:eastAsiaTheme="minorEastAsia"/>
                <w:color w:val="000000"/>
                <w:szCs w:val="21"/>
              </w:rPr>
              <w:t>1.79%</w:t>
            </w:r>
          </w:p>
        </w:tc>
        <w:tc>
          <w:tcPr>
            <w:tcW w:w="1350" w:type="dxa"/>
            <w:vAlign w:val="center"/>
          </w:tcPr>
          <w:p w:rsidR="007951F4" w:rsidRDefault="005757D9">
            <w:pPr>
              <w:jc w:val="center"/>
            </w:pPr>
            <w:r>
              <w:rPr>
                <w:rFonts w:eastAsiaTheme="minorEastAsia"/>
                <w:color w:val="000000"/>
                <w:szCs w:val="21"/>
              </w:rPr>
              <w:t>1.37%</w:t>
            </w:r>
          </w:p>
        </w:tc>
        <w:tc>
          <w:tcPr>
            <w:tcW w:w="1350" w:type="dxa"/>
            <w:vAlign w:val="center"/>
          </w:tcPr>
          <w:p w:rsidR="007951F4" w:rsidRDefault="005757D9">
            <w:pPr>
              <w:jc w:val="center"/>
            </w:pPr>
            <w:r>
              <w:rPr>
                <w:rFonts w:eastAsiaTheme="minorEastAsia"/>
                <w:color w:val="000000"/>
                <w:szCs w:val="21"/>
              </w:rPr>
              <w:t>0.51%</w:t>
            </w:r>
          </w:p>
        </w:tc>
        <w:tc>
          <w:tcPr>
            <w:tcW w:w="1350" w:type="dxa"/>
            <w:vAlign w:val="center"/>
          </w:tcPr>
          <w:p w:rsidR="007951F4" w:rsidRDefault="005757D9">
            <w:pPr>
              <w:jc w:val="center"/>
            </w:pPr>
            <w:r>
              <w:rPr>
                <w:rFonts w:eastAsiaTheme="minorEastAsia"/>
                <w:color w:val="000000"/>
                <w:szCs w:val="21"/>
              </w:rPr>
              <w:t>1.37%</w:t>
            </w:r>
          </w:p>
        </w:tc>
        <w:tc>
          <w:tcPr>
            <w:tcW w:w="1350" w:type="dxa"/>
            <w:vAlign w:val="center"/>
          </w:tcPr>
          <w:p w:rsidR="007951F4" w:rsidRDefault="005757D9">
            <w:pPr>
              <w:jc w:val="center"/>
            </w:pPr>
            <w:r>
              <w:rPr>
                <w:rFonts w:eastAsiaTheme="minorEastAsia"/>
                <w:color w:val="000000"/>
                <w:szCs w:val="21"/>
              </w:rPr>
              <w:t>1.28%</w:t>
            </w:r>
          </w:p>
        </w:tc>
        <w:tc>
          <w:tcPr>
            <w:tcW w:w="1350" w:type="dxa"/>
            <w:vAlign w:val="center"/>
          </w:tcPr>
          <w:p w:rsidR="007951F4" w:rsidRDefault="005757D9">
            <w:pPr>
              <w:jc w:val="center"/>
            </w:pPr>
            <w:r>
              <w:rPr>
                <w:rFonts w:eastAsiaTheme="minorEastAsia"/>
                <w:color w:val="000000"/>
                <w:szCs w:val="21"/>
              </w:rPr>
              <w:t>0.00%</w:t>
            </w:r>
          </w:p>
        </w:tc>
      </w:tr>
      <w:tr w:rsidR="007951F4">
        <w:tc>
          <w:tcPr>
            <w:tcW w:w="1620" w:type="dxa"/>
            <w:vAlign w:val="center"/>
          </w:tcPr>
          <w:p w:rsidR="007951F4" w:rsidRDefault="005757D9">
            <w:pPr>
              <w:jc w:val="left"/>
            </w:pPr>
            <w:r>
              <w:rPr>
                <w:rFonts w:eastAsiaTheme="minorEastAsia"/>
                <w:color w:val="000000"/>
                <w:szCs w:val="21"/>
              </w:rPr>
              <w:t>过去六个月</w:t>
            </w:r>
          </w:p>
        </w:tc>
        <w:tc>
          <w:tcPr>
            <w:tcW w:w="1350" w:type="dxa"/>
            <w:vAlign w:val="center"/>
          </w:tcPr>
          <w:p w:rsidR="007951F4" w:rsidRDefault="005757D9">
            <w:pPr>
              <w:jc w:val="center"/>
            </w:pPr>
            <w:r>
              <w:rPr>
                <w:rFonts w:eastAsiaTheme="minorEastAsia"/>
                <w:color w:val="000000"/>
                <w:szCs w:val="21"/>
              </w:rPr>
              <w:t>25.41%</w:t>
            </w:r>
          </w:p>
        </w:tc>
        <w:tc>
          <w:tcPr>
            <w:tcW w:w="1350" w:type="dxa"/>
            <w:vAlign w:val="center"/>
          </w:tcPr>
          <w:p w:rsidR="007951F4" w:rsidRDefault="005757D9">
            <w:pPr>
              <w:jc w:val="center"/>
            </w:pPr>
            <w:r>
              <w:rPr>
                <w:rFonts w:eastAsiaTheme="minorEastAsia"/>
                <w:color w:val="000000"/>
                <w:szCs w:val="21"/>
              </w:rPr>
              <w:t>1.41%</w:t>
            </w:r>
          </w:p>
        </w:tc>
        <w:tc>
          <w:tcPr>
            <w:tcW w:w="1350" w:type="dxa"/>
            <w:vAlign w:val="center"/>
          </w:tcPr>
          <w:p w:rsidR="007951F4" w:rsidRDefault="005757D9">
            <w:pPr>
              <w:jc w:val="center"/>
            </w:pPr>
            <w:r>
              <w:rPr>
                <w:rFonts w:eastAsiaTheme="minorEastAsia"/>
                <w:color w:val="000000"/>
                <w:szCs w:val="21"/>
              </w:rPr>
              <w:t>24.71%</w:t>
            </w:r>
          </w:p>
        </w:tc>
        <w:tc>
          <w:tcPr>
            <w:tcW w:w="1350" w:type="dxa"/>
            <w:vAlign w:val="center"/>
          </w:tcPr>
          <w:p w:rsidR="007951F4" w:rsidRDefault="005757D9">
            <w:pPr>
              <w:jc w:val="center"/>
            </w:pPr>
            <w:r>
              <w:rPr>
                <w:rFonts w:eastAsiaTheme="minorEastAsia"/>
                <w:color w:val="000000"/>
                <w:szCs w:val="21"/>
              </w:rPr>
              <w:t>1.42%</w:t>
            </w:r>
          </w:p>
        </w:tc>
        <w:tc>
          <w:tcPr>
            <w:tcW w:w="1350" w:type="dxa"/>
            <w:vAlign w:val="center"/>
          </w:tcPr>
          <w:p w:rsidR="007951F4" w:rsidRDefault="005757D9">
            <w:pPr>
              <w:jc w:val="center"/>
            </w:pPr>
            <w:r>
              <w:rPr>
                <w:rFonts w:eastAsiaTheme="minorEastAsia"/>
                <w:color w:val="000000"/>
                <w:szCs w:val="21"/>
              </w:rPr>
              <w:t>0.70%</w:t>
            </w:r>
          </w:p>
        </w:tc>
        <w:tc>
          <w:tcPr>
            <w:tcW w:w="1350" w:type="dxa"/>
            <w:vAlign w:val="center"/>
          </w:tcPr>
          <w:p w:rsidR="007951F4" w:rsidRDefault="005757D9">
            <w:pPr>
              <w:jc w:val="center"/>
            </w:pPr>
            <w:r>
              <w:rPr>
                <w:rFonts w:eastAsiaTheme="minorEastAsia"/>
                <w:color w:val="000000"/>
                <w:szCs w:val="21"/>
              </w:rPr>
              <w:t>-0.01%</w:t>
            </w:r>
          </w:p>
        </w:tc>
      </w:tr>
      <w:tr w:rsidR="007951F4">
        <w:tc>
          <w:tcPr>
            <w:tcW w:w="1620" w:type="dxa"/>
            <w:vAlign w:val="center"/>
          </w:tcPr>
          <w:p w:rsidR="007951F4" w:rsidRDefault="005757D9">
            <w:pPr>
              <w:jc w:val="left"/>
            </w:pPr>
            <w:r>
              <w:rPr>
                <w:rFonts w:eastAsiaTheme="minorEastAsia"/>
                <w:color w:val="000000"/>
                <w:szCs w:val="21"/>
              </w:rPr>
              <w:t>过去一年</w:t>
            </w:r>
          </w:p>
        </w:tc>
        <w:tc>
          <w:tcPr>
            <w:tcW w:w="1350" w:type="dxa"/>
            <w:vAlign w:val="center"/>
          </w:tcPr>
          <w:p w:rsidR="007951F4" w:rsidRDefault="005757D9">
            <w:pPr>
              <w:jc w:val="center"/>
            </w:pPr>
            <w:r>
              <w:rPr>
                <w:rFonts w:eastAsiaTheme="minorEastAsia"/>
                <w:color w:val="000000"/>
                <w:szCs w:val="21"/>
              </w:rPr>
              <w:t>14.63%</w:t>
            </w:r>
          </w:p>
        </w:tc>
        <w:tc>
          <w:tcPr>
            <w:tcW w:w="1350" w:type="dxa"/>
            <w:vAlign w:val="center"/>
          </w:tcPr>
          <w:p w:rsidR="007951F4" w:rsidRDefault="005757D9">
            <w:pPr>
              <w:jc w:val="center"/>
            </w:pPr>
            <w:r>
              <w:rPr>
                <w:rFonts w:eastAsiaTheme="minorEastAsia"/>
                <w:color w:val="000000"/>
                <w:szCs w:val="21"/>
              </w:rPr>
              <w:t>1.38%</w:t>
            </w:r>
          </w:p>
        </w:tc>
        <w:tc>
          <w:tcPr>
            <w:tcW w:w="1350" w:type="dxa"/>
            <w:vAlign w:val="center"/>
          </w:tcPr>
          <w:p w:rsidR="007951F4" w:rsidRDefault="005757D9">
            <w:pPr>
              <w:jc w:val="center"/>
            </w:pPr>
            <w:r>
              <w:rPr>
                <w:rFonts w:eastAsiaTheme="minorEastAsia"/>
                <w:color w:val="000000"/>
                <w:szCs w:val="21"/>
              </w:rPr>
              <w:t>12.66%</w:t>
            </w:r>
          </w:p>
        </w:tc>
        <w:tc>
          <w:tcPr>
            <w:tcW w:w="1350" w:type="dxa"/>
            <w:vAlign w:val="center"/>
          </w:tcPr>
          <w:p w:rsidR="007951F4" w:rsidRDefault="005757D9">
            <w:pPr>
              <w:jc w:val="center"/>
            </w:pPr>
            <w:r>
              <w:rPr>
                <w:rFonts w:eastAsiaTheme="minorEastAsia"/>
                <w:color w:val="000000"/>
                <w:szCs w:val="21"/>
              </w:rPr>
              <w:t>1.40%</w:t>
            </w:r>
          </w:p>
        </w:tc>
        <w:tc>
          <w:tcPr>
            <w:tcW w:w="1350" w:type="dxa"/>
            <w:vAlign w:val="center"/>
          </w:tcPr>
          <w:p w:rsidR="007951F4" w:rsidRDefault="005757D9">
            <w:pPr>
              <w:jc w:val="center"/>
            </w:pPr>
            <w:r>
              <w:rPr>
                <w:rFonts w:eastAsiaTheme="minorEastAsia"/>
                <w:color w:val="000000"/>
                <w:szCs w:val="21"/>
              </w:rPr>
              <w:t>1.97%</w:t>
            </w:r>
          </w:p>
        </w:tc>
        <w:tc>
          <w:tcPr>
            <w:tcW w:w="1350" w:type="dxa"/>
            <w:vAlign w:val="center"/>
          </w:tcPr>
          <w:p w:rsidR="007951F4" w:rsidRDefault="005757D9">
            <w:pPr>
              <w:jc w:val="center"/>
            </w:pPr>
            <w:r>
              <w:rPr>
                <w:rFonts w:eastAsiaTheme="minorEastAsia"/>
                <w:color w:val="000000"/>
                <w:szCs w:val="21"/>
              </w:rPr>
              <w:t>-0.02%</w:t>
            </w:r>
          </w:p>
        </w:tc>
      </w:tr>
      <w:tr w:rsidR="007951F4">
        <w:tc>
          <w:tcPr>
            <w:tcW w:w="1620" w:type="dxa"/>
            <w:vAlign w:val="center"/>
          </w:tcPr>
          <w:p w:rsidR="007951F4" w:rsidRDefault="005757D9">
            <w:pPr>
              <w:jc w:val="left"/>
            </w:pPr>
            <w:r>
              <w:rPr>
                <w:rFonts w:eastAsiaTheme="minorEastAsia"/>
                <w:color w:val="000000"/>
                <w:szCs w:val="21"/>
              </w:rPr>
              <w:t>过去三年</w:t>
            </w:r>
          </w:p>
        </w:tc>
        <w:tc>
          <w:tcPr>
            <w:tcW w:w="1350" w:type="dxa"/>
            <w:vAlign w:val="center"/>
          </w:tcPr>
          <w:p w:rsidR="007951F4" w:rsidRDefault="005757D9">
            <w:pPr>
              <w:jc w:val="center"/>
            </w:pPr>
            <w:r>
              <w:rPr>
                <w:rFonts w:eastAsiaTheme="minorEastAsia"/>
                <w:color w:val="000000"/>
                <w:szCs w:val="21"/>
              </w:rPr>
              <w:t>31.89%</w:t>
            </w:r>
          </w:p>
        </w:tc>
        <w:tc>
          <w:tcPr>
            <w:tcW w:w="1350" w:type="dxa"/>
            <w:vAlign w:val="center"/>
          </w:tcPr>
          <w:p w:rsidR="007951F4" w:rsidRDefault="005757D9">
            <w:pPr>
              <w:jc w:val="center"/>
            </w:pPr>
            <w:r>
              <w:rPr>
                <w:rFonts w:eastAsiaTheme="minorEastAsia"/>
                <w:color w:val="000000"/>
                <w:szCs w:val="21"/>
              </w:rPr>
              <w:t>1.00%</w:t>
            </w:r>
          </w:p>
        </w:tc>
        <w:tc>
          <w:tcPr>
            <w:tcW w:w="1350" w:type="dxa"/>
            <w:vAlign w:val="center"/>
          </w:tcPr>
          <w:p w:rsidR="007951F4" w:rsidRDefault="005757D9">
            <w:pPr>
              <w:jc w:val="center"/>
            </w:pPr>
            <w:r>
              <w:rPr>
                <w:rFonts w:eastAsiaTheme="minorEastAsia"/>
                <w:color w:val="000000"/>
                <w:szCs w:val="21"/>
              </w:rPr>
              <w:t>26.05%</w:t>
            </w:r>
          </w:p>
        </w:tc>
        <w:tc>
          <w:tcPr>
            <w:tcW w:w="1350" w:type="dxa"/>
            <w:vAlign w:val="center"/>
          </w:tcPr>
          <w:p w:rsidR="007951F4" w:rsidRDefault="005757D9">
            <w:pPr>
              <w:jc w:val="center"/>
            </w:pPr>
            <w:r>
              <w:rPr>
                <w:rFonts w:eastAsiaTheme="minorEastAsia"/>
                <w:color w:val="000000"/>
                <w:szCs w:val="21"/>
              </w:rPr>
              <w:t>1.01%</w:t>
            </w:r>
          </w:p>
        </w:tc>
        <w:tc>
          <w:tcPr>
            <w:tcW w:w="1350" w:type="dxa"/>
            <w:vAlign w:val="center"/>
          </w:tcPr>
          <w:p w:rsidR="007951F4" w:rsidRDefault="005757D9">
            <w:pPr>
              <w:jc w:val="center"/>
            </w:pPr>
            <w:r>
              <w:rPr>
                <w:rFonts w:eastAsiaTheme="minorEastAsia"/>
                <w:color w:val="000000"/>
                <w:szCs w:val="21"/>
              </w:rPr>
              <w:t>5.84%</w:t>
            </w:r>
          </w:p>
        </w:tc>
        <w:tc>
          <w:tcPr>
            <w:tcW w:w="1350" w:type="dxa"/>
            <w:vAlign w:val="center"/>
          </w:tcPr>
          <w:p w:rsidR="007951F4" w:rsidRDefault="005757D9">
            <w:pPr>
              <w:jc w:val="center"/>
            </w:pPr>
            <w:r>
              <w:rPr>
                <w:rFonts w:eastAsiaTheme="minorEastAsia"/>
                <w:color w:val="000000"/>
                <w:szCs w:val="21"/>
              </w:rPr>
              <w:t>-0.01%</w:t>
            </w:r>
          </w:p>
        </w:tc>
      </w:tr>
      <w:tr w:rsidR="007951F4">
        <w:tc>
          <w:tcPr>
            <w:tcW w:w="1620" w:type="dxa"/>
            <w:vAlign w:val="center"/>
          </w:tcPr>
          <w:p w:rsidR="007951F4" w:rsidRDefault="005757D9">
            <w:pPr>
              <w:jc w:val="left"/>
            </w:pPr>
            <w:r>
              <w:rPr>
                <w:rFonts w:eastAsiaTheme="minorEastAsia"/>
                <w:color w:val="000000"/>
                <w:szCs w:val="21"/>
              </w:rPr>
              <w:t>自基金成立起至今</w:t>
            </w:r>
          </w:p>
        </w:tc>
        <w:tc>
          <w:tcPr>
            <w:tcW w:w="1350" w:type="dxa"/>
            <w:vAlign w:val="center"/>
          </w:tcPr>
          <w:p w:rsidR="007951F4" w:rsidRDefault="005757D9">
            <w:pPr>
              <w:jc w:val="center"/>
            </w:pPr>
            <w:r>
              <w:rPr>
                <w:rFonts w:eastAsiaTheme="minorEastAsia"/>
                <w:color w:val="000000"/>
                <w:szCs w:val="21"/>
              </w:rPr>
              <w:t>45.34%</w:t>
            </w:r>
          </w:p>
        </w:tc>
        <w:tc>
          <w:tcPr>
            <w:tcW w:w="1350" w:type="dxa"/>
            <w:vAlign w:val="center"/>
          </w:tcPr>
          <w:p w:rsidR="007951F4" w:rsidRDefault="005757D9">
            <w:pPr>
              <w:jc w:val="center"/>
            </w:pPr>
            <w:r>
              <w:rPr>
                <w:rFonts w:eastAsiaTheme="minorEastAsia"/>
                <w:color w:val="000000"/>
                <w:szCs w:val="21"/>
              </w:rPr>
              <w:t>1.39%</w:t>
            </w:r>
          </w:p>
        </w:tc>
        <w:tc>
          <w:tcPr>
            <w:tcW w:w="1350" w:type="dxa"/>
            <w:vAlign w:val="center"/>
          </w:tcPr>
          <w:p w:rsidR="007951F4" w:rsidRDefault="005757D9">
            <w:pPr>
              <w:jc w:val="center"/>
            </w:pPr>
            <w:r>
              <w:rPr>
                <w:rFonts w:eastAsiaTheme="minorEastAsia"/>
                <w:color w:val="000000"/>
                <w:szCs w:val="21"/>
              </w:rPr>
              <w:t>30.08%</w:t>
            </w:r>
          </w:p>
        </w:tc>
        <w:tc>
          <w:tcPr>
            <w:tcW w:w="1350" w:type="dxa"/>
            <w:vAlign w:val="center"/>
          </w:tcPr>
          <w:p w:rsidR="007951F4" w:rsidRDefault="005757D9">
            <w:pPr>
              <w:jc w:val="center"/>
            </w:pPr>
            <w:r>
              <w:rPr>
                <w:rFonts w:eastAsiaTheme="minorEastAsia"/>
                <w:color w:val="000000"/>
                <w:szCs w:val="21"/>
              </w:rPr>
              <w:t>1.41%</w:t>
            </w:r>
          </w:p>
        </w:tc>
        <w:tc>
          <w:tcPr>
            <w:tcW w:w="1350" w:type="dxa"/>
            <w:vAlign w:val="center"/>
          </w:tcPr>
          <w:p w:rsidR="007951F4" w:rsidRDefault="005757D9">
            <w:pPr>
              <w:jc w:val="center"/>
            </w:pPr>
            <w:r>
              <w:rPr>
                <w:rFonts w:eastAsiaTheme="minorEastAsia"/>
                <w:color w:val="000000"/>
                <w:szCs w:val="21"/>
              </w:rPr>
              <w:t>15.26%</w:t>
            </w:r>
          </w:p>
        </w:tc>
        <w:tc>
          <w:tcPr>
            <w:tcW w:w="1350" w:type="dxa"/>
            <w:vAlign w:val="center"/>
          </w:tcPr>
          <w:p w:rsidR="007951F4" w:rsidRDefault="005757D9">
            <w:pPr>
              <w:jc w:val="center"/>
            </w:pPr>
            <w:r>
              <w:rPr>
                <w:rFonts w:eastAsiaTheme="minorEastAsia"/>
                <w:color w:val="000000"/>
                <w:szCs w:val="21"/>
              </w:rPr>
              <w:t>-0.02%</w:t>
            </w:r>
          </w:p>
        </w:tc>
      </w:tr>
    </w:tbl>
    <w:p w:rsidR="001548F9" w:rsidRPr="00646A7D" w:rsidRDefault="001548F9" w:rsidP="000E18D9">
      <w:pPr>
        <w:spacing w:beforeLines="100" w:before="312" w:line="360" w:lineRule="auto"/>
        <w:rPr>
          <w:rFonts w:eastAsiaTheme="minorEastAsia"/>
          <w:b/>
          <w:kern w:val="0"/>
          <w:szCs w:val="21"/>
        </w:rPr>
      </w:pPr>
      <w:r w:rsidRPr="00646A7D">
        <w:rPr>
          <w:rFonts w:eastAsiaTheme="minorEastAsia"/>
          <w:b/>
          <w:kern w:val="0"/>
          <w:szCs w:val="21"/>
        </w:rPr>
        <w:t>3.2.2</w:t>
      </w:r>
      <w:r w:rsidR="00582653" w:rsidRPr="00646A7D">
        <w:rPr>
          <w:rStyle w:val="aff3"/>
          <w:rFonts w:eastAsiaTheme="minorEastAsia"/>
          <w:color w:val="000000"/>
          <w:szCs w:val="21"/>
          <w:shd w:val="clear" w:color="auto" w:fill="FFFFFF"/>
        </w:rPr>
        <w:t>自基金合同生效以来</w:t>
      </w:r>
      <w:r w:rsidRPr="00646A7D">
        <w:rPr>
          <w:rFonts w:eastAsiaTheme="minorEastAsia"/>
          <w:b/>
          <w:kern w:val="0"/>
          <w:szCs w:val="21"/>
        </w:rPr>
        <w:t>基金份额累计净值增长率变动及其与同期业绩比较基准收益率变动的比较</w:t>
      </w:r>
    </w:p>
    <w:p w:rsidR="001548F9" w:rsidRPr="00646A7D" w:rsidRDefault="001548F9" w:rsidP="003576C9">
      <w:pPr>
        <w:spacing w:line="360" w:lineRule="auto"/>
        <w:ind w:firstLine="420"/>
        <w:jc w:val="center"/>
        <w:rPr>
          <w:rFonts w:eastAsiaTheme="minorEastAsia"/>
          <w:kern w:val="0"/>
          <w:szCs w:val="21"/>
        </w:rPr>
      </w:pPr>
      <w:r w:rsidRPr="00646A7D">
        <w:rPr>
          <w:rFonts w:eastAsiaTheme="minorEastAsia"/>
          <w:kern w:val="0"/>
          <w:szCs w:val="21"/>
        </w:rPr>
        <w:t>华安上证</w:t>
      </w:r>
      <w:r w:rsidRPr="00646A7D">
        <w:rPr>
          <w:rFonts w:eastAsiaTheme="minorEastAsia"/>
          <w:kern w:val="0"/>
          <w:szCs w:val="21"/>
        </w:rPr>
        <w:t>180</w:t>
      </w:r>
      <w:r w:rsidRPr="00646A7D">
        <w:rPr>
          <w:rFonts w:eastAsiaTheme="minorEastAsia"/>
          <w:kern w:val="0"/>
          <w:szCs w:val="21"/>
        </w:rPr>
        <w:t>交易型开放式指数证券投资基金联接基金</w:t>
      </w:r>
    </w:p>
    <w:p w:rsidR="001548F9" w:rsidRPr="00646A7D" w:rsidRDefault="00CE3047" w:rsidP="003576C9">
      <w:pPr>
        <w:spacing w:line="360" w:lineRule="auto"/>
        <w:ind w:firstLine="420"/>
        <w:jc w:val="center"/>
        <w:rPr>
          <w:rFonts w:eastAsiaTheme="minorEastAsia"/>
          <w:kern w:val="0"/>
          <w:szCs w:val="21"/>
        </w:rPr>
      </w:pPr>
      <w:r w:rsidRPr="00646A7D">
        <w:rPr>
          <w:rFonts w:eastAsiaTheme="minorEastAsia"/>
          <w:kern w:val="0"/>
          <w:szCs w:val="21"/>
        </w:rPr>
        <w:t>份额累计净值增长率与业绩比较基准收益率</w:t>
      </w:r>
      <w:r w:rsidR="001548F9" w:rsidRPr="00646A7D">
        <w:rPr>
          <w:rFonts w:eastAsiaTheme="minorEastAsia"/>
          <w:kern w:val="0"/>
          <w:szCs w:val="21"/>
        </w:rPr>
        <w:t>历史走势对比图</w:t>
      </w:r>
    </w:p>
    <w:p w:rsidR="001548F9" w:rsidRPr="00646A7D" w:rsidRDefault="00777C63" w:rsidP="003576C9">
      <w:pPr>
        <w:pStyle w:val="a6"/>
        <w:snapToGrid w:val="0"/>
        <w:spacing w:line="360" w:lineRule="auto"/>
        <w:ind w:firstLine="480"/>
        <w:jc w:val="center"/>
        <w:rPr>
          <w:rFonts w:ascii="Times New Roman" w:eastAsiaTheme="minorEastAsia" w:hAnsi="Times New Roman"/>
        </w:rPr>
      </w:pPr>
      <w:r w:rsidRPr="00646A7D">
        <w:rPr>
          <w:rFonts w:ascii="Times New Roman" w:eastAsiaTheme="minorEastAsia" w:hAnsi="Times New Roman"/>
        </w:rPr>
        <w:t>（</w:t>
      </w:r>
      <w:r w:rsidR="001548F9" w:rsidRPr="00646A7D">
        <w:rPr>
          <w:rFonts w:ascii="Times New Roman" w:eastAsiaTheme="minorEastAsia" w:hAnsi="Times New Roman"/>
        </w:rPr>
        <w:t>2009</w:t>
      </w:r>
      <w:r w:rsidR="001548F9" w:rsidRPr="00646A7D">
        <w:rPr>
          <w:rFonts w:ascii="Times New Roman" w:eastAsiaTheme="minorEastAsia" w:hAnsi="Times New Roman"/>
        </w:rPr>
        <w:t>年</w:t>
      </w:r>
      <w:r w:rsidR="001548F9" w:rsidRPr="00646A7D">
        <w:rPr>
          <w:rFonts w:ascii="Times New Roman" w:eastAsiaTheme="minorEastAsia" w:hAnsi="Times New Roman"/>
        </w:rPr>
        <w:t>9</w:t>
      </w:r>
      <w:r w:rsidR="001548F9" w:rsidRPr="00646A7D">
        <w:rPr>
          <w:rFonts w:ascii="Times New Roman" w:eastAsiaTheme="minorEastAsia" w:hAnsi="Times New Roman"/>
        </w:rPr>
        <w:t>月</w:t>
      </w:r>
      <w:r w:rsidR="001548F9" w:rsidRPr="00646A7D">
        <w:rPr>
          <w:rFonts w:ascii="Times New Roman" w:eastAsiaTheme="minorEastAsia" w:hAnsi="Times New Roman"/>
        </w:rPr>
        <w:t>29</w:t>
      </w:r>
      <w:r w:rsidR="001548F9" w:rsidRPr="00646A7D">
        <w:rPr>
          <w:rFonts w:ascii="Times New Roman" w:eastAsiaTheme="minorEastAsia" w:hAnsi="Times New Roman"/>
        </w:rPr>
        <w:t>日至</w:t>
      </w:r>
      <w:r w:rsidRPr="00646A7D">
        <w:rPr>
          <w:rFonts w:ascii="Times New Roman" w:eastAsiaTheme="minorEastAsia" w:hAnsi="Times New Roman"/>
        </w:rPr>
        <w:t>2019</w:t>
      </w:r>
      <w:r w:rsidRPr="00646A7D">
        <w:rPr>
          <w:rFonts w:ascii="Times New Roman" w:eastAsiaTheme="minorEastAsia" w:hAnsi="Times New Roman"/>
        </w:rPr>
        <w:t>年</w:t>
      </w:r>
      <w:r w:rsidRPr="00646A7D">
        <w:rPr>
          <w:rFonts w:ascii="Times New Roman" w:eastAsiaTheme="minorEastAsia" w:hAnsi="Times New Roman"/>
        </w:rPr>
        <w:t>6</w:t>
      </w:r>
      <w:r w:rsidRPr="00646A7D">
        <w:rPr>
          <w:rFonts w:ascii="Times New Roman" w:eastAsiaTheme="minorEastAsia" w:hAnsi="Times New Roman"/>
        </w:rPr>
        <w:t>月</w:t>
      </w:r>
      <w:r w:rsidRPr="00646A7D">
        <w:rPr>
          <w:rFonts w:ascii="Times New Roman" w:eastAsiaTheme="minorEastAsia" w:hAnsi="Times New Roman"/>
        </w:rPr>
        <w:t>30</w:t>
      </w:r>
      <w:r w:rsidRPr="00646A7D">
        <w:rPr>
          <w:rFonts w:ascii="Times New Roman" w:eastAsiaTheme="minorEastAsia" w:hAnsi="Times New Roman"/>
        </w:rPr>
        <w:t>日）</w:t>
      </w:r>
    </w:p>
    <w:p w:rsidR="001548F9" w:rsidRPr="00646A7D" w:rsidRDefault="00D07362" w:rsidP="00D82066">
      <w:pPr>
        <w:spacing w:line="360" w:lineRule="auto"/>
        <w:jc w:val="center"/>
        <w:rPr>
          <w:rFonts w:eastAsiaTheme="minorEastAsia"/>
          <w:color w:val="000000"/>
          <w:szCs w:val="21"/>
        </w:rPr>
      </w:pPr>
      <w:r w:rsidRPr="00646A7D">
        <w:rPr>
          <w:rFonts w:eastAsia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26CAB" w:rsidRPr="00646A7D" w:rsidRDefault="00526CAB" w:rsidP="00526CAB">
      <w:pPr>
        <w:tabs>
          <w:tab w:val="left" w:pos="1800"/>
        </w:tabs>
        <w:spacing w:line="360" w:lineRule="auto"/>
        <w:rPr>
          <w:rFonts w:eastAsiaTheme="minorEastAsia"/>
          <w:color w:val="000000"/>
          <w:szCs w:val="21"/>
        </w:rPr>
      </w:pPr>
    </w:p>
    <w:p w:rsidR="001548F9" w:rsidRPr="00646A7D" w:rsidRDefault="001548F9" w:rsidP="000E18D9">
      <w:pPr>
        <w:pStyle w:val="1"/>
        <w:keepNext/>
        <w:keepLines/>
        <w:widowControl w:val="0"/>
        <w:spacing w:beforeLines="100" w:before="312" w:afterLines="100" w:after="312" w:line="360" w:lineRule="auto"/>
        <w:jc w:val="center"/>
        <w:rPr>
          <w:rFonts w:eastAsiaTheme="minorEastAsia"/>
          <w:b/>
          <w:bCs/>
          <w:sz w:val="21"/>
          <w:szCs w:val="21"/>
          <w:lang w:val="en-US"/>
        </w:rPr>
      </w:pPr>
      <w:bookmarkStart w:id="18" w:name="_Toc331410078"/>
      <w:bookmarkStart w:id="19" w:name="_Toc225498254"/>
      <w:r w:rsidRPr="00646A7D">
        <w:rPr>
          <w:rFonts w:eastAsiaTheme="minorEastAsia"/>
          <w:b/>
          <w:bCs/>
          <w:sz w:val="21"/>
          <w:szCs w:val="21"/>
          <w:lang w:val="en-US"/>
        </w:rPr>
        <w:t xml:space="preserve">4  </w:t>
      </w:r>
      <w:r w:rsidRPr="00646A7D">
        <w:rPr>
          <w:rFonts w:eastAsiaTheme="minorEastAsia"/>
          <w:b/>
          <w:bCs/>
          <w:sz w:val="21"/>
          <w:szCs w:val="21"/>
          <w:lang w:val="en-US"/>
        </w:rPr>
        <w:t>管理人报告</w:t>
      </w:r>
      <w:bookmarkEnd w:id="18"/>
      <w:bookmarkEnd w:id="19"/>
    </w:p>
    <w:p w:rsidR="001548F9" w:rsidRPr="00646A7D" w:rsidRDefault="001548F9" w:rsidP="003576C9">
      <w:pPr>
        <w:pStyle w:val="20"/>
        <w:spacing w:before="0" w:after="0"/>
        <w:rPr>
          <w:rFonts w:ascii="Times New Roman" w:eastAsiaTheme="minorEastAsia" w:hAnsi="Times New Roman"/>
          <w:kern w:val="0"/>
          <w:sz w:val="21"/>
          <w:szCs w:val="21"/>
        </w:rPr>
      </w:pPr>
      <w:bookmarkStart w:id="20" w:name="_Toc331410079"/>
      <w:r w:rsidRPr="00646A7D">
        <w:rPr>
          <w:rFonts w:ascii="Times New Roman" w:eastAsiaTheme="minorEastAsia" w:hAnsi="Times New Roman"/>
          <w:kern w:val="0"/>
          <w:sz w:val="21"/>
          <w:szCs w:val="21"/>
        </w:rPr>
        <w:t xml:space="preserve">4.1 </w:t>
      </w:r>
      <w:r w:rsidRPr="00646A7D">
        <w:rPr>
          <w:rFonts w:ascii="Times New Roman" w:eastAsiaTheme="minorEastAsia" w:hAnsi="Times New Roman"/>
          <w:kern w:val="0"/>
          <w:sz w:val="21"/>
          <w:szCs w:val="21"/>
        </w:rPr>
        <w:t>基金管理人及基金经理情况</w:t>
      </w:r>
      <w:bookmarkEnd w:id="20"/>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4.1.1 </w:t>
      </w:r>
      <w:r w:rsidRPr="00646A7D">
        <w:rPr>
          <w:rFonts w:eastAsiaTheme="minorEastAsia"/>
          <w:b/>
          <w:color w:val="000000"/>
          <w:kern w:val="0"/>
          <w:szCs w:val="21"/>
        </w:rPr>
        <w:t>基金管理人及其管理基金的经验</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华安基金管理有限公司经中国证监会证监基金字</w:t>
      </w:r>
      <w:r w:rsidRPr="00646A7D">
        <w:rPr>
          <w:rFonts w:eastAsiaTheme="minorEastAsia"/>
          <w:color w:val="000000"/>
          <w:szCs w:val="21"/>
        </w:rPr>
        <w:t>[1998]20</w:t>
      </w:r>
      <w:r w:rsidRPr="00646A7D">
        <w:rPr>
          <w:rFonts w:eastAsiaTheme="minorEastAsia"/>
          <w:color w:val="000000"/>
          <w:szCs w:val="21"/>
        </w:rPr>
        <w:t>号文批准于</w:t>
      </w:r>
      <w:r w:rsidRPr="00646A7D">
        <w:rPr>
          <w:rFonts w:eastAsiaTheme="minorEastAsia"/>
          <w:color w:val="000000"/>
          <w:szCs w:val="21"/>
        </w:rPr>
        <w:t>1998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月设立，是国内首批基金管理公司之一，注册资本</w:t>
      </w:r>
      <w:r w:rsidRPr="00646A7D">
        <w:rPr>
          <w:rFonts w:eastAsiaTheme="minorEastAsia"/>
          <w:color w:val="000000"/>
          <w:szCs w:val="21"/>
        </w:rPr>
        <w:t>1.5</w:t>
      </w:r>
      <w:r w:rsidRPr="00646A7D">
        <w:rPr>
          <w:rFonts w:eastAsiaTheme="minorEastAsia"/>
          <w:color w:val="000000"/>
          <w:szCs w:val="21"/>
        </w:rPr>
        <w:t>亿元人民币，公司总部设在上海陆家嘴金融贸易区。目前的股东为国泰君安证券股份有限公司、上海上国投资产管理有限公司、上海锦江国际投资管理有限公司、上海工业投资（集团）有限公司和国泰君安投资管理股份有限公司。公司在北京、上海、西安、成都、广州等地设有分公司，在香港和上海设有子公司</w:t>
      </w:r>
      <w:r w:rsidRPr="00646A7D">
        <w:rPr>
          <w:rFonts w:eastAsiaTheme="minorEastAsia"/>
          <w:color w:val="000000"/>
          <w:szCs w:val="21"/>
        </w:rPr>
        <w:t>——</w:t>
      </w:r>
      <w:r w:rsidRPr="00646A7D">
        <w:rPr>
          <w:rFonts w:eastAsiaTheme="minorEastAsia"/>
          <w:color w:val="000000"/>
          <w:szCs w:val="21"/>
        </w:rPr>
        <w:t>华安（香港）资产管理有限公司、华安未来资产管理有限公司。截至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日，公司旗下共管理华安创新混合、华安</w:t>
      </w:r>
      <w:r w:rsidRPr="00646A7D">
        <w:rPr>
          <w:rFonts w:eastAsiaTheme="minorEastAsia"/>
          <w:color w:val="000000"/>
          <w:szCs w:val="21"/>
        </w:rPr>
        <w:t>MSCI</w:t>
      </w:r>
      <w:r w:rsidRPr="00646A7D">
        <w:rPr>
          <w:rFonts w:eastAsiaTheme="minorEastAsia"/>
          <w:color w:val="000000"/>
          <w:szCs w:val="21"/>
        </w:rPr>
        <w:t>中国</w:t>
      </w:r>
      <w:r w:rsidRPr="00646A7D">
        <w:rPr>
          <w:rFonts w:eastAsiaTheme="minorEastAsia"/>
          <w:color w:val="000000"/>
          <w:szCs w:val="21"/>
        </w:rPr>
        <w:t>A</w:t>
      </w:r>
      <w:r w:rsidRPr="00646A7D">
        <w:rPr>
          <w:rFonts w:eastAsiaTheme="minorEastAsia"/>
          <w:color w:val="000000"/>
          <w:szCs w:val="21"/>
        </w:rPr>
        <w:t>、华安现金富利货币、华安稳定收益债券、华安黄金易</w:t>
      </w:r>
      <w:r w:rsidRPr="00646A7D">
        <w:rPr>
          <w:rFonts w:eastAsiaTheme="minorEastAsia"/>
          <w:color w:val="000000"/>
          <w:szCs w:val="21"/>
        </w:rPr>
        <w:t>ETF</w:t>
      </w:r>
      <w:r w:rsidRPr="00646A7D">
        <w:rPr>
          <w:rFonts w:eastAsiaTheme="minorEastAsia"/>
          <w:color w:val="000000"/>
          <w:szCs w:val="21"/>
        </w:rPr>
        <w:t>、华安沪港深外延增长混合、华安全球美元收益债券等</w:t>
      </w:r>
      <w:r w:rsidRPr="00646A7D">
        <w:rPr>
          <w:rFonts w:eastAsiaTheme="minorEastAsia"/>
          <w:color w:val="000000"/>
          <w:szCs w:val="21"/>
        </w:rPr>
        <w:t>123</w:t>
      </w:r>
      <w:r w:rsidRPr="00646A7D">
        <w:rPr>
          <w:rFonts w:eastAsiaTheme="minorEastAsia"/>
          <w:color w:val="000000"/>
          <w:szCs w:val="21"/>
        </w:rPr>
        <w:t>只开放式基金，管理资产规模达到</w:t>
      </w:r>
      <w:r w:rsidRPr="00646A7D">
        <w:rPr>
          <w:rFonts w:eastAsiaTheme="minorEastAsia"/>
          <w:color w:val="000000"/>
          <w:szCs w:val="21"/>
        </w:rPr>
        <w:t>3171.00</w:t>
      </w:r>
      <w:r w:rsidRPr="00646A7D">
        <w:rPr>
          <w:rFonts w:eastAsiaTheme="minorEastAsia"/>
          <w:color w:val="000000"/>
          <w:szCs w:val="21"/>
        </w:rPr>
        <w:t>亿元人民币。</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color w:val="000000"/>
          <w:kern w:val="0"/>
          <w:szCs w:val="21"/>
        </w:rPr>
        <w:t xml:space="preserve">4.1.2 </w:t>
      </w:r>
      <w:r w:rsidRPr="00646A7D">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646A7D" w:rsidTr="00646A7D">
        <w:tc>
          <w:tcPr>
            <w:tcW w:w="109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150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职务</w:t>
            </w:r>
          </w:p>
        </w:tc>
        <w:tc>
          <w:tcPr>
            <w:tcW w:w="2450" w:type="dxa"/>
            <w:gridSpan w:val="2"/>
          </w:tcPr>
          <w:p w:rsidR="001728F8" w:rsidRPr="00646A7D" w:rsidRDefault="001548F9">
            <w:pPr>
              <w:jc w:val="center"/>
              <w:rPr>
                <w:rFonts w:eastAsiaTheme="minorEastAsia"/>
                <w:color w:val="000000"/>
                <w:szCs w:val="21"/>
              </w:rPr>
            </w:pPr>
            <w:r w:rsidRPr="00646A7D">
              <w:rPr>
                <w:rFonts w:eastAsiaTheme="minorEastAsia"/>
                <w:color w:val="000000"/>
                <w:szCs w:val="21"/>
              </w:rPr>
              <w:t>任本基金的基金经理</w:t>
            </w:r>
          </w:p>
          <w:p w:rsidR="001548F9" w:rsidRPr="00646A7D" w:rsidRDefault="001548F9">
            <w:pPr>
              <w:jc w:val="center"/>
              <w:rPr>
                <w:rFonts w:eastAsiaTheme="minorEastAsia"/>
                <w:color w:val="000000"/>
                <w:szCs w:val="21"/>
              </w:rPr>
            </w:pPr>
            <w:r w:rsidRPr="00646A7D">
              <w:rPr>
                <w:rFonts w:eastAsiaTheme="minorEastAsia"/>
                <w:color w:val="000000"/>
                <w:szCs w:val="21"/>
              </w:rPr>
              <w:t>（助理）期限</w:t>
            </w:r>
          </w:p>
        </w:tc>
        <w:tc>
          <w:tcPr>
            <w:tcW w:w="1236"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证券从业年限</w:t>
            </w:r>
          </w:p>
        </w:tc>
        <w:tc>
          <w:tcPr>
            <w:tcW w:w="3264"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说明</w:t>
            </w:r>
          </w:p>
        </w:tc>
      </w:tr>
      <w:tr w:rsidR="001548F9" w:rsidRPr="00646A7D" w:rsidTr="00646A7D">
        <w:tc>
          <w:tcPr>
            <w:tcW w:w="1090" w:type="dxa"/>
            <w:vMerge/>
            <w:vAlign w:val="center"/>
          </w:tcPr>
          <w:p w:rsidR="001548F9" w:rsidRPr="00646A7D" w:rsidRDefault="001548F9">
            <w:pPr>
              <w:widowControl/>
              <w:jc w:val="left"/>
              <w:rPr>
                <w:rFonts w:eastAsiaTheme="minorEastAsia"/>
                <w:color w:val="000000"/>
                <w:szCs w:val="21"/>
              </w:rPr>
            </w:pPr>
          </w:p>
        </w:tc>
        <w:tc>
          <w:tcPr>
            <w:tcW w:w="1500" w:type="dxa"/>
            <w:vMerge/>
            <w:vAlign w:val="center"/>
          </w:tcPr>
          <w:p w:rsidR="001548F9" w:rsidRPr="00646A7D" w:rsidRDefault="001548F9">
            <w:pPr>
              <w:widowControl/>
              <w:jc w:val="left"/>
              <w:rPr>
                <w:rFonts w:eastAsiaTheme="minorEastAsia"/>
                <w:color w:val="000000"/>
                <w:szCs w:val="21"/>
              </w:rPr>
            </w:pPr>
          </w:p>
        </w:tc>
        <w:tc>
          <w:tcPr>
            <w:tcW w:w="119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任职日期</w:t>
            </w:r>
          </w:p>
        </w:tc>
        <w:tc>
          <w:tcPr>
            <w:tcW w:w="12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离任日期</w:t>
            </w:r>
          </w:p>
        </w:tc>
        <w:tc>
          <w:tcPr>
            <w:tcW w:w="1236" w:type="dxa"/>
            <w:vMerge/>
            <w:vAlign w:val="center"/>
          </w:tcPr>
          <w:p w:rsidR="001548F9" w:rsidRPr="00646A7D" w:rsidRDefault="001548F9">
            <w:pPr>
              <w:widowControl/>
              <w:jc w:val="left"/>
              <w:rPr>
                <w:rFonts w:eastAsiaTheme="minorEastAsia"/>
                <w:color w:val="000000"/>
                <w:szCs w:val="21"/>
              </w:rPr>
            </w:pPr>
          </w:p>
        </w:tc>
        <w:tc>
          <w:tcPr>
            <w:tcW w:w="3264" w:type="dxa"/>
            <w:vMerge/>
            <w:vAlign w:val="center"/>
          </w:tcPr>
          <w:p w:rsidR="001548F9" w:rsidRPr="00646A7D" w:rsidRDefault="001548F9">
            <w:pPr>
              <w:widowControl/>
              <w:jc w:val="left"/>
              <w:rPr>
                <w:rFonts w:eastAsiaTheme="minorEastAsia"/>
                <w:color w:val="000000"/>
                <w:szCs w:val="21"/>
              </w:rPr>
            </w:pPr>
          </w:p>
        </w:tc>
      </w:tr>
      <w:tr w:rsidR="007951F4">
        <w:tc>
          <w:tcPr>
            <w:tcW w:w="1090" w:type="dxa"/>
            <w:vAlign w:val="center"/>
          </w:tcPr>
          <w:p w:rsidR="007951F4" w:rsidRDefault="005757D9">
            <w:pPr>
              <w:jc w:val="center"/>
            </w:pPr>
            <w:r>
              <w:rPr>
                <w:rFonts w:eastAsiaTheme="minorEastAsia"/>
                <w:color w:val="000000"/>
                <w:szCs w:val="21"/>
              </w:rPr>
              <w:t>许之彦</w:t>
            </w:r>
          </w:p>
        </w:tc>
        <w:tc>
          <w:tcPr>
            <w:tcW w:w="1500" w:type="dxa"/>
            <w:vAlign w:val="center"/>
          </w:tcPr>
          <w:p w:rsidR="007951F4" w:rsidRDefault="005757D9">
            <w:pPr>
              <w:jc w:val="center"/>
            </w:pPr>
            <w:r>
              <w:rPr>
                <w:rFonts w:eastAsiaTheme="minorEastAsia"/>
                <w:color w:val="000000"/>
                <w:szCs w:val="21"/>
              </w:rPr>
              <w:t>本基金的基金经理，指数与量化投资部高级总监、总经理助理</w:t>
            </w:r>
          </w:p>
        </w:tc>
        <w:tc>
          <w:tcPr>
            <w:tcW w:w="1190" w:type="dxa"/>
            <w:vAlign w:val="center"/>
          </w:tcPr>
          <w:p w:rsidR="007951F4" w:rsidRDefault="005757D9">
            <w:pPr>
              <w:jc w:val="center"/>
            </w:pPr>
            <w:r>
              <w:rPr>
                <w:rFonts w:eastAsiaTheme="minorEastAsia"/>
                <w:color w:val="000000"/>
                <w:szCs w:val="21"/>
              </w:rPr>
              <w:t>2009-09-29</w:t>
            </w:r>
          </w:p>
        </w:tc>
        <w:tc>
          <w:tcPr>
            <w:tcW w:w="1260" w:type="dxa"/>
            <w:vAlign w:val="center"/>
          </w:tcPr>
          <w:p w:rsidR="007951F4" w:rsidRDefault="005757D9">
            <w:pPr>
              <w:jc w:val="center"/>
            </w:pPr>
            <w:r>
              <w:rPr>
                <w:rFonts w:eastAsiaTheme="minorEastAsia"/>
                <w:color w:val="000000"/>
                <w:szCs w:val="21"/>
              </w:rPr>
              <w:t>-</w:t>
            </w:r>
          </w:p>
        </w:tc>
        <w:tc>
          <w:tcPr>
            <w:tcW w:w="1236" w:type="dxa"/>
            <w:vAlign w:val="center"/>
          </w:tcPr>
          <w:p w:rsidR="007951F4" w:rsidRDefault="005757D9">
            <w:pPr>
              <w:jc w:val="center"/>
            </w:pPr>
            <w:r>
              <w:rPr>
                <w:rFonts w:eastAsiaTheme="minorEastAsia"/>
                <w:color w:val="000000"/>
                <w:szCs w:val="21"/>
              </w:rPr>
              <w:t>15</w:t>
            </w:r>
            <w:r>
              <w:rPr>
                <w:rFonts w:eastAsiaTheme="minorEastAsia"/>
                <w:color w:val="000000"/>
                <w:szCs w:val="21"/>
              </w:rPr>
              <w:t>年</w:t>
            </w:r>
          </w:p>
        </w:tc>
        <w:tc>
          <w:tcPr>
            <w:tcW w:w="3264" w:type="dxa"/>
            <w:vAlign w:val="center"/>
          </w:tcPr>
          <w:p w:rsidR="007951F4" w:rsidRDefault="005757D9">
            <w:r>
              <w:rPr>
                <w:rFonts w:eastAsiaTheme="minorEastAsia"/>
                <w:color w:val="000000"/>
                <w:szCs w:val="21"/>
              </w:rPr>
              <w:t>理学博士，</w:t>
            </w:r>
            <w:r>
              <w:rPr>
                <w:rFonts w:eastAsiaTheme="minorEastAsia"/>
                <w:color w:val="000000"/>
                <w:szCs w:val="21"/>
              </w:rPr>
              <w:t>15</w:t>
            </w:r>
            <w:r>
              <w:rPr>
                <w:rFonts w:eastAsiaTheme="minorEastAsia"/>
                <w:color w:val="000000"/>
                <w:szCs w:val="21"/>
              </w:rPr>
              <w:t>年证券、基金从业经验，</w:t>
            </w:r>
            <w:r>
              <w:rPr>
                <w:rFonts w:eastAsiaTheme="minorEastAsia"/>
                <w:color w:val="000000"/>
                <w:szCs w:val="21"/>
              </w:rPr>
              <w:t>CQF(</w:t>
            </w:r>
            <w:r>
              <w:rPr>
                <w:rFonts w:eastAsiaTheme="minorEastAsia"/>
                <w:color w:val="000000"/>
                <w:szCs w:val="21"/>
              </w:rPr>
              <w:t>国际数量金融工程师</w:t>
            </w:r>
            <w:r>
              <w:rPr>
                <w:rFonts w:eastAsiaTheme="minorEastAsia"/>
                <w:color w:val="000000"/>
                <w:szCs w:val="21"/>
              </w:rPr>
              <w:t>)</w:t>
            </w:r>
            <w:r>
              <w:rPr>
                <w:rFonts w:eastAsiaTheme="minorEastAsia"/>
                <w:color w:val="000000"/>
                <w:szCs w:val="21"/>
              </w:rPr>
              <w:t>。曾在广发证券和中山大学经济管理学院博士后流动站从事金融工程工作，</w:t>
            </w:r>
            <w:r>
              <w:rPr>
                <w:rFonts w:eastAsiaTheme="minorEastAsia"/>
                <w:color w:val="000000"/>
                <w:szCs w:val="21"/>
              </w:rPr>
              <w:t>2005</w:t>
            </w:r>
            <w:r>
              <w:rPr>
                <w:rFonts w:eastAsiaTheme="minorEastAsia"/>
                <w:color w:val="000000"/>
                <w:szCs w:val="21"/>
              </w:rPr>
              <w:t>年加入华安基金管理有限公司，曾任研究发展部数量策略分析师，</w:t>
            </w:r>
            <w:r>
              <w:rPr>
                <w:rFonts w:eastAsiaTheme="minorEastAsia"/>
                <w:color w:val="000000"/>
                <w:szCs w:val="21"/>
              </w:rPr>
              <w:t>2008</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2012</w:t>
            </w:r>
            <w:r>
              <w:rPr>
                <w:rFonts w:eastAsiaTheme="minorEastAsia"/>
                <w:color w:val="000000"/>
                <w:szCs w:val="21"/>
              </w:rPr>
              <w:t>年</w:t>
            </w:r>
            <w:r>
              <w:rPr>
                <w:rFonts w:eastAsiaTheme="minorEastAsia"/>
                <w:color w:val="000000"/>
                <w:szCs w:val="21"/>
              </w:rPr>
              <w:t>12</w:t>
            </w:r>
            <w:r>
              <w:rPr>
                <w:rFonts w:eastAsiaTheme="minorEastAsia"/>
                <w:color w:val="000000"/>
                <w:szCs w:val="21"/>
              </w:rPr>
              <w:t>月担任华安</w:t>
            </w:r>
            <w:r>
              <w:rPr>
                <w:rFonts w:eastAsiaTheme="minorEastAsia"/>
                <w:color w:val="000000"/>
                <w:szCs w:val="21"/>
              </w:rPr>
              <w:t>MSCI</w:t>
            </w:r>
            <w:r>
              <w:rPr>
                <w:rFonts w:eastAsiaTheme="minorEastAsia"/>
                <w:color w:val="000000"/>
                <w:szCs w:val="21"/>
              </w:rPr>
              <w:t>中国</w:t>
            </w:r>
            <w:r>
              <w:rPr>
                <w:rFonts w:eastAsiaTheme="minorEastAsia"/>
                <w:color w:val="000000"/>
                <w:szCs w:val="21"/>
              </w:rPr>
              <w:t>A</w:t>
            </w:r>
            <w:r>
              <w:rPr>
                <w:rFonts w:eastAsiaTheme="minorEastAsia"/>
                <w:color w:val="000000"/>
                <w:szCs w:val="21"/>
              </w:rPr>
              <w:t>股指数增强型证券投资基金的基金经理，</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月起同时担任上证</w:t>
            </w:r>
            <w:r>
              <w:rPr>
                <w:rFonts w:eastAsiaTheme="minorEastAsia"/>
                <w:color w:val="000000"/>
                <w:szCs w:val="21"/>
              </w:rPr>
              <w:t>180ETF</w:t>
            </w:r>
            <w:r>
              <w:rPr>
                <w:rFonts w:eastAsiaTheme="minorEastAsia"/>
                <w:color w:val="000000"/>
                <w:szCs w:val="21"/>
              </w:rPr>
              <w:t>及本基金的基金经理。</w:t>
            </w:r>
            <w:r>
              <w:rPr>
                <w:rFonts w:eastAsiaTheme="minorEastAsia"/>
                <w:color w:val="000000"/>
                <w:szCs w:val="21"/>
              </w:rPr>
              <w:t>2010</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2012</w:t>
            </w:r>
            <w:r>
              <w:rPr>
                <w:rFonts w:eastAsiaTheme="minorEastAsia"/>
                <w:color w:val="000000"/>
                <w:szCs w:val="21"/>
              </w:rPr>
              <w:t>年</w:t>
            </w:r>
            <w:r>
              <w:rPr>
                <w:rFonts w:eastAsiaTheme="minorEastAsia"/>
                <w:color w:val="000000"/>
                <w:szCs w:val="21"/>
              </w:rPr>
              <w:t>12</w:t>
            </w:r>
            <w:r>
              <w:rPr>
                <w:rFonts w:eastAsiaTheme="minorEastAsia"/>
                <w:color w:val="000000"/>
                <w:szCs w:val="21"/>
              </w:rPr>
              <w:t>月担任上证龙头企业交易型开放式指数证券投资基金及其联接基金的基金经理。</w:t>
            </w:r>
            <w:r>
              <w:rPr>
                <w:rFonts w:eastAsiaTheme="minorEastAsia"/>
                <w:color w:val="000000"/>
                <w:szCs w:val="21"/>
              </w:rPr>
              <w:t>2011</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1</w:t>
            </w:r>
            <w:r>
              <w:rPr>
                <w:rFonts w:eastAsiaTheme="minorEastAsia"/>
                <w:color w:val="000000"/>
                <w:szCs w:val="21"/>
              </w:rPr>
              <w:t>月，同时担任华安深证</w:t>
            </w:r>
            <w:r>
              <w:rPr>
                <w:rFonts w:eastAsiaTheme="minorEastAsia"/>
                <w:color w:val="000000"/>
                <w:szCs w:val="21"/>
              </w:rPr>
              <w:t>300</w:t>
            </w:r>
            <w:r>
              <w:rPr>
                <w:rFonts w:eastAsiaTheme="minorEastAsia"/>
                <w:color w:val="000000"/>
                <w:szCs w:val="21"/>
              </w:rPr>
              <w:t>指数证券投</w:t>
            </w:r>
            <w:r>
              <w:rPr>
                <w:rFonts w:eastAsiaTheme="minorEastAsia"/>
                <w:color w:val="000000"/>
                <w:szCs w:val="21"/>
              </w:rPr>
              <w:t>资基金（</w:t>
            </w:r>
            <w:r>
              <w:rPr>
                <w:rFonts w:eastAsiaTheme="minorEastAsia"/>
                <w:color w:val="000000"/>
                <w:szCs w:val="21"/>
              </w:rPr>
              <w:t>LOF</w:t>
            </w:r>
            <w:r>
              <w:rPr>
                <w:rFonts w:eastAsiaTheme="minorEastAsia"/>
                <w:color w:val="000000"/>
                <w:szCs w:val="21"/>
              </w:rPr>
              <w:t>）的基金经理。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月，同时担任华安量化多因子混合型证券投资基金（</w:t>
            </w:r>
            <w:r>
              <w:rPr>
                <w:rFonts w:eastAsiaTheme="minorEastAsia"/>
                <w:color w:val="000000"/>
                <w:szCs w:val="21"/>
              </w:rPr>
              <w:t>LOF</w:t>
            </w:r>
            <w:r>
              <w:rPr>
                <w:rFonts w:eastAsiaTheme="minorEastAsia"/>
                <w:color w:val="000000"/>
                <w:szCs w:val="21"/>
              </w:rPr>
              <w:t>）的基金经理。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6</w:t>
            </w:r>
            <w:r>
              <w:rPr>
                <w:rFonts w:eastAsiaTheme="minorEastAsia"/>
                <w:color w:val="000000"/>
                <w:szCs w:val="21"/>
              </w:rPr>
              <w:t>月起担任指数投资部高级总监。</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月起同时担任华安易富黄金交易型开放式证券投资基金的基金经理。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8</w:t>
            </w:r>
            <w:r>
              <w:rPr>
                <w:rFonts w:eastAsiaTheme="minorEastAsia"/>
                <w:color w:val="000000"/>
                <w:szCs w:val="21"/>
              </w:rPr>
              <w:t>月起同时担任华安易富黄金交易型开放式证券投资基金联接基金的基金经理。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月担任华安中证高分红指数增强型证券投资基金的基金经理。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月起同时担任华安中证全指证券公司指数分级证券投资基金、华安中证银行指数分级证券投资基金的基金经理。</w:t>
            </w:r>
            <w:r>
              <w:rPr>
                <w:rFonts w:eastAsiaTheme="minorEastAsia"/>
                <w:color w:val="000000"/>
                <w:szCs w:val="21"/>
              </w:rPr>
              <w:t>2</w:t>
            </w:r>
            <w:r>
              <w:rPr>
                <w:rFonts w:eastAsiaTheme="minorEastAsia"/>
                <w:color w:val="000000"/>
                <w:szCs w:val="21"/>
              </w:rPr>
              <w:t>015</w:t>
            </w:r>
            <w:r>
              <w:rPr>
                <w:rFonts w:eastAsiaTheme="minorEastAsia"/>
                <w:color w:val="000000"/>
                <w:szCs w:val="21"/>
              </w:rPr>
              <w:t>年</w:t>
            </w:r>
            <w:r>
              <w:rPr>
                <w:rFonts w:eastAsiaTheme="minorEastAsia"/>
                <w:color w:val="000000"/>
                <w:szCs w:val="21"/>
              </w:rPr>
              <w:t>7</w:t>
            </w:r>
            <w:r>
              <w:rPr>
                <w:rFonts w:eastAsiaTheme="minorEastAsia"/>
                <w:color w:val="000000"/>
                <w:szCs w:val="21"/>
              </w:rPr>
              <w:t>月起担任华安创业板</w:t>
            </w:r>
            <w:r>
              <w:rPr>
                <w:rFonts w:eastAsiaTheme="minorEastAsia"/>
                <w:color w:val="000000"/>
                <w:szCs w:val="21"/>
              </w:rPr>
              <w:t>50</w:t>
            </w:r>
            <w:r>
              <w:rPr>
                <w:rFonts w:eastAsiaTheme="minorEastAsia"/>
                <w:color w:val="000000"/>
                <w:szCs w:val="21"/>
              </w:rPr>
              <w:t>指数分级证券投资基金的基金经理。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月起担任华安创业板</w:t>
            </w:r>
            <w:r>
              <w:rPr>
                <w:rFonts w:eastAsiaTheme="minorEastAsia"/>
                <w:color w:val="000000"/>
                <w:szCs w:val="21"/>
              </w:rPr>
              <w:t>50</w:t>
            </w:r>
            <w:r>
              <w:rPr>
                <w:rFonts w:eastAsiaTheme="minorEastAsia"/>
                <w:color w:val="000000"/>
                <w:szCs w:val="21"/>
              </w:rPr>
              <w:t>交易型开放式指数证券投资基金的基金经理。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月起，同时担任华安</w:t>
            </w:r>
            <w:r>
              <w:rPr>
                <w:rFonts w:eastAsiaTheme="minorEastAsia"/>
                <w:color w:val="000000"/>
                <w:szCs w:val="21"/>
              </w:rPr>
              <w:t>MSCI</w:t>
            </w:r>
            <w:r>
              <w:rPr>
                <w:rFonts w:eastAsiaTheme="minorEastAsia"/>
                <w:color w:val="000000"/>
                <w:szCs w:val="21"/>
              </w:rPr>
              <w:t>中国</w:t>
            </w:r>
            <w:r>
              <w:rPr>
                <w:rFonts w:eastAsiaTheme="minorEastAsia"/>
                <w:color w:val="000000"/>
                <w:szCs w:val="21"/>
              </w:rPr>
              <w:t>A</w:t>
            </w:r>
            <w:r>
              <w:rPr>
                <w:rFonts w:eastAsiaTheme="minorEastAsia"/>
                <w:color w:val="000000"/>
                <w:szCs w:val="21"/>
              </w:rPr>
              <w:t>股指数增强型证券投资基金、华安沪深</w:t>
            </w:r>
            <w:r>
              <w:rPr>
                <w:rFonts w:eastAsiaTheme="minorEastAsia"/>
                <w:color w:val="000000"/>
                <w:szCs w:val="21"/>
              </w:rPr>
              <w:t>300</w:t>
            </w:r>
            <w:r>
              <w:rPr>
                <w:rFonts w:eastAsiaTheme="minorEastAsia"/>
                <w:color w:val="000000"/>
                <w:szCs w:val="21"/>
              </w:rPr>
              <w:t>量化增强型指数证券投资基金的基金经理。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月起，同时担任华安创业板</w:t>
            </w:r>
            <w:r>
              <w:rPr>
                <w:rFonts w:eastAsiaTheme="minorEastAsia"/>
                <w:color w:val="000000"/>
                <w:szCs w:val="21"/>
              </w:rPr>
              <w:t>50</w:t>
            </w:r>
            <w:r>
              <w:rPr>
                <w:rFonts w:eastAsiaTheme="minorEastAsia"/>
                <w:color w:val="000000"/>
                <w:szCs w:val="21"/>
              </w:rPr>
              <w:t>交易型开放式指数证券投资基金联接基金的基金经理。</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注：此处的任职日期和离任日期均指公司作出决定之日，即以公告日为准。证券从业的含义遵从行业协会《证券业从业人员资格管理办法》的相关规定。</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21" w:name="_Toc331410080"/>
      <w:bookmarkStart w:id="22" w:name="_Toc225498256"/>
      <w:r w:rsidRPr="00646A7D">
        <w:rPr>
          <w:rFonts w:ascii="Times New Roman" w:eastAsiaTheme="minorEastAsia" w:hAnsi="Times New Roman"/>
          <w:kern w:val="0"/>
          <w:sz w:val="21"/>
          <w:szCs w:val="21"/>
        </w:rPr>
        <w:t xml:space="preserve">4.2 </w:t>
      </w:r>
      <w:r w:rsidRPr="00646A7D">
        <w:rPr>
          <w:rFonts w:ascii="Times New Roman" w:eastAsiaTheme="minorEastAsia" w:hAnsi="Times New Roman"/>
          <w:kern w:val="0"/>
          <w:sz w:val="21"/>
          <w:szCs w:val="21"/>
        </w:rPr>
        <w:t>管理人对报告期内本基金运作遵规守信情况的说明</w:t>
      </w:r>
      <w:bookmarkEnd w:id="21"/>
      <w:bookmarkEnd w:id="22"/>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23" w:name="_Toc331410081"/>
      <w:bookmarkStart w:id="24" w:name="_Toc225498257"/>
      <w:r w:rsidRPr="00646A7D">
        <w:rPr>
          <w:rFonts w:ascii="Times New Roman" w:eastAsiaTheme="minorEastAsia" w:hAnsi="Times New Roman"/>
          <w:kern w:val="0"/>
          <w:sz w:val="21"/>
          <w:szCs w:val="21"/>
        </w:rPr>
        <w:t xml:space="preserve">4.3 </w:t>
      </w:r>
      <w:r w:rsidRPr="00646A7D">
        <w:rPr>
          <w:rFonts w:ascii="Times New Roman" w:eastAsiaTheme="minorEastAsia" w:hAnsi="Times New Roman"/>
          <w:kern w:val="0"/>
          <w:sz w:val="21"/>
          <w:szCs w:val="21"/>
        </w:rPr>
        <w:t>管理人对报告期内公平交易情况的专项说明</w:t>
      </w:r>
      <w:bookmarkEnd w:id="23"/>
      <w:bookmarkEnd w:id="24"/>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4.3.1 </w:t>
      </w:r>
      <w:r w:rsidRPr="00646A7D">
        <w:rPr>
          <w:rFonts w:eastAsiaTheme="minorEastAsia"/>
          <w:b/>
          <w:color w:val="000000"/>
          <w:kern w:val="0"/>
          <w:szCs w:val="21"/>
        </w:rPr>
        <w:t>公平交易制度的执行情况</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制定了《华安基金管理有限公司公平交易管理制度》，将各投资组合在研究分析、投资决策、交易执行等方面全部纳入公平交易管理中。控制措施包括：在研究环节，研究员在为公司管理的各类投资组合提供研究信息、投资建议过程中，使用晨会发言、邮件发送、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w:t>
      </w:r>
      <w:r>
        <w:rPr>
          <w:rFonts w:eastAsiaTheme="minorEastAsia"/>
          <w:color w:val="000000"/>
          <w:szCs w:val="21"/>
        </w:rPr>
        <w:t>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w:t>
      </w:r>
      <w:r>
        <w:rPr>
          <w:rFonts w:eastAsiaTheme="minorEastAsia"/>
          <w:color w:val="000000"/>
          <w:szCs w:val="21"/>
        </w:rPr>
        <w:t>1</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交易所二级市场业务，遵循价格优先、时间优先、比例分配、综合平衡的控制原则，实现同一时间下达指令的投资组合在交易时机上的公平性。（</w:t>
      </w:r>
      <w:r>
        <w:rPr>
          <w:rFonts w:eastAsiaTheme="minorEastAsia"/>
          <w:color w:val="000000"/>
          <w:szCs w:val="21"/>
        </w:rPr>
        <w:t>2</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交易所一级市场业务，投资组合经理按意愿独立进行业务申报，集中交易部以投资组合名义对外进行申报。若该业务以公司名义进行申报与中签，则按实际中签情况以价格</w:t>
      </w:r>
      <w:r>
        <w:rPr>
          <w:rFonts w:eastAsiaTheme="minorEastAsia"/>
          <w:color w:val="000000"/>
          <w:szCs w:val="21"/>
        </w:rPr>
        <w:t>优先、比例分配原则进行分配。若中签量过小无法合理进行比例分配，且以公司名义获得，则投资部门在合规监察员监督参与下，进行公平协商分配。（</w:t>
      </w:r>
      <w:r>
        <w:rPr>
          <w:rFonts w:eastAsiaTheme="minorEastAsia"/>
          <w:color w:val="000000"/>
          <w:szCs w:val="21"/>
        </w:rPr>
        <w:t>3</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银行间市场业务遵循指令时间优先原则，先到先询价的控制原则。通过内部共同的</w:t>
      </w:r>
      <w:r>
        <w:rPr>
          <w:rFonts w:eastAsiaTheme="minorEastAsia"/>
          <w:color w:val="000000"/>
          <w:szCs w:val="21"/>
        </w:rPr>
        <w:t>iwind</w:t>
      </w:r>
      <w:r>
        <w:rPr>
          <w:rFonts w:eastAsiaTheme="minorEastAsia"/>
          <w:color w:val="000000"/>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险管理部投资监督参与下，进行公</w:t>
      </w:r>
      <w:r>
        <w:rPr>
          <w:rFonts w:eastAsiaTheme="minorEastAsia"/>
          <w:color w:val="000000"/>
          <w:szCs w:val="21"/>
        </w:rPr>
        <w:t>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根据市场公认的第三方信息（如：中债登的债券估值），定期对各投资组合与交易对手之间议价交易的交易价格公允性进行审查，对不同投资组合临近交易日的同向交易的交易时机和交易价差进行分析。</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本报告期内，公司公平交易制度总体执行情况良好。</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本基金管理人通过统计检验的方法对管理的不同投资组合，在不同时间窗下（日内、</w:t>
      </w:r>
      <w:r w:rsidRPr="00646A7D">
        <w:rPr>
          <w:rFonts w:eastAsiaTheme="minorEastAsia"/>
          <w:color w:val="000000"/>
          <w:szCs w:val="21"/>
        </w:rPr>
        <w:t>3</w:t>
      </w:r>
      <w:r w:rsidRPr="00646A7D">
        <w:rPr>
          <w:rFonts w:eastAsiaTheme="minorEastAsia"/>
          <w:color w:val="000000"/>
          <w:szCs w:val="21"/>
        </w:rPr>
        <w:t>日内、</w:t>
      </w:r>
      <w:r w:rsidRPr="00646A7D">
        <w:rPr>
          <w:rFonts w:eastAsiaTheme="minorEastAsia"/>
          <w:color w:val="000000"/>
          <w:szCs w:val="21"/>
        </w:rPr>
        <w:t>5</w:t>
      </w:r>
      <w:r w:rsidRPr="00646A7D">
        <w:rPr>
          <w:rFonts w:eastAsiaTheme="minorEastAsia"/>
          <w:color w:val="000000"/>
          <w:szCs w:val="21"/>
        </w:rPr>
        <w:t>日内）的本年度同向交易价差进行了专项分析，未发现违反公平交易原则的异常情况。</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color w:val="000000"/>
          <w:kern w:val="0"/>
          <w:szCs w:val="21"/>
        </w:rPr>
        <w:t xml:space="preserve">4.3.2 </w:t>
      </w:r>
      <w:r w:rsidRPr="00646A7D">
        <w:rPr>
          <w:rFonts w:eastAsiaTheme="minorEastAsia"/>
          <w:b/>
          <w:color w:val="000000"/>
          <w:kern w:val="0"/>
          <w:szCs w:val="21"/>
        </w:rPr>
        <w:t>异常交易行为的专项说明</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风险管理部会同基金投资、交易部门讨论制定了各类投资组合针对股票、债券、回购等投资品种在交易所及银行间的同日反向交易控制规则，并在投资系统中进行了设置，实现了完全的系统控制。同时加强了对各类投资组合间的同日反向交易的监控与隔日反向交易的检查；风险管理部开发了同向交易分析系统，对相关同向交易指标进行持续监控，并定期对组合间的同向交易行为进行了重点分析。</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本报告期内，除指数基金以外的所有投资组合参与的交易所公开竞价交易中，同日反向交易成交较少的单边交易量超过该证券当日成交量的</w:t>
      </w:r>
      <w:r w:rsidRPr="00646A7D">
        <w:rPr>
          <w:rFonts w:eastAsiaTheme="minorEastAsia"/>
          <w:color w:val="000000"/>
          <w:szCs w:val="21"/>
        </w:rPr>
        <w:t>5%</w:t>
      </w:r>
      <w:r w:rsidRPr="00646A7D">
        <w:rPr>
          <w:rFonts w:eastAsiaTheme="minorEastAsia"/>
          <w:color w:val="000000"/>
          <w:szCs w:val="21"/>
        </w:rPr>
        <w:t>的次数为</w:t>
      </w:r>
      <w:r w:rsidRPr="00646A7D">
        <w:rPr>
          <w:rFonts w:eastAsiaTheme="minorEastAsia"/>
          <w:color w:val="000000"/>
          <w:szCs w:val="21"/>
        </w:rPr>
        <w:t>0</w:t>
      </w:r>
      <w:r w:rsidRPr="00646A7D">
        <w:rPr>
          <w:rFonts w:eastAsiaTheme="minorEastAsia"/>
          <w:color w:val="000000"/>
          <w:szCs w:val="21"/>
        </w:rPr>
        <w:t>次，未出现异常交易。</w:t>
      </w:r>
    </w:p>
    <w:p w:rsidR="00C02A8F" w:rsidRPr="00646A7D" w:rsidRDefault="001548F9" w:rsidP="000E18D9">
      <w:pPr>
        <w:pStyle w:val="20"/>
        <w:spacing w:beforeLines="100" w:before="312" w:after="0"/>
        <w:rPr>
          <w:rFonts w:ascii="Times New Roman" w:eastAsiaTheme="minorEastAsia" w:hAnsi="Times New Roman"/>
          <w:kern w:val="0"/>
          <w:sz w:val="21"/>
          <w:szCs w:val="21"/>
        </w:rPr>
      </w:pPr>
      <w:bookmarkStart w:id="25" w:name="_Toc331410082"/>
      <w:bookmarkStart w:id="26" w:name="_Toc225498258"/>
      <w:r w:rsidRPr="00646A7D">
        <w:rPr>
          <w:rFonts w:ascii="Times New Roman" w:eastAsiaTheme="minorEastAsia" w:hAnsi="Times New Roman"/>
          <w:kern w:val="0"/>
          <w:sz w:val="21"/>
          <w:szCs w:val="21"/>
        </w:rPr>
        <w:t xml:space="preserve">4.4 </w:t>
      </w:r>
      <w:r w:rsidRPr="00646A7D">
        <w:rPr>
          <w:rFonts w:ascii="Times New Roman" w:eastAsiaTheme="minorEastAsia" w:hAnsi="Times New Roman"/>
          <w:kern w:val="0"/>
          <w:sz w:val="21"/>
          <w:szCs w:val="21"/>
        </w:rPr>
        <w:t>管理人对报告期内基金的投资策略和业绩表现的说明</w:t>
      </w:r>
      <w:bookmarkEnd w:id="25"/>
      <w:bookmarkEnd w:id="26"/>
    </w:p>
    <w:p w:rsidR="00C02A8F" w:rsidRPr="00646A7D" w:rsidRDefault="00C02A8F" w:rsidP="003576C9">
      <w:pPr>
        <w:spacing w:line="360" w:lineRule="auto"/>
        <w:rPr>
          <w:rFonts w:eastAsiaTheme="minorEastAsia"/>
          <w:b/>
          <w:szCs w:val="21"/>
        </w:rPr>
      </w:pPr>
      <w:r w:rsidRPr="00646A7D">
        <w:rPr>
          <w:rFonts w:eastAsiaTheme="minorEastAsia"/>
          <w:b/>
          <w:szCs w:val="21"/>
        </w:rPr>
        <w:t>4.4.1</w:t>
      </w:r>
      <w:r w:rsidRPr="00646A7D">
        <w:rPr>
          <w:rFonts w:eastAsiaTheme="minorEastAsia"/>
          <w:b/>
          <w:szCs w:val="21"/>
        </w:rPr>
        <w:t>报告期内基金投资策略和运作分析</w:t>
      </w:r>
    </w:p>
    <w:p w:rsidR="001548F9" w:rsidRPr="00646A7D" w:rsidRDefault="00C02A8F" w:rsidP="00646A7D">
      <w:pPr>
        <w:spacing w:line="360" w:lineRule="auto"/>
        <w:ind w:firstLineChars="200" w:firstLine="420"/>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上半年，全球经济增长有所放缓，美国经济增速下降，美联储年内降息预期升温。中美贸易摩擦升级，增加了全球经济增长的不确定性。在稳定经济增长等措施下，国内宏观经济表现基本平稳，主要采取了较为积极的财政政策，包括降低个人和企业相关税收的政策。国内货币政策保持相对宽松，市场流动性相对充裕。在政策改善的预期下，国内</w:t>
      </w:r>
      <w:r w:rsidRPr="00646A7D">
        <w:rPr>
          <w:rFonts w:eastAsiaTheme="minorEastAsia"/>
          <w:color w:val="000000"/>
          <w:szCs w:val="21"/>
        </w:rPr>
        <w:t>A</w:t>
      </w:r>
      <w:r w:rsidRPr="00646A7D">
        <w:rPr>
          <w:rFonts w:eastAsiaTheme="minorEastAsia"/>
          <w:color w:val="000000"/>
          <w:szCs w:val="21"/>
        </w:rPr>
        <w:t>股市场上半年特别是一季度信心有所恢复，估值得到较好的修复，五月份之后市场出现一定的回调，特别是中小市值股票，这主要因为受到全球经济不确定因素增加和中美贸易摩擦升级的影响，但整体上半年国内</w:t>
      </w:r>
      <w:r w:rsidRPr="00646A7D">
        <w:rPr>
          <w:rFonts w:eastAsiaTheme="minorEastAsia"/>
          <w:color w:val="000000"/>
          <w:szCs w:val="21"/>
        </w:rPr>
        <w:t>A</w:t>
      </w:r>
      <w:r w:rsidRPr="00646A7D">
        <w:rPr>
          <w:rFonts w:eastAsiaTheme="minorEastAsia"/>
          <w:color w:val="000000"/>
          <w:szCs w:val="21"/>
        </w:rPr>
        <w:t>股表现比较突出，上证</w:t>
      </w:r>
      <w:r w:rsidRPr="00646A7D">
        <w:rPr>
          <w:rFonts w:eastAsiaTheme="minorEastAsia"/>
          <w:color w:val="000000"/>
          <w:szCs w:val="21"/>
        </w:rPr>
        <w:t>180</w:t>
      </w:r>
      <w:r w:rsidRPr="00646A7D">
        <w:rPr>
          <w:rFonts w:eastAsiaTheme="minorEastAsia"/>
          <w:color w:val="000000"/>
          <w:szCs w:val="21"/>
        </w:rPr>
        <w:t>指数上涨</w:t>
      </w:r>
      <w:r w:rsidRPr="00646A7D">
        <w:rPr>
          <w:rFonts w:eastAsiaTheme="minorEastAsia"/>
          <w:color w:val="000000"/>
          <w:szCs w:val="21"/>
        </w:rPr>
        <w:t>26%</w:t>
      </w:r>
      <w:r w:rsidRPr="00646A7D">
        <w:rPr>
          <w:rFonts w:eastAsiaTheme="minorEastAsia"/>
          <w:color w:val="000000"/>
          <w:szCs w:val="21"/>
        </w:rPr>
        <w:t>。本基金将依然按照全复制的操作思路完成日常跟踪管理。</w:t>
      </w:r>
    </w:p>
    <w:p w:rsidR="001548F9" w:rsidRPr="00646A7D" w:rsidRDefault="001548F9" w:rsidP="000E18D9">
      <w:pPr>
        <w:autoSpaceDE w:val="0"/>
        <w:autoSpaceDN w:val="0"/>
        <w:adjustRightInd w:val="0"/>
        <w:spacing w:beforeLines="100" w:before="312" w:line="360" w:lineRule="auto"/>
        <w:jc w:val="left"/>
        <w:rPr>
          <w:rFonts w:eastAsiaTheme="minorEastAsia"/>
          <w:b/>
          <w:szCs w:val="21"/>
        </w:rPr>
      </w:pPr>
      <w:r w:rsidRPr="00646A7D">
        <w:rPr>
          <w:rFonts w:eastAsiaTheme="minorEastAsia"/>
          <w:b/>
          <w:szCs w:val="21"/>
        </w:rPr>
        <w:t xml:space="preserve">4.4.2 </w:t>
      </w:r>
      <w:r w:rsidRPr="00646A7D">
        <w:rPr>
          <w:rFonts w:eastAsiaTheme="minorEastAsia"/>
          <w:b/>
          <w:szCs w:val="21"/>
        </w:rPr>
        <w:t>报告期内基金的业绩表现</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截至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日，本基金份额净值为</w:t>
      </w:r>
      <w:r w:rsidRPr="00646A7D">
        <w:rPr>
          <w:rFonts w:eastAsiaTheme="minorEastAsia"/>
          <w:color w:val="000000"/>
          <w:szCs w:val="21"/>
        </w:rPr>
        <w:t>1.4534</w:t>
      </w:r>
      <w:r w:rsidRPr="00646A7D">
        <w:rPr>
          <w:rFonts w:eastAsiaTheme="minorEastAsia"/>
          <w:color w:val="000000"/>
          <w:szCs w:val="21"/>
        </w:rPr>
        <w:t>元，本报告期份额净值增长率为</w:t>
      </w:r>
      <w:r w:rsidRPr="00646A7D">
        <w:rPr>
          <w:rFonts w:eastAsiaTheme="minorEastAsia"/>
          <w:color w:val="000000"/>
          <w:szCs w:val="21"/>
        </w:rPr>
        <w:t>25.41%</w:t>
      </w:r>
      <w:r w:rsidRPr="00646A7D">
        <w:rPr>
          <w:rFonts w:eastAsiaTheme="minorEastAsia"/>
          <w:color w:val="000000"/>
          <w:szCs w:val="21"/>
        </w:rPr>
        <w:t>，同期业绩比较基准增长率为</w:t>
      </w:r>
      <w:r w:rsidRPr="00646A7D">
        <w:rPr>
          <w:rFonts w:eastAsiaTheme="minorEastAsia"/>
          <w:color w:val="000000"/>
          <w:szCs w:val="21"/>
        </w:rPr>
        <w:t>24.71%</w:t>
      </w:r>
      <w:r w:rsidRPr="00646A7D">
        <w:rPr>
          <w:rFonts w:eastAsiaTheme="minorEastAsia"/>
          <w:color w:val="000000"/>
          <w:szCs w:val="21"/>
        </w:rPr>
        <w:t>。</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27" w:name="_Toc331410083"/>
      <w:bookmarkStart w:id="28" w:name="_Toc225498259"/>
      <w:r w:rsidRPr="00646A7D">
        <w:rPr>
          <w:rFonts w:ascii="Times New Roman" w:eastAsiaTheme="minorEastAsia" w:hAnsi="Times New Roman"/>
          <w:kern w:val="0"/>
          <w:sz w:val="21"/>
          <w:szCs w:val="21"/>
        </w:rPr>
        <w:t xml:space="preserve">4.5 </w:t>
      </w:r>
      <w:r w:rsidRPr="00646A7D">
        <w:rPr>
          <w:rFonts w:ascii="Times New Roman" w:eastAsiaTheme="minorEastAsia" w:hAnsi="Times New Roman"/>
          <w:kern w:val="0"/>
          <w:sz w:val="21"/>
          <w:szCs w:val="21"/>
        </w:rPr>
        <w:t>管理人对宏观经济、证券市场及行业走势的简要展望</w:t>
      </w:r>
      <w:bookmarkEnd w:id="27"/>
      <w:bookmarkEnd w:id="28"/>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展望</w:t>
      </w:r>
      <w:r w:rsidRPr="00646A7D">
        <w:rPr>
          <w:rFonts w:eastAsiaTheme="minorEastAsia"/>
          <w:color w:val="000000"/>
          <w:szCs w:val="21"/>
        </w:rPr>
        <w:t>2019</w:t>
      </w:r>
      <w:r w:rsidRPr="00646A7D">
        <w:rPr>
          <w:rFonts w:eastAsiaTheme="minorEastAsia"/>
          <w:color w:val="000000"/>
          <w:szCs w:val="21"/>
        </w:rPr>
        <w:t>年下半年，我们预计全球经济增长仍将进一步放缓，美国防御性降息的可能性较高，中美贸易谈判是一个中长期的过程。在复杂的国际环境中，国内宏观经济政策将进一步增强稳定经济、稳定就业等政策措施，进一步深化改革，在财政政策和货币政策上都将会大力支持经济的稳定增长。科创板的推出，对国内</w:t>
      </w:r>
      <w:r w:rsidRPr="00646A7D">
        <w:rPr>
          <w:rFonts w:eastAsiaTheme="minorEastAsia"/>
          <w:color w:val="000000"/>
          <w:szCs w:val="21"/>
        </w:rPr>
        <w:t>A</w:t>
      </w:r>
      <w:r w:rsidRPr="00646A7D">
        <w:rPr>
          <w:rFonts w:eastAsiaTheme="minorEastAsia"/>
          <w:color w:val="000000"/>
          <w:szCs w:val="21"/>
        </w:rPr>
        <w:t>股市场深层次的改革以及国内宏观经济转型创新发展都将是非常积极的推动。我们看好国内经济的中长期稳定增长，对国内改革和转型发展充满信心，对中长期投资国内上证</w:t>
      </w:r>
      <w:r w:rsidRPr="00646A7D">
        <w:rPr>
          <w:rFonts w:eastAsiaTheme="minorEastAsia"/>
          <w:color w:val="000000"/>
          <w:szCs w:val="21"/>
        </w:rPr>
        <w:t>180</w:t>
      </w:r>
      <w:r w:rsidRPr="00646A7D">
        <w:rPr>
          <w:rFonts w:eastAsiaTheme="minorEastAsia"/>
          <w:color w:val="000000"/>
          <w:szCs w:val="21"/>
        </w:rPr>
        <w:t>指数为代表的蓝筹股充满信心。目前，上证</w:t>
      </w:r>
      <w:r w:rsidRPr="00646A7D">
        <w:rPr>
          <w:rFonts w:eastAsiaTheme="minorEastAsia"/>
          <w:color w:val="000000"/>
          <w:szCs w:val="21"/>
        </w:rPr>
        <w:t>180</w:t>
      </w:r>
      <w:r w:rsidRPr="00646A7D">
        <w:rPr>
          <w:rFonts w:eastAsiaTheme="minorEastAsia"/>
          <w:color w:val="000000"/>
          <w:szCs w:val="21"/>
        </w:rPr>
        <w:t>指数的估值仅有</w:t>
      </w:r>
      <w:r w:rsidRPr="00646A7D">
        <w:rPr>
          <w:rFonts w:eastAsiaTheme="minorEastAsia"/>
          <w:color w:val="000000"/>
          <w:szCs w:val="21"/>
        </w:rPr>
        <w:t>11</w:t>
      </w:r>
      <w:r w:rsidRPr="00646A7D">
        <w:rPr>
          <w:rFonts w:eastAsiaTheme="minorEastAsia"/>
          <w:color w:val="000000"/>
          <w:szCs w:val="21"/>
        </w:rPr>
        <w:t>倍，未来两年的盈利增长比较稳健，分红收益率</w:t>
      </w:r>
      <w:r w:rsidRPr="00646A7D">
        <w:rPr>
          <w:rFonts w:eastAsiaTheme="minorEastAsia"/>
          <w:color w:val="000000"/>
          <w:szCs w:val="21"/>
        </w:rPr>
        <w:t>3%</w:t>
      </w:r>
      <w:r w:rsidRPr="00646A7D">
        <w:rPr>
          <w:rFonts w:eastAsiaTheme="minorEastAsia"/>
          <w:color w:val="000000"/>
          <w:szCs w:val="21"/>
        </w:rPr>
        <w:t>左右。作为基金管理人，我们继续坚持积极将基金回报与指数相拟合的原则，降低跟踪偏离和跟踪误差，勤勉尽责，为投资者获得长期稳定的回报。</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29" w:name="_Toc331410085"/>
      <w:bookmarkStart w:id="30" w:name="_Toc247959457"/>
      <w:bookmarkStart w:id="31" w:name="_Toc225570083"/>
      <w:r w:rsidRPr="00646A7D">
        <w:rPr>
          <w:rFonts w:ascii="Times New Roman" w:eastAsiaTheme="minorEastAsia" w:hAnsi="Times New Roman"/>
          <w:kern w:val="0"/>
          <w:sz w:val="21"/>
          <w:szCs w:val="21"/>
        </w:rPr>
        <w:t xml:space="preserve">4.6 </w:t>
      </w:r>
      <w:r w:rsidRPr="00646A7D">
        <w:rPr>
          <w:rFonts w:ascii="Times New Roman" w:eastAsiaTheme="minorEastAsia" w:hAnsi="Times New Roman"/>
          <w:kern w:val="0"/>
          <w:sz w:val="21"/>
          <w:szCs w:val="21"/>
        </w:rPr>
        <w:t>管理人对报告期内基金估值程序等事项的说明</w:t>
      </w:r>
      <w:bookmarkEnd w:id="29"/>
      <w:bookmarkEnd w:id="30"/>
      <w:bookmarkEnd w:id="31"/>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r>
        <w:rPr>
          <w:rFonts w:eastAsiaTheme="minorEastAsia"/>
          <w:color w:val="000000"/>
          <w:szCs w:val="21"/>
        </w:rPr>
        <w:t xml:space="preserve"> </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本基金管理人设有估值委员会，负责在证券发行机构发生了严重影响证券价格的重大事件时，评估重大事件对投资品种价值的影响程度、评估对基金估值的影响程度、确定采用的估值</w:t>
      </w:r>
      <w:r>
        <w:rPr>
          <w:rFonts w:eastAsiaTheme="minorEastAsia"/>
          <w:color w:val="000000"/>
          <w:szCs w:val="21"/>
        </w:rPr>
        <w:t>方法、确定该证券的公允价值；同时将采用的估值方法以及采用该方法对相关证券的估值与基金的托管银行进行沟通。估值委员会成员由投资总监、研究部总监、固定收益部总监、指数与量化投资部总监、基金运营部高级总监、风险管理部总监等人员组成，具有多年的证券、基金从业经验，熟悉相关法律法规，具备行业研究、风险管理、法律合规或基金估值运作等方面的专业胜任能力。基金经理可参与估值原则和方法的讨论，但不参与估值原则和方法的最终决策和日常估值的执行。</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本报告期内，参与估值流程各方之间不存在任何重大利益冲突。</w:t>
      </w:r>
      <w:r>
        <w:rPr>
          <w:rFonts w:eastAsiaTheme="minorEastAsia"/>
          <w:color w:val="000000"/>
          <w:szCs w:val="21"/>
        </w:rPr>
        <w:t xml:space="preserve"> </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本基金管理人已与中央国债登记结算有限责任公司及中证指数有限公司签署服务协议，由其按约定分别提供银行间同业市场及交易所交易的债券品种的估值数据。</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32" w:name="_Toc331410086"/>
      <w:bookmarkStart w:id="33" w:name="_Toc247959458"/>
      <w:bookmarkStart w:id="34" w:name="_Toc225570084"/>
      <w:r w:rsidRPr="00646A7D">
        <w:rPr>
          <w:rFonts w:ascii="Times New Roman" w:eastAsiaTheme="minorEastAsia" w:hAnsi="Times New Roman"/>
          <w:kern w:val="0"/>
          <w:sz w:val="21"/>
          <w:szCs w:val="21"/>
        </w:rPr>
        <w:t xml:space="preserve">4.7 </w:t>
      </w:r>
      <w:r w:rsidRPr="00646A7D">
        <w:rPr>
          <w:rFonts w:ascii="Times New Roman" w:eastAsiaTheme="minorEastAsia"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本报告期不进行收益分配。</w:t>
      </w:r>
    </w:p>
    <w:p w:rsidR="000A1C93" w:rsidRPr="00C56D9D" w:rsidRDefault="000A1C93" w:rsidP="000E18D9">
      <w:pPr>
        <w:pStyle w:val="20"/>
        <w:spacing w:beforeLines="100" w:before="312" w:after="0"/>
        <w:rPr>
          <w:rFonts w:eastAsiaTheme="minorEastAsia"/>
          <w:color w:val="000000" w:themeColor="text1"/>
          <w:szCs w:val="21"/>
        </w:rPr>
      </w:pPr>
      <w:r w:rsidRPr="00065120">
        <w:rPr>
          <w:rFonts w:ascii="Times New Roman" w:eastAsiaTheme="minorEastAsia" w:hAnsi="Times New Roman" w:hint="eastAsia"/>
          <w:kern w:val="0"/>
          <w:sz w:val="21"/>
          <w:szCs w:val="21"/>
        </w:rPr>
        <w:t xml:space="preserve">4.8 </w:t>
      </w:r>
      <w:r w:rsidRPr="00065120">
        <w:rPr>
          <w:rFonts w:ascii="Times New Roman" w:eastAsiaTheme="minorEastAsia" w:hAnsi="Times New Roman" w:hint="eastAsia"/>
          <w:kern w:val="0"/>
          <w:sz w:val="21"/>
          <w:szCs w:val="21"/>
        </w:rPr>
        <w:t>报告期内管理人对本基金持有人数或基金资产净值预警情形的说明</w:t>
      </w:r>
    </w:p>
    <w:p w:rsidR="000A1C93" w:rsidRPr="00646A7D" w:rsidRDefault="000A1C93" w:rsidP="000A1C93">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本基金报告期内不存在基金持有人数低于</w:t>
      </w:r>
      <w:r w:rsidRPr="00C56D9D">
        <w:rPr>
          <w:rFonts w:eastAsiaTheme="minorEastAsia"/>
          <w:color w:val="000000" w:themeColor="text1"/>
          <w:kern w:val="0"/>
          <w:szCs w:val="21"/>
        </w:rPr>
        <w:t>200</w:t>
      </w:r>
      <w:r w:rsidRPr="00C56D9D">
        <w:rPr>
          <w:rFonts w:eastAsiaTheme="minorEastAsia"/>
          <w:color w:val="000000" w:themeColor="text1"/>
          <w:kern w:val="0"/>
          <w:szCs w:val="21"/>
        </w:rPr>
        <w:t>人或基金资产净值低于</w:t>
      </w:r>
      <w:r w:rsidRPr="00C56D9D">
        <w:rPr>
          <w:rFonts w:eastAsiaTheme="minorEastAsia"/>
          <w:color w:val="000000" w:themeColor="text1"/>
          <w:kern w:val="0"/>
          <w:szCs w:val="21"/>
        </w:rPr>
        <w:t>5000</w:t>
      </w:r>
      <w:r w:rsidRPr="00C56D9D">
        <w:rPr>
          <w:rFonts w:eastAsiaTheme="minorEastAsia"/>
          <w:color w:val="000000" w:themeColor="text1"/>
          <w:kern w:val="0"/>
          <w:szCs w:val="21"/>
        </w:rPr>
        <w:t>万元的情形。</w:t>
      </w:r>
    </w:p>
    <w:p w:rsidR="001548F9" w:rsidRPr="00646A7D" w:rsidRDefault="001548F9" w:rsidP="000E18D9">
      <w:pPr>
        <w:pStyle w:val="1"/>
        <w:keepNext/>
        <w:keepLines/>
        <w:widowControl w:val="0"/>
        <w:spacing w:beforeLines="100" w:before="312" w:afterLines="100" w:after="312" w:line="360" w:lineRule="auto"/>
        <w:jc w:val="center"/>
        <w:rPr>
          <w:rFonts w:eastAsiaTheme="minorEastAsia"/>
          <w:b/>
          <w:bCs/>
          <w:sz w:val="21"/>
          <w:szCs w:val="21"/>
          <w:lang w:val="en-US"/>
        </w:rPr>
      </w:pPr>
      <w:bookmarkStart w:id="35" w:name="_Toc331410088"/>
      <w:bookmarkStart w:id="36" w:name="_Toc225498263"/>
      <w:r w:rsidRPr="00646A7D">
        <w:rPr>
          <w:rFonts w:eastAsiaTheme="minorEastAsia"/>
          <w:b/>
          <w:bCs/>
          <w:sz w:val="21"/>
          <w:szCs w:val="21"/>
          <w:lang w:val="en-US"/>
        </w:rPr>
        <w:t xml:space="preserve">5  </w:t>
      </w:r>
      <w:r w:rsidRPr="00646A7D">
        <w:rPr>
          <w:rFonts w:eastAsiaTheme="minorEastAsia"/>
          <w:b/>
          <w:bCs/>
          <w:sz w:val="21"/>
          <w:szCs w:val="21"/>
          <w:lang w:val="en-US"/>
        </w:rPr>
        <w:t>托管人报告</w:t>
      </w:r>
      <w:bookmarkEnd w:id="35"/>
      <w:bookmarkEnd w:id="36"/>
    </w:p>
    <w:p w:rsidR="001548F9" w:rsidRPr="00646A7D" w:rsidRDefault="001548F9" w:rsidP="003576C9">
      <w:pPr>
        <w:pStyle w:val="20"/>
        <w:spacing w:before="0" w:after="0"/>
        <w:rPr>
          <w:rFonts w:ascii="Times New Roman" w:eastAsiaTheme="minorEastAsia" w:hAnsi="Times New Roman"/>
          <w:kern w:val="0"/>
          <w:sz w:val="21"/>
          <w:szCs w:val="21"/>
        </w:rPr>
      </w:pPr>
      <w:bookmarkStart w:id="37" w:name="_Toc331410089"/>
      <w:bookmarkStart w:id="38" w:name="_Toc225498264"/>
      <w:r w:rsidRPr="00646A7D">
        <w:rPr>
          <w:rFonts w:ascii="Times New Roman" w:eastAsiaTheme="minorEastAsia" w:hAnsi="Times New Roman"/>
          <w:kern w:val="0"/>
          <w:sz w:val="21"/>
          <w:szCs w:val="21"/>
        </w:rPr>
        <w:t xml:space="preserve">5.1 </w:t>
      </w:r>
      <w:r w:rsidRPr="00646A7D">
        <w:rPr>
          <w:rFonts w:ascii="Times New Roman" w:eastAsiaTheme="minorEastAsia" w:hAnsi="Times New Roman"/>
          <w:kern w:val="0"/>
          <w:sz w:val="21"/>
          <w:szCs w:val="21"/>
        </w:rPr>
        <w:t>报告期内本基金托管人遵规守信情况声明</w:t>
      </w:r>
      <w:bookmarkEnd w:id="37"/>
      <w:bookmarkEnd w:id="38"/>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39" w:name="_Toc225498265"/>
      <w:bookmarkStart w:id="40" w:name="_Toc331410090"/>
      <w:r w:rsidRPr="00646A7D">
        <w:rPr>
          <w:rFonts w:ascii="Times New Roman" w:eastAsiaTheme="minorEastAsia" w:hAnsi="Times New Roman"/>
          <w:kern w:val="0"/>
          <w:sz w:val="21"/>
          <w:szCs w:val="21"/>
        </w:rPr>
        <w:t xml:space="preserve">5.2 </w:t>
      </w:r>
      <w:r w:rsidRPr="00646A7D">
        <w:rPr>
          <w:rFonts w:ascii="Times New Roman" w:eastAsiaTheme="minorEastAsia" w:hAnsi="Times New Roman"/>
          <w:kern w:val="0"/>
          <w:sz w:val="21"/>
          <w:szCs w:val="21"/>
        </w:rPr>
        <w:t>托管人对报告期内本基金投资运作遵规守信、净值计算、利润分配等情况的</w:t>
      </w:r>
      <w:bookmarkEnd w:id="39"/>
      <w:r w:rsidRPr="00646A7D">
        <w:rPr>
          <w:rFonts w:ascii="Times New Roman" w:eastAsiaTheme="minorEastAsia" w:hAnsi="Times New Roman"/>
          <w:kern w:val="0"/>
          <w:sz w:val="21"/>
          <w:szCs w:val="21"/>
        </w:rPr>
        <w:t>说明</w:t>
      </w:r>
      <w:bookmarkEnd w:id="40"/>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报告期内，本基金未实施利润分配。</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41" w:name="_Toc331410091"/>
      <w:bookmarkStart w:id="42" w:name="_Toc225498266"/>
      <w:r w:rsidRPr="00646A7D">
        <w:rPr>
          <w:rFonts w:ascii="Times New Roman" w:eastAsiaTheme="minorEastAsia" w:hAnsi="Times New Roman"/>
          <w:kern w:val="0"/>
          <w:sz w:val="21"/>
          <w:szCs w:val="21"/>
        </w:rPr>
        <w:t xml:space="preserve">5.3 </w:t>
      </w:r>
      <w:r w:rsidRPr="00646A7D">
        <w:rPr>
          <w:rFonts w:ascii="Times New Roman" w:eastAsiaTheme="minorEastAsia" w:hAnsi="Times New Roman"/>
          <w:kern w:val="0"/>
          <w:sz w:val="21"/>
          <w:szCs w:val="21"/>
        </w:rPr>
        <w:t>托管人对本半年度报告中财务信息等内容的真实、准确和完整发表意见</w:t>
      </w:r>
      <w:bookmarkEnd w:id="41"/>
      <w:bookmarkEnd w:id="42"/>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1548F9" w:rsidRPr="00646A7D" w:rsidRDefault="001548F9" w:rsidP="000E18D9">
      <w:pPr>
        <w:pStyle w:val="1"/>
        <w:keepNext/>
        <w:keepLines/>
        <w:widowControl w:val="0"/>
        <w:spacing w:beforeLines="100" w:before="312" w:afterLines="100" w:after="312" w:line="360" w:lineRule="auto"/>
        <w:jc w:val="center"/>
        <w:rPr>
          <w:rFonts w:eastAsiaTheme="minorEastAsia"/>
          <w:b/>
          <w:bCs/>
          <w:sz w:val="21"/>
          <w:szCs w:val="21"/>
          <w:lang w:val="en-US"/>
        </w:rPr>
      </w:pPr>
      <w:bookmarkStart w:id="43" w:name="_Toc331410096"/>
      <w:r w:rsidRPr="00646A7D">
        <w:rPr>
          <w:rFonts w:eastAsiaTheme="minorEastAsia"/>
          <w:b/>
          <w:bCs/>
          <w:sz w:val="21"/>
          <w:szCs w:val="21"/>
          <w:lang w:val="en-US"/>
        </w:rPr>
        <w:t>6</w:t>
      </w:r>
      <w:bookmarkEnd w:id="43"/>
      <w:r w:rsidRPr="00646A7D">
        <w:rPr>
          <w:rFonts w:eastAsiaTheme="minorEastAsia"/>
          <w:b/>
          <w:bCs/>
          <w:sz w:val="21"/>
          <w:szCs w:val="21"/>
          <w:lang w:val="en-US"/>
        </w:rPr>
        <w:tab/>
      </w:r>
      <w:r w:rsidRPr="00646A7D">
        <w:rPr>
          <w:rFonts w:eastAsiaTheme="minorEastAsia"/>
          <w:b/>
          <w:bCs/>
          <w:sz w:val="21"/>
          <w:szCs w:val="21"/>
          <w:lang w:val="en-US"/>
        </w:rPr>
        <w:t>半年度财务会计报告（未经审计）</w:t>
      </w:r>
    </w:p>
    <w:p w:rsidR="001548F9" w:rsidRPr="00646A7D" w:rsidRDefault="001548F9" w:rsidP="003576C9">
      <w:pPr>
        <w:pStyle w:val="20"/>
        <w:spacing w:before="0" w:after="0"/>
        <w:rPr>
          <w:rFonts w:ascii="Times New Roman" w:eastAsiaTheme="minorEastAsia" w:hAnsi="Times New Roman"/>
          <w:kern w:val="0"/>
          <w:sz w:val="21"/>
          <w:szCs w:val="21"/>
        </w:rPr>
      </w:pPr>
      <w:bookmarkStart w:id="44" w:name="_Toc331410097"/>
      <w:bookmarkStart w:id="45" w:name="_Toc225498268"/>
      <w:r w:rsidRPr="00646A7D">
        <w:rPr>
          <w:rFonts w:ascii="Times New Roman" w:eastAsiaTheme="minorEastAsia" w:hAnsi="Times New Roman"/>
          <w:kern w:val="0"/>
          <w:sz w:val="21"/>
          <w:szCs w:val="21"/>
        </w:rPr>
        <w:t xml:space="preserve">6.1 </w:t>
      </w:r>
      <w:r w:rsidRPr="00646A7D">
        <w:rPr>
          <w:rFonts w:ascii="Times New Roman" w:eastAsiaTheme="minorEastAsia" w:hAnsi="Times New Roman"/>
          <w:kern w:val="0"/>
          <w:sz w:val="21"/>
          <w:szCs w:val="21"/>
        </w:rPr>
        <w:t>资产负债表</w:t>
      </w:r>
      <w:bookmarkEnd w:id="44"/>
      <w:bookmarkEnd w:id="45"/>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会计主体：华安上证</w:t>
      </w:r>
      <w:r w:rsidRPr="00646A7D">
        <w:rPr>
          <w:rFonts w:eastAsiaTheme="minorEastAsia"/>
          <w:color w:val="000000"/>
          <w:szCs w:val="21"/>
        </w:rPr>
        <w:t>180</w:t>
      </w:r>
      <w:r w:rsidRPr="00646A7D">
        <w:rPr>
          <w:rFonts w:eastAsiaTheme="minorEastAsia"/>
          <w:color w:val="000000"/>
          <w:szCs w:val="21"/>
        </w:rPr>
        <w:t>交易型开放式指数证券投资基金联接基金</w:t>
      </w:r>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报告截止日：</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0"/>
        <w:gridCol w:w="40"/>
        <w:gridCol w:w="2511"/>
        <w:gridCol w:w="9"/>
        <w:gridCol w:w="2740"/>
      </w:tblGrid>
      <w:tr w:rsidR="00FC027C" w:rsidRPr="00646A7D" w:rsidTr="00646A7D">
        <w:tc>
          <w:tcPr>
            <w:tcW w:w="3601" w:type="dxa"/>
            <w:vAlign w:val="center"/>
          </w:tcPr>
          <w:p w:rsidR="00FC027C" w:rsidRPr="00646A7D" w:rsidRDefault="00FC027C" w:rsidP="00F73D0C">
            <w:pPr>
              <w:pStyle w:val="aff1"/>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资产</w:t>
            </w:r>
          </w:p>
        </w:tc>
        <w:tc>
          <w:tcPr>
            <w:tcW w:w="2551" w:type="dxa"/>
            <w:gridSpan w:val="2"/>
            <w:vAlign w:val="center"/>
          </w:tcPr>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8" w:type="dxa"/>
            <w:gridSpan w:val="2"/>
            <w:vAlign w:val="center"/>
          </w:tcPr>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01" w:type="dxa"/>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银行存款</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15,794,468.85</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17,473,382.32</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结算备付金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54,960.08</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41,697.24</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存出保证金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15,261.51</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2,317.39</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293,585,494.82</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260,223,338.41</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其中：股票投资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165,157.72</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450,176.41</w:t>
            </w:r>
          </w:p>
        </w:tc>
      </w:tr>
      <w:tr w:rsidR="00FC027C" w:rsidRPr="00646A7D" w:rsidTr="00646A7D">
        <w:tc>
          <w:tcPr>
            <w:tcW w:w="3601" w:type="dxa"/>
            <w:vAlign w:val="center"/>
          </w:tcPr>
          <w:p w:rsidR="00FC027C" w:rsidRPr="00646A7D" w:rsidRDefault="00FC027C" w:rsidP="005E17AD">
            <w:pPr>
              <w:pStyle w:val="aff1"/>
              <w:ind w:firstLineChars="300" w:firstLine="630"/>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基金投资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293,420,337.10</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259,773,162.00</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债券投资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资产支持证券投资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A47B26">
            <w:pPr>
              <w:spacing w:line="360" w:lineRule="auto"/>
              <w:ind w:firstLineChars="300" w:firstLine="630"/>
              <w:rPr>
                <w:rFonts w:eastAsiaTheme="minorEastAsia"/>
                <w:color w:val="000000"/>
                <w:szCs w:val="21"/>
              </w:rPr>
            </w:pPr>
            <w:r w:rsidRPr="00646A7D">
              <w:rPr>
                <w:rFonts w:eastAsiaTheme="minorEastAsia"/>
              </w:rPr>
              <w:t>贵金属投资</w:t>
            </w:r>
          </w:p>
        </w:tc>
        <w:tc>
          <w:tcPr>
            <w:tcW w:w="2551"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衍生金融资产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买入返售金融资产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应收证券清算款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17,599.21</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82,345.88</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应收利息</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2,865.55</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3,446.89</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应收股利</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应收申购款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508,922.46</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272,372.19</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递延所得税资产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其他资产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b/>
                <w:color w:val="000000"/>
                <w:szCs w:val="21"/>
              </w:rPr>
            </w:pPr>
            <w:r w:rsidRPr="00646A7D">
              <w:rPr>
                <w:rFonts w:eastAsiaTheme="minorEastAsia"/>
                <w:b/>
                <w:color w:val="000000"/>
                <w:szCs w:val="21"/>
              </w:rPr>
              <w:t>资产总计</w:t>
            </w:r>
          </w:p>
        </w:tc>
        <w:tc>
          <w:tcPr>
            <w:tcW w:w="2551"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309,979,572.48</w:t>
            </w:r>
          </w:p>
        </w:tc>
        <w:tc>
          <w:tcPr>
            <w:tcW w:w="2748"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278,098,900.32</w:t>
            </w:r>
          </w:p>
        </w:tc>
      </w:tr>
      <w:tr w:rsidR="00FC027C" w:rsidRPr="00646A7D" w:rsidTr="00646A7D">
        <w:tc>
          <w:tcPr>
            <w:tcW w:w="3641" w:type="dxa"/>
            <w:gridSpan w:val="2"/>
            <w:vAlign w:val="center"/>
          </w:tcPr>
          <w:p w:rsidR="00FC027C" w:rsidRPr="00646A7D" w:rsidRDefault="00FC027C" w:rsidP="00F73D0C">
            <w:pPr>
              <w:pStyle w:val="aff1"/>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负债和所有者权益</w:t>
            </w:r>
          </w:p>
        </w:tc>
        <w:tc>
          <w:tcPr>
            <w:tcW w:w="2520" w:type="dxa"/>
            <w:gridSpan w:val="2"/>
            <w:vAlign w:val="center"/>
          </w:tcPr>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0" w:type="dxa"/>
            <w:vAlign w:val="center"/>
          </w:tcPr>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短期借款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衍生金融负债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卖出回购金融资产款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应付证券清算款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2,908,909.78</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应付赎回款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541,619.63</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193,266.49</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应付管理人报酬</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6,220.12</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6,963.98</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应付托管费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1,244.04</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1,392.80</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应付销售服务费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应付交易费用</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11,276.81</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3,955.68</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应交税费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应付利息</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递延所得税负债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其他负债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93,874.20</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298,380.07</w:t>
            </w:r>
          </w:p>
        </w:tc>
      </w:tr>
      <w:tr w:rsidR="00FC027C" w:rsidRPr="00646A7D" w:rsidTr="00646A7D">
        <w:tc>
          <w:tcPr>
            <w:tcW w:w="3641" w:type="dxa"/>
            <w:gridSpan w:val="2"/>
            <w:vAlign w:val="center"/>
          </w:tcPr>
          <w:p w:rsidR="00FC027C" w:rsidRPr="00646A7D" w:rsidRDefault="00FC027C" w:rsidP="00F73D0C">
            <w:pPr>
              <w:pStyle w:val="aff1"/>
              <w:jc w:val="both"/>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654,234.80</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3,412,868.80</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实收基金</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212,827,474.94</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237,016,400.33</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未分配利润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96,497,862.74</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37,669,631.19</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309,325,337.68</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274,686,031.52</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负债和所有者权益总计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309,979,572.48</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278,098,900.32</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注：报告截止日</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日，基金份额净值</w:t>
      </w:r>
      <w:r w:rsidRPr="00646A7D">
        <w:rPr>
          <w:rFonts w:eastAsiaTheme="minorEastAsia"/>
          <w:kern w:val="0"/>
          <w:szCs w:val="21"/>
        </w:rPr>
        <w:t>1.4534</w:t>
      </w:r>
      <w:r w:rsidRPr="00646A7D">
        <w:rPr>
          <w:rFonts w:eastAsiaTheme="minorEastAsia"/>
          <w:kern w:val="0"/>
          <w:szCs w:val="21"/>
        </w:rPr>
        <w:t>元，基金份额总额</w:t>
      </w:r>
      <w:r w:rsidRPr="00646A7D">
        <w:rPr>
          <w:rFonts w:eastAsiaTheme="minorEastAsia"/>
          <w:kern w:val="0"/>
          <w:szCs w:val="21"/>
        </w:rPr>
        <w:t>212,827,474.94</w:t>
      </w:r>
      <w:r w:rsidRPr="00646A7D">
        <w:rPr>
          <w:rFonts w:eastAsiaTheme="minorEastAsia"/>
          <w:kern w:val="0"/>
          <w:szCs w:val="21"/>
        </w:rPr>
        <w:t>份。</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46" w:name="_Toc331410098"/>
      <w:bookmarkStart w:id="47" w:name="_Toc225498269"/>
      <w:r w:rsidRPr="00646A7D">
        <w:rPr>
          <w:rFonts w:ascii="Times New Roman" w:eastAsiaTheme="minorEastAsia" w:hAnsi="Times New Roman"/>
          <w:kern w:val="0"/>
          <w:sz w:val="21"/>
          <w:szCs w:val="21"/>
        </w:rPr>
        <w:t xml:space="preserve">6.2 </w:t>
      </w:r>
      <w:r w:rsidRPr="00646A7D">
        <w:rPr>
          <w:rFonts w:ascii="Times New Roman" w:eastAsiaTheme="minorEastAsia" w:hAnsi="Times New Roman"/>
          <w:kern w:val="0"/>
          <w:sz w:val="21"/>
          <w:szCs w:val="21"/>
        </w:rPr>
        <w:t>利润表</w:t>
      </w:r>
      <w:bookmarkEnd w:id="46"/>
      <w:bookmarkEnd w:id="47"/>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华安上证</w:t>
      </w:r>
      <w:r w:rsidRPr="00646A7D">
        <w:rPr>
          <w:rFonts w:eastAsiaTheme="minorEastAsia"/>
          <w:kern w:val="0"/>
          <w:szCs w:val="21"/>
        </w:rPr>
        <w:t>180</w:t>
      </w:r>
      <w:r w:rsidRPr="00646A7D">
        <w:rPr>
          <w:rFonts w:eastAsiaTheme="minorEastAsia"/>
          <w:kern w:val="0"/>
          <w:szCs w:val="21"/>
        </w:rPr>
        <w:t>交易型开放式指数证券投资基金联接基金</w:t>
      </w:r>
    </w:p>
    <w:p w:rsidR="001548F9" w:rsidRPr="00646A7D" w:rsidRDefault="001548F9" w:rsidP="003576C9">
      <w:pPr>
        <w:spacing w:line="360" w:lineRule="auto"/>
        <w:rPr>
          <w:rFonts w:eastAsiaTheme="minorEastAsia"/>
          <w:color w:val="000000"/>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5"/>
        <w:gridCol w:w="2383"/>
        <w:gridCol w:w="2437"/>
      </w:tblGrid>
      <w:tr w:rsidR="00FC027C" w:rsidRPr="00646A7D" w:rsidTr="00646A7D">
        <w:tc>
          <w:tcPr>
            <w:tcW w:w="4075" w:type="dxa"/>
            <w:vAlign w:val="center"/>
          </w:tcPr>
          <w:p w:rsidR="00FC027C" w:rsidRPr="00646A7D" w:rsidRDefault="00FC027C">
            <w:pPr>
              <w:pStyle w:val="aff1"/>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项目</w:t>
            </w:r>
          </w:p>
        </w:tc>
        <w:tc>
          <w:tcPr>
            <w:tcW w:w="2383" w:type="dxa"/>
            <w:vAlign w:val="center"/>
          </w:tcPr>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w:t>
            </w:r>
          </w:p>
          <w:p w:rsidR="00FC027C" w:rsidRPr="00646A7D" w:rsidRDefault="00FC027C" w:rsidP="00DB683F">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c>
          <w:tcPr>
            <w:tcW w:w="2437" w:type="dxa"/>
            <w:vAlign w:val="center"/>
          </w:tcPr>
          <w:p w:rsidR="00FC027C" w:rsidRPr="00646A7D" w:rsidRDefault="00FC027C">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上年度可比期间</w:t>
            </w:r>
          </w:p>
          <w:p w:rsidR="00FC027C" w:rsidRPr="00646A7D" w:rsidRDefault="00FC027C">
            <w:pPr>
              <w:pStyle w:val="aff1"/>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FC027C" w:rsidRPr="00646A7D" w:rsidTr="00646A7D">
        <w:tc>
          <w:tcPr>
            <w:tcW w:w="4075" w:type="dxa"/>
            <w:vAlign w:val="center"/>
          </w:tcPr>
          <w:p w:rsidR="00FC027C" w:rsidRPr="00646A7D" w:rsidRDefault="00FC027C" w:rsidP="0049538A">
            <w:pPr>
              <w:rPr>
                <w:rFonts w:eastAsiaTheme="minorEastAsia"/>
                <w:b/>
                <w:color w:val="000000"/>
                <w:szCs w:val="21"/>
              </w:rPr>
            </w:pPr>
            <w:r w:rsidRPr="00646A7D">
              <w:rPr>
                <w:rFonts w:eastAsiaTheme="minorEastAsia"/>
                <w:b/>
                <w:color w:val="000000"/>
                <w:szCs w:val="21"/>
              </w:rPr>
              <w:t>一、收入</w:t>
            </w:r>
          </w:p>
        </w:tc>
        <w:tc>
          <w:tcPr>
            <w:tcW w:w="2383"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69,853,548.03</w:t>
            </w:r>
          </w:p>
        </w:tc>
        <w:tc>
          <w:tcPr>
            <w:tcW w:w="2437"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-36,718,759.83</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60,398.09</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65,868.19</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其中：存款利息收入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60,398.09</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65,868.19</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债券利息收入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资产支持证券利息收入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买入返售金融资产收入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其他利息收入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投资收益（损失以</w:t>
            </w:r>
            <w:r w:rsidRPr="00646A7D">
              <w:rPr>
                <w:rFonts w:eastAsiaTheme="minorEastAsia"/>
                <w:color w:val="000000"/>
                <w:szCs w:val="21"/>
              </w:rPr>
              <w:t>“-”</w:t>
            </w:r>
            <w:r w:rsidRPr="00646A7D">
              <w:rPr>
                <w:rFonts w:eastAsiaTheme="minorEastAsia"/>
                <w:color w:val="000000"/>
                <w:szCs w:val="21"/>
              </w:rPr>
              <w:t>填列）</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5,811,901.86</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2,449,608.21</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其中：股票投资收益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-109,429.34</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-53,927.23</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基金投资收益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5,920,726.40</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2,503,277.44</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债券投资收益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资产支持证券投资收益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spacing w:line="360" w:lineRule="auto"/>
              <w:ind w:firstLineChars="300" w:firstLine="630"/>
              <w:rPr>
                <w:rFonts w:eastAsiaTheme="minorEastAsia"/>
                <w:color w:val="000000"/>
                <w:szCs w:val="21"/>
              </w:rPr>
            </w:pPr>
            <w:r w:rsidRPr="00646A7D">
              <w:rPr>
                <w:rFonts w:eastAsiaTheme="minorEastAsia"/>
              </w:rPr>
              <w:t>贵金属投资收益</w:t>
            </w:r>
          </w:p>
        </w:tc>
        <w:tc>
          <w:tcPr>
            <w:tcW w:w="2383"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衍生工具收益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股利收益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604.80</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258.00</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公允价值变动收益（损失以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63,938,425.53</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-39,263,693.18</w:t>
            </w:r>
          </w:p>
        </w:tc>
      </w:tr>
      <w:tr w:rsidR="00CB0C51" w:rsidRPr="00646A7D" w:rsidTr="00646A7D">
        <w:tc>
          <w:tcPr>
            <w:tcW w:w="4075" w:type="dxa"/>
            <w:vAlign w:val="center"/>
          </w:tcPr>
          <w:p w:rsidR="00CB0C51" w:rsidRPr="00646A7D" w:rsidRDefault="00CB0C51" w:rsidP="0049538A">
            <w:pPr>
              <w:pStyle w:val="aff1"/>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4.</w:t>
            </w:r>
            <w:r w:rsidRPr="00646A7D">
              <w:rPr>
                <w:rFonts w:ascii="Times New Roman" w:eastAsiaTheme="minorEastAsia" w:hAnsi="Times New Roman"/>
                <w:color w:val="000000"/>
                <w:sz w:val="21"/>
                <w:szCs w:val="21"/>
              </w:rPr>
              <w:t>汇兑收益（损失以</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其他收入（损失以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42,822.55</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29,456.95</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b/>
                <w:color w:val="000000"/>
                <w:szCs w:val="21"/>
              </w:rPr>
              <w:t>减：二、费用</w:t>
            </w:r>
          </w:p>
        </w:tc>
        <w:tc>
          <w:tcPr>
            <w:tcW w:w="2383"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188,446.76</w:t>
            </w:r>
          </w:p>
        </w:tc>
        <w:tc>
          <w:tcPr>
            <w:tcW w:w="2437"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211,775.38</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．管理人报酬</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40,470.60</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44,947.46</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．托管费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8,094.13</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8,989.50</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．销售服务费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4</w:t>
            </w:r>
            <w:r w:rsidRPr="00646A7D">
              <w:rPr>
                <w:rFonts w:eastAsiaTheme="minorEastAsia"/>
                <w:color w:val="000000"/>
                <w:szCs w:val="21"/>
              </w:rPr>
              <w:t>．交易费用</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47,010.14</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6,556.32</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．利息支出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其中：卖出回购金融资产支出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5E09A4" w:rsidRPr="00646A7D" w:rsidTr="00A30075">
        <w:tc>
          <w:tcPr>
            <w:tcW w:w="4075" w:type="dxa"/>
            <w:vAlign w:val="center"/>
          </w:tcPr>
          <w:p w:rsidR="005E09A4" w:rsidRPr="00C27A37" w:rsidRDefault="005E09A4" w:rsidP="00622FA0">
            <w:pPr>
              <w:rPr>
                <w:rFonts w:eastAsiaTheme="minorEastAsia"/>
                <w:color w:val="000000"/>
                <w:szCs w:val="21"/>
              </w:rPr>
            </w:pPr>
            <w:r w:rsidRPr="00C27A37">
              <w:rPr>
                <w:rFonts w:eastAsiaTheme="minorEastAsia" w:hint="eastAsia"/>
                <w:color w:val="000000"/>
                <w:szCs w:val="21"/>
              </w:rPr>
              <w:t>6.</w:t>
            </w:r>
            <w:r w:rsidRPr="00C27A37">
              <w:rPr>
                <w:rFonts w:eastAsiaTheme="minorEastAsia" w:hint="eastAsia"/>
                <w:color w:val="000000"/>
                <w:szCs w:val="21"/>
              </w:rPr>
              <w:t>税金及附加</w:t>
            </w:r>
          </w:p>
          <w:p w:rsidR="005E09A4" w:rsidRPr="00C27A37" w:rsidRDefault="005E09A4" w:rsidP="00622FA0">
            <w:pPr>
              <w:rPr>
                <w:rFonts w:eastAsiaTheme="minorEastAsia"/>
                <w:color w:val="000000"/>
                <w:szCs w:val="21"/>
              </w:rPr>
            </w:pPr>
          </w:p>
        </w:tc>
        <w:tc>
          <w:tcPr>
            <w:tcW w:w="2383" w:type="dxa"/>
            <w:vAlign w:val="bottom"/>
          </w:tcPr>
          <w:p w:rsidR="005E09A4" w:rsidRPr="00C27A37" w:rsidRDefault="005E09A4" w:rsidP="00622FA0">
            <w:pPr>
              <w:jc w:val="right"/>
              <w:rPr>
                <w:rFonts w:eastAsiaTheme="minorEastAsia"/>
                <w:color w:val="000000"/>
                <w:szCs w:val="21"/>
              </w:rPr>
            </w:pPr>
            <w:r w:rsidRPr="00C27A37">
              <w:rPr>
                <w:rFonts w:eastAsiaTheme="minorEastAsia"/>
                <w:color w:val="000000"/>
                <w:szCs w:val="21"/>
              </w:rPr>
              <w:t>-</w:t>
            </w:r>
          </w:p>
        </w:tc>
        <w:tc>
          <w:tcPr>
            <w:tcW w:w="2437" w:type="dxa"/>
            <w:vAlign w:val="bottom"/>
          </w:tcPr>
          <w:p w:rsidR="005E09A4" w:rsidRPr="00C27A37" w:rsidRDefault="005E09A4" w:rsidP="00622FA0">
            <w:pPr>
              <w:jc w:val="right"/>
              <w:rPr>
                <w:rFonts w:eastAsiaTheme="minorEastAsia"/>
                <w:color w:val="000000"/>
                <w:szCs w:val="21"/>
              </w:rPr>
            </w:pPr>
            <w:r w:rsidRPr="00C27A37">
              <w:rPr>
                <w:rFonts w:eastAsiaTheme="minorEastAsia"/>
                <w:color w:val="000000"/>
                <w:szCs w:val="21"/>
              </w:rPr>
              <w:t>2,396.39</w:t>
            </w:r>
          </w:p>
        </w:tc>
      </w:tr>
      <w:tr w:rsidR="005E09A4" w:rsidRPr="00646A7D" w:rsidTr="00A30075">
        <w:tc>
          <w:tcPr>
            <w:tcW w:w="4075" w:type="dxa"/>
            <w:vAlign w:val="center"/>
          </w:tcPr>
          <w:p w:rsidR="005E09A4" w:rsidRPr="00C27A37" w:rsidRDefault="005E09A4" w:rsidP="00622FA0">
            <w:pPr>
              <w:rPr>
                <w:rFonts w:eastAsiaTheme="minorEastAsia"/>
                <w:color w:val="000000"/>
                <w:szCs w:val="21"/>
              </w:rPr>
            </w:pPr>
            <w:r w:rsidRPr="00C27A37">
              <w:rPr>
                <w:rFonts w:eastAsiaTheme="minorEastAsia" w:hint="eastAsia"/>
                <w:color w:val="000000"/>
                <w:szCs w:val="21"/>
              </w:rPr>
              <w:t>7</w:t>
            </w:r>
            <w:r w:rsidRPr="00C27A37">
              <w:rPr>
                <w:rFonts w:eastAsiaTheme="minorEastAsia"/>
                <w:color w:val="000000"/>
                <w:szCs w:val="21"/>
              </w:rPr>
              <w:t>．其他费用</w:t>
            </w:r>
          </w:p>
        </w:tc>
        <w:tc>
          <w:tcPr>
            <w:tcW w:w="2383" w:type="dxa"/>
            <w:vAlign w:val="bottom"/>
          </w:tcPr>
          <w:p w:rsidR="005E09A4" w:rsidRPr="00C27A37" w:rsidRDefault="005E09A4" w:rsidP="00622FA0">
            <w:pPr>
              <w:jc w:val="right"/>
              <w:rPr>
                <w:rFonts w:eastAsiaTheme="minorEastAsia"/>
                <w:color w:val="000000"/>
                <w:szCs w:val="21"/>
              </w:rPr>
            </w:pPr>
            <w:r w:rsidRPr="00C27A37">
              <w:rPr>
                <w:rFonts w:eastAsiaTheme="minorEastAsia"/>
                <w:color w:val="000000"/>
                <w:szCs w:val="21"/>
              </w:rPr>
              <w:t>92,871.89</w:t>
            </w:r>
          </w:p>
        </w:tc>
        <w:tc>
          <w:tcPr>
            <w:tcW w:w="2437" w:type="dxa"/>
            <w:vAlign w:val="bottom"/>
          </w:tcPr>
          <w:p w:rsidR="005E09A4" w:rsidRPr="002941F6" w:rsidRDefault="005E09A4" w:rsidP="00622FA0">
            <w:pPr>
              <w:jc w:val="right"/>
              <w:rPr>
                <w:rFonts w:eastAsiaTheme="minorEastAsia"/>
                <w:color w:val="000000"/>
                <w:szCs w:val="21"/>
              </w:rPr>
            </w:pPr>
            <w:r w:rsidRPr="00C27A37">
              <w:rPr>
                <w:rFonts w:eastAsiaTheme="minorEastAsia"/>
                <w:color w:val="000000"/>
                <w:szCs w:val="21"/>
              </w:rPr>
              <w:t>148,885.71</w:t>
            </w:r>
          </w:p>
        </w:tc>
      </w:tr>
      <w:tr w:rsidR="005E09A4" w:rsidRPr="00646A7D" w:rsidTr="00646A7D">
        <w:tc>
          <w:tcPr>
            <w:tcW w:w="4075" w:type="dxa"/>
            <w:vAlign w:val="center"/>
          </w:tcPr>
          <w:p w:rsidR="005E09A4" w:rsidRPr="00646A7D" w:rsidRDefault="005E09A4" w:rsidP="0049538A">
            <w:pPr>
              <w:rPr>
                <w:rFonts w:eastAsiaTheme="minorEastAsia"/>
                <w:b/>
                <w:color w:val="000000"/>
                <w:szCs w:val="21"/>
              </w:rPr>
            </w:pPr>
            <w:r w:rsidRPr="00646A7D">
              <w:rPr>
                <w:rFonts w:eastAsiaTheme="minorEastAsia"/>
                <w:b/>
                <w:color w:val="000000"/>
                <w:szCs w:val="21"/>
              </w:rPr>
              <w:t>三、利润总额（亏损总额以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69,665,101.27</w:t>
            </w:r>
          </w:p>
        </w:tc>
        <w:tc>
          <w:tcPr>
            <w:tcW w:w="2437"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-36,930,535.21</w:t>
            </w:r>
          </w:p>
        </w:tc>
      </w:tr>
      <w:tr w:rsidR="005E09A4" w:rsidRPr="00646A7D" w:rsidTr="00646A7D">
        <w:tc>
          <w:tcPr>
            <w:tcW w:w="4075" w:type="dxa"/>
            <w:vAlign w:val="center"/>
          </w:tcPr>
          <w:p w:rsidR="005E09A4" w:rsidRPr="00646A7D" w:rsidRDefault="005E09A4" w:rsidP="0049538A">
            <w:pPr>
              <w:rPr>
                <w:rFonts w:eastAsiaTheme="minorEastAsia"/>
                <w:b/>
                <w:color w:val="000000"/>
                <w:szCs w:val="21"/>
              </w:rPr>
            </w:pPr>
            <w:r w:rsidRPr="00646A7D">
              <w:rPr>
                <w:rFonts w:eastAsiaTheme="minorEastAsia"/>
                <w:szCs w:val="21"/>
              </w:rPr>
              <w:t>减：所得税费用</w:t>
            </w:r>
          </w:p>
        </w:tc>
        <w:tc>
          <w:tcPr>
            <w:tcW w:w="2383" w:type="dxa"/>
            <w:vAlign w:val="center"/>
          </w:tcPr>
          <w:p w:rsidR="005E09A4" w:rsidRPr="00646A7D" w:rsidRDefault="005E09A4"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5E09A4" w:rsidRPr="00646A7D" w:rsidRDefault="005E09A4" w:rsidP="0049538A">
            <w:pPr>
              <w:jc w:val="right"/>
              <w:rPr>
                <w:rFonts w:eastAsiaTheme="minorEastAsia"/>
                <w:color w:val="000000"/>
                <w:szCs w:val="21"/>
              </w:rPr>
            </w:pPr>
            <w:r w:rsidRPr="00646A7D">
              <w:rPr>
                <w:rFonts w:eastAsiaTheme="minorEastAsia"/>
                <w:color w:val="000000"/>
                <w:szCs w:val="21"/>
              </w:rPr>
              <w:t>-</w:t>
            </w:r>
          </w:p>
        </w:tc>
      </w:tr>
      <w:tr w:rsidR="005E09A4" w:rsidRPr="00646A7D" w:rsidTr="00646A7D">
        <w:tc>
          <w:tcPr>
            <w:tcW w:w="4075" w:type="dxa"/>
            <w:vAlign w:val="center"/>
          </w:tcPr>
          <w:p w:rsidR="005E09A4" w:rsidRPr="00646A7D" w:rsidRDefault="005E09A4" w:rsidP="0049538A">
            <w:pPr>
              <w:rPr>
                <w:rFonts w:eastAsiaTheme="minorEastAsia"/>
                <w:b/>
                <w:color w:val="000000"/>
                <w:szCs w:val="21"/>
              </w:rPr>
            </w:pPr>
            <w:r w:rsidRPr="00646A7D">
              <w:rPr>
                <w:rFonts w:eastAsiaTheme="minorEastAsia"/>
                <w:b/>
                <w:color w:val="000000"/>
                <w:szCs w:val="21"/>
              </w:rPr>
              <w:t>四、净利润（净亏损以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69,665,101.27</w:t>
            </w:r>
          </w:p>
        </w:tc>
        <w:tc>
          <w:tcPr>
            <w:tcW w:w="2437"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-36,930,535.21</w:t>
            </w:r>
          </w:p>
        </w:tc>
      </w:tr>
    </w:tbl>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48" w:name="_Toc331410099"/>
      <w:bookmarkStart w:id="49" w:name="_Toc225498270"/>
      <w:r w:rsidRPr="00646A7D">
        <w:rPr>
          <w:rFonts w:ascii="Times New Roman" w:eastAsiaTheme="minorEastAsia" w:hAnsi="Times New Roman"/>
          <w:kern w:val="0"/>
          <w:sz w:val="21"/>
          <w:szCs w:val="21"/>
        </w:rPr>
        <w:t xml:space="preserve">6.3 </w:t>
      </w:r>
      <w:r w:rsidRPr="00646A7D">
        <w:rPr>
          <w:rFonts w:ascii="Times New Roman" w:eastAsiaTheme="minorEastAsia" w:hAnsi="Times New Roman"/>
          <w:kern w:val="0"/>
          <w:sz w:val="21"/>
          <w:szCs w:val="21"/>
        </w:rPr>
        <w:t>所有者权益（基金净值）变动表</w:t>
      </w:r>
      <w:bookmarkEnd w:id="48"/>
      <w:bookmarkEnd w:id="49"/>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华安上证</w:t>
      </w:r>
      <w:r w:rsidRPr="00646A7D">
        <w:rPr>
          <w:rFonts w:eastAsiaTheme="minorEastAsia"/>
          <w:kern w:val="0"/>
          <w:szCs w:val="21"/>
        </w:rPr>
        <w:t>180</w:t>
      </w:r>
      <w:r w:rsidRPr="00646A7D">
        <w:rPr>
          <w:rFonts w:eastAsiaTheme="minorEastAsia"/>
          <w:kern w:val="0"/>
          <w:szCs w:val="21"/>
        </w:rPr>
        <w:t>交易型开放式指数证券投资基金联接基金</w:t>
      </w:r>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646A7D" w:rsidTr="001A4BE3">
        <w:tc>
          <w:tcPr>
            <w:tcW w:w="2552" w:type="dxa"/>
            <w:vMerge w:val="restart"/>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本期</w:t>
            </w:r>
          </w:p>
          <w:p w:rsidR="001548F9" w:rsidRPr="00646A7D" w:rsidRDefault="001548F9">
            <w:pPr>
              <w:pStyle w:val="aff1"/>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b/>
                <w:color w:val="000000"/>
                <w:szCs w:val="21"/>
              </w:rPr>
            </w:pP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实收基金</w:t>
            </w: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237,016,400.33</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37,669,631.19</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274,686,031.52</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69,665,101.27</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69,665,101.27</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-24,188,925.39</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-10,836,869.72</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-35,025,795.11</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28,695,779.71</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10,687,444.35</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39,383,224.06</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-52,884,705.10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-21,524,314.07</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-74,409,019.17</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212,827,474.94</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96,497,862.74</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309,325,337.68</w:t>
            </w:r>
          </w:p>
        </w:tc>
      </w:tr>
      <w:tr w:rsidR="001548F9" w:rsidRPr="00646A7D" w:rsidTr="001A4BE3">
        <w:tc>
          <w:tcPr>
            <w:tcW w:w="2552" w:type="dxa"/>
            <w:vMerge w:val="restart"/>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上年度可比期间</w:t>
            </w:r>
          </w:p>
          <w:p w:rsidR="001548F9" w:rsidRPr="00646A7D" w:rsidRDefault="001548F9">
            <w:pPr>
              <w:pStyle w:val="aff1"/>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color w:val="000000"/>
                <w:szCs w:val="21"/>
              </w:rPr>
            </w:pPr>
          </w:p>
        </w:tc>
        <w:tc>
          <w:tcPr>
            <w:tcW w:w="2149"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实收基金</w:t>
            </w:r>
          </w:p>
        </w:tc>
        <w:tc>
          <w:tcPr>
            <w:tcW w:w="2149" w:type="dxa"/>
          </w:tcPr>
          <w:p w:rsidR="001548F9" w:rsidRPr="00646A7D" w:rsidRDefault="001548F9">
            <w:pPr>
              <w:jc w:val="center"/>
              <w:rPr>
                <w:rFonts w:eastAsiaTheme="minorEastAsia"/>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238,358,558.52</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102,295,782.77</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340,654,341.29</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-36,930,535.21</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-36,930,535.21</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-9,953,301.59</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-4,178,954.28</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-14,132,255.87</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24,462,608.52</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10,258,848.53</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34,721,457.05</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-34,415,910.11</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-14,437,802.81</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-48,853,712.92</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228,405,256.93</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61,186,293.28</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289,591,550.21</w:t>
            </w:r>
          </w:p>
        </w:tc>
      </w:tr>
    </w:tbl>
    <w:p w:rsidR="002A630A" w:rsidRPr="00646A7D" w:rsidRDefault="002A630A" w:rsidP="000E18D9">
      <w:pPr>
        <w:spacing w:beforeLines="100" w:before="312" w:line="360" w:lineRule="auto"/>
        <w:rPr>
          <w:rFonts w:eastAsiaTheme="minorEastAsia"/>
          <w:szCs w:val="21"/>
        </w:rPr>
      </w:pPr>
      <w:r w:rsidRPr="00646A7D">
        <w:rPr>
          <w:rFonts w:eastAsiaTheme="minorEastAsia"/>
          <w:szCs w:val="21"/>
        </w:rPr>
        <w:t>报表附注为财务报表的组成部分。</w:t>
      </w:r>
    </w:p>
    <w:p w:rsidR="002A630A" w:rsidRPr="00646A7D" w:rsidRDefault="002A630A" w:rsidP="003576C9">
      <w:pPr>
        <w:spacing w:line="360" w:lineRule="auto"/>
        <w:rPr>
          <w:rFonts w:eastAsiaTheme="minorEastAsia"/>
          <w:szCs w:val="21"/>
        </w:rPr>
      </w:pPr>
      <w:r w:rsidRPr="00646A7D">
        <w:rPr>
          <w:rFonts w:eastAsiaTheme="minorEastAsia"/>
          <w:szCs w:val="21"/>
        </w:rPr>
        <w:t>本报告</w:t>
      </w:r>
      <w:r w:rsidRPr="00646A7D">
        <w:rPr>
          <w:rFonts w:eastAsiaTheme="minorEastAsia"/>
          <w:szCs w:val="21"/>
        </w:rPr>
        <w:t>6.1</w:t>
      </w:r>
      <w:r w:rsidRPr="00646A7D">
        <w:rPr>
          <w:rFonts w:eastAsiaTheme="minorEastAsia"/>
          <w:szCs w:val="21"/>
        </w:rPr>
        <w:t>至</w:t>
      </w:r>
      <w:r w:rsidRPr="00646A7D">
        <w:rPr>
          <w:rFonts w:eastAsiaTheme="minorEastAsia"/>
          <w:szCs w:val="21"/>
        </w:rPr>
        <w:t>6.4</w:t>
      </w:r>
      <w:r w:rsidRPr="00646A7D">
        <w:rPr>
          <w:rFonts w:eastAsiaTheme="minorEastAsia"/>
          <w:szCs w:val="21"/>
        </w:rPr>
        <w:t>，财务报表由下列负责人签署：</w:t>
      </w:r>
    </w:p>
    <w:p w:rsidR="001548F9" w:rsidRPr="00646A7D" w:rsidRDefault="002D20E4" w:rsidP="00646A7D">
      <w:pPr>
        <w:spacing w:line="360" w:lineRule="auto"/>
        <w:rPr>
          <w:rFonts w:eastAsiaTheme="minorEastAsia"/>
          <w:szCs w:val="21"/>
        </w:rPr>
      </w:pPr>
      <w:r w:rsidRPr="00646A7D">
        <w:rPr>
          <w:rFonts w:eastAsiaTheme="minorEastAsia"/>
          <w:szCs w:val="21"/>
        </w:rPr>
        <w:t>基金管理人</w:t>
      </w:r>
      <w:r w:rsidR="002A630A" w:rsidRPr="00646A7D">
        <w:rPr>
          <w:rFonts w:eastAsiaTheme="minorEastAsia"/>
          <w:szCs w:val="21"/>
        </w:rPr>
        <w:t>负责人：朱学华，主管会计工作负责人：赵敏，会计机构负责人：陈林</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50" w:name="_Toc331410100"/>
      <w:bookmarkStart w:id="51" w:name="_Toc225498271"/>
      <w:r w:rsidRPr="00646A7D">
        <w:rPr>
          <w:rFonts w:ascii="Times New Roman" w:eastAsiaTheme="minorEastAsia" w:hAnsi="Times New Roman"/>
          <w:kern w:val="0"/>
          <w:sz w:val="21"/>
          <w:szCs w:val="21"/>
        </w:rPr>
        <w:t xml:space="preserve">6.4 </w:t>
      </w:r>
      <w:r w:rsidRPr="00646A7D">
        <w:rPr>
          <w:rFonts w:ascii="Times New Roman" w:eastAsiaTheme="minorEastAsia" w:hAnsi="Times New Roman"/>
          <w:kern w:val="0"/>
          <w:sz w:val="21"/>
          <w:szCs w:val="21"/>
        </w:rPr>
        <w:t>报表附注</w:t>
      </w:r>
      <w:bookmarkEnd w:id="50"/>
      <w:bookmarkEnd w:id="51"/>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6.4.1 </w:t>
      </w:r>
      <w:r w:rsidRPr="00646A7D">
        <w:rPr>
          <w:rFonts w:eastAsiaTheme="minorEastAsia"/>
          <w:b/>
          <w:color w:val="000000"/>
          <w:kern w:val="0"/>
          <w:szCs w:val="21"/>
        </w:rPr>
        <w:t>基金基本情况</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华安上证</w:t>
      </w:r>
      <w:r>
        <w:rPr>
          <w:rFonts w:eastAsiaTheme="minorEastAsia"/>
          <w:color w:val="000000"/>
          <w:szCs w:val="21"/>
        </w:rPr>
        <w:t>180</w:t>
      </w:r>
      <w:r>
        <w:rPr>
          <w:rFonts w:eastAsiaTheme="minorEastAsia"/>
          <w:color w:val="000000"/>
          <w:szCs w:val="21"/>
        </w:rPr>
        <w:t>交易型开放式指数证券投资基金联接基金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2009</w:t>
      </w:r>
      <w:r>
        <w:rPr>
          <w:rFonts w:eastAsiaTheme="minorEastAsia"/>
          <w:color w:val="000000"/>
          <w:szCs w:val="21"/>
        </w:rPr>
        <w:t></w:t>
      </w:r>
      <w:r>
        <w:rPr>
          <w:rFonts w:eastAsiaTheme="minorEastAsia"/>
          <w:color w:val="000000"/>
          <w:szCs w:val="21"/>
        </w:rPr>
        <w:t>第</w:t>
      </w:r>
      <w:r>
        <w:rPr>
          <w:rFonts w:eastAsiaTheme="minorEastAsia"/>
          <w:color w:val="000000"/>
          <w:szCs w:val="21"/>
        </w:rPr>
        <w:t>794</w:t>
      </w:r>
      <w:r>
        <w:rPr>
          <w:rFonts w:eastAsiaTheme="minorEastAsia"/>
          <w:color w:val="000000"/>
          <w:szCs w:val="21"/>
        </w:rPr>
        <w:t>号《关于核准华安上证</w:t>
      </w:r>
      <w:r>
        <w:rPr>
          <w:rFonts w:eastAsiaTheme="minorEastAsia"/>
          <w:color w:val="000000"/>
          <w:szCs w:val="21"/>
        </w:rPr>
        <w:t>180</w:t>
      </w:r>
      <w:r>
        <w:rPr>
          <w:rFonts w:eastAsiaTheme="minorEastAsia"/>
          <w:color w:val="000000"/>
          <w:szCs w:val="21"/>
        </w:rPr>
        <w:t>交易型开放式指数证券投资基金联接基金募集的批复》核准，由华安基金管理有限公司依照《中华人民共和国证券投资基金法》和《华安上证</w:t>
      </w:r>
      <w:r>
        <w:rPr>
          <w:rFonts w:eastAsiaTheme="minorEastAsia"/>
          <w:color w:val="000000"/>
          <w:szCs w:val="21"/>
        </w:rPr>
        <w:t>180</w:t>
      </w:r>
      <w:r>
        <w:rPr>
          <w:rFonts w:eastAsiaTheme="minorEastAsia"/>
          <w:color w:val="000000"/>
          <w:szCs w:val="21"/>
        </w:rPr>
        <w:t>交易型开放式指数证券投资基金联接基金基金合同》负责公开募集。本基金为契约型开放式，存续期限不定，首次设立募集不包括认购资金利息共募集</w:t>
      </w:r>
      <w:r>
        <w:rPr>
          <w:rFonts w:eastAsiaTheme="minorEastAsia"/>
          <w:color w:val="000000"/>
          <w:szCs w:val="21"/>
        </w:rPr>
        <w:t>1,124,421,641.61</w:t>
      </w:r>
      <w:r>
        <w:rPr>
          <w:rFonts w:eastAsiaTheme="minorEastAsia"/>
          <w:color w:val="000000"/>
          <w:szCs w:val="21"/>
        </w:rPr>
        <w:t>元，业经普华永道中天会计师事务所有限公司普</w:t>
      </w:r>
      <w:r>
        <w:rPr>
          <w:rFonts w:eastAsiaTheme="minorEastAsia"/>
          <w:color w:val="000000"/>
          <w:szCs w:val="21"/>
        </w:rPr>
        <w:t>华永道中天验字</w:t>
      </w:r>
      <w:r>
        <w:rPr>
          <w:rFonts w:eastAsiaTheme="minorEastAsia"/>
          <w:color w:val="000000"/>
          <w:szCs w:val="21"/>
        </w:rPr>
        <w:t>(2009)</w:t>
      </w:r>
      <w:r>
        <w:rPr>
          <w:rFonts w:eastAsiaTheme="minorEastAsia"/>
          <w:color w:val="000000"/>
          <w:szCs w:val="21"/>
        </w:rPr>
        <w:t>第</w:t>
      </w:r>
      <w:r>
        <w:rPr>
          <w:rFonts w:eastAsiaTheme="minorEastAsia"/>
          <w:color w:val="000000"/>
          <w:szCs w:val="21"/>
        </w:rPr>
        <w:t>189</w:t>
      </w:r>
      <w:r>
        <w:rPr>
          <w:rFonts w:eastAsiaTheme="minorEastAsia"/>
          <w:color w:val="000000"/>
          <w:szCs w:val="21"/>
        </w:rPr>
        <w:t>号验资报告予以验证。经向中国证监会备案，《华安上证</w:t>
      </w:r>
      <w:r>
        <w:rPr>
          <w:rFonts w:eastAsiaTheme="minorEastAsia"/>
          <w:color w:val="000000"/>
          <w:szCs w:val="21"/>
        </w:rPr>
        <w:t>180</w:t>
      </w:r>
      <w:r>
        <w:rPr>
          <w:rFonts w:eastAsiaTheme="minorEastAsia"/>
          <w:color w:val="000000"/>
          <w:szCs w:val="21"/>
        </w:rPr>
        <w:t>交易型开放式指数证券投资基金联接基金基金合同》于</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29</w:t>
      </w:r>
      <w:r>
        <w:rPr>
          <w:rFonts w:eastAsiaTheme="minorEastAsia"/>
          <w:color w:val="000000"/>
          <w:szCs w:val="21"/>
        </w:rPr>
        <w:t>日正式生效，基金合同生效日的基金份额总额为</w:t>
      </w:r>
      <w:r>
        <w:rPr>
          <w:rFonts w:eastAsiaTheme="minorEastAsia"/>
          <w:color w:val="000000"/>
          <w:szCs w:val="21"/>
        </w:rPr>
        <w:t>1,124,533,978.56</w:t>
      </w:r>
      <w:r>
        <w:rPr>
          <w:rFonts w:eastAsiaTheme="minorEastAsia"/>
          <w:color w:val="000000"/>
          <w:szCs w:val="21"/>
        </w:rPr>
        <w:t>份基金份额，其中认购资金利息折合</w:t>
      </w:r>
      <w:r>
        <w:rPr>
          <w:rFonts w:eastAsiaTheme="minorEastAsia"/>
          <w:color w:val="000000"/>
          <w:szCs w:val="21"/>
        </w:rPr>
        <w:t>112,336.95</w:t>
      </w:r>
      <w:r>
        <w:rPr>
          <w:rFonts w:eastAsiaTheme="minorEastAsia"/>
          <w:color w:val="000000"/>
          <w:szCs w:val="21"/>
        </w:rPr>
        <w:t>份基金份额。本基金的基金管理人为华安基金管理有限公司，基金托管人为中国建设银行股份有限公司。</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本基金为上证</w:t>
      </w:r>
      <w:r>
        <w:rPr>
          <w:rFonts w:eastAsiaTheme="minorEastAsia"/>
          <w:color w:val="000000"/>
          <w:szCs w:val="21"/>
        </w:rPr>
        <w:t>180</w:t>
      </w:r>
      <w:r>
        <w:rPr>
          <w:rFonts w:eastAsiaTheme="minorEastAsia"/>
          <w:color w:val="000000"/>
          <w:szCs w:val="21"/>
        </w:rPr>
        <w:t>交易型开放式指数证券投资基金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目标</w:t>
      </w:r>
      <w:r>
        <w:rPr>
          <w:rFonts w:eastAsiaTheme="minorEastAsia"/>
          <w:color w:val="000000"/>
          <w:szCs w:val="21"/>
        </w:rPr>
        <w:t>ETF”)</w:t>
      </w:r>
      <w:r>
        <w:rPr>
          <w:rFonts w:eastAsiaTheme="minorEastAsia"/>
          <w:color w:val="000000"/>
          <w:szCs w:val="21"/>
        </w:rPr>
        <w:t>的联接基金。目标</w:t>
      </w:r>
      <w:r>
        <w:rPr>
          <w:rFonts w:eastAsiaTheme="minorEastAsia"/>
          <w:color w:val="000000"/>
          <w:szCs w:val="21"/>
        </w:rPr>
        <w:t>ETF</w:t>
      </w:r>
      <w:r>
        <w:rPr>
          <w:rFonts w:eastAsiaTheme="minorEastAsia"/>
          <w:color w:val="000000"/>
          <w:szCs w:val="21"/>
        </w:rPr>
        <w:t>是采用完全复制法实现对上证</w:t>
      </w:r>
      <w:r>
        <w:rPr>
          <w:rFonts w:eastAsiaTheme="minorEastAsia"/>
          <w:color w:val="000000"/>
          <w:szCs w:val="21"/>
        </w:rPr>
        <w:t>180</w:t>
      </w:r>
      <w:r>
        <w:rPr>
          <w:rFonts w:eastAsiaTheme="minorEastAsia"/>
          <w:color w:val="000000"/>
          <w:szCs w:val="21"/>
        </w:rPr>
        <w:t>指数紧密跟</w:t>
      </w:r>
      <w:r>
        <w:rPr>
          <w:rFonts w:eastAsiaTheme="minorEastAsia"/>
          <w:color w:val="000000"/>
          <w:szCs w:val="21"/>
        </w:rPr>
        <w:t>踪的全被动指数基金，本基金主要通过投资于目标</w:t>
      </w:r>
      <w:r>
        <w:rPr>
          <w:rFonts w:eastAsiaTheme="minorEastAsia"/>
          <w:color w:val="000000"/>
          <w:szCs w:val="21"/>
        </w:rPr>
        <w:t>ETF</w:t>
      </w:r>
      <w:r>
        <w:rPr>
          <w:rFonts w:eastAsiaTheme="minorEastAsia"/>
          <w:color w:val="000000"/>
          <w:szCs w:val="21"/>
        </w:rPr>
        <w:t>实现对业绩比较基准的紧密跟踪，力争使本基金日均跟踪偏离度的绝对值不超过</w:t>
      </w:r>
      <w:r>
        <w:rPr>
          <w:rFonts w:eastAsiaTheme="minorEastAsia"/>
          <w:color w:val="000000"/>
          <w:szCs w:val="21"/>
        </w:rPr>
        <w:t>0.35%</w:t>
      </w:r>
      <w:r>
        <w:rPr>
          <w:rFonts w:eastAsiaTheme="minorEastAsia"/>
          <w:color w:val="000000"/>
          <w:szCs w:val="21"/>
        </w:rPr>
        <w:t>，年跟踪误差不超过</w:t>
      </w:r>
      <w:r>
        <w:rPr>
          <w:rFonts w:eastAsiaTheme="minorEastAsia"/>
          <w:color w:val="000000"/>
          <w:szCs w:val="21"/>
        </w:rPr>
        <w:t>4%</w:t>
      </w:r>
      <w:r>
        <w:rPr>
          <w:rFonts w:eastAsiaTheme="minorEastAsia"/>
          <w:color w:val="000000"/>
          <w:szCs w:val="21"/>
        </w:rPr>
        <w:t>。</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根据《中华人民共和国证券投资基金法》和《华安上证</w:t>
      </w:r>
      <w:r>
        <w:rPr>
          <w:rFonts w:eastAsiaTheme="minorEastAsia"/>
          <w:color w:val="000000"/>
          <w:szCs w:val="21"/>
        </w:rPr>
        <w:t>180</w:t>
      </w:r>
      <w:r>
        <w:rPr>
          <w:rFonts w:eastAsiaTheme="minorEastAsia"/>
          <w:color w:val="000000"/>
          <w:szCs w:val="21"/>
        </w:rPr>
        <w:t>交易型开放式指数证券投资基金联接基金基金合同》的有关规定，本基金以上证</w:t>
      </w:r>
      <w:r>
        <w:rPr>
          <w:rFonts w:eastAsiaTheme="minorEastAsia"/>
          <w:color w:val="000000"/>
          <w:szCs w:val="21"/>
        </w:rPr>
        <w:t>180</w:t>
      </w:r>
      <w:r>
        <w:rPr>
          <w:rFonts w:eastAsiaTheme="minorEastAsia"/>
          <w:color w:val="000000"/>
          <w:szCs w:val="21"/>
        </w:rPr>
        <w:t>交易型开放式指数证券投资基金</w:t>
      </w:r>
      <w:r>
        <w:rPr>
          <w:rFonts w:eastAsiaTheme="minorEastAsia"/>
          <w:color w:val="000000"/>
          <w:szCs w:val="21"/>
        </w:rPr>
        <w:t xml:space="preserve"> (</w:t>
      </w:r>
      <w:r>
        <w:rPr>
          <w:rFonts w:eastAsiaTheme="minorEastAsia"/>
          <w:color w:val="000000"/>
          <w:szCs w:val="21"/>
        </w:rPr>
        <w:t>以下简称</w:t>
      </w:r>
      <w:r>
        <w:rPr>
          <w:rFonts w:eastAsiaTheme="minorEastAsia"/>
          <w:color w:val="000000"/>
          <w:szCs w:val="21"/>
        </w:rPr>
        <w:t>“</w:t>
      </w:r>
      <w:r>
        <w:rPr>
          <w:rFonts w:eastAsiaTheme="minorEastAsia"/>
          <w:color w:val="000000"/>
          <w:szCs w:val="21"/>
        </w:rPr>
        <w:t>目标</w:t>
      </w:r>
      <w:r>
        <w:rPr>
          <w:rFonts w:eastAsiaTheme="minorEastAsia"/>
          <w:color w:val="000000"/>
          <w:szCs w:val="21"/>
        </w:rPr>
        <w:t>ETF”)</w:t>
      </w:r>
      <w:r>
        <w:rPr>
          <w:rFonts w:eastAsiaTheme="minorEastAsia"/>
          <w:color w:val="000000"/>
          <w:szCs w:val="21"/>
        </w:rPr>
        <w:t>、上证</w:t>
      </w:r>
      <w:r>
        <w:rPr>
          <w:rFonts w:eastAsiaTheme="minorEastAsia"/>
          <w:color w:val="000000"/>
          <w:szCs w:val="21"/>
        </w:rPr>
        <w:t>180</w:t>
      </w:r>
      <w:r>
        <w:rPr>
          <w:rFonts w:eastAsiaTheme="minorEastAsia"/>
          <w:color w:val="000000"/>
          <w:szCs w:val="21"/>
        </w:rPr>
        <w:t>指数成份股、备选成份股为主要投资对象，其中投资于目标</w:t>
      </w:r>
      <w:r>
        <w:rPr>
          <w:rFonts w:eastAsiaTheme="minorEastAsia"/>
          <w:color w:val="000000"/>
          <w:szCs w:val="21"/>
        </w:rPr>
        <w:t>ETF</w:t>
      </w:r>
      <w:r>
        <w:rPr>
          <w:rFonts w:eastAsiaTheme="minorEastAsia"/>
          <w:color w:val="000000"/>
          <w:szCs w:val="21"/>
        </w:rPr>
        <w:t>的资产比例不低于基金资产净值的</w:t>
      </w:r>
      <w:r>
        <w:rPr>
          <w:rFonts w:eastAsiaTheme="minorEastAsia"/>
          <w:color w:val="000000"/>
          <w:szCs w:val="21"/>
        </w:rPr>
        <w:t>90%</w:t>
      </w:r>
      <w:r>
        <w:rPr>
          <w:rFonts w:eastAsiaTheme="minorEastAsia"/>
          <w:color w:val="000000"/>
          <w:szCs w:val="21"/>
        </w:rPr>
        <w:t>；现金或者到期日在一年以内的政府债券不低于基金资产净值的</w:t>
      </w:r>
      <w:r>
        <w:rPr>
          <w:rFonts w:eastAsiaTheme="minorEastAsia"/>
          <w:color w:val="000000"/>
          <w:szCs w:val="21"/>
        </w:rPr>
        <w:t>5%</w:t>
      </w:r>
      <w:r>
        <w:rPr>
          <w:rFonts w:eastAsiaTheme="minorEastAsia"/>
          <w:color w:val="000000"/>
          <w:szCs w:val="21"/>
        </w:rPr>
        <w:t>；本</w:t>
      </w:r>
      <w:r>
        <w:rPr>
          <w:rFonts w:eastAsiaTheme="minorEastAsia"/>
          <w:color w:val="000000"/>
          <w:szCs w:val="21"/>
        </w:rPr>
        <w:t>基金也可少量投资于新股</w:t>
      </w:r>
      <w:r>
        <w:rPr>
          <w:rFonts w:eastAsiaTheme="minorEastAsia"/>
          <w:color w:val="000000"/>
          <w:szCs w:val="21"/>
        </w:rPr>
        <w:t>(</w:t>
      </w:r>
      <w:r>
        <w:rPr>
          <w:rFonts w:eastAsiaTheme="minorEastAsia"/>
          <w:color w:val="000000"/>
          <w:szCs w:val="21"/>
        </w:rPr>
        <w:t>首次发行或增发等</w:t>
      </w:r>
      <w:r>
        <w:rPr>
          <w:rFonts w:eastAsiaTheme="minorEastAsia"/>
          <w:color w:val="000000"/>
          <w:szCs w:val="21"/>
        </w:rPr>
        <w:t>)</w:t>
      </w:r>
      <w:r>
        <w:rPr>
          <w:rFonts w:eastAsiaTheme="minorEastAsia"/>
          <w:color w:val="000000"/>
          <w:szCs w:val="21"/>
        </w:rPr>
        <w:t>及中国证监会允许基金投资的其他金融工具，该部分资产比例不高于基金资产净值的</w:t>
      </w:r>
      <w:r>
        <w:rPr>
          <w:rFonts w:eastAsiaTheme="minorEastAsia"/>
          <w:color w:val="000000"/>
          <w:szCs w:val="21"/>
        </w:rPr>
        <w:t>5%</w:t>
      </w:r>
      <w:r>
        <w:rPr>
          <w:rFonts w:eastAsiaTheme="minorEastAsia"/>
          <w:color w:val="000000"/>
          <w:szCs w:val="21"/>
        </w:rPr>
        <w:t>。本基金的业绩比较基准为：</w:t>
      </w:r>
      <w:r>
        <w:rPr>
          <w:rFonts w:eastAsiaTheme="minorEastAsia"/>
          <w:color w:val="000000"/>
          <w:szCs w:val="21"/>
        </w:rPr>
        <w:t>95%×</w:t>
      </w:r>
      <w:r>
        <w:rPr>
          <w:rFonts w:eastAsiaTheme="minorEastAsia"/>
          <w:color w:val="000000"/>
          <w:szCs w:val="21"/>
        </w:rPr>
        <w:t>上证</w:t>
      </w:r>
      <w:r>
        <w:rPr>
          <w:rFonts w:eastAsiaTheme="minorEastAsia"/>
          <w:color w:val="000000"/>
          <w:szCs w:val="21"/>
        </w:rPr>
        <w:t>180</w:t>
      </w:r>
      <w:r>
        <w:rPr>
          <w:rFonts w:eastAsiaTheme="minorEastAsia"/>
          <w:color w:val="000000"/>
          <w:szCs w:val="21"/>
        </w:rPr>
        <w:t>指数收益率</w:t>
      </w:r>
      <w:r>
        <w:rPr>
          <w:rFonts w:eastAsiaTheme="minorEastAsia"/>
          <w:color w:val="000000"/>
          <w:szCs w:val="21"/>
        </w:rPr>
        <w:t>+5%×</w:t>
      </w:r>
      <w:r>
        <w:rPr>
          <w:rFonts w:eastAsiaTheme="minorEastAsia"/>
          <w:color w:val="000000"/>
          <w:szCs w:val="21"/>
        </w:rPr>
        <w:t>商业银行税后活期存款利率。</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本财务报表由本基金的基金管理人华安基金管理有限公司于</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23</w:t>
      </w:r>
      <w:r w:rsidRPr="00646A7D">
        <w:rPr>
          <w:rFonts w:eastAsiaTheme="minorEastAsia"/>
          <w:color w:val="000000"/>
          <w:szCs w:val="21"/>
        </w:rPr>
        <w:t>日批准报出。</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6.4.2 </w:t>
      </w:r>
      <w:r w:rsidRPr="00646A7D">
        <w:rPr>
          <w:rFonts w:eastAsiaTheme="minorEastAsia"/>
          <w:b/>
          <w:color w:val="000000"/>
          <w:kern w:val="0"/>
          <w:szCs w:val="21"/>
        </w:rPr>
        <w:t>会计报表的编制基础</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本基金的财务报表按照财政部于</w:t>
      </w:r>
      <w:r w:rsidRPr="00646A7D">
        <w:rPr>
          <w:rFonts w:eastAsiaTheme="minorEastAsia"/>
          <w:color w:val="000000"/>
          <w:szCs w:val="21"/>
        </w:rPr>
        <w:t>2006</w:t>
      </w:r>
      <w:r w:rsidRPr="00646A7D">
        <w:rPr>
          <w:rFonts w:eastAsiaTheme="minorEastAsia"/>
          <w:color w:val="000000"/>
          <w:szCs w:val="21"/>
        </w:rPr>
        <w:t>年</w:t>
      </w:r>
      <w:r w:rsidRPr="00646A7D">
        <w:rPr>
          <w:rFonts w:eastAsiaTheme="minorEastAsia"/>
          <w:color w:val="000000"/>
          <w:szCs w:val="21"/>
        </w:rPr>
        <w:t>2</w:t>
      </w:r>
      <w:r w:rsidRPr="00646A7D">
        <w:rPr>
          <w:rFonts w:eastAsiaTheme="minorEastAsia"/>
          <w:color w:val="000000"/>
          <w:szCs w:val="21"/>
        </w:rPr>
        <w:t>月</w:t>
      </w:r>
      <w:r w:rsidRPr="00646A7D">
        <w:rPr>
          <w:rFonts w:eastAsiaTheme="minorEastAsia"/>
          <w:color w:val="000000"/>
          <w:szCs w:val="21"/>
        </w:rPr>
        <w:t>15</w:t>
      </w:r>
      <w:r w:rsidRPr="00646A7D">
        <w:rPr>
          <w:rFonts w:eastAsiaTheme="minorEastAsia"/>
          <w:color w:val="000000"/>
          <w:szCs w:val="21"/>
        </w:rPr>
        <w:t>日及以后期间颁布的《企业会计准则－基本准则》、各项具体会计准则及相关规定</w:t>
      </w:r>
      <w:r w:rsidRPr="00646A7D">
        <w:rPr>
          <w:rFonts w:eastAsiaTheme="minorEastAsia"/>
          <w:color w:val="000000"/>
          <w:szCs w:val="21"/>
        </w:rPr>
        <w:t>(</w:t>
      </w:r>
      <w:r w:rsidRPr="00646A7D">
        <w:rPr>
          <w:rFonts w:eastAsiaTheme="minorEastAsia"/>
          <w:color w:val="000000"/>
          <w:szCs w:val="21"/>
        </w:rPr>
        <w:t>以下合称</w:t>
      </w:r>
      <w:r w:rsidRPr="00646A7D">
        <w:rPr>
          <w:rFonts w:eastAsiaTheme="minorEastAsia"/>
          <w:color w:val="000000"/>
          <w:szCs w:val="21"/>
        </w:rPr>
        <w:t>“</w:t>
      </w:r>
      <w:r w:rsidRPr="00646A7D">
        <w:rPr>
          <w:rFonts w:eastAsiaTheme="minorEastAsia"/>
          <w:color w:val="000000"/>
          <w:szCs w:val="21"/>
        </w:rPr>
        <w:t>企业会计准则</w:t>
      </w:r>
      <w:r w:rsidRPr="00646A7D">
        <w:rPr>
          <w:rFonts w:eastAsiaTheme="minorEastAsia"/>
          <w:color w:val="000000"/>
          <w:szCs w:val="21"/>
        </w:rPr>
        <w:t>”)</w:t>
      </w:r>
      <w:r w:rsidRPr="00646A7D">
        <w:rPr>
          <w:rFonts w:eastAsiaTheme="minorEastAsia"/>
          <w:color w:val="000000"/>
          <w:szCs w:val="21"/>
        </w:rPr>
        <w:t>、中国证监会公告</w:t>
      </w:r>
      <w:r w:rsidRPr="00646A7D">
        <w:rPr>
          <w:rFonts w:eastAsiaTheme="minorEastAsia"/>
          <w:color w:val="000000"/>
          <w:szCs w:val="21"/>
        </w:rPr>
        <w:t>[2010]5</w:t>
      </w:r>
      <w:r w:rsidRPr="00646A7D">
        <w:rPr>
          <w:rFonts w:eastAsiaTheme="minorEastAsia"/>
          <w:color w:val="000000"/>
          <w:szCs w:val="21"/>
        </w:rPr>
        <w:t>号《证券投资基金信息披露</w:t>
      </w:r>
      <w:r w:rsidRPr="00646A7D">
        <w:rPr>
          <w:rFonts w:eastAsiaTheme="minorEastAsia"/>
          <w:color w:val="000000"/>
          <w:szCs w:val="21"/>
        </w:rPr>
        <w:t>XBRL</w:t>
      </w:r>
      <w:r w:rsidRPr="00646A7D">
        <w:rPr>
          <w:rFonts w:eastAsiaTheme="minorEastAsia"/>
          <w:color w:val="000000"/>
          <w:szCs w:val="21"/>
        </w:rPr>
        <w:t>模板第</w:t>
      </w:r>
      <w:r w:rsidRPr="00646A7D">
        <w:rPr>
          <w:rFonts w:eastAsiaTheme="minorEastAsia"/>
          <w:color w:val="000000"/>
          <w:szCs w:val="21"/>
        </w:rPr>
        <w:t>3</w:t>
      </w:r>
      <w:r w:rsidRPr="00646A7D">
        <w:rPr>
          <w:rFonts w:eastAsiaTheme="minorEastAsia"/>
          <w:color w:val="000000"/>
          <w:szCs w:val="21"/>
        </w:rPr>
        <w:t>号</w:t>
      </w:r>
      <w:r w:rsidRPr="00646A7D">
        <w:rPr>
          <w:rFonts w:eastAsiaTheme="minorEastAsia"/>
          <w:color w:val="000000"/>
          <w:szCs w:val="21"/>
        </w:rPr>
        <w:t>&lt;</w:t>
      </w:r>
      <w:r w:rsidRPr="00646A7D">
        <w:rPr>
          <w:rFonts w:eastAsiaTheme="minorEastAsia"/>
          <w:color w:val="000000"/>
          <w:szCs w:val="21"/>
        </w:rPr>
        <w:t>年度报告和半年度报告</w:t>
      </w:r>
      <w:r w:rsidRPr="00646A7D">
        <w:rPr>
          <w:rFonts w:eastAsiaTheme="minorEastAsia"/>
          <w:color w:val="000000"/>
          <w:szCs w:val="21"/>
        </w:rPr>
        <w:t>&gt;</w:t>
      </w:r>
      <w:r w:rsidRPr="00646A7D">
        <w:rPr>
          <w:rFonts w:eastAsiaTheme="minorEastAsia"/>
          <w:color w:val="000000"/>
          <w:szCs w:val="21"/>
        </w:rPr>
        <w:t>》、中国证券业协会于</w:t>
      </w:r>
      <w:r w:rsidRPr="00646A7D">
        <w:rPr>
          <w:rFonts w:eastAsiaTheme="minorEastAsia"/>
          <w:color w:val="000000"/>
          <w:szCs w:val="21"/>
        </w:rPr>
        <w:t>2007</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15</w:t>
      </w:r>
      <w:r w:rsidRPr="00646A7D">
        <w:rPr>
          <w:rFonts w:eastAsiaTheme="minorEastAsia"/>
          <w:color w:val="000000"/>
          <w:szCs w:val="21"/>
        </w:rPr>
        <w:t>日颁布的《证券投资基金会计核算业务指引》、《</w:t>
      </w:r>
      <w:r w:rsidRPr="00646A7D">
        <w:rPr>
          <w:rFonts w:eastAsiaTheme="minorEastAsia"/>
          <w:color w:val="000000"/>
          <w:szCs w:val="21"/>
        </w:rPr>
        <w:t xml:space="preserve"> </w:t>
      </w:r>
      <w:r w:rsidRPr="00646A7D">
        <w:rPr>
          <w:rFonts w:eastAsiaTheme="minorEastAsia"/>
          <w:color w:val="000000"/>
          <w:szCs w:val="21"/>
        </w:rPr>
        <w:t>华安上证</w:t>
      </w:r>
      <w:r w:rsidRPr="00646A7D">
        <w:rPr>
          <w:rFonts w:eastAsiaTheme="minorEastAsia"/>
          <w:color w:val="000000"/>
          <w:szCs w:val="21"/>
        </w:rPr>
        <w:t>180</w:t>
      </w:r>
      <w:r w:rsidRPr="00646A7D">
        <w:rPr>
          <w:rFonts w:eastAsiaTheme="minorEastAsia"/>
          <w:color w:val="000000"/>
          <w:szCs w:val="21"/>
        </w:rPr>
        <w:t>交易型开放式指数证券投资基金联接基金</w:t>
      </w:r>
      <w:r w:rsidRPr="00646A7D">
        <w:rPr>
          <w:rFonts w:eastAsiaTheme="minorEastAsia"/>
          <w:color w:val="000000"/>
          <w:szCs w:val="21"/>
        </w:rPr>
        <w:t xml:space="preserve"> </w:t>
      </w:r>
      <w:r w:rsidRPr="00646A7D">
        <w:rPr>
          <w:rFonts w:eastAsiaTheme="minorEastAsia"/>
          <w:color w:val="000000"/>
          <w:szCs w:val="21"/>
        </w:rPr>
        <w:t>基金合同》和在财务报表附注所列示的中国证监会发布的有关规定及允许的基金行业实务操作编制。</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6.4.3 </w:t>
      </w:r>
      <w:r w:rsidRPr="00646A7D">
        <w:rPr>
          <w:rFonts w:eastAsiaTheme="minorEastAsia"/>
          <w:b/>
          <w:color w:val="000000"/>
          <w:kern w:val="0"/>
          <w:szCs w:val="21"/>
        </w:rPr>
        <w:t>遵循企业会计准则及其他有关规定的声明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w:t>
      </w:r>
      <w:r w:rsidRPr="00646A7D">
        <w:rPr>
          <w:rFonts w:eastAsiaTheme="minorEastAsia"/>
          <w:color w:val="000000"/>
          <w:szCs w:val="21"/>
        </w:rPr>
        <w:t>2019</w:t>
      </w:r>
      <w:r w:rsidRPr="00646A7D">
        <w:rPr>
          <w:rFonts w:eastAsiaTheme="minorEastAsia"/>
          <w:color w:val="000000"/>
          <w:szCs w:val="21"/>
        </w:rPr>
        <w:t>年上半年度财务报表符合企业会计准则的要求，真实、完整地反映了本基金</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日的财务状况以及</w:t>
      </w:r>
      <w:r w:rsidRPr="00646A7D">
        <w:rPr>
          <w:rFonts w:eastAsiaTheme="minorEastAsia"/>
          <w:color w:val="000000"/>
          <w:szCs w:val="21"/>
        </w:rPr>
        <w:t>2019</w:t>
      </w:r>
      <w:r w:rsidRPr="00646A7D">
        <w:rPr>
          <w:rFonts w:eastAsiaTheme="minorEastAsia"/>
          <w:color w:val="000000"/>
          <w:szCs w:val="21"/>
        </w:rPr>
        <w:t>年上半年度的经营成果和基金净值变动情况等有关信息。</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6.4.4 </w:t>
      </w:r>
      <w:r w:rsidR="008D1564" w:rsidRPr="00646A7D">
        <w:rPr>
          <w:rFonts w:eastAsiaTheme="minorEastAsia"/>
          <w:b/>
          <w:kern w:val="0"/>
          <w:szCs w:val="21"/>
        </w:rPr>
        <w:t>本报告期所采用的会计政策、会计估计与最近一期年度报告相一致的说明</w:t>
      </w:r>
    </w:p>
    <w:p w:rsidR="006260B3"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本报告期所采用的会计政策、会计估计与最近一期年度报告相一致。</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6.4.5 </w:t>
      </w:r>
      <w:r w:rsidRPr="00646A7D">
        <w:rPr>
          <w:rFonts w:eastAsiaTheme="minorEastAsia"/>
          <w:b/>
          <w:color w:val="000000"/>
          <w:kern w:val="0"/>
          <w:szCs w:val="21"/>
        </w:rPr>
        <w:t>会计政策和会计估计变更以及差错更正的说明</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6.4.5.1</w:t>
      </w:r>
      <w:r w:rsidRPr="00646A7D">
        <w:rPr>
          <w:rFonts w:eastAsiaTheme="minorEastAsia"/>
          <w:b/>
          <w:color w:val="000000"/>
          <w:kern w:val="0"/>
          <w:szCs w:val="21"/>
        </w:rPr>
        <w:t>会计政策变更的说明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本会计期间不存在会计政策变更。</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6.4.5.2</w:t>
      </w:r>
      <w:r w:rsidRPr="00646A7D">
        <w:rPr>
          <w:rFonts w:eastAsiaTheme="minorEastAsia"/>
          <w:b/>
          <w:color w:val="000000"/>
          <w:kern w:val="0"/>
          <w:szCs w:val="21"/>
        </w:rPr>
        <w:t>会计估计变更的说明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本会计期间不存在会计估计变更。</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6.4.5.3</w:t>
      </w:r>
      <w:r w:rsidRPr="00646A7D">
        <w:rPr>
          <w:rFonts w:eastAsiaTheme="minorEastAsia"/>
          <w:b/>
          <w:color w:val="000000"/>
          <w:kern w:val="0"/>
          <w:szCs w:val="21"/>
        </w:rPr>
        <w:t>差错更正的说明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本会计期间不存在差错更正。</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6.4.6 </w:t>
      </w:r>
      <w:r w:rsidRPr="00646A7D">
        <w:rPr>
          <w:rFonts w:eastAsiaTheme="minorEastAsia"/>
          <w:b/>
          <w:color w:val="000000"/>
          <w:kern w:val="0"/>
          <w:szCs w:val="21"/>
        </w:rPr>
        <w:t>税项</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[2002]128</w:t>
      </w:r>
      <w:r>
        <w:rPr>
          <w:rFonts w:eastAsiaTheme="minorEastAsia"/>
          <w:color w:val="000000"/>
          <w:szCs w:val="21"/>
        </w:rPr>
        <w:t>号《关于开放式证券投资基金有关税收问题的通知》、财税</w:t>
      </w:r>
      <w:r>
        <w:rPr>
          <w:rFonts w:eastAsiaTheme="minorEastAsia"/>
          <w:color w:val="000000"/>
          <w:szCs w:val="21"/>
        </w:rPr>
        <w:t>[2004]78</w:t>
      </w:r>
      <w:r>
        <w:rPr>
          <w:rFonts w:eastAsiaTheme="minorEastAsia"/>
          <w:color w:val="000000"/>
          <w:szCs w:val="21"/>
        </w:rPr>
        <w:t>号《财政部、国家税务总局关于证券投资基金税收政策的通知》、财税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w:t>
      </w:r>
      <w:r>
        <w:rPr>
          <w:rFonts w:eastAsiaTheme="minorEastAsia"/>
          <w:color w:val="000000"/>
          <w:szCs w:val="21"/>
        </w:rPr>
        <w:t>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号《关于金融机构同业往来等增值税补充政策的通知》及其他相关财税法规和实务操作，主要税项列示如下：</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于</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w:t>
      </w:r>
      <w:r>
        <w:rPr>
          <w:rFonts w:eastAsiaTheme="minorEastAsia"/>
          <w:color w:val="000000"/>
          <w:szCs w:val="21"/>
        </w:rPr>
        <w:t>日前，以发行基金方式募集资金不属于营业税征收范围，不征收营业税。管理人运用基金买卖股票、债券的差价收入免征营业税。自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w:t>
      </w:r>
      <w:r>
        <w:rPr>
          <w:rFonts w:eastAsiaTheme="minorEastAsia"/>
          <w:color w:val="000000"/>
          <w:szCs w:val="21"/>
        </w:rPr>
        <w:t>日起，金融业由缴纳营业税改为缴纳增值税。对证券投资基金管理人运用基金买卖股票、债券的转让收入免征增值税，对金融同业往来利息收入亦</w:t>
      </w:r>
      <w:r>
        <w:rPr>
          <w:rFonts w:eastAsiaTheme="minorEastAsia"/>
          <w:color w:val="000000"/>
          <w:szCs w:val="21"/>
        </w:rPr>
        <w:t>免征增值税。</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对基金从证券市场中取得的收入，包括买卖股票、债券的差价收入，股权的股息、红利收入，债券的利息收入及其他收入，暂不征收企业所得税。</w:t>
      </w:r>
    </w:p>
    <w:p w:rsidR="007951F4" w:rsidRDefault="005757D9">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年的，于</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8</w:t>
      </w:r>
      <w:r>
        <w:rPr>
          <w:rFonts w:eastAsiaTheme="minorEastAsia"/>
          <w:color w:val="000000"/>
          <w:szCs w:val="21"/>
        </w:rPr>
        <w:t>日前暂减按</w:t>
      </w:r>
      <w:r>
        <w:rPr>
          <w:rFonts w:eastAsiaTheme="minorEastAsia"/>
          <w:color w:val="000000"/>
          <w:szCs w:val="21"/>
        </w:rPr>
        <w:t>25%</w:t>
      </w:r>
      <w:r>
        <w:rPr>
          <w:rFonts w:eastAsiaTheme="minorEastAsia"/>
          <w:color w:val="000000"/>
          <w:szCs w:val="21"/>
        </w:rPr>
        <w:t>计入应纳税所得额，自</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8</w:t>
      </w:r>
      <w:r>
        <w:rPr>
          <w:rFonts w:eastAsiaTheme="minorEastAsia"/>
          <w:color w:val="000000"/>
          <w:szCs w:val="21"/>
        </w:rPr>
        <w:t>日起，暂免征收个人所得税。对基金持有的上市公司限售股，解禁后取得的股息、红利收入，按照上述规定计算纳税，持股时间自解禁日起计算；解禁前取得的股息、红利收入继续暂减按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(4)</w:t>
      </w:r>
      <w:r w:rsidRPr="00646A7D">
        <w:rPr>
          <w:rFonts w:eastAsiaTheme="minorEastAsia"/>
          <w:color w:val="000000"/>
          <w:szCs w:val="21"/>
        </w:rPr>
        <w:t>基金卖出股票按</w:t>
      </w:r>
      <w:r w:rsidRPr="00646A7D">
        <w:rPr>
          <w:rFonts w:eastAsiaTheme="minorEastAsia"/>
          <w:color w:val="000000"/>
          <w:szCs w:val="21"/>
        </w:rPr>
        <w:t>0.1%</w:t>
      </w:r>
      <w:r w:rsidRPr="00646A7D">
        <w:rPr>
          <w:rFonts w:eastAsiaTheme="minorEastAsia"/>
          <w:color w:val="000000"/>
          <w:szCs w:val="21"/>
        </w:rPr>
        <w:t>的税率缴纳股票交易印花税，买入股票不征收股票交易印花税。</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6.4.7 </w:t>
      </w:r>
      <w:r w:rsidRPr="00646A7D">
        <w:rPr>
          <w:rFonts w:eastAsiaTheme="minorEastAsia"/>
          <w:b/>
          <w:color w:val="000000"/>
          <w:kern w:val="0"/>
          <w:szCs w:val="21"/>
        </w:rPr>
        <w:t>关联方关系</w:t>
      </w:r>
    </w:p>
    <w:p w:rsidR="001548F9" w:rsidRPr="00646A7D" w:rsidRDefault="001548F9" w:rsidP="000E18D9">
      <w:pPr>
        <w:autoSpaceDE w:val="0"/>
        <w:autoSpaceDN w:val="0"/>
        <w:adjustRightInd w:val="0"/>
        <w:spacing w:beforeLines="100" w:before="312" w:line="360" w:lineRule="auto"/>
        <w:jc w:val="left"/>
        <w:rPr>
          <w:rFonts w:eastAsiaTheme="minorEastAsia"/>
          <w:b/>
          <w:kern w:val="0"/>
          <w:szCs w:val="21"/>
        </w:rPr>
      </w:pPr>
      <w:r w:rsidRPr="00646A7D">
        <w:rPr>
          <w:rFonts w:eastAsiaTheme="minorEastAsia"/>
          <w:b/>
          <w:bCs/>
          <w:color w:val="000000"/>
          <w:kern w:val="0"/>
          <w:szCs w:val="21"/>
        </w:rPr>
        <w:t xml:space="preserve">6.4.7.1 </w:t>
      </w:r>
      <w:r w:rsidRPr="00646A7D">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646A7D" w:rsidTr="0070173B">
        <w:tc>
          <w:tcPr>
            <w:tcW w:w="522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关联方名称</w:t>
            </w:r>
          </w:p>
        </w:tc>
        <w:tc>
          <w:tcPr>
            <w:tcW w:w="378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与本基金的关系</w:t>
            </w:r>
          </w:p>
        </w:tc>
      </w:tr>
      <w:tr w:rsidR="007951F4">
        <w:tc>
          <w:tcPr>
            <w:tcW w:w="5220" w:type="dxa"/>
            <w:vAlign w:val="center"/>
          </w:tcPr>
          <w:p w:rsidR="007951F4" w:rsidRDefault="005757D9">
            <w:pPr>
              <w:jc w:val="left"/>
            </w:pPr>
            <w:r>
              <w:rPr>
                <w:rFonts w:eastAsiaTheme="minorEastAsia"/>
                <w:color w:val="000000"/>
                <w:szCs w:val="21"/>
              </w:rPr>
              <w:t>华安基金管理有限公司（以下简称</w:t>
            </w:r>
            <w:r>
              <w:rPr>
                <w:rFonts w:eastAsiaTheme="minorEastAsia"/>
                <w:color w:val="000000"/>
                <w:szCs w:val="21"/>
              </w:rPr>
              <w:t>“</w:t>
            </w:r>
            <w:r>
              <w:rPr>
                <w:rFonts w:eastAsiaTheme="minorEastAsia"/>
                <w:color w:val="000000"/>
                <w:szCs w:val="21"/>
              </w:rPr>
              <w:t>华安基金公司</w:t>
            </w:r>
            <w:r>
              <w:rPr>
                <w:rFonts w:eastAsiaTheme="minorEastAsia"/>
                <w:color w:val="000000"/>
                <w:szCs w:val="21"/>
              </w:rPr>
              <w:t>”</w:t>
            </w:r>
            <w:r>
              <w:rPr>
                <w:rFonts w:eastAsiaTheme="minorEastAsia"/>
                <w:color w:val="000000"/>
                <w:szCs w:val="21"/>
              </w:rPr>
              <w:t>）</w:t>
            </w:r>
          </w:p>
        </w:tc>
        <w:tc>
          <w:tcPr>
            <w:tcW w:w="3780" w:type="dxa"/>
            <w:vAlign w:val="center"/>
          </w:tcPr>
          <w:p w:rsidR="007951F4" w:rsidRDefault="005757D9">
            <w:pPr>
              <w:jc w:val="left"/>
            </w:pPr>
            <w:r>
              <w:rPr>
                <w:rFonts w:eastAsiaTheme="minorEastAsia"/>
                <w:color w:val="000000"/>
                <w:szCs w:val="21"/>
              </w:rPr>
              <w:t>基金管理人、注册登记机构、基金销售机构</w:t>
            </w:r>
          </w:p>
        </w:tc>
      </w:tr>
      <w:tr w:rsidR="007951F4">
        <w:tc>
          <w:tcPr>
            <w:tcW w:w="5220" w:type="dxa"/>
            <w:vAlign w:val="center"/>
          </w:tcPr>
          <w:p w:rsidR="007951F4" w:rsidRDefault="005757D9">
            <w:pPr>
              <w:jc w:val="left"/>
            </w:pPr>
            <w:r>
              <w:rPr>
                <w:rFonts w:eastAsiaTheme="minorEastAsia"/>
                <w:color w:val="000000"/>
                <w:szCs w:val="21"/>
              </w:rPr>
              <w:t>中国建设银行股份有限公司（以下简称</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r>
              <w:rPr>
                <w:rFonts w:eastAsiaTheme="minorEastAsia"/>
                <w:color w:val="000000"/>
                <w:szCs w:val="21"/>
              </w:rPr>
              <w:t>）</w:t>
            </w:r>
          </w:p>
        </w:tc>
        <w:tc>
          <w:tcPr>
            <w:tcW w:w="3780" w:type="dxa"/>
            <w:vAlign w:val="center"/>
          </w:tcPr>
          <w:p w:rsidR="007951F4" w:rsidRDefault="005757D9">
            <w:pPr>
              <w:jc w:val="left"/>
            </w:pPr>
            <w:r>
              <w:rPr>
                <w:rFonts w:eastAsiaTheme="minorEastAsia"/>
                <w:color w:val="000000"/>
                <w:szCs w:val="21"/>
              </w:rPr>
              <w:t>基金托管人、基金代销机构</w:t>
            </w:r>
          </w:p>
        </w:tc>
      </w:tr>
      <w:tr w:rsidR="007951F4">
        <w:tc>
          <w:tcPr>
            <w:tcW w:w="5220" w:type="dxa"/>
            <w:vAlign w:val="center"/>
          </w:tcPr>
          <w:p w:rsidR="007951F4" w:rsidRDefault="005757D9">
            <w:pPr>
              <w:jc w:val="left"/>
            </w:pPr>
            <w:r>
              <w:rPr>
                <w:rFonts w:eastAsiaTheme="minorEastAsia"/>
                <w:color w:val="000000"/>
                <w:szCs w:val="21"/>
              </w:rPr>
              <w:t>上证</w:t>
            </w:r>
            <w:r>
              <w:rPr>
                <w:rFonts w:eastAsiaTheme="minorEastAsia"/>
                <w:color w:val="000000"/>
                <w:szCs w:val="21"/>
              </w:rPr>
              <w:t>180</w:t>
            </w:r>
            <w:r>
              <w:rPr>
                <w:rFonts w:eastAsiaTheme="minorEastAsia"/>
                <w:color w:val="000000"/>
                <w:szCs w:val="21"/>
              </w:rPr>
              <w:t>交易型开放式指数证券投资基金（</w:t>
            </w:r>
            <w:r>
              <w:rPr>
                <w:rFonts w:eastAsiaTheme="minorEastAsia"/>
                <w:color w:val="000000"/>
                <w:szCs w:val="21"/>
              </w:rPr>
              <w:t>“</w:t>
            </w:r>
            <w:r>
              <w:rPr>
                <w:rFonts w:eastAsiaTheme="minorEastAsia"/>
                <w:color w:val="000000"/>
                <w:szCs w:val="21"/>
              </w:rPr>
              <w:t>目标</w:t>
            </w:r>
            <w:r>
              <w:rPr>
                <w:rFonts w:eastAsiaTheme="minorEastAsia"/>
                <w:color w:val="000000"/>
                <w:szCs w:val="21"/>
              </w:rPr>
              <w:t>ETF”</w:t>
            </w:r>
            <w:r>
              <w:rPr>
                <w:rFonts w:eastAsiaTheme="minorEastAsia"/>
                <w:color w:val="000000"/>
                <w:szCs w:val="21"/>
              </w:rPr>
              <w:t>）</w:t>
            </w:r>
          </w:p>
        </w:tc>
        <w:tc>
          <w:tcPr>
            <w:tcW w:w="3780" w:type="dxa"/>
            <w:vAlign w:val="center"/>
          </w:tcPr>
          <w:p w:rsidR="007951F4" w:rsidRDefault="005757D9">
            <w:pPr>
              <w:jc w:val="left"/>
            </w:pPr>
            <w:r>
              <w:rPr>
                <w:rFonts w:eastAsiaTheme="minorEastAsia"/>
                <w:color w:val="000000"/>
                <w:szCs w:val="21"/>
              </w:rPr>
              <w:t>本基金的基金管理人管理的其他基金</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注：下述关联交易均在正常业务范围内按一般商业条款订立。</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6.4.8 </w:t>
      </w:r>
      <w:r w:rsidRPr="00646A7D">
        <w:rPr>
          <w:rFonts w:eastAsiaTheme="minorEastAsia"/>
          <w:b/>
          <w:color w:val="000000"/>
          <w:kern w:val="0"/>
          <w:szCs w:val="21"/>
        </w:rPr>
        <w:t>本报告期及上年度可比期间的关联方交易</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6.4.8.1 </w:t>
      </w:r>
      <w:r w:rsidRPr="00646A7D">
        <w:rPr>
          <w:rFonts w:eastAsiaTheme="minorEastAsia"/>
          <w:b/>
          <w:color w:val="000000"/>
          <w:kern w:val="0"/>
          <w:szCs w:val="21"/>
        </w:rPr>
        <w:t>通过关联方交易单元进行的交易</w:t>
      </w:r>
    </w:p>
    <w:p w:rsidR="001548F9" w:rsidRPr="00646A7D" w:rsidRDefault="001548F9" w:rsidP="003576C9">
      <w:pPr>
        <w:spacing w:line="360" w:lineRule="auto"/>
        <w:rPr>
          <w:rFonts w:eastAsiaTheme="minorEastAsia"/>
          <w:color w:val="000000"/>
          <w:szCs w:val="21"/>
        </w:rPr>
      </w:pPr>
      <w:r w:rsidRPr="00646A7D">
        <w:rPr>
          <w:rFonts w:eastAsiaTheme="minorEastAsia"/>
          <w:b/>
          <w:bCs/>
          <w:color w:val="000000"/>
          <w:kern w:val="0"/>
          <w:szCs w:val="21"/>
        </w:rPr>
        <w:t xml:space="preserve">6.4.8.1.1 </w:t>
      </w:r>
      <w:r w:rsidRPr="00646A7D">
        <w:rPr>
          <w:rFonts w:eastAsiaTheme="minorEastAsia"/>
          <w:b/>
          <w:color w:val="000000"/>
          <w:szCs w:val="21"/>
        </w:rPr>
        <w:t>股票交易</w:t>
      </w:r>
    </w:p>
    <w:p w:rsidR="001548F9" w:rsidRPr="00646A7D" w:rsidRDefault="004D0D2C"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E18D9">
      <w:pPr>
        <w:spacing w:beforeLines="100" w:before="312" w:line="360" w:lineRule="auto"/>
        <w:rPr>
          <w:rFonts w:eastAsiaTheme="minorEastAsia"/>
          <w:b/>
          <w:color w:val="000000"/>
          <w:szCs w:val="21"/>
        </w:rPr>
      </w:pPr>
      <w:r w:rsidRPr="00646A7D">
        <w:rPr>
          <w:rFonts w:eastAsiaTheme="minorEastAsia"/>
          <w:b/>
          <w:bCs/>
          <w:color w:val="000000"/>
          <w:kern w:val="0"/>
          <w:szCs w:val="21"/>
        </w:rPr>
        <w:t xml:space="preserve">6.4.8.1.2 </w:t>
      </w:r>
      <w:r w:rsidRPr="00646A7D">
        <w:rPr>
          <w:rFonts w:eastAsiaTheme="minorEastAsia"/>
          <w:b/>
          <w:color w:val="000000"/>
          <w:szCs w:val="21"/>
        </w:rPr>
        <w:t>权证交易</w:t>
      </w:r>
    </w:p>
    <w:p w:rsidR="001548F9" w:rsidRPr="00646A7D" w:rsidRDefault="00EF520B"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E18D9">
      <w:pPr>
        <w:spacing w:beforeLines="100" w:before="312" w:line="360" w:lineRule="auto"/>
        <w:rPr>
          <w:rFonts w:eastAsiaTheme="minorEastAsia"/>
          <w:b/>
          <w:color w:val="000000"/>
          <w:szCs w:val="21"/>
        </w:rPr>
      </w:pPr>
      <w:r w:rsidRPr="00646A7D">
        <w:rPr>
          <w:rFonts w:eastAsiaTheme="minorEastAsia"/>
          <w:b/>
          <w:bCs/>
          <w:color w:val="000000"/>
          <w:kern w:val="0"/>
          <w:szCs w:val="21"/>
        </w:rPr>
        <w:t xml:space="preserve">6.4.8.1.3 </w:t>
      </w:r>
      <w:r w:rsidRPr="00646A7D">
        <w:rPr>
          <w:rFonts w:eastAsiaTheme="minorEastAsia"/>
          <w:b/>
          <w:color w:val="000000"/>
          <w:szCs w:val="21"/>
        </w:rPr>
        <w:t>债券交易</w:t>
      </w:r>
    </w:p>
    <w:p w:rsidR="001548F9" w:rsidRPr="00646A7D" w:rsidRDefault="00A1308A"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E18D9">
      <w:pPr>
        <w:spacing w:beforeLines="100" w:before="312" w:line="360" w:lineRule="auto"/>
        <w:rPr>
          <w:rFonts w:eastAsiaTheme="minorEastAsia"/>
          <w:b/>
          <w:color w:val="000000"/>
          <w:szCs w:val="21"/>
        </w:rPr>
      </w:pPr>
      <w:r w:rsidRPr="00646A7D">
        <w:rPr>
          <w:rFonts w:eastAsiaTheme="minorEastAsia"/>
          <w:b/>
          <w:bCs/>
          <w:color w:val="000000"/>
          <w:kern w:val="0"/>
          <w:szCs w:val="21"/>
        </w:rPr>
        <w:t xml:space="preserve">6.4.8.1.4 </w:t>
      </w:r>
      <w:r w:rsidRPr="00646A7D">
        <w:rPr>
          <w:rFonts w:eastAsiaTheme="minorEastAsia"/>
          <w:b/>
          <w:color w:val="000000"/>
          <w:szCs w:val="21"/>
        </w:rPr>
        <w:t>债券回购交易</w:t>
      </w:r>
    </w:p>
    <w:p w:rsidR="001548F9" w:rsidRDefault="00E9372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E18D9">
      <w:pPr>
        <w:spacing w:beforeLines="100" w:before="312" w:line="360" w:lineRule="auto"/>
        <w:rPr>
          <w:rFonts w:eastAsiaTheme="minorEastAsia"/>
          <w:b/>
          <w:color w:val="000000"/>
          <w:szCs w:val="21"/>
        </w:rPr>
      </w:pPr>
      <w:r w:rsidRPr="00646A7D">
        <w:rPr>
          <w:rFonts w:eastAsiaTheme="minorEastAsia"/>
          <w:b/>
          <w:bCs/>
          <w:color w:val="000000"/>
          <w:kern w:val="0"/>
          <w:szCs w:val="21"/>
        </w:rPr>
        <w:t xml:space="preserve">6.4.8.1.5 </w:t>
      </w:r>
      <w:r w:rsidRPr="00646A7D">
        <w:rPr>
          <w:rFonts w:eastAsiaTheme="minorEastAsia"/>
          <w:b/>
          <w:color w:val="000000"/>
          <w:szCs w:val="21"/>
        </w:rPr>
        <w:t>应支付关联方的佣金</w:t>
      </w:r>
    </w:p>
    <w:p w:rsidR="001548F9" w:rsidRPr="00646A7D" w:rsidRDefault="001B731C"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6.4.8.2 </w:t>
      </w:r>
      <w:r w:rsidRPr="00646A7D">
        <w:rPr>
          <w:rFonts w:eastAsiaTheme="minorEastAsia"/>
          <w:b/>
          <w:color w:val="000000"/>
          <w:kern w:val="0"/>
          <w:szCs w:val="21"/>
        </w:rPr>
        <w:t>关联方报酬</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6.4.8.2.1 </w:t>
      </w:r>
      <w:r w:rsidRPr="00646A7D">
        <w:rPr>
          <w:rFonts w:eastAsiaTheme="minorEastAsia"/>
          <w:b/>
          <w:color w:val="000000"/>
          <w:kern w:val="0"/>
          <w:szCs w:val="21"/>
        </w:rPr>
        <w:t>基金管理费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当期发生的基金应支付的管理费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40,470.60</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44,947.46</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其中：支付销售机构的客户维护费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173,882.23</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179,451.58</w:t>
            </w:r>
          </w:p>
        </w:tc>
      </w:tr>
    </w:tbl>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注：本基金投资于目标</w:t>
      </w:r>
      <w:r>
        <w:rPr>
          <w:rFonts w:eastAsiaTheme="minorEastAsia"/>
          <w:kern w:val="0"/>
          <w:szCs w:val="21"/>
        </w:rPr>
        <w:t>ETF</w:t>
      </w:r>
      <w:r>
        <w:rPr>
          <w:rFonts w:eastAsiaTheme="minorEastAsia"/>
          <w:kern w:val="0"/>
          <w:szCs w:val="21"/>
        </w:rPr>
        <w:t>的部分豁免管理费。支付基金管理人华安基金管理有限公司的管理人报酬按前一日基金资产净值扣除基金财产中目标</w:t>
      </w:r>
      <w:r>
        <w:rPr>
          <w:rFonts w:eastAsiaTheme="minorEastAsia"/>
          <w:kern w:val="0"/>
          <w:szCs w:val="21"/>
        </w:rPr>
        <w:t>ETF</w:t>
      </w:r>
      <w:r>
        <w:rPr>
          <w:rFonts w:eastAsiaTheme="minorEastAsia"/>
          <w:kern w:val="0"/>
          <w:szCs w:val="21"/>
        </w:rPr>
        <w:t>份额所对应资产净值后剩余部分</w:t>
      </w:r>
      <w:r>
        <w:rPr>
          <w:rFonts w:eastAsiaTheme="minorEastAsia"/>
          <w:kern w:val="0"/>
          <w:szCs w:val="21"/>
        </w:rPr>
        <w:t>0.5%</w:t>
      </w:r>
      <w:r>
        <w:rPr>
          <w:rFonts w:eastAsiaTheme="minorEastAsia"/>
          <w:kern w:val="0"/>
          <w:szCs w:val="21"/>
        </w:rPr>
        <w:t>的年费率计提，逐日累计至每月月底，按月支付。其计算公式为：</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日管理人报酬＝</w:t>
      </w:r>
      <w:r w:rsidRPr="00646A7D">
        <w:rPr>
          <w:rFonts w:eastAsiaTheme="minorEastAsia"/>
          <w:kern w:val="0"/>
          <w:szCs w:val="21"/>
        </w:rPr>
        <w:t>(</w:t>
      </w:r>
      <w:r w:rsidRPr="00646A7D">
        <w:rPr>
          <w:rFonts w:eastAsiaTheme="minorEastAsia"/>
          <w:kern w:val="0"/>
          <w:szCs w:val="21"/>
        </w:rPr>
        <w:t>前一日基金资产净值－基金财产中目标</w:t>
      </w:r>
      <w:r w:rsidRPr="00646A7D">
        <w:rPr>
          <w:rFonts w:eastAsiaTheme="minorEastAsia"/>
          <w:kern w:val="0"/>
          <w:szCs w:val="21"/>
        </w:rPr>
        <w:t>ETF</w:t>
      </w:r>
      <w:r w:rsidRPr="00646A7D">
        <w:rPr>
          <w:rFonts w:eastAsiaTheme="minorEastAsia"/>
          <w:kern w:val="0"/>
          <w:szCs w:val="21"/>
        </w:rPr>
        <w:t>份额所对应的资产净值</w:t>
      </w:r>
      <w:r w:rsidRPr="00646A7D">
        <w:rPr>
          <w:rFonts w:eastAsiaTheme="minorEastAsia"/>
          <w:kern w:val="0"/>
          <w:szCs w:val="21"/>
        </w:rPr>
        <w:t xml:space="preserve">)X 0.5% / </w:t>
      </w:r>
      <w:r w:rsidRPr="00646A7D">
        <w:rPr>
          <w:rFonts w:eastAsiaTheme="minorEastAsia"/>
          <w:kern w:val="0"/>
          <w:szCs w:val="21"/>
        </w:rPr>
        <w:t>当年天数。</w:t>
      </w:r>
    </w:p>
    <w:p w:rsidR="001548F9" w:rsidRPr="00646A7D" w:rsidRDefault="001548F9" w:rsidP="000E18D9">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6.4.8.2.2 </w:t>
      </w:r>
      <w:r w:rsidRPr="00646A7D">
        <w:rPr>
          <w:rFonts w:eastAsiaTheme="minorEastAsia"/>
          <w:b/>
          <w:color w:val="000000"/>
          <w:kern w:val="0"/>
          <w:szCs w:val="21"/>
        </w:rPr>
        <w:t>基金托管费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70173B">
            <w:pPr>
              <w:rPr>
                <w:rFonts w:eastAsiaTheme="minorEastAsia"/>
                <w:color w:val="000000"/>
                <w:szCs w:val="21"/>
              </w:rPr>
            </w:pPr>
            <w:r w:rsidRPr="00646A7D">
              <w:rPr>
                <w:rFonts w:eastAsiaTheme="minorEastAsia"/>
                <w:szCs w:val="21"/>
              </w:rPr>
              <w:t>当期发生的基金应支付的托管费</w:t>
            </w:r>
          </w:p>
        </w:tc>
        <w:tc>
          <w:tcPr>
            <w:tcW w:w="2657" w:type="dxa"/>
            <w:vAlign w:val="center"/>
          </w:tcPr>
          <w:p w:rsidR="001548F9" w:rsidRPr="00646A7D" w:rsidRDefault="001548F9" w:rsidP="0070173B">
            <w:pPr>
              <w:jc w:val="right"/>
              <w:rPr>
                <w:rFonts w:eastAsiaTheme="minorEastAsia"/>
                <w:color w:val="000000"/>
                <w:kern w:val="0"/>
                <w:szCs w:val="21"/>
              </w:rPr>
            </w:pPr>
            <w:r w:rsidRPr="00646A7D">
              <w:rPr>
                <w:rFonts w:eastAsiaTheme="minorEastAsia"/>
                <w:szCs w:val="21"/>
              </w:rPr>
              <w:t>8,094.13</w:t>
            </w:r>
          </w:p>
        </w:tc>
        <w:tc>
          <w:tcPr>
            <w:tcW w:w="2657" w:type="dxa"/>
            <w:vAlign w:val="center"/>
          </w:tcPr>
          <w:p w:rsidR="001548F9" w:rsidRPr="00646A7D" w:rsidRDefault="001548F9" w:rsidP="00B56418">
            <w:pPr>
              <w:jc w:val="right"/>
              <w:rPr>
                <w:rFonts w:eastAsiaTheme="minorEastAsia"/>
                <w:color w:val="000000"/>
                <w:szCs w:val="21"/>
              </w:rPr>
            </w:pPr>
            <w:r w:rsidRPr="00646A7D">
              <w:rPr>
                <w:rFonts w:eastAsiaTheme="minorEastAsia"/>
                <w:szCs w:val="21"/>
              </w:rPr>
              <w:t>8,989.50</w:t>
            </w:r>
          </w:p>
        </w:tc>
      </w:tr>
    </w:tbl>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注：本基金投资于目标</w:t>
      </w:r>
      <w:r>
        <w:rPr>
          <w:rFonts w:eastAsiaTheme="minorEastAsia"/>
          <w:kern w:val="0"/>
          <w:szCs w:val="21"/>
        </w:rPr>
        <w:t>ETF</w:t>
      </w:r>
      <w:r>
        <w:rPr>
          <w:rFonts w:eastAsiaTheme="minorEastAsia"/>
          <w:kern w:val="0"/>
          <w:szCs w:val="21"/>
        </w:rPr>
        <w:t>的部分豁免托管费。支付基金托管人中国建设银行的托管费按前一日基金资产净值扣除基金财产中目标</w:t>
      </w:r>
      <w:r>
        <w:rPr>
          <w:rFonts w:eastAsiaTheme="minorEastAsia"/>
          <w:kern w:val="0"/>
          <w:szCs w:val="21"/>
        </w:rPr>
        <w:t>ETF</w:t>
      </w:r>
      <w:r>
        <w:rPr>
          <w:rFonts w:eastAsiaTheme="minorEastAsia"/>
          <w:kern w:val="0"/>
          <w:szCs w:val="21"/>
        </w:rPr>
        <w:t>份额所对应资产净值后剩余部分</w:t>
      </w:r>
      <w:r>
        <w:rPr>
          <w:rFonts w:eastAsiaTheme="minorEastAsia"/>
          <w:kern w:val="0"/>
          <w:szCs w:val="21"/>
        </w:rPr>
        <w:t>0.1%</w:t>
      </w:r>
      <w:r>
        <w:rPr>
          <w:rFonts w:eastAsiaTheme="minorEastAsia"/>
          <w:kern w:val="0"/>
          <w:szCs w:val="21"/>
        </w:rPr>
        <w:t>的年费率计提，逐日累计至每月月底，按月支付。其计算公式为：</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日托管费＝</w:t>
      </w:r>
      <w:r w:rsidRPr="00646A7D">
        <w:rPr>
          <w:rFonts w:eastAsiaTheme="minorEastAsia"/>
          <w:kern w:val="0"/>
          <w:szCs w:val="21"/>
        </w:rPr>
        <w:t>(</w:t>
      </w:r>
      <w:r w:rsidRPr="00646A7D">
        <w:rPr>
          <w:rFonts w:eastAsiaTheme="minorEastAsia"/>
          <w:kern w:val="0"/>
          <w:szCs w:val="21"/>
        </w:rPr>
        <w:t>前一日基金资产净值－基金财产中目标</w:t>
      </w:r>
      <w:r w:rsidRPr="00646A7D">
        <w:rPr>
          <w:rFonts w:eastAsiaTheme="minorEastAsia"/>
          <w:kern w:val="0"/>
          <w:szCs w:val="21"/>
        </w:rPr>
        <w:t>ETF</w:t>
      </w:r>
      <w:r w:rsidRPr="00646A7D">
        <w:rPr>
          <w:rFonts w:eastAsiaTheme="minorEastAsia"/>
          <w:kern w:val="0"/>
          <w:szCs w:val="21"/>
        </w:rPr>
        <w:t>份额所对应的资产净值</w:t>
      </w:r>
      <w:r w:rsidRPr="00646A7D">
        <w:rPr>
          <w:rFonts w:eastAsiaTheme="minorEastAsia"/>
          <w:kern w:val="0"/>
          <w:szCs w:val="21"/>
        </w:rPr>
        <w:t xml:space="preserve">) X 0.1% / </w:t>
      </w:r>
      <w:r w:rsidRPr="00646A7D">
        <w:rPr>
          <w:rFonts w:eastAsiaTheme="minorEastAsia"/>
          <w:kern w:val="0"/>
          <w:szCs w:val="21"/>
        </w:rPr>
        <w:t>当年天数。</w:t>
      </w:r>
    </w:p>
    <w:p w:rsidR="001548F9" w:rsidRPr="00646A7D" w:rsidRDefault="001548F9" w:rsidP="000E18D9">
      <w:pPr>
        <w:spacing w:beforeLines="100" w:before="312" w:line="360" w:lineRule="auto"/>
        <w:rPr>
          <w:rFonts w:eastAsiaTheme="minorEastAsia"/>
          <w:b/>
          <w:bCs/>
          <w:color w:val="000000"/>
          <w:szCs w:val="21"/>
        </w:rPr>
      </w:pPr>
      <w:r w:rsidRPr="00646A7D">
        <w:rPr>
          <w:rFonts w:eastAsiaTheme="minorEastAsia"/>
          <w:b/>
          <w:bCs/>
          <w:color w:val="000000"/>
          <w:kern w:val="0"/>
          <w:szCs w:val="21"/>
        </w:rPr>
        <w:t xml:space="preserve">6.4.8.3 </w:t>
      </w:r>
      <w:r w:rsidRPr="00646A7D">
        <w:rPr>
          <w:rFonts w:eastAsiaTheme="minorEastAsia"/>
          <w:b/>
          <w:bCs/>
          <w:color w:val="000000"/>
          <w:szCs w:val="21"/>
        </w:rPr>
        <w:t>与关联方进行银行间同业市场的债券</w:t>
      </w:r>
      <w:r w:rsidRPr="00646A7D">
        <w:rPr>
          <w:rFonts w:eastAsiaTheme="minorEastAsia"/>
          <w:b/>
          <w:bCs/>
          <w:color w:val="000000"/>
          <w:szCs w:val="21"/>
        </w:rPr>
        <w:t>(</w:t>
      </w:r>
      <w:r w:rsidRPr="00646A7D">
        <w:rPr>
          <w:rFonts w:eastAsiaTheme="minorEastAsia"/>
          <w:b/>
          <w:bCs/>
          <w:color w:val="000000"/>
          <w:szCs w:val="21"/>
        </w:rPr>
        <w:t>含回购</w:t>
      </w:r>
      <w:r w:rsidRPr="00646A7D">
        <w:rPr>
          <w:rFonts w:eastAsiaTheme="minorEastAsia"/>
          <w:b/>
          <w:bCs/>
          <w:color w:val="000000"/>
          <w:szCs w:val="21"/>
        </w:rPr>
        <w:t>)</w:t>
      </w:r>
      <w:r w:rsidRPr="00646A7D">
        <w:rPr>
          <w:rFonts w:eastAsiaTheme="minorEastAsia"/>
          <w:b/>
          <w:bCs/>
          <w:color w:val="000000"/>
          <w:szCs w:val="21"/>
        </w:rPr>
        <w:t>交易</w:t>
      </w:r>
    </w:p>
    <w:p w:rsidR="001548F9" w:rsidRPr="00646A7D" w:rsidRDefault="008E635D"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E18D9">
      <w:pPr>
        <w:spacing w:beforeLines="100" w:before="312" w:line="360" w:lineRule="auto"/>
        <w:jc w:val="left"/>
        <w:rPr>
          <w:rFonts w:eastAsiaTheme="minorEastAsia"/>
          <w:b/>
          <w:bCs/>
          <w:color w:val="000000"/>
          <w:szCs w:val="21"/>
        </w:rPr>
      </w:pPr>
      <w:r w:rsidRPr="00646A7D">
        <w:rPr>
          <w:rFonts w:eastAsiaTheme="minorEastAsia"/>
          <w:b/>
          <w:bCs/>
          <w:color w:val="000000"/>
          <w:kern w:val="0"/>
          <w:szCs w:val="21"/>
        </w:rPr>
        <w:t xml:space="preserve">6.4.8.4 </w:t>
      </w:r>
      <w:r w:rsidRPr="00646A7D">
        <w:rPr>
          <w:rFonts w:eastAsiaTheme="minorEastAsia"/>
          <w:b/>
          <w:bCs/>
          <w:color w:val="000000"/>
          <w:szCs w:val="21"/>
        </w:rPr>
        <w:t>各关联方投资本基金的情况</w:t>
      </w:r>
    </w:p>
    <w:p w:rsidR="001548F9" w:rsidRPr="00646A7D" w:rsidRDefault="001548F9" w:rsidP="003576C9">
      <w:pPr>
        <w:adjustRightInd w:val="0"/>
        <w:snapToGrid w:val="0"/>
        <w:spacing w:line="360" w:lineRule="auto"/>
        <w:jc w:val="left"/>
        <w:rPr>
          <w:rFonts w:eastAsiaTheme="minorEastAsia"/>
          <w:b/>
          <w:bCs/>
          <w:color w:val="000000"/>
          <w:szCs w:val="21"/>
        </w:rPr>
      </w:pPr>
      <w:r w:rsidRPr="00646A7D">
        <w:rPr>
          <w:rFonts w:eastAsiaTheme="minorEastAsia"/>
          <w:b/>
          <w:bCs/>
          <w:color w:val="000000"/>
          <w:kern w:val="0"/>
          <w:szCs w:val="21"/>
        </w:rPr>
        <w:t xml:space="preserve">6.4.8.4.1 </w:t>
      </w:r>
      <w:r w:rsidRPr="00646A7D">
        <w:rPr>
          <w:rFonts w:eastAsiaTheme="minorEastAsia"/>
          <w:b/>
          <w:bCs/>
          <w:color w:val="000000"/>
          <w:szCs w:val="21"/>
        </w:rPr>
        <w:t>报告期内基金管理人运用固有资金投资本基金的情况</w:t>
      </w:r>
    </w:p>
    <w:p w:rsidR="001548F9" w:rsidRPr="00646A7D" w:rsidRDefault="001548F9" w:rsidP="008971E9">
      <w:pPr>
        <w:autoSpaceDE w:val="0"/>
        <w:autoSpaceDN w:val="0"/>
        <w:adjustRightInd w:val="0"/>
        <w:spacing w:before="29" w:line="288" w:lineRule="auto"/>
        <w:ind w:left="15" w:right="90"/>
        <w:jc w:val="right"/>
        <w:rPr>
          <w:rFonts w:eastAsiaTheme="minorEastAsia"/>
          <w:color w:val="000000"/>
          <w:szCs w:val="21"/>
        </w:rPr>
      </w:pPr>
      <w:r w:rsidRPr="00646A7D">
        <w:rPr>
          <w:rFonts w:eastAsiaTheme="minorEastAsia"/>
          <w:color w:val="000000"/>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0"/>
        <w:gridCol w:w="2970"/>
        <w:gridCol w:w="2970"/>
      </w:tblGrid>
      <w:tr w:rsidR="001548F9" w:rsidRPr="00646A7D" w:rsidTr="0099056D">
        <w:tc>
          <w:tcPr>
            <w:tcW w:w="3060" w:type="dxa"/>
            <w:vAlign w:val="center"/>
          </w:tcPr>
          <w:p w:rsidR="001548F9" w:rsidRPr="00646A7D" w:rsidRDefault="001548F9" w:rsidP="0070173B">
            <w:pPr>
              <w:pStyle w:val="af2"/>
              <w:jc w:val="center"/>
              <w:rPr>
                <w:rFonts w:eastAsiaTheme="minorEastAsia"/>
                <w:color w:val="000000"/>
                <w:sz w:val="21"/>
                <w:szCs w:val="21"/>
              </w:rPr>
            </w:pPr>
            <w:r w:rsidRPr="00646A7D">
              <w:rPr>
                <w:rFonts w:eastAsiaTheme="minorEastAsia"/>
                <w:color w:val="000000"/>
                <w:sz w:val="21"/>
                <w:szCs w:val="21"/>
              </w:rPr>
              <w:t>项目</w:t>
            </w:r>
          </w:p>
        </w:tc>
        <w:tc>
          <w:tcPr>
            <w:tcW w:w="29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9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49538A">
        <w:tc>
          <w:tcPr>
            <w:tcW w:w="3060" w:type="dxa"/>
            <w:vAlign w:val="center"/>
          </w:tcPr>
          <w:p w:rsidR="001548F9" w:rsidRPr="00646A7D" w:rsidRDefault="001548F9" w:rsidP="0049538A">
            <w:pPr>
              <w:pStyle w:val="af2"/>
              <w:rPr>
                <w:rFonts w:eastAsiaTheme="minorEastAsia"/>
                <w:color w:val="000000"/>
                <w:sz w:val="21"/>
                <w:szCs w:val="21"/>
              </w:rPr>
            </w:pPr>
            <w:r w:rsidRPr="00646A7D">
              <w:rPr>
                <w:rFonts w:eastAsiaTheme="minorEastAsia"/>
                <w:sz w:val="21"/>
                <w:szCs w:val="21"/>
              </w:rPr>
              <w:t>期初持有的基金份额</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36,027,525.58</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36,027,525.58</w:t>
            </w:r>
          </w:p>
        </w:tc>
      </w:tr>
      <w:tr w:rsidR="001548F9" w:rsidRPr="00646A7D" w:rsidTr="0049538A">
        <w:tc>
          <w:tcPr>
            <w:tcW w:w="3060" w:type="dxa"/>
            <w:vAlign w:val="center"/>
          </w:tcPr>
          <w:p w:rsidR="001548F9" w:rsidRPr="00646A7D" w:rsidRDefault="001548F9" w:rsidP="0049538A">
            <w:pPr>
              <w:rPr>
                <w:rFonts w:eastAsiaTheme="minorEastAsia"/>
                <w:color w:val="000000"/>
                <w:szCs w:val="21"/>
              </w:rPr>
            </w:pPr>
            <w:r w:rsidRPr="00646A7D">
              <w:rPr>
                <w:rFonts w:eastAsiaTheme="minorEastAsia"/>
                <w:szCs w:val="21"/>
              </w:rPr>
              <w:t>期间申购</w:t>
            </w:r>
            <w:r w:rsidRPr="00646A7D">
              <w:rPr>
                <w:rFonts w:eastAsiaTheme="minorEastAsia"/>
                <w:szCs w:val="21"/>
              </w:rPr>
              <w:t>/</w:t>
            </w:r>
            <w:r w:rsidRPr="00646A7D">
              <w:rPr>
                <w:rFonts w:eastAsiaTheme="minorEastAsia"/>
                <w:szCs w:val="21"/>
              </w:rPr>
              <w:t>买入总份额</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w:t>
            </w:r>
          </w:p>
        </w:tc>
      </w:tr>
      <w:tr w:rsidR="001548F9" w:rsidRPr="00646A7D" w:rsidTr="0049538A">
        <w:tc>
          <w:tcPr>
            <w:tcW w:w="3060" w:type="dxa"/>
            <w:vAlign w:val="center"/>
          </w:tcPr>
          <w:p w:rsidR="001548F9" w:rsidRPr="00646A7D" w:rsidRDefault="001548F9" w:rsidP="0049538A">
            <w:pPr>
              <w:rPr>
                <w:rFonts w:eastAsiaTheme="minorEastAsia"/>
                <w:color w:val="000000"/>
                <w:szCs w:val="21"/>
              </w:rPr>
            </w:pPr>
            <w:r w:rsidRPr="00646A7D">
              <w:rPr>
                <w:rFonts w:eastAsiaTheme="minorEastAsia"/>
                <w:szCs w:val="21"/>
              </w:rPr>
              <w:t>期间因拆分变动份额</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w:t>
            </w:r>
          </w:p>
        </w:tc>
      </w:tr>
      <w:tr w:rsidR="001548F9" w:rsidRPr="00646A7D" w:rsidTr="0049538A">
        <w:tc>
          <w:tcPr>
            <w:tcW w:w="3060" w:type="dxa"/>
            <w:vAlign w:val="center"/>
          </w:tcPr>
          <w:p w:rsidR="001548F9" w:rsidRPr="00646A7D" w:rsidRDefault="001548F9" w:rsidP="0049538A">
            <w:pPr>
              <w:rPr>
                <w:rFonts w:eastAsiaTheme="minorEastAsia"/>
                <w:color w:val="000000"/>
                <w:szCs w:val="21"/>
              </w:rPr>
            </w:pPr>
            <w:r w:rsidRPr="00646A7D">
              <w:rPr>
                <w:rFonts w:eastAsiaTheme="minorEastAsia"/>
                <w:szCs w:val="21"/>
              </w:rPr>
              <w:t>减：期间赎回</w:t>
            </w:r>
            <w:r w:rsidRPr="00646A7D">
              <w:rPr>
                <w:rFonts w:eastAsiaTheme="minorEastAsia"/>
                <w:szCs w:val="21"/>
              </w:rPr>
              <w:t>/</w:t>
            </w:r>
            <w:r w:rsidRPr="00646A7D">
              <w:rPr>
                <w:rFonts w:eastAsiaTheme="minorEastAsia"/>
                <w:szCs w:val="21"/>
              </w:rPr>
              <w:t>卖出总份额</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12,500,000.00</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w:t>
            </w:r>
          </w:p>
        </w:tc>
      </w:tr>
      <w:tr w:rsidR="001548F9" w:rsidRPr="00646A7D" w:rsidTr="0049538A">
        <w:tc>
          <w:tcPr>
            <w:tcW w:w="3060" w:type="dxa"/>
            <w:vAlign w:val="center"/>
          </w:tcPr>
          <w:p w:rsidR="001548F9" w:rsidRPr="00646A7D" w:rsidRDefault="001548F9" w:rsidP="0049538A">
            <w:pPr>
              <w:rPr>
                <w:rFonts w:eastAsiaTheme="minorEastAsia"/>
                <w:color w:val="000000"/>
                <w:szCs w:val="21"/>
              </w:rPr>
            </w:pPr>
            <w:r w:rsidRPr="00646A7D">
              <w:rPr>
                <w:rFonts w:eastAsiaTheme="minorEastAsia"/>
                <w:szCs w:val="21"/>
              </w:rPr>
              <w:t>期末持有的基金份额</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23,527,525.58</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36,027,525.58</w:t>
            </w:r>
          </w:p>
        </w:tc>
      </w:tr>
      <w:tr w:rsidR="001548F9" w:rsidRPr="00646A7D" w:rsidTr="0049538A">
        <w:tc>
          <w:tcPr>
            <w:tcW w:w="3060" w:type="dxa"/>
            <w:vAlign w:val="center"/>
          </w:tcPr>
          <w:p w:rsidR="001548F9" w:rsidRPr="00646A7D" w:rsidRDefault="001548F9" w:rsidP="0049538A">
            <w:pPr>
              <w:rPr>
                <w:rFonts w:eastAsiaTheme="minorEastAsia"/>
                <w:szCs w:val="21"/>
              </w:rPr>
            </w:pPr>
            <w:r w:rsidRPr="00646A7D">
              <w:rPr>
                <w:rFonts w:eastAsiaTheme="minorEastAsia"/>
                <w:szCs w:val="21"/>
              </w:rPr>
              <w:t>期末持有的基金份额</w:t>
            </w:r>
          </w:p>
          <w:p w:rsidR="001548F9" w:rsidRPr="00646A7D" w:rsidRDefault="001548F9" w:rsidP="0049538A">
            <w:pPr>
              <w:rPr>
                <w:rFonts w:eastAsiaTheme="minorEastAsia"/>
                <w:color w:val="000000"/>
                <w:szCs w:val="21"/>
              </w:rPr>
            </w:pPr>
            <w:r w:rsidRPr="00646A7D">
              <w:rPr>
                <w:rFonts w:eastAsiaTheme="minorEastAsia"/>
                <w:szCs w:val="21"/>
              </w:rPr>
              <w:t>占基金总份额比例</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11.05%</w:t>
            </w:r>
          </w:p>
        </w:tc>
        <w:tc>
          <w:tcPr>
            <w:tcW w:w="2970" w:type="dxa"/>
            <w:vAlign w:val="center"/>
          </w:tcPr>
          <w:p w:rsidR="001548F9" w:rsidRPr="00646A7D" w:rsidRDefault="001548F9" w:rsidP="0049538A">
            <w:pPr>
              <w:jc w:val="right"/>
              <w:rPr>
                <w:rFonts w:eastAsiaTheme="minorEastAsia"/>
                <w:szCs w:val="21"/>
              </w:rPr>
            </w:pPr>
            <w:r w:rsidRPr="00646A7D">
              <w:rPr>
                <w:rFonts w:eastAsiaTheme="minorEastAsia"/>
                <w:szCs w:val="21"/>
              </w:rPr>
              <w:t>15.77%</w:t>
            </w:r>
          </w:p>
        </w:tc>
      </w:tr>
    </w:tbl>
    <w:p w:rsidR="001548F9" w:rsidRPr="00646A7D" w:rsidRDefault="001548F9" w:rsidP="000E18D9">
      <w:pPr>
        <w:spacing w:beforeLines="100" w:before="312" w:line="360" w:lineRule="auto"/>
        <w:jc w:val="left"/>
        <w:rPr>
          <w:rFonts w:eastAsiaTheme="minorEastAsia"/>
          <w:b/>
          <w:bCs/>
          <w:color w:val="000000"/>
          <w:szCs w:val="21"/>
        </w:rPr>
      </w:pPr>
      <w:r w:rsidRPr="00646A7D">
        <w:rPr>
          <w:rFonts w:eastAsiaTheme="minorEastAsia"/>
          <w:b/>
          <w:bCs/>
          <w:color w:val="000000"/>
          <w:kern w:val="0"/>
          <w:szCs w:val="21"/>
        </w:rPr>
        <w:t xml:space="preserve">6.4.8.5 </w:t>
      </w:r>
      <w:r w:rsidRPr="00646A7D">
        <w:rPr>
          <w:rFonts w:eastAsiaTheme="minorEastAsia"/>
          <w:b/>
          <w:bCs/>
          <w:color w:val="000000"/>
          <w:szCs w:val="21"/>
        </w:rPr>
        <w:t>由关联方保管的银行存款余额及当期产生的利息收入</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646A7D" w:rsidTr="003C0ECA">
        <w:tc>
          <w:tcPr>
            <w:tcW w:w="2694" w:type="dxa"/>
            <w:vMerge w:val="restart"/>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关联方名称</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本期</w:t>
            </w:r>
          </w:p>
          <w:p w:rsidR="00300128" w:rsidRPr="00646A7D" w:rsidRDefault="00300128" w:rsidP="003C0ECA">
            <w:pPr>
              <w:widowControl/>
              <w:autoSpaceDE w:val="0"/>
              <w:autoSpaceDN w:val="0"/>
              <w:spacing w:line="360" w:lineRule="auto"/>
              <w:ind w:right="-15"/>
              <w:jc w:val="center"/>
              <w:textAlignment w:val="bottom"/>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上年度可比期间</w:t>
            </w:r>
          </w:p>
          <w:p w:rsidR="00300128" w:rsidRPr="00646A7D"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300128" w:rsidRPr="00646A7D" w:rsidTr="003C0ECA">
        <w:tc>
          <w:tcPr>
            <w:tcW w:w="2694" w:type="dxa"/>
            <w:vMerge/>
            <w:vAlign w:val="center"/>
          </w:tcPr>
          <w:p w:rsidR="00300128" w:rsidRPr="00646A7D" w:rsidRDefault="00300128" w:rsidP="003C0ECA">
            <w:pPr>
              <w:widowControl/>
              <w:spacing w:line="360" w:lineRule="auto"/>
              <w:jc w:val="left"/>
              <w:rPr>
                <w:rFonts w:eastAsiaTheme="minorEastAsia"/>
                <w:color w:val="000000"/>
                <w:szCs w:val="21"/>
              </w:rPr>
            </w:pPr>
          </w:p>
        </w:tc>
        <w:tc>
          <w:tcPr>
            <w:tcW w:w="1417"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36"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c>
          <w:tcPr>
            <w:tcW w:w="1383"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70"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r>
      <w:tr w:rsidR="007951F4">
        <w:tc>
          <w:tcPr>
            <w:tcW w:w="2694" w:type="dxa"/>
            <w:vAlign w:val="center"/>
          </w:tcPr>
          <w:p w:rsidR="007951F4" w:rsidRDefault="005757D9">
            <w:pPr>
              <w:jc w:val="left"/>
            </w:pPr>
            <w:r>
              <w:rPr>
                <w:rFonts w:eastAsiaTheme="minorEastAsia"/>
                <w:szCs w:val="21"/>
              </w:rPr>
              <w:t>中国建设银行</w:t>
            </w:r>
          </w:p>
        </w:tc>
        <w:tc>
          <w:tcPr>
            <w:tcW w:w="1417" w:type="dxa"/>
            <w:vAlign w:val="center"/>
          </w:tcPr>
          <w:p w:rsidR="007951F4" w:rsidRDefault="005757D9">
            <w:pPr>
              <w:jc w:val="right"/>
            </w:pPr>
            <w:r>
              <w:rPr>
                <w:rFonts w:eastAsiaTheme="minorEastAsia"/>
                <w:szCs w:val="21"/>
              </w:rPr>
              <w:t>15,794,468.85</w:t>
            </w:r>
          </w:p>
        </w:tc>
        <w:tc>
          <w:tcPr>
            <w:tcW w:w="1736" w:type="dxa"/>
            <w:vAlign w:val="center"/>
          </w:tcPr>
          <w:p w:rsidR="007951F4" w:rsidRDefault="005757D9">
            <w:pPr>
              <w:jc w:val="right"/>
            </w:pPr>
            <w:r>
              <w:rPr>
                <w:rFonts w:eastAsiaTheme="minorEastAsia"/>
                <w:szCs w:val="21"/>
              </w:rPr>
              <w:t>60,190.08</w:t>
            </w:r>
          </w:p>
        </w:tc>
        <w:tc>
          <w:tcPr>
            <w:tcW w:w="1383" w:type="dxa"/>
            <w:vAlign w:val="center"/>
          </w:tcPr>
          <w:p w:rsidR="007951F4" w:rsidRDefault="005757D9">
            <w:pPr>
              <w:jc w:val="right"/>
            </w:pPr>
            <w:r>
              <w:rPr>
                <w:rFonts w:eastAsiaTheme="minorEastAsia"/>
                <w:szCs w:val="21"/>
              </w:rPr>
              <w:t>16,095,556.22</w:t>
            </w:r>
          </w:p>
        </w:tc>
        <w:tc>
          <w:tcPr>
            <w:tcW w:w="1770" w:type="dxa"/>
            <w:vAlign w:val="center"/>
          </w:tcPr>
          <w:p w:rsidR="007951F4" w:rsidRDefault="005757D9">
            <w:pPr>
              <w:jc w:val="right"/>
            </w:pPr>
            <w:r>
              <w:rPr>
                <w:rFonts w:eastAsiaTheme="minorEastAsia"/>
                <w:szCs w:val="21"/>
              </w:rPr>
              <w:t>65,445.59</w:t>
            </w:r>
          </w:p>
        </w:tc>
      </w:tr>
    </w:tbl>
    <w:p w:rsidR="001548F9" w:rsidRPr="00646A7D" w:rsidRDefault="00300128"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注：本基金的银行存款由基金托管人中国建设银行保管，按银行同业利率计息。</w:t>
      </w:r>
    </w:p>
    <w:p w:rsidR="00D519CE" w:rsidRPr="00646A7D" w:rsidRDefault="00D519CE" w:rsidP="000E18D9">
      <w:pPr>
        <w:spacing w:beforeLines="100" w:before="312" w:line="360" w:lineRule="auto"/>
        <w:jc w:val="left"/>
        <w:rPr>
          <w:rFonts w:eastAsiaTheme="minorEastAsia"/>
          <w:b/>
          <w:bCs/>
          <w:color w:val="000000"/>
          <w:szCs w:val="21"/>
        </w:rPr>
      </w:pPr>
      <w:r w:rsidRPr="00646A7D">
        <w:rPr>
          <w:rFonts w:eastAsiaTheme="minorEastAsia"/>
          <w:b/>
          <w:bCs/>
          <w:color w:val="000000"/>
          <w:kern w:val="0"/>
          <w:szCs w:val="21"/>
        </w:rPr>
        <w:t xml:space="preserve">6.4.8.6 </w:t>
      </w:r>
      <w:r w:rsidRPr="00646A7D">
        <w:rPr>
          <w:rFonts w:eastAsiaTheme="minorEastAsia"/>
          <w:b/>
          <w:bCs/>
          <w:color w:val="000000"/>
          <w:szCs w:val="21"/>
        </w:rPr>
        <w:t>本基金在承销期内参与关联方承销证券的情况</w:t>
      </w:r>
    </w:p>
    <w:p w:rsidR="001548F9" w:rsidRPr="00646A7D" w:rsidRDefault="00D519CE"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5E09A4" w:rsidRDefault="005E09A4" w:rsidP="000E18D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6.4.8.7 </w:t>
      </w:r>
      <w:bookmarkStart w:id="52" w:name="OLE_LINK189"/>
      <w:bookmarkStart w:id="53" w:name="OLE_LINK7"/>
      <w:bookmarkStart w:id="54" w:name="OLE_LINK6"/>
      <w:r>
        <w:rPr>
          <w:rFonts w:eastAsiaTheme="minorEastAsia" w:hint="eastAsia"/>
          <w:b/>
          <w:color w:val="000000" w:themeColor="text1"/>
          <w:szCs w:val="21"/>
        </w:rPr>
        <w:t>其他关联交易事项的说明</w:t>
      </w:r>
      <w:bookmarkEnd w:id="52"/>
      <w:bookmarkEnd w:id="53"/>
      <w:bookmarkEnd w:id="54"/>
    </w:p>
    <w:p w:rsidR="005E09A4" w:rsidRDefault="005E09A4" w:rsidP="005E09A4">
      <w:pPr>
        <w:adjustRightInd w:val="0"/>
        <w:snapToGrid w:val="0"/>
        <w:spacing w:line="360" w:lineRule="auto"/>
        <w:rPr>
          <w:rFonts w:eastAsiaTheme="minorEastAsia"/>
          <w:b/>
          <w:color w:val="000000" w:themeColor="text1"/>
          <w:szCs w:val="21"/>
        </w:rPr>
      </w:pPr>
      <w:r>
        <w:rPr>
          <w:rFonts w:eastAsiaTheme="minorEastAsia"/>
          <w:b/>
          <w:bCs/>
          <w:color w:val="000000" w:themeColor="text1"/>
          <w:kern w:val="0"/>
          <w:szCs w:val="21"/>
        </w:rPr>
        <w:t xml:space="preserve">6.4.8.7.1 </w:t>
      </w:r>
      <w:r>
        <w:rPr>
          <w:rFonts w:eastAsiaTheme="minorEastAsia" w:hint="eastAsia"/>
          <w:b/>
          <w:color w:val="000000" w:themeColor="text1"/>
          <w:szCs w:val="21"/>
        </w:rPr>
        <w:t>其他关联交易事项的说明</w:t>
      </w:r>
    </w:p>
    <w:p w:rsidR="005E09A4" w:rsidRDefault="005E09A4" w:rsidP="005E09A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于本报告期末，本基金持有</w:t>
      </w:r>
      <w:r>
        <w:rPr>
          <w:rFonts w:eastAsiaTheme="minorEastAsia"/>
          <w:color w:val="000000" w:themeColor="text1"/>
          <w:kern w:val="0"/>
          <w:szCs w:val="21"/>
        </w:rPr>
        <w:t>83,479,000</w:t>
      </w:r>
      <w:r>
        <w:rPr>
          <w:rFonts w:eastAsiaTheme="minorEastAsia"/>
          <w:color w:val="000000" w:themeColor="text1"/>
          <w:kern w:val="0"/>
          <w:szCs w:val="21"/>
        </w:rPr>
        <w:t>份目标</w:t>
      </w:r>
      <w:r>
        <w:rPr>
          <w:rFonts w:eastAsiaTheme="minorEastAsia"/>
          <w:color w:val="000000" w:themeColor="text1"/>
          <w:kern w:val="0"/>
          <w:szCs w:val="21"/>
        </w:rPr>
        <w:t>ETF</w:t>
      </w:r>
      <w:r>
        <w:rPr>
          <w:rFonts w:eastAsiaTheme="minorEastAsia"/>
          <w:color w:val="000000" w:themeColor="text1"/>
          <w:kern w:val="0"/>
          <w:szCs w:val="21"/>
        </w:rPr>
        <w:t>基金份额，占其总份额的比例为</w:t>
      </w:r>
      <w:r>
        <w:rPr>
          <w:rFonts w:eastAsiaTheme="minorEastAsia"/>
          <w:color w:val="000000" w:themeColor="text1"/>
          <w:kern w:val="0"/>
          <w:szCs w:val="21"/>
        </w:rPr>
        <w:t>1.48%</w:t>
      </w:r>
      <w:r>
        <w:rPr>
          <w:rFonts w:eastAsiaTheme="minorEastAsia"/>
          <w:color w:val="000000" w:themeColor="text1"/>
          <w:kern w:val="0"/>
          <w:szCs w:val="21"/>
        </w:rPr>
        <w:t>。</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w:t>
      </w:r>
      <w:r>
        <w:rPr>
          <w:rFonts w:eastAsiaTheme="minorEastAsia"/>
          <w:color w:val="000000" w:themeColor="text1"/>
          <w:kern w:val="0"/>
          <w:szCs w:val="21"/>
        </w:rPr>
        <w:t>89,764,000</w:t>
      </w:r>
      <w:r>
        <w:rPr>
          <w:rFonts w:eastAsiaTheme="minorEastAsia"/>
          <w:color w:val="000000" w:themeColor="text1"/>
          <w:kern w:val="0"/>
          <w:szCs w:val="21"/>
        </w:rPr>
        <w:t>份目标</w:t>
      </w:r>
      <w:r>
        <w:rPr>
          <w:rFonts w:eastAsiaTheme="minorEastAsia"/>
          <w:color w:val="000000" w:themeColor="text1"/>
          <w:kern w:val="0"/>
          <w:szCs w:val="21"/>
        </w:rPr>
        <w:t>ETF</w:t>
      </w:r>
      <w:r>
        <w:rPr>
          <w:rFonts w:eastAsiaTheme="minorEastAsia"/>
          <w:color w:val="000000" w:themeColor="text1"/>
          <w:kern w:val="0"/>
          <w:szCs w:val="21"/>
        </w:rPr>
        <w:t>基金份额，占其总份额的比例为</w:t>
      </w:r>
      <w:r>
        <w:rPr>
          <w:rFonts w:eastAsiaTheme="minorEastAsia"/>
          <w:color w:val="000000" w:themeColor="text1"/>
          <w:kern w:val="0"/>
          <w:szCs w:val="21"/>
        </w:rPr>
        <w:t>1.58%</w:t>
      </w:r>
      <w:r>
        <w:rPr>
          <w:rFonts w:eastAsiaTheme="minorEastAsia"/>
          <w:color w:val="000000" w:themeColor="text1"/>
          <w:kern w:val="0"/>
          <w:szCs w:val="21"/>
        </w:rPr>
        <w:t>。</w:t>
      </w:r>
    </w:p>
    <w:p w:rsidR="001548F9" w:rsidRPr="00646A7D" w:rsidRDefault="001548F9" w:rsidP="000E18D9">
      <w:pPr>
        <w:adjustRightInd w:val="0"/>
        <w:snapToGrid w:val="0"/>
        <w:spacing w:beforeLines="100" w:before="312" w:line="360" w:lineRule="auto"/>
        <w:jc w:val="left"/>
        <w:rPr>
          <w:rFonts w:eastAsiaTheme="minorEastAsia"/>
          <w:b/>
          <w:bCs/>
          <w:color w:val="000000"/>
          <w:szCs w:val="21"/>
        </w:rPr>
      </w:pPr>
      <w:r w:rsidRPr="00646A7D">
        <w:rPr>
          <w:rFonts w:eastAsiaTheme="minorEastAsia"/>
          <w:b/>
          <w:bCs/>
          <w:color w:val="000000"/>
          <w:kern w:val="0"/>
          <w:szCs w:val="21"/>
        </w:rPr>
        <w:t xml:space="preserve">6.4.9 </w:t>
      </w:r>
      <w:r w:rsidRPr="00646A7D">
        <w:rPr>
          <w:rFonts w:eastAsiaTheme="minorEastAsia"/>
          <w:b/>
          <w:bCs/>
          <w:color w:val="000000"/>
          <w:szCs w:val="21"/>
        </w:rPr>
        <w:t>期末（</w:t>
      </w:r>
      <w:r w:rsidRPr="00646A7D">
        <w:rPr>
          <w:rFonts w:eastAsiaTheme="minorEastAsia"/>
          <w:b/>
          <w:bCs/>
          <w:color w:val="000000"/>
          <w:szCs w:val="21"/>
        </w:rPr>
        <w:t>2019</w:t>
      </w:r>
      <w:r w:rsidRPr="00646A7D">
        <w:rPr>
          <w:rFonts w:eastAsiaTheme="minorEastAsia"/>
          <w:b/>
          <w:bCs/>
          <w:color w:val="000000"/>
          <w:szCs w:val="21"/>
        </w:rPr>
        <w:t>年</w:t>
      </w:r>
      <w:r w:rsidRPr="00646A7D">
        <w:rPr>
          <w:rFonts w:eastAsiaTheme="minorEastAsia"/>
          <w:b/>
          <w:bCs/>
          <w:color w:val="000000"/>
          <w:szCs w:val="21"/>
        </w:rPr>
        <w:t>6</w:t>
      </w:r>
      <w:r w:rsidRPr="00646A7D">
        <w:rPr>
          <w:rFonts w:eastAsiaTheme="minorEastAsia"/>
          <w:b/>
          <w:bCs/>
          <w:color w:val="000000"/>
          <w:szCs w:val="21"/>
        </w:rPr>
        <w:t>月</w:t>
      </w:r>
      <w:r w:rsidRPr="00646A7D">
        <w:rPr>
          <w:rFonts w:eastAsiaTheme="minorEastAsia"/>
          <w:b/>
          <w:bCs/>
          <w:color w:val="000000"/>
          <w:szCs w:val="21"/>
        </w:rPr>
        <w:t>30</w:t>
      </w:r>
      <w:r w:rsidRPr="00646A7D">
        <w:rPr>
          <w:rFonts w:eastAsiaTheme="minorEastAsia"/>
          <w:b/>
          <w:bCs/>
          <w:color w:val="000000"/>
          <w:szCs w:val="21"/>
        </w:rPr>
        <w:t>日）本基金持有的流通受限证券</w:t>
      </w:r>
    </w:p>
    <w:p w:rsidR="001548F9" w:rsidRPr="00646A7D" w:rsidRDefault="001548F9" w:rsidP="003576C9">
      <w:pPr>
        <w:spacing w:line="360" w:lineRule="auto"/>
        <w:jc w:val="left"/>
        <w:rPr>
          <w:rFonts w:eastAsiaTheme="minorEastAsia"/>
          <w:b/>
          <w:bCs/>
          <w:color w:val="000000"/>
          <w:szCs w:val="21"/>
        </w:rPr>
      </w:pPr>
      <w:r w:rsidRPr="00646A7D">
        <w:rPr>
          <w:rFonts w:eastAsiaTheme="minorEastAsia"/>
          <w:b/>
          <w:bCs/>
          <w:color w:val="000000"/>
          <w:kern w:val="0"/>
          <w:szCs w:val="21"/>
        </w:rPr>
        <w:t xml:space="preserve">6.4.9.1 </w:t>
      </w:r>
      <w:r w:rsidRPr="00646A7D">
        <w:rPr>
          <w:rFonts w:eastAsiaTheme="minorEastAsia"/>
          <w:b/>
          <w:bCs/>
          <w:color w:val="000000"/>
          <w:szCs w:val="21"/>
        </w:rPr>
        <w:t>因认购新发</w:t>
      </w:r>
      <w:r w:rsidRPr="00646A7D">
        <w:rPr>
          <w:rFonts w:eastAsiaTheme="minorEastAsia"/>
          <w:b/>
          <w:bCs/>
          <w:color w:val="000000"/>
          <w:szCs w:val="21"/>
        </w:rPr>
        <w:t>/</w:t>
      </w:r>
      <w:r w:rsidRPr="00646A7D">
        <w:rPr>
          <w:rFonts w:eastAsiaTheme="minorEastAsia"/>
          <w:b/>
          <w:bCs/>
          <w:color w:val="000000"/>
          <w:szCs w:val="21"/>
        </w:rPr>
        <w:t>增发证券而于期末持有的流通受限证券</w:t>
      </w:r>
    </w:p>
    <w:p w:rsidR="001548F9" w:rsidRPr="00FE09AD" w:rsidRDefault="001548F9"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E18D9">
      <w:pPr>
        <w:spacing w:beforeLines="100" w:before="312" w:line="360" w:lineRule="auto"/>
        <w:rPr>
          <w:rFonts w:eastAsiaTheme="minorEastAsia"/>
          <w:b/>
          <w:bCs/>
          <w:color w:val="000000"/>
          <w:szCs w:val="21"/>
        </w:rPr>
      </w:pPr>
      <w:r w:rsidRPr="00646A7D">
        <w:rPr>
          <w:rFonts w:eastAsiaTheme="minorEastAsia"/>
          <w:b/>
          <w:bCs/>
          <w:color w:val="000000"/>
          <w:kern w:val="0"/>
          <w:szCs w:val="21"/>
        </w:rPr>
        <w:t xml:space="preserve">6.4.9.2 </w:t>
      </w:r>
      <w:r w:rsidRPr="00646A7D">
        <w:rPr>
          <w:rFonts w:eastAsiaTheme="minorEastAsia"/>
          <w:b/>
          <w:bCs/>
          <w:color w:val="000000"/>
          <w:szCs w:val="21"/>
        </w:rPr>
        <w:t>期末持有的暂时停牌等流通受限股票</w:t>
      </w:r>
    </w:p>
    <w:p w:rsidR="001548F9" w:rsidRPr="00646A7D" w:rsidRDefault="001548F9" w:rsidP="008971E9">
      <w:pPr>
        <w:wordWrap w:val="0"/>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w:t>
      </w:r>
      <w:r w:rsidRPr="00646A7D">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548F9" w:rsidRPr="00646A7D" w:rsidTr="00FE09AD">
        <w:trPr>
          <w:trHeight w:val="255"/>
        </w:trPr>
        <w:tc>
          <w:tcPr>
            <w:tcW w:w="61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w:t>
            </w:r>
          </w:p>
          <w:p w:rsidR="001548F9" w:rsidRPr="00646A7D" w:rsidRDefault="001548F9" w:rsidP="0070173B">
            <w:pPr>
              <w:jc w:val="center"/>
              <w:rPr>
                <w:rFonts w:eastAsiaTheme="minorEastAsia"/>
                <w:color w:val="000000"/>
                <w:szCs w:val="21"/>
              </w:rPr>
            </w:pPr>
            <w:r w:rsidRPr="00646A7D">
              <w:rPr>
                <w:rFonts w:eastAsiaTheme="minorEastAsia"/>
                <w:color w:val="000000"/>
                <w:szCs w:val="21"/>
              </w:rPr>
              <w:t>代码</w:t>
            </w:r>
          </w:p>
        </w:tc>
        <w:tc>
          <w:tcPr>
            <w:tcW w:w="686" w:type="dxa"/>
            <w:tcMar>
              <w:top w:w="15" w:type="dxa"/>
              <w:left w:w="15" w:type="dxa"/>
              <w:bottom w:w="0" w:type="dxa"/>
              <w:right w:w="15" w:type="dxa"/>
            </w:tcMar>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w:t>
            </w:r>
          </w:p>
          <w:p w:rsidR="001548F9" w:rsidRPr="00646A7D" w:rsidRDefault="001548F9" w:rsidP="0070173B">
            <w:pPr>
              <w:jc w:val="center"/>
              <w:rPr>
                <w:rFonts w:eastAsiaTheme="minorEastAsia"/>
                <w:color w:val="000000"/>
                <w:szCs w:val="21"/>
              </w:rPr>
            </w:pPr>
            <w:r w:rsidRPr="00646A7D">
              <w:rPr>
                <w:rFonts w:eastAsiaTheme="minorEastAsia"/>
                <w:color w:val="000000"/>
                <w:szCs w:val="21"/>
              </w:rPr>
              <w:t>名称</w:t>
            </w:r>
          </w:p>
        </w:tc>
        <w:tc>
          <w:tcPr>
            <w:tcW w:w="742" w:type="dxa"/>
            <w:tcMar>
              <w:top w:w="15" w:type="dxa"/>
              <w:left w:w="15" w:type="dxa"/>
              <w:bottom w:w="0" w:type="dxa"/>
              <w:right w:w="15" w:type="dxa"/>
            </w:tcMar>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停牌</w:t>
            </w:r>
          </w:p>
          <w:p w:rsidR="001548F9" w:rsidRPr="00646A7D" w:rsidRDefault="001548F9" w:rsidP="0070173B">
            <w:pPr>
              <w:jc w:val="center"/>
              <w:rPr>
                <w:rFonts w:eastAsiaTheme="minorEastAsia"/>
                <w:color w:val="000000"/>
                <w:szCs w:val="21"/>
              </w:rPr>
            </w:pPr>
            <w:r w:rsidRPr="00646A7D">
              <w:rPr>
                <w:rFonts w:eastAsiaTheme="minorEastAsia"/>
                <w:color w:val="000000"/>
                <w:szCs w:val="21"/>
              </w:rPr>
              <w:t>日期</w:t>
            </w:r>
          </w:p>
        </w:tc>
        <w:tc>
          <w:tcPr>
            <w:tcW w:w="798" w:type="dxa"/>
            <w:tcMar>
              <w:top w:w="15" w:type="dxa"/>
              <w:left w:w="15" w:type="dxa"/>
              <w:bottom w:w="0" w:type="dxa"/>
              <w:right w:w="15" w:type="dxa"/>
            </w:tcMar>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停牌</w:t>
            </w:r>
          </w:p>
          <w:p w:rsidR="001548F9" w:rsidRPr="00646A7D" w:rsidRDefault="001548F9" w:rsidP="0070173B">
            <w:pPr>
              <w:jc w:val="center"/>
              <w:rPr>
                <w:rFonts w:eastAsiaTheme="minorEastAsia"/>
                <w:color w:val="000000"/>
                <w:szCs w:val="21"/>
              </w:rPr>
            </w:pPr>
            <w:r w:rsidRPr="00646A7D">
              <w:rPr>
                <w:rFonts w:eastAsiaTheme="minorEastAsia"/>
                <w:color w:val="000000"/>
                <w:szCs w:val="21"/>
              </w:rPr>
              <w:t>原因</w:t>
            </w:r>
          </w:p>
        </w:tc>
        <w:tc>
          <w:tcPr>
            <w:tcW w:w="798" w:type="dxa"/>
            <w:tcMar>
              <w:top w:w="15" w:type="dxa"/>
              <w:left w:w="15" w:type="dxa"/>
              <w:bottom w:w="0" w:type="dxa"/>
              <w:right w:w="15" w:type="dxa"/>
            </w:tcMar>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期末估值单价</w:t>
            </w:r>
          </w:p>
        </w:tc>
        <w:tc>
          <w:tcPr>
            <w:tcW w:w="686" w:type="dxa"/>
            <w:tcMar>
              <w:top w:w="15" w:type="dxa"/>
              <w:left w:w="15" w:type="dxa"/>
              <w:bottom w:w="0" w:type="dxa"/>
              <w:right w:w="15" w:type="dxa"/>
            </w:tcMar>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复牌</w:t>
            </w:r>
          </w:p>
          <w:p w:rsidR="001548F9" w:rsidRPr="00646A7D" w:rsidRDefault="001548F9" w:rsidP="0070173B">
            <w:pPr>
              <w:jc w:val="center"/>
              <w:rPr>
                <w:rFonts w:eastAsiaTheme="minorEastAsia"/>
                <w:color w:val="000000"/>
                <w:szCs w:val="21"/>
              </w:rPr>
            </w:pPr>
            <w:r w:rsidRPr="00646A7D">
              <w:rPr>
                <w:rFonts w:eastAsiaTheme="minorEastAsia"/>
                <w:color w:val="000000"/>
                <w:szCs w:val="21"/>
              </w:rPr>
              <w:t>日期</w:t>
            </w:r>
          </w:p>
        </w:tc>
        <w:tc>
          <w:tcPr>
            <w:tcW w:w="658" w:type="dxa"/>
            <w:tcMar>
              <w:top w:w="15" w:type="dxa"/>
              <w:left w:w="15" w:type="dxa"/>
              <w:bottom w:w="0" w:type="dxa"/>
              <w:right w:w="15" w:type="dxa"/>
            </w:tcMar>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复牌开</w:t>
            </w:r>
          </w:p>
          <w:p w:rsidR="001548F9" w:rsidRPr="00646A7D" w:rsidRDefault="001548F9" w:rsidP="0070173B">
            <w:pPr>
              <w:jc w:val="center"/>
              <w:rPr>
                <w:rFonts w:eastAsiaTheme="minorEastAsia"/>
                <w:color w:val="000000"/>
                <w:szCs w:val="21"/>
              </w:rPr>
            </w:pPr>
            <w:r w:rsidRPr="00646A7D">
              <w:rPr>
                <w:rFonts w:eastAsiaTheme="minorEastAsia"/>
                <w:color w:val="000000"/>
                <w:szCs w:val="21"/>
              </w:rPr>
              <w:t>盘单价</w:t>
            </w:r>
          </w:p>
        </w:tc>
        <w:tc>
          <w:tcPr>
            <w:tcW w:w="1049" w:type="dxa"/>
            <w:tcMar>
              <w:top w:w="15" w:type="dxa"/>
              <w:left w:w="15" w:type="dxa"/>
              <w:bottom w:w="0" w:type="dxa"/>
              <w:right w:w="15" w:type="dxa"/>
            </w:tcMar>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数量</w:t>
            </w:r>
          </w:p>
          <w:p w:rsidR="001548F9" w:rsidRPr="00646A7D" w:rsidRDefault="001548F9" w:rsidP="0070173B">
            <w:pPr>
              <w:jc w:val="center"/>
              <w:rPr>
                <w:rFonts w:eastAsiaTheme="minorEastAsia"/>
                <w:color w:val="000000"/>
                <w:szCs w:val="21"/>
              </w:rPr>
            </w:pPr>
            <w:r w:rsidRPr="00646A7D">
              <w:rPr>
                <w:rFonts w:eastAsiaTheme="minorEastAsia"/>
                <w:color w:val="000000"/>
                <w:szCs w:val="21"/>
              </w:rPr>
              <w:t>(</w:t>
            </w:r>
            <w:r w:rsidRPr="00646A7D">
              <w:rPr>
                <w:rFonts w:eastAsiaTheme="minorEastAsia"/>
                <w:color w:val="000000"/>
                <w:szCs w:val="21"/>
              </w:rPr>
              <w:t>单位：股</w:t>
            </w:r>
            <w:r w:rsidRPr="00646A7D">
              <w:rPr>
                <w:rFonts w:eastAsiaTheme="minorEastAsia"/>
                <w:color w:val="000000"/>
                <w:szCs w:val="21"/>
              </w:rPr>
              <w:t>)</w:t>
            </w:r>
          </w:p>
        </w:tc>
        <w:tc>
          <w:tcPr>
            <w:tcW w:w="1218"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期末</w:t>
            </w:r>
          </w:p>
          <w:p w:rsidR="001548F9" w:rsidRPr="00646A7D" w:rsidRDefault="001548F9" w:rsidP="0070173B">
            <w:pPr>
              <w:jc w:val="center"/>
              <w:rPr>
                <w:rFonts w:eastAsiaTheme="minorEastAsia"/>
                <w:color w:val="000000"/>
                <w:szCs w:val="21"/>
              </w:rPr>
            </w:pPr>
            <w:r w:rsidRPr="00646A7D">
              <w:rPr>
                <w:rFonts w:eastAsiaTheme="minorEastAsia"/>
                <w:color w:val="000000"/>
                <w:szCs w:val="21"/>
              </w:rPr>
              <w:t>成本总额</w:t>
            </w:r>
          </w:p>
        </w:tc>
        <w:tc>
          <w:tcPr>
            <w:tcW w:w="116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期末</w:t>
            </w:r>
          </w:p>
          <w:p w:rsidR="001548F9" w:rsidRPr="00646A7D" w:rsidRDefault="001548F9" w:rsidP="0070173B">
            <w:pPr>
              <w:jc w:val="center"/>
              <w:rPr>
                <w:rFonts w:eastAsiaTheme="minorEastAsia"/>
                <w:color w:val="000000"/>
                <w:szCs w:val="21"/>
              </w:rPr>
            </w:pPr>
            <w:r w:rsidRPr="00646A7D">
              <w:rPr>
                <w:rFonts w:eastAsiaTheme="minorEastAsia"/>
                <w:color w:val="000000"/>
                <w:szCs w:val="21"/>
              </w:rPr>
              <w:t>估值总额</w:t>
            </w:r>
          </w:p>
        </w:tc>
        <w:tc>
          <w:tcPr>
            <w:tcW w:w="601"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备注</w:t>
            </w:r>
          </w:p>
        </w:tc>
      </w:tr>
      <w:tr w:rsidR="007951F4">
        <w:tc>
          <w:tcPr>
            <w:tcW w:w="616" w:type="dxa"/>
            <w:vAlign w:val="center"/>
          </w:tcPr>
          <w:p w:rsidR="007951F4" w:rsidRDefault="005757D9">
            <w:pPr>
              <w:jc w:val="center"/>
            </w:pPr>
            <w:r>
              <w:rPr>
                <w:rFonts w:eastAsiaTheme="minorEastAsia"/>
                <w:szCs w:val="21"/>
              </w:rPr>
              <w:t>600485</w:t>
            </w:r>
          </w:p>
        </w:tc>
        <w:tc>
          <w:tcPr>
            <w:tcW w:w="686" w:type="dxa"/>
            <w:vAlign w:val="center"/>
          </w:tcPr>
          <w:p w:rsidR="007951F4" w:rsidRDefault="005757D9">
            <w:pPr>
              <w:jc w:val="center"/>
            </w:pPr>
            <w:r>
              <w:rPr>
                <w:rFonts w:eastAsiaTheme="minorEastAsia"/>
                <w:szCs w:val="21"/>
              </w:rPr>
              <w:t>*ST</w:t>
            </w:r>
            <w:r>
              <w:rPr>
                <w:rFonts w:eastAsiaTheme="minorEastAsia"/>
                <w:szCs w:val="21"/>
              </w:rPr>
              <w:t>信威</w:t>
            </w:r>
          </w:p>
        </w:tc>
        <w:tc>
          <w:tcPr>
            <w:tcW w:w="742" w:type="dxa"/>
            <w:vAlign w:val="center"/>
          </w:tcPr>
          <w:p w:rsidR="007951F4" w:rsidRDefault="005757D9">
            <w:pPr>
              <w:jc w:val="center"/>
            </w:pPr>
            <w:r>
              <w:rPr>
                <w:rFonts w:eastAsiaTheme="minorEastAsia"/>
                <w:szCs w:val="21"/>
              </w:rPr>
              <w:t>2017-04-27</w:t>
            </w:r>
          </w:p>
        </w:tc>
        <w:tc>
          <w:tcPr>
            <w:tcW w:w="798" w:type="dxa"/>
            <w:vAlign w:val="center"/>
          </w:tcPr>
          <w:p w:rsidR="007951F4" w:rsidRDefault="005757D9">
            <w:pPr>
              <w:jc w:val="center"/>
            </w:pPr>
            <w:r>
              <w:rPr>
                <w:rFonts w:eastAsiaTheme="minorEastAsia"/>
                <w:szCs w:val="21"/>
              </w:rPr>
              <w:t>重大资产重组</w:t>
            </w:r>
          </w:p>
        </w:tc>
        <w:tc>
          <w:tcPr>
            <w:tcW w:w="798" w:type="dxa"/>
            <w:vAlign w:val="center"/>
          </w:tcPr>
          <w:p w:rsidR="007951F4" w:rsidRDefault="005757D9">
            <w:pPr>
              <w:jc w:val="right"/>
            </w:pPr>
            <w:r>
              <w:rPr>
                <w:rFonts w:eastAsiaTheme="minorEastAsia"/>
                <w:szCs w:val="21"/>
              </w:rPr>
              <w:t>6.28</w:t>
            </w:r>
          </w:p>
        </w:tc>
        <w:tc>
          <w:tcPr>
            <w:tcW w:w="686" w:type="dxa"/>
            <w:vAlign w:val="center"/>
          </w:tcPr>
          <w:p w:rsidR="007951F4" w:rsidRDefault="005757D9">
            <w:pPr>
              <w:jc w:val="center"/>
            </w:pPr>
            <w:r>
              <w:rPr>
                <w:rFonts w:eastAsiaTheme="minorEastAsia"/>
                <w:szCs w:val="21"/>
              </w:rPr>
              <w:t>2019-07-12</w:t>
            </w:r>
          </w:p>
        </w:tc>
        <w:tc>
          <w:tcPr>
            <w:tcW w:w="658" w:type="dxa"/>
            <w:vAlign w:val="center"/>
          </w:tcPr>
          <w:p w:rsidR="007951F4" w:rsidRDefault="005757D9">
            <w:pPr>
              <w:jc w:val="right"/>
            </w:pPr>
            <w:r>
              <w:rPr>
                <w:rFonts w:eastAsiaTheme="minorEastAsia"/>
                <w:szCs w:val="21"/>
              </w:rPr>
              <w:t>13.86</w:t>
            </w:r>
          </w:p>
        </w:tc>
        <w:tc>
          <w:tcPr>
            <w:tcW w:w="1049" w:type="dxa"/>
            <w:vAlign w:val="center"/>
          </w:tcPr>
          <w:p w:rsidR="007951F4" w:rsidRDefault="005757D9">
            <w:pPr>
              <w:jc w:val="right"/>
            </w:pPr>
            <w:r>
              <w:rPr>
                <w:rFonts w:eastAsiaTheme="minorEastAsia"/>
                <w:szCs w:val="21"/>
              </w:rPr>
              <w:t>26,299</w:t>
            </w:r>
          </w:p>
        </w:tc>
        <w:tc>
          <w:tcPr>
            <w:tcW w:w="1218" w:type="dxa"/>
            <w:vAlign w:val="center"/>
          </w:tcPr>
          <w:p w:rsidR="007951F4" w:rsidRDefault="005757D9">
            <w:pPr>
              <w:jc w:val="right"/>
            </w:pPr>
            <w:r>
              <w:rPr>
                <w:rFonts w:eastAsiaTheme="minorEastAsia"/>
                <w:szCs w:val="21"/>
              </w:rPr>
              <w:t>338,488.00</w:t>
            </w:r>
          </w:p>
        </w:tc>
        <w:tc>
          <w:tcPr>
            <w:tcW w:w="1160" w:type="dxa"/>
            <w:vAlign w:val="center"/>
          </w:tcPr>
          <w:p w:rsidR="007951F4" w:rsidRDefault="005757D9">
            <w:pPr>
              <w:jc w:val="right"/>
            </w:pPr>
            <w:r>
              <w:rPr>
                <w:rFonts w:eastAsiaTheme="minorEastAsia"/>
                <w:szCs w:val="21"/>
              </w:rPr>
              <w:t>165,157.72</w:t>
            </w:r>
          </w:p>
        </w:tc>
        <w:tc>
          <w:tcPr>
            <w:tcW w:w="601" w:type="dxa"/>
            <w:vAlign w:val="center"/>
          </w:tcPr>
          <w:p w:rsidR="007951F4" w:rsidRDefault="005757D9">
            <w:pPr>
              <w:jc w:val="center"/>
            </w:pPr>
            <w:r>
              <w:rPr>
                <w:rFonts w:eastAsiaTheme="minorEastAsia"/>
                <w:szCs w:val="21"/>
              </w:rPr>
              <w:t>-</w:t>
            </w:r>
          </w:p>
        </w:tc>
      </w:tr>
    </w:tbl>
    <w:p w:rsidR="001548F9" w:rsidRPr="00646A7D" w:rsidRDefault="001548F9" w:rsidP="000E18D9">
      <w:pPr>
        <w:spacing w:beforeLines="100" w:before="312" w:line="360" w:lineRule="auto"/>
        <w:rPr>
          <w:rFonts w:eastAsiaTheme="minorEastAsia"/>
          <w:b/>
          <w:bCs/>
          <w:color w:val="000000"/>
          <w:szCs w:val="21"/>
        </w:rPr>
      </w:pPr>
      <w:r w:rsidRPr="00646A7D">
        <w:rPr>
          <w:rFonts w:eastAsiaTheme="minorEastAsia"/>
          <w:b/>
          <w:bCs/>
          <w:color w:val="000000"/>
          <w:kern w:val="0"/>
          <w:szCs w:val="21"/>
        </w:rPr>
        <w:t xml:space="preserve">6.4.9.3 </w:t>
      </w:r>
      <w:r w:rsidRPr="00646A7D">
        <w:rPr>
          <w:rFonts w:eastAsiaTheme="minorEastAsia"/>
          <w:b/>
          <w:bCs/>
          <w:color w:val="000000"/>
          <w:szCs w:val="21"/>
        </w:rPr>
        <w:t>期末债券正回购交易中作为抵押的债券</w:t>
      </w:r>
    </w:p>
    <w:p w:rsidR="001548F9" w:rsidRPr="00646A7D" w:rsidRDefault="001548F9" w:rsidP="003576C9">
      <w:pPr>
        <w:spacing w:line="360" w:lineRule="auto"/>
        <w:rPr>
          <w:rFonts w:eastAsiaTheme="minorEastAsia"/>
          <w:b/>
          <w:bCs/>
          <w:color w:val="000000"/>
          <w:szCs w:val="21"/>
        </w:rPr>
      </w:pPr>
      <w:r w:rsidRPr="00646A7D">
        <w:rPr>
          <w:rFonts w:eastAsiaTheme="minorEastAsia"/>
          <w:b/>
          <w:bCs/>
          <w:color w:val="000000"/>
          <w:kern w:val="0"/>
          <w:szCs w:val="21"/>
        </w:rPr>
        <w:t xml:space="preserve">6.4.9.3.1 </w:t>
      </w:r>
      <w:r w:rsidRPr="00646A7D">
        <w:rPr>
          <w:rFonts w:eastAsiaTheme="minorEastAsia"/>
          <w:b/>
          <w:bCs/>
          <w:color w:val="000000"/>
          <w:szCs w:val="21"/>
        </w:rPr>
        <w:t>银行间市场债券正回购</w:t>
      </w:r>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截至报告期末</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日止，本基金无银行间市场债券正回购交易中作为抵押的债券。</w:t>
      </w:r>
    </w:p>
    <w:p w:rsidR="001548F9" w:rsidRPr="00646A7D" w:rsidRDefault="001548F9" w:rsidP="000E18D9">
      <w:pPr>
        <w:spacing w:beforeLines="100" w:before="312" w:line="360" w:lineRule="auto"/>
        <w:rPr>
          <w:rFonts w:eastAsiaTheme="minorEastAsia"/>
          <w:b/>
          <w:bCs/>
          <w:color w:val="000000"/>
          <w:szCs w:val="21"/>
        </w:rPr>
      </w:pPr>
      <w:r w:rsidRPr="00646A7D">
        <w:rPr>
          <w:rFonts w:eastAsiaTheme="minorEastAsia"/>
          <w:b/>
          <w:bCs/>
          <w:color w:val="000000"/>
          <w:kern w:val="0"/>
          <w:szCs w:val="21"/>
        </w:rPr>
        <w:t xml:space="preserve">6.4.9.3.2 </w:t>
      </w:r>
      <w:r w:rsidRPr="00646A7D">
        <w:rPr>
          <w:rFonts w:eastAsiaTheme="minorEastAsia"/>
          <w:b/>
          <w:bCs/>
          <w:color w:val="000000"/>
          <w:szCs w:val="21"/>
        </w:rPr>
        <w:t>交易所市场债券正回购</w:t>
      </w:r>
    </w:p>
    <w:p w:rsidR="001548F9" w:rsidRPr="00FE09AD" w:rsidRDefault="001548F9" w:rsidP="00FE09AD">
      <w:pPr>
        <w:spacing w:line="360" w:lineRule="auto"/>
        <w:ind w:firstLineChars="200" w:firstLine="420"/>
        <w:rPr>
          <w:rFonts w:eastAsiaTheme="minorEastAsia"/>
          <w:color w:val="000000"/>
          <w:szCs w:val="21"/>
        </w:rPr>
      </w:pPr>
      <w:r w:rsidRPr="00646A7D">
        <w:rPr>
          <w:rFonts w:eastAsiaTheme="minorEastAsia"/>
          <w:color w:val="000000"/>
          <w:szCs w:val="21"/>
        </w:rPr>
        <w:t>截至报告期末</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日止，本基金无交易所市场债券正回购交易中作为抵押的债券。</w:t>
      </w:r>
    </w:p>
    <w:p w:rsidR="001548F9" w:rsidRPr="00646A7D" w:rsidRDefault="001548F9" w:rsidP="000E18D9">
      <w:pPr>
        <w:spacing w:beforeLines="100" w:before="312" w:line="360" w:lineRule="auto"/>
        <w:rPr>
          <w:rFonts w:eastAsiaTheme="minorEastAsia"/>
          <w:b/>
          <w:color w:val="000000"/>
          <w:szCs w:val="21"/>
        </w:rPr>
      </w:pPr>
      <w:r w:rsidRPr="00646A7D">
        <w:rPr>
          <w:rFonts w:eastAsiaTheme="minorEastAsia"/>
          <w:b/>
          <w:bCs/>
          <w:color w:val="000000"/>
          <w:kern w:val="0"/>
          <w:szCs w:val="21"/>
        </w:rPr>
        <w:t xml:space="preserve">6.4.10 </w:t>
      </w:r>
      <w:r w:rsidRPr="00646A7D">
        <w:rPr>
          <w:rFonts w:eastAsiaTheme="minorEastAsia"/>
          <w:b/>
          <w:color w:val="000000"/>
          <w:szCs w:val="21"/>
        </w:rPr>
        <w:t>有助于理解和分析会计报表需要说明的其他事项</w:t>
      </w:r>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1548F9" w:rsidRPr="00646A7D" w:rsidRDefault="001548F9" w:rsidP="000E18D9">
      <w:pPr>
        <w:pStyle w:val="1"/>
        <w:keepNext/>
        <w:keepLines/>
        <w:widowControl w:val="0"/>
        <w:spacing w:beforeLines="100" w:before="312" w:afterLines="100" w:after="312" w:line="360" w:lineRule="auto"/>
        <w:jc w:val="center"/>
        <w:rPr>
          <w:rFonts w:eastAsiaTheme="minorEastAsia"/>
          <w:b/>
          <w:bCs/>
          <w:sz w:val="21"/>
          <w:szCs w:val="21"/>
          <w:lang w:val="en-US"/>
        </w:rPr>
      </w:pPr>
      <w:bookmarkStart w:id="55" w:name="_Toc331410101"/>
      <w:bookmarkStart w:id="56" w:name="_Toc225498272"/>
      <w:r w:rsidRPr="00646A7D">
        <w:rPr>
          <w:rFonts w:eastAsiaTheme="minorEastAsia"/>
          <w:b/>
          <w:bCs/>
          <w:sz w:val="21"/>
          <w:szCs w:val="21"/>
          <w:lang w:val="en-US"/>
        </w:rPr>
        <w:t xml:space="preserve">7  </w:t>
      </w:r>
      <w:r w:rsidRPr="00646A7D">
        <w:rPr>
          <w:rFonts w:eastAsiaTheme="minorEastAsia"/>
          <w:b/>
          <w:bCs/>
          <w:sz w:val="21"/>
          <w:szCs w:val="21"/>
          <w:lang w:val="en-US"/>
        </w:rPr>
        <w:t>投资组合报告</w:t>
      </w:r>
      <w:bookmarkEnd w:id="55"/>
      <w:bookmarkEnd w:id="56"/>
    </w:p>
    <w:p w:rsidR="001548F9" w:rsidRPr="00646A7D" w:rsidRDefault="001548F9" w:rsidP="003576C9">
      <w:pPr>
        <w:pStyle w:val="20"/>
        <w:spacing w:before="0" w:after="0"/>
        <w:rPr>
          <w:rFonts w:ascii="Times New Roman" w:eastAsiaTheme="minorEastAsia" w:hAnsi="Times New Roman"/>
          <w:kern w:val="0"/>
          <w:sz w:val="21"/>
          <w:szCs w:val="21"/>
        </w:rPr>
      </w:pPr>
      <w:bookmarkStart w:id="57" w:name="_Toc331410102"/>
      <w:bookmarkStart w:id="58" w:name="_Toc225498273"/>
      <w:r w:rsidRPr="00646A7D">
        <w:rPr>
          <w:rFonts w:ascii="Times New Roman" w:eastAsiaTheme="minorEastAsia" w:hAnsi="Times New Roman"/>
          <w:bCs w:val="0"/>
          <w:color w:val="000000"/>
          <w:kern w:val="0"/>
          <w:sz w:val="21"/>
          <w:szCs w:val="21"/>
        </w:rPr>
        <w:t xml:space="preserve">7.1 </w:t>
      </w:r>
      <w:r w:rsidRPr="00646A7D">
        <w:rPr>
          <w:rFonts w:ascii="Times New Roman" w:eastAsiaTheme="minorEastAsia" w:hAnsi="Times New Roman"/>
          <w:kern w:val="0"/>
          <w:sz w:val="21"/>
          <w:szCs w:val="21"/>
        </w:rPr>
        <w:t>期末基金资产组合情况</w:t>
      </w:r>
      <w:bookmarkEnd w:id="57"/>
      <w:bookmarkEnd w:id="58"/>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p w:rsidR="00FD7A40" w:rsidRPr="00646A7D" w:rsidRDefault="00FD7A40" w:rsidP="00FD7A40">
      <w:pPr>
        <w:tabs>
          <w:tab w:val="left" w:pos="426"/>
        </w:tabs>
        <w:spacing w:line="360" w:lineRule="auto"/>
        <w:jc w:val="left"/>
        <w:rPr>
          <w:rFonts w:eastAsiaTheme="minorEastAsia"/>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序号</w:t>
            </w:r>
          </w:p>
        </w:tc>
        <w:tc>
          <w:tcPr>
            <w:tcW w:w="3420" w:type="dxa"/>
            <w:vAlign w:val="center"/>
          </w:tcPr>
          <w:p w:rsidR="00FD7A40" w:rsidRPr="00646A7D" w:rsidRDefault="00FD7A40" w:rsidP="00A47B26">
            <w:pPr>
              <w:rPr>
                <w:rFonts w:eastAsiaTheme="minorEastAsia"/>
                <w:color w:val="000000"/>
                <w:szCs w:val="21"/>
              </w:rPr>
            </w:pPr>
            <w:r w:rsidRPr="00646A7D">
              <w:rPr>
                <w:rFonts w:eastAsiaTheme="minorEastAsia"/>
                <w:color w:val="000000"/>
                <w:szCs w:val="21"/>
              </w:rPr>
              <w:t>项目</w:t>
            </w:r>
          </w:p>
        </w:tc>
        <w:tc>
          <w:tcPr>
            <w:tcW w:w="252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金额</w:t>
            </w:r>
          </w:p>
        </w:tc>
        <w:tc>
          <w:tcPr>
            <w:tcW w:w="19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占基金总资产的比例（</w:t>
            </w:r>
            <w:r w:rsidRPr="00646A7D">
              <w:rPr>
                <w:rFonts w:eastAsiaTheme="minorEastAsia"/>
                <w:color w:val="000000"/>
                <w:szCs w:val="21"/>
              </w:rPr>
              <w:t>%</w:t>
            </w: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szCs w:val="21"/>
              </w:rPr>
              <w:t>1</w:t>
            </w: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权益投资</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165,157.72</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0.05</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其中：股票</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165,157.72</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0.05</w:t>
            </w:r>
          </w:p>
        </w:tc>
      </w:tr>
      <w:tr w:rsidR="00FD7A40" w:rsidRPr="00646A7D" w:rsidTr="00A47B26">
        <w:tc>
          <w:tcPr>
            <w:tcW w:w="1080" w:type="dxa"/>
            <w:vAlign w:val="center"/>
          </w:tcPr>
          <w:p w:rsidR="00FD7A40" w:rsidRPr="00646A7D" w:rsidRDefault="00FD7A40" w:rsidP="00A47B26">
            <w:pPr>
              <w:jc w:val="center"/>
              <w:rPr>
                <w:rFonts w:eastAsiaTheme="minorEastAsia"/>
                <w:szCs w:val="21"/>
              </w:rPr>
            </w:pPr>
            <w:r w:rsidRPr="00646A7D">
              <w:rPr>
                <w:rFonts w:eastAsiaTheme="minorEastAsia"/>
                <w:szCs w:val="21"/>
              </w:rPr>
              <w:t>2</w:t>
            </w:r>
          </w:p>
        </w:tc>
        <w:tc>
          <w:tcPr>
            <w:tcW w:w="3420" w:type="dxa"/>
            <w:vAlign w:val="center"/>
          </w:tcPr>
          <w:p w:rsidR="00FD7A40" w:rsidRPr="00646A7D" w:rsidRDefault="00FD7A40" w:rsidP="00A47B26">
            <w:pPr>
              <w:ind w:leftChars="49" w:left="103"/>
              <w:rPr>
                <w:rFonts w:eastAsiaTheme="minorEastAsia"/>
                <w:szCs w:val="21"/>
              </w:rPr>
            </w:pPr>
            <w:r w:rsidRPr="00646A7D">
              <w:rPr>
                <w:rFonts w:eastAsiaTheme="minorEastAsia"/>
                <w:szCs w:val="21"/>
              </w:rPr>
              <w:t>基金投资</w:t>
            </w:r>
          </w:p>
        </w:tc>
        <w:tc>
          <w:tcPr>
            <w:tcW w:w="2520" w:type="dxa"/>
            <w:vAlign w:val="center"/>
          </w:tcPr>
          <w:p w:rsidR="00FD7A40" w:rsidRPr="00646A7D" w:rsidRDefault="00FD7A40" w:rsidP="00A47B26">
            <w:pPr>
              <w:jc w:val="right"/>
              <w:rPr>
                <w:rFonts w:eastAsiaTheme="minorEastAsia"/>
                <w:szCs w:val="21"/>
              </w:rPr>
            </w:pPr>
            <w:r w:rsidRPr="00646A7D">
              <w:rPr>
                <w:rFonts w:eastAsiaTheme="minorEastAsia"/>
                <w:szCs w:val="21"/>
              </w:rPr>
              <w:t>293,420,337.10</w:t>
            </w:r>
          </w:p>
        </w:tc>
        <w:tc>
          <w:tcPr>
            <w:tcW w:w="1980" w:type="dxa"/>
            <w:vAlign w:val="center"/>
          </w:tcPr>
          <w:p w:rsidR="00FD7A40" w:rsidRPr="00646A7D" w:rsidRDefault="00FD7A40" w:rsidP="00A47B26">
            <w:pPr>
              <w:jc w:val="right"/>
              <w:rPr>
                <w:rFonts w:eastAsiaTheme="minorEastAsia"/>
                <w:szCs w:val="21"/>
              </w:rPr>
            </w:pPr>
            <w:r w:rsidRPr="00646A7D">
              <w:rPr>
                <w:rFonts w:eastAsiaTheme="minorEastAsia"/>
                <w:szCs w:val="21"/>
              </w:rPr>
              <w:t>94.66</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szCs w:val="21"/>
              </w:rPr>
              <w:t>3</w:t>
            </w: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固定收益投资</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其中：债券</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FE09AD">
            <w:pPr>
              <w:ind w:leftChars="50" w:left="105" w:firstLineChars="300" w:firstLine="630"/>
              <w:rPr>
                <w:rFonts w:eastAsiaTheme="minorEastAsia"/>
                <w:color w:val="000000"/>
                <w:szCs w:val="21"/>
              </w:rPr>
            </w:pPr>
            <w:r w:rsidRPr="00646A7D">
              <w:rPr>
                <w:rFonts w:eastAsiaTheme="minorEastAsia"/>
                <w:szCs w:val="21"/>
              </w:rPr>
              <w:t>资产支持证券</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tcPr>
          <w:p w:rsidR="00F25613" w:rsidRPr="00646A7D" w:rsidRDefault="00F25613" w:rsidP="00A47B26">
            <w:pPr>
              <w:spacing w:line="360" w:lineRule="auto"/>
              <w:jc w:val="center"/>
              <w:rPr>
                <w:rFonts w:eastAsiaTheme="minorEastAsia"/>
                <w:szCs w:val="21"/>
              </w:rPr>
            </w:pPr>
            <w:r w:rsidRPr="00646A7D">
              <w:rPr>
                <w:rFonts w:eastAsiaTheme="minorEastAsia"/>
                <w:szCs w:val="21"/>
              </w:rPr>
              <w:t>4</w:t>
            </w:r>
          </w:p>
        </w:tc>
        <w:tc>
          <w:tcPr>
            <w:tcW w:w="3420" w:type="dxa"/>
          </w:tcPr>
          <w:p w:rsidR="00F25613" w:rsidRPr="00646A7D" w:rsidRDefault="00F25613" w:rsidP="00A47B26">
            <w:pPr>
              <w:spacing w:line="360" w:lineRule="auto"/>
              <w:ind w:leftChars="50" w:left="105"/>
              <w:rPr>
                <w:rFonts w:eastAsiaTheme="minorEastAsia"/>
                <w:szCs w:val="21"/>
              </w:rPr>
            </w:pPr>
            <w:r w:rsidRPr="00646A7D">
              <w:rPr>
                <w:rFonts w:eastAsiaTheme="minorEastAsia"/>
                <w:szCs w:val="21"/>
              </w:rPr>
              <w:t>贵金属投资</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r w:rsidRPr="00646A7D">
              <w:rPr>
                <w:rFonts w:eastAsiaTheme="minorEastAsia"/>
                <w:szCs w:val="21"/>
              </w:rPr>
              <w:t>5</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金融衍生品投资</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r w:rsidRPr="00646A7D">
              <w:rPr>
                <w:rFonts w:eastAsiaTheme="minorEastAsia"/>
                <w:color w:val="000000"/>
                <w:szCs w:val="21"/>
              </w:rPr>
              <w:t>6</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买入返售金融资产</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其中：买断式回购的买入返售金融资产</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r w:rsidRPr="00646A7D">
              <w:rPr>
                <w:rFonts w:eastAsiaTheme="minorEastAsia"/>
                <w:szCs w:val="21"/>
              </w:rPr>
              <w:t>7</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银行存款和结算备付金合计</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15,849,428.93</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5.11</w:t>
            </w:r>
          </w:p>
        </w:tc>
      </w:tr>
      <w:tr w:rsidR="00F25613" w:rsidRPr="00646A7D" w:rsidTr="00A47B26">
        <w:tc>
          <w:tcPr>
            <w:tcW w:w="1080" w:type="dxa"/>
            <w:vAlign w:val="center"/>
          </w:tcPr>
          <w:p w:rsidR="00F25613" w:rsidRPr="00646A7D" w:rsidRDefault="00F25613" w:rsidP="00F25613">
            <w:pPr>
              <w:spacing w:before="29" w:line="360" w:lineRule="auto"/>
              <w:ind w:left="17"/>
              <w:jc w:val="center"/>
              <w:rPr>
                <w:rFonts w:eastAsiaTheme="minorEastAsia"/>
                <w:color w:val="000000"/>
                <w:szCs w:val="21"/>
              </w:rPr>
            </w:pPr>
            <w:r w:rsidRPr="00646A7D">
              <w:rPr>
                <w:rFonts w:eastAsiaTheme="minorEastAsia"/>
                <w:color w:val="000000"/>
                <w:szCs w:val="21"/>
              </w:rPr>
              <w:t>8</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其他各项资产</w:t>
            </w:r>
          </w:p>
        </w:tc>
        <w:tc>
          <w:tcPr>
            <w:tcW w:w="252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544,648.73</w:t>
            </w:r>
          </w:p>
        </w:tc>
        <w:tc>
          <w:tcPr>
            <w:tcW w:w="198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0.18</w:t>
            </w:r>
          </w:p>
        </w:tc>
      </w:tr>
      <w:tr w:rsidR="00F25613" w:rsidRPr="00646A7D" w:rsidTr="00A47B26">
        <w:tc>
          <w:tcPr>
            <w:tcW w:w="1080" w:type="dxa"/>
            <w:vAlign w:val="center"/>
          </w:tcPr>
          <w:p w:rsidR="00F25613" w:rsidRPr="00646A7D" w:rsidRDefault="00F25613" w:rsidP="00F25613">
            <w:pPr>
              <w:spacing w:before="29" w:line="360" w:lineRule="auto"/>
              <w:ind w:left="17"/>
              <w:jc w:val="center"/>
              <w:rPr>
                <w:rFonts w:eastAsiaTheme="minorEastAsia"/>
                <w:color w:val="000000"/>
                <w:szCs w:val="21"/>
              </w:rPr>
            </w:pPr>
            <w:r w:rsidRPr="00646A7D">
              <w:rPr>
                <w:rFonts w:eastAsiaTheme="minorEastAsia"/>
                <w:color w:val="000000"/>
                <w:szCs w:val="21"/>
              </w:rPr>
              <w:t>9</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合计</w:t>
            </w:r>
          </w:p>
        </w:tc>
        <w:tc>
          <w:tcPr>
            <w:tcW w:w="252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309,979,572.48</w:t>
            </w:r>
          </w:p>
        </w:tc>
        <w:tc>
          <w:tcPr>
            <w:tcW w:w="198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100.00</w:t>
            </w:r>
          </w:p>
        </w:tc>
      </w:tr>
    </w:tbl>
    <w:p w:rsidR="001548F9" w:rsidRDefault="001548F9" w:rsidP="000E18D9">
      <w:pPr>
        <w:pStyle w:val="20"/>
        <w:spacing w:beforeLines="100" w:before="312" w:after="0"/>
        <w:rPr>
          <w:rFonts w:ascii="Times New Roman" w:eastAsiaTheme="minorEastAsia" w:hAnsi="Times New Roman"/>
          <w:kern w:val="0"/>
          <w:sz w:val="21"/>
          <w:szCs w:val="21"/>
        </w:rPr>
      </w:pPr>
      <w:bookmarkStart w:id="59" w:name="_Toc331410103"/>
      <w:bookmarkStart w:id="60" w:name="_Toc225498274"/>
      <w:r w:rsidRPr="00646A7D">
        <w:rPr>
          <w:rFonts w:ascii="Times New Roman" w:eastAsiaTheme="minorEastAsia" w:hAnsi="Times New Roman"/>
          <w:kern w:val="0"/>
          <w:sz w:val="21"/>
          <w:szCs w:val="21"/>
        </w:rPr>
        <w:t xml:space="preserve">7.2 </w:t>
      </w:r>
      <w:r w:rsidR="0058483C" w:rsidRPr="00606780">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9"/>
      <w:bookmarkEnd w:id="60"/>
    </w:p>
    <w:p w:rsidR="00A43A9D" w:rsidRPr="00A43A9D" w:rsidRDefault="00A43A9D" w:rsidP="00A43A9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代码</w:t>
            </w:r>
          </w:p>
        </w:tc>
        <w:tc>
          <w:tcPr>
            <w:tcW w:w="3600" w:type="dxa"/>
            <w:vAlign w:val="center"/>
          </w:tcPr>
          <w:p w:rsidR="001548F9" w:rsidRPr="00646A7D" w:rsidRDefault="001548F9" w:rsidP="00DB5F3B">
            <w:pPr>
              <w:rPr>
                <w:rFonts w:eastAsiaTheme="minorEastAsia"/>
                <w:color w:val="000000"/>
                <w:szCs w:val="21"/>
              </w:rPr>
            </w:pPr>
            <w:r w:rsidRPr="00646A7D">
              <w:rPr>
                <w:rFonts w:eastAsiaTheme="minorEastAsia"/>
                <w:color w:val="000000"/>
                <w:szCs w:val="21"/>
              </w:rPr>
              <w:t>行业类别</w:t>
            </w:r>
          </w:p>
        </w:tc>
        <w:tc>
          <w:tcPr>
            <w:tcW w:w="216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公允价值</w:t>
            </w:r>
            <w:r w:rsidR="0058483C">
              <w:rPr>
                <w:rFonts w:eastAsiaTheme="minorEastAsia" w:hint="eastAsia"/>
                <w:color w:val="000000"/>
                <w:szCs w:val="21"/>
              </w:rPr>
              <w:t>（元）</w:t>
            </w:r>
          </w:p>
        </w:tc>
        <w:tc>
          <w:tcPr>
            <w:tcW w:w="216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占基金资产净值比例（％）</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A</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农、林、牧、渔业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B</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采矿业</w:t>
            </w:r>
          </w:p>
        </w:tc>
        <w:tc>
          <w:tcPr>
            <w:tcW w:w="2160" w:type="dxa"/>
            <w:vAlign w:val="center"/>
          </w:tcPr>
          <w:p w:rsidR="001548F9" w:rsidRPr="00646A7D" w:rsidRDefault="001548F9" w:rsidP="007C0D9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7C0D9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C</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制造业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165,157.72</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0.05</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D</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电力、热力、燃气及水生产和供应业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E</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建筑业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F</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批发和零售业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G</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交通运输、仓储和邮政业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H</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住宿和餐饮业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I</w:t>
            </w:r>
          </w:p>
        </w:tc>
        <w:tc>
          <w:tcPr>
            <w:tcW w:w="3600" w:type="dxa"/>
            <w:vAlign w:val="center"/>
          </w:tcPr>
          <w:p w:rsidR="001548F9" w:rsidRPr="00646A7D" w:rsidRDefault="001548F9" w:rsidP="000356E3">
            <w:pPr>
              <w:adjustRightInd w:val="0"/>
              <w:snapToGrid w:val="0"/>
              <w:spacing w:line="400" w:lineRule="exact"/>
              <w:rPr>
                <w:rFonts w:eastAsiaTheme="minorEastAsia"/>
                <w:szCs w:val="21"/>
              </w:rPr>
            </w:pPr>
            <w:r w:rsidRPr="00646A7D">
              <w:rPr>
                <w:rFonts w:eastAsiaTheme="minorEastAsia"/>
                <w:szCs w:val="21"/>
              </w:rPr>
              <w:t>信息传输、软件和信息技术服务业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J</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金融业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K</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房地产业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L</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租赁和商务服务业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M</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科学研究和技术服务业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N</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水利、环境和公共设施管理业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O</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居民服务、修理和其他服务业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P</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教育</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Q</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卫生和社会工作</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R</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文化、体育和娱乐业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S</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综合</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p>
        </w:tc>
        <w:tc>
          <w:tcPr>
            <w:tcW w:w="3600" w:type="dxa"/>
            <w:vAlign w:val="center"/>
          </w:tcPr>
          <w:p w:rsidR="001548F9" w:rsidRPr="00646A7D" w:rsidRDefault="001548F9" w:rsidP="00DB5F3B">
            <w:pPr>
              <w:rPr>
                <w:rFonts w:eastAsiaTheme="minorEastAsia"/>
                <w:color w:val="000000"/>
                <w:szCs w:val="21"/>
              </w:rPr>
            </w:pPr>
            <w:r w:rsidRPr="00646A7D">
              <w:rPr>
                <w:rFonts w:eastAsiaTheme="minorEastAsia"/>
                <w:szCs w:val="21"/>
              </w:rPr>
              <w:t>合计</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165,157.72</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0.05</w:t>
            </w:r>
          </w:p>
        </w:tc>
      </w:tr>
    </w:tbl>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61" w:name="_Toc331410104"/>
      <w:r w:rsidRPr="00646A7D">
        <w:rPr>
          <w:rFonts w:ascii="Times New Roman" w:eastAsiaTheme="minorEastAsia" w:hAnsi="Times New Roman"/>
          <w:kern w:val="0"/>
          <w:sz w:val="21"/>
          <w:szCs w:val="21"/>
        </w:rPr>
        <w:t xml:space="preserve">7.3 </w:t>
      </w:r>
      <w:r w:rsidR="00867117" w:rsidRPr="00646A7D">
        <w:rPr>
          <w:rFonts w:ascii="Times New Roman" w:eastAsiaTheme="minorEastAsia" w:hAnsi="Times New Roman"/>
          <w:kern w:val="0"/>
          <w:sz w:val="21"/>
          <w:szCs w:val="21"/>
        </w:rPr>
        <w:t>期末按公允价值占基金资产净值比例大小排序的前十名</w:t>
      </w:r>
      <w:r w:rsidRPr="00646A7D">
        <w:rPr>
          <w:rFonts w:ascii="Times New Roman" w:eastAsiaTheme="minorEastAsia" w:hAnsi="Times New Roman"/>
          <w:kern w:val="0"/>
          <w:sz w:val="21"/>
          <w:szCs w:val="21"/>
        </w:rPr>
        <w:t>股票投资明细</w:t>
      </w:r>
      <w:bookmarkEnd w:id="61"/>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27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股票代码</w:t>
            </w:r>
          </w:p>
        </w:tc>
        <w:tc>
          <w:tcPr>
            <w:tcW w:w="1701"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股票名称</w:t>
            </w:r>
          </w:p>
        </w:tc>
        <w:tc>
          <w:tcPr>
            <w:tcW w:w="127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数量</w:t>
            </w:r>
            <w:r w:rsidRPr="00646A7D">
              <w:rPr>
                <w:rFonts w:eastAsiaTheme="minorEastAsia"/>
                <w:color w:val="000000"/>
                <w:szCs w:val="21"/>
              </w:rPr>
              <w:t>(</w:t>
            </w:r>
            <w:r w:rsidRPr="00646A7D">
              <w:rPr>
                <w:rFonts w:eastAsiaTheme="minorEastAsia"/>
                <w:color w:val="000000"/>
                <w:szCs w:val="21"/>
              </w:rPr>
              <w:t>股</w:t>
            </w:r>
            <w:r w:rsidRPr="00646A7D">
              <w:rPr>
                <w:rFonts w:eastAsiaTheme="minorEastAsia"/>
                <w:color w:val="000000"/>
                <w:szCs w:val="21"/>
              </w:rPr>
              <w:t>)</w:t>
            </w:r>
          </w:p>
        </w:tc>
        <w:tc>
          <w:tcPr>
            <w:tcW w:w="1842" w:type="dxa"/>
            <w:vAlign w:val="center"/>
          </w:tcPr>
          <w:p w:rsidR="001548F9" w:rsidRPr="00646A7D" w:rsidRDefault="001548F9" w:rsidP="0070173B">
            <w:pPr>
              <w:autoSpaceDE w:val="0"/>
              <w:autoSpaceDN w:val="0"/>
              <w:adjustRightInd w:val="0"/>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1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7951F4">
        <w:tc>
          <w:tcPr>
            <w:tcW w:w="817" w:type="dxa"/>
            <w:vAlign w:val="center"/>
          </w:tcPr>
          <w:p w:rsidR="007951F4" w:rsidRDefault="005757D9">
            <w:pPr>
              <w:jc w:val="center"/>
            </w:pPr>
            <w:r>
              <w:rPr>
                <w:rFonts w:eastAsiaTheme="minorEastAsia"/>
                <w:color w:val="000000"/>
                <w:szCs w:val="21"/>
              </w:rPr>
              <w:t>1</w:t>
            </w:r>
          </w:p>
        </w:tc>
        <w:tc>
          <w:tcPr>
            <w:tcW w:w="1276" w:type="dxa"/>
            <w:vAlign w:val="center"/>
          </w:tcPr>
          <w:p w:rsidR="007951F4" w:rsidRDefault="005757D9">
            <w:pPr>
              <w:jc w:val="center"/>
            </w:pPr>
            <w:r>
              <w:rPr>
                <w:rFonts w:eastAsiaTheme="minorEastAsia"/>
                <w:color w:val="000000"/>
                <w:szCs w:val="21"/>
              </w:rPr>
              <w:t>600485</w:t>
            </w:r>
          </w:p>
        </w:tc>
        <w:tc>
          <w:tcPr>
            <w:tcW w:w="1701" w:type="dxa"/>
            <w:vAlign w:val="center"/>
          </w:tcPr>
          <w:p w:rsidR="007951F4" w:rsidRDefault="005757D9">
            <w:pPr>
              <w:jc w:val="center"/>
            </w:pPr>
            <w:r>
              <w:rPr>
                <w:rFonts w:eastAsiaTheme="minorEastAsia"/>
                <w:color w:val="000000"/>
                <w:szCs w:val="21"/>
              </w:rPr>
              <w:t>*ST</w:t>
            </w:r>
            <w:r>
              <w:rPr>
                <w:rFonts w:eastAsiaTheme="minorEastAsia"/>
                <w:color w:val="000000"/>
                <w:szCs w:val="21"/>
              </w:rPr>
              <w:t>信威</w:t>
            </w:r>
          </w:p>
        </w:tc>
        <w:tc>
          <w:tcPr>
            <w:tcW w:w="1276" w:type="dxa"/>
            <w:vAlign w:val="center"/>
          </w:tcPr>
          <w:p w:rsidR="007951F4" w:rsidRDefault="005757D9">
            <w:pPr>
              <w:jc w:val="right"/>
            </w:pPr>
            <w:r>
              <w:rPr>
                <w:rFonts w:eastAsiaTheme="minorEastAsia"/>
                <w:color w:val="000000"/>
                <w:szCs w:val="21"/>
              </w:rPr>
              <w:t>26,299</w:t>
            </w:r>
          </w:p>
        </w:tc>
        <w:tc>
          <w:tcPr>
            <w:tcW w:w="1842" w:type="dxa"/>
            <w:vAlign w:val="center"/>
          </w:tcPr>
          <w:p w:rsidR="007951F4" w:rsidRDefault="005757D9">
            <w:pPr>
              <w:jc w:val="right"/>
            </w:pPr>
            <w:r>
              <w:rPr>
                <w:rFonts w:eastAsiaTheme="minorEastAsia"/>
                <w:color w:val="000000"/>
                <w:szCs w:val="21"/>
              </w:rPr>
              <w:t>165,157.72</w:t>
            </w:r>
          </w:p>
        </w:tc>
        <w:tc>
          <w:tcPr>
            <w:tcW w:w="1616" w:type="dxa"/>
            <w:vAlign w:val="center"/>
          </w:tcPr>
          <w:p w:rsidR="007951F4" w:rsidRDefault="005757D9">
            <w:pPr>
              <w:jc w:val="right"/>
            </w:pPr>
            <w:r>
              <w:rPr>
                <w:rFonts w:eastAsiaTheme="minorEastAsia"/>
                <w:color w:val="000000"/>
                <w:szCs w:val="21"/>
              </w:rPr>
              <w:t>0.05</w:t>
            </w:r>
          </w:p>
        </w:tc>
      </w:tr>
    </w:tbl>
    <w:p w:rsidR="0021533D" w:rsidRPr="00646A7D" w:rsidRDefault="0021533D" w:rsidP="000356E3">
      <w:pPr>
        <w:spacing w:line="360" w:lineRule="auto"/>
        <w:ind w:firstLineChars="200" w:firstLine="420"/>
        <w:rPr>
          <w:rFonts w:eastAsiaTheme="minorEastAsia"/>
        </w:rPr>
      </w:pPr>
      <w:r w:rsidRPr="00646A7D">
        <w:rPr>
          <w:rFonts w:eastAsiaTheme="minorEastAsia"/>
        </w:rPr>
        <w:t>注：投资者欲了解本报告期末基金投资的所有股票明细，应阅读登载于基金管理人网站的半年度报告正文。</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62" w:name="_Toc331410105"/>
      <w:r w:rsidRPr="00646A7D">
        <w:rPr>
          <w:rFonts w:ascii="Times New Roman" w:eastAsiaTheme="minorEastAsia" w:hAnsi="Times New Roman"/>
          <w:kern w:val="0"/>
          <w:sz w:val="21"/>
          <w:szCs w:val="21"/>
        </w:rPr>
        <w:t>7.4</w:t>
      </w:r>
      <w:bookmarkStart w:id="63" w:name="_Toc234814103"/>
      <w:r w:rsidRPr="00646A7D">
        <w:rPr>
          <w:rFonts w:ascii="Times New Roman" w:eastAsiaTheme="minorEastAsia" w:hAnsi="Times New Roman"/>
          <w:kern w:val="0"/>
          <w:sz w:val="21"/>
          <w:szCs w:val="21"/>
        </w:rPr>
        <w:t>报告期内股票投资组合的重大变动</w:t>
      </w:r>
      <w:bookmarkEnd w:id="62"/>
      <w:bookmarkEnd w:id="63"/>
    </w:p>
    <w:p w:rsidR="001548F9" w:rsidRPr="00646A7D" w:rsidRDefault="001548F9" w:rsidP="00431E19">
      <w:pPr>
        <w:spacing w:line="360" w:lineRule="auto"/>
        <w:rPr>
          <w:rFonts w:eastAsiaTheme="minorEastAsia"/>
          <w:b/>
          <w:bCs/>
          <w:color w:val="000000"/>
          <w:szCs w:val="21"/>
        </w:rPr>
      </w:pPr>
      <w:r w:rsidRPr="00646A7D">
        <w:rPr>
          <w:rFonts w:eastAsiaTheme="minorEastAsia"/>
          <w:b/>
          <w:color w:val="000000"/>
          <w:szCs w:val="21"/>
        </w:rPr>
        <w:t xml:space="preserve">7.4.1 </w:t>
      </w:r>
      <w:r w:rsidR="001D15E2" w:rsidRPr="00646A7D">
        <w:rPr>
          <w:rFonts w:eastAsiaTheme="minorEastAsia"/>
          <w:b/>
          <w:bCs/>
          <w:color w:val="000000"/>
          <w:szCs w:val="21"/>
        </w:rPr>
        <w:t>累计买入金额超出</w:t>
      </w:r>
      <w:r w:rsidR="001D15E2" w:rsidRPr="00646A7D">
        <w:rPr>
          <w:rFonts w:eastAsiaTheme="minorEastAsia"/>
          <w:b/>
          <w:color w:val="000000"/>
          <w:kern w:val="0"/>
          <w:szCs w:val="21"/>
        </w:rPr>
        <w:t>期初</w:t>
      </w:r>
      <w:r w:rsidRPr="00646A7D">
        <w:rPr>
          <w:rFonts w:eastAsiaTheme="minorEastAsia"/>
          <w:b/>
          <w:bCs/>
          <w:color w:val="000000"/>
          <w:szCs w:val="21"/>
        </w:rPr>
        <w:t>基金资产净值</w:t>
      </w:r>
      <w:r w:rsidR="00AD1469"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646A7D" w:rsidTr="0070173B">
        <w:tc>
          <w:tcPr>
            <w:tcW w:w="8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序号</w:t>
            </w:r>
          </w:p>
        </w:tc>
        <w:tc>
          <w:tcPr>
            <w:tcW w:w="165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股票代码</w:t>
            </w:r>
          </w:p>
        </w:tc>
        <w:tc>
          <w:tcPr>
            <w:tcW w:w="19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股票名称</w:t>
            </w:r>
          </w:p>
        </w:tc>
        <w:tc>
          <w:tcPr>
            <w:tcW w:w="28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本期累计买入金额</w:t>
            </w:r>
          </w:p>
        </w:tc>
        <w:tc>
          <w:tcPr>
            <w:tcW w:w="162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占期初基金资产净值比例（％）</w:t>
            </w:r>
          </w:p>
        </w:tc>
      </w:tr>
      <w:tr w:rsidR="007951F4">
        <w:tc>
          <w:tcPr>
            <w:tcW w:w="870" w:type="dxa"/>
            <w:vAlign w:val="center"/>
          </w:tcPr>
          <w:p w:rsidR="007951F4" w:rsidRDefault="005757D9">
            <w:pPr>
              <w:jc w:val="center"/>
            </w:pPr>
            <w:r>
              <w:rPr>
                <w:rFonts w:eastAsiaTheme="minorEastAsia"/>
                <w:szCs w:val="21"/>
              </w:rPr>
              <w:t>1</w:t>
            </w:r>
          </w:p>
        </w:tc>
        <w:tc>
          <w:tcPr>
            <w:tcW w:w="1650" w:type="dxa"/>
            <w:vAlign w:val="center"/>
          </w:tcPr>
          <w:p w:rsidR="007951F4" w:rsidRDefault="005757D9">
            <w:pPr>
              <w:jc w:val="center"/>
            </w:pPr>
            <w:r>
              <w:rPr>
                <w:rFonts w:eastAsiaTheme="minorEastAsia"/>
                <w:szCs w:val="21"/>
              </w:rPr>
              <w:t>601318</w:t>
            </w:r>
          </w:p>
        </w:tc>
        <w:tc>
          <w:tcPr>
            <w:tcW w:w="1980" w:type="dxa"/>
            <w:vAlign w:val="center"/>
          </w:tcPr>
          <w:p w:rsidR="007951F4" w:rsidRDefault="005757D9">
            <w:pPr>
              <w:jc w:val="center"/>
            </w:pPr>
            <w:r>
              <w:rPr>
                <w:rFonts w:eastAsiaTheme="minorEastAsia"/>
                <w:szCs w:val="21"/>
              </w:rPr>
              <w:t>中国平安</w:t>
            </w:r>
          </w:p>
        </w:tc>
        <w:tc>
          <w:tcPr>
            <w:tcW w:w="2880" w:type="dxa"/>
            <w:vAlign w:val="center"/>
          </w:tcPr>
          <w:p w:rsidR="007951F4" w:rsidRDefault="005757D9">
            <w:pPr>
              <w:jc w:val="right"/>
            </w:pPr>
            <w:r>
              <w:rPr>
                <w:rFonts w:eastAsiaTheme="minorEastAsia"/>
                <w:szCs w:val="21"/>
              </w:rPr>
              <w:t>351,868.00</w:t>
            </w:r>
          </w:p>
        </w:tc>
        <w:tc>
          <w:tcPr>
            <w:tcW w:w="1620" w:type="dxa"/>
            <w:vAlign w:val="center"/>
          </w:tcPr>
          <w:p w:rsidR="007951F4" w:rsidRDefault="005757D9">
            <w:pPr>
              <w:jc w:val="right"/>
            </w:pPr>
            <w:r>
              <w:rPr>
                <w:rFonts w:eastAsiaTheme="minorEastAsia"/>
                <w:szCs w:val="21"/>
              </w:rPr>
              <w:t>0.13</w:t>
            </w:r>
          </w:p>
        </w:tc>
      </w:tr>
      <w:tr w:rsidR="007951F4">
        <w:tc>
          <w:tcPr>
            <w:tcW w:w="870" w:type="dxa"/>
            <w:vAlign w:val="center"/>
          </w:tcPr>
          <w:p w:rsidR="007951F4" w:rsidRDefault="005757D9">
            <w:pPr>
              <w:jc w:val="center"/>
            </w:pPr>
            <w:r>
              <w:rPr>
                <w:rFonts w:eastAsiaTheme="minorEastAsia"/>
                <w:szCs w:val="21"/>
              </w:rPr>
              <w:t>2</w:t>
            </w:r>
          </w:p>
        </w:tc>
        <w:tc>
          <w:tcPr>
            <w:tcW w:w="1650" w:type="dxa"/>
            <w:vAlign w:val="center"/>
          </w:tcPr>
          <w:p w:rsidR="007951F4" w:rsidRDefault="005757D9">
            <w:pPr>
              <w:jc w:val="center"/>
            </w:pPr>
            <w:r>
              <w:rPr>
                <w:rFonts w:eastAsiaTheme="minorEastAsia"/>
                <w:szCs w:val="21"/>
              </w:rPr>
              <w:t>600519</w:t>
            </w:r>
          </w:p>
        </w:tc>
        <w:tc>
          <w:tcPr>
            <w:tcW w:w="1980" w:type="dxa"/>
            <w:vAlign w:val="center"/>
          </w:tcPr>
          <w:p w:rsidR="007951F4" w:rsidRDefault="005757D9">
            <w:pPr>
              <w:jc w:val="center"/>
            </w:pPr>
            <w:r>
              <w:rPr>
                <w:rFonts w:eastAsiaTheme="minorEastAsia"/>
                <w:szCs w:val="21"/>
              </w:rPr>
              <w:t>贵州茅台</w:t>
            </w:r>
          </w:p>
        </w:tc>
        <w:tc>
          <w:tcPr>
            <w:tcW w:w="2880" w:type="dxa"/>
            <w:vAlign w:val="center"/>
          </w:tcPr>
          <w:p w:rsidR="007951F4" w:rsidRDefault="005757D9">
            <w:pPr>
              <w:jc w:val="right"/>
            </w:pPr>
            <w:r>
              <w:rPr>
                <w:rFonts w:eastAsiaTheme="minorEastAsia"/>
                <w:szCs w:val="21"/>
              </w:rPr>
              <w:t>179,160.00</w:t>
            </w:r>
          </w:p>
        </w:tc>
        <w:tc>
          <w:tcPr>
            <w:tcW w:w="1620" w:type="dxa"/>
            <w:vAlign w:val="center"/>
          </w:tcPr>
          <w:p w:rsidR="007951F4" w:rsidRDefault="005757D9">
            <w:pPr>
              <w:jc w:val="right"/>
            </w:pPr>
            <w:r>
              <w:rPr>
                <w:rFonts w:eastAsiaTheme="minorEastAsia"/>
                <w:szCs w:val="21"/>
              </w:rPr>
              <w:t>0.07</w:t>
            </w:r>
          </w:p>
        </w:tc>
      </w:tr>
      <w:tr w:rsidR="007951F4">
        <w:tc>
          <w:tcPr>
            <w:tcW w:w="870" w:type="dxa"/>
            <w:vAlign w:val="center"/>
          </w:tcPr>
          <w:p w:rsidR="007951F4" w:rsidRDefault="005757D9">
            <w:pPr>
              <w:jc w:val="center"/>
            </w:pPr>
            <w:r>
              <w:rPr>
                <w:rFonts w:eastAsiaTheme="minorEastAsia"/>
                <w:szCs w:val="21"/>
              </w:rPr>
              <w:t>3</w:t>
            </w:r>
          </w:p>
        </w:tc>
        <w:tc>
          <w:tcPr>
            <w:tcW w:w="1650" w:type="dxa"/>
            <w:vAlign w:val="center"/>
          </w:tcPr>
          <w:p w:rsidR="007951F4" w:rsidRDefault="005757D9">
            <w:pPr>
              <w:jc w:val="center"/>
            </w:pPr>
            <w:r>
              <w:rPr>
                <w:rFonts w:eastAsiaTheme="minorEastAsia"/>
                <w:szCs w:val="21"/>
              </w:rPr>
              <w:t>600036</w:t>
            </w:r>
          </w:p>
        </w:tc>
        <w:tc>
          <w:tcPr>
            <w:tcW w:w="1980" w:type="dxa"/>
            <w:vAlign w:val="center"/>
          </w:tcPr>
          <w:p w:rsidR="007951F4" w:rsidRDefault="005757D9">
            <w:pPr>
              <w:jc w:val="center"/>
            </w:pPr>
            <w:r>
              <w:rPr>
                <w:rFonts w:eastAsiaTheme="minorEastAsia"/>
                <w:szCs w:val="21"/>
              </w:rPr>
              <w:t>招商银行</w:t>
            </w:r>
          </w:p>
        </w:tc>
        <w:tc>
          <w:tcPr>
            <w:tcW w:w="2880" w:type="dxa"/>
            <w:vAlign w:val="center"/>
          </w:tcPr>
          <w:p w:rsidR="007951F4" w:rsidRDefault="005757D9">
            <w:pPr>
              <w:jc w:val="right"/>
            </w:pPr>
            <w:r>
              <w:rPr>
                <w:rFonts w:eastAsiaTheme="minorEastAsia"/>
                <w:szCs w:val="21"/>
              </w:rPr>
              <w:t>139,198.00</w:t>
            </w:r>
          </w:p>
        </w:tc>
        <w:tc>
          <w:tcPr>
            <w:tcW w:w="1620" w:type="dxa"/>
            <w:vAlign w:val="center"/>
          </w:tcPr>
          <w:p w:rsidR="007951F4" w:rsidRDefault="005757D9">
            <w:pPr>
              <w:jc w:val="right"/>
            </w:pPr>
            <w:r>
              <w:rPr>
                <w:rFonts w:eastAsiaTheme="minorEastAsia"/>
                <w:szCs w:val="21"/>
              </w:rPr>
              <w:t>0.05</w:t>
            </w:r>
          </w:p>
        </w:tc>
      </w:tr>
      <w:tr w:rsidR="007951F4">
        <w:tc>
          <w:tcPr>
            <w:tcW w:w="870" w:type="dxa"/>
            <w:vAlign w:val="center"/>
          </w:tcPr>
          <w:p w:rsidR="007951F4" w:rsidRDefault="005757D9">
            <w:pPr>
              <w:jc w:val="center"/>
            </w:pPr>
            <w:r>
              <w:rPr>
                <w:rFonts w:eastAsiaTheme="minorEastAsia"/>
                <w:szCs w:val="21"/>
              </w:rPr>
              <w:t>4</w:t>
            </w:r>
          </w:p>
        </w:tc>
        <w:tc>
          <w:tcPr>
            <w:tcW w:w="1650" w:type="dxa"/>
            <w:vAlign w:val="center"/>
          </w:tcPr>
          <w:p w:rsidR="007951F4" w:rsidRDefault="005757D9">
            <w:pPr>
              <w:jc w:val="center"/>
            </w:pPr>
            <w:r>
              <w:rPr>
                <w:rFonts w:eastAsiaTheme="minorEastAsia"/>
                <w:szCs w:val="21"/>
              </w:rPr>
              <w:t>601166</w:t>
            </w:r>
          </w:p>
        </w:tc>
        <w:tc>
          <w:tcPr>
            <w:tcW w:w="1980" w:type="dxa"/>
            <w:vAlign w:val="center"/>
          </w:tcPr>
          <w:p w:rsidR="007951F4" w:rsidRDefault="005757D9">
            <w:pPr>
              <w:jc w:val="center"/>
            </w:pPr>
            <w:r>
              <w:rPr>
                <w:rFonts w:eastAsiaTheme="minorEastAsia"/>
                <w:szCs w:val="21"/>
              </w:rPr>
              <w:t>兴业银行</w:t>
            </w:r>
          </w:p>
        </w:tc>
        <w:tc>
          <w:tcPr>
            <w:tcW w:w="2880" w:type="dxa"/>
            <w:vAlign w:val="center"/>
          </w:tcPr>
          <w:p w:rsidR="007951F4" w:rsidRDefault="005757D9">
            <w:pPr>
              <w:jc w:val="right"/>
            </w:pPr>
            <w:r>
              <w:rPr>
                <w:rFonts w:eastAsiaTheme="minorEastAsia"/>
                <w:szCs w:val="21"/>
              </w:rPr>
              <w:t>98,898.00</w:t>
            </w:r>
          </w:p>
        </w:tc>
        <w:tc>
          <w:tcPr>
            <w:tcW w:w="1620" w:type="dxa"/>
            <w:vAlign w:val="center"/>
          </w:tcPr>
          <w:p w:rsidR="007951F4" w:rsidRDefault="005757D9">
            <w:pPr>
              <w:jc w:val="right"/>
            </w:pPr>
            <w:r>
              <w:rPr>
                <w:rFonts w:eastAsiaTheme="minorEastAsia"/>
                <w:szCs w:val="21"/>
              </w:rPr>
              <w:t>0.04</w:t>
            </w:r>
          </w:p>
        </w:tc>
      </w:tr>
      <w:tr w:rsidR="007951F4">
        <w:tc>
          <w:tcPr>
            <w:tcW w:w="870" w:type="dxa"/>
            <w:vAlign w:val="center"/>
          </w:tcPr>
          <w:p w:rsidR="007951F4" w:rsidRDefault="005757D9">
            <w:pPr>
              <w:jc w:val="center"/>
            </w:pPr>
            <w:r>
              <w:rPr>
                <w:rFonts w:eastAsiaTheme="minorEastAsia"/>
                <w:szCs w:val="21"/>
              </w:rPr>
              <w:t>5</w:t>
            </w:r>
          </w:p>
        </w:tc>
        <w:tc>
          <w:tcPr>
            <w:tcW w:w="1650" w:type="dxa"/>
            <w:vAlign w:val="center"/>
          </w:tcPr>
          <w:p w:rsidR="007951F4" w:rsidRDefault="005757D9">
            <w:pPr>
              <w:jc w:val="center"/>
            </w:pPr>
            <w:r>
              <w:rPr>
                <w:rFonts w:eastAsiaTheme="minorEastAsia"/>
                <w:szCs w:val="21"/>
              </w:rPr>
              <w:t>600887</w:t>
            </w:r>
          </w:p>
        </w:tc>
        <w:tc>
          <w:tcPr>
            <w:tcW w:w="1980" w:type="dxa"/>
            <w:vAlign w:val="center"/>
          </w:tcPr>
          <w:p w:rsidR="007951F4" w:rsidRDefault="005757D9">
            <w:pPr>
              <w:jc w:val="center"/>
            </w:pPr>
            <w:r>
              <w:rPr>
                <w:rFonts w:eastAsiaTheme="minorEastAsia"/>
                <w:szCs w:val="21"/>
              </w:rPr>
              <w:t>伊利股份</w:t>
            </w:r>
          </w:p>
        </w:tc>
        <w:tc>
          <w:tcPr>
            <w:tcW w:w="2880" w:type="dxa"/>
            <w:vAlign w:val="center"/>
          </w:tcPr>
          <w:p w:rsidR="007951F4" w:rsidRDefault="005757D9">
            <w:pPr>
              <w:jc w:val="right"/>
            </w:pPr>
            <w:r>
              <w:rPr>
                <w:rFonts w:eastAsiaTheme="minorEastAsia"/>
                <w:szCs w:val="21"/>
              </w:rPr>
              <w:t>77,272.00</w:t>
            </w:r>
          </w:p>
        </w:tc>
        <w:tc>
          <w:tcPr>
            <w:tcW w:w="1620" w:type="dxa"/>
            <w:vAlign w:val="center"/>
          </w:tcPr>
          <w:p w:rsidR="007951F4" w:rsidRDefault="005757D9">
            <w:pPr>
              <w:jc w:val="right"/>
            </w:pPr>
            <w:r>
              <w:rPr>
                <w:rFonts w:eastAsiaTheme="minorEastAsia"/>
                <w:szCs w:val="21"/>
              </w:rPr>
              <w:t>0.03</w:t>
            </w:r>
          </w:p>
        </w:tc>
      </w:tr>
      <w:tr w:rsidR="007951F4">
        <w:tc>
          <w:tcPr>
            <w:tcW w:w="870" w:type="dxa"/>
            <w:vAlign w:val="center"/>
          </w:tcPr>
          <w:p w:rsidR="007951F4" w:rsidRDefault="005757D9">
            <w:pPr>
              <w:jc w:val="center"/>
            </w:pPr>
            <w:r>
              <w:rPr>
                <w:rFonts w:eastAsiaTheme="minorEastAsia"/>
                <w:szCs w:val="21"/>
              </w:rPr>
              <w:t>6</w:t>
            </w:r>
          </w:p>
        </w:tc>
        <w:tc>
          <w:tcPr>
            <w:tcW w:w="1650" w:type="dxa"/>
            <w:vAlign w:val="center"/>
          </w:tcPr>
          <w:p w:rsidR="007951F4" w:rsidRDefault="005757D9">
            <w:pPr>
              <w:jc w:val="center"/>
            </w:pPr>
            <w:r>
              <w:rPr>
                <w:rFonts w:eastAsiaTheme="minorEastAsia"/>
                <w:szCs w:val="21"/>
              </w:rPr>
              <w:t>600276</w:t>
            </w:r>
          </w:p>
        </w:tc>
        <w:tc>
          <w:tcPr>
            <w:tcW w:w="1980" w:type="dxa"/>
            <w:vAlign w:val="center"/>
          </w:tcPr>
          <w:p w:rsidR="007951F4" w:rsidRDefault="005757D9">
            <w:pPr>
              <w:jc w:val="center"/>
            </w:pPr>
            <w:r>
              <w:rPr>
                <w:rFonts w:eastAsiaTheme="minorEastAsia"/>
                <w:szCs w:val="21"/>
              </w:rPr>
              <w:t>恒瑞医药</w:t>
            </w:r>
          </w:p>
        </w:tc>
        <w:tc>
          <w:tcPr>
            <w:tcW w:w="2880" w:type="dxa"/>
            <w:vAlign w:val="center"/>
          </w:tcPr>
          <w:p w:rsidR="007951F4" w:rsidRDefault="005757D9">
            <w:pPr>
              <w:jc w:val="right"/>
            </w:pPr>
            <w:r>
              <w:rPr>
                <w:rFonts w:eastAsiaTheme="minorEastAsia"/>
                <w:szCs w:val="21"/>
              </w:rPr>
              <w:t>76,044.00</w:t>
            </w:r>
          </w:p>
        </w:tc>
        <w:tc>
          <w:tcPr>
            <w:tcW w:w="1620" w:type="dxa"/>
            <w:vAlign w:val="center"/>
          </w:tcPr>
          <w:p w:rsidR="007951F4" w:rsidRDefault="005757D9">
            <w:pPr>
              <w:jc w:val="right"/>
            </w:pPr>
            <w:r>
              <w:rPr>
                <w:rFonts w:eastAsiaTheme="minorEastAsia"/>
                <w:szCs w:val="21"/>
              </w:rPr>
              <w:t>0.03</w:t>
            </w:r>
          </w:p>
        </w:tc>
      </w:tr>
      <w:tr w:rsidR="007951F4">
        <w:tc>
          <w:tcPr>
            <w:tcW w:w="870" w:type="dxa"/>
            <w:vAlign w:val="center"/>
          </w:tcPr>
          <w:p w:rsidR="007951F4" w:rsidRDefault="005757D9">
            <w:pPr>
              <w:jc w:val="center"/>
            </w:pPr>
            <w:r>
              <w:rPr>
                <w:rFonts w:eastAsiaTheme="minorEastAsia"/>
                <w:szCs w:val="21"/>
              </w:rPr>
              <w:t>7</w:t>
            </w:r>
          </w:p>
        </w:tc>
        <w:tc>
          <w:tcPr>
            <w:tcW w:w="1650" w:type="dxa"/>
            <w:vAlign w:val="center"/>
          </w:tcPr>
          <w:p w:rsidR="007951F4" w:rsidRDefault="005757D9">
            <w:pPr>
              <w:jc w:val="center"/>
            </w:pPr>
            <w:r>
              <w:rPr>
                <w:rFonts w:eastAsiaTheme="minorEastAsia"/>
                <w:szCs w:val="21"/>
              </w:rPr>
              <w:t>601328</w:t>
            </w:r>
          </w:p>
        </w:tc>
        <w:tc>
          <w:tcPr>
            <w:tcW w:w="1980" w:type="dxa"/>
            <w:vAlign w:val="center"/>
          </w:tcPr>
          <w:p w:rsidR="007951F4" w:rsidRDefault="005757D9">
            <w:pPr>
              <w:jc w:val="center"/>
            </w:pPr>
            <w:r>
              <w:rPr>
                <w:rFonts w:eastAsiaTheme="minorEastAsia"/>
                <w:szCs w:val="21"/>
              </w:rPr>
              <w:t>交通银行</w:t>
            </w:r>
          </w:p>
        </w:tc>
        <w:tc>
          <w:tcPr>
            <w:tcW w:w="2880" w:type="dxa"/>
            <w:vAlign w:val="center"/>
          </w:tcPr>
          <w:p w:rsidR="007951F4" w:rsidRDefault="005757D9">
            <w:pPr>
              <w:jc w:val="right"/>
            </w:pPr>
            <w:r>
              <w:rPr>
                <w:rFonts w:eastAsiaTheme="minorEastAsia"/>
                <w:szCs w:val="21"/>
              </w:rPr>
              <w:t>69,148.00</w:t>
            </w:r>
          </w:p>
        </w:tc>
        <w:tc>
          <w:tcPr>
            <w:tcW w:w="1620" w:type="dxa"/>
            <w:vAlign w:val="center"/>
          </w:tcPr>
          <w:p w:rsidR="007951F4" w:rsidRDefault="005757D9">
            <w:pPr>
              <w:jc w:val="right"/>
            </w:pPr>
            <w:r>
              <w:rPr>
                <w:rFonts w:eastAsiaTheme="minorEastAsia"/>
                <w:szCs w:val="21"/>
              </w:rPr>
              <w:t>0.03</w:t>
            </w:r>
          </w:p>
        </w:tc>
      </w:tr>
      <w:tr w:rsidR="007951F4">
        <w:tc>
          <w:tcPr>
            <w:tcW w:w="870" w:type="dxa"/>
            <w:vAlign w:val="center"/>
          </w:tcPr>
          <w:p w:rsidR="007951F4" w:rsidRDefault="005757D9">
            <w:pPr>
              <w:jc w:val="center"/>
            </w:pPr>
            <w:r>
              <w:rPr>
                <w:rFonts w:eastAsiaTheme="minorEastAsia"/>
                <w:szCs w:val="21"/>
              </w:rPr>
              <w:t>8</w:t>
            </w:r>
          </w:p>
        </w:tc>
        <w:tc>
          <w:tcPr>
            <w:tcW w:w="1650" w:type="dxa"/>
            <w:vAlign w:val="center"/>
          </w:tcPr>
          <w:p w:rsidR="007951F4" w:rsidRDefault="005757D9">
            <w:pPr>
              <w:jc w:val="center"/>
            </w:pPr>
            <w:r>
              <w:rPr>
                <w:rFonts w:eastAsiaTheme="minorEastAsia"/>
                <w:szCs w:val="21"/>
              </w:rPr>
              <w:t>600030</w:t>
            </w:r>
          </w:p>
        </w:tc>
        <w:tc>
          <w:tcPr>
            <w:tcW w:w="1980" w:type="dxa"/>
            <w:vAlign w:val="center"/>
          </w:tcPr>
          <w:p w:rsidR="007951F4" w:rsidRDefault="005757D9">
            <w:pPr>
              <w:jc w:val="center"/>
            </w:pPr>
            <w:r>
              <w:rPr>
                <w:rFonts w:eastAsiaTheme="minorEastAsia"/>
                <w:szCs w:val="21"/>
              </w:rPr>
              <w:t>中信证券</w:t>
            </w:r>
          </w:p>
        </w:tc>
        <w:tc>
          <w:tcPr>
            <w:tcW w:w="2880" w:type="dxa"/>
            <w:vAlign w:val="center"/>
          </w:tcPr>
          <w:p w:rsidR="007951F4" w:rsidRDefault="005757D9">
            <w:pPr>
              <w:jc w:val="right"/>
            </w:pPr>
            <w:r>
              <w:rPr>
                <w:rFonts w:eastAsiaTheme="minorEastAsia"/>
                <w:szCs w:val="21"/>
              </w:rPr>
              <w:t>67,156.00</w:t>
            </w:r>
          </w:p>
        </w:tc>
        <w:tc>
          <w:tcPr>
            <w:tcW w:w="1620" w:type="dxa"/>
            <w:vAlign w:val="center"/>
          </w:tcPr>
          <w:p w:rsidR="007951F4" w:rsidRDefault="005757D9">
            <w:pPr>
              <w:jc w:val="right"/>
            </w:pPr>
            <w:r>
              <w:rPr>
                <w:rFonts w:eastAsiaTheme="minorEastAsia"/>
                <w:szCs w:val="21"/>
              </w:rPr>
              <w:t>0.02</w:t>
            </w:r>
          </w:p>
        </w:tc>
      </w:tr>
      <w:tr w:rsidR="007951F4">
        <w:tc>
          <w:tcPr>
            <w:tcW w:w="870" w:type="dxa"/>
            <w:vAlign w:val="center"/>
          </w:tcPr>
          <w:p w:rsidR="007951F4" w:rsidRDefault="005757D9">
            <w:pPr>
              <w:jc w:val="center"/>
            </w:pPr>
            <w:r>
              <w:rPr>
                <w:rFonts w:eastAsiaTheme="minorEastAsia"/>
                <w:szCs w:val="21"/>
              </w:rPr>
              <w:t>9</w:t>
            </w:r>
          </w:p>
        </w:tc>
        <w:tc>
          <w:tcPr>
            <w:tcW w:w="1650" w:type="dxa"/>
            <w:vAlign w:val="center"/>
          </w:tcPr>
          <w:p w:rsidR="007951F4" w:rsidRDefault="005757D9">
            <w:pPr>
              <w:jc w:val="center"/>
            </w:pPr>
            <w:r>
              <w:rPr>
                <w:rFonts w:eastAsiaTheme="minorEastAsia"/>
                <w:szCs w:val="21"/>
              </w:rPr>
              <w:t>600016</w:t>
            </w:r>
          </w:p>
        </w:tc>
        <w:tc>
          <w:tcPr>
            <w:tcW w:w="1980" w:type="dxa"/>
            <w:vAlign w:val="center"/>
          </w:tcPr>
          <w:p w:rsidR="007951F4" w:rsidRDefault="005757D9">
            <w:pPr>
              <w:jc w:val="center"/>
            </w:pPr>
            <w:r>
              <w:rPr>
                <w:rFonts w:eastAsiaTheme="minorEastAsia"/>
                <w:szCs w:val="21"/>
              </w:rPr>
              <w:t>民生银行</w:t>
            </w:r>
          </w:p>
        </w:tc>
        <w:tc>
          <w:tcPr>
            <w:tcW w:w="2880" w:type="dxa"/>
            <w:vAlign w:val="center"/>
          </w:tcPr>
          <w:p w:rsidR="007951F4" w:rsidRDefault="005757D9">
            <w:pPr>
              <w:jc w:val="right"/>
            </w:pPr>
            <w:r>
              <w:rPr>
                <w:rFonts w:eastAsiaTheme="minorEastAsia"/>
                <w:szCs w:val="21"/>
              </w:rPr>
              <w:t>64,896.00</w:t>
            </w:r>
          </w:p>
        </w:tc>
        <w:tc>
          <w:tcPr>
            <w:tcW w:w="1620" w:type="dxa"/>
            <w:vAlign w:val="center"/>
          </w:tcPr>
          <w:p w:rsidR="007951F4" w:rsidRDefault="005757D9">
            <w:pPr>
              <w:jc w:val="right"/>
            </w:pPr>
            <w:r>
              <w:rPr>
                <w:rFonts w:eastAsiaTheme="minorEastAsia"/>
                <w:szCs w:val="21"/>
              </w:rPr>
              <w:t>0.02</w:t>
            </w:r>
          </w:p>
        </w:tc>
      </w:tr>
      <w:tr w:rsidR="007951F4">
        <w:tc>
          <w:tcPr>
            <w:tcW w:w="870" w:type="dxa"/>
            <w:vAlign w:val="center"/>
          </w:tcPr>
          <w:p w:rsidR="007951F4" w:rsidRDefault="005757D9">
            <w:pPr>
              <w:jc w:val="center"/>
            </w:pPr>
            <w:r>
              <w:rPr>
                <w:rFonts w:eastAsiaTheme="minorEastAsia"/>
                <w:szCs w:val="21"/>
              </w:rPr>
              <w:t>10</w:t>
            </w:r>
          </w:p>
        </w:tc>
        <w:tc>
          <w:tcPr>
            <w:tcW w:w="1650" w:type="dxa"/>
            <w:vAlign w:val="center"/>
          </w:tcPr>
          <w:p w:rsidR="007951F4" w:rsidRDefault="005757D9">
            <w:pPr>
              <w:jc w:val="center"/>
            </w:pPr>
            <w:r>
              <w:rPr>
                <w:rFonts w:eastAsiaTheme="minorEastAsia"/>
                <w:szCs w:val="21"/>
              </w:rPr>
              <w:t>601288</w:t>
            </w:r>
          </w:p>
        </w:tc>
        <w:tc>
          <w:tcPr>
            <w:tcW w:w="1980" w:type="dxa"/>
            <w:vAlign w:val="center"/>
          </w:tcPr>
          <w:p w:rsidR="007951F4" w:rsidRDefault="005757D9">
            <w:pPr>
              <w:jc w:val="center"/>
            </w:pPr>
            <w:r>
              <w:rPr>
                <w:rFonts w:eastAsiaTheme="minorEastAsia"/>
                <w:szCs w:val="21"/>
              </w:rPr>
              <w:t>农业银行</w:t>
            </w:r>
          </w:p>
        </w:tc>
        <w:tc>
          <w:tcPr>
            <w:tcW w:w="2880" w:type="dxa"/>
            <w:vAlign w:val="center"/>
          </w:tcPr>
          <w:p w:rsidR="007951F4" w:rsidRDefault="005757D9">
            <w:pPr>
              <w:jc w:val="right"/>
            </w:pPr>
            <w:r>
              <w:rPr>
                <w:rFonts w:eastAsiaTheme="minorEastAsia"/>
                <w:szCs w:val="21"/>
              </w:rPr>
              <w:t>58,400.00</w:t>
            </w:r>
          </w:p>
        </w:tc>
        <w:tc>
          <w:tcPr>
            <w:tcW w:w="1620" w:type="dxa"/>
            <w:vAlign w:val="center"/>
          </w:tcPr>
          <w:p w:rsidR="007951F4" w:rsidRDefault="005757D9">
            <w:pPr>
              <w:jc w:val="right"/>
            </w:pPr>
            <w:r>
              <w:rPr>
                <w:rFonts w:eastAsiaTheme="minorEastAsia"/>
                <w:szCs w:val="21"/>
              </w:rPr>
              <w:t>0.02</w:t>
            </w:r>
          </w:p>
        </w:tc>
      </w:tr>
      <w:tr w:rsidR="007951F4">
        <w:tc>
          <w:tcPr>
            <w:tcW w:w="870" w:type="dxa"/>
            <w:vAlign w:val="center"/>
          </w:tcPr>
          <w:p w:rsidR="007951F4" w:rsidRDefault="005757D9">
            <w:pPr>
              <w:jc w:val="center"/>
            </w:pPr>
            <w:r>
              <w:rPr>
                <w:rFonts w:eastAsiaTheme="minorEastAsia"/>
                <w:szCs w:val="21"/>
              </w:rPr>
              <w:t>11</w:t>
            </w:r>
          </w:p>
        </w:tc>
        <w:tc>
          <w:tcPr>
            <w:tcW w:w="1650" w:type="dxa"/>
            <w:vAlign w:val="center"/>
          </w:tcPr>
          <w:p w:rsidR="007951F4" w:rsidRDefault="005757D9">
            <w:pPr>
              <w:jc w:val="center"/>
            </w:pPr>
            <w:r>
              <w:rPr>
                <w:rFonts w:eastAsiaTheme="minorEastAsia"/>
                <w:szCs w:val="21"/>
              </w:rPr>
              <w:t>600000</w:t>
            </w:r>
          </w:p>
        </w:tc>
        <w:tc>
          <w:tcPr>
            <w:tcW w:w="1980" w:type="dxa"/>
            <w:vAlign w:val="center"/>
          </w:tcPr>
          <w:p w:rsidR="007951F4" w:rsidRDefault="005757D9">
            <w:pPr>
              <w:jc w:val="center"/>
            </w:pPr>
            <w:r>
              <w:rPr>
                <w:rFonts w:eastAsiaTheme="minorEastAsia"/>
                <w:szCs w:val="21"/>
              </w:rPr>
              <w:t>浦发银行</w:t>
            </w:r>
          </w:p>
        </w:tc>
        <w:tc>
          <w:tcPr>
            <w:tcW w:w="2880" w:type="dxa"/>
            <w:vAlign w:val="center"/>
          </w:tcPr>
          <w:p w:rsidR="007951F4" w:rsidRDefault="005757D9">
            <w:pPr>
              <w:jc w:val="right"/>
            </w:pPr>
            <w:r>
              <w:rPr>
                <w:rFonts w:eastAsiaTheme="minorEastAsia"/>
                <w:szCs w:val="21"/>
              </w:rPr>
              <w:t>56,381.35</w:t>
            </w:r>
          </w:p>
        </w:tc>
        <w:tc>
          <w:tcPr>
            <w:tcW w:w="1620" w:type="dxa"/>
            <w:vAlign w:val="center"/>
          </w:tcPr>
          <w:p w:rsidR="007951F4" w:rsidRDefault="005757D9">
            <w:pPr>
              <w:jc w:val="right"/>
            </w:pPr>
            <w:r>
              <w:rPr>
                <w:rFonts w:eastAsiaTheme="minorEastAsia"/>
                <w:szCs w:val="21"/>
              </w:rPr>
              <w:t>0.02</w:t>
            </w:r>
          </w:p>
        </w:tc>
      </w:tr>
      <w:tr w:rsidR="007951F4">
        <w:tc>
          <w:tcPr>
            <w:tcW w:w="870" w:type="dxa"/>
            <w:vAlign w:val="center"/>
          </w:tcPr>
          <w:p w:rsidR="007951F4" w:rsidRDefault="005757D9">
            <w:pPr>
              <w:jc w:val="center"/>
            </w:pPr>
            <w:r>
              <w:rPr>
                <w:rFonts w:eastAsiaTheme="minorEastAsia"/>
                <w:szCs w:val="21"/>
              </w:rPr>
              <w:t>12</w:t>
            </w:r>
          </w:p>
        </w:tc>
        <w:tc>
          <w:tcPr>
            <w:tcW w:w="1650" w:type="dxa"/>
            <w:vAlign w:val="center"/>
          </w:tcPr>
          <w:p w:rsidR="007951F4" w:rsidRDefault="005757D9">
            <w:pPr>
              <w:jc w:val="center"/>
            </w:pPr>
            <w:r>
              <w:rPr>
                <w:rFonts w:eastAsiaTheme="minorEastAsia"/>
                <w:szCs w:val="21"/>
              </w:rPr>
              <w:t>601668</w:t>
            </w:r>
          </w:p>
        </w:tc>
        <w:tc>
          <w:tcPr>
            <w:tcW w:w="1980" w:type="dxa"/>
            <w:vAlign w:val="center"/>
          </w:tcPr>
          <w:p w:rsidR="007951F4" w:rsidRDefault="005757D9">
            <w:pPr>
              <w:jc w:val="center"/>
            </w:pPr>
            <w:r>
              <w:rPr>
                <w:rFonts w:eastAsiaTheme="minorEastAsia"/>
                <w:szCs w:val="21"/>
              </w:rPr>
              <w:t>中国建筑</w:t>
            </w:r>
          </w:p>
        </w:tc>
        <w:tc>
          <w:tcPr>
            <w:tcW w:w="2880" w:type="dxa"/>
            <w:vAlign w:val="center"/>
          </w:tcPr>
          <w:p w:rsidR="007951F4" w:rsidRDefault="005757D9">
            <w:pPr>
              <w:jc w:val="right"/>
            </w:pPr>
            <w:r>
              <w:rPr>
                <w:rFonts w:eastAsiaTheme="minorEastAsia"/>
                <w:szCs w:val="21"/>
              </w:rPr>
              <w:t>51,392.00</w:t>
            </w:r>
          </w:p>
        </w:tc>
        <w:tc>
          <w:tcPr>
            <w:tcW w:w="1620" w:type="dxa"/>
            <w:vAlign w:val="center"/>
          </w:tcPr>
          <w:p w:rsidR="007951F4" w:rsidRDefault="005757D9">
            <w:pPr>
              <w:jc w:val="right"/>
            </w:pPr>
            <w:r>
              <w:rPr>
                <w:rFonts w:eastAsiaTheme="minorEastAsia"/>
                <w:szCs w:val="21"/>
              </w:rPr>
              <w:t>0.02</w:t>
            </w:r>
          </w:p>
        </w:tc>
      </w:tr>
      <w:tr w:rsidR="007951F4">
        <w:tc>
          <w:tcPr>
            <w:tcW w:w="870" w:type="dxa"/>
            <w:vAlign w:val="center"/>
          </w:tcPr>
          <w:p w:rsidR="007951F4" w:rsidRDefault="005757D9">
            <w:pPr>
              <w:jc w:val="center"/>
            </w:pPr>
            <w:r>
              <w:rPr>
                <w:rFonts w:eastAsiaTheme="minorEastAsia"/>
                <w:szCs w:val="21"/>
              </w:rPr>
              <w:t>13</w:t>
            </w:r>
          </w:p>
        </w:tc>
        <w:tc>
          <w:tcPr>
            <w:tcW w:w="1650" w:type="dxa"/>
            <w:vAlign w:val="center"/>
          </w:tcPr>
          <w:p w:rsidR="007951F4" w:rsidRDefault="005757D9">
            <w:pPr>
              <w:jc w:val="center"/>
            </w:pPr>
            <w:r>
              <w:rPr>
                <w:rFonts w:eastAsiaTheme="minorEastAsia"/>
                <w:szCs w:val="21"/>
              </w:rPr>
              <w:t>601398</w:t>
            </w:r>
          </w:p>
        </w:tc>
        <w:tc>
          <w:tcPr>
            <w:tcW w:w="1980" w:type="dxa"/>
            <w:vAlign w:val="center"/>
          </w:tcPr>
          <w:p w:rsidR="007951F4" w:rsidRDefault="005757D9">
            <w:pPr>
              <w:jc w:val="center"/>
            </w:pPr>
            <w:r>
              <w:rPr>
                <w:rFonts w:eastAsiaTheme="minorEastAsia"/>
                <w:szCs w:val="21"/>
              </w:rPr>
              <w:t>工商银行</w:t>
            </w:r>
          </w:p>
        </w:tc>
        <w:tc>
          <w:tcPr>
            <w:tcW w:w="2880" w:type="dxa"/>
            <w:vAlign w:val="center"/>
          </w:tcPr>
          <w:p w:rsidR="007951F4" w:rsidRDefault="005757D9">
            <w:pPr>
              <w:jc w:val="right"/>
            </w:pPr>
            <w:r>
              <w:rPr>
                <w:rFonts w:eastAsiaTheme="minorEastAsia"/>
                <w:szCs w:val="21"/>
              </w:rPr>
              <w:t>50,580.00</w:t>
            </w:r>
          </w:p>
        </w:tc>
        <w:tc>
          <w:tcPr>
            <w:tcW w:w="1620" w:type="dxa"/>
            <w:vAlign w:val="center"/>
          </w:tcPr>
          <w:p w:rsidR="007951F4" w:rsidRDefault="005757D9">
            <w:pPr>
              <w:jc w:val="right"/>
            </w:pPr>
            <w:r>
              <w:rPr>
                <w:rFonts w:eastAsiaTheme="minorEastAsia"/>
                <w:szCs w:val="21"/>
              </w:rPr>
              <w:t>0.02</w:t>
            </w:r>
          </w:p>
        </w:tc>
      </w:tr>
      <w:tr w:rsidR="007951F4">
        <w:tc>
          <w:tcPr>
            <w:tcW w:w="870" w:type="dxa"/>
            <w:vAlign w:val="center"/>
          </w:tcPr>
          <w:p w:rsidR="007951F4" w:rsidRDefault="005757D9">
            <w:pPr>
              <w:jc w:val="center"/>
            </w:pPr>
            <w:r>
              <w:rPr>
                <w:rFonts w:eastAsiaTheme="minorEastAsia"/>
                <w:szCs w:val="21"/>
              </w:rPr>
              <w:t>14</w:t>
            </w:r>
          </w:p>
        </w:tc>
        <w:tc>
          <w:tcPr>
            <w:tcW w:w="1650" w:type="dxa"/>
            <w:vAlign w:val="center"/>
          </w:tcPr>
          <w:p w:rsidR="007951F4" w:rsidRDefault="005757D9">
            <w:pPr>
              <w:jc w:val="center"/>
            </w:pPr>
            <w:r>
              <w:rPr>
                <w:rFonts w:eastAsiaTheme="minorEastAsia"/>
                <w:szCs w:val="21"/>
              </w:rPr>
              <w:t>601601</w:t>
            </w:r>
          </w:p>
        </w:tc>
        <w:tc>
          <w:tcPr>
            <w:tcW w:w="1980" w:type="dxa"/>
            <w:vAlign w:val="center"/>
          </w:tcPr>
          <w:p w:rsidR="007951F4" w:rsidRDefault="005757D9">
            <w:pPr>
              <w:jc w:val="center"/>
            </w:pPr>
            <w:r>
              <w:rPr>
                <w:rFonts w:eastAsiaTheme="minorEastAsia"/>
                <w:szCs w:val="21"/>
              </w:rPr>
              <w:t>中国太保</w:t>
            </w:r>
          </w:p>
        </w:tc>
        <w:tc>
          <w:tcPr>
            <w:tcW w:w="2880" w:type="dxa"/>
            <w:vAlign w:val="center"/>
          </w:tcPr>
          <w:p w:rsidR="007951F4" w:rsidRDefault="005757D9">
            <w:pPr>
              <w:jc w:val="right"/>
            </w:pPr>
            <w:r>
              <w:rPr>
                <w:rFonts w:eastAsiaTheme="minorEastAsia"/>
                <w:szCs w:val="21"/>
              </w:rPr>
              <w:t>47,180.00</w:t>
            </w:r>
          </w:p>
        </w:tc>
        <w:tc>
          <w:tcPr>
            <w:tcW w:w="1620" w:type="dxa"/>
            <w:vAlign w:val="center"/>
          </w:tcPr>
          <w:p w:rsidR="007951F4" w:rsidRDefault="005757D9">
            <w:pPr>
              <w:jc w:val="right"/>
            </w:pPr>
            <w:r>
              <w:rPr>
                <w:rFonts w:eastAsiaTheme="minorEastAsia"/>
                <w:szCs w:val="21"/>
              </w:rPr>
              <w:t>0.02</w:t>
            </w:r>
          </w:p>
        </w:tc>
      </w:tr>
      <w:tr w:rsidR="007951F4">
        <w:tc>
          <w:tcPr>
            <w:tcW w:w="870" w:type="dxa"/>
            <w:vAlign w:val="center"/>
          </w:tcPr>
          <w:p w:rsidR="007951F4" w:rsidRDefault="005757D9">
            <w:pPr>
              <w:jc w:val="center"/>
            </w:pPr>
            <w:r>
              <w:rPr>
                <w:rFonts w:eastAsiaTheme="minorEastAsia"/>
                <w:szCs w:val="21"/>
              </w:rPr>
              <w:t>15</w:t>
            </w:r>
          </w:p>
        </w:tc>
        <w:tc>
          <w:tcPr>
            <w:tcW w:w="1650" w:type="dxa"/>
            <w:vAlign w:val="center"/>
          </w:tcPr>
          <w:p w:rsidR="007951F4" w:rsidRDefault="005757D9">
            <w:pPr>
              <w:jc w:val="center"/>
            </w:pPr>
            <w:r>
              <w:rPr>
                <w:rFonts w:eastAsiaTheme="minorEastAsia"/>
                <w:szCs w:val="21"/>
              </w:rPr>
              <w:t>600900</w:t>
            </w:r>
          </w:p>
        </w:tc>
        <w:tc>
          <w:tcPr>
            <w:tcW w:w="1980" w:type="dxa"/>
            <w:vAlign w:val="center"/>
          </w:tcPr>
          <w:p w:rsidR="007951F4" w:rsidRDefault="005757D9">
            <w:pPr>
              <w:jc w:val="center"/>
            </w:pPr>
            <w:r>
              <w:rPr>
                <w:rFonts w:eastAsiaTheme="minorEastAsia"/>
                <w:szCs w:val="21"/>
              </w:rPr>
              <w:t>长江电力</w:t>
            </w:r>
          </w:p>
        </w:tc>
        <w:tc>
          <w:tcPr>
            <w:tcW w:w="2880" w:type="dxa"/>
            <w:vAlign w:val="center"/>
          </w:tcPr>
          <w:p w:rsidR="007951F4" w:rsidRDefault="005757D9">
            <w:pPr>
              <w:jc w:val="right"/>
            </w:pPr>
            <w:r>
              <w:rPr>
                <w:rFonts w:eastAsiaTheme="minorEastAsia"/>
                <w:szCs w:val="21"/>
              </w:rPr>
              <w:t>46,810.00</w:t>
            </w:r>
          </w:p>
        </w:tc>
        <w:tc>
          <w:tcPr>
            <w:tcW w:w="1620" w:type="dxa"/>
            <w:vAlign w:val="center"/>
          </w:tcPr>
          <w:p w:rsidR="007951F4" w:rsidRDefault="005757D9">
            <w:pPr>
              <w:jc w:val="right"/>
            </w:pPr>
            <w:r>
              <w:rPr>
                <w:rFonts w:eastAsiaTheme="minorEastAsia"/>
                <w:szCs w:val="21"/>
              </w:rPr>
              <w:t>0.02</w:t>
            </w:r>
          </w:p>
        </w:tc>
      </w:tr>
      <w:tr w:rsidR="007951F4">
        <w:tc>
          <w:tcPr>
            <w:tcW w:w="870" w:type="dxa"/>
            <w:vAlign w:val="center"/>
          </w:tcPr>
          <w:p w:rsidR="007951F4" w:rsidRDefault="005757D9">
            <w:pPr>
              <w:jc w:val="center"/>
            </w:pPr>
            <w:r>
              <w:rPr>
                <w:rFonts w:eastAsiaTheme="minorEastAsia"/>
                <w:szCs w:val="21"/>
              </w:rPr>
              <w:t>16</w:t>
            </w:r>
          </w:p>
        </w:tc>
        <w:tc>
          <w:tcPr>
            <w:tcW w:w="1650" w:type="dxa"/>
            <w:vAlign w:val="center"/>
          </w:tcPr>
          <w:p w:rsidR="007951F4" w:rsidRDefault="005757D9">
            <w:pPr>
              <w:jc w:val="center"/>
            </w:pPr>
            <w:r>
              <w:rPr>
                <w:rFonts w:eastAsiaTheme="minorEastAsia"/>
                <w:szCs w:val="21"/>
              </w:rPr>
              <w:t>600837</w:t>
            </w:r>
          </w:p>
        </w:tc>
        <w:tc>
          <w:tcPr>
            <w:tcW w:w="1980" w:type="dxa"/>
            <w:vAlign w:val="center"/>
          </w:tcPr>
          <w:p w:rsidR="007951F4" w:rsidRDefault="005757D9">
            <w:pPr>
              <w:jc w:val="center"/>
            </w:pPr>
            <w:r>
              <w:rPr>
                <w:rFonts w:eastAsiaTheme="minorEastAsia"/>
                <w:szCs w:val="21"/>
              </w:rPr>
              <w:t>海通证券</w:t>
            </w:r>
          </w:p>
        </w:tc>
        <w:tc>
          <w:tcPr>
            <w:tcW w:w="2880" w:type="dxa"/>
            <w:vAlign w:val="center"/>
          </w:tcPr>
          <w:p w:rsidR="007951F4" w:rsidRDefault="005757D9">
            <w:pPr>
              <w:jc w:val="right"/>
            </w:pPr>
            <w:r>
              <w:rPr>
                <w:rFonts w:eastAsiaTheme="minorEastAsia"/>
                <w:szCs w:val="21"/>
              </w:rPr>
              <w:t>43,282.00</w:t>
            </w:r>
          </w:p>
        </w:tc>
        <w:tc>
          <w:tcPr>
            <w:tcW w:w="1620" w:type="dxa"/>
            <w:vAlign w:val="center"/>
          </w:tcPr>
          <w:p w:rsidR="007951F4" w:rsidRDefault="005757D9">
            <w:pPr>
              <w:jc w:val="right"/>
            </w:pPr>
            <w:r>
              <w:rPr>
                <w:rFonts w:eastAsiaTheme="minorEastAsia"/>
                <w:szCs w:val="21"/>
              </w:rPr>
              <w:t>0.02</w:t>
            </w:r>
          </w:p>
        </w:tc>
      </w:tr>
      <w:tr w:rsidR="007951F4">
        <w:tc>
          <w:tcPr>
            <w:tcW w:w="870" w:type="dxa"/>
            <w:vAlign w:val="center"/>
          </w:tcPr>
          <w:p w:rsidR="007951F4" w:rsidRDefault="005757D9">
            <w:pPr>
              <w:jc w:val="center"/>
            </w:pPr>
            <w:r>
              <w:rPr>
                <w:rFonts w:eastAsiaTheme="minorEastAsia"/>
                <w:szCs w:val="21"/>
              </w:rPr>
              <w:t>17</w:t>
            </w:r>
          </w:p>
        </w:tc>
        <w:tc>
          <w:tcPr>
            <w:tcW w:w="1650" w:type="dxa"/>
            <w:vAlign w:val="center"/>
          </w:tcPr>
          <w:p w:rsidR="007951F4" w:rsidRDefault="005757D9">
            <w:pPr>
              <w:jc w:val="center"/>
            </w:pPr>
            <w:r>
              <w:rPr>
                <w:rFonts w:eastAsiaTheme="minorEastAsia"/>
                <w:szCs w:val="21"/>
              </w:rPr>
              <w:t>600048</w:t>
            </w:r>
          </w:p>
        </w:tc>
        <w:tc>
          <w:tcPr>
            <w:tcW w:w="1980" w:type="dxa"/>
            <w:vAlign w:val="center"/>
          </w:tcPr>
          <w:p w:rsidR="007951F4" w:rsidRDefault="005757D9">
            <w:pPr>
              <w:jc w:val="center"/>
            </w:pPr>
            <w:r>
              <w:rPr>
                <w:rFonts w:eastAsiaTheme="minorEastAsia"/>
                <w:szCs w:val="21"/>
              </w:rPr>
              <w:t>保利地产</w:t>
            </w:r>
          </w:p>
        </w:tc>
        <w:tc>
          <w:tcPr>
            <w:tcW w:w="2880" w:type="dxa"/>
            <w:vAlign w:val="center"/>
          </w:tcPr>
          <w:p w:rsidR="007951F4" w:rsidRDefault="005757D9">
            <w:pPr>
              <w:jc w:val="right"/>
            </w:pPr>
            <w:r>
              <w:rPr>
                <w:rFonts w:eastAsiaTheme="minorEastAsia"/>
                <w:szCs w:val="21"/>
              </w:rPr>
              <w:t>38,966.00</w:t>
            </w:r>
          </w:p>
        </w:tc>
        <w:tc>
          <w:tcPr>
            <w:tcW w:w="1620" w:type="dxa"/>
            <w:vAlign w:val="center"/>
          </w:tcPr>
          <w:p w:rsidR="007951F4" w:rsidRDefault="005757D9">
            <w:pPr>
              <w:jc w:val="right"/>
            </w:pPr>
            <w:r>
              <w:rPr>
                <w:rFonts w:eastAsiaTheme="minorEastAsia"/>
                <w:szCs w:val="21"/>
              </w:rPr>
              <w:t>0.01</w:t>
            </w:r>
          </w:p>
        </w:tc>
      </w:tr>
      <w:tr w:rsidR="007951F4">
        <w:tc>
          <w:tcPr>
            <w:tcW w:w="870" w:type="dxa"/>
            <w:vAlign w:val="center"/>
          </w:tcPr>
          <w:p w:rsidR="007951F4" w:rsidRDefault="005757D9">
            <w:pPr>
              <w:jc w:val="center"/>
            </w:pPr>
            <w:r>
              <w:rPr>
                <w:rFonts w:eastAsiaTheme="minorEastAsia"/>
                <w:szCs w:val="21"/>
              </w:rPr>
              <w:t>18</w:t>
            </w:r>
          </w:p>
        </w:tc>
        <w:tc>
          <w:tcPr>
            <w:tcW w:w="1650" w:type="dxa"/>
            <w:vAlign w:val="center"/>
          </w:tcPr>
          <w:p w:rsidR="007951F4" w:rsidRDefault="005757D9">
            <w:pPr>
              <w:jc w:val="center"/>
            </w:pPr>
            <w:r>
              <w:rPr>
                <w:rFonts w:eastAsiaTheme="minorEastAsia"/>
                <w:szCs w:val="21"/>
              </w:rPr>
              <w:t>601169</w:t>
            </w:r>
          </w:p>
        </w:tc>
        <w:tc>
          <w:tcPr>
            <w:tcW w:w="1980" w:type="dxa"/>
            <w:vAlign w:val="center"/>
          </w:tcPr>
          <w:p w:rsidR="007951F4" w:rsidRDefault="005757D9">
            <w:pPr>
              <w:jc w:val="center"/>
            </w:pPr>
            <w:r>
              <w:rPr>
                <w:rFonts w:eastAsiaTheme="minorEastAsia"/>
                <w:szCs w:val="21"/>
              </w:rPr>
              <w:t>北京银行</w:t>
            </w:r>
          </w:p>
        </w:tc>
        <w:tc>
          <w:tcPr>
            <w:tcW w:w="2880" w:type="dxa"/>
            <w:vAlign w:val="center"/>
          </w:tcPr>
          <w:p w:rsidR="007951F4" w:rsidRDefault="005757D9">
            <w:pPr>
              <w:jc w:val="right"/>
            </w:pPr>
            <w:r>
              <w:rPr>
                <w:rFonts w:eastAsiaTheme="minorEastAsia"/>
                <w:szCs w:val="21"/>
              </w:rPr>
              <w:t>38,440.00</w:t>
            </w:r>
          </w:p>
        </w:tc>
        <w:tc>
          <w:tcPr>
            <w:tcW w:w="1620" w:type="dxa"/>
            <w:vAlign w:val="center"/>
          </w:tcPr>
          <w:p w:rsidR="007951F4" w:rsidRDefault="005757D9">
            <w:pPr>
              <w:jc w:val="right"/>
            </w:pPr>
            <w:r>
              <w:rPr>
                <w:rFonts w:eastAsiaTheme="minorEastAsia"/>
                <w:szCs w:val="21"/>
              </w:rPr>
              <w:t>0.01</w:t>
            </w:r>
          </w:p>
        </w:tc>
      </w:tr>
      <w:tr w:rsidR="007951F4">
        <w:tc>
          <w:tcPr>
            <w:tcW w:w="870" w:type="dxa"/>
            <w:vAlign w:val="center"/>
          </w:tcPr>
          <w:p w:rsidR="007951F4" w:rsidRDefault="005757D9">
            <w:pPr>
              <w:jc w:val="center"/>
            </w:pPr>
            <w:r>
              <w:rPr>
                <w:rFonts w:eastAsiaTheme="minorEastAsia"/>
                <w:szCs w:val="21"/>
              </w:rPr>
              <w:t>19</w:t>
            </w:r>
          </w:p>
        </w:tc>
        <w:tc>
          <w:tcPr>
            <w:tcW w:w="1650" w:type="dxa"/>
            <w:vAlign w:val="center"/>
          </w:tcPr>
          <w:p w:rsidR="007951F4" w:rsidRDefault="005757D9">
            <w:pPr>
              <w:jc w:val="center"/>
            </w:pPr>
            <w:r>
              <w:rPr>
                <w:rFonts w:eastAsiaTheme="minorEastAsia"/>
                <w:szCs w:val="21"/>
              </w:rPr>
              <w:t>600104</w:t>
            </w:r>
          </w:p>
        </w:tc>
        <w:tc>
          <w:tcPr>
            <w:tcW w:w="1980" w:type="dxa"/>
            <w:vAlign w:val="center"/>
          </w:tcPr>
          <w:p w:rsidR="007951F4" w:rsidRDefault="005757D9">
            <w:pPr>
              <w:jc w:val="center"/>
            </w:pPr>
            <w:r>
              <w:rPr>
                <w:rFonts w:eastAsiaTheme="minorEastAsia"/>
                <w:szCs w:val="21"/>
              </w:rPr>
              <w:t>上汽集团</w:t>
            </w:r>
          </w:p>
        </w:tc>
        <w:tc>
          <w:tcPr>
            <w:tcW w:w="2880" w:type="dxa"/>
            <w:vAlign w:val="center"/>
          </w:tcPr>
          <w:p w:rsidR="007951F4" w:rsidRDefault="005757D9">
            <w:pPr>
              <w:jc w:val="right"/>
            </w:pPr>
            <w:r>
              <w:rPr>
                <w:rFonts w:eastAsiaTheme="minorEastAsia"/>
                <w:szCs w:val="21"/>
              </w:rPr>
              <w:t>36,340.00</w:t>
            </w:r>
          </w:p>
        </w:tc>
        <w:tc>
          <w:tcPr>
            <w:tcW w:w="1620" w:type="dxa"/>
            <w:vAlign w:val="center"/>
          </w:tcPr>
          <w:p w:rsidR="007951F4" w:rsidRDefault="005757D9">
            <w:pPr>
              <w:jc w:val="right"/>
            </w:pPr>
            <w:r>
              <w:rPr>
                <w:rFonts w:eastAsiaTheme="minorEastAsia"/>
                <w:szCs w:val="21"/>
              </w:rPr>
              <w:t>0.01</w:t>
            </w:r>
          </w:p>
        </w:tc>
      </w:tr>
      <w:tr w:rsidR="007951F4">
        <w:tc>
          <w:tcPr>
            <w:tcW w:w="870" w:type="dxa"/>
            <w:vAlign w:val="center"/>
          </w:tcPr>
          <w:p w:rsidR="007951F4" w:rsidRDefault="005757D9">
            <w:pPr>
              <w:jc w:val="center"/>
            </w:pPr>
            <w:r>
              <w:rPr>
                <w:rFonts w:eastAsiaTheme="minorEastAsia"/>
                <w:szCs w:val="21"/>
              </w:rPr>
              <w:t>20</w:t>
            </w:r>
          </w:p>
        </w:tc>
        <w:tc>
          <w:tcPr>
            <w:tcW w:w="1650" w:type="dxa"/>
            <w:vAlign w:val="center"/>
          </w:tcPr>
          <w:p w:rsidR="007951F4" w:rsidRDefault="005757D9">
            <w:pPr>
              <w:jc w:val="center"/>
            </w:pPr>
            <w:r>
              <w:rPr>
                <w:rFonts w:eastAsiaTheme="minorEastAsia"/>
                <w:szCs w:val="21"/>
              </w:rPr>
              <w:t>603288</w:t>
            </w:r>
          </w:p>
        </w:tc>
        <w:tc>
          <w:tcPr>
            <w:tcW w:w="1980" w:type="dxa"/>
            <w:vAlign w:val="center"/>
          </w:tcPr>
          <w:p w:rsidR="007951F4" w:rsidRDefault="005757D9">
            <w:pPr>
              <w:jc w:val="center"/>
            </w:pPr>
            <w:r>
              <w:rPr>
                <w:rFonts w:eastAsiaTheme="minorEastAsia"/>
                <w:szCs w:val="21"/>
              </w:rPr>
              <w:t>海天味业</w:t>
            </w:r>
          </w:p>
        </w:tc>
        <w:tc>
          <w:tcPr>
            <w:tcW w:w="2880" w:type="dxa"/>
            <w:vAlign w:val="center"/>
          </w:tcPr>
          <w:p w:rsidR="007951F4" w:rsidRDefault="005757D9">
            <w:pPr>
              <w:jc w:val="right"/>
            </w:pPr>
            <w:r>
              <w:rPr>
                <w:rFonts w:eastAsiaTheme="minorEastAsia"/>
                <w:szCs w:val="21"/>
              </w:rPr>
              <w:t>34,744.00</w:t>
            </w:r>
          </w:p>
        </w:tc>
        <w:tc>
          <w:tcPr>
            <w:tcW w:w="1620" w:type="dxa"/>
            <w:vAlign w:val="center"/>
          </w:tcPr>
          <w:p w:rsidR="007951F4" w:rsidRDefault="005757D9">
            <w:pPr>
              <w:jc w:val="right"/>
            </w:pPr>
            <w:r>
              <w:rPr>
                <w:rFonts w:eastAsiaTheme="minorEastAsia"/>
                <w:szCs w:val="21"/>
              </w:rPr>
              <w:t>0.01</w:t>
            </w:r>
          </w:p>
        </w:tc>
      </w:tr>
    </w:tbl>
    <w:p w:rsidR="001548F9" w:rsidRPr="00646A7D" w:rsidRDefault="001548F9" w:rsidP="000E18D9">
      <w:pPr>
        <w:spacing w:beforeLines="100" w:before="312" w:line="360" w:lineRule="auto"/>
        <w:rPr>
          <w:rFonts w:eastAsiaTheme="minorEastAsia"/>
          <w:b/>
          <w:bCs/>
          <w:color w:val="000000"/>
          <w:szCs w:val="21"/>
        </w:rPr>
      </w:pPr>
      <w:r w:rsidRPr="00646A7D">
        <w:rPr>
          <w:rFonts w:eastAsiaTheme="minorEastAsia"/>
          <w:b/>
          <w:color w:val="000000"/>
          <w:szCs w:val="21"/>
        </w:rPr>
        <w:t xml:space="preserve">7.4.2 </w:t>
      </w:r>
      <w:r w:rsidR="001D15E2" w:rsidRPr="00646A7D">
        <w:rPr>
          <w:rFonts w:eastAsiaTheme="minorEastAsia"/>
          <w:b/>
          <w:bCs/>
          <w:color w:val="000000"/>
          <w:szCs w:val="21"/>
        </w:rPr>
        <w:t>累计卖出金额超出</w:t>
      </w:r>
      <w:r w:rsidR="001D15E2" w:rsidRPr="00646A7D">
        <w:rPr>
          <w:rFonts w:eastAsiaTheme="minorEastAsia"/>
          <w:b/>
          <w:color w:val="000000"/>
          <w:kern w:val="0"/>
          <w:szCs w:val="21"/>
        </w:rPr>
        <w:t>期初</w:t>
      </w:r>
      <w:r w:rsidRPr="00646A7D">
        <w:rPr>
          <w:rFonts w:eastAsiaTheme="minorEastAsia"/>
          <w:b/>
          <w:bCs/>
          <w:color w:val="000000"/>
          <w:szCs w:val="21"/>
        </w:rPr>
        <w:t>基金资产净值</w:t>
      </w:r>
      <w:r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646A7D" w:rsidTr="0070173B">
        <w:tc>
          <w:tcPr>
            <w:tcW w:w="8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序号</w:t>
            </w:r>
          </w:p>
        </w:tc>
        <w:tc>
          <w:tcPr>
            <w:tcW w:w="165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股票代码</w:t>
            </w:r>
          </w:p>
        </w:tc>
        <w:tc>
          <w:tcPr>
            <w:tcW w:w="19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股票名称</w:t>
            </w:r>
          </w:p>
        </w:tc>
        <w:tc>
          <w:tcPr>
            <w:tcW w:w="28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本期累计卖出金额</w:t>
            </w:r>
          </w:p>
        </w:tc>
        <w:tc>
          <w:tcPr>
            <w:tcW w:w="162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占期初基金资产净值比例（％）</w:t>
            </w:r>
          </w:p>
        </w:tc>
      </w:tr>
      <w:tr w:rsidR="007951F4">
        <w:tc>
          <w:tcPr>
            <w:tcW w:w="870" w:type="dxa"/>
            <w:vAlign w:val="center"/>
          </w:tcPr>
          <w:p w:rsidR="007951F4" w:rsidRDefault="005757D9">
            <w:pPr>
              <w:jc w:val="center"/>
            </w:pPr>
            <w:r>
              <w:rPr>
                <w:rFonts w:eastAsiaTheme="minorEastAsia"/>
                <w:szCs w:val="21"/>
              </w:rPr>
              <w:t>1</w:t>
            </w:r>
          </w:p>
        </w:tc>
        <w:tc>
          <w:tcPr>
            <w:tcW w:w="1650" w:type="dxa"/>
            <w:vAlign w:val="center"/>
          </w:tcPr>
          <w:p w:rsidR="007951F4" w:rsidRDefault="005757D9">
            <w:pPr>
              <w:jc w:val="center"/>
            </w:pPr>
            <w:r>
              <w:rPr>
                <w:rFonts w:eastAsiaTheme="minorEastAsia"/>
                <w:szCs w:val="21"/>
              </w:rPr>
              <w:t>601318</w:t>
            </w:r>
          </w:p>
        </w:tc>
        <w:tc>
          <w:tcPr>
            <w:tcW w:w="1980" w:type="dxa"/>
            <w:vAlign w:val="center"/>
          </w:tcPr>
          <w:p w:rsidR="007951F4" w:rsidRDefault="005757D9">
            <w:pPr>
              <w:jc w:val="center"/>
            </w:pPr>
            <w:r>
              <w:rPr>
                <w:rFonts w:eastAsiaTheme="minorEastAsia"/>
                <w:szCs w:val="21"/>
              </w:rPr>
              <w:t>中国平安</w:t>
            </w:r>
          </w:p>
        </w:tc>
        <w:tc>
          <w:tcPr>
            <w:tcW w:w="2880" w:type="dxa"/>
            <w:vAlign w:val="center"/>
          </w:tcPr>
          <w:p w:rsidR="007951F4" w:rsidRDefault="005757D9">
            <w:pPr>
              <w:jc w:val="right"/>
            </w:pPr>
            <w:r>
              <w:rPr>
                <w:rFonts w:eastAsiaTheme="minorEastAsia"/>
                <w:szCs w:val="21"/>
              </w:rPr>
              <w:t>2,885,147.91</w:t>
            </w:r>
          </w:p>
        </w:tc>
        <w:tc>
          <w:tcPr>
            <w:tcW w:w="1620" w:type="dxa"/>
            <w:vAlign w:val="center"/>
          </w:tcPr>
          <w:p w:rsidR="007951F4" w:rsidRDefault="005757D9">
            <w:pPr>
              <w:jc w:val="right"/>
            </w:pPr>
            <w:r>
              <w:rPr>
                <w:rFonts w:eastAsiaTheme="minorEastAsia"/>
                <w:szCs w:val="21"/>
              </w:rPr>
              <w:t>1.05</w:t>
            </w:r>
          </w:p>
        </w:tc>
      </w:tr>
      <w:tr w:rsidR="007951F4">
        <w:tc>
          <w:tcPr>
            <w:tcW w:w="870" w:type="dxa"/>
            <w:vAlign w:val="center"/>
          </w:tcPr>
          <w:p w:rsidR="007951F4" w:rsidRDefault="005757D9">
            <w:pPr>
              <w:jc w:val="center"/>
            </w:pPr>
            <w:r>
              <w:rPr>
                <w:rFonts w:eastAsiaTheme="minorEastAsia"/>
                <w:szCs w:val="21"/>
              </w:rPr>
              <w:t>2</w:t>
            </w:r>
          </w:p>
        </w:tc>
        <w:tc>
          <w:tcPr>
            <w:tcW w:w="1650" w:type="dxa"/>
            <w:vAlign w:val="center"/>
          </w:tcPr>
          <w:p w:rsidR="007951F4" w:rsidRDefault="005757D9">
            <w:pPr>
              <w:jc w:val="center"/>
            </w:pPr>
            <w:r>
              <w:rPr>
                <w:rFonts w:eastAsiaTheme="minorEastAsia"/>
                <w:szCs w:val="21"/>
              </w:rPr>
              <w:t>600519</w:t>
            </w:r>
          </w:p>
        </w:tc>
        <w:tc>
          <w:tcPr>
            <w:tcW w:w="1980" w:type="dxa"/>
            <w:vAlign w:val="center"/>
          </w:tcPr>
          <w:p w:rsidR="007951F4" w:rsidRDefault="005757D9">
            <w:pPr>
              <w:jc w:val="center"/>
            </w:pPr>
            <w:r>
              <w:rPr>
                <w:rFonts w:eastAsiaTheme="minorEastAsia"/>
                <w:szCs w:val="21"/>
              </w:rPr>
              <w:t>贵州茅台</w:t>
            </w:r>
          </w:p>
        </w:tc>
        <w:tc>
          <w:tcPr>
            <w:tcW w:w="2880" w:type="dxa"/>
            <w:vAlign w:val="center"/>
          </w:tcPr>
          <w:p w:rsidR="007951F4" w:rsidRDefault="005757D9">
            <w:pPr>
              <w:jc w:val="right"/>
            </w:pPr>
            <w:r>
              <w:rPr>
                <w:rFonts w:eastAsiaTheme="minorEastAsia"/>
                <w:szCs w:val="21"/>
              </w:rPr>
              <w:t>1,415,483.21</w:t>
            </w:r>
          </w:p>
        </w:tc>
        <w:tc>
          <w:tcPr>
            <w:tcW w:w="1620" w:type="dxa"/>
            <w:vAlign w:val="center"/>
          </w:tcPr>
          <w:p w:rsidR="007951F4" w:rsidRDefault="005757D9">
            <w:pPr>
              <w:jc w:val="right"/>
            </w:pPr>
            <w:r>
              <w:rPr>
                <w:rFonts w:eastAsiaTheme="minorEastAsia"/>
                <w:szCs w:val="21"/>
              </w:rPr>
              <w:t>0.52</w:t>
            </w:r>
          </w:p>
        </w:tc>
      </w:tr>
      <w:tr w:rsidR="007951F4">
        <w:tc>
          <w:tcPr>
            <w:tcW w:w="870" w:type="dxa"/>
            <w:vAlign w:val="center"/>
          </w:tcPr>
          <w:p w:rsidR="007951F4" w:rsidRDefault="005757D9">
            <w:pPr>
              <w:jc w:val="center"/>
            </w:pPr>
            <w:r>
              <w:rPr>
                <w:rFonts w:eastAsiaTheme="minorEastAsia"/>
                <w:szCs w:val="21"/>
              </w:rPr>
              <w:t>3</w:t>
            </w:r>
          </w:p>
        </w:tc>
        <w:tc>
          <w:tcPr>
            <w:tcW w:w="1650" w:type="dxa"/>
            <w:vAlign w:val="center"/>
          </w:tcPr>
          <w:p w:rsidR="007951F4" w:rsidRDefault="005757D9">
            <w:pPr>
              <w:jc w:val="center"/>
            </w:pPr>
            <w:r>
              <w:rPr>
                <w:rFonts w:eastAsiaTheme="minorEastAsia"/>
                <w:szCs w:val="21"/>
              </w:rPr>
              <w:t>600036</w:t>
            </w:r>
          </w:p>
        </w:tc>
        <w:tc>
          <w:tcPr>
            <w:tcW w:w="1980" w:type="dxa"/>
            <w:vAlign w:val="center"/>
          </w:tcPr>
          <w:p w:rsidR="007951F4" w:rsidRDefault="005757D9">
            <w:pPr>
              <w:jc w:val="center"/>
            </w:pPr>
            <w:r>
              <w:rPr>
                <w:rFonts w:eastAsiaTheme="minorEastAsia"/>
                <w:szCs w:val="21"/>
              </w:rPr>
              <w:t>招商银行</w:t>
            </w:r>
          </w:p>
        </w:tc>
        <w:tc>
          <w:tcPr>
            <w:tcW w:w="2880" w:type="dxa"/>
            <w:vAlign w:val="center"/>
          </w:tcPr>
          <w:p w:rsidR="007951F4" w:rsidRDefault="005757D9">
            <w:pPr>
              <w:jc w:val="right"/>
            </w:pPr>
            <w:r>
              <w:rPr>
                <w:rFonts w:eastAsiaTheme="minorEastAsia"/>
                <w:szCs w:val="21"/>
              </w:rPr>
              <w:t>1,203,644.00</w:t>
            </w:r>
          </w:p>
        </w:tc>
        <w:tc>
          <w:tcPr>
            <w:tcW w:w="1620" w:type="dxa"/>
            <w:vAlign w:val="center"/>
          </w:tcPr>
          <w:p w:rsidR="007951F4" w:rsidRDefault="005757D9">
            <w:pPr>
              <w:jc w:val="right"/>
            </w:pPr>
            <w:r>
              <w:rPr>
                <w:rFonts w:eastAsiaTheme="minorEastAsia"/>
                <w:szCs w:val="21"/>
              </w:rPr>
              <w:t>0.44</w:t>
            </w:r>
          </w:p>
        </w:tc>
      </w:tr>
      <w:tr w:rsidR="007951F4">
        <w:tc>
          <w:tcPr>
            <w:tcW w:w="870" w:type="dxa"/>
            <w:vAlign w:val="center"/>
          </w:tcPr>
          <w:p w:rsidR="007951F4" w:rsidRDefault="005757D9">
            <w:pPr>
              <w:jc w:val="center"/>
            </w:pPr>
            <w:r>
              <w:rPr>
                <w:rFonts w:eastAsiaTheme="minorEastAsia"/>
                <w:szCs w:val="21"/>
              </w:rPr>
              <w:t>4</w:t>
            </w:r>
          </w:p>
        </w:tc>
        <w:tc>
          <w:tcPr>
            <w:tcW w:w="1650" w:type="dxa"/>
            <w:vAlign w:val="center"/>
          </w:tcPr>
          <w:p w:rsidR="007951F4" w:rsidRDefault="005757D9">
            <w:pPr>
              <w:jc w:val="center"/>
            </w:pPr>
            <w:r>
              <w:rPr>
                <w:rFonts w:eastAsiaTheme="minorEastAsia"/>
                <w:szCs w:val="21"/>
              </w:rPr>
              <w:t>601166</w:t>
            </w:r>
          </w:p>
        </w:tc>
        <w:tc>
          <w:tcPr>
            <w:tcW w:w="1980" w:type="dxa"/>
            <w:vAlign w:val="center"/>
          </w:tcPr>
          <w:p w:rsidR="007951F4" w:rsidRDefault="005757D9">
            <w:pPr>
              <w:jc w:val="center"/>
            </w:pPr>
            <w:r>
              <w:rPr>
                <w:rFonts w:eastAsiaTheme="minorEastAsia"/>
                <w:szCs w:val="21"/>
              </w:rPr>
              <w:t>兴业银行</w:t>
            </w:r>
          </w:p>
        </w:tc>
        <w:tc>
          <w:tcPr>
            <w:tcW w:w="2880" w:type="dxa"/>
            <w:vAlign w:val="center"/>
          </w:tcPr>
          <w:p w:rsidR="007951F4" w:rsidRDefault="005757D9">
            <w:pPr>
              <w:jc w:val="right"/>
            </w:pPr>
            <w:r>
              <w:rPr>
                <w:rFonts w:eastAsiaTheme="minorEastAsia"/>
                <w:szCs w:val="21"/>
              </w:rPr>
              <w:t>814,973.00</w:t>
            </w:r>
          </w:p>
        </w:tc>
        <w:tc>
          <w:tcPr>
            <w:tcW w:w="1620" w:type="dxa"/>
            <w:vAlign w:val="center"/>
          </w:tcPr>
          <w:p w:rsidR="007951F4" w:rsidRDefault="005757D9">
            <w:pPr>
              <w:jc w:val="right"/>
            </w:pPr>
            <w:r>
              <w:rPr>
                <w:rFonts w:eastAsiaTheme="minorEastAsia"/>
                <w:szCs w:val="21"/>
              </w:rPr>
              <w:t>0.30</w:t>
            </w:r>
          </w:p>
        </w:tc>
      </w:tr>
      <w:tr w:rsidR="007951F4">
        <w:tc>
          <w:tcPr>
            <w:tcW w:w="870" w:type="dxa"/>
            <w:vAlign w:val="center"/>
          </w:tcPr>
          <w:p w:rsidR="007951F4" w:rsidRDefault="005757D9">
            <w:pPr>
              <w:jc w:val="center"/>
            </w:pPr>
            <w:r>
              <w:rPr>
                <w:rFonts w:eastAsiaTheme="minorEastAsia"/>
                <w:szCs w:val="21"/>
              </w:rPr>
              <w:t>5</w:t>
            </w:r>
          </w:p>
        </w:tc>
        <w:tc>
          <w:tcPr>
            <w:tcW w:w="1650" w:type="dxa"/>
            <w:vAlign w:val="center"/>
          </w:tcPr>
          <w:p w:rsidR="007951F4" w:rsidRDefault="005757D9">
            <w:pPr>
              <w:jc w:val="center"/>
            </w:pPr>
            <w:r>
              <w:rPr>
                <w:rFonts w:eastAsiaTheme="minorEastAsia"/>
                <w:szCs w:val="21"/>
              </w:rPr>
              <w:t>600030</w:t>
            </w:r>
          </w:p>
        </w:tc>
        <w:tc>
          <w:tcPr>
            <w:tcW w:w="1980" w:type="dxa"/>
            <w:vAlign w:val="center"/>
          </w:tcPr>
          <w:p w:rsidR="007951F4" w:rsidRDefault="005757D9">
            <w:pPr>
              <w:jc w:val="center"/>
            </w:pPr>
            <w:r>
              <w:rPr>
                <w:rFonts w:eastAsiaTheme="minorEastAsia"/>
                <w:szCs w:val="21"/>
              </w:rPr>
              <w:t>中信证券</w:t>
            </w:r>
          </w:p>
        </w:tc>
        <w:tc>
          <w:tcPr>
            <w:tcW w:w="2880" w:type="dxa"/>
            <w:vAlign w:val="center"/>
          </w:tcPr>
          <w:p w:rsidR="007951F4" w:rsidRDefault="005757D9">
            <w:pPr>
              <w:jc w:val="right"/>
            </w:pPr>
            <w:r>
              <w:rPr>
                <w:rFonts w:eastAsiaTheme="minorEastAsia"/>
                <w:szCs w:val="21"/>
              </w:rPr>
              <w:t>669,777.00</w:t>
            </w:r>
          </w:p>
        </w:tc>
        <w:tc>
          <w:tcPr>
            <w:tcW w:w="1620" w:type="dxa"/>
            <w:vAlign w:val="center"/>
          </w:tcPr>
          <w:p w:rsidR="007951F4" w:rsidRDefault="005757D9">
            <w:pPr>
              <w:jc w:val="right"/>
            </w:pPr>
            <w:r>
              <w:rPr>
                <w:rFonts w:eastAsiaTheme="minorEastAsia"/>
                <w:szCs w:val="21"/>
              </w:rPr>
              <w:t>0.24</w:t>
            </w:r>
          </w:p>
        </w:tc>
      </w:tr>
      <w:tr w:rsidR="007951F4">
        <w:tc>
          <w:tcPr>
            <w:tcW w:w="870" w:type="dxa"/>
            <w:vAlign w:val="center"/>
          </w:tcPr>
          <w:p w:rsidR="007951F4" w:rsidRDefault="005757D9">
            <w:pPr>
              <w:jc w:val="center"/>
            </w:pPr>
            <w:r>
              <w:rPr>
                <w:rFonts w:eastAsiaTheme="minorEastAsia"/>
                <w:szCs w:val="21"/>
              </w:rPr>
              <w:t>6</w:t>
            </w:r>
          </w:p>
        </w:tc>
        <w:tc>
          <w:tcPr>
            <w:tcW w:w="1650" w:type="dxa"/>
            <w:vAlign w:val="center"/>
          </w:tcPr>
          <w:p w:rsidR="007951F4" w:rsidRDefault="005757D9">
            <w:pPr>
              <w:jc w:val="center"/>
            </w:pPr>
            <w:r>
              <w:rPr>
                <w:rFonts w:eastAsiaTheme="minorEastAsia"/>
                <w:szCs w:val="21"/>
              </w:rPr>
              <w:t>600276</w:t>
            </w:r>
          </w:p>
        </w:tc>
        <w:tc>
          <w:tcPr>
            <w:tcW w:w="1980" w:type="dxa"/>
            <w:vAlign w:val="center"/>
          </w:tcPr>
          <w:p w:rsidR="007951F4" w:rsidRDefault="005757D9">
            <w:pPr>
              <w:jc w:val="center"/>
            </w:pPr>
            <w:r>
              <w:rPr>
                <w:rFonts w:eastAsiaTheme="minorEastAsia"/>
                <w:szCs w:val="21"/>
              </w:rPr>
              <w:t>恒瑞医药</w:t>
            </w:r>
          </w:p>
        </w:tc>
        <w:tc>
          <w:tcPr>
            <w:tcW w:w="2880" w:type="dxa"/>
            <w:vAlign w:val="center"/>
          </w:tcPr>
          <w:p w:rsidR="007951F4" w:rsidRDefault="005757D9">
            <w:pPr>
              <w:jc w:val="right"/>
            </w:pPr>
            <w:r>
              <w:rPr>
                <w:rFonts w:eastAsiaTheme="minorEastAsia"/>
                <w:szCs w:val="21"/>
              </w:rPr>
              <w:t>658,339.82</w:t>
            </w:r>
          </w:p>
        </w:tc>
        <w:tc>
          <w:tcPr>
            <w:tcW w:w="1620" w:type="dxa"/>
            <w:vAlign w:val="center"/>
          </w:tcPr>
          <w:p w:rsidR="007951F4" w:rsidRDefault="005757D9">
            <w:pPr>
              <w:jc w:val="right"/>
            </w:pPr>
            <w:r>
              <w:rPr>
                <w:rFonts w:eastAsiaTheme="minorEastAsia"/>
                <w:szCs w:val="21"/>
              </w:rPr>
              <w:t>0.24</w:t>
            </w:r>
          </w:p>
        </w:tc>
      </w:tr>
      <w:tr w:rsidR="007951F4">
        <w:tc>
          <w:tcPr>
            <w:tcW w:w="870" w:type="dxa"/>
            <w:vAlign w:val="center"/>
          </w:tcPr>
          <w:p w:rsidR="007951F4" w:rsidRDefault="005757D9">
            <w:pPr>
              <w:jc w:val="center"/>
            </w:pPr>
            <w:r>
              <w:rPr>
                <w:rFonts w:eastAsiaTheme="minorEastAsia"/>
                <w:szCs w:val="21"/>
              </w:rPr>
              <w:t>7</w:t>
            </w:r>
          </w:p>
        </w:tc>
        <w:tc>
          <w:tcPr>
            <w:tcW w:w="1650" w:type="dxa"/>
            <w:vAlign w:val="center"/>
          </w:tcPr>
          <w:p w:rsidR="007951F4" w:rsidRDefault="005757D9">
            <w:pPr>
              <w:jc w:val="center"/>
            </w:pPr>
            <w:r>
              <w:rPr>
                <w:rFonts w:eastAsiaTheme="minorEastAsia"/>
                <w:szCs w:val="21"/>
              </w:rPr>
              <w:t>600887</w:t>
            </w:r>
          </w:p>
        </w:tc>
        <w:tc>
          <w:tcPr>
            <w:tcW w:w="1980" w:type="dxa"/>
            <w:vAlign w:val="center"/>
          </w:tcPr>
          <w:p w:rsidR="007951F4" w:rsidRDefault="005757D9">
            <w:pPr>
              <w:jc w:val="center"/>
            </w:pPr>
            <w:r>
              <w:rPr>
                <w:rFonts w:eastAsiaTheme="minorEastAsia"/>
                <w:szCs w:val="21"/>
              </w:rPr>
              <w:t>伊利股份</w:t>
            </w:r>
          </w:p>
        </w:tc>
        <w:tc>
          <w:tcPr>
            <w:tcW w:w="2880" w:type="dxa"/>
            <w:vAlign w:val="center"/>
          </w:tcPr>
          <w:p w:rsidR="007951F4" w:rsidRDefault="005757D9">
            <w:pPr>
              <w:jc w:val="right"/>
            </w:pPr>
            <w:r>
              <w:rPr>
                <w:rFonts w:eastAsiaTheme="minorEastAsia"/>
                <w:szCs w:val="21"/>
              </w:rPr>
              <w:t>642,011.00</w:t>
            </w:r>
          </w:p>
        </w:tc>
        <w:tc>
          <w:tcPr>
            <w:tcW w:w="1620" w:type="dxa"/>
            <w:vAlign w:val="center"/>
          </w:tcPr>
          <w:p w:rsidR="007951F4" w:rsidRDefault="005757D9">
            <w:pPr>
              <w:jc w:val="right"/>
            </w:pPr>
            <w:r>
              <w:rPr>
                <w:rFonts w:eastAsiaTheme="minorEastAsia"/>
                <w:szCs w:val="21"/>
              </w:rPr>
              <w:t>0.23</w:t>
            </w:r>
          </w:p>
        </w:tc>
      </w:tr>
      <w:tr w:rsidR="007951F4">
        <w:tc>
          <w:tcPr>
            <w:tcW w:w="870" w:type="dxa"/>
            <w:vAlign w:val="center"/>
          </w:tcPr>
          <w:p w:rsidR="007951F4" w:rsidRDefault="005757D9">
            <w:pPr>
              <w:jc w:val="center"/>
            </w:pPr>
            <w:r>
              <w:rPr>
                <w:rFonts w:eastAsiaTheme="minorEastAsia"/>
                <w:szCs w:val="21"/>
              </w:rPr>
              <w:t>8</w:t>
            </w:r>
          </w:p>
        </w:tc>
        <w:tc>
          <w:tcPr>
            <w:tcW w:w="1650" w:type="dxa"/>
            <w:vAlign w:val="center"/>
          </w:tcPr>
          <w:p w:rsidR="007951F4" w:rsidRDefault="005757D9">
            <w:pPr>
              <w:jc w:val="center"/>
            </w:pPr>
            <w:r>
              <w:rPr>
                <w:rFonts w:eastAsiaTheme="minorEastAsia"/>
                <w:szCs w:val="21"/>
              </w:rPr>
              <w:t>601328</w:t>
            </w:r>
          </w:p>
        </w:tc>
        <w:tc>
          <w:tcPr>
            <w:tcW w:w="1980" w:type="dxa"/>
            <w:vAlign w:val="center"/>
          </w:tcPr>
          <w:p w:rsidR="007951F4" w:rsidRDefault="005757D9">
            <w:pPr>
              <w:jc w:val="center"/>
            </w:pPr>
            <w:r>
              <w:rPr>
                <w:rFonts w:eastAsiaTheme="minorEastAsia"/>
                <w:szCs w:val="21"/>
              </w:rPr>
              <w:t>交通银行</w:t>
            </w:r>
          </w:p>
        </w:tc>
        <w:tc>
          <w:tcPr>
            <w:tcW w:w="2880" w:type="dxa"/>
            <w:vAlign w:val="center"/>
          </w:tcPr>
          <w:p w:rsidR="007951F4" w:rsidRDefault="005757D9">
            <w:pPr>
              <w:jc w:val="right"/>
            </w:pPr>
            <w:r>
              <w:rPr>
                <w:rFonts w:eastAsiaTheme="minorEastAsia"/>
                <w:szCs w:val="21"/>
              </w:rPr>
              <w:t>615,587.00</w:t>
            </w:r>
          </w:p>
        </w:tc>
        <w:tc>
          <w:tcPr>
            <w:tcW w:w="1620" w:type="dxa"/>
            <w:vAlign w:val="center"/>
          </w:tcPr>
          <w:p w:rsidR="007951F4" w:rsidRDefault="005757D9">
            <w:pPr>
              <w:jc w:val="right"/>
            </w:pPr>
            <w:r>
              <w:rPr>
                <w:rFonts w:eastAsiaTheme="minorEastAsia"/>
                <w:szCs w:val="21"/>
              </w:rPr>
              <w:t>0.22</w:t>
            </w:r>
          </w:p>
        </w:tc>
      </w:tr>
      <w:tr w:rsidR="007951F4">
        <w:tc>
          <w:tcPr>
            <w:tcW w:w="870" w:type="dxa"/>
            <w:vAlign w:val="center"/>
          </w:tcPr>
          <w:p w:rsidR="007951F4" w:rsidRDefault="005757D9">
            <w:pPr>
              <w:jc w:val="center"/>
            </w:pPr>
            <w:r>
              <w:rPr>
                <w:rFonts w:eastAsiaTheme="minorEastAsia"/>
                <w:szCs w:val="21"/>
              </w:rPr>
              <w:t>9</w:t>
            </w:r>
          </w:p>
        </w:tc>
        <w:tc>
          <w:tcPr>
            <w:tcW w:w="1650" w:type="dxa"/>
            <w:vAlign w:val="center"/>
          </w:tcPr>
          <w:p w:rsidR="007951F4" w:rsidRDefault="005757D9">
            <w:pPr>
              <w:jc w:val="center"/>
            </w:pPr>
            <w:r>
              <w:rPr>
                <w:rFonts w:eastAsiaTheme="minorEastAsia"/>
                <w:szCs w:val="21"/>
              </w:rPr>
              <w:t>600016</w:t>
            </w:r>
          </w:p>
        </w:tc>
        <w:tc>
          <w:tcPr>
            <w:tcW w:w="1980" w:type="dxa"/>
            <w:vAlign w:val="center"/>
          </w:tcPr>
          <w:p w:rsidR="007951F4" w:rsidRDefault="005757D9">
            <w:pPr>
              <w:jc w:val="center"/>
            </w:pPr>
            <w:r>
              <w:rPr>
                <w:rFonts w:eastAsiaTheme="minorEastAsia"/>
                <w:szCs w:val="21"/>
              </w:rPr>
              <w:t>民生银行</w:t>
            </w:r>
          </w:p>
        </w:tc>
        <w:tc>
          <w:tcPr>
            <w:tcW w:w="2880" w:type="dxa"/>
            <w:vAlign w:val="center"/>
          </w:tcPr>
          <w:p w:rsidR="007951F4" w:rsidRDefault="005757D9">
            <w:pPr>
              <w:jc w:val="right"/>
            </w:pPr>
            <w:r>
              <w:rPr>
                <w:rFonts w:eastAsiaTheme="minorEastAsia"/>
                <w:szCs w:val="21"/>
              </w:rPr>
              <w:t>574,072.00</w:t>
            </w:r>
          </w:p>
        </w:tc>
        <w:tc>
          <w:tcPr>
            <w:tcW w:w="1620" w:type="dxa"/>
            <w:vAlign w:val="center"/>
          </w:tcPr>
          <w:p w:rsidR="007951F4" w:rsidRDefault="005757D9">
            <w:pPr>
              <w:jc w:val="right"/>
            </w:pPr>
            <w:r>
              <w:rPr>
                <w:rFonts w:eastAsiaTheme="minorEastAsia"/>
                <w:szCs w:val="21"/>
              </w:rPr>
              <w:t>0.21</w:t>
            </w:r>
          </w:p>
        </w:tc>
      </w:tr>
      <w:tr w:rsidR="007951F4">
        <w:tc>
          <w:tcPr>
            <w:tcW w:w="870" w:type="dxa"/>
            <w:vAlign w:val="center"/>
          </w:tcPr>
          <w:p w:rsidR="007951F4" w:rsidRDefault="005757D9">
            <w:pPr>
              <w:jc w:val="center"/>
            </w:pPr>
            <w:r>
              <w:rPr>
                <w:rFonts w:eastAsiaTheme="minorEastAsia"/>
                <w:szCs w:val="21"/>
              </w:rPr>
              <w:t>10</w:t>
            </w:r>
          </w:p>
        </w:tc>
        <w:tc>
          <w:tcPr>
            <w:tcW w:w="1650" w:type="dxa"/>
            <w:vAlign w:val="center"/>
          </w:tcPr>
          <w:p w:rsidR="007951F4" w:rsidRDefault="005757D9">
            <w:pPr>
              <w:jc w:val="center"/>
            </w:pPr>
            <w:r>
              <w:rPr>
                <w:rFonts w:eastAsiaTheme="minorEastAsia"/>
                <w:szCs w:val="21"/>
              </w:rPr>
              <w:t>601288</w:t>
            </w:r>
          </w:p>
        </w:tc>
        <w:tc>
          <w:tcPr>
            <w:tcW w:w="1980" w:type="dxa"/>
            <w:vAlign w:val="center"/>
          </w:tcPr>
          <w:p w:rsidR="007951F4" w:rsidRDefault="005757D9">
            <w:pPr>
              <w:jc w:val="center"/>
            </w:pPr>
            <w:r>
              <w:rPr>
                <w:rFonts w:eastAsiaTheme="minorEastAsia"/>
                <w:szCs w:val="21"/>
              </w:rPr>
              <w:t>农业银行</w:t>
            </w:r>
          </w:p>
        </w:tc>
        <w:tc>
          <w:tcPr>
            <w:tcW w:w="2880" w:type="dxa"/>
            <w:vAlign w:val="center"/>
          </w:tcPr>
          <w:p w:rsidR="007951F4" w:rsidRDefault="005757D9">
            <w:pPr>
              <w:jc w:val="right"/>
            </w:pPr>
            <w:r>
              <w:rPr>
                <w:rFonts w:eastAsiaTheme="minorEastAsia"/>
                <w:szCs w:val="21"/>
              </w:rPr>
              <w:t>512,073.00</w:t>
            </w:r>
          </w:p>
        </w:tc>
        <w:tc>
          <w:tcPr>
            <w:tcW w:w="1620" w:type="dxa"/>
            <w:vAlign w:val="center"/>
          </w:tcPr>
          <w:p w:rsidR="007951F4" w:rsidRDefault="005757D9">
            <w:pPr>
              <w:jc w:val="right"/>
            </w:pPr>
            <w:r>
              <w:rPr>
                <w:rFonts w:eastAsiaTheme="minorEastAsia"/>
                <w:szCs w:val="21"/>
              </w:rPr>
              <w:t>0.19</w:t>
            </w:r>
          </w:p>
        </w:tc>
      </w:tr>
      <w:tr w:rsidR="007951F4">
        <w:tc>
          <w:tcPr>
            <w:tcW w:w="870" w:type="dxa"/>
            <w:vAlign w:val="center"/>
          </w:tcPr>
          <w:p w:rsidR="007951F4" w:rsidRDefault="005757D9">
            <w:pPr>
              <w:jc w:val="center"/>
            </w:pPr>
            <w:r>
              <w:rPr>
                <w:rFonts w:eastAsiaTheme="minorEastAsia"/>
                <w:szCs w:val="21"/>
              </w:rPr>
              <w:t>11</w:t>
            </w:r>
          </w:p>
        </w:tc>
        <w:tc>
          <w:tcPr>
            <w:tcW w:w="1650" w:type="dxa"/>
            <w:vAlign w:val="center"/>
          </w:tcPr>
          <w:p w:rsidR="007951F4" w:rsidRDefault="005757D9">
            <w:pPr>
              <w:jc w:val="center"/>
            </w:pPr>
            <w:r>
              <w:rPr>
                <w:rFonts w:eastAsiaTheme="minorEastAsia"/>
                <w:szCs w:val="21"/>
              </w:rPr>
              <w:t>601398</w:t>
            </w:r>
          </w:p>
        </w:tc>
        <w:tc>
          <w:tcPr>
            <w:tcW w:w="1980" w:type="dxa"/>
            <w:vAlign w:val="center"/>
          </w:tcPr>
          <w:p w:rsidR="007951F4" w:rsidRDefault="005757D9">
            <w:pPr>
              <w:jc w:val="center"/>
            </w:pPr>
            <w:r>
              <w:rPr>
                <w:rFonts w:eastAsiaTheme="minorEastAsia"/>
                <w:szCs w:val="21"/>
              </w:rPr>
              <w:t>工商银行</w:t>
            </w:r>
          </w:p>
        </w:tc>
        <w:tc>
          <w:tcPr>
            <w:tcW w:w="2880" w:type="dxa"/>
            <w:vAlign w:val="center"/>
          </w:tcPr>
          <w:p w:rsidR="007951F4" w:rsidRDefault="005757D9">
            <w:pPr>
              <w:jc w:val="right"/>
            </w:pPr>
            <w:r>
              <w:rPr>
                <w:rFonts w:eastAsiaTheme="minorEastAsia"/>
                <w:szCs w:val="21"/>
              </w:rPr>
              <w:t>482,398.00</w:t>
            </w:r>
          </w:p>
        </w:tc>
        <w:tc>
          <w:tcPr>
            <w:tcW w:w="1620" w:type="dxa"/>
            <w:vAlign w:val="center"/>
          </w:tcPr>
          <w:p w:rsidR="007951F4" w:rsidRDefault="005757D9">
            <w:pPr>
              <w:jc w:val="right"/>
            </w:pPr>
            <w:r>
              <w:rPr>
                <w:rFonts w:eastAsiaTheme="minorEastAsia"/>
                <w:szCs w:val="21"/>
              </w:rPr>
              <w:t>0.18</w:t>
            </w:r>
          </w:p>
        </w:tc>
      </w:tr>
      <w:tr w:rsidR="007951F4">
        <w:tc>
          <w:tcPr>
            <w:tcW w:w="870" w:type="dxa"/>
            <w:vAlign w:val="center"/>
          </w:tcPr>
          <w:p w:rsidR="007951F4" w:rsidRDefault="005757D9">
            <w:pPr>
              <w:jc w:val="center"/>
            </w:pPr>
            <w:r>
              <w:rPr>
                <w:rFonts w:eastAsiaTheme="minorEastAsia"/>
                <w:szCs w:val="21"/>
              </w:rPr>
              <w:t>12</w:t>
            </w:r>
          </w:p>
        </w:tc>
        <w:tc>
          <w:tcPr>
            <w:tcW w:w="1650" w:type="dxa"/>
            <w:vAlign w:val="center"/>
          </w:tcPr>
          <w:p w:rsidR="007951F4" w:rsidRDefault="005757D9">
            <w:pPr>
              <w:jc w:val="center"/>
            </w:pPr>
            <w:r>
              <w:rPr>
                <w:rFonts w:eastAsiaTheme="minorEastAsia"/>
                <w:szCs w:val="21"/>
              </w:rPr>
              <w:t>600000</w:t>
            </w:r>
          </w:p>
        </w:tc>
        <w:tc>
          <w:tcPr>
            <w:tcW w:w="1980" w:type="dxa"/>
            <w:vAlign w:val="center"/>
          </w:tcPr>
          <w:p w:rsidR="007951F4" w:rsidRDefault="005757D9">
            <w:pPr>
              <w:jc w:val="center"/>
            </w:pPr>
            <w:r>
              <w:rPr>
                <w:rFonts w:eastAsiaTheme="minorEastAsia"/>
                <w:szCs w:val="21"/>
              </w:rPr>
              <w:t>浦发银行</w:t>
            </w:r>
          </w:p>
        </w:tc>
        <w:tc>
          <w:tcPr>
            <w:tcW w:w="2880" w:type="dxa"/>
            <w:vAlign w:val="center"/>
          </w:tcPr>
          <w:p w:rsidR="007951F4" w:rsidRDefault="005757D9">
            <w:pPr>
              <w:jc w:val="right"/>
            </w:pPr>
            <w:r>
              <w:rPr>
                <w:rFonts w:eastAsiaTheme="minorEastAsia"/>
                <w:szCs w:val="21"/>
              </w:rPr>
              <w:t>469,303.00</w:t>
            </w:r>
          </w:p>
        </w:tc>
        <w:tc>
          <w:tcPr>
            <w:tcW w:w="1620" w:type="dxa"/>
            <w:vAlign w:val="center"/>
          </w:tcPr>
          <w:p w:rsidR="007951F4" w:rsidRDefault="005757D9">
            <w:pPr>
              <w:jc w:val="right"/>
            </w:pPr>
            <w:r>
              <w:rPr>
                <w:rFonts w:eastAsiaTheme="minorEastAsia"/>
                <w:szCs w:val="21"/>
              </w:rPr>
              <w:t>0.17</w:t>
            </w:r>
          </w:p>
        </w:tc>
      </w:tr>
      <w:tr w:rsidR="007951F4">
        <w:tc>
          <w:tcPr>
            <w:tcW w:w="870" w:type="dxa"/>
            <w:vAlign w:val="center"/>
          </w:tcPr>
          <w:p w:rsidR="007951F4" w:rsidRDefault="005757D9">
            <w:pPr>
              <w:jc w:val="center"/>
            </w:pPr>
            <w:r>
              <w:rPr>
                <w:rFonts w:eastAsiaTheme="minorEastAsia"/>
                <w:szCs w:val="21"/>
              </w:rPr>
              <w:t>13</w:t>
            </w:r>
          </w:p>
        </w:tc>
        <w:tc>
          <w:tcPr>
            <w:tcW w:w="1650" w:type="dxa"/>
            <w:vAlign w:val="center"/>
          </w:tcPr>
          <w:p w:rsidR="007951F4" w:rsidRDefault="005757D9">
            <w:pPr>
              <w:jc w:val="center"/>
            </w:pPr>
            <w:r>
              <w:rPr>
                <w:rFonts w:eastAsiaTheme="minorEastAsia"/>
                <w:szCs w:val="21"/>
              </w:rPr>
              <w:t>601668</w:t>
            </w:r>
          </w:p>
        </w:tc>
        <w:tc>
          <w:tcPr>
            <w:tcW w:w="1980" w:type="dxa"/>
            <w:vAlign w:val="center"/>
          </w:tcPr>
          <w:p w:rsidR="007951F4" w:rsidRDefault="005757D9">
            <w:pPr>
              <w:jc w:val="center"/>
            </w:pPr>
            <w:r>
              <w:rPr>
                <w:rFonts w:eastAsiaTheme="minorEastAsia"/>
                <w:szCs w:val="21"/>
              </w:rPr>
              <w:t>中国建筑</w:t>
            </w:r>
          </w:p>
        </w:tc>
        <w:tc>
          <w:tcPr>
            <w:tcW w:w="2880" w:type="dxa"/>
            <w:vAlign w:val="center"/>
          </w:tcPr>
          <w:p w:rsidR="007951F4" w:rsidRDefault="005757D9">
            <w:pPr>
              <w:jc w:val="right"/>
            </w:pPr>
            <w:r>
              <w:rPr>
                <w:rFonts w:eastAsiaTheme="minorEastAsia"/>
                <w:szCs w:val="21"/>
              </w:rPr>
              <w:t>464,796.00</w:t>
            </w:r>
          </w:p>
        </w:tc>
        <w:tc>
          <w:tcPr>
            <w:tcW w:w="1620" w:type="dxa"/>
            <w:vAlign w:val="center"/>
          </w:tcPr>
          <w:p w:rsidR="007951F4" w:rsidRDefault="005757D9">
            <w:pPr>
              <w:jc w:val="right"/>
            </w:pPr>
            <w:r>
              <w:rPr>
                <w:rFonts w:eastAsiaTheme="minorEastAsia"/>
                <w:szCs w:val="21"/>
              </w:rPr>
              <w:t>0.17</w:t>
            </w:r>
          </w:p>
        </w:tc>
      </w:tr>
      <w:tr w:rsidR="007951F4">
        <w:tc>
          <w:tcPr>
            <w:tcW w:w="870" w:type="dxa"/>
            <w:vAlign w:val="center"/>
          </w:tcPr>
          <w:p w:rsidR="007951F4" w:rsidRDefault="005757D9">
            <w:pPr>
              <w:jc w:val="center"/>
            </w:pPr>
            <w:r>
              <w:rPr>
                <w:rFonts w:eastAsiaTheme="minorEastAsia"/>
                <w:szCs w:val="21"/>
              </w:rPr>
              <w:t>14</w:t>
            </w:r>
          </w:p>
        </w:tc>
        <w:tc>
          <w:tcPr>
            <w:tcW w:w="1650" w:type="dxa"/>
            <w:vAlign w:val="center"/>
          </w:tcPr>
          <w:p w:rsidR="007951F4" w:rsidRDefault="005757D9">
            <w:pPr>
              <w:jc w:val="center"/>
            </w:pPr>
            <w:r>
              <w:rPr>
                <w:rFonts w:eastAsiaTheme="minorEastAsia"/>
                <w:szCs w:val="21"/>
              </w:rPr>
              <w:t>601601</w:t>
            </w:r>
          </w:p>
        </w:tc>
        <w:tc>
          <w:tcPr>
            <w:tcW w:w="1980" w:type="dxa"/>
            <w:vAlign w:val="center"/>
          </w:tcPr>
          <w:p w:rsidR="007951F4" w:rsidRDefault="005757D9">
            <w:pPr>
              <w:jc w:val="center"/>
            </w:pPr>
            <w:r>
              <w:rPr>
                <w:rFonts w:eastAsiaTheme="minorEastAsia"/>
                <w:szCs w:val="21"/>
              </w:rPr>
              <w:t>中国太保</w:t>
            </w:r>
          </w:p>
        </w:tc>
        <w:tc>
          <w:tcPr>
            <w:tcW w:w="2880" w:type="dxa"/>
            <w:vAlign w:val="center"/>
          </w:tcPr>
          <w:p w:rsidR="007951F4" w:rsidRDefault="005757D9">
            <w:pPr>
              <w:jc w:val="right"/>
            </w:pPr>
            <w:r>
              <w:rPr>
                <w:rFonts w:eastAsiaTheme="minorEastAsia"/>
                <w:szCs w:val="21"/>
              </w:rPr>
              <w:t>409,840.00</w:t>
            </w:r>
          </w:p>
        </w:tc>
        <w:tc>
          <w:tcPr>
            <w:tcW w:w="1620" w:type="dxa"/>
            <w:vAlign w:val="center"/>
          </w:tcPr>
          <w:p w:rsidR="007951F4" w:rsidRDefault="005757D9">
            <w:pPr>
              <w:jc w:val="right"/>
            </w:pPr>
            <w:r>
              <w:rPr>
                <w:rFonts w:eastAsiaTheme="minorEastAsia"/>
                <w:szCs w:val="21"/>
              </w:rPr>
              <w:t>0.15</w:t>
            </w:r>
          </w:p>
        </w:tc>
      </w:tr>
      <w:tr w:rsidR="007951F4">
        <w:tc>
          <w:tcPr>
            <w:tcW w:w="870" w:type="dxa"/>
            <w:vAlign w:val="center"/>
          </w:tcPr>
          <w:p w:rsidR="007951F4" w:rsidRDefault="005757D9">
            <w:pPr>
              <w:jc w:val="center"/>
            </w:pPr>
            <w:r>
              <w:rPr>
                <w:rFonts w:eastAsiaTheme="minorEastAsia"/>
                <w:szCs w:val="21"/>
              </w:rPr>
              <w:t>15</w:t>
            </w:r>
          </w:p>
        </w:tc>
        <w:tc>
          <w:tcPr>
            <w:tcW w:w="1650" w:type="dxa"/>
            <w:vAlign w:val="center"/>
          </w:tcPr>
          <w:p w:rsidR="007951F4" w:rsidRDefault="005757D9">
            <w:pPr>
              <w:jc w:val="center"/>
            </w:pPr>
            <w:r>
              <w:rPr>
                <w:rFonts w:eastAsiaTheme="minorEastAsia"/>
                <w:szCs w:val="21"/>
              </w:rPr>
              <w:t>600837</w:t>
            </w:r>
          </w:p>
        </w:tc>
        <w:tc>
          <w:tcPr>
            <w:tcW w:w="1980" w:type="dxa"/>
            <w:vAlign w:val="center"/>
          </w:tcPr>
          <w:p w:rsidR="007951F4" w:rsidRDefault="005757D9">
            <w:pPr>
              <w:jc w:val="center"/>
            </w:pPr>
            <w:r>
              <w:rPr>
                <w:rFonts w:eastAsiaTheme="minorEastAsia"/>
                <w:szCs w:val="21"/>
              </w:rPr>
              <w:t>海通证券</w:t>
            </w:r>
          </w:p>
        </w:tc>
        <w:tc>
          <w:tcPr>
            <w:tcW w:w="2880" w:type="dxa"/>
            <w:vAlign w:val="center"/>
          </w:tcPr>
          <w:p w:rsidR="007951F4" w:rsidRDefault="005757D9">
            <w:pPr>
              <w:jc w:val="right"/>
            </w:pPr>
            <w:r>
              <w:rPr>
                <w:rFonts w:eastAsiaTheme="minorEastAsia"/>
                <w:szCs w:val="21"/>
              </w:rPr>
              <w:t>401,204.67</w:t>
            </w:r>
          </w:p>
        </w:tc>
        <w:tc>
          <w:tcPr>
            <w:tcW w:w="1620" w:type="dxa"/>
            <w:vAlign w:val="center"/>
          </w:tcPr>
          <w:p w:rsidR="007951F4" w:rsidRDefault="005757D9">
            <w:pPr>
              <w:jc w:val="right"/>
            </w:pPr>
            <w:r>
              <w:rPr>
                <w:rFonts w:eastAsiaTheme="minorEastAsia"/>
                <w:szCs w:val="21"/>
              </w:rPr>
              <w:t>0.15</w:t>
            </w:r>
          </w:p>
        </w:tc>
      </w:tr>
      <w:tr w:rsidR="007951F4">
        <w:tc>
          <w:tcPr>
            <w:tcW w:w="870" w:type="dxa"/>
            <w:vAlign w:val="center"/>
          </w:tcPr>
          <w:p w:rsidR="007951F4" w:rsidRDefault="005757D9">
            <w:pPr>
              <w:jc w:val="center"/>
            </w:pPr>
            <w:r>
              <w:rPr>
                <w:rFonts w:eastAsiaTheme="minorEastAsia"/>
                <w:szCs w:val="21"/>
              </w:rPr>
              <w:t>16</w:t>
            </w:r>
          </w:p>
        </w:tc>
        <w:tc>
          <w:tcPr>
            <w:tcW w:w="1650" w:type="dxa"/>
            <w:vAlign w:val="center"/>
          </w:tcPr>
          <w:p w:rsidR="007951F4" w:rsidRDefault="005757D9">
            <w:pPr>
              <w:jc w:val="center"/>
            </w:pPr>
            <w:r>
              <w:rPr>
                <w:rFonts w:eastAsiaTheme="minorEastAsia"/>
                <w:szCs w:val="21"/>
              </w:rPr>
              <w:t>600900</w:t>
            </w:r>
          </w:p>
        </w:tc>
        <w:tc>
          <w:tcPr>
            <w:tcW w:w="1980" w:type="dxa"/>
            <w:vAlign w:val="center"/>
          </w:tcPr>
          <w:p w:rsidR="007951F4" w:rsidRDefault="005757D9">
            <w:pPr>
              <w:jc w:val="center"/>
            </w:pPr>
            <w:r>
              <w:rPr>
                <w:rFonts w:eastAsiaTheme="minorEastAsia"/>
                <w:szCs w:val="21"/>
              </w:rPr>
              <w:t>长江电力</w:t>
            </w:r>
          </w:p>
        </w:tc>
        <w:tc>
          <w:tcPr>
            <w:tcW w:w="2880" w:type="dxa"/>
            <w:vAlign w:val="center"/>
          </w:tcPr>
          <w:p w:rsidR="007951F4" w:rsidRDefault="005757D9">
            <w:pPr>
              <w:jc w:val="right"/>
            </w:pPr>
            <w:r>
              <w:rPr>
                <w:rFonts w:eastAsiaTheme="minorEastAsia"/>
                <w:szCs w:val="21"/>
              </w:rPr>
              <w:t>398,309.00</w:t>
            </w:r>
          </w:p>
        </w:tc>
        <w:tc>
          <w:tcPr>
            <w:tcW w:w="1620" w:type="dxa"/>
            <w:vAlign w:val="center"/>
          </w:tcPr>
          <w:p w:rsidR="007951F4" w:rsidRDefault="005757D9">
            <w:pPr>
              <w:jc w:val="right"/>
            </w:pPr>
            <w:r>
              <w:rPr>
                <w:rFonts w:eastAsiaTheme="minorEastAsia"/>
                <w:szCs w:val="21"/>
              </w:rPr>
              <w:t>0.15</w:t>
            </w:r>
          </w:p>
        </w:tc>
      </w:tr>
      <w:tr w:rsidR="007951F4">
        <w:tc>
          <w:tcPr>
            <w:tcW w:w="870" w:type="dxa"/>
            <w:vAlign w:val="center"/>
          </w:tcPr>
          <w:p w:rsidR="007951F4" w:rsidRDefault="005757D9">
            <w:pPr>
              <w:jc w:val="center"/>
            </w:pPr>
            <w:r>
              <w:rPr>
                <w:rFonts w:eastAsiaTheme="minorEastAsia"/>
                <w:szCs w:val="21"/>
              </w:rPr>
              <w:t>17</w:t>
            </w:r>
          </w:p>
        </w:tc>
        <w:tc>
          <w:tcPr>
            <w:tcW w:w="1650" w:type="dxa"/>
            <w:vAlign w:val="center"/>
          </w:tcPr>
          <w:p w:rsidR="007951F4" w:rsidRDefault="005757D9">
            <w:pPr>
              <w:jc w:val="center"/>
            </w:pPr>
            <w:r>
              <w:rPr>
                <w:rFonts w:eastAsiaTheme="minorEastAsia"/>
                <w:szCs w:val="21"/>
              </w:rPr>
              <w:t>600048</w:t>
            </w:r>
          </w:p>
        </w:tc>
        <w:tc>
          <w:tcPr>
            <w:tcW w:w="1980" w:type="dxa"/>
            <w:vAlign w:val="center"/>
          </w:tcPr>
          <w:p w:rsidR="007951F4" w:rsidRDefault="005757D9">
            <w:pPr>
              <w:jc w:val="center"/>
            </w:pPr>
            <w:r>
              <w:rPr>
                <w:rFonts w:eastAsiaTheme="minorEastAsia"/>
                <w:szCs w:val="21"/>
              </w:rPr>
              <w:t>保利地产</w:t>
            </w:r>
          </w:p>
        </w:tc>
        <w:tc>
          <w:tcPr>
            <w:tcW w:w="2880" w:type="dxa"/>
            <w:vAlign w:val="center"/>
          </w:tcPr>
          <w:p w:rsidR="007951F4" w:rsidRDefault="005757D9">
            <w:pPr>
              <w:jc w:val="right"/>
            </w:pPr>
            <w:r>
              <w:rPr>
                <w:rFonts w:eastAsiaTheme="minorEastAsia"/>
                <w:szCs w:val="21"/>
              </w:rPr>
              <w:t>367,514.00</w:t>
            </w:r>
          </w:p>
        </w:tc>
        <w:tc>
          <w:tcPr>
            <w:tcW w:w="1620" w:type="dxa"/>
            <w:vAlign w:val="center"/>
          </w:tcPr>
          <w:p w:rsidR="007951F4" w:rsidRDefault="005757D9">
            <w:pPr>
              <w:jc w:val="right"/>
            </w:pPr>
            <w:r>
              <w:rPr>
                <w:rFonts w:eastAsiaTheme="minorEastAsia"/>
                <w:szCs w:val="21"/>
              </w:rPr>
              <w:t>0.13</w:t>
            </w:r>
          </w:p>
        </w:tc>
      </w:tr>
      <w:tr w:rsidR="007951F4">
        <w:tc>
          <w:tcPr>
            <w:tcW w:w="870" w:type="dxa"/>
            <w:vAlign w:val="center"/>
          </w:tcPr>
          <w:p w:rsidR="007951F4" w:rsidRDefault="005757D9">
            <w:pPr>
              <w:jc w:val="center"/>
            </w:pPr>
            <w:r>
              <w:rPr>
                <w:rFonts w:eastAsiaTheme="minorEastAsia"/>
                <w:szCs w:val="21"/>
              </w:rPr>
              <w:t>18</w:t>
            </w:r>
          </w:p>
        </w:tc>
        <w:tc>
          <w:tcPr>
            <w:tcW w:w="1650" w:type="dxa"/>
            <w:vAlign w:val="center"/>
          </w:tcPr>
          <w:p w:rsidR="007951F4" w:rsidRDefault="005757D9">
            <w:pPr>
              <w:jc w:val="center"/>
            </w:pPr>
            <w:r>
              <w:rPr>
                <w:rFonts w:eastAsiaTheme="minorEastAsia"/>
                <w:szCs w:val="21"/>
              </w:rPr>
              <w:t>600104</w:t>
            </w:r>
          </w:p>
        </w:tc>
        <w:tc>
          <w:tcPr>
            <w:tcW w:w="1980" w:type="dxa"/>
            <w:vAlign w:val="center"/>
          </w:tcPr>
          <w:p w:rsidR="007951F4" w:rsidRDefault="005757D9">
            <w:pPr>
              <w:jc w:val="center"/>
            </w:pPr>
            <w:r>
              <w:rPr>
                <w:rFonts w:eastAsiaTheme="minorEastAsia"/>
                <w:szCs w:val="21"/>
              </w:rPr>
              <w:t>上汽集团</w:t>
            </w:r>
          </w:p>
        </w:tc>
        <w:tc>
          <w:tcPr>
            <w:tcW w:w="2880" w:type="dxa"/>
            <w:vAlign w:val="center"/>
          </w:tcPr>
          <w:p w:rsidR="007951F4" w:rsidRDefault="005757D9">
            <w:pPr>
              <w:jc w:val="right"/>
            </w:pPr>
            <w:r>
              <w:rPr>
                <w:rFonts w:eastAsiaTheme="minorEastAsia"/>
                <w:szCs w:val="21"/>
              </w:rPr>
              <w:t>355,113.00</w:t>
            </w:r>
          </w:p>
        </w:tc>
        <w:tc>
          <w:tcPr>
            <w:tcW w:w="1620" w:type="dxa"/>
            <w:vAlign w:val="center"/>
          </w:tcPr>
          <w:p w:rsidR="007951F4" w:rsidRDefault="005757D9">
            <w:pPr>
              <w:jc w:val="right"/>
            </w:pPr>
            <w:r>
              <w:rPr>
                <w:rFonts w:eastAsiaTheme="minorEastAsia"/>
                <w:szCs w:val="21"/>
              </w:rPr>
              <w:t>0.13</w:t>
            </w:r>
          </w:p>
        </w:tc>
      </w:tr>
      <w:tr w:rsidR="007951F4">
        <w:tc>
          <w:tcPr>
            <w:tcW w:w="870" w:type="dxa"/>
            <w:vAlign w:val="center"/>
          </w:tcPr>
          <w:p w:rsidR="007951F4" w:rsidRDefault="005757D9">
            <w:pPr>
              <w:jc w:val="center"/>
            </w:pPr>
            <w:r>
              <w:rPr>
                <w:rFonts w:eastAsiaTheme="minorEastAsia"/>
                <w:szCs w:val="21"/>
              </w:rPr>
              <w:t>19</w:t>
            </w:r>
          </w:p>
        </w:tc>
        <w:tc>
          <w:tcPr>
            <w:tcW w:w="1650" w:type="dxa"/>
            <w:vAlign w:val="center"/>
          </w:tcPr>
          <w:p w:rsidR="007951F4" w:rsidRDefault="005757D9">
            <w:pPr>
              <w:jc w:val="center"/>
            </w:pPr>
            <w:r>
              <w:rPr>
                <w:rFonts w:eastAsiaTheme="minorEastAsia"/>
                <w:szCs w:val="21"/>
              </w:rPr>
              <w:t>601766</w:t>
            </w:r>
          </w:p>
        </w:tc>
        <w:tc>
          <w:tcPr>
            <w:tcW w:w="1980" w:type="dxa"/>
            <w:vAlign w:val="center"/>
          </w:tcPr>
          <w:p w:rsidR="007951F4" w:rsidRDefault="005757D9">
            <w:pPr>
              <w:jc w:val="center"/>
            </w:pPr>
            <w:r>
              <w:rPr>
                <w:rFonts w:eastAsiaTheme="minorEastAsia"/>
                <w:szCs w:val="21"/>
              </w:rPr>
              <w:t>中国中车</w:t>
            </w:r>
          </w:p>
        </w:tc>
        <w:tc>
          <w:tcPr>
            <w:tcW w:w="2880" w:type="dxa"/>
            <w:vAlign w:val="center"/>
          </w:tcPr>
          <w:p w:rsidR="007951F4" w:rsidRDefault="005757D9">
            <w:pPr>
              <w:jc w:val="right"/>
            </w:pPr>
            <w:r>
              <w:rPr>
                <w:rFonts w:eastAsiaTheme="minorEastAsia"/>
                <w:szCs w:val="21"/>
              </w:rPr>
              <w:t>346,987.00</w:t>
            </w:r>
          </w:p>
        </w:tc>
        <w:tc>
          <w:tcPr>
            <w:tcW w:w="1620" w:type="dxa"/>
            <w:vAlign w:val="center"/>
          </w:tcPr>
          <w:p w:rsidR="007951F4" w:rsidRDefault="005757D9">
            <w:pPr>
              <w:jc w:val="right"/>
            </w:pPr>
            <w:r>
              <w:rPr>
                <w:rFonts w:eastAsiaTheme="minorEastAsia"/>
                <w:szCs w:val="21"/>
              </w:rPr>
              <w:t>0.13</w:t>
            </w:r>
          </w:p>
        </w:tc>
      </w:tr>
      <w:tr w:rsidR="007951F4">
        <w:tc>
          <w:tcPr>
            <w:tcW w:w="870" w:type="dxa"/>
            <w:vAlign w:val="center"/>
          </w:tcPr>
          <w:p w:rsidR="007951F4" w:rsidRDefault="005757D9">
            <w:pPr>
              <w:jc w:val="center"/>
            </w:pPr>
            <w:r>
              <w:rPr>
                <w:rFonts w:eastAsiaTheme="minorEastAsia"/>
                <w:szCs w:val="21"/>
              </w:rPr>
              <w:t>20</w:t>
            </w:r>
          </w:p>
        </w:tc>
        <w:tc>
          <w:tcPr>
            <w:tcW w:w="1650" w:type="dxa"/>
            <w:vAlign w:val="center"/>
          </w:tcPr>
          <w:p w:rsidR="007951F4" w:rsidRDefault="005757D9">
            <w:pPr>
              <w:jc w:val="center"/>
            </w:pPr>
            <w:r>
              <w:rPr>
                <w:rFonts w:eastAsiaTheme="minorEastAsia"/>
                <w:szCs w:val="21"/>
              </w:rPr>
              <w:t>601211</w:t>
            </w:r>
          </w:p>
        </w:tc>
        <w:tc>
          <w:tcPr>
            <w:tcW w:w="1980" w:type="dxa"/>
            <w:vAlign w:val="center"/>
          </w:tcPr>
          <w:p w:rsidR="007951F4" w:rsidRDefault="005757D9">
            <w:pPr>
              <w:jc w:val="center"/>
            </w:pPr>
            <w:r>
              <w:rPr>
                <w:rFonts w:eastAsiaTheme="minorEastAsia"/>
                <w:szCs w:val="21"/>
              </w:rPr>
              <w:t>国泰君安</w:t>
            </w:r>
          </w:p>
        </w:tc>
        <w:tc>
          <w:tcPr>
            <w:tcW w:w="2880" w:type="dxa"/>
            <w:vAlign w:val="center"/>
          </w:tcPr>
          <w:p w:rsidR="007951F4" w:rsidRDefault="005757D9">
            <w:pPr>
              <w:jc w:val="right"/>
            </w:pPr>
            <w:r>
              <w:rPr>
                <w:rFonts w:eastAsiaTheme="minorEastAsia"/>
                <w:szCs w:val="21"/>
              </w:rPr>
              <w:t>338,112.00</w:t>
            </w:r>
          </w:p>
        </w:tc>
        <w:tc>
          <w:tcPr>
            <w:tcW w:w="1620" w:type="dxa"/>
            <w:vAlign w:val="center"/>
          </w:tcPr>
          <w:p w:rsidR="007951F4" w:rsidRDefault="005757D9">
            <w:pPr>
              <w:jc w:val="right"/>
            </w:pPr>
            <w:r>
              <w:rPr>
                <w:rFonts w:eastAsiaTheme="minorEastAsia"/>
                <w:szCs w:val="21"/>
              </w:rPr>
              <w:t>0.12</w:t>
            </w:r>
          </w:p>
        </w:tc>
      </w:tr>
    </w:tbl>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注：本项</w:t>
      </w:r>
      <w:r w:rsidRPr="00646A7D">
        <w:rPr>
          <w:rFonts w:eastAsiaTheme="minorEastAsia"/>
          <w:kern w:val="0"/>
          <w:szCs w:val="21"/>
        </w:rPr>
        <w:t>“</w:t>
      </w:r>
      <w:r w:rsidRPr="00646A7D">
        <w:rPr>
          <w:rFonts w:eastAsiaTheme="minorEastAsia"/>
          <w:kern w:val="0"/>
          <w:szCs w:val="21"/>
        </w:rPr>
        <w:t>卖出金额</w:t>
      </w:r>
      <w:r w:rsidRPr="00646A7D">
        <w:rPr>
          <w:rFonts w:eastAsiaTheme="minorEastAsia"/>
          <w:kern w:val="0"/>
          <w:szCs w:val="21"/>
        </w:rPr>
        <w:t>”</w:t>
      </w:r>
      <w:r w:rsidRPr="00646A7D">
        <w:rPr>
          <w:rFonts w:eastAsiaTheme="minorEastAsia"/>
          <w:kern w:val="0"/>
          <w:szCs w:val="21"/>
        </w:rPr>
        <w:t>均按买卖成交金额（成交单价乘以成交数量）填列，不考虑相关交易费用。</w:t>
      </w:r>
    </w:p>
    <w:p w:rsidR="001548F9" w:rsidRPr="00646A7D" w:rsidRDefault="001548F9" w:rsidP="000E18D9">
      <w:pPr>
        <w:spacing w:beforeLines="100" w:before="312" w:line="360" w:lineRule="auto"/>
        <w:rPr>
          <w:rFonts w:eastAsiaTheme="minorEastAsia"/>
          <w:b/>
          <w:bCs/>
          <w:color w:val="000000"/>
          <w:szCs w:val="21"/>
        </w:rPr>
      </w:pPr>
      <w:r w:rsidRPr="00646A7D">
        <w:rPr>
          <w:rFonts w:eastAsiaTheme="minorEastAsia"/>
          <w:b/>
          <w:color w:val="000000"/>
          <w:szCs w:val="21"/>
        </w:rPr>
        <w:t xml:space="preserve">7.4.3 </w:t>
      </w:r>
      <w:r w:rsidRPr="00646A7D">
        <w:rPr>
          <w:rFonts w:eastAsiaTheme="minorEastAsia"/>
          <w:b/>
          <w:bCs/>
          <w:color w:val="000000"/>
          <w:szCs w:val="21"/>
        </w:rPr>
        <w:t>买入股票的成本总额及卖出股票的收入总额</w:t>
      </w:r>
    </w:p>
    <w:p w:rsidR="001548F9" w:rsidRPr="00646A7D" w:rsidRDefault="007E31DC"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w:t>
      </w:r>
      <w:r w:rsidR="001548F9"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646A7D" w:rsidTr="0070173B">
        <w:tc>
          <w:tcPr>
            <w:tcW w:w="4500" w:type="dxa"/>
            <w:vAlign w:val="center"/>
          </w:tcPr>
          <w:p w:rsidR="001548F9" w:rsidRPr="00646A7D" w:rsidRDefault="001548F9" w:rsidP="0070173B">
            <w:pPr>
              <w:rPr>
                <w:rFonts w:eastAsiaTheme="minorEastAsia"/>
                <w:color w:val="000000"/>
                <w:szCs w:val="21"/>
              </w:rPr>
            </w:pPr>
            <w:r w:rsidRPr="00646A7D">
              <w:rPr>
                <w:rFonts w:eastAsiaTheme="minorEastAsia"/>
                <w:color w:val="000000"/>
                <w:szCs w:val="21"/>
              </w:rPr>
              <w:t>买入股票的成本（成交）总额</w:t>
            </w:r>
          </w:p>
        </w:tc>
        <w:tc>
          <w:tcPr>
            <w:tcW w:w="4500" w:type="dxa"/>
            <w:vAlign w:val="center"/>
          </w:tcPr>
          <w:p w:rsidR="001548F9" w:rsidRPr="00646A7D" w:rsidRDefault="001548F9" w:rsidP="0070173B">
            <w:pPr>
              <w:wordWrap w:val="0"/>
              <w:jc w:val="right"/>
              <w:rPr>
                <w:rFonts w:eastAsiaTheme="minorEastAsia"/>
                <w:szCs w:val="21"/>
              </w:rPr>
            </w:pPr>
            <w:r w:rsidRPr="00646A7D">
              <w:rPr>
                <w:rFonts w:eastAsiaTheme="minorEastAsia"/>
                <w:szCs w:val="21"/>
              </w:rPr>
              <w:t>3,403,713.35</w:t>
            </w:r>
          </w:p>
        </w:tc>
      </w:tr>
      <w:tr w:rsidR="001548F9" w:rsidRPr="00646A7D" w:rsidTr="0070173B">
        <w:tc>
          <w:tcPr>
            <w:tcW w:w="4500" w:type="dxa"/>
            <w:vAlign w:val="center"/>
          </w:tcPr>
          <w:p w:rsidR="001548F9" w:rsidRPr="00646A7D" w:rsidRDefault="001548F9" w:rsidP="0070173B">
            <w:pPr>
              <w:rPr>
                <w:rFonts w:eastAsiaTheme="minorEastAsia"/>
                <w:color w:val="000000"/>
                <w:szCs w:val="21"/>
              </w:rPr>
            </w:pPr>
            <w:r w:rsidRPr="00646A7D">
              <w:rPr>
                <w:rFonts w:eastAsiaTheme="minorEastAsia"/>
                <w:color w:val="000000"/>
                <w:szCs w:val="21"/>
              </w:rPr>
              <w:t>卖出股票的收入（成交）总额</w:t>
            </w:r>
          </w:p>
        </w:tc>
        <w:tc>
          <w:tcPr>
            <w:tcW w:w="4500" w:type="dxa"/>
            <w:vAlign w:val="center"/>
          </w:tcPr>
          <w:p w:rsidR="001548F9" w:rsidRPr="00646A7D" w:rsidRDefault="001548F9" w:rsidP="0070173B">
            <w:pPr>
              <w:jc w:val="right"/>
              <w:rPr>
                <w:rFonts w:eastAsiaTheme="minorEastAsia"/>
                <w:szCs w:val="21"/>
              </w:rPr>
            </w:pPr>
            <w:r w:rsidRPr="00646A7D">
              <w:rPr>
                <w:rFonts w:eastAsiaTheme="minorEastAsia"/>
                <w:szCs w:val="21"/>
              </w:rPr>
              <w:t>30,633,387.01</w:t>
            </w:r>
          </w:p>
        </w:tc>
      </w:tr>
    </w:tbl>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注：本项的</w:t>
      </w:r>
      <w:r w:rsidRPr="00646A7D">
        <w:rPr>
          <w:rFonts w:eastAsiaTheme="minorEastAsia"/>
          <w:kern w:val="0"/>
          <w:szCs w:val="21"/>
        </w:rPr>
        <w:t>“</w:t>
      </w:r>
      <w:r w:rsidRPr="00646A7D">
        <w:rPr>
          <w:rFonts w:eastAsiaTheme="minorEastAsia"/>
          <w:kern w:val="0"/>
          <w:szCs w:val="21"/>
        </w:rPr>
        <w:t>买入金额</w:t>
      </w:r>
      <w:r w:rsidRPr="00646A7D">
        <w:rPr>
          <w:rFonts w:eastAsiaTheme="minorEastAsia"/>
          <w:kern w:val="0"/>
          <w:szCs w:val="21"/>
        </w:rPr>
        <w:t>”</w:t>
      </w:r>
      <w:r w:rsidRPr="00646A7D">
        <w:rPr>
          <w:rFonts w:eastAsiaTheme="minorEastAsia"/>
          <w:kern w:val="0"/>
          <w:szCs w:val="21"/>
        </w:rPr>
        <w:t>（或</w:t>
      </w:r>
      <w:r w:rsidRPr="00646A7D">
        <w:rPr>
          <w:rFonts w:eastAsiaTheme="minorEastAsia"/>
          <w:kern w:val="0"/>
          <w:szCs w:val="21"/>
        </w:rPr>
        <w:t>“</w:t>
      </w:r>
      <w:r w:rsidRPr="00646A7D">
        <w:rPr>
          <w:rFonts w:eastAsiaTheme="minorEastAsia"/>
          <w:kern w:val="0"/>
          <w:szCs w:val="21"/>
        </w:rPr>
        <w:t>买入股票成本</w:t>
      </w:r>
      <w:r w:rsidRPr="00646A7D">
        <w:rPr>
          <w:rFonts w:eastAsiaTheme="minorEastAsia"/>
          <w:kern w:val="0"/>
          <w:szCs w:val="21"/>
        </w:rPr>
        <w:t>”</w:t>
      </w:r>
      <w:r w:rsidRPr="00646A7D">
        <w:rPr>
          <w:rFonts w:eastAsiaTheme="minorEastAsia"/>
          <w:kern w:val="0"/>
          <w:szCs w:val="21"/>
        </w:rPr>
        <w:t>）、</w:t>
      </w:r>
      <w:r w:rsidRPr="00646A7D">
        <w:rPr>
          <w:rFonts w:eastAsiaTheme="minorEastAsia"/>
          <w:kern w:val="0"/>
          <w:szCs w:val="21"/>
        </w:rPr>
        <w:t>“</w:t>
      </w:r>
      <w:r w:rsidRPr="00646A7D">
        <w:rPr>
          <w:rFonts w:eastAsiaTheme="minorEastAsia"/>
          <w:kern w:val="0"/>
          <w:szCs w:val="21"/>
        </w:rPr>
        <w:t>卖出金额</w:t>
      </w:r>
      <w:r w:rsidRPr="00646A7D">
        <w:rPr>
          <w:rFonts w:eastAsiaTheme="minorEastAsia"/>
          <w:kern w:val="0"/>
          <w:szCs w:val="21"/>
        </w:rPr>
        <w:t>”</w:t>
      </w:r>
      <w:r w:rsidRPr="00646A7D">
        <w:rPr>
          <w:rFonts w:eastAsiaTheme="minorEastAsia"/>
          <w:kern w:val="0"/>
          <w:szCs w:val="21"/>
        </w:rPr>
        <w:t>（或</w:t>
      </w:r>
      <w:r w:rsidRPr="00646A7D">
        <w:rPr>
          <w:rFonts w:eastAsiaTheme="minorEastAsia"/>
          <w:kern w:val="0"/>
          <w:szCs w:val="21"/>
        </w:rPr>
        <w:t>“</w:t>
      </w:r>
      <w:r w:rsidRPr="00646A7D">
        <w:rPr>
          <w:rFonts w:eastAsiaTheme="minorEastAsia"/>
          <w:kern w:val="0"/>
          <w:szCs w:val="21"/>
        </w:rPr>
        <w:t>卖出股票收入</w:t>
      </w:r>
      <w:r w:rsidRPr="00646A7D">
        <w:rPr>
          <w:rFonts w:eastAsiaTheme="minorEastAsia"/>
          <w:kern w:val="0"/>
          <w:szCs w:val="21"/>
        </w:rPr>
        <w:t>”</w:t>
      </w:r>
      <w:r w:rsidRPr="00646A7D">
        <w:rPr>
          <w:rFonts w:eastAsiaTheme="minorEastAsia"/>
          <w:kern w:val="0"/>
          <w:szCs w:val="21"/>
        </w:rPr>
        <w:t>）均按买卖成交金额（成交单价乘以成交数量）填列，不考虑相关交易费用。</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64" w:name="_Toc331410106"/>
      <w:bookmarkStart w:id="65" w:name="_Toc234814104"/>
      <w:r w:rsidRPr="00646A7D">
        <w:rPr>
          <w:rFonts w:ascii="Times New Roman" w:eastAsiaTheme="minorEastAsia" w:hAnsi="Times New Roman"/>
          <w:kern w:val="0"/>
          <w:sz w:val="21"/>
          <w:szCs w:val="21"/>
        </w:rPr>
        <w:t xml:space="preserve">7.5 </w:t>
      </w:r>
      <w:r w:rsidRPr="00646A7D">
        <w:rPr>
          <w:rFonts w:ascii="Times New Roman" w:eastAsiaTheme="minorEastAsia" w:hAnsi="Times New Roman"/>
          <w:kern w:val="0"/>
          <w:sz w:val="21"/>
          <w:szCs w:val="21"/>
        </w:rPr>
        <w:t>期末按债券品种分类的债券投资组合</w:t>
      </w:r>
      <w:bookmarkEnd w:id="64"/>
      <w:bookmarkEnd w:id="65"/>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本基金本报告期末未持有债券投资。</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66" w:name="_Toc331410107"/>
      <w:r w:rsidRPr="00646A7D">
        <w:rPr>
          <w:rFonts w:ascii="Times New Roman" w:eastAsiaTheme="minorEastAsia" w:hAnsi="Times New Roman"/>
          <w:kern w:val="0"/>
          <w:sz w:val="21"/>
          <w:szCs w:val="21"/>
        </w:rPr>
        <w:t>7.6</w:t>
      </w:r>
      <w:bookmarkStart w:id="67" w:name="_Toc234814105"/>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的前五名债券投资明细</w:t>
      </w:r>
      <w:bookmarkEnd w:id="66"/>
      <w:bookmarkEnd w:id="67"/>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本基金本报告期末未持有债券投资。</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68" w:name="_Toc331410108"/>
      <w:r w:rsidRPr="00646A7D">
        <w:rPr>
          <w:rFonts w:ascii="Times New Roman" w:eastAsiaTheme="minorEastAsia" w:hAnsi="Times New Roman"/>
          <w:kern w:val="0"/>
          <w:sz w:val="21"/>
          <w:szCs w:val="21"/>
        </w:rPr>
        <w:t xml:space="preserve">7.7 </w:t>
      </w:r>
      <w:r w:rsidR="00867117"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00867117" w:rsidRPr="00646A7D">
        <w:rPr>
          <w:rFonts w:ascii="Times New Roman" w:eastAsiaTheme="minorEastAsia" w:hAnsi="Times New Roman"/>
          <w:kern w:val="0"/>
          <w:sz w:val="21"/>
          <w:szCs w:val="21"/>
        </w:rPr>
        <w:t>的前十名</w:t>
      </w:r>
      <w:r w:rsidRPr="00646A7D">
        <w:rPr>
          <w:rFonts w:ascii="Times New Roman" w:eastAsiaTheme="minorEastAsia" w:hAnsi="Times New Roman"/>
          <w:kern w:val="0"/>
          <w:sz w:val="21"/>
          <w:szCs w:val="21"/>
        </w:rPr>
        <w:t>资产支持证券投资明细</w:t>
      </w:r>
      <w:bookmarkEnd w:id="68"/>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本基金本报告期末未持有资产支持证券。</w:t>
      </w:r>
    </w:p>
    <w:p w:rsidR="00F5279B" w:rsidRPr="00646A7D" w:rsidRDefault="00F5279B" w:rsidP="000E18D9">
      <w:pPr>
        <w:pStyle w:val="20"/>
        <w:spacing w:beforeLines="100" w:before="312" w:after="0"/>
        <w:rPr>
          <w:rFonts w:ascii="Times New Roman" w:eastAsiaTheme="minorEastAsia" w:hAnsi="Times New Roman"/>
          <w:kern w:val="0"/>
          <w:sz w:val="21"/>
          <w:szCs w:val="21"/>
        </w:rPr>
      </w:pPr>
      <w:bookmarkStart w:id="69" w:name="_Toc390421264"/>
      <w:r w:rsidRPr="00646A7D">
        <w:rPr>
          <w:rFonts w:ascii="Times New Roman" w:eastAsiaTheme="minorEastAsia" w:hAnsi="Times New Roman"/>
          <w:kern w:val="0"/>
          <w:sz w:val="21"/>
          <w:szCs w:val="21"/>
        </w:rPr>
        <w:t xml:space="preserve">7.8 </w:t>
      </w:r>
      <w:r w:rsidRPr="00646A7D">
        <w:rPr>
          <w:rFonts w:ascii="Times New Roman" w:eastAsiaTheme="minorEastAsia" w:hAnsi="Times New Roman"/>
          <w:kern w:val="0"/>
          <w:sz w:val="21"/>
          <w:szCs w:val="21"/>
        </w:rPr>
        <w:t>报告期末按公允价值占基金资产净值比例大小排序的前五名贵金属投资明细</w:t>
      </w:r>
      <w:bookmarkEnd w:id="69"/>
    </w:p>
    <w:p w:rsidR="002C0050" w:rsidRPr="000356E3" w:rsidRDefault="00F5279B" w:rsidP="000356E3">
      <w:pPr>
        <w:widowControl/>
        <w:spacing w:line="360" w:lineRule="auto"/>
        <w:ind w:firstLineChars="200" w:firstLine="420"/>
        <w:jc w:val="left"/>
        <w:rPr>
          <w:rFonts w:eastAsiaTheme="minorEastAsia"/>
          <w:szCs w:val="21"/>
        </w:rPr>
      </w:pPr>
      <w:r w:rsidRPr="00646A7D">
        <w:rPr>
          <w:rFonts w:eastAsiaTheme="minorEastAsia"/>
          <w:szCs w:val="21"/>
        </w:rPr>
        <w:t>本基金本报告期末未持有贵金属。</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70" w:name="_Toc331410109"/>
      <w:r w:rsidRPr="00646A7D">
        <w:rPr>
          <w:rFonts w:ascii="Times New Roman" w:eastAsiaTheme="minorEastAsia" w:hAnsi="Times New Roman"/>
          <w:kern w:val="0"/>
          <w:sz w:val="21"/>
          <w:szCs w:val="21"/>
        </w:rPr>
        <w:t xml:space="preserve">7.9 </w:t>
      </w:r>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的前五名权证投资明细</w:t>
      </w:r>
      <w:bookmarkEnd w:id="70"/>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本基金本报告期末未持有权证投资。</w:t>
      </w:r>
    </w:p>
    <w:p w:rsidR="001548F9" w:rsidRPr="00646A7D" w:rsidRDefault="001548F9" w:rsidP="000E18D9">
      <w:pPr>
        <w:pStyle w:val="20"/>
        <w:spacing w:beforeLines="100" w:before="312"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7.10 </w:t>
      </w:r>
      <w:r w:rsidRPr="00646A7D">
        <w:rPr>
          <w:rFonts w:ascii="Times New Roman" w:eastAsiaTheme="minorEastAsia" w:hAnsi="Times New Roman"/>
          <w:kern w:val="0"/>
          <w:sz w:val="21"/>
          <w:szCs w:val="21"/>
        </w:rPr>
        <w:t>报告期末本基金投资的股指期货交易情况说明</w:t>
      </w:r>
    </w:p>
    <w:p w:rsidR="001548F9" w:rsidRPr="00646A7D" w:rsidRDefault="001548F9" w:rsidP="00431E19">
      <w:pPr>
        <w:adjustRightInd w:val="0"/>
        <w:snapToGrid w:val="0"/>
        <w:spacing w:line="360" w:lineRule="auto"/>
        <w:rPr>
          <w:rFonts w:eastAsiaTheme="minorEastAsia"/>
          <w:b/>
          <w:szCs w:val="21"/>
        </w:rPr>
      </w:pPr>
      <w:r w:rsidRPr="00646A7D">
        <w:rPr>
          <w:rFonts w:eastAsiaTheme="minorEastAsia"/>
          <w:b/>
          <w:szCs w:val="21"/>
        </w:rPr>
        <w:t xml:space="preserve">7.10.1 </w:t>
      </w:r>
      <w:r w:rsidRPr="00646A7D">
        <w:rPr>
          <w:rFonts w:eastAsiaTheme="minorEastAsia"/>
          <w:b/>
          <w:szCs w:val="21"/>
        </w:rPr>
        <w:t>报告期末本基金投资的股指期货持仓和损益明细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本基金本报告期没有投资股指期货。</w:t>
      </w:r>
    </w:p>
    <w:p w:rsidR="001548F9" w:rsidRPr="00646A7D" w:rsidRDefault="001548F9" w:rsidP="000E18D9">
      <w:pPr>
        <w:adjustRightInd w:val="0"/>
        <w:snapToGrid w:val="0"/>
        <w:spacing w:beforeLines="100" w:before="312" w:line="360" w:lineRule="auto"/>
        <w:rPr>
          <w:rFonts w:eastAsiaTheme="minorEastAsia"/>
          <w:b/>
          <w:szCs w:val="21"/>
        </w:rPr>
      </w:pPr>
      <w:r w:rsidRPr="00646A7D">
        <w:rPr>
          <w:rFonts w:eastAsiaTheme="minorEastAsia"/>
          <w:b/>
          <w:szCs w:val="21"/>
        </w:rPr>
        <w:t xml:space="preserve">7.10.2 </w:t>
      </w:r>
      <w:r w:rsidRPr="00646A7D">
        <w:rPr>
          <w:rFonts w:eastAsiaTheme="minorEastAsia"/>
          <w:b/>
          <w:szCs w:val="21"/>
        </w:rPr>
        <w:t>本基金投资股指期货的投资政策</w:t>
      </w:r>
    </w:p>
    <w:p w:rsidR="001548F9" w:rsidRPr="00646A7D" w:rsidRDefault="001548F9" w:rsidP="000356E3">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FB427F" w:rsidRPr="00646A7D" w:rsidRDefault="00FB427F" w:rsidP="000E18D9">
      <w:pPr>
        <w:pStyle w:val="20"/>
        <w:spacing w:beforeLines="100" w:before="312"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7.11</w:t>
      </w:r>
      <w:r w:rsidRPr="00646A7D">
        <w:rPr>
          <w:rFonts w:ascii="Times New Roman" w:eastAsiaTheme="minorEastAsia" w:hAnsi="Times New Roman"/>
          <w:kern w:val="0"/>
          <w:sz w:val="21"/>
          <w:szCs w:val="21"/>
        </w:rPr>
        <w:t>报告期末本基金投资的国债期货交易情况说明</w:t>
      </w:r>
    </w:p>
    <w:p w:rsidR="00FB427F" w:rsidRPr="00646A7D" w:rsidRDefault="00FB427F" w:rsidP="00BB5BB5">
      <w:pPr>
        <w:adjustRightInd w:val="0"/>
        <w:snapToGrid w:val="0"/>
        <w:spacing w:line="360" w:lineRule="auto"/>
        <w:rPr>
          <w:rFonts w:eastAsiaTheme="minorEastAsia"/>
          <w:b/>
          <w:szCs w:val="21"/>
        </w:rPr>
      </w:pPr>
      <w:r w:rsidRPr="00646A7D">
        <w:rPr>
          <w:rFonts w:eastAsiaTheme="minorEastAsia"/>
          <w:b/>
          <w:szCs w:val="21"/>
        </w:rPr>
        <w:t xml:space="preserve">7.11.1 </w:t>
      </w:r>
      <w:r w:rsidRPr="00646A7D">
        <w:rPr>
          <w:rFonts w:eastAsiaTheme="minorEastAsia"/>
          <w:b/>
          <w:szCs w:val="21"/>
        </w:rPr>
        <w:t>本期国债期货投资政策</w:t>
      </w:r>
    </w:p>
    <w:p w:rsidR="00FB427F" w:rsidRPr="00646A7D" w:rsidRDefault="00FB427F" w:rsidP="00BB5BB5">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FB427F" w:rsidRPr="00646A7D" w:rsidRDefault="00FB427F" w:rsidP="00BB5BB5">
      <w:pPr>
        <w:autoSpaceDE w:val="0"/>
        <w:autoSpaceDN w:val="0"/>
        <w:adjustRightInd w:val="0"/>
        <w:spacing w:line="360" w:lineRule="auto"/>
        <w:jc w:val="left"/>
        <w:rPr>
          <w:rFonts w:eastAsiaTheme="minorEastAsia"/>
          <w:b/>
          <w:szCs w:val="21"/>
        </w:rPr>
      </w:pPr>
      <w:r w:rsidRPr="00646A7D">
        <w:rPr>
          <w:rFonts w:eastAsiaTheme="minorEastAsia"/>
          <w:b/>
          <w:szCs w:val="21"/>
        </w:rPr>
        <w:t xml:space="preserve">7.11.2 </w:t>
      </w:r>
      <w:r w:rsidRPr="00646A7D">
        <w:rPr>
          <w:rFonts w:eastAsiaTheme="minorEastAsia"/>
          <w:b/>
          <w:szCs w:val="21"/>
        </w:rPr>
        <w:t>报告期末本基金投资的国债期货持仓和损益明细</w:t>
      </w:r>
    </w:p>
    <w:p w:rsidR="00FB427F" w:rsidRPr="00646A7D" w:rsidRDefault="00FB427F"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本基金本报告期没有投资国债期货。</w:t>
      </w:r>
    </w:p>
    <w:p w:rsidR="00FB427F" w:rsidRPr="00646A7D" w:rsidRDefault="00FB427F" w:rsidP="00BB5BB5">
      <w:pPr>
        <w:adjustRightInd w:val="0"/>
        <w:snapToGrid w:val="0"/>
        <w:spacing w:line="360" w:lineRule="auto"/>
        <w:rPr>
          <w:rFonts w:eastAsiaTheme="minorEastAsia"/>
          <w:b/>
          <w:szCs w:val="21"/>
        </w:rPr>
      </w:pPr>
      <w:r w:rsidRPr="00646A7D">
        <w:rPr>
          <w:rFonts w:eastAsiaTheme="minorEastAsia"/>
          <w:b/>
          <w:szCs w:val="21"/>
        </w:rPr>
        <w:t xml:space="preserve">7.11.3 </w:t>
      </w:r>
      <w:r w:rsidRPr="00646A7D">
        <w:rPr>
          <w:rFonts w:eastAsiaTheme="minorEastAsia"/>
          <w:b/>
          <w:szCs w:val="21"/>
        </w:rPr>
        <w:t>本期国债期货投资评价</w:t>
      </w:r>
    </w:p>
    <w:p w:rsidR="00FB427F" w:rsidRDefault="00FB427F" w:rsidP="000356E3">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1548F9" w:rsidRPr="00646A7D" w:rsidRDefault="001548F9" w:rsidP="000E18D9">
      <w:pPr>
        <w:pStyle w:val="20"/>
        <w:spacing w:beforeLines="100" w:before="312" w:after="0"/>
        <w:rPr>
          <w:rFonts w:ascii="Times New Roman" w:eastAsiaTheme="minorEastAsia" w:hAnsi="Times New Roman"/>
          <w:kern w:val="0"/>
          <w:sz w:val="21"/>
          <w:szCs w:val="21"/>
        </w:rPr>
      </w:pPr>
      <w:bookmarkStart w:id="71" w:name="_Toc331410110"/>
      <w:r w:rsidRPr="00646A7D">
        <w:rPr>
          <w:rFonts w:ascii="Times New Roman" w:eastAsiaTheme="minorEastAsia" w:hAnsi="Times New Roman"/>
          <w:kern w:val="0"/>
          <w:sz w:val="21"/>
          <w:szCs w:val="21"/>
        </w:rPr>
        <w:t xml:space="preserve">7.12 </w:t>
      </w:r>
      <w:r w:rsidRPr="00646A7D">
        <w:rPr>
          <w:rFonts w:ascii="Times New Roman" w:eastAsiaTheme="minorEastAsia" w:hAnsi="Times New Roman"/>
          <w:kern w:val="0"/>
          <w:sz w:val="21"/>
          <w:szCs w:val="21"/>
        </w:rPr>
        <w:t>投资组合报告附注</w:t>
      </w:r>
      <w:bookmarkEnd w:id="71"/>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7.12.1</w:t>
      </w:r>
      <w:r w:rsidRPr="00646A7D">
        <w:rPr>
          <w:rFonts w:eastAsiaTheme="minorEastAsia"/>
          <w:color w:val="000000"/>
          <w:szCs w:val="21"/>
        </w:rPr>
        <w:t>本报告期内，本基金投资的前十名证券的发行主体没有被监管部门立案调查的，也没有在报告编制日前一年内受到公开谴责、处罚的情况。</w:t>
      </w:r>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7.12.2</w:t>
      </w:r>
      <w:r w:rsidRPr="00646A7D">
        <w:rPr>
          <w:rFonts w:eastAsiaTheme="minorEastAsia"/>
          <w:color w:val="000000"/>
          <w:szCs w:val="21"/>
        </w:rPr>
        <w:t>本基金投资的前十名股票中，不存在投资于超出基金合同规定备选股票库之外的股票。</w:t>
      </w:r>
    </w:p>
    <w:p w:rsidR="001548F9" w:rsidRPr="00646A7D" w:rsidRDefault="001548F9" w:rsidP="00AE7535">
      <w:pPr>
        <w:spacing w:line="360" w:lineRule="auto"/>
        <w:rPr>
          <w:rFonts w:eastAsiaTheme="minorEastAsia"/>
          <w:b/>
          <w:bCs/>
          <w:color w:val="000000"/>
          <w:szCs w:val="21"/>
        </w:rPr>
      </w:pPr>
      <w:r w:rsidRPr="00646A7D">
        <w:rPr>
          <w:rFonts w:eastAsiaTheme="minorEastAsia"/>
          <w:b/>
          <w:color w:val="000000"/>
          <w:szCs w:val="21"/>
        </w:rPr>
        <w:t>7.12.3</w:t>
      </w:r>
      <w:r w:rsidRPr="00646A7D">
        <w:rPr>
          <w:rFonts w:eastAsiaTheme="minorEastAsia"/>
          <w:b/>
          <w:bCs/>
          <w:color w:val="000000"/>
          <w:szCs w:val="21"/>
        </w:rPr>
        <w:t>期末其他各项资产构成</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序号</w:t>
            </w:r>
          </w:p>
        </w:tc>
        <w:tc>
          <w:tcPr>
            <w:tcW w:w="4117"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名称</w:t>
            </w:r>
          </w:p>
        </w:tc>
        <w:tc>
          <w:tcPr>
            <w:tcW w:w="4118"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金额</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1</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存出保证金</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15,261.51</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2</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应收证券清算款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17,599.21</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3</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应收股利</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4</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应收利息</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2,865.55</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5</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应收申购款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508,922.46</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6</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其他应收款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7</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待摊费用</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8</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9</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合计</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544,648.73</w:t>
            </w:r>
          </w:p>
        </w:tc>
      </w:tr>
    </w:tbl>
    <w:p w:rsidR="001548F9" w:rsidRPr="00646A7D" w:rsidRDefault="001548F9" w:rsidP="000E18D9">
      <w:pPr>
        <w:spacing w:beforeLines="100" w:before="312" w:line="360" w:lineRule="auto"/>
        <w:rPr>
          <w:rFonts w:eastAsiaTheme="minorEastAsia"/>
          <w:b/>
          <w:bCs/>
          <w:color w:val="000000"/>
          <w:szCs w:val="21"/>
        </w:rPr>
      </w:pPr>
      <w:r w:rsidRPr="00646A7D">
        <w:rPr>
          <w:rFonts w:eastAsiaTheme="minorEastAsia"/>
          <w:b/>
          <w:color w:val="000000"/>
          <w:szCs w:val="21"/>
        </w:rPr>
        <w:t>7.12.4</w:t>
      </w:r>
      <w:r w:rsidRPr="00646A7D">
        <w:rPr>
          <w:rFonts w:eastAsiaTheme="minorEastAsia"/>
          <w:b/>
          <w:bCs/>
          <w:color w:val="000000"/>
          <w:szCs w:val="21"/>
        </w:rPr>
        <w:t>期末持有的处于转股期的可转换债券明细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本基金本报告期末未持有处于转股期的可转换债券。</w:t>
      </w:r>
    </w:p>
    <w:p w:rsidR="001548F9" w:rsidRPr="00646A7D" w:rsidRDefault="001548F9" w:rsidP="000E18D9">
      <w:pPr>
        <w:spacing w:beforeLines="100" w:before="312" w:line="360" w:lineRule="auto"/>
        <w:rPr>
          <w:rFonts w:eastAsiaTheme="minorEastAsia"/>
          <w:b/>
          <w:bCs/>
          <w:color w:val="000000"/>
          <w:szCs w:val="21"/>
        </w:rPr>
      </w:pPr>
      <w:r w:rsidRPr="00646A7D">
        <w:rPr>
          <w:rFonts w:eastAsiaTheme="minorEastAsia"/>
          <w:b/>
          <w:color w:val="000000"/>
          <w:szCs w:val="21"/>
        </w:rPr>
        <w:t xml:space="preserve">7.12.5 </w:t>
      </w:r>
      <w:r w:rsidRPr="00646A7D">
        <w:rPr>
          <w:rFonts w:eastAsiaTheme="minorEastAsia"/>
          <w:b/>
          <w:bCs/>
          <w:color w:val="000000"/>
          <w:szCs w:val="21"/>
        </w:rPr>
        <w:t>期末前十名股票中存在流通受限情况的说明</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1548F9" w:rsidRPr="00646A7D" w:rsidTr="000356E3">
        <w:tc>
          <w:tcPr>
            <w:tcW w:w="1083"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302"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股票代码</w:t>
            </w:r>
          </w:p>
        </w:tc>
        <w:tc>
          <w:tcPr>
            <w:tcW w:w="1301"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股票名称</w:t>
            </w:r>
          </w:p>
        </w:tc>
        <w:tc>
          <w:tcPr>
            <w:tcW w:w="1805" w:type="dxa"/>
            <w:vAlign w:val="center"/>
          </w:tcPr>
          <w:p w:rsidR="001548F9" w:rsidRPr="00646A7D" w:rsidRDefault="001548F9" w:rsidP="001674E8">
            <w:pPr>
              <w:spacing w:before="29" w:line="360" w:lineRule="auto"/>
              <w:ind w:left="17"/>
              <w:jc w:val="center"/>
              <w:rPr>
                <w:rFonts w:eastAsiaTheme="minorEastAsia"/>
                <w:color w:val="000000"/>
                <w:szCs w:val="21"/>
              </w:rPr>
            </w:pPr>
            <w:r w:rsidRPr="00646A7D">
              <w:rPr>
                <w:rFonts w:eastAsiaTheme="minorEastAsia"/>
                <w:color w:val="000000"/>
                <w:szCs w:val="21"/>
              </w:rPr>
              <w:t>流通受限部分的公允价值</w:t>
            </w:r>
          </w:p>
        </w:tc>
        <w:tc>
          <w:tcPr>
            <w:tcW w:w="1655"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p>
        </w:tc>
        <w:tc>
          <w:tcPr>
            <w:tcW w:w="136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流通受限情况说明</w:t>
            </w:r>
          </w:p>
        </w:tc>
      </w:tr>
      <w:tr w:rsidR="007951F4">
        <w:tc>
          <w:tcPr>
            <w:tcW w:w="1083" w:type="dxa"/>
            <w:vAlign w:val="center"/>
          </w:tcPr>
          <w:p w:rsidR="007951F4" w:rsidRDefault="005757D9">
            <w:pPr>
              <w:jc w:val="center"/>
            </w:pPr>
            <w:r>
              <w:rPr>
                <w:rFonts w:eastAsiaTheme="minorEastAsia"/>
                <w:color w:val="000000"/>
                <w:szCs w:val="21"/>
              </w:rPr>
              <w:t>1</w:t>
            </w:r>
          </w:p>
        </w:tc>
        <w:tc>
          <w:tcPr>
            <w:tcW w:w="1302" w:type="dxa"/>
            <w:vAlign w:val="center"/>
          </w:tcPr>
          <w:p w:rsidR="007951F4" w:rsidRDefault="005757D9">
            <w:pPr>
              <w:jc w:val="center"/>
            </w:pPr>
            <w:r>
              <w:rPr>
                <w:rFonts w:eastAsiaTheme="minorEastAsia"/>
                <w:color w:val="000000"/>
                <w:szCs w:val="21"/>
              </w:rPr>
              <w:t>600485</w:t>
            </w:r>
          </w:p>
        </w:tc>
        <w:tc>
          <w:tcPr>
            <w:tcW w:w="1301" w:type="dxa"/>
            <w:vAlign w:val="center"/>
          </w:tcPr>
          <w:p w:rsidR="007951F4" w:rsidRDefault="005757D9">
            <w:pPr>
              <w:jc w:val="center"/>
            </w:pPr>
            <w:r>
              <w:rPr>
                <w:rFonts w:eastAsiaTheme="minorEastAsia"/>
                <w:color w:val="000000"/>
                <w:szCs w:val="21"/>
              </w:rPr>
              <w:t>*ST</w:t>
            </w:r>
            <w:r>
              <w:rPr>
                <w:rFonts w:eastAsiaTheme="minorEastAsia"/>
                <w:color w:val="000000"/>
                <w:szCs w:val="21"/>
              </w:rPr>
              <w:t>信威</w:t>
            </w:r>
          </w:p>
        </w:tc>
        <w:tc>
          <w:tcPr>
            <w:tcW w:w="1805" w:type="dxa"/>
            <w:vAlign w:val="center"/>
          </w:tcPr>
          <w:p w:rsidR="007951F4" w:rsidRDefault="005757D9">
            <w:pPr>
              <w:jc w:val="right"/>
            </w:pPr>
            <w:r>
              <w:rPr>
                <w:rFonts w:eastAsiaTheme="minorEastAsia"/>
                <w:color w:val="000000"/>
                <w:szCs w:val="21"/>
              </w:rPr>
              <w:t>165,157.72</w:t>
            </w:r>
          </w:p>
        </w:tc>
        <w:tc>
          <w:tcPr>
            <w:tcW w:w="1655" w:type="dxa"/>
            <w:vAlign w:val="center"/>
          </w:tcPr>
          <w:p w:rsidR="007951F4" w:rsidRDefault="005757D9">
            <w:pPr>
              <w:jc w:val="right"/>
            </w:pPr>
            <w:r>
              <w:rPr>
                <w:rFonts w:eastAsiaTheme="minorEastAsia"/>
                <w:color w:val="000000"/>
                <w:szCs w:val="21"/>
              </w:rPr>
              <w:t>0.05</w:t>
            </w:r>
          </w:p>
        </w:tc>
        <w:tc>
          <w:tcPr>
            <w:tcW w:w="1367" w:type="dxa"/>
            <w:vAlign w:val="center"/>
          </w:tcPr>
          <w:p w:rsidR="007951F4" w:rsidRDefault="005757D9">
            <w:pPr>
              <w:jc w:val="right"/>
            </w:pPr>
            <w:r>
              <w:rPr>
                <w:rFonts w:eastAsiaTheme="minorEastAsia"/>
                <w:color w:val="000000"/>
                <w:szCs w:val="21"/>
              </w:rPr>
              <w:t>重大资产重组</w:t>
            </w:r>
          </w:p>
        </w:tc>
      </w:tr>
    </w:tbl>
    <w:p w:rsidR="001548F9" w:rsidRPr="00646A7D" w:rsidRDefault="001548F9" w:rsidP="000E18D9">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331410111"/>
      <w:bookmarkStart w:id="73" w:name="_Toc225500050"/>
      <w:r w:rsidRPr="00646A7D">
        <w:rPr>
          <w:rFonts w:eastAsiaTheme="minorEastAsia"/>
          <w:b/>
          <w:bCs/>
          <w:sz w:val="21"/>
          <w:szCs w:val="21"/>
          <w:lang w:val="en-US"/>
        </w:rPr>
        <w:t xml:space="preserve">8  </w:t>
      </w:r>
      <w:r w:rsidRPr="00646A7D">
        <w:rPr>
          <w:rFonts w:eastAsiaTheme="minorEastAsia"/>
          <w:b/>
          <w:bCs/>
          <w:sz w:val="21"/>
          <w:szCs w:val="21"/>
          <w:lang w:val="en-US"/>
        </w:rPr>
        <w:t>基金份额持有人信息</w:t>
      </w:r>
      <w:bookmarkEnd w:id="72"/>
      <w:bookmarkEnd w:id="73"/>
    </w:p>
    <w:p w:rsidR="001548F9" w:rsidRPr="00646A7D" w:rsidRDefault="001548F9" w:rsidP="00AE7535">
      <w:pPr>
        <w:pStyle w:val="20"/>
        <w:spacing w:before="0" w:after="0"/>
        <w:rPr>
          <w:rFonts w:ascii="Times New Roman" w:eastAsiaTheme="minorEastAsia" w:hAnsi="Times New Roman"/>
          <w:kern w:val="0"/>
          <w:sz w:val="21"/>
          <w:szCs w:val="21"/>
        </w:rPr>
      </w:pPr>
      <w:bookmarkStart w:id="74" w:name="_Toc331410112"/>
      <w:bookmarkStart w:id="75" w:name="_Toc225500051"/>
      <w:r w:rsidRPr="00646A7D">
        <w:rPr>
          <w:rFonts w:ascii="Times New Roman" w:eastAsiaTheme="minorEastAsia" w:hAnsi="Times New Roman"/>
          <w:kern w:val="0"/>
          <w:sz w:val="21"/>
          <w:szCs w:val="21"/>
        </w:rPr>
        <w:t xml:space="preserve">8.1 </w:t>
      </w:r>
      <w:r w:rsidRPr="00646A7D">
        <w:rPr>
          <w:rFonts w:ascii="Times New Roman" w:eastAsiaTheme="minorEastAsia" w:hAnsi="Times New Roman"/>
          <w:kern w:val="0"/>
          <w:sz w:val="21"/>
          <w:szCs w:val="21"/>
        </w:rPr>
        <w:t>期末基金份额持有人户数及持有人结构</w:t>
      </w:r>
      <w:bookmarkEnd w:id="74"/>
      <w:bookmarkEnd w:id="75"/>
    </w:p>
    <w:p w:rsidR="00206CBB" w:rsidRPr="00646A7D" w:rsidRDefault="00206CBB" w:rsidP="00206CB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份额单位：份</w:t>
      </w:r>
    </w:p>
    <w:p w:rsidR="00206CBB" w:rsidRPr="00646A7D" w:rsidRDefault="00206CBB" w:rsidP="00206CBB">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5757D9" w:rsidRPr="00646A7D" w:rsidTr="005757D9">
        <w:tc>
          <w:tcPr>
            <w:tcW w:w="964" w:type="pct"/>
            <w:vMerge w:val="restart"/>
            <w:tcBorders>
              <w:top w:val="single" w:sz="8" w:space="0" w:color="000000"/>
              <w:left w:val="single" w:sz="8" w:space="0" w:color="000000"/>
              <w:right w:val="single" w:sz="8" w:space="0" w:color="000000"/>
            </w:tcBorders>
            <w:vAlign w:val="center"/>
          </w:tcPr>
          <w:p w:rsidR="007951F4" w:rsidRDefault="005757D9">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持有人结构</w:t>
            </w:r>
          </w:p>
        </w:tc>
      </w:tr>
      <w:tr w:rsidR="005757D9" w:rsidRPr="00646A7D" w:rsidTr="005757D9">
        <w:tc>
          <w:tcPr>
            <w:tcW w:w="964" w:type="pct"/>
            <w:vMerge/>
            <w:tcBorders>
              <w:left w:val="single" w:sz="8" w:space="0" w:color="000000"/>
              <w:right w:val="single" w:sz="8" w:space="0" w:color="000000"/>
            </w:tcBorders>
            <w:vAlign w:val="center"/>
          </w:tcPr>
          <w:p w:rsidR="007951F4" w:rsidRDefault="007951F4">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个人投资者</w:t>
            </w:r>
          </w:p>
        </w:tc>
      </w:tr>
      <w:tr w:rsidR="005757D9" w:rsidRPr="00646A7D" w:rsidTr="005757D9">
        <w:tc>
          <w:tcPr>
            <w:tcW w:w="964" w:type="pct"/>
            <w:vMerge/>
            <w:tcBorders>
              <w:left w:val="single" w:sz="8" w:space="0" w:color="000000"/>
              <w:bottom w:val="single" w:sz="8" w:space="0" w:color="000000"/>
              <w:right w:val="single" w:sz="8" w:space="0" w:color="000000"/>
            </w:tcBorders>
            <w:vAlign w:val="center"/>
          </w:tcPr>
          <w:p w:rsidR="007951F4" w:rsidRDefault="007951F4">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r>
      <w:tr w:rsidR="005757D9" w:rsidRPr="00646A7D" w:rsidTr="005757D9">
        <w:tc>
          <w:tcPr>
            <w:tcW w:w="964" w:type="pct"/>
            <w:tcBorders>
              <w:top w:val="single" w:sz="8" w:space="0" w:color="000000"/>
              <w:left w:val="single" w:sz="8" w:space="0" w:color="000000"/>
              <w:bottom w:val="single" w:sz="8" w:space="0" w:color="000000"/>
              <w:right w:val="single" w:sz="8" w:space="0" w:color="000000"/>
            </w:tcBorders>
            <w:vAlign w:val="center"/>
          </w:tcPr>
          <w:p w:rsidR="007951F4" w:rsidRDefault="005757D9">
            <w:pPr>
              <w:jc w:val="center"/>
            </w:pPr>
            <w:r>
              <w:rPr>
                <w:rFonts w:eastAsiaTheme="minorEastAsia"/>
                <w:bCs/>
                <w:color w:val="000000"/>
                <w:szCs w:val="21"/>
              </w:rPr>
              <w:t>13,833</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15,385.49</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23,537,086.16</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11.06%</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189,290,388.78</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88.94%</w:t>
            </w:r>
          </w:p>
        </w:tc>
      </w:tr>
    </w:tbl>
    <w:p w:rsidR="001548F9" w:rsidRPr="00646A7D" w:rsidRDefault="00D47C07" w:rsidP="000E18D9">
      <w:pPr>
        <w:pStyle w:val="20"/>
        <w:spacing w:beforeLines="100" w:before="312" w:after="0"/>
        <w:rPr>
          <w:rFonts w:ascii="Times New Roman" w:eastAsiaTheme="minorEastAsia" w:hAnsi="Times New Roman"/>
          <w:kern w:val="0"/>
          <w:sz w:val="21"/>
          <w:szCs w:val="21"/>
        </w:rPr>
      </w:pPr>
      <w:bookmarkStart w:id="76" w:name="_Toc331410113"/>
      <w:r w:rsidRPr="00646A7D">
        <w:rPr>
          <w:rFonts w:ascii="Times New Roman" w:eastAsiaTheme="minorEastAsia" w:hAnsi="Times New Roman"/>
          <w:kern w:val="0"/>
          <w:sz w:val="21"/>
          <w:szCs w:val="21"/>
        </w:rPr>
        <w:t>8.2</w:t>
      </w:r>
      <w:r w:rsidR="001548F9" w:rsidRPr="00646A7D">
        <w:rPr>
          <w:rFonts w:ascii="Times New Roman" w:eastAsiaTheme="minorEastAsia" w:hAnsi="Times New Roman"/>
          <w:kern w:val="0"/>
          <w:sz w:val="21"/>
          <w:szCs w:val="21"/>
        </w:rPr>
        <w:t>期末基金管理人的从业人员持有本基金的情况</w:t>
      </w:r>
      <w:bookmarkEnd w:id="7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3012"/>
        <w:gridCol w:w="2160"/>
      </w:tblGrid>
      <w:tr w:rsidR="00DF5C7F" w:rsidRPr="00646A7D" w:rsidTr="004D62FA">
        <w:tc>
          <w:tcPr>
            <w:tcW w:w="3828"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项目</w:t>
            </w:r>
          </w:p>
        </w:tc>
        <w:tc>
          <w:tcPr>
            <w:tcW w:w="3012"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持有份额总数（份）</w:t>
            </w:r>
          </w:p>
        </w:tc>
        <w:tc>
          <w:tcPr>
            <w:tcW w:w="2160"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占基金总份额比例</w:t>
            </w:r>
          </w:p>
        </w:tc>
      </w:tr>
      <w:tr w:rsidR="00DF5C7F" w:rsidRPr="00646A7D" w:rsidTr="004D62FA">
        <w:tc>
          <w:tcPr>
            <w:tcW w:w="3828" w:type="dxa"/>
            <w:vAlign w:val="center"/>
          </w:tcPr>
          <w:p w:rsidR="00DF5C7F" w:rsidRPr="00646A7D" w:rsidRDefault="00DF5C7F" w:rsidP="004D62FA">
            <w:pPr>
              <w:spacing w:line="360" w:lineRule="auto"/>
              <w:jc w:val="left"/>
              <w:rPr>
                <w:rFonts w:eastAsiaTheme="minorEastAsia"/>
                <w:color w:val="000000"/>
                <w:szCs w:val="21"/>
              </w:rPr>
            </w:pPr>
            <w:r w:rsidRPr="00646A7D">
              <w:rPr>
                <w:rFonts w:eastAsiaTheme="minorEastAsia"/>
                <w:color w:val="000000"/>
                <w:szCs w:val="21"/>
              </w:rPr>
              <w:t>基金管理人所有从业人员持有本基金</w:t>
            </w:r>
          </w:p>
        </w:tc>
        <w:tc>
          <w:tcPr>
            <w:tcW w:w="3012" w:type="dxa"/>
            <w:vAlign w:val="center"/>
          </w:tcPr>
          <w:p w:rsidR="00DF5C7F" w:rsidRPr="00646A7D" w:rsidRDefault="00DF5C7F"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3,057,412.18</w:t>
            </w:r>
          </w:p>
        </w:tc>
        <w:tc>
          <w:tcPr>
            <w:tcW w:w="2160" w:type="dxa"/>
            <w:vAlign w:val="center"/>
          </w:tcPr>
          <w:p w:rsidR="00DF5C7F" w:rsidRPr="00646A7D" w:rsidRDefault="00DF5C7F"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1.44%</w:t>
            </w:r>
          </w:p>
        </w:tc>
      </w:tr>
    </w:tbl>
    <w:p w:rsidR="00A93A73" w:rsidRPr="00646A7D" w:rsidRDefault="00A93A73" w:rsidP="000E18D9">
      <w:pPr>
        <w:pStyle w:val="20"/>
        <w:spacing w:beforeLines="100" w:before="312" w:after="0" w:line="240" w:lineRule="auto"/>
        <w:rPr>
          <w:rFonts w:ascii="Times New Roman" w:eastAsiaTheme="minorEastAsia" w:hAnsi="Times New Roman"/>
          <w:sz w:val="21"/>
          <w:szCs w:val="21"/>
        </w:rPr>
      </w:pPr>
      <w:r w:rsidRPr="00646A7D">
        <w:rPr>
          <w:rFonts w:ascii="Times New Roman" w:eastAsiaTheme="minorEastAsia" w:hAnsi="Times New Roman"/>
          <w:kern w:val="0"/>
          <w:sz w:val="21"/>
          <w:szCs w:val="21"/>
        </w:rPr>
        <w:t>8.3</w:t>
      </w:r>
      <w:r w:rsidRPr="00646A7D">
        <w:rPr>
          <w:rFonts w:ascii="Times New Roman" w:eastAsiaTheme="minorEastAsia" w:hAnsi="Times New Roman"/>
          <w:sz w:val="21"/>
          <w:szCs w:val="21"/>
        </w:rPr>
        <w:t>期末基金管理人的从业人员持有本开放式基金份额总量区间的情况</w:t>
      </w:r>
    </w:p>
    <w:p w:rsidR="007951F4" w:rsidRDefault="005757D9">
      <w:pPr>
        <w:spacing w:line="288" w:lineRule="auto"/>
        <w:ind w:firstLineChars="200" w:firstLine="420"/>
        <w:rPr>
          <w:rFonts w:eastAsiaTheme="minorEastAsia"/>
          <w:color w:val="000000"/>
          <w:szCs w:val="21"/>
        </w:rPr>
      </w:pPr>
      <w:r>
        <w:rPr>
          <w:rFonts w:eastAsiaTheme="minorEastAsia"/>
          <w:kern w:val="0"/>
          <w:szCs w:val="21"/>
        </w:rPr>
        <w:t>本公司高级管理人员、基金投资和研究部门负责人持有该只基金份额总量的数量区间为</w:t>
      </w:r>
      <w:r>
        <w:rPr>
          <w:rFonts w:eastAsiaTheme="minorEastAsia"/>
          <w:kern w:val="0"/>
          <w:szCs w:val="21"/>
        </w:rPr>
        <w:t>0</w:t>
      </w:r>
      <w:r>
        <w:rPr>
          <w:rFonts w:eastAsiaTheme="minorEastAsia"/>
          <w:kern w:val="0"/>
          <w:szCs w:val="21"/>
        </w:rPr>
        <w:t>。</w:t>
      </w:r>
    </w:p>
    <w:p w:rsidR="00A93A73" w:rsidRPr="000356E3" w:rsidRDefault="00A93A73" w:rsidP="000356E3">
      <w:pPr>
        <w:spacing w:line="288" w:lineRule="auto"/>
        <w:ind w:firstLineChars="200" w:firstLine="420"/>
        <w:rPr>
          <w:rFonts w:eastAsiaTheme="minorEastAsia"/>
          <w:color w:val="000000"/>
          <w:szCs w:val="21"/>
        </w:rPr>
      </w:pPr>
      <w:r w:rsidRPr="00646A7D">
        <w:rPr>
          <w:rFonts w:eastAsiaTheme="minorEastAsia"/>
          <w:kern w:val="0"/>
          <w:szCs w:val="21"/>
        </w:rPr>
        <w:t xml:space="preserve">          </w:t>
      </w:r>
      <w:r w:rsidRPr="00646A7D">
        <w:rPr>
          <w:rFonts w:eastAsiaTheme="minorEastAsia"/>
          <w:kern w:val="0"/>
          <w:szCs w:val="21"/>
        </w:rPr>
        <w:t>本基金的基金经理持有本基金份额总量的数量区间为</w:t>
      </w:r>
      <w:r w:rsidRPr="00646A7D">
        <w:rPr>
          <w:rFonts w:eastAsiaTheme="minorEastAsia"/>
          <w:kern w:val="0"/>
          <w:szCs w:val="21"/>
        </w:rPr>
        <w:t>0</w:t>
      </w:r>
      <w:r w:rsidRPr="00646A7D">
        <w:rPr>
          <w:rFonts w:eastAsiaTheme="minorEastAsia"/>
          <w:kern w:val="0"/>
          <w:szCs w:val="21"/>
        </w:rPr>
        <w:t>。</w:t>
      </w:r>
    </w:p>
    <w:p w:rsidR="009C1535" w:rsidRPr="003133A7" w:rsidRDefault="001548F9" w:rsidP="000E18D9">
      <w:pPr>
        <w:pStyle w:val="1"/>
        <w:keepNext/>
        <w:keepLines/>
        <w:widowControl w:val="0"/>
        <w:spacing w:beforeLines="100" w:before="312" w:line="360" w:lineRule="auto"/>
        <w:rPr>
          <w:rFonts w:eastAsiaTheme="minorEastAsia"/>
          <w:b/>
          <w:bCs/>
          <w:sz w:val="21"/>
          <w:szCs w:val="21"/>
          <w:lang w:val="en-US"/>
        </w:rPr>
      </w:pPr>
      <w:bookmarkStart w:id="77" w:name="_Toc331410115"/>
      <w:bookmarkStart w:id="78" w:name="_Toc225500053"/>
      <w:r w:rsidRPr="00646A7D">
        <w:rPr>
          <w:rFonts w:eastAsiaTheme="minorEastAsia"/>
          <w:b/>
          <w:bCs/>
          <w:sz w:val="21"/>
          <w:szCs w:val="21"/>
          <w:lang w:val="en-US"/>
        </w:rPr>
        <w:t>9</w:t>
      </w:r>
      <w:r w:rsidRPr="00646A7D">
        <w:rPr>
          <w:rFonts w:eastAsiaTheme="minorEastAsia"/>
          <w:b/>
          <w:bCs/>
          <w:sz w:val="21"/>
          <w:szCs w:val="21"/>
          <w:lang w:val="en-US"/>
        </w:rPr>
        <w:t>开放式基金份额变动</w:t>
      </w:r>
      <w:bookmarkEnd w:id="77"/>
      <w:bookmarkEnd w:id="78"/>
    </w:p>
    <w:p w:rsidR="001548F9" w:rsidRPr="00646A7D" w:rsidRDefault="001548F9" w:rsidP="008971E9">
      <w:pPr>
        <w:jc w:val="right"/>
        <w:rPr>
          <w:rFonts w:eastAsiaTheme="minorEastAsia"/>
          <w:szCs w:val="21"/>
        </w:rPr>
      </w:pPr>
      <w:r w:rsidRPr="00646A7D">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075"/>
      </w:tblGrid>
      <w:tr w:rsidR="001548F9" w:rsidRPr="00646A7D" w:rsidTr="003133A7">
        <w:tc>
          <w:tcPr>
            <w:tcW w:w="2806" w:type="pct"/>
          </w:tcPr>
          <w:p w:rsidR="001548F9" w:rsidRPr="00646A7D" w:rsidRDefault="001548F9" w:rsidP="00545824">
            <w:pPr>
              <w:rPr>
                <w:rFonts w:eastAsiaTheme="minorEastAsia"/>
                <w:szCs w:val="21"/>
              </w:rPr>
            </w:pPr>
            <w:r w:rsidRPr="00646A7D">
              <w:rPr>
                <w:rFonts w:eastAsiaTheme="minorEastAsia"/>
                <w:szCs w:val="21"/>
              </w:rPr>
              <w:t>基金合同生效日（</w:t>
            </w:r>
            <w:r w:rsidRPr="00646A7D">
              <w:rPr>
                <w:rFonts w:eastAsiaTheme="minorEastAsia"/>
                <w:szCs w:val="21"/>
              </w:rPr>
              <w:t>2009</w:t>
            </w:r>
            <w:r w:rsidRPr="00646A7D">
              <w:rPr>
                <w:rFonts w:eastAsiaTheme="minorEastAsia"/>
                <w:szCs w:val="21"/>
              </w:rPr>
              <w:t>年</w:t>
            </w:r>
            <w:r w:rsidRPr="00646A7D">
              <w:rPr>
                <w:rFonts w:eastAsiaTheme="minorEastAsia"/>
                <w:szCs w:val="21"/>
              </w:rPr>
              <w:t>9</w:t>
            </w:r>
            <w:r w:rsidRPr="00646A7D">
              <w:rPr>
                <w:rFonts w:eastAsiaTheme="minorEastAsia"/>
                <w:szCs w:val="21"/>
              </w:rPr>
              <w:t>月</w:t>
            </w:r>
            <w:r w:rsidRPr="00646A7D">
              <w:rPr>
                <w:rFonts w:eastAsiaTheme="minorEastAsia"/>
                <w:szCs w:val="21"/>
              </w:rPr>
              <w:t>29</w:t>
            </w:r>
            <w:r w:rsidRPr="00646A7D">
              <w:rPr>
                <w:rFonts w:eastAsiaTheme="minorEastAsia"/>
                <w:szCs w:val="21"/>
              </w:rPr>
              <w:t>日）基金份额总额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 xml:space="preserve">1,124,533,978.56 </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本报告期期初基金份额总额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237,016,400.33</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本报告期</w:t>
            </w:r>
            <w:r w:rsidR="001548F9" w:rsidRPr="00646A7D">
              <w:rPr>
                <w:rFonts w:eastAsiaTheme="minorEastAsia"/>
                <w:szCs w:val="21"/>
              </w:rPr>
              <w:t>基金总申购份额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28,695,779.71</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减：</w:t>
            </w:r>
            <w:r w:rsidR="005151E7" w:rsidRPr="00646A7D">
              <w:rPr>
                <w:rFonts w:eastAsiaTheme="minorEastAsia"/>
                <w:szCs w:val="21"/>
              </w:rPr>
              <w:t>本报告期</w:t>
            </w:r>
            <w:r w:rsidRPr="00646A7D">
              <w:rPr>
                <w:rFonts w:eastAsiaTheme="minorEastAsia"/>
                <w:szCs w:val="21"/>
              </w:rPr>
              <w:t>基金总赎回份额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52,884,705.10</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本报告期</w:t>
            </w:r>
            <w:r w:rsidR="001548F9" w:rsidRPr="00646A7D">
              <w:rPr>
                <w:rFonts w:eastAsiaTheme="minorEastAsia"/>
                <w:szCs w:val="21"/>
              </w:rPr>
              <w:t>基金拆分变动份额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本报告期期末基金份额总额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212,827,474.94</w:t>
            </w:r>
          </w:p>
        </w:tc>
      </w:tr>
    </w:tbl>
    <w:p w:rsidR="005A09F2" w:rsidRPr="00646A7D" w:rsidRDefault="005A09F2" w:rsidP="005A09F2">
      <w:pPr>
        <w:spacing w:line="360" w:lineRule="auto"/>
        <w:rPr>
          <w:rFonts w:eastAsiaTheme="minorEastAsia"/>
          <w:szCs w:val="21"/>
        </w:rPr>
      </w:pPr>
    </w:p>
    <w:p w:rsidR="005A09F2" w:rsidRPr="00646A7D" w:rsidRDefault="005A09F2" w:rsidP="00410E12">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注：申购含红利再投资、转换转入份额，赎回含转换转出份额。</w:t>
      </w:r>
    </w:p>
    <w:p w:rsidR="001548F9" w:rsidRPr="00646A7D" w:rsidRDefault="001548F9" w:rsidP="000E18D9">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331410116"/>
      <w:bookmarkStart w:id="80" w:name="_Toc225500054"/>
      <w:r w:rsidRPr="00646A7D">
        <w:rPr>
          <w:rFonts w:eastAsiaTheme="minorEastAsia"/>
          <w:b/>
          <w:bCs/>
          <w:sz w:val="21"/>
          <w:szCs w:val="21"/>
          <w:lang w:val="en-US"/>
        </w:rPr>
        <w:t xml:space="preserve">10  </w:t>
      </w:r>
      <w:r w:rsidRPr="00646A7D">
        <w:rPr>
          <w:rFonts w:eastAsiaTheme="minorEastAsia"/>
          <w:b/>
          <w:bCs/>
          <w:sz w:val="21"/>
          <w:szCs w:val="21"/>
          <w:lang w:val="en-US"/>
        </w:rPr>
        <w:t>重大事件揭示</w:t>
      </w:r>
      <w:bookmarkEnd w:id="79"/>
      <w:bookmarkEnd w:id="80"/>
    </w:p>
    <w:p w:rsidR="005E09A4" w:rsidRDefault="005E09A4" w:rsidP="005E09A4">
      <w:pPr>
        <w:pStyle w:val="20"/>
        <w:spacing w:before="29" w:after="0" w:line="288" w:lineRule="auto"/>
        <w:rPr>
          <w:rFonts w:ascii="Times New Roman" w:hAnsi="Times New Roman"/>
          <w:kern w:val="0"/>
          <w:sz w:val="21"/>
          <w:szCs w:val="21"/>
        </w:rPr>
      </w:pPr>
      <w:bookmarkStart w:id="81" w:name="_Toc374438161"/>
      <w:bookmarkStart w:id="82" w:name="_Toc361324894"/>
      <w:bookmarkStart w:id="83" w:name="OLE_LINK179"/>
      <w:bookmarkStart w:id="84" w:name="OLE_LINK178"/>
      <w:bookmarkStart w:id="85" w:name="OLE_LINK174"/>
      <w:bookmarkStart w:id="86" w:name="OLE_LINK165"/>
      <w:bookmarkStart w:id="87" w:name="OLE_LINK145"/>
      <w:bookmarkStart w:id="88" w:name="OLE_LINK135"/>
      <w:bookmarkStart w:id="89" w:name="OLE_LINK84"/>
      <w:bookmarkStart w:id="90" w:name="OLE_LINK75"/>
      <w:bookmarkStart w:id="91" w:name="OLE_LINK59"/>
      <w:bookmarkStart w:id="92" w:name="OLE_LINK34"/>
      <w:bookmarkStart w:id="93" w:name="OLE_LINK33"/>
      <w:bookmarkStart w:id="94" w:name="OLE_LINK28"/>
      <w:bookmarkStart w:id="95" w:name="OLE_LINK170"/>
      <w:bookmarkStart w:id="96" w:name="OLE_LINK159"/>
      <w:bookmarkStart w:id="97" w:name="OLE_LINK143"/>
      <w:bookmarkStart w:id="98" w:name="OLE_LINK130"/>
      <w:bookmarkStart w:id="99" w:name="OLE_LINK102"/>
      <w:bookmarkStart w:id="100" w:name="OLE_LINK101"/>
      <w:bookmarkStart w:id="101" w:name="OLE_LINK72"/>
      <w:bookmarkStart w:id="102" w:name="OLE_LINK50"/>
      <w:bookmarkStart w:id="103" w:name="OLE_LINK49"/>
      <w:r>
        <w:rPr>
          <w:rFonts w:ascii="Times New Roman" w:hAnsi="Times New Roman"/>
          <w:kern w:val="0"/>
          <w:sz w:val="21"/>
          <w:szCs w:val="21"/>
        </w:rPr>
        <w:t>10.1</w:t>
      </w:r>
      <w:r>
        <w:rPr>
          <w:rFonts w:ascii="Times New Roman" w:hAnsi="Times New Roman"/>
          <w:kern w:val="0"/>
          <w:sz w:val="21"/>
          <w:szCs w:val="21"/>
        </w:rPr>
        <w:tab/>
      </w:r>
      <w:r>
        <w:rPr>
          <w:rFonts w:ascii="Times New Roman" w:hAnsi="Times New Roman" w:hint="eastAsia"/>
          <w:kern w:val="0"/>
          <w:sz w:val="21"/>
          <w:szCs w:val="21"/>
        </w:rPr>
        <w:t>基金份额持有人大会决议</w:t>
      </w:r>
      <w:bookmarkEnd w:id="81"/>
      <w:bookmarkEnd w:id="82"/>
    </w:p>
    <w:p w:rsidR="005E09A4" w:rsidRDefault="005E09A4" w:rsidP="005E09A4">
      <w:pPr>
        <w:tabs>
          <w:tab w:val="left" w:pos="426"/>
        </w:tabs>
        <w:spacing w:before="29" w:line="288" w:lineRule="auto"/>
        <w:jc w:val="left"/>
        <w:rPr>
          <w:kern w:val="0"/>
          <w:szCs w:val="21"/>
        </w:rPr>
      </w:pPr>
      <w:r>
        <w:rPr>
          <w:kern w:val="0"/>
          <w:szCs w:val="21"/>
        </w:rPr>
        <w:t>报告期内无基金份额持有人大会决议。</w:t>
      </w:r>
    </w:p>
    <w:p w:rsidR="005E09A4" w:rsidRDefault="005E09A4" w:rsidP="005E09A4">
      <w:pPr>
        <w:pStyle w:val="20"/>
        <w:spacing w:before="29" w:after="0" w:line="288" w:lineRule="auto"/>
        <w:rPr>
          <w:rFonts w:ascii="Times New Roman" w:hAnsi="Times New Roman"/>
          <w:kern w:val="0"/>
          <w:sz w:val="21"/>
          <w:szCs w:val="21"/>
        </w:rPr>
      </w:pPr>
      <w:bookmarkStart w:id="104" w:name="_Toc374438162"/>
      <w:bookmarkStart w:id="105" w:name="_Toc361324895"/>
      <w:r>
        <w:rPr>
          <w:rFonts w:ascii="Times New Roman" w:hAnsi="Times New Roman"/>
          <w:kern w:val="0"/>
          <w:sz w:val="21"/>
          <w:szCs w:val="21"/>
        </w:rPr>
        <w:t>10.2</w:t>
      </w:r>
      <w:r>
        <w:rPr>
          <w:rFonts w:ascii="Times New Roman" w:hAnsi="Times New Roman"/>
          <w:kern w:val="0"/>
          <w:sz w:val="21"/>
          <w:szCs w:val="21"/>
        </w:rPr>
        <w:tab/>
      </w:r>
      <w:r>
        <w:rPr>
          <w:rFonts w:ascii="Times New Roman" w:hAnsi="Times New Roman" w:hint="eastAsia"/>
          <w:kern w:val="0"/>
          <w:sz w:val="21"/>
          <w:szCs w:val="21"/>
        </w:rPr>
        <w:t>基金管理人、基金托管人的专门基金托管部门的重大人事变动</w:t>
      </w:r>
      <w:bookmarkEnd w:id="104"/>
      <w:bookmarkEnd w:id="105"/>
    </w:p>
    <w:p w:rsidR="007951F4" w:rsidRDefault="005757D9">
      <w:pPr>
        <w:tabs>
          <w:tab w:val="left" w:pos="426"/>
        </w:tabs>
        <w:spacing w:before="29" w:line="288" w:lineRule="auto"/>
        <w:jc w:val="left"/>
        <w:rPr>
          <w:kern w:val="0"/>
          <w:szCs w:val="21"/>
        </w:rPr>
      </w:pPr>
      <w:r>
        <w:rPr>
          <w:kern w:val="0"/>
          <w:szCs w:val="21"/>
        </w:rPr>
        <w:t>1</w:t>
      </w:r>
      <w:r>
        <w:rPr>
          <w:kern w:val="0"/>
          <w:szCs w:val="21"/>
        </w:rPr>
        <w:t>、本报告期内本基金管理人重大人事变动如下：</w:t>
      </w:r>
    </w:p>
    <w:p w:rsidR="007951F4" w:rsidRDefault="005757D9">
      <w:pPr>
        <w:tabs>
          <w:tab w:val="left" w:pos="426"/>
        </w:tabs>
        <w:spacing w:before="29" w:line="288" w:lineRule="auto"/>
        <w:jc w:val="left"/>
        <w:rPr>
          <w:kern w:val="0"/>
          <w:szCs w:val="21"/>
        </w:rPr>
      </w:pPr>
      <w:r>
        <w:rPr>
          <w:kern w:val="0"/>
          <w:szCs w:val="21"/>
        </w:rPr>
        <w:t>无。</w:t>
      </w:r>
    </w:p>
    <w:p w:rsidR="007951F4" w:rsidRDefault="005757D9">
      <w:pPr>
        <w:tabs>
          <w:tab w:val="left" w:pos="426"/>
        </w:tabs>
        <w:spacing w:before="29" w:line="288" w:lineRule="auto"/>
        <w:jc w:val="left"/>
        <w:rPr>
          <w:kern w:val="0"/>
          <w:szCs w:val="21"/>
        </w:rPr>
      </w:pPr>
      <w:r>
        <w:rPr>
          <w:kern w:val="0"/>
          <w:szCs w:val="21"/>
        </w:rPr>
        <w:t>2</w:t>
      </w:r>
      <w:r>
        <w:rPr>
          <w:kern w:val="0"/>
          <w:szCs w:val="21"/>
        </w:rPr>
        <w:t>、本报告期内本基金托管人的专门基金托管部门重大人事变动如下：</w:t>
      </w:r>
    </w:p>
    <w:p w:rsidR="005E09A4" w:rsidRDefault="005E09A4" w:rsidP="005E09A4">
      <w:pPr>
        <w:tabs>
          <w:tab w:val="left" w:pos="426"/>
        </w:tabs>
        <w:spacing w:before="29" w:line="288" w:lineRule="auto"/>
        <w:jc w:val="left"/>
        <w:rPr>
          <w:kern w:val="0"/>
          <w:szCs w:val="21"/>
        </w:rPr>
      </w:pPr>
      <w:r>
        <w:rPr>
          <w:kern w:val="0"/>
          <w:szCs w:val="21"/>
        </w:rPr>
        <w:t>托管人中国建设银行</w:t>
      </w:r>
      <w:r>
        <w:rPr>
          <w:kern w:val="0"/>
          <w:szCs w:val="21"/>
        </w:rPr>
        <w:t>2019</w:t>
      </w:r>
      <w:r>
        <w:rPr>
          <w:kern w:val="0"/>
          <w:szCs w:val="21"/>
        </w:rPr>
        <w:t>年</w:t>
      </w:r>
      <w:r>
        <w:rPr>
          <w:kern w:val="0"/>
          <w:szCs w:val="21"/>
        </w:rPr>
        <w:t>6</w:t>
      </w:r>
      <w:r>
        <w:rPr>
          <w:kern w:val="0"/>
          <w:szCs w:val="21"/>
        </w:rPr>
        <w:t>月</w:t>
      </w:r>
      <w:r>
        <w:rPr>
          <w:kern w:val="0"/>
          <w:szCs w:val="21"/>
        </w:rPr>
        <w:t>4</w:t>
      </w:r>
      <w:r>
        <w:rPr>
          <w:kern w:val="0"/>
          <w:szCs w:val="21"/>
        </w:rPr>
        <w:t>日发布公告，聘任蔡亚蓉为中国建设银行股份有限公司资产托管业务部总经理。</w:t>
      </w:r>
    </w:p>
    <w:p w:rsidR="005E09A4" w:rsidRDefault="005E09A4" w:rsidP="005E09A4">
      <w:pPr>
        <w:pStyle w:val="20"/>
        <w:spacing w:before="29" w:after="0" w:line="288" w:lineRule="auto"/>
        <w:rPr>
          <w:rFonts w:ascii="Times New Roman" w:hAnsi="Times New Roman"/>
          <w:kern w:val="0"/>
          <w:sz w:val="21"/>
          <w:szCs w:val="21"/>
        </w:rPr>
      </w:pPr>
      <w:bookmarkStart w:id="106" w:name="_Toc374438163"/>
      <w:bookmarkStart w:id="107" w:name="_Toc361324896"/>
      <w:r>
        <w:rPr>
          <w:rFonts w:ascii="Times New Roman" w:hAnsi="Times New Roman"/>
          <w:kern w:val="0"/>
          <w:sz w:val="21"/>
          <w:szCs w:val="21"/>
        </w:rPr>
        <w:t>10.3</w:t>
      </w:r>
      <w:r>
        <w:rPr>
          <w:rFonts w:ascii="Times New Roman" w:hAnsi="Times New Roman"/>
          <w:kern w:val="0"/>
          <w:sz w:val="21"/>
          <w:szCs w:val="21"/>
        </w:rPr>
        <w:tab/>
      </w:r>
      <w:r>
        <w:rPr>
          <w:rFonts w:ascii="Times New Roman" w:hAnsi="Times New Roman" w:hint="eastAsia"/>
          <w:kern w:val="0"/>
          <w:sz w:val="21"/>
          <w:szCs w:val="21"/>
        </w:rPr>
        <w:t>涉及基金管理人、基金财产、基金托管业务的诉讼</w:t>
      </w:r>
      <w:bookmarkEnd w:id="106"/>
      <w:bookmarkEnd w:id="107"/>
    </w:p>
    <w:p w:rsidR="005E09A4" w:rsidRDefault="005E09A4" w:rsidP="005E09A4">
      <w:pPr>
        <w:tabs>
          <w:tab w:val="left" w:pos="426"/>
        </w:tabs>
        <w:spacing w:before="29" w:line="288" w:lineRule="auto"/>
        <w:jc w:val="left"/>
        <w:rPr>
          <w:kern w:val="0"/>
          <w:szCs w:val="21"/>
        </w:rPr>
      </w:pPr>
      <w:r>
        <w:rPr>
          <w:kern w:val="0"/>
          <w:szCs w:val="21"/>
        </w:rPr>
        <w:t>报告期内无涉及本基金财产、基金托管业务的诉讼。报告期内基金管理人无涉及本基金财产的诉讼。</w:t>
      </w:r>
    </w:p>
    <w:p w:rsidR="005E09A4" w:rsidRDefault="005E09A4" w:rsidP="005E09A4">
      <w:pPr>
        <w:pStyle w:val="20"/>
        <w:spacing w:before="29" w:after="0" w:line="288" w:lineRule="auto"/>
        <w:rPr>
          <w:rFonts w:ascii="Times New Roman" w:hAnsi="Times New Roman"/>
          <w:kern w:val="0"/>
          <w:sz w:val="21"/>
          <w:szCs w:val="21"/>
        </w:rPr>
      </w:pPr>
      <w:bookmarkStart w:id="108" w:name="_Toc374438164"/>
      <w:bookmarkStart w:id="109" w:name="_Toc361324897"/>
      <w:r>
        <w:rPr>
          <w:rFonts w:ascii="Times New Roman" w:hAnsi="Times New Roman"/>
          <w:kern w:val="0"/>
          <w:sz w:val="21"/>
          <w:szCs w:val="21"/>
        </w:rPr>
        <w:t>10.4</w:t>
      </w:r>
      <w:r>
        <w:rPr>
          <w:rFonts w:ascii="Times New Roman" w:hAnsi="Times New Roman"/>
          <w:kern w:val="0"/>
          <w:sz w:val="21"/>
          <w:szCs w:val="21"/>
        </w:rPr>
        <w:tab/>
      </w:r>
      <w:r>
        <w:rPr>
          <w:rFonts w:ascii="Times New Roman" w:hAnsi="Times New Roman" w:hint="eastAsia"/>
          <w:kern w:val="0"/>
          <w:sz w:val="21"/>
          <w:szCs w:val="21"/>
        </w:rPr>
        <w:t>基金投资策略的改变</w:t>
      </w:r>
      <w:bookmarkEnd w:id="108"/>
      <w:bookmarkEnd w:id="109"/>
    </w:p>
    <w:p w:rsidR="005E09A4" w:rsidRDefault="005E09A4" w:rsidP="005E09A4">
      <w:pPr>
        <w:tabs>
          <w:tab w:val="left" w:pos="426"/>
        </w:tabs>
        <w:spacing w:before="29" w:line="288" w:lineRule="auto"/>
        <w:jc w:val="left"/>
        <w:rPr>
          <w:kern w:val="0"/>
          <w:szCs w:val="21"/>
        </w:rPr>
      </w:pPr>
      <w:r>
        <w:rPr>
          <w:kern w:val="0"/>
          <w:szCs w:val="21"/>
        </w:rPr>
        <w:t>本报告期内无基金投资策略的改变。</w:t>
      </w:r>
    </w:p>
    <w:p w:rsidR="005E09A4" w:rsidRDefault="005E09A4" w:rsidP="005E09A4">
      <w:pPr>
        <w:pStyle w:val="20"/>
        <w:spacing w:before="29" w:after="0" w:line="288" w:lineRule="auto"/>
        <w:rPr>
          <w:rFonts w:ascii="Times New Roman" w:hAnsi="Times New Roman"/>
          <w:kern w:val="0"/>
          <w:sz w:val="21"/>
          <w:szCs w:val="21"/>
        </w:rPr>
      </w:pPr>
      <w:bookmarkStart w:id="110" w:name="_Toc409100103"/>
      <w:bookmarkStart w:id="111" w:name="_Toc409100466"/>
      <w:r>
        <w:rPr>
          <w:rFonts w:ascii="Times New Roman" w:hAnsi="Times New Roman"/>
          <w:kern w:val="0"/>
          <w:sz w:val="21"/>
          <w:szCs w:val="21"/>
        </w:rPr>
        <w:t>10.5</w:t>
      </w:r>
      <w:r>
        <w:rPr>
          <w:rFonts w:ascii="Times New Roman" w:hAnsi="Times New Roman" w:hint="eastAsia"/>
          <w:kern w:val="0"/>
          <w:sz w:val="21"/>
          <w:szCs w:val="21"/>
        </w:rPr>
        <w:t>为基金进行审计的会计师事务所情况</w:t>
      </w:r>
      <w:bookmarkEnd w:id="110"/>
      <w:bookmarkEnd w:id="111"/>
    </w:p>
    <w:p w:rsidR="005E09A4" w:rsidRDefault="005E09A4" w:rsidP="005E09A4">
      <w:pPr>
        <w:tabs>
          <w:tab w:val="left" w:pos="426"/>
        </w:tabs>
        <w:spacing w:before="29" w:line="288" w:lineRule="auto"/>
        <w:jc w:val="left"/>
        <w:rPr>
          <w:kern w:val="0"/>
          <w:szCs w:val="21"/>
        </w:rPr>
      </w:pPr>
      <w:bookmarkStart w:id="112" w:name="OLE_LINK3"/>
      <w:r>
        <w:rPr>
          <w:kern w:val="0"/>
          <w:szCs w:val="21"/>
        </w:rPr>
        <w:t>本报告期内本基金未改聘为基金审计的会计师事务所。</w:t>
      </w:r>
    </w:p>
    <w:p w:rsidR="005E09A4" w:rsidRDefault="005E09A4" w:rsidP="005E09A4">
      <w:pPr>
        <w:pStyle w:val="20"/>
        <w:spacing w:before="29" w:after="0" w:line="288" w:lineRule="auto"/>
        <w:rPr>
          <w:rFonts w:ascii="Times New Roman" w:hAnsi="Times New Roman"/>
          <w:kern w:val="0"/>
          <w:sz w:val="21"/>
          <w:szCs w:val="21"/>
        </w:rPr>
      </w:pPr>
      <w:bookmarkStart w:id="113" w:name="_Toc361324899"/>
      <w:bookmarkStart w:id="114" w:name="_Toc409100467"/>
      <w:bookmarkStart w:id="115" w:name="_Toc409100104"/>
      <w:bookmarkEnd w:id="112"/>
      <w:r>
        <w:rPr>
          <w:rFonts w:ascii="Times New Roman" w:hAnsi="Times New Roman"/>
          <w:kern w:val="0"/>
          <w:sz w:val="21"/>
          <w:szCs w:val="21"/>
        </w:rPr>
        <w:t>10.6</w:t>
      </w:r>
      <w:r>
        <w:rPr>
          <w:rFonts w:ascii="Times New Roman" w:hAnsi="Times New Roman" w:hint="eastAsia"/>
          <w:kern w:val="0"/>
          <w:sz w:val="21"/>
          <w:szCs w:val="21"/>
        </w:rPr>
        <w:t>管理人、托管人及其高级管理人员受稽查或处罚等情况</w:t>
      </w:r>
      <w:bookmarkEnd w:id="113"/>
      <w:bookmarkEnd w:id="114"/>
      <w:bookmarkEnd w:id="115"/>
    </w:p>
    <w:p w:rsidR="007951F4" w:rsidRDefault="005757D9">
      <w:pPr>
        <w:tabs>
          <w:tab w:val="left" w:pos="426"/>
        </w:tabs>
        <w:spacing w:before="29" w:line="288" w:lineRule="auto"/>
        <w:jc w:val="left"/>
        <w:rPr>
          <w:kern w:val="0"/>
          <w:szCs w:val="21"/>
        </w:rPr>
      </w:pPr>
      <w:r>
        <w:rPr>
          <w:kern w:val="0"/>
          <w:szCs w:val="21"/>
        </w:rPr>
        <w:t>2019</w:t>
      </w:r>
      <w:r>
        <w:rPr>
          <w:kern w:val="0"/>
          <w:szCs w:val="21"/>
        </w:rPr>
        <w:t>年</w:t>
      </w:r>
      <w:r>
        <w:rPr>
          <w:kern w:val="0"/>
          <w:szCs w:val="21"/>
        </w:rPr>
        <w:t>1</w:t>
      </w:r>
      <w:r>
        <w:rPr>
          <w:kern w:val="0"/>
          <w:szCs w:val="21"/>
        </w:rPr>
        <w:t>月，针对上海证监局向公司出具的《关于对华安基金管理有限公司采取责令改正措施的决定》，公司高度重视，逐一落实各项整改要求，针对性地制定、实施整改措施，进</w:t>
      </w:r>
      <w:r>
        <w:rPr>
          <w:kern w:val="0"/>
          <w:szCs w:val="21"/>
        </w:rPr>
        <w:t>一步提升公司内部控制和风险管理能力。</w:t>
      </w:r>
      <w:r>
        <w:rPr>
          <w:kern w:val="0"/>
          <w:szCs w:val="21"/>
        </w:rPr>
        <w:t>2019</w:t>
      </w:r>
      <w:r>
        <w:rPr>
          <w:kern w:val="0"/>
          <w:szCs w:val="21"/>
        </w:rPr>
        <w:t>年</w:t>
      </w:r>
      <w:r>
        <w:rPr>
          <w:kern w:val="0"/>
          <w:szCs w:val="21"/>
        </w:rPr>
        <w:t>2</w:t>
      </w:r>
      <w:r>
        <w:rPr>
          <w:kern w:val="0"/>
          <w:szCs w:val="21"/>
        </w:rPr>
        <w:t>月，公司已通过上海证监局的检查验收。</w:t>
      </w:r>
    </w:p>
    <w:p w:rsidR="005E09A4" w:rsidRDefault="005E09A4" w:rsidP="005E09A4">
      <w:pPr>
        <w:tabs>
          <w:tab w:val="left" w:pos="426"/>
        </w:tabs>
        <w:spacing w:before="29" w:line="288" w:lineRule="auto"/>
        <w:jc w:val="left"/>
        <w:rPr>
          <w:kern w:val="0"/>
          <w:szCs w:val="21"/>
        </w:rPr>
      </w:pPr>
      <w:r>
        <w:rPr>
          <w:kern w:val="0"/>
          <w:szCs w:val="21"/>
        </w:rPr>
        <w:t>除上述情况外，本报告期内无管理人、托管人及其高级管理人员受稽查或处罚等情况。</w:t>
      </w:r>
    </w:p>
    <w:p w:rsidR="005E09A4" w:rsidRDefault="005E09A4" w:rsidP="005E09A4">
      <w:pPr>
        <w:pStyle w:val="20"/>
        <w:spacing w:before="29" w:after="0" w:line="288" w:lineRule="auto"/>
        <w:rPr>
          <w:rFonts w:ascii="Times New Roman" w:hAnsi="Times New Roman"/>
          <w:kern w:val="0"/>
          <w:sz w:val="21"/>
          <w:szCs w:val="21"/>
        </w:rPr>
      </w:pPr>
      <w:bookmarkStart w:id="116" w:name="_Toc409100105"/>
      <w:bookmarkStart w:id="117" w:name="_Toc409100468"/>
      <w:bookmarkStart w:id="118" w:name="_Toc361324900"/>
      <w:r>
        <w:rPr>
          <w:rFonts w:ascii="Times New Roman" w:hAnsi="Times New Roman"/>
          <w:kern w:val="0"/>
          <w:sz w:val="21"/>
          <w:szCs w:val="21"/>
        </w:rPr>
        <w:t>10.7</w:t>
      </w:r>
      <w:r>
        <w:rPr>
          <w:rFonts w:ascii="Times New Roman" w:hAnsi="Times New Roman" w:hint="eastAsia"/>
          <w:kern w:val="0"/>
          <w:sz w:val="21"/>
          <w:szCs w:val="21"/>
        </w:rPr>
        <w:t>基金租用证券公司交易单元的有关情况</w:t>
      </w:r>
      <w:bookmarkEnd w:id="116"/>
      <w:bookmarkEnd w:id="117"/>
      <w:bookmarkEnd w:id="118"/>
    </w:p>
    <w:p w:rsidR="005E09A4" w:rsidRDefault="005E09A4" w:rsidP="005E09A4">
      <w:pPr>
        <w:tabs>
          <w:tab w:val="left" w:pos="426"/>
        </w:tabs>
        <w:spacing w:before="29" w:line="288" w:lineRule="auto"/>
        <w:jc w:val="left"/>
        <w:rPr>
          <w:b/>
          <w:kern w:val="0"/>
          <w:szCs w:val="21"/>
        </w:rPr>
      </w:pPr>
      <w:bookmarkStart w:id="119" w:name="_Toc249760070"/>
      <w:r>
        <w:rPr>
          <w:b/>
          <w:kern w:val="0"/>
          <w:szCs w:val="21"/>
        </w:rPr>
        <w:t>10.7.1</w:t>
      </w:r>
      <w:r>
        <w:rPr>
          <w:rFonts w:hint="eastAsia"/>
          <w:b/>
          <w:kern w:val="0"/>
          <w:szCs w:val="21"/>
        </w:rPr>
        <w:t>基金租用证券公司交易单元进行股票投资及佣金支付情况</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19"/>
    </w:p>
    <w:p w:rsidR="00B932B3" w:rsidRPr="00646A7D" w:rsidRDefault="00B932B3" w:rsidP="00B932B3">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548F9" w:rsidRPr="00646A7D" w:rsidTr="0070173B">
        <w:tc>
          <w:tcPr>
            <w:tcW w:w="1560" w:type="dxa"/>
            <w:vMerge w:val="restart"/>
            <w:vAlign w:val="center"/>
          </w:tcPr>
          <w:p w:rsidR="001548F9" w:rsidRPr="00646A7D" w:rsidRDefault="001548F9" w:rsidP="0070173B">
            <w:pPr>
              <w:jc w:val="center"/>
              <w:rPr>
                <w:rFonts w:eastAsiaTheme="minorEastAsia"/>
                <w:color w:val="000000"/>
                <w:szCs w:val="21"/>
              </w:rPr>
            </w:pPr>
            <w:bookmarkStart w:id="120" w:name="_Toc249760071"/>
            <w:r w:rsidRPr="00646A7D">
              <w:rPr>
                <w:rFonts w:eastAsiaTheme="minorEastAsia"/>
                <w:color w:val="000000"/>
                <w:szCs w:val="21"/>
              </w:rPr>
              <w:t>券商名称</w:t>
            </w:r>
          </w:p>
        </w:tc>
        <w:tc>
          <w:tcPr>
            <w:tcW w:w="780" w:type="dxa"/>
            <w:vMerge w:val="restart"/>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交易单元数量</w:t>
            </w:r>
          </w:p>
        </w:tc>
        <w:tc>
          <w:tcPr>
            <w:tcW w:w="288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股票交易</w:t>
            </w:r>
          </w:p>
        </w:tc>
        <w:tc>
          <w:tcPr>
            <w:tcW w:w="270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应支付该券商的佣金</w:t>
            </w:r>
          </w:p>
        </w:tc>
        <w:tc>
          <w:tcPr>
            <w:tcW w:w="1080" w:type="dxa"/>
            <w:vMerge w:val="restart"/>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备注</w:t>
            </w:r>
          </w:p>
        </w:tc>
      </w:tr>
      <w:tr w:rsidR="001548F9" w:rsidRPr="00646A7D" w:rsidTr="0070173B">
        <w:tc>
          <w:tcPr>
            <w:tcW w:w="9000" w:type="dxa"/>
            <w:vMerge/>
            <w:vAlign w:val="center"/>
          </w:tcPr>
          <w:p w:rsidR="001548F9" w:rsidRPr="00646A7D" w:rsidRDefault="001548F9" w:rsidP="0070173B">
            <w:pPr>
              <w:widowControl/>
              <w:jc w:val="left"/>
              <w:rPr>
                <w:rFonts w:eastAsiaTheme="minorEastAsia"/>
                <w:color w:val="000000"/>
                <w:szCs w:val="21"/>
              </w:rPr>
            </w:pPr>
          </w:p>
        </w:tc>
        <w:tc>
          <w:tcPr>
            <w:tcW w:w="780" w:type="dxa"/>
            <w:vMerge/>
            <w:vAlign w:val="center"/>
          </w:tcPr>
          <w:p w:rsidR="001548F9" w:rsidRPr="00646A7D" w:rsidRDefault="001548F9" w:rsidP="0070173B">
            <w:pPr>
              <w:widowControl/>
              <w:jc w:val="left"/>
              <w:rPr>
                <w:rFonts w:eastAsiaTheme="minorEastAsia"/>
                <w:color w:val="000000"/>
                <w:szCs w:val="21"/>
              </w:rPr>
            </w:pPr>
          </w:p>
        </w:tc>
        <w:tc>
          <w:tcPr>
            <w:tcW w:w="180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占当期股票成交总额的比例</w:t>
            </w:r>
          </w:p>
        </w:tc>
        <w:tc>
          <w:tcPr>
            <w:tcW w:w="1620" w:type="dxa"/>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佣金</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占当期佣金总量的比例</w:t>
            </w:r>
          </w:p>
        </w:tc>
        <w:tc>
          <w:tcPr>
            <w:tcW w:w="1080" w:type="dxa"/>
            <w:vMerge/>
            <w:vAlign w:val="center"/>
          </w:tcPr>
          <w:p w:rsidR="001548F9" w:rsidRPr="00646A7D" w:rsidRDefault="001548F9" w:rsidP="0070173B">
            <w:pPr>
              <w:widowControl/>
              <w:jc w:val="left"/>
              <w:rPr>
                <w:rFonts w:eastAsiaTheme="minorEastAsia"/>
                <w:color w:val="000000"/>
                <w:kern w:val="0"/>
                <w:szCs w:val="21"/>
              </w:rPr>
            </w:pPr>
          </w:p>
        </w:tc>
      </w:tr>
      <w:tr w:rsidR="007951F4">
        <w:tc>
          <w:tcPr>
            <w:tcW w:w="1560" w:type="dxa"/>
            <w:vAlign w:val="center"/>
          </w:tcPr>
          <w:p w:rsidR="007951F4" w:rsidRDefault="005757D9">
            <w:pPr>
              <w:jc w:val="center"/>
            </w:pPr>
            <w:r>
              <w:rPr>
                <w:rFonts w:eastAsiaTheme="minorEastAsia"/>
                <w:color w:val="000000"/>
                <w:szCs w:val="21"/>
              </w:rPr>
              <w:t>国泰君安</w:t>
            </w:r>
          </w:p>
        </w:tc>
        <w:tc>
          <w:tcPr>
            <w:tcW w:w="780" w:type="dxa"/>
            <w:vAlign w:val="center"/>
          </w:tcPr>
          <w:p w:rsidR="007951F4" w:rsidRDefault="005757D9">
            <w:pPr>
              <w:jc w:val="center"/>
            </w:pPr>
            <w:r>
              <w:rPr>
                <w:rFonts w:eastAsiaTheme="minorEastAsia"/>
                <w:color w:val="000000"/>
                <w:szCs w:val="21"/>
              </w:rPr>
              <w:t>1</w:t>
            </w:r>
          </w:p>
        </w:tc>
        <w:tc>
          <w:tcPr>
            <w:tcW w:w="1800" w:type="dxa"/>
            <w:vAlign w:val="center"/>
          </w:tcPr>
          <w:p w:rsidR="007951F4" w:rsidRDefault="005757D9">
            <w:pPr>
              <w:jc w:val="right"/>
            </w:pPr>
            <w:r>
              <w:rPr>
                <w:rFonts w:eastAsiaTheme="minorEastAsia"/>
                <w:color w:val="000000"/>
                <w:szCs w:val="21"/>
              </w:rPr>
              <w:t>-</w:t>
            </w:r>
          </w:p>
        </w:tc>
        <w:tc>
          <w:tcPr>
            <w:tcW w:w="1080" w:type="dxa"/>
            <w:vAlign w:val="center"/>
          </w:tcPr>
          <w:p w:rsidR="007951F4" w:rsidRDefault="005757D9">
            <w:pPr>
              <w:jc w:val="right"/>
            </w:pPr>
            <w:r>
              <w:rPr>
                <w:rFonts w:eastAsiaTheme="minorEastAsia"/>
                <w:color w:val="000000"/>
                <w:szCs w:val="21"/>
              </w:rPr>
              <w:t>-</w:t>
            </w:r>
          </w:p>
        </w:tc>
        <w:tc>
          <w:tcPr>
            <w:tcW w:w="1620" w:type="dxa"/>
            <w:vAlign w:val="center"/>
          </w:tcPr>
          <w:p w:rsidR="007951F4" w:rsidRDefault="005757D9">
            <w:pPr>
              <w:jc w:val="right"/>
            </w:pPr>
            <w:r>
              <w:rPr>
                <w:rFonts w:eastAsiaTheme="minorEastAsia"/>
                <w:color w:val="000000"/>
                <w:szCs w:val="21"/>
              </w:rPr>
              <w:t>-</w:t>
            </w:r>
          </w:p>
        </w:tc>
        <w:tc>
          <w:tcPr>
            <w:tcW w:w="1080" w:type="dxa"/>
            <w:vAlign w:val="center"/>
          </w:tcPr>
          <w:p w:rsidR="007951F4" w:rsidRDefault="005757D9">
            <w:pPr>
              <w:jc w:val="right"/>
            </w:pPr>
            <w:r>
              <w:rPr>
                <w:rFonts w:eastAsiaTheme="minorEastAsia"/>
                <w:color w:val="000000"/>
                <w:szCs w:val="21"/>
              </w:rPr>
              <w:t>-</w:t>
            </w:r>
          </w:p>
        </w:tc>
        <w:tc>
          <w:tcPr>
            <w:tcW w:w="1080" w:type="dxa"/>
            <w:vAlign w:val="center"/>
          </w:tcPr>
          <w:p w:rsidR="007951F4" w:rsidRDefault="005757D9">
            <w:pPr>
              <w:jc w:val="left"/>
            </w:pPr>
            <w:r>
              <w:rPr>
                <w:rFonts w:eastAsiaTheme="minorEastAsia"/>
                <w:color w:val="000000"/>
                <w:szCs w:val="21"/>
              </w:rPr>
              <w:t>-</w:t>
            </w:r>
          </w:p>
        </w:tc>
      </w:tr>
      <w:tr w:rsidR="007951F4">
        <w:tc>
          <w:tcPr>
            <w:tcW w:w="1560" w:type="dxa"/>
            <w:vAlign w:val="center"/>
          </w:tcPr>
          <w:p w:rsidR="007951F4" w:rsidRDefault="005757D9">
            <w:pPr>
              <w:jc w:val="center"/>
            </w:pPr>
            <w:r>
              <w:rPr>
                <w:rFonts w:eastAsiaTheme="minorEastAsia"/>
                <w:color w:val="000000"/>
                <w:szCs w:val="21"/>
              </w:rPr>
              <w:t>银河证券</w:t>
            </w:r>
          </w:p>
        </w:tc>
        <w:tc>
          <w:tcPr>
            <w:tcW w:w="780" w:type="dxa"/>
            <w:vAlign w:val="center"/>
          </w:tcPr>
          <w:p w:rsidR="007951F4" w:rsidRDefault="005757D9">
            <w:pPr>
              <w:jc w:val="center"/>
            </w:pPr>
            <w:r>
              <w:rPr>
                <w:rFonts w:eastAsiaTheme="minorEastAsia"/>
                <w:color w:val="000000"/>
                <w:szCs w:val="21"/>
              </w:rPr>
              <w:t>2</w:t>
            </w:r>
          </w:p>
        </w:tc>
        <w:tc>
          <w:tcPr>
            <w:tcW w:w="1800" w:type="dxa"/>
            <w:vAlign w:val="center"/>
          </w:tcPr>
          <w:p w:rsidR="007951F4" w:rsidRDefault="005757D9">
            <w:pPr>
              <w:jc w:val="right"/>
            </w:pPr>
            <w:r>
              <w:rPr>
                <w:rFonts w:eastAsiaTheme="minorEastAsia"/>
                <w:color w:val="000000"/>
                <w:szCs w:val="21"/>
              </w:rPr>
              <w:t>34,037,100.36</w:t>
            </w:r>
          </w:p>
        </w:tc>
        <w:tc>
          <w:tcPr>
            <w:tcW w:w="1080" w:type="dxa"/>
            <w:vAlign w:val="center"/>
          </w:tcPr>
          <w:p w:rsidR="007951F4" w:rsidRDefault="005757D9">
            <w:pPr>
              <w:jc w:val="right"/>
            </w:pPr>
            <w:r>
              <w:rPr>
                <w:rFonts w:eastAsiaTheme="minorEastAsia"/>
                <w:color w:val="000000"/>
                <w:szCs w:val="21"/>
              </w:rPr>
              <w:t>100.00%</w:t>
            </w:r>
          </w:p>
        </w:tc>
        <w:tc>
          <w:tcPr>
            <w:tcW w:w="1620" w:type="dxa"/>
            <w:vAlign w:val="center"/>
          </w:tcPr>
          <w:p w:rsidR="007951F4" w:rsidRDefault="005757D9">
            <w:pPr>
              <w:jc w:val="right"/>
            </w:pPr>
            <w:r>
              <w:rPr>
                <w:rFonts w:eastAsiaTheme="minorEastAsia"/>
                <w:color w:val="000000"/>
                <w:szCs w:val="21"/>
              </w:rPr>
              <w:t>11,276.81</w:t>
            </w:r>
          </w:p>
        </w:tc>
        <w:tc>
          <w:tcPr>
            <w:tcW w:w="1080" w:type="dxa"/>
            <w:vAlign w:val="center"/>
          </w:tcPr>
          <w:p w:rsidR="007951F4" w:rsidRDefault="005757D9">
            <w:pPr>
              <w:jc w:val="right"/>
            </w:pPr>
            <w:r>
              <w:rPr>
                <w:rFonts w:eastAsiaTheme="minorEastAsia"/>
                <w:color w:val="000000"/>
                <w:szCs w:val="21"/>
              </w:rPr>
              <w:t>100.00%</w:t>
            </w:r>
          </w:p>
        </w:tc>
        <w:tc>
          <w:tcPr>
            <w:tcW w:w="1080" w:type="dxa"/>
            <w:vAlign w:val="center"/>
          </w:tcPr>
          <w:p w:rsidR="007951F4" w:rsidRDefault="005757D9">
            <w:pPr>
              <w:jc w:val="left"/>
            </w:pPr>
            <w:r>
              <w:rPr>
                <w:rFonts w:eastAsiaTheme="minorEastAsia"/>
                <w:color w:val="000000"/>
                <w:szCs w:val="21"/>
              </w:rPr>
              <w:t>-</w:t>
            </w:r>
          </w:p>
        </w:tc>
      </w:tr>
    </w:tbl>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、券商专用交易单元选择标准：</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基金管理人负责选择证券经营机构，选用其交易单元供本基金证券买卖专用，选择标准为：</w:t>
      </w:r>
      <w:r>
        <w:rPr>
          <w:rFonts w:eastAsiaTheme="minorEastAsia"/>
          <w:kern w:val="0"/>
          <w:szCs w:val="21"/>
        </w:rPr>
        <w:t xml:space="preserve"> </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）内部管理规范、严谨；具备健全的内控制度，并能满足基金运作高度保密的要求；</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）研究实力较强，有固定的研究机构和专门研究人员，能够针对本基金业务需要，提供高质量的研究报告和较为全面的服务；</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3</w:t>
      </w:r>
      <w:r>
        <w:rPr>
          <w:rFonts w:eastAsiaTheme="minorEastAsia"/>
          <w:kern w:val="0"/>
          <w:szCs w:val="21"/>
        </w:rPr>
        <w:t>）具有战略规划和定位，能够积极推动多边业务合作，最大限度地调动整体资源，为基金投资赢取机会；</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4</w:t>
      </w:r>
      <w:r>
        <w:rPr>
          <w:rFonts w:eastAsiaTheme="minorEastAsia"/>
          <w:kern w:val="0"/>
          <w:szCs w:val="21"/>
        </w:rPr>
        <w:t>）其他有利于基金持有人利益的商业合作考虑。</w:t>
      </w:r>
    </w:p>
    <w:p w:rsidR="007951F4" w:rsidRDefault="007951F4">
      <w:pPr>
        <w:tabs>
          <w:tab w:val="left" w:pos="426"/>
        </w:tabs>
        <w:spacing w:line="360" w:lineRule="auto"/>
        <w:ind w:firstLineChars="200" w:firstLine="420"/>
        <w:jc w:val="left"/>
        <w:rPr>
          <w:rFonts w:eastAsiaTheme="minorEastAsia"/>
          <w:kern w:val="0"/>
          <w:szCs w:val="21"/>
        </w:rPr>
      </w:pP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、券商专用交易单元选择程序：</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(1) </w:t>
      </w:r>
      <w:r>
        <w:rPr>
          <w:rFonts w:eastAsiaTheme="minorEastAsia"/>
          <w:kern w:val="0"/>
          <w:szCs w:val="21"/>
        </w:rPr>
        <w:t>对交易单元候选券商的综合服务进行评估</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由相关部门牵头并组织有关人员依据上述交易单元选择标准和《券商服务评价办法》，对候选交易单元的券商服务质量和综合实力进行评估。</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填写《新增交易单元申请审核表》</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牵头部门汇总对各候选交易单元券商的综合评估结果，择优选出拟新增单元，填写《新增交易单元申请审核表》，对拟新增交易单元的必要性和合规性进行阐述。</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(3) </w:t>
      </w:r>
      <w:r>
        <w:rPr>
          <w:rFonts w:eastAsiaTheme="minorEastAsia"/>
          <w:kern w:val="0"/>
          <w:szCs w:val="21"/>
        </w:rPr>
        <w:t>候选交易单元名单提交分管领导审批</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公司分管领导对相关部门提交的《新</w:t>
      </w:r>
      <w:r>
        <w:rPr>
          <w:rFonts w:eastAsiaTheme="minorEastAsia"/>
          <w:kern w:val="0"/>
          <w:szCs w:val="21"/>
        </w:rPr>
        <w:t>增交易单元申请审核表》及其对券商综合评估的结果进行审核，并签署审批意见。</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协议签署及通知托管人</w:t>
      </w: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 </w:t>
      </w:r>
      <w:r>
        <w:rPr>
          <w:rFonts w:eastAsiaTheme="minorEastAsia"/>
          <w:kern w:val="0"/>
          <w:szCs w:val="21"/>
        </w:rPr>
        <w:t>基金管理人与被选择的券商签订《证券交易单元租用协议》，并通知基金托管人。</w:t>
      </w:r>
    </w:p>
    <w:p w:rsidR="007951F4" w:rsidRDefault="007951F4">
      <w:pPr>
        <w:tabs>
          <w:tab w:val="left" w:pos="426"/>
        </w:tabs>
        <w:spacing w:line="360" w:lineRule="auto"/>
        <w:ind w:firstLineChars="200" w:firstLine="420"/>
        <w:jc w:val="left"/>
        <w:rPr>
          <w:rFonts w:eastAsiaTheme="minorEastAsia"/>
          <w:kern w:val="0"/>
          <w:szCs w:val="21"/>
        </w:rPr>
      </w:pPr>
    </w:p>
    <w:p w:rsidR="007951F4" w:rsidRDefault="005757D9">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、报告期内基金租用券商交易单元的变更情况：</w:t>
      </w:r>
    </w:p>
    <w:p w:rsidR="001548F9" w:rsidRPr="00410E12" w:rsidRDefault="001548F9" w:rsidP="00410E12">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r w:rsidR="005757D9">
        <w:rPr>
          <w:rFonts w:eastAsiaTheme="minorEastAsia" w:hint="eastAsia"/>
          <w:kern w:val="0"/>
          <w:szCs w:val="21"/>
        </w:rPr>
        <w:t>。</w:t>
      </w:r>
      <w:bookmarkStart w:id="121" w:name="_GoBack"/>
      <w:bookmarkEnd w:id="121"/>
    </w:p>
    <w:p w:rsidR="005E09A4" w:rsidRDefault="005E09A4" w:rsidP="005E09A4">
      <w:pPr>
        <w:pStyle w:val="20"/>
        <w:spacing w:before="29" w:after="0" w:line="288" w:lineRule="auto"/>
        <w:rPr>
          <w:rFonts w:ascii="Times New Roman" w:hAnsi="Times New Roman"/>
          <w:kern w:val="0"/>
          <w:sz w:val="21"/>
          <w:szCs w:val="21"/>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Start w:id="135" w:name="_Toc249707408"/>
      <w:bookmarkEnd w:id="120"/>
      <w:r>
        <w:rPr>
          <w:rFonts w:ascii="Times New Roman" w:hAnsi="Times New Roman"/>
          <w:kern w:val="0"/>
          <w:sz w:val="21"/>
          <w:szCs w:val="21"/>
        </w:rPr>
        <w:t xml:space="preserve">10.7.2 </w:t>
      </w:r>
      <w:r>
        <w:rPr>
          <w:rFonts w:ascii="Times New Roman" w:hAnsi="Times New Roman" w:hint="eastAsia"/>
          <w:kern w:val="0"/>
          <w:sz w:val="21"/>
          <w:szCs w:val="21"/>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1548F9" w:rsidRPr="00646A7D" w:rsidRDefault="001548F9" w:rsidP="008971E9">
      <w:pPr>
        <w:wordWrap w:val="0"/>
        <w:ind w:firstLine="420"/>
        <w:jc w:val="right"/>
        <w:rPr>
          <w:rFonts w:eastAsiaTheme="minorEastAsia"/>
          <w:color w:val="000000"/>
          <w:szCs w:val="21"/>
        </w:rPr>
      </w:pPr>
      <w:r w:rsidRPr="00646A7D">
        <w:rPr>
          <w:rFonts w:eastAsiaTheme="minorEastAsia"/>
          <w:szCs w:val="21"/>
        </w:rPr>
        <w:t>金额单位</w:t>
      </w:r>
      <w:r w:rsidRPr="00646A7D">
        <w:rPr>
          <w:rFonts w:eastAsiaTheme="minorEastAsia"/>
          <w:color w:val="000000"/>
          <w:kern w:val="0"/>
          <w:szCs w:val="21"/>
        </w:rPr>
        <w:t>：</w:t>
      </w:r>
      <w:r w:rsidRPr="00646A7D">
        <w:rPr>
          <w:rFonts w:eastAsiaTheme="minorEastAsia"/>
          <w:color w:val="000000"/>
          <w:kern w:val="0"/>
          <w:szCs w:val="21"/>
          <w:lang w:val="zh-CN"/>
        </w:rPr>
        <w:t>人民币元</w:t>
      </w:r>
      <w:bookmarkEnd w:id="135"/>
    </w:p>
    <w:p w:rsidR="00FD7A40" w:rsidRPr="00646A7D" w:rsidRDefault="00FD7A40" w:rsidP="00FD7A40">
      <w:pPr>
        <w:autoSpaceDE w:val="0"/>
        <w:autoSpaceDN w:val="0"/>
        <w:adjustRightInd w:val="0"/>
        <w:spacing w:line="360" w:lineRule="auto"/>
        <w:jc w:val="left"/>
        <w:rPr>
          <w:rFonts w:eastAsiaTheme="minorEastAsia"/>
          <w:color w:val="000000"/>
          <w:szCs w:val="21"/>
        </w:rPr>
      </w:pPr>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FD7A40" w:rsidRPr="00646A7D" w:rsidTr="00A47B26">
        <w:tc>
          <w:tcPr>
            <w:tcW w:w="709" w:type="dxa"/>
            <w:vMerge w:val="restart"/>
            <w:vAlign w:val="center"/>
          </w:tcPr>
          <w:p w:rsidR="00FD7A40" w:rsidRPr="00646A7D" w:rsidRDefault="00FD7A40" w:rsidP="00A47B26">
            <w:pPr>
              <w:jc w:val="center"/>
              <w:rPr>
                <w:rFonts w:eastAsiaTheme="minorEastAsia"/>
                <w:color w:val="000000"/>
                <w:kern w:val="0"/>
                <w:szCs w:val="21"/>
              </w:rPr>
            </w:pPr>
            <w:r w:rsidRPr="00646A7D">
              <w:rPr>
                <w:rFonts w:eastAsiaTheme="minorEastAsia"/>
                <w:color w:val="000000"/>
                <w:szCs w:val="21"/>
              </w:rPr>
              <w:t>券商名称</w:t>
            </w:r>
          </w:p>
        </w:tc>
        <w:tc>
          <w:tcPr>
            <w:tcW w:w="1985" w:type="dxa"/>
            <w:gridSpan w:val="2"/>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债券交易</w:t>
            </w:r>
          </w:p>
        </w:tc>
        <w:tc>
          <w:tcPr>
            <w:tcW w:w="2023" w:type="dxa"/>
            <w:gridSpan w:val="2"/>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回购交易</w:t>
            </w:r>
          </w:p>
        </w:tc>
        <w:tc>
          <w:tcPr>
            <w:tcW w:w="2164" w:type="dxa"/>
            <w:gridSpan w:val="2"/>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权证交易</w:t>
            </w:r>
          </w:p>
        </w:tc>
        <w:tc>
          <w:tcPr>
            <w:tcW w:w="1962" w:type="dxa"/>
            <w:gridSpan w:val="2"/>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基金交易</w:t>
            </w:r>
          </w:p>
        </w:tc>
      </w:tr>
      <w:tr w:rsidR="00FD7A40" w:rsidRPr="00646A7D" w:rsidTr="00A47B26">
        <w:tc>
          <w:tcPr>
            <w:tcW w:w="709" w:type="dxa"/>
            <w:vMerge/>
            <w:vAlign w:val="center"/>
          </w:tcPr>
          <w:p w:rsidR="00FD7A40" w:rsidRPr="00646A7D" w:rsidRDefault="00FD7A40" w:rsidP="00A47B26">
            <w:pPr>
              <w:widowControl/>
              <w:jc w:val="left"/>
              <w:rPr>
                <w:rFonts w:eastAsiaTheme="minorEastAsia"/>
                <w:color w:val="000000"/>
                <w:kern w:val="0"/>
                <w:szCs w:val="21"/>
              </w:rPr>
            </w:pPr>
          </w:p>
        </w:tc>
        <w:tc>
          <w:tcPr>
            <w:tcW w:w="1134"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成交金额</w:t>
            </w:r>
          </w:p>
        </w:tc>
        <w:tc>
          <w:tcPr>
            <w:tcW w:w="851"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占当期债券成交总额的比例</w:t>
            </w:r>
          </w:p>
        </w:tc>
        <w:tc>
          <w:tcPr>
            <w:tcW w:w="1134"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成交金额</w:t>
            </w:r>
          </w:p>
        </w:tc>
        <w:tc>
          <w:tcPr>
            <w:tcW w:w="889"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占当期回购成交总额的比例</w:t>
            </w:r>
          </w:p>
        </w:tc>
        <w:tc>
          <w:tcPr>
            <w:tcW w:w="1237"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成交金额</w:t>
            </w:r>
          </w:p>
        </w:tc>
        <w:tc>
          <w:tcPr>
            <w:tcW w:w="927"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占当期权证成交总额的比例</w:t>
            </w:r>
          </w:p>
        </w:tc>
        <w:tc>
          <w:tcPr>
            <w:tcW w:w="1057"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成交金额</w:t>
            </w:r>
          </w:p>
        </w:tc>
        <w:tc>
          <w:tcPr>
            <w:tcW w:w="905"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占当期基金成交总额的比例</w:t>
            </w:r>
          </w:p>
        </w:tc>
      </w:tr>
      <w:tr w:rsidR="007951F4">
        <w:tc>
          <w:tcPr>
            <w:tcW w:w="709" w:type="dxa"/>
            <w:vAlign w:val="center"/>
          </w:tcPr>
          <w:p w:rsidR="007951F4" w:rsidRDefault="005757D9">
            <w:pPr>
              <w:jc w:val="left"/>
            </w:pPr>
            <w:r>
              <w:rPr>
                <w:rFonts w:eastAsiaTheme="minorEastAsia"/>
                <w:color w:val="000000"/>
                <w:szCs w:val="21"/>
              </w:rPr>
              <w:t>国泰君安</w:t>
            </w:r>
          </w:p>
        </w:tc>
        <w:tc>
          <w:tcPr>
            <w:tcW w:w="1134" w:type="dxa"/>
            <w:vAlign w:val="center"/>
          </w:tcPr>
          <w:p w:rsidR="007951F4" w:rsidRDefault="005757D9">
            <w:pPr>
              <w:jc w:val="right"/>
            </w:pPr>
            <w:r>
              <w:rPr>
                <w:rFonts w:eastAsiaTheme="minorEastAsia"/>
                <w:color w:val="000000"/>
                <w:szCs w:val="21"/>
              </w:rPr>
              <w:t>-</w:t>
            </w:r>
          </w:p>
        </w:tc>
        <w:tc>
          <w:tcPr>
            <w:tcW w:w="851" w:type="dxa"/>
            <w:vAlign w:val="center"/>
          </w:tcPr>
          <w:p w:rsidR="007951F4" w:rsidRDefault="005757D9">
            <w:pPr>
              <w:jc w:val="right"/>
            </w:pPr>
            <w:r>
              <w:rPr>
                <w:rFonts w:eastAsiaTheme="minorEastAsia"/>
                <w:color w:val="000000"/>
                <w:szCs w:val="21"/>
              </w:rPr>
              <w:t>-</w:t>
            </w:r>
          </w:p>
        </w:tc>
        <w:tc>
          <w:tcPr>
            <w:tcW w:w="1134" w:type="dxa"/>
            <w:vAlign w:val="center"/>
          </w:tcPr>
          <w:p w:rsidR="007951F4" w:rsidRDefault="005757D9">
            <w:pPr>
              <w:jc w:val="right"/>
            </w:pPr>
            <w:r>
              <w:rPr>
                <w:rFonts w:eastAsiaTheme="minorEastAsia"/>
                <w:color w:val="000000"/>
                <w:szCs w:val="21"/>
              </w:rPr>
              <w:t>-</w:t>
            </w:r>
          </w:p>
        </w:tc>
        <w:tc>
          <w:tcPr>
            <w:tcW w:w="889" w:type="dxa"/>
            <w:vAlign w:val="center"/>
          </w:tcPr>
          <w:p w:rsidR="007951F4" w:rsidRDefault="005757D9">
            <w:pPr>
              <w:jc w:val="right"/>
            </w:pPr>
            <w:r>
              <w:rPr>
                <w:rFonts w:eastAsiaTheme="minorEastAsia"/>
                <w:color w:val="000000"/>
                <w:szCs w:val="21"/>
              </w:rPr>
              <w:t>-</w:t>
            </w:r>
          </w:p>
        </w:tc>
        <w:tc>
          <w:tcPr>
            <w:tcW w:w="1237" w:type="dxa"/>
            <w:vAlign w:val="center"/>
          </w:tcPr>
          <w:p w:rsidR="007951F4" w:rsidRDefault="005757D9">
            <w:pPr>
              <w:jc w:val="right"/>
            </w:pPr>
            <w:r>
              <w:rPr>
                <w:rFonts w:eastAsiaTheme="minorEastAsia"/>
                <w:color w:val="000000"/>
                <w:szCs w:val="21"/>
              </w:rPr>
              <w:t>-</w:t>
            </w:r>
          </w:p>
        </w:tc>
        <w:tc>
          <w:tcPr>
            <w:tcW w:w="927" w:type="dxa"/>
            <w:vAlign w:val="center"/>
          </w:tcPr>
          <w:p w:rsidR="007951F4" w:rsidRDefault="005757D9">
            <w:pPr>
              <w:jc w:val="right"/>
            </w:pPr>
            <w:r>
              <w:rPr>
                <w:rFonts w:eastAsiaTheme="minorEastAsia"/>
                <w:color w:val="000000"/>
                <w:szCs w:val="21"/>
              </w:rPr>
              <w:t>-</w:t>
            </w:r>
          </w:p>
        </w:tc>
        <w:tc>
          <w:tcPr>
            <w:tcW w:w="1057" w:type="dxa"/>
            <w:vAlign w:val="center"/>
          </w:tcPr>
          <w:p w:rsidR="007951F4" w:rsidRDefault="005757D9">
            <w:pPr>
              <w:jc w:val="right"/>
            </w:pPr>
            <w:r>
              <w:rPr>
                <w:rFonts w:eastAsiaTheme="minorEastAsia"/>
                <w:color w:val="000000"/>
                <w:szCs w:val="21"/>
              </w:rPr>
              <w:t>-</w:t>
            </w:r>
          </w:p>
        </w:tc>
        <w:tc>
          <w:tcPr>
            <w:tcW w:w="905" w:type="dxa"/>
            <w:vAlign w:val="center"/>
          </w:tcPr>
          <w:p w:rsidR="007951F4" w:rsidRDefault="005757D9">
            <w:pPr>
              <w:jc w:val="right"/>
            </w:pPr>
            <w:r>
              <w:rPr>
                <w:rFonts w:eastAsiaTheme="minorEastAsia"/>
                <w:color w:val="000000"/>
                <w:szCs w:val="21"/>
              </w:rPr>
              <w:t>-</w:t>
            </w:r>
          </w:p>
        </w:tc>
      </w:tr>
      <w:tr w:rsidR="007951F4">
        <w:tc>
          <w:tcPr>
            <w:tcW w:w="709" w:type="dxa"/>
            <w:vAlign w:val="center"/>
          </w:tcPr>
          <w:p w:rsidR="007951F4" w:rsidRDefault="005757D9">
            <w:pPr>
              <w:jc w:val="left"/>
            </w:pPr>
            <w:r>
              <w:rPr>
                <w:rFonts w:eastAsiaTheme="minorEastAsia"/>
                <w:color w:val="000000"/>
                <w:szCs w:val="21"/>
              </w:rPr>
              <w:t>银河证券</w:t>
            </w:r>
          </w:p>
        </w:tc>
        <w:tc>
          <w:tcPr>
            <w:tcW w:w="1134" w:type="dxa"/>
            <w:vAlign w:val="center"/>
          </w:tcPr>
          <w:p w:rsidR="007951F4" w:rsidRDefault="005757D9">
            <w:pPr>
              <w:jc w:val="right"/>
            </w:pPr>
            <w:r>
              <w:rPr>
                <w:rFonts w:eastAsiaTheme="minorEastAsia"/>
                <w:color w:val="000000"/>
                <w:szCs w:val="21"/>
              </w:rPr>
              <w:t>-</w:t>
            </w:r>
          </w:p>
        </w:tc>
        <w:tc>
          <w:tcPr>
            <w:tcW w:w="851" w:type="dxa"/>
            <w:vAlign w:val="center"/>
          </w:tcPr>
          <w:p w:rsidR="007951F4" w:rsidRDefault="005757D9">
            <w:pPr>
              <w:jc w:val="right"/>
            </w:pPr>
            <w:r>
              <w:rPr>
                <w:rFonts w:eastAsiaTheme="minorEastAsia"/>
                <w:color w:val="000000"/>
                <w:szCs w:val="21"/>
              </w:rPr>
              <w:t>-</w:t>
            </w:r>
          </w:p>
        </w:tc>
        <w:tc>
          <w:tcPr>
            <w:tcW w:w="1134" w:type="dxa"/>
            <w:vAlign w:val="center"/>
          </w:tcPr>
          <w:p w:rsidR="007951F4" w:rsidRDefault="005757D9">
            <w:pPr>
              <w:jc w:val="right"/>
            </w:pPr>
            <w:r>
              <w:rPr>
                <w:rFonts w:eastAsiaTheme="minorEastAsia"/>
                <w:color w:val="000000"/>
                <w:szCs w:val="21"/>
              </w:rPr>
              <w:t>-</w:t>
            </w:r>
          </w:p>
        </w:tc>
        <w:tc>
          <w:tcPr>
            <w:tcW w:w="889" w:type="dxa"/>
            <w:vAlign w:val="center"/>
          </w:tcPr>
          <w:p w:rsidR="007951F4" w:rsidRDefault="005757D9">
            <w:pPr>
              <w:jc w:val="right"/>
            </w:pPr>
            <w:r>
              <w:rPr>
                <w:rFonts w:eastAsiaTheme="minorEastAsia"/>
                <w:color w:val="000000"/>
                <w:szCs w:val="21"/>
              </w:rPr>
              <w:t>-</w:t>
            </w:r>
          </w:p>
        </w:tc>
        <w:tc>
          <w:tcPr>
            <w:tcW w:w="1237" w:type="dxa"/>
            <w:vAlign w:val="center"/>
          </w:tcPr>
          <w:p w:rsidR="007951F4" w:rsidRDefault="005757D9">
            <w:pPr>
              <w:jc w:val="right"/>
            </w:pPr>
            <w:r>
              <w:rPr>
                <w:rFonts w:eastAsiaTheme="minorEastAsia"/>
                <w:color w:val="000000"/>
                <w:szCs w:val="21"/>
              </w:rPr>
              <w:t>-</w:t>
            </w:r>
          </w:p>
        </w:tc>
        <w:tc>
          <w:tcPr>
            <w:tcW w:w="927" w:type="dxa"/>
            <w:vAlign w:val="center"/>
          </w:tcPr>
          <w:p w:rsidR="007951F4" w:rsidRDefault="005757D9">
            <w:pPr>
              <w:jc w:val="right"/>
            </w:pPr>
            <w:r>
              <w:rPr>
                <w:rFonts w:eastAsiaTheme="minorEastAsia"/>
                <w:color w:val="000000"/>
                <w:szCs w:val="21"/>
              </w:rPr>
              <w:t>-</w:t>
            </w:r>
          </w:p>
        </w:tc>
        <w:tc>
          <w:tcPr>
            <w:tcW w:w="1057" w:type="dxa"/>
            <w:vAlign w:val="center"/>
          </w:tcPr>
          <w:p w:rsidR="007951F4" w:rsidRDefault="005757D9">
            <w:pPr>
              <w:jc w:val="right"/>
            </w:pPr>
            <w:r>
              <w:rPr>
                <w:rFonts w:eastAsiaTheme="minorEastAsia"/>
                <w:color w:val="000000"/>
                <w:szCs w:val="21"/>
              </w:rPr>
              <w:t>17,390,497.90</w:t>
            </w:r>
          </w:p>
        </w:tc>
        <w:tc>
          <w:tcPr>
            <w:tcW w:w="905" w:type="dxa"/>
            <w:vAlign w:val="center"/>
          </w:tcPr>
          <w:p w:rsidR="007951F4" w:rsidRDefault="005757D9">
            <w:pPr>
              <w:jc w:val="right"/>
            </w:pPr>
            <w:r>
              <w:rPr>
                <w:rFonts w:eastAsiaTheme="minorEastAsia"/>
                <w:color w:val="000000"/>
                <w:szCs w:val="21"/>
              </w:rPr>
              <w:t>100.00%</w:t>
            </w:r>
          </w:p>
        </w:tc>
      </w:tr>
    </w:tbl>
    <w:p w:rsidR="001548F9" w:rsidRPr="00646A7D" w:rsidRDefault="001548F9" w:rsidP="008971E9">
      <w:pPr>
        <w:spacing w:line="360" w:lineRule="auto"/>
        <w:ind w:left="840"/>
        <w:jc w:val="right"/>
        <w:rPr>
          <w:rFonts w:eastAsiaTheme="minorEastAsia"/>
          <w:b/>
          <w:bCs/>
          <w:szCs w:val="21"/>
        </w:rPr>
      </w:pPr>
      <w:r w:rsidRPr="00646A7D">
        <w:rPr>
          <w:rFonts w:eastAsiaTheme="minorEastAsia"/>
          <w:b/>
          <w:bCs/>
          <w:szCs w:val="21"/>
        </w:rPr>
        <w:t>华安基金管理有限公司</w:t>
      </w:r>
    </w:p>
    <w:p w:rsidR="001548F9" w:rsidRPr="00646A7D" w:rsidRDefault="001548F9" w:rsidP="00631B2E">
      <w:pPr>
        <w:spacing w:line="360" w:lineRule="auto"/>
        <w:ind w:left="840"/>
        <w:jc w:val="right"/>
        <w:rPr>
          <w:rFonts w:eastAsiaTheme="minorEastAsia"/>
          <w:b/>
          <w:bCs/>
          <w:szCs w:val="21"/>
        </w:rPr>
      </w:pPr>
      <w:r w:rsidRPr="00646A7D">
        <w:rPr>
          <w:rFonts w:eastAsiaTheme="minorEastAsia"/>
          <w:b/>
          <w:bCs/>
          <w:szCs w:val="21"/>
        </w:rPr>
        <w:t>二〇一九年八月二十八日</w:t>
      </w:r>
    </w:p>
    <w:sectPr w:rsidR="001548F9" w:rsidRPr="00646A7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8D" w:rsidRDefault="00E8328D">
      <w:r>
        <w:separator/>
      </w:r>
    </w:p>
  </w:endnote>
  <w:endnote w:type="continuationSeparator" w:id="0">
    <w:p w:rsidR="00E8328D" w:rsidRDefault="00E8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7D" w:rsidRDefault="00257B25" w:rsidP="00C03B3A">
    <w:pPr>
      <w:pStyle w:val="a8"/>
      <w:framePr w:wrap="around" w:vAnchor="text" w:hAnchor="margin" w:xAlign="right" w:y="1"/>
      <w:rPr>
        <w:rStyle w:val="aa"/>
      </w:rPr>
    </w:pPr>
    <w:r>
      <w:rPr>
        <w:rStyle w:val="aa"/>
      </w:rPr>
      <w:fldChar w:fldCharType="begin"/>
    </w:r>
    <w:r w:rsidR="00646A7D">
      <w:rPr>
        <w:rStyle w:val="aa"/>
      </w:rPr>
      <w:instrText xml:space="preserve">PAGE  </w:instrText>
    </w:r>
    <w:r>
      <w:rPr>
        <w:rStyle w:val="aa"/>
      </w:rPr>
      <w:fldChar w:fldCharType="end"/>
    </w:r>
  </w:p>
  <w:p w:rsidR="00646A7D" w:rsidRDefault="00646A7D"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7D" w:rsidRDefault="00646A7D" w:rsidP="00C03B3A">
    <w:pPr>
      <w:pStyle w:val="a8"/>
      <w:ind w:right="360"/>
      <w:jc w:val="center"/>
    </w:pPr>
    <w:r>
      <w:rPr>
        <w:rFonts w:hint="eastAsia"/>
        <w:kern w:val="0"/>
        <w:szCs w:val="21"/>
      </w:rPr>
      <w:t>第</w:t>
    </w:r>
    <w:r w:rsidR="00257B25">
      <w:rPr>
        <w:kern w:val="0"/>
        <w:szCs w:val="21"/>
      </w:rPr>
      <w:fldChar w:fldCharType="begin"/>
    </w:r>
    <w:r>
      <w:rPr>
        <w:kern w:val="0"/>
        <w:szCs w:val="21"/>
      </w:rPr>
      <w:instrText xml:space="preserve"> PAGE </w:instrText>
    </w:r>
    <w:r w:rsidR="00257B25">
      <w:rPr>
        <w:kern w:val="0"/>
        <w:szCs w:val="21"/>
      </w:rPr>
      <w:fldChar w:fldCharType="separate"/>
    </w:r>
    <w:r w:rsidR="005757D9">
      <w:rPr>
        <w:noProof/>
        <w:kern w:val="0"/>
        <w:szCs w:val="21"/>
      </w:rPr>
      <w:t>27</w:t>
    </w:r>
    <w:r w:rsidR="00257B25">
      <w:rPr>
        <w:kern w:val="0"/>
        <w:szCs w:val="21"/>
      </w:rPr>
      <w:fldChar w:fldCharType="end"/>
    </w:r>
    <w:r>
      <w:rPr>
        <w:rFonts w:hint="eastAsia"/>
        <w:kern w:val="0"/>
        <w:szCs w:val="21"/>
      </w:rPr>
      <w:t>页共</w:t>
    </w:r>
    <w:r w:rsidR="00257B25">
      <w:rPr>
        <w:kern w:val="0"/>
        <w:szCs w:val="21"/>
      </w:rPr>
      <w:fldChar w:fldCharType="begin"/>
    </w:r>
    <w:r>
      <w:rPr>
        <w:kern w:val="0"/>
        <w:szCs w:val="21"/>
      </w:rPr>
      <w:instrText xml:space="preserve"> NUMPAGES </w:instrText>
    </w:r>
    <w:r w:rsidR="00257B25">
      <w:rPr>
        <w:kern w:val="0"/>
        <w:szCs w:val="21"/>
      </w:rPr>
      <w:fldChar w:fldCharType="separate"/>
    </w:r>
    <w:r w:rsidR="005757D9">
      <w:rPr>
        <w:noProof/>
        <w:kern w:val="0"/>
        <w:szCs w:val="21"/>
      </w:rPr>
      <w:t>27</w:t>
    </w:r>
    <w:r w:rsidR="00257B2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8D" w:rsidRDefault="00E8328D">
      <w:r>
        <w:separator/>
      </w:r>
    </w:p>
  </w:footnote>
  <w:footnote w:type="continuationSeparator" w:id="0">
    <w:p w:rsidR="00E8328D" w:rsidRDefault="00E8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7D" w:rsidRPr="0049538A" w:rsidRDefault="00646A7D" w:rsidP="002243A3">
    <w:pPr>
      <w:pStyle w:val="ac"/>
      <w:pBdr>
        <w:bottom w:val="single" w:sz="6" w:space="0" w:color="auto"/>
      </w:pBdr>
      <w:jc w:val="right"/>
    </w:pPr>
    <w:r w:rsidRPr="0049538A">
      <w:t>华安上证</w:t>
    </w:r>
    <w:r w:rsidRPr="0049538A">
      <w:t>180</w:t>
    </w:r>
    <w:r w:rsidRPr="0049538A">
      <w:t>交易型开放式指数证券投资基金联接基金</w:t>
    </w:r>
    <w:r w:rsidRPr="0049538A">
      <w:t>2019</w:t>
    </w:r>
    <w:r w:rsidRPr="0049538A">
      <w:t>年半年度报告</w:t>
    </w:r>
    <w:r w:rsidRPr="0049538A">
      <w:rPr>
        <w:rFonts w:hint="eastAsia"/>
      </w:rPr>
      <w:t>摘要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80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6E3"/>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33"/>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5120"/>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2498"/>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085"/>
    <w:rsid w:val="000A13A2"/>
    <w:rsid w:val="000A1448"/>
    <w:rsid w:val="000A14B6"/>
    <w:rsid w:val="000A1BD6"/>
    <w:rsid w:val="000A1BFB"/>
    <w:rsid w:val="000A1C93"/>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1923"/>
    <w:rsid w:val="000D3145"/>
    <w:rsid w:val="000D36D1"/>
    <w:rsid w:val="000D4AAD"/>
    <w:rsid w:val="000D52DC"/>
    <w:rsid w:val="000D55E8"/>
    <w:rsid w:val="000D6054"/>
    <w:rsid w:val="000D619B"/>
    <w:rsid w:val="000D65CA"/>
    <w:rsid w:val="000D75FD"/>
    <w:rsid w:val="000D788B"/>
    <w:rsid w:val="000D7BDE"/>
    <w:rsid w:val="000E1288"/>
    <w:rsid w:val="000E18D9"/>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63EF"/>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2B19"/>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05B"/>
    <w:rsid w:val="001D35E0"/>
    <w:rsid w:val="001D5045"/>
    <w:rsid w:val="001D53C4"/>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5C90"/>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25"/>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4B"/>
    <w:rsid w:val="002A3DFD"/>
    <w:rsid w:val="002A46A7"/>
    <w:rsid w:val="002A5C6B"/>
    <w:rsid w:val="002A5D31"/>
    <w:rsid w:val="002A630A"/>
    <w:rsid w:val="002A714F"/>
    <w:rsid w:val="002A75D7"/>
    <w:rsid w:val="002A7B1F"/>
    <w:rsid w:val="002B09C0"/>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350"/>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3A7"/>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B65EC"/>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0E12"/>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0AAD"/>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2D0B"/>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60F"/>
    <w:rsid w:val="0047237D"/>
    <w:rsid w:val="00472561"/>
    <w:rsid w:val="004731F1"/>
    <w:rsid w:val="00473EB5"/>
    <w:rsid w:val="0047456B"/>
    <w:rsid w:val="00475251"/>
    <w:rsid w:val="004755BD"/>
    <w:rsid w:val="004773B6"/>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104"/>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7D9"/>
    <w:rsid w:val="00575AB2"/>
    <w:rsid w:val="00575B68"/>
    <w:rsid w:val="00575DA6"/>
    <w:rsid w:val="00576922"/>
    <w:rsid w:val="00576C4E"/>
    <w:rsid w:val="0057737F"/>
    <w:rsid w:val="0057744D"/>
    <w:rsid w:val="005800A9"/>
    <w:rsid w:val="00580488"/>
    <w:rsid w:val="0058074D"/>
    <w:rsid w:val="00580FD1"/>
    <w:rsid w:val="00582653"/>
    <w:rsid w:val="00582FAD"/>
    <w:rsid w:val="00583489"/>
    <w:rsid w:val="0058391F"/>
    <w:rsid w:val="00583A80"/>
    <w:rsid w:val="00584188"/>
    <w:rsid w:val="0058483C"/>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52"/>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9A4"/>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2BF6"/>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6A7D"/>
    <w:rsid w:val="006475F3"/>
    <w:rsid w:val="00651B78"/>
    <w:rsid w:val="00652263"/>
    <w:rsid w:val="0065238F"/>
    <w:rsid w:val="0065278C"/>
    <w:rsid w:val="00652881"/>
    <w:rsid w:val="00652985"/>
    <w:rsid w:val="006533AE"/>
    <w:rsid w:val="00654982"/>
    <w:rsid w:val="006551AE"/>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12F"/>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A44"/>
    <w:rsid w:val="00744B78"/>
    <w:rsid w:val="00745FCE"/>
    <w:rsid w:val="00746130"/>
    <w:rsid w:val="007461FB"/>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6DD2"/>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51F4"/>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0C5E"/>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179"/>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3C9C"/>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26FB"/>
    <w:rsid w:val="00A43357"/>
    <w:rsid w:val="00A43389"/>
    <w:rsid w:val="00A434A7"/>
    <w:rsid w:val="00A43A9D"/>
    <w:rsid w:val="00A43E71"/>
    <w:rsid w:val="00A4526F"/>
    <w:rsid w:val="00A45753"/>
    <w:rsid w:val="00A457B8"/>
    <w:rsid w:val="00A45DF7"/>
    <w:rsid w:val="00A471DE"/>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10A"/>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2DE4"/>
    <w:rsid w:val="00B33825"/>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A52"/>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318"/>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05C"/>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97BC8"/>
    <w:rsid w:val="00CA02E8"/>
    <w:rsid w:val="00CA194C"/>
    <w:rsid w:val="00CA1DDD"/>
    <w:rsid w:val="00CA2B4F"/>
    <w:rsid w:val="00CA30C3"/>
    <w:rsid w:val="00CA5927"/>
    <w:rsid w:val="00CA635E"/>
    <w:rsid w:val="00CA6BB0"/>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B7F49"/>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4750"/>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37659"/>
    <w:rsid w:val="00D4205E"/>
    <w:rsid w:val="00D42F05"/>
    <w:rsid w:val="00D43056"/>
    <w:rsid w:val="00D44D36"/>
    <w:rsid w:val="00D453F2"/>
    <w:rsid w:val="00D45A1D"/>
    <w:rsid w:val="00D465B2"/>
    <w:rsid w:val="00D47399"/>
    <w:rsid w:val="00D47BB2"/>
    <w:rsid w:val="00D47C07"/>
    <w:rsid w:val="00D47D04"/>
    <w:rsid w:val="00D5056A"/>
    <w:rsid w:val="00D510A0"/>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3596"/>
    <w:rsid w:val="00D73B64"/>
    <w:rsid w:val="00D744BC"/>
    <w:rsid w:val="00D74830"/>
    <w:rsid w:val="00D7585A"/>
    <w:rsid w:val="00D775C4"/>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255"/>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3892"/>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3D5B"/>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BD"/>
    <w:rsid w:val="00E8227B"/>
    <w:rsid w:val="00E8328D"/>
    <w:rsid w:val="00E8342F"/>
    <w:rsid w:val="00E84210"/>
    <w:rsid w:val="00E844CD"/>
    <w:rsid w:val="00E847A7"/>
    <w:rsid w:val="00E84FE5"/>
    <w:rsid w:val="00E853F9"/>
    <w:rsid w:val="00E863D1"/>
    <w:rsid w:val="00E86682"/>
    <w:rsid w:val="00E8670D"/>
    <w:rsid w:val="00E86E79"/>
    <w:rsid w:val="00E906B4"/>
    <w:rsid w:val="00E9095B"/>
    <w:rsid w:val="00E90D2C"/>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2B0D"/>
    <w:rsid w:val="00EF30E0"/>
    <w:rsid w:val="00EF3A6C"/>
    <w:rsid w:val="00EF3D05"/>
    <w:rsid w:val="00EF42CF"/>
    <w:rsid w:val="00EF520B"/>
    <w:rsid w:val="00EF5403"/>
    <w:rsid w:val="00EF567D"/>
    <w:rsid w:val="00EF5F11"/>
    <w:rsid w:val="00EF6111"/>
    <w:rsid w:val="00EF63F4"/>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034"/>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1FA"/>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9AD"/>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3313"/>
    <o:shapelayout v:ext="edit">
      <o:idmap v:ext="edit" data="1"/>
    </o:shapelayout>
  </w:shapeDefaults>
  <w:decimalSymbol w:val="."/>
  <w:listSeparator w:val=","/>
  <w15:docId w15:val="{BA53144C-B56F-447E-B179-D24D1A97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99"/>
    <w:semiHidden/>
    <w:rsid w:val="00BE2A17"/>
    <w:pPr>
      <w:tabs>
        <w:tab w:val="right" w:leader="dot" w:pos="9072"/>
      </w:tabs>
    </w:pPr>
  </w:style>
  <w:style w:type="paragraph" w:styleId="34">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582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C35C-59B6-4F85-9852-C51E0832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27</Pages>
  <Words>3108</Words>
  <Characters>17720</Characters>
  <Application>Microsoft Office Word</Application>
  <DocSecurity>0</DocSecurity>
  <Lines>147</Lines>
  <Paragraphs>41</Paragraphs>
  <ScaleCrop>false</ScaleCrop>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褚赛赛</cp:lastModifiedBy>
  <cp:revision>287</cp:revision>
  <cp:lastPrinted>2007-07-19T00:46:00Z</cp:lastPrinted>
  <dcterms:created xsi:type="dcterms:W3CDTF">2013-08-19T07:44:00Z</dcterms:created>
  <dcterms:modified xsi:type="dcterms:W3CDTF">2019-08-26T10:24:00Z</dcterms:modified>
</cp:coreProperties>
</file>