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body>
    <w:p w:rsidR="00967083" w:rsidRDefault="00967083">
      <w:pPr>
        <w:autoSpaceDE w:val="0"/>
        <w:autoSpaceDN w:val="0"/>
        <w:adjustRightInd w:val="0"/>
        <w:spacing w:line="360" w:lineRule="auto"/>
        <w:jc w:val="left"/>
        <w:rPr>
          <w:color w:val="000000"/>
          <w:kern w:val="0"/>
          <w:szCs w:val="21"/>
        </w:rPr>
      </w:pPr>
    </w:p>
    <w:p w:rsidR="00967083" w:rsidRDefault="00967083">
      <w:pPr>
        <w:autoSpaceDE w:val="0"/>
        <w:autoSpaceDN w:val="0"/>
        <w:adjustRightInd w:val="0"/>
        <w:spacing w:line="360" w:lineRule="auto"/>
        <w:jc w:val="left"/>
        <w:rPr>
          <w:color w:val="000000"/>
          <w:kern w:val="0"/>
          <w:szCs w:val="21"/>
        </w:rPr>
      </w:pPr>
    </w:p>
    <w:p w:rsidR="00967083" w:rsidRDefault="00967083">
      <w:pPr>
        <w:autoSpaceDE w:val="0"/>
        <w:autoSpaceDN w:val="0"/>
        <w:adjustRightInd w:val="0"/>
        <w:spacing w:line="360" w:lineRule="auto"/>
        <w:jc w:val="left"/>
        <w:rPr>
          <w:color w:val="000000"/>
          <w:kern w:val="0"/>
          <w:szCs w:val="21"/>
        </w:rPr>
      </w:pPr>
    </w:p>
    <w:p w:rsidR="00967083" w:rsidRDefault="00967083">
      <w:pPr>
        <w:autoSpaceDE w:val="0"/>
        <w:autoSpaceDN w:val="0"/>
        <w:adjustRightInd w:val="0"/>
        <w:spacing w:line="360" w:lineRule="auto"/>
        <w:jc w:val="left"/>
        <w:rPr>
          <w:color w:val="000000"/>
          <w:kern w:val="0"/>
          <w:sz w:val="44"/>
          <w:szCs w:val="44"/>
        </w:rPr>
      </w:pPr>
    </w:p>
    <w:p w:rsidR="00967083" w:rsidRDefault="00E4498A">
      <w:pPr>
        <w:spacing w:line="360" w:lineRule="auto"/>
        <w:jc w:val="center"/>
        <w:rPr>
          <w:rFonts w:eastAsiaTheme="minorEastAsia"/>
          <w:b/>
          <w:sz w:val="44"/>
          <w:szCs w:val="44"/>
        </w:rPr>
      </w:pPr>
      <w:r>
        <w:rPr>
          <w:rFonts w:eastAsiaTheme="minorEastAsia"/>
          <w:b/>
          <w:sz w:val="44"/>
          <w:szCs w:val="44"/>
        </w:rPr>
        <w:t>广发景润纯债债券型证券投资基金</w:t>
      </w:r>
    </w:p>
    <w:p w:rsidR="00967083" w:rsidRDefault="00E4498A">
      <w:pPr>
        <w:spacing w:line="360" w:lineRule="auto"/>
        <w:jc w:val="center"/>
        <w:rPr>
          <w:rFonts w:eastAsiaTheme="minorEastAsia"/>
          <w:b/>
          <w:sz w:val="44"/>
          <w:szCs w:val="44"/>
        </w:rPr>
      </w:pPr>
      <w:r>
        <w:rPr>
          <w:rFonts w:eastAsiaTheme="minorEastAsia"/>
          <w:b/>
          <w:sz w:val="44"/>
          <w:szCs w:val="44"/>
        </w:rPr>
        <w:t>2019年半年度报告</w:t>
      </w:r>
      <w:r>
        <w:rPr>
          <w:rFonts w:eastAsiaTheme="minorEastAsia"/>
          <w:b/>
          <w:sz w:val="44"/>
          <w:szCs w:val="44"/>
        </w:rPr>
        <w:t>摘要</w:t>
      </w:r>
    </w:p>
    <w:p w:rsidR="00967083" w:rsidRDefault="00E4498A">
      <w:pPr>
        <w:spacing w:line="360" w:lineRule="auto"/>
        <w:jc w:val="center"/>
        <w:rPr>
          <w:rFonts w:eastAsiaTheme="minorEastAsia"/>
          <w:b/>
          <w:sz w:val="28"/>
          <w:szCs w:val="28"/>
        </w:rPr>
      </w:pPr>
      <w:r>
        <w:rPr>
          <w:rFonts w:eastAsiaTheme="minorEastAsia"/>
          <w:b/>
          <w:sz w:val="28"/>
          <w:szCs w:val="28"/>
        </w:rPr>
        <w:t>2019年6月30日</w:t>
      </w: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jc w:val="center"/>
        <w:rPr>
          <w:b/>
          <w:color w:val="000000"/>
          <w:szCs w:val="21"/>
        </w:rPr>
      </w:pPr>
    </w:p>
    <w:p w:rsidR="00967083" w:rsidRDefault="00967083">
      <w:pPr>
        <w:spacing w:line="360" w:lineRule="auto"/>
        <w:rPr>
          <w:color w:val="000000"/>
          <w:szCs w:val="21"/>
        </w:rPr>
      </w:pPr>
    </w:p>
    <w:p w:rsidR="00967083" w:rsidRDefault="00E4498A">
      <w:pPr>
        <w:spacing w:line="360" w:lineRule="auto"/>
        <w:ind w:firstLine="2160" w:firstLineChars="900"/>
        <w:rPr>
          <w:rFonts w:eastAsiaTheme="minorEastAsia"/>
          <w:color w:val="000000"/>
          <w:sz w:val="24"/>
        </w:rPr>
      </w:pPr>
      <w:r>
        <w:rPr>
          <w:rFonts w:eastAsiaTheme="minorEastAsia"/>
          <w:color w:val="000000"/>
          <w:sz w:val="24"/>
        </w:rPr>
        <w:t>基金管理人：</w:t>
      </w:r>
      <w:r>
        <w:rPr>
          <w:rFonts w:eastAsiaTheme="minorEastAsia"/>
          <w:color w:val="000000"/>
          <w:sz w:val="24"/>
        </w:rPr>
        <w:t>广发基金管理有限公司</w:t>
      </w:r>
    </w:p>
    <w:p w:rsidR="00967083" w:rsidRDefault="00E4498A">
      <w:pPr>
        <w:spacing w:line="360" w:lineRule="auto"/>
        <w:ind w:firstLine="2160" w:firstLineChars="900"/>
        <w:rPr>
          <w:rFonts w:eastAsiaTheme="minorEastAsia"/>
          <w:color w:val="000000"/>
          <w:sz w:val="24"/>
        </w:rPr>
      </w:pPr>
      <w:r>
        <w:rPr>
          <w:rFonts w:eastAsiaTheme="minorEastAsia"/>
          <w:color w:val="000000"/>
          <w:sz w:val="24"/>
        </w:rPr>
        <w:t>基金托管人：</w:t>
      </w:r>
      <w:r>
        <w:rPr>
          <w:rFonts w:eastAsiaTheme="minorEastAsia"/>
          <w:color w:val="000000"/>
          <w:sz w:val="24"/>
        </w:rPr>
        <w:t>江苏银行股份有限公司</w:t>
      </w:r>
    </w:p>
    <w:p w:rsidR="00967083" w:rsidRDefault="00E4498A">
      <w:pPr>
        <w:spacing w:line="360" w:lineRule="auto"/>
        <w:ind w:firstLine="2160" w:firstLineChars="900"/>
        <w:rPr>
          <w:rFonts w:eastAsiaTheme="minorEastAsia"/>
          <w:color w:val="000000"/>
          <w:sz w:val="24"/>
        </w:rPr>
      </w:pPr>
      <w:r>
        <w:rPr>
          <w:rFonts w:eastAsiaTheme="minorEastAsia"/>
          <w:color w:val="000000"/>
          <w:sz w:val="24"/>
        </w:rPr>
        <w:t>送出日期：</w:t>
      </w:r>
      <w:r>
        <w:rPr>
          <w:rFonts w:eastAsiaTheme="minorEastAsia"/>
          <w:color w:val="000000"/>
          <w:sz w:val="24"/>
        </w:rPr>
        <w:t>二〇一九年八月二十八日</w:t>
      </w:r>
    </w:p>
    <w:p w:rsidR="00967083" w:rsidRDefault="00967083">
      <w:pPr>
        <w:spacing w:line="288" w:lineRule="auto"/>
        <w:ind w:firstLine="1897" w:firstLineChars="900"/>
        <w:rPr>
          <w:rFonts w:eastAsiaTheme="minorEastAsia"/>
          <w:b/>
          <w:color w:val="000000"/>
          <w:szCs w:val="21"/>
        </w:rPr>
        <w:sectPr w:rsidR="00967083">
          <w:headerReference r:id="rId9" w:type="default"/>
          <w:pgSz w:h="15840" w:w="11926"/>
          <w:pgMar w:bottom="851" w:footer="992" w:gutter="0" w:header="851" w:left="1418" w:right="1418" w:top="1418"/>
          <w:cols w:space="720"/>
        </w:sectPr>
      </w:pP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0" w:name="_Toc225498243"/>
      <w:bookmarkStart w:id="1" w:name="_Toc331410066"/>
      <w:r>
        <w:rPr>
          <w:b/>
          <w:bCs/>
          <w:sz w:val="21"/>
          <w:szCs w:val="21"/>
          <w:lang w:val="en-US"/>
        </w:rPr>
        <w:lastRenderedPageBreak/>
        <w:t xml:space="preserve">1  </w:t>
      </w:r>
      <w:r>
        <w:rPr>
          <w:b/>
          <w:bCs/>
          <w:sz w:val="21"/>
          <w:szCs w:val="21"/>
          <w:lang w:val="en-US"/>
        </w:rPr>
        <w:t>重要提示</w:t>
      </w:r>
      <w:bookmarkEnd w:id="0"/>
      <w:bookmarkEnd w:id="1"/>
    </w:p>
    <w:p w:rsidR="00967083" w:rsidRDefault="00E4498A">
      <w:pPr>
        <w:pStyle w:val="2"/>
        <w:spacing w:after="0" w:before="0"/>
        <w:rPr>
          <w:rFonts w:ascii="Times New Roman" w:hAnsi="Times New Roman"/>
          <w:kern w:val="0"/>
          <w:sz w:val="21"/>
          <w:szCs w:val="21"/>
        </w:rPr>
      </w:pPr>
      <w:bookmarkStart w:id="2" w:name="_Toc331410067"/>
      <w:r>
        <w:rPr>
          <w:rFonts w:ascii="Times New Roman" w:hAnsi="Times New Roman"/>
          <w:kern w:val="0"/>
          <w:sz w:val="21"/>
          <w:szCs w:val="21"/>
        </w:rPr>
        <w:t xml:space="preserve">1.1 </w:t>
      </w:r>
      <w:r>
        <w:rPr>
          <w:rFonts w:ascii="Times New Roman" w:hAnsi="Times New Roman"/>
          <w:kern w:val="0"/>
          <w:sz w:val="21"/>
          <w:szCs w:val="21"/>
        </w:rPr>
        <w:t>重要提示</w:t>
      </w:r>
      <w:bookmarkEnd w:id="2"/>
    </w:p>
    <w:p w:rsidR="00967083" w:rsidRDefault="00E4498A">
      <w:pPr>
        <w:spacing w:line="360" w:lineRule="auto"/>
        <w:ind w:firstLine="420" w:firstLineChars="200"/>
        <w:rPr>
          <w:color w:val="000000"/>
          <w:szCs w:val="21"/>
        </w:rPr>
      </w:pPr>
      <w:r>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967083" w:rsidRDefault="00E4498A">
      <w:pPr>
        <w:spacing w:line="360" w:lineRule="auto"/>
        <w:ind w:firstLine="420" w:firstLineChars="200"/>
        <w:rPr>
          <w:color w:val="000000"/>
          <w:szCs w:val="21"/>
        </w:rPr>
      </w:pPr>
      <w:r>
        <w:rPr>
          <w:color w:val="000000"/>
          <w:szCs w:val="21"/>
        </w:rPr>
        <w:t>基金托管人</w:t>
      </w:r>
      <w:r>
        <w:rPr>
          <w:rFonts w:eastAsiaTheme="minorEastAsia"/>
          <w:szCs w:val="21"/>
        </w:rPr>
        <w:t>江苏银行股份有限公司</w:t>
      </w:r>
      <w:r>
        <w:rPr>
          <w:color w:val="000000"/>
          <w:szCs w:val="21"/>
        </w:rPr>
        <w:t>根据本基金合同规定，于</w:t>
      </w:r>
      <w:r>
        <w:rPr>
          <w:rFonts w:eastAsiaTheme="minorEastAsia"/>
          <w:color w:val="000000"/>
          <w:szCs w:val="21"/>
        </w:rPr>
        <w:t>2019年8月26日</w:t>
      </w:r>
      <w:r>
        <w:rPr>
          <w:color w:val="000000"/>
          <w:szCs w:val="21"/>
        </w:rPr>
        <w:t>复核了本报告中的财务指标、净值表现、利润分配情况、财务会计报告、投资组合报告等内容，保证复核内容不存在虚假记载、误导性陈述或者重大遗漏。</w:t>
      </w:r>
    </w:p>
    <w:p w:rsidR="00967083" w:rsidRDefault="00E4498A">
      <w:pPr>
        <w:spacing w:line="360" w:lineRule="auto"/>
        <w:ind w:firstLine="420" w:firstLineChars="200"/>
        <w:rPr>
          <w:color w:val="000000"/>
          <w:szCs w:val="21"/>
        </w:rPr>
      </w:pPr>
      <w:r>
        <w:rPr>
          <w:color w:val="000000"/>
          <w:szCs w:val="21"/>
        </w:rPr>
        <w:t>基金管理人承诺以诚实信用、勤勉尽责的原则管理和运用基金资产，但不保证基金一定盈利。</w:t>
      </w:r>
    </w:p>
    <w:p w:rsidR="00967083" w:rsidRDefault="00E4498A">
      <w:pPr>
        <w:spacing w:line="360" w:lineRule="auto"/>
        <w:ind w:firstLine="420" w:firstLineChars="200"/>
        <w:rPr>
          <w:color w:val="000000"/>
          <w:szCs w:val="21"/>
        </w:rPr>
      </w:pPr>
      <w:r>
        <w:rPr>
          <w:color w:val="000000"/>
          <w:szCs w:val="21"/>
        </w:rPr>
        <w:t>基金的过往业绩并不代表其未来表现。投资有风险，投资者在作出投资决策前应仔细阅读本基金的招募说明书及其更新。</w:t>
      </w:r>
    </w:p>
    <w:p w:rsidR="00967083" w:rsidRDefault="00E4498A">
      <w:pPr>
        <w:ind w:firstLine="420" w:firstLineChars="200"/>
        <w:rPr>
          <w:color w:val="000000"/>
          <w:szCs w:val="21"/>
        </w:rPr>
      </w:pPr>
      <w:r>
        <w:rPr>
          <w:color w:val="000000"/>
          <w:szCs w:val="21"/>
        </w:rPr>
        <w:t>本半年度报告摘要摘自半年度报告正文，投资者欲了解详细内容，应阅读半年度报告正文。</w:t>
      </w:r>
    </w:p>
    <w:p w:rsidR="00967083" w:rsidRDefault="00E4498A">
      <w:pPr>
        <w:spacing w:line="360" w:lineRule="auto"/>
        <w:ind w:firstLine="420" w:firstLineChars="200"/>
        <w:rPr>
          <w:color w:val="000000"/>
          <w:szCs w:val="21"/>
        </w:rPr>
      </w:pPr>
      <w:r>
        <w:rPr>
          <w:color w:val="000000"/>
          <w:szCs w:val="21"/>
        </w:rPr>
        <w:t>本报告中财务资料未经审计。</w:t>
      </w:r>
    </w:p>
    <w:p w:rsidR="00967083" w:rsidRDefault="00E4498A">
      <w:pPr>
        <w:spacing w:line="360" w:lineRule="auto"/>
        <w:ind w:firstLine="420" w:firstLineChars="200"/>
        <w:rPr>
          <w:kern w:val="0"/>
          <w:szCs w:val="21"/>
        </w:rPr>
      </w:pPr>
      <w:r>
        <w:rPr>
          <w:kern w:val="0"/>
          <w:szCs w:val="21"/>
        </w:rPr>
        <w:t>本报告期自</w:t>
      </w:r>
      <w:r>
        <w:rPr>
          <w:kern w:val="0"/>
          <w:szCs w:val="21"/>
        </w:rPr>
        <w:t>2019年1月1日</w:t>
      </w:r>
      <w:r>
        <w:rPr>
          <w:kern w:val="0"/>
          <w:szCs w:val="21"/>
        </w:rPr>
        <w:t>起至</w:t>
      </w:r>
      <w:r>
        <w:rPr>
          <w:kern w:val="0"/>
          <w:szCs w:val="21"/>
        </w:rPr>
        <w:t>6月30日</w:t>
      </w:r>
      <w:r>
        <w:rPr>
          <w:kern w:val="0"/>
          <w:szCs w:val="21"/>
        </w:rPr>
        <w:t>止。</w:t>
      </w:r>
    </w:p>
    <w:p w:rsidR="00967083" w:rsidRDefault="00967083">
      <w:pPr>
        <w:spacing w:line="288" w:lineRule="auto"/>
        <w:ind w:firstLine="420" w:firstLineChars="200"/>
        <w:rPr>
          <w:color w:val="000000"/>
          <w:szCs w:val="21"/>
        </w:rPr>
      </w:pPr>
    </w:p>
    <w:p w:rsidR="00967083" w:rsidRDefault="00E4498A">
      <w:pPr>
        <w:spacing w:line="288" w:lineRule="auto"/>
        <w:ind w:firstLine="420" w:firstLineChars="200"/>
        <w:rPr>
          <w:b/>
          <w:color w:val="000000"/>
          <w:kern w:val="0"/>
          <w:szCs w:val="21"/>
        </w:rPr>
      </w:pPr>
      <w:r>
        <w:rPr>
          <w:szCs w:val="21"/>
        </w:rPr>
        <w:br w:type="page"/>
      </w:r>
    </w:p>
    <w:p w:rsidR="00967083" w:rsidRDefault="00E4498A">
      <w:pPr>
        <w:pStyle w:val="1"/>
        <w:keepNext/>
        <w:keepLines/>
        <w:widowControl w:val="0"/>
        <w:spacing w:after="312" w:afterLines="100" w:before="312" w:beforeLines="100" w:line="360" w:lineRule="auto"/>
        <w:jc w:val="center"/>
        <w:rPr>
          <w:sz w:val="21"/>
          <w:szCs w:val="21"/>
          <w:lang w:val="en-US"/>
        </w:rPr>
      </w:pPr>
      <w:bookmarkStart w:id="3" w:name="_Toc225498244"/>
      <w:bookmarkStart w:id="4" w:name="_Toc331410068"/>
      <w:r>
        <w:rPr>
          <w:b/>
          <w:bCs/>
          <w:sz w:val="21"/>
          <w:szCs w:val="21"/>
          <w:lang w:val="en-US"/>
        </w:rPr>
        <w:lastRenderedPageBreak/>
        <w:t xml:space="preserve">2  </w:t>
      </w:r>
      <w:r>
        <w:rPr>
          <w:b/>
          <w:bCs/>
          <w:sz w:val="21"/>
          <w:szCs w:val="21"/>
          <w:lang w:val="en-US"/>
        </w:rPr>
        <w:t>基金简介</w:t>
      </w:r>
      <w:bookmarkEnd w:id="3"/>
      <w:bookmarkEnd w:id="4"/>
    </w:p>
    <w:p w:rsidR="00967083" w:rsidRDefault="00E4498A">
      <w:pPr>
        <w:pStyle w:val="2"/>
        <w:spacing w:after="0" w:before="0"/>
        <w:rPr>
          <w:rFonts w:ascii="Times New Roman" w:hAnsi="Times New Roman"/>
          <w:color w:val="000000"/>
          <w:sz w:val="21"/>
          <w:szCs w:val="21"/>
        </w:rPr>
      </w:pPr>
      <w:bookmarkStart w:id="5" w:name="_Toc331410069"/>
      <w:r>
        <w:rPr>
          <w:rFonts w:ascii="Times New Roman" w:hAnsi="Times New Roman"/>
          <w:kern w:val="0"/>
          <w:sz w:val="21"/>
          <w:szCs w:val="21"/>
        </w:rPr>
        <w:t>2.1</w:t>
      </w:r>
      <w:r>
        <w:rPr>
          <w:rFonts w:ascii="Times New Roman" w:hAnsi="Times New Roman"/>
          <w:kern w:val="0"/>
          <w:sz w:val="21"/>
          <w:szCs w:val="21"/>
        </w:rPr>
        <w:tab/>
      </w:r>
      <w:r>
        <w:rPr>
          <w:rFonts w:ascii="Times New Roman" w:hAnsi="Times New Roman"/>
          <w:color w:val="000000"/>
          <w:sz w:val="21"/>
          <w:szCs w:val="21"/>
        </w:rPr>
        <w:t>基金基本情况</w:t>
      </w:r>
      <w:bookmarkEnd w:id="5"/>
    </w:p>
    <w:tbl>
      <w:tblPr>
        <w:tblW w:type="dxa" w:w="870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3491"/>
        <w:gridCol w:w="2608"/>
        <w:gridCol w:w="56"/>
        <w:gridCol w:w="2553"/>
      </w:tblGrid>
      <w:tr w:rsidR="00967083">
        <w:trPr>
          <w:jc w:val="center"/>
        </w:trPr>
        <w:tc>
          <w:tcPr>
            <w:tcW w:type="dxa" w:w="3491"/>
          </w:tcPr>
          <w:p w:rsidR="00967083" w:rsidRDefault="00E4498A">
            <w:pPr>
              <w:rPr>
                <w:color w:val="000000"/>
                <w:kern w:val="0"/>
                <w:szCs w:val="21"/>
              </w:rPr>
            </w:pPr>
            <w:r>
              <w:rPr>
                <w:szCs w:val="21"/>
              </w:rPr>
              <w:t>基金简称</w:t>
            </w:r>
          </w:p>
        </w:tc>
        <w:tc>
          <w:tcPr>
            <w:tcW w:type="dxa" w:w="5217"/>
            <w:gridSpan w:val="3"/>
            <w:vAlign w:val="center"/>
          </w:tcPr>
          <w:p w:rsidR="00967083" w:rsidRDefault="00E4498A">
            <w:pPr>
              <w:jc w:val="right"/>
              <w:rPr>
                <w:szCs w:val="21"/>
              </w:rPr>
            </w:pPr>
            <w:r>
              <w:rPr>
                <w:szCs w:val="21"/>
              </w:rPr>
              <w:t>广发景润纯债</w:t>
            </w:r>
          </w:p>
        </w:tc>
      </w:tr>
      <w:tr w:rsidR="00967083">
        <w:trPr>
          <w:jc w:val="center"/>
        </w:trPr>
        <w:tc>
          <w:tcPr>
            <w:tcW w:type="dxa" w:w="3491"/>
            <w:vAlign w:val="center"/>
          </w:tcPr>
          <w:p w:rsidR="00967083" w:rsidRDefault="00E4498A">
            <w:pPr>
              <w:rPr>
                <w:color w:val="000000"/>
                <w:kern w:val="0"/>
                <w:szCs w:val="21"/>
              </w:rPr>
            </w:pPr>
            <w:r>
              <w:rPr>
                <w:szCs w:val="21"/>
              </w:rPr>
              <w:t>基金主代码</w:t>
            </w:r>
          </w:p>
        </w:tc>
        <w:tc>
          <w:tcPr>
            <w:tcW w:type="dxa" w:w="5217"/>
            <w:gridSpan w:val="3"/>
            <w:vAlign w:val="center"/>
          </w:tcPr>
          <w:p w:rsidR="00967083" w:rsidRDefault="00E4498A">
            <w:pPr>
              <w:jc w:val="right"/>
              <w:rPr>
                <w:szCs w:val="21"/>
              </w:rPr>
            </w:pPr>
            <w:r>
              <w:rPr>
                <w:szCs w:val="21"/>
              </w:rPr>
              <w:t>006550</w:t>
            </w:r>
          </w:p>
        </w:tc>
      </w:tr>
      <w:tr w:rsidR="00967083">
        <w:trPr>
          <w:jc w:val="center"/>
        </w:trPr>
        <w:tc>
          <w:tcPr>
            <w:tcW w:type="dxa" w:w="3491"/>
            <w:vAlign w:val="center"/>
          </w:tcPr>
          <w:p w:rsidR="00967083" w:rsidRDefault="00E4498A">
            <w:pPr>
              <w:spacing w:line="360" w:lineRule="auto"/>
              <w:rPr>
                <w:rFonts w:eastAsiaTheme="minorEastAsia"/>
                <w:szCs w:val="21"/>
              </w:rPr>
            </w:pPr>
            <w:r>
              <w:rPr>
                <w:color w:val="000000"/>
                <w:kern w:val="0"/>
                <w:szCs w:val="21"/>
              </w:rPr>
              <w:t>交易代码</w:t>
            </w:r>
          </w:p>
        </w:tc>
        <w:tc>
          <w:tcPr>
            <w:tcW w:type="dxa" w:w="5217"/>
            <w:gridSpan w:val="3"/>
            <w:vAlign w:val="center"/>
          </w:tcPr>
          <w:p w:rsidR="00967083" w:rsidRDefault="00E4498A">
            <w:pPr>
              <w:spacing w:line="360" w:lineRule="auto"/>
              <w:jc w:val="right"/>
              <w:rPr>
                <w:rFonts w:eastAsiaTheme="minorEastAsia"/>
                <w:szCs w:val="21"/>
              </w:rPr>
            </w:pPr>
            <w:r>
              <w:rPr>
                <w:rFonts w:eastAsiaTheme="minorEastAsia"/>
                <w:szCs w:val="21"/>
              </w:rPr>
              <w:t>006550</w:t>
            </w:r>
          </w:p>
        </w:tc>
      </w:tr>
      <w:tr w:rsidR="00967083">
        <w:trPr>
          <w:jc w:val="center"/>
        </w:trPr>
        <w:tc>
          <w:tcPr>
            <w:tcW w:type="dxa" w:w="3491"/>
          </w:tcPr>
          <w:p w:rsidR="00967083" w:rsidRDefault="00E4498A">
            <w:pPr>
              <w:rPr>
                <w:color w:val="000000"/>
                <w:kern w:val="0"/>
                <w:szCs w:val="21"/>
              </w:rPr>
            </w:pPr>
            <w:r>
              <w:rPr>
                <w:szCs w:val="21"/>
              </w:rPr>
              <w:t>基金运作方式</w:t>
            </w:r>
          </w:p>
        </w:tc>
        <w:tc>
          <w:tcPr>
            <w:tcW w:type="dxa" w:w="5217"/>
            <w:gridSpan w:val="3"/>
            <w:vAlign w:val="center"/>
          </w:tcPr>
          <w:p w:rsidR="00967083" w:rsidRDefault="00E4498A">
            <w:pPr>
              <w:jc w:val="right"/>
              <w:rPr>
                <w:szCs w:val="21"/>
              </w:rPr>
            </w:pPr>
            <w:r>
              <w:rPr>
                <w:szCs w:val="21"/>
              </w:rPr>
              <w:t>契约型开放式</w:t>
            </w:r>
          </w:p>
        </w:tc>
      </w:tr>
      <w:tr w:rsidR="00967083">
        <w:trPr>
          <w:jc w:val="center"/>
        </w:trPr>
        <w:tc>
          <w:tcPr>
            <w:tcW w:type="dxa" w:w="3491"/>
          </w:tcPr>
          <w:p w:rsidR="00967083" w:rsidRDefault="00E4498A">
            <w:pPr>
              <w:rPr>
                <w:color w:val="000000"/>
                <w:kern w:val="0"/>
                <w:szCs w:val="21"/>
              </w:rPr>
            </w:pPr>
            <w:r>
              <w:rPr>
                <w:szCs w:val="21"/>
              </w:rPr>
              <w:t>基金合同生效日</w:t>
            </w:r>
          </w:p>
        </w:tc>
        <w:tc>
          <w:tcPr>
            <w:tcW w:type="dxa" w:w="5217"/>
            <w:gridSpan w:val="3"/>
            <w:vAlign w:val="center"/>
          </w:tcPr>
          <w:p w:rsidR="00967083" w:rsidRDefault="00E4498A">
            <w:pPr>
              <w:jc w:val="right"/>
              <w:rPr>
                <w:szCs w:val="21"/>
              </w:rPr>
            </w:pPr>
            <w:r>
              <w:rPr>
                <w:szCs w:val="21"/>
              </w:rPr>
              <w:t>2018年11月22日</w:t>
            </w:r>
          </w:p>
        </w:tc>
      </w:tr>
      <w:tr w:rsidR="00967083">
        <w:trPr>
          <w:jc w:val="center"/>
        </w:trPr>
        <w:tc>
          <w:tcPr>
            <w:tcW w:type="dxa" w:w="3491"/>
          </w:tcPr>
          <w:p w:rsidR="00967083" w:rsidRDefault="00E4498A">
            <w:pPr>
              <w:rPr>
                <w:color w:val="000000"/>
                <w:kern w:val="0"/>
                <w:szCs w:val="21"/>
              </w:rPr>
            </w:pPr>
            <w:r>
              <w:rPr>
                <w:szCs w:val="21"/>
              </w:rPr>
              <w:t>基金管理人</w:t>
            </w:r>
          </w:p>
        </w:tc>
        <w:tc>
          <w:tcPr>
            <w:tcW w:type="dxa" w:w="5217"/>
            <w:gridSpan w:val="3"/>
            <w:vAlign w:val="center"/>
          </w:tcPr>
          <w:p w:rsidR="00967083" w:rsidRDefault="00E4498A">
            <w:pPr>
              <w:jc w:val="right"/>
              <w:rPr>
                <w:szCs w:val="21"/>
              </w:rPr>
            </w:pPr>
            <w:r>
              <w:rPr>
                <w:szCs w:val="21"/>
              </w:rPr>
              <w:t>广发基金管理有限公司</w:t>
            </w:r>
          </w:p>
        </w:tc>
      </w:tr>
      <w:tr w:rsidR="00967083">
        <w:trPr>
          <w:jc w:val="center"/>
        </w:trPr>
        <w:tc>
          <w:tcPr>
            <w:tcW w:type="dxa" w:w="3491"/>
          </w:tcPr>
          <w:p w:rsidR="00967083" w:rsidRDefault="00E4498A">
            <w:pPr>
              <w:rPr>
                <w:color w:val="000000"/>
                <w:kern w:val="0"/>
                <w:szCs w:val="21"/>
              </w:rPr>
            </w:pPr>
            <w:r>
              <w:rPr>
                <w:szCs w:val="21"/>
              </w:rPr>
              <w:t>基金托管人</w:t>
            </w:r>
          </w:p>
        </w:tc>
        <w:tc>
          <w:tcPr>
            <w:tcW w:type="dxa" w:w="5217"/>
            <w:gridSpan w:val="3"/>
            <w:vAlign w:val="center"/>
          </w:tcPr>
          <w:p w:rsidR="00967083" w:rsidRDefault="00E4498A">
            <w:pPr>
              <w:jc w:val="right"/>
              <w:rPr>
                <w:szCs w:val="21"/>
              </w:rPr>
            </w:pPr>
            <w:r>
              <w:rPr>
                <w:szCs w:val="21"/>
              </w:rPr>
              <w:t>江苏银行股份有限公司</w:t>
            </w:r>
          </w:p>
        </w:tc>
      </w:tr>
      <w:tr w:rsidR="00967083">
        <w:trPr>
          <w:jc w:val="center"/>
        </w:trPr>
        <w:tc>
          <w:tcPr>
            <w:tcW w:type="dxa" w:w="3491"/>
          </w:tcPr>
          <w:p w:rsidR="00967083" w:rsidRDefault="00E4498A">
            <w:pPr>
              <w:rPr>
                <w:color w:val="000000"/>
                <w:kern w:val="0"/>
                <w:szCs w:val="21"/>
              </w:rPr>
            </w:pPr>
            <w:r>
              <w:rPr>
                <w:szCs w:val="21"/>
              </w:rPr>
              <w:t>报告期末基金份额总额</w:t>
            </w:r>
          </w:p>
        </w:tc>
        <w:tc>
          <w:tcPr>
            <w:tcW w:type="dxa" w:w="5217"/>
            <w:gridSpan w:val="3"/>
            <w:vAlign w:val="center"/>
          </w:tcPr>
          <w:p w:rsidR="00967083" w:rsidRDefault="00E4498A">
            <w:pPr>
              <w:jc w:val="right"/>
              <w:rPr>
                <w:szCs w:val="21"/>
              </w:rPr>
            </w:pPr>
            <w:r>
              <w:rPr>
                <w:szCs w:val="21"/>
              </w:rPr>
              <w:t>60,272,313.14</w:t>
            </w:r>
            <w:r>
              <w:rPr>
                <w:szCs w:val="21"/>
              </w:rPr>
              <w:t>份</w:t>
            </w:r>
          </w:p>
        </w:tc>
      </w:tr>
      <w:tr w:rsidR="00967083">
        <w:trPr>
          <w:jc w:val="center"/>
        </w:trPr>
        <w:tc>
          <w:tcPr>
            <w:tcW w:type="dxa" w:w="3491"/>
          </w:tcPr>
          <w:p w:rsidR="00967083" w:rsidRDefault="00E4498A">
            <w:pPr>
              <w:rPr>
                <w:color w:val="000000"/>
                <w:kern w:val="0"/>
                <w:szCs w:val="21"/>
              </w:rPr>
            </w:pPr>
            <w:r>
              <w:rPr>
                <w:szCs w:val="21"/>
              </w:rPr>
              <w:t>基金合同存续期</w:t>
            </w:r>
          </w:p>
        </w:tc>
        <w:tc>
          <w:tcPr>
            <w:tcW w:type="dxa" w:w="5217"/>
            <w:gridSpan w:val="3"/>
            <w:vAlign w:val="center"/>
          </w:tcPr>
          <w:p w:rsidR="00967083" w:rsidRDefault="00E4498A">
            <w:pPr>
              <w:jc w:val="right"/>
              <w:rPr>
                <w:szCs w:val="21"/>
              </w:rPr>
            </w:pPr>
            <w:r>
              <w:rPr>
                <w:szCs w:val="21"/>
              </w:rPr>
              <w:t>不定期</w:t>
            </w:r>
          </w:p>
        </w:tc>
      </w:tr>
    </w:tbl>
    <w:p w:rsidR="00967083" w:rsidRDefault="00967083">
      <w:pPr>
        <w:autoSpaceDE w:val="0"/>
        <w:autoSpaceDN w:val="0"/>
        <w:adjustRightInd w:val="0"/>
        <w:spacing w:line="288" w:lineRule="auto"/>
        <w:jc w:val="left"/>
        <w:rPr>
          <w:color w:val="000000"/>
          <w:kern w:val="0"/>
          <w:szCs w:val="21"/>
        </w:rPr>
      </w:pPr>
    </w:p>
    <w:p w:rsidR="00967083" w:rsidRDefault="00E4498A">
      <w:pPr>
        <w:pStyle w:val="2"/>
        <w:spacing w:after="0" w:before="0"/>
        <w:jc w:val="left"/>
        <w:rPr>
          <w:rFonts w:ascii="Times New Roman" w:hAnsi="Times New Roman"/>
          <w:color w:val="000000"/>
          <w:sz w:val="21"/>
          <w:szCs w:val="21"/>
        </w:rPr>
      </w:pPr>
      <w:bookmarkStart w:id="6" w:name="_Toc331410070"/>
      <w:r>
        <w:rPr>
          <w:rFonts w:ascii="Times New Roman" w:hAnsi="Times New Roman"/>
          <w:kern w:val="0"/>
          <w:sz w:val="21"/>
          <w:szCs w:val="21"/>
        </w:rPr>
        <w:t xml:space="preserve">2.2 </w:t>
      </w:r>
      <w:r>
        <w:rPr>
          <w:rFonts w:ascii="Times New Roman" w:hAnsi="Times New Roman"/>
          <w:color w:val="000000"/>
          <w:sz w:val="21"/>
          <w:szCs w:val="21"/>
        </w:rPr>
        <w:t>基金产品说明</w:t>
      </w:r>
      <w:bookmarkEnd w:id="6"/>
    </w:p>
    <w:tbl>
      <w:tblPr>
        <w:tblW w:type="dxa" w:w="9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127"/>
        <w:gridCol w:w="3436"/>
        <w:gridCol w:w="3437"/>
      </w:tblGrid>
      <w:tr w:rsidR="00967083">
        <w:trPr>
          <w:jc w:val="center"/>
        </w:trPr>
        <w:tc>
          <w:tcPr>
            <w:tcW w:type="dxa" w:w="2127"/>
            <w:vAlign w:val="center"/>
          </w:tcPr>
          <w:p w:rsidR="00967083" w:rsidRDefault="00E4498A">
            <w:pPr>
              <w:rPr>
                <w:szCs w:val="21"/>
              </w:rPr>
            </w:pPr>
            <w:r>
              <w:rPr>
                <w:szCs w:val="21"/>
              </w:rPr>
              <w:t>投资目标</w:t>
            </w:r>
          </w:p>
        </w:tc>
        <w:tc>
          <w:tcPr>
            <w:tcW w:type="dxa" w:w="6873"/>
            <w:gridSpan w:val="2"/>
            <w:vAlign w:val="bottom"/>
          </w:tcPr>
          <w:p w:rsidR="00967083" w:rsidRDefault="00E4498A">
            <w:pPr>
              <w:rPr>
                <w:szCs w:val="21"/>
              </w:rPr>
            </w:pPr>
            <w:r>
              <w:rPr>
                <w:szCs w:val="21"/>
              </w:rPr>
              <w:t>在严格控制风险和保持资产流动性的基础上，力求获得超越业绩比较基准的投资回报，追求基金资产的长期稳健增值。</w:t>
            </w:r>
          </w:p>
        </w:tc>
      </w:tr>
      <w:tr w:rsidR="00967083">
        <w:trPr>
          <w:jc w:val="center"/>
        </w:trPr>
        <w:tc>
          <w:tcPr>
            <w:tcW w:type="dxa" w:w="2127"/>
            <w:vAlign w:val="center"/>
          </w:tcPr>
          <w:p w:rsidR="00967083" w:rsidRDefault="00E4498A">
            <w:pPr>
              <w:rPr>
                <w:szCs w:val="21"/>
              </w:rPr>
            </w:pPr>
            <w:r>
              <w:rPr>
                <w:szCs w:val="21"/>
              </w:rPr>
              <w:t>投资策略</w:t>
            </w:r>
          </w:p>
        </w:tc>
        <w:tc>
          <w:tcPr>
            <w:tcW w:type="dxa" w:w="6873"/>
            <w:gridSpan w:val="2"/>
            <w:vAlign w:val="bottom"/>
          </w:tcPr>
          <w:p w:rsidR="00967083" w:rsidRDefault="00E4498A">
            <w:pPr>
              <w:rPr>
                <w:szCs w:val="21"/>
              </w:rPr>
            </w:pPr>
            <w:r>
              <w:rPr>
                <w:szCs w:val="21"/>
              </w:rPr>
              <w:t>本基金通过对国内外宏观经济态势、利率走势、收益率曲线变化趋势和信用风险变化等因素进行综合分析，构建和调整固定收益证券投资组合，力求获得稳健的投资收益。</w:t>
            </w:r>
          </w:p>
        </w:tc>
      </w:tr>
      <w:tr w:rsidR="00967083">
        <w:trPr>
          <w:jc w:val="center"/>
        </w:trPr>
        <w:tc>
          <w:tcPr>
            <w:tcW w:type="dxa" w:w="2127"/>
            <w:vAlign w:val="center"/>
          </w:tcPr>
          <w:p w:rsidR="00967083" w:rsidRDefault="00E4498A">
            <w:pPr>
              <w:rPr>
                <w:szCs w:val="21"/>
              </w:rPr>
            </w:pPr>
            <w:r>
              <w:rPr>
                <w:szCs w:val="21"/>
              </w:rPr>
              <w:t>业绩比较基准</w:t>
            </w:r>
          </w:p>
        </w:tc>
        <w:tc>
          <w:tcPr>
            <w:tcW w:type="dxa" w:w="6873"/>
            <w:gridSpan w:val="2"/>
            <w:vAlign w:val="bottom"/>
          </w:tcPr>
          <w:p w:rsidR="00967083" w:rsidRDefault="00E4498A">
            <w:pPr>
              <w:rPr>
                <w:szCs w:val="21"/>
              </w:rPr>
            </w:pPr>
            <w:r>
              <w:rPr>
                <w:szCs w:val="21"/>
              </w:rPr>
              <w:t>中债综合财富(总值)指数收益率×90%+银行一年期定期存款利率（税后）×10%。</w:t>
            </w:r>
          </w:p>
        </w:tc>
      </w:tr>
      <w:tr w:rsidR="00967083">
        <w:trPr>
          <w:jc w:val="center"/>
        </w:trPr>
        <w:tc>
          <w:tcPr>
            <w:tcW w:type="dxa" w:w="2127"/>
            <w:vAlign w:val="center"/>
          </w:tcPr>
          <w:p w:rsidR="00967083" w:rsidRDefault="00E4498A">
            <w:pPr>
              <w:rPr>
                <w:szCs w:val="21"/>
              </w:rPr>
            </w:pPr>
            <w:r>
              <w:rPr>
                <w:szCs w:val="21"/>
              </w:rPr>
              <w:t>风险收益特征</w:t>
            </w:r>
          </w:p>
        </w:tc>
        <w:tc>
          <w:tcPr>
            <w:tcW w:type="dxa" w:w="6873"/>
            <w:gridSpan w:val="2"/>
            <w:vAlign w:val="bottom"/>
          </w:tcPr>
          <w:p w:rsidR="00967083" w:rsidRDefault="00E4498A">
            <w:pPr>
              <w:rPr>
                <w:szCs w:val="21"/>
              </w:rPr>
            </w:pPr>
            <w:r>
              <w:rPr>
                <w:szCs w:val="21"/>
              </w:rPr>
              <w:t>本基金为债券型基金，其长期平均风险和预期收益率低于股票型基金、混合型基金，高于货币市场基金。</w:t>
            </w:r>
          </w:p>
        </w:tc>
      </w:tr>
    </w:tbl>
    <w:p w:rsidR="00967083" w:rsidRDefault="00967083">
      <w:pPr>
        <w:autoSpaceDE w:val="0"/>
        <w:autoSpaceDN w:val="0"/>
        <w:adjustRightInd w:val="0"/>
        <w:spacing w:line="288" w:lineRule="auto"/>
        <w:jc w:val="left"/>
        <w:rPr>
          <w:color w:val="000000"/>
          <w:kern w:val="0"/>
          <w:szCs w:val="21"/>
        </w:rPr>
      </w:pPr>
    </w:p>
    <w:p w:rsidR="00967083" w:rsidRDefault="00E4498A">
      <w:pPr>
        <w:pStyle w:val="2"/>
        <w:spacing w:after="0" w:before="0"/>
        <w:jc w:val="left"/>
        <w:rPr>
          <w:rFonts w:ascii="Times New Roman" w:hAnsi="Times New Roman"/>
          <w:kern w:val="0"/>
          <w:sz w:val="21"/>
          <w:szCs w:val="21"/>
        </w:rPr>
      </w:pPr>
      <w:bookmarkStart w:id="7" w:name="_Toc331410071"/>
      <w:bookmarkStart w:id="8" w:name="_Toc225498247"/>
      <w:r>
        <w:rPr>
          <w:rFonts w:ascii="Times New Roman" w:hAnsi="Times New Roman"/>
          <w:kern w:val="0"/>
          <w:sz w:val="21"/>
          <w:szCs w:val="21"/>
        </w:rPr>
        <w:t xml:space="preserve">2.3 </w:t>
      </w:r>
      <w:r>
        <w:rPr>
          <w:rFonts w:ascii="Times New Roman" w:hAnsi="Times New Roman"/>
          <w:kern w:val="0"/>
          <w:sz w:val="21"/>
          <w:szCs w:val="21"/>
        </w:rPr>
        <w:t>基金管理人和基金托管人</w:t>
      </w:r>
      <w:bookmarkEnd w:id="7"/>
      <w:bookmarkEnd w:id="8"/>
    </w:p>
    <w:tbl>
      <w:tblPr>
        <w:tblW w:type="dxa" w:w="8751"/>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260"/>
        <w:gridCol w:w="1371"/>
        <w:gridCol w:w="3060"/>
        <w:gridCol w:w="3060"/>
      </w:tblGrid>
      <w:tr w:rsidR="00967083">
        <w:trPr>
          <w:jc w:val="center"/>
        </w:trPr>
        <w:tc>
          <w:tcPr>
            <w:tcW w:type="dxa" w:w="2631"/>
            <w:gridSpan w:val="2"/>
            <w:vAlign w:val="center"/>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项目</w:t>
            </w:r>
          </w:p>
        </w:tc>
        <w:tc>
          <w:tcPr>
            <w:tcW w:type="dxa" w:w="3060"/>
            <w:vAlign w:val="center"/>
          </w:tcPr>
          <w:p w:rsidR="00967083" w:rsidRDefault="00E4498A">
            <w:pPr>
              <w:jc w:val="center"/>
              <w:rPr>
                <w:color w:val="000000"/>
                <w:szCs w:val="21"/>
              </w:rPr>
            </w:pPr>
            <w:r>
              <w:rPr>
                <w:color w:val="000000"/>
                <w:szCs w:val="21"/>
              </w:rPr>
              <w:t>基金管理人</w:t>
            </w:r>
          </w:p>
        </w:tc>
        <w:tc>
          <w:tcPr>
            <w:tcW w:type="dxa" w:w="3060"/>
            <w:vAlign w:val="center"/>
          </w:tcPr>
          <w:p w:rsidR="00967083" w:rsidRDefault="00E4498A">
            <w:pPr>
              <w:jc w:val="center"/>
              <w:rPr>
                <w:color w:val="000000"/>
                <w:szCs w:val="21"/>
              </w:rPr>
            </w:pPr>
            <w:r>
              <w:rPr>
                <w:color w:val="000000"/>
                <w:szCs w:val="21"/>
              </w:rPr>
              <w:t>基金托管人</w:t>
            </w:r>
          </w:p>
        </w:tc>
      </w:tr>
      <w:tr w:rsidR="00967083">
        <w:trPr>
          <w:jc w:val="center"/>
        </w:trPr>
        <w:tc>
          <w:tcPr>
            <w:tcW w:type="dxa" w:w="2631"/>
            <w:gridSpan w:val="2"/>
            <w:vAlign w:val="center"/>
          </w:tcPr>
          <w:p w:rsidR="00967083" w:rsidRDefault="00E4498A">
            <w:pPr>
              <w:autoSpaceDE w:val="0"/>
              <w:autoSpaceDN w:val="0"/>
              <w:adjustRightInd w:val="0"/>
              <w:spacing w:before="29" w:line="288" w:lineRule="auto"/>
              <w:ind w:left="15"/>
              <w:rPr>
                <w:color w:val="000000"/>
                <w:kern w:val="0"/>
                <w:szCs w:val="21"/>
              </w:rPr>
            </w:pPr>
            <w:r>
              <w:rPr>
                <w:color w:val="000000"/>
                <w:kern w:val="0"/>
                <w:szCs w:val="21"/>
              </w:rPr>
              <w:t>名称</w:t>
            </w:r>
          </w:p>
        </w:tc>
        <w:tc>
          <w:tcPr>
            <w:tcW w:type="dxa" w:w="3060"/>
            <w:vAlign w:val="center"/>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广发基金管理有限公司</w:t>
            </w:r>
          </w:p>
        </w:tc>
        <w:tc>
          <w:tcPr>
            <w:tcW w:type="dxa" w:w="3060"/>
            <w:vAlign w:val="center"/>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江苏银行股份有限公司</w:t>
            </w:r>
          </w:p>
        </w:tc>
      </w:tr>
      <w:tr w:rsidR="00967083">
        <w:trPr>
          <w:jc w:val="center"/>
        </w:trPr>
        <w:tc>
          <w:tcPr>
            <w:tcW w:type="dxa" w:w="1260"/>
            <w:vMerge w:val="restart"/>
            <w:vAlign w:val="center"/>
          </w:tcPr>
          <w:p w:rsidR="00967083" w:rsidRDefault="00E4498A">
            <w:pPr>
              <w:autoSpaceDE w:val="0"/>
              <w:autoSpaceDN w:val="0"/>
              <w:adjustRightInd w:val="0"/>
              <w:spacing w:before="29" w:line="360" w:lineRule="auto"/>
              <w:ind w:left="15"/>
              <w:rPr>
                <w:color w:val="000000"/>
                <w:kern w:val="0"/>
                <w:szCs w:val="21"/>
              </w:rPr>
            </w:pPr>
            <w:r>
              <w:rPr>
                <w:color w:val="000000"/>
                <w:szCs w:val="21"/>
              </w:rPr>
              <w:t>信息披露负责人</w:t>
            </w:r>
          </w:p>
        </w:tc>
        <w:tc>
          <w:tcPr>
            <w:tcW w:type="dxa" w:w="1371"/>
            <w:vAlign w:val="center"/>
          </w:tcPr>
          <w:p w:rsidR="00967083" w:rsidRDefault="00E4498A">
            <w:pPr>
              <w:jc w:val="center"/>
              <w:rPr>
                <w:color w:val="000000"/>
                <w:szCs w:val="21"/>
              </w:rPr>
            </w:pPr>
            <w:r>
              <w:rPr>
                <w:color w:val="000000"/>
                <w:szCs w:val="21"/>
              </w:rPr>
              <w:t>姓名</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邱春杨</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柯振林</w:t>
            </w:r>
          </w:p>
        </w:tc>
      </w:tr>
      <w:tr w:rsidR="00967083">
        <w:trPr>
          <w:jc w:val="center"/>
        </w:trPr>
        <w:tc>
          <w:tcPr>
            <w:tcW w:type="dxa" w:w="1260"/>
            <w:vMerge/>
            <w:vAlign w:val="center"/>
          </w:tcPr>
          <w:p w:rsidR="00967083" w:rsidRDefault="00967083">
            <w:pPr>
              <w:widowControl/>
              <w:jc w:val="left"/>
              <w:rPr>
                <w:color w:val="000000"/>
                <w:kern w:val="0"/>
                <w:szCs w:val="21"/>
              </w:rPr>
            </w:pPr>
          </w:p>
        </w:tc>
        <w:tc>
          <w:tcPr>
            <w:tcW w:type="dxa" w:w="1371"/>
            <w:vAlign w:val="center"/>
          </w:tcPr>
          <w:p w:rsidR="00967083" w:rsidRDefault="00E4498A">
            <w:pPr>
              <w:autoSpaceDE w:val="0"/>
              <w:autoSpaceDN w:val="0"/>
              <w:adjustRightInd w:val="0"/>
              <w:spacing w:before="29" w:line="288" w:lineRule="auto"/>
              <w:ind w:left="15"/>
              <w:jc w:val="center"/>
              <w:rPr>
                <w:color w:val="000000"/>
                <w:kern w:val="0"/>
                <w:szCs w:val="21"/>
              </w:rPr>
            </w:pPr>
            <w:r>
              <w:rPr>
                <w:color w:val="000000"/>
                <w:szCs w:val="21"/>
              </w:rPr>
              <w:t>联系电话</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020-83936666</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025-58588217</w:t>
            </w:r>
          </w:p>
        </w:tc>
      </w:tr>
      <w:tr w:rsidR="00967083">
        <w:trPr>
          <w:jc w:val="center"/>
        </w:trPr>
        <w:tc>
          <w:tcPr>
            <w:tcW w:type="dxa" w:w="1260"/>
            <w:vMerge/>
            <w:vAlign w:val="center"/>
          </w:tcPr>
          <w:p w:rsidR="00967083" w:rsidRDefault="00967083">
            <w:pPr>
              <w:widowControl/>
              <w:jc w:val="left"/>
              <w:rPr>
                <w:color w:val="000000"/>
                <w:kern w:val="0"/>
                <w:szCs w:val="21"/>
              </w:rPr>
            </w:pPr>
          </w:p>
        </w:tc>
        <w:tc>
          <w:tcPr>
            <w:tcW w:type="dxa" w:w="1371"/>
            <w:vAlign w:val="center"/>
          </w:tcPr>
          <w:p w:rsidR="00967083" w:rsidRDefault="00E4498A">
            <w:pPr>
              <w:autoSpaceDE w:val="0"/>
              <w:autoSpaceDN w:val="0"/>
              <w:adjustRightInd w:val="0"/>
              <w:spacing w:before="29" w:line="288" w:lineRule="auto"/>
              <w:ind w:left="15"/>
              <w:jc w:val="center"/>
              <w:rPr>
                <w:color w:val="000000"/>
                <w:kern w:val="0"/>
                <w:szCs w:val="21"/>
              </w:rPr>
            </w:pPr>
            <w:r>
              <w:rPr>
                <w:color w:val="000000"/>
                <w:szCs w:val="21"/>
              </w:rPr>
              <w:t>电子邮箱</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qcy@gffunds.com.cn</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kezhenlin@jsbchina.cn</w:t>
            </w:r>
          </w:p>
        </w:tc>
      </w:tr>
      <w:tr w:rsidR="00967083">
        <w:trPr>
          <w:jc w:val="center"/>
        </w:trPr>
        <w:tc>
          <w:tcPr>
            <w:tcW w:type="dxa" w:w="2631"/>
            <w:gridSpan w:val="2"/>
            <w:vAlign w:val="center"/>
          </w:tcPr>
          <w:p w:rsidR="00967083" w:rsidRDefault="00E4498A">
            <w:pPr>
              <w:rPr>
                <w:color w:val="000000"/>
                <w:szCs w:val="21"/>
              </w:rPr>
            </w:pPr>
            <w:r>
              <w:rPr>
                <w:color w:val="000000"/>
                <w:szCs w:val="21"/>
              </w:rPr>
              <w:t>客户服务电话</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95105828</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95319</w:t>
            </w:r>
          </w:p>
        </w:tc>
      </w:tr>
      <w:tr w:rsidR="00967083">
        <w:trPr>
          <w:jc w:val="center"/>
        </w:trPr>
        <w:tc>
          <w:tcPr>
            <w:tcW w:type="dxa" w:w="2631"/>
            <w:gridSpan w:val="2"/>
            <w:vAlign w:val="center"/>
          </w:tcPr>
          <w:p w:rsidR="00967083" w:rsidRDefault="00E4498A">
            <w:pPr>
              <w:rPr>
                <w:color w:val="000000"/>
                <w:szCs w:val="21"/>
              </w:rPr>
            </w:pPr>
            <w:r>
              <w:rPr>
                <w:color w:val="000000"/>
                <w:szCs w:val="21"/>
              </w:rPr>
              <w:t>传真</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t/>
            </w:r>
            <w:r>
              <w:rPr>
                <w:color w:val="000000"/>
                <w:kern w:val="0"/>
                <w:szCs w:val="21"/>
              </w:rPr>
              <w:lastRenderedPageBreak/>
              <w:t>020-89899158</w:t>
            </w:r>
          </w:p>
        </w:tc>
        <w:tc>
          <w:tcPr>
            <w:tcW w:type="dxa" w:w="3060"/>
            <w:vAlign w:val="bottom"/>
          </w:tcPr>
          <w:p w:rsidR="00967083" w:rsidRDefault="00E4498A">
            <w:pPr>
              <w:autoSpaceDE w:val="0"/>
              <w:autoSpaceDN w:val="0"/>
              <w:adjustRightInd w:val="0"/>
              <w:spacing w:before="29" w:line="288" w:lineRule="auto"/>
              <w:ind w:left="15"/>
              <w:jc w:val="center"/>
              <w:rPr>
                <w:color w:val="000000"/>
                <w:kern w:val="0"/>
                <w:szCs w:val="21"/>
              </w:rPr>
            </w:pPr>
            <w:r>
              <w:rPr>
                <w:color w:val="000000"/>
                <w:kern w:val="0"/>
                <w:szCs w:val="21"/>
              </w:rPr>
              <w:lastRenderedPageBreak/>
              <w:t/>
            </w:r>
            <w:r>
              <w:rPr>
                <w:color w:val="000000"/>
                <w:kern w:val="0"/>
                <w:szCs w:val="21"/>
              </w:rPr>
              <w:lastRenderedPageBreak/>
              <w:t>025-58588155</w:t>
            </w:r>
          </w:p>
        </w:tc>
      </w:tr>
    </w:tbl>
    <w:p w:rsidR="00967083" w:rsidRDefault="00967083">
      <w:pPr>
        <w:tabs>
          <w:tab w:pos="1740" w:val="left"/>
        </w:tabs>
        <w:rPr>
          <w:color w:val="000000"/>
          <w:szCs w:val="21"/>
        </w:rPr>
      </w:pPr>
    </w:p>
    <w:p w:rsidR="00967083" w:rsidRDefault="00E4498A">
      <w:pPr>
        <w:pStyle w:val="2"/>
        <w:spacing w:after="0" w:before="0"/>
        <w:rPr>
          <w:rFonts w:ascii="Times New Roman" w:hAnsi="Times New Roman"/>
          <w:kern w:val="0"/>
          <w:sz w:val="21"/>
          <w:szCs w:val="21"/>
        </w:rPr>
      </w:pPr>
      <w:bookmarkStart w:id="9" w:name="_Toc225498248"/>
      <w:bookmarkStart w:id="10" w:name="_Toc331410072"/>
      <w:r>
        <w:rPr>
          <w:rFonts w:ascii="Times New Roman" w:hAnsi="Times New Roman"/>
          <w:kern w:val="0"/>
          <w:sz w:val="21"/>
          <w:szCs w:val="21"/>
        </w:rPr>
        <w:t xml:space="preserve">2.4 </w:t>
      </w:r>
      <w:r>
        <w:rPr>
          <w:rFonts w:ascii="Times New Roman" w:hAnsi="Times New Roman"/>
          <w:kern w:val="0"/>
          <w:sz w:val="21"/>
          <w:szCs w:val="21"/>
        </w:rPr>
        <w:t>信息披露方式</w:t>
      </w:r>
      <w:bookmarkEnd w:id="9"/>
      <w:bookmarkEnd w:id="10"/>
    </w:p>
    <w:tbl>
      <w:tblPr>
        <w:tblW w:type="dxa" w:w="9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4820"/>
        <w:gridCol w:w="4180"/>
      </w:tblGrid>
      <w:tr w:rsidR="00967083">
        <w:trPr>
          <w:jc w:val="center"/>
        </w:trPr>
        <w:tc>
          <w:tcPr>
            <w:tcW w:type="dxa" w:w="4820"/>
            <w:vAlign w:val="center"/>
          </w:tcPr>
          <w:p w:rsidR="00967083" w:rsidRDefault="00E4498A">
            <w:pPr>
              <w:tabs>
                <w:tab w:pos="1740" w:val="left"/>
              </w:tabs>
              <w:rPr>
                <w:color w:val="000000"/>
                <w:szCs w:val="21"/>
              </w:rPr>
            </w:pPr>
            <w:r>
              <w:rPr>
                <w:rFonts w:hint="eastAsia"/>
                <w:color w:val="000000"/>
                <w:szCs w:val="21"/>
                <w:lang w:bidi="ar"/>
              </w:rPr>
              <w:t>登载基金半年度报告正文的管理人互联网网址</w:t>
            </w:r>
          </w:p>
        </w:tc>
        <w:tc>
          <w:tcPr>
            <w:tcW w:type="dxa" w:w="4180"/>
            <w:vAlign w:val="center"/>
          </w:tcPr>
          <w:p w:rsidR="00967083" w:rsidRDefault="00E4498A">
            <w:pPr>
              <w:tabs>
                <w:tab w:pos="1740" w:val="left"/>
              </w:tabs>
              <w:rPr>
                <w:color w:val="000000"/>
                <w:szCs w:val="21"/>
              </w:rPr>
            </w:pPr>
            <w:r>
              <w:rPr>
                <w:color w:val="000000"/>
                <w:szCs w:val="21"/>
              </w:rPr>
              <w:t>http://www.gffunds.com.cn</w:t>
            </w:r>
          </w:p>
        </w:tc>
      </w:tr>
      <w:tr w:rsidR="00967083">
        <w:trPr>
          <w:jc w:val="center"/>
        </w:trPr>
        <w:tc>
          <w:tcPr>
            <w:tcW w:type="dxa" w:w="4820"/>
            <w:vAlign w:val="center"/>
          </w:tcPr>
          <w:p w:rsidR="00967083" w:rsidRDefault="00E4498A">
            <w:pPr>
              <w:tabs>
                <w:tab w:pos="1740" w:val="left"/>
              </w:tabs>
              <w:rPr>
                <w:color w:val="000000"/>
                <w:szCs w:val="21"/>
              </w:rPr>
            </w:pPr>
            <w:r>
              <w:rPr>
                <w:color w:val="000000"/>
                <w:szCs w:val="21"/>
              </w:rPr>
              <w:t>基金半年度报告备置地点</w:t>
            </w:r>
          </w:p>
        </w:tc>
        <w:tc>
          <w:tcPr>
            <w:tcW w:type="dxa" w:w="4180"/>
            <w:vAlign w:val="center"/>
          </w:tcPr>
          <w:p w:rsidR="00967083" w:rsidRDefault="00E4498A">
            <w:pPr>
              <w:tabs>
                <w:tab w:pos="1740" w:val="left"/>
              </w:tabs>
              <w:rPr>
                <w:color w:val="000000"/>
                <w:szCs w:val="21"/>
              </w:rPr>
            </w:pPr>
            <w:r>
              <w:rPr>
                <w:color w:val="000000"/>
                <w:szCs w:val="21"/>
              </w:rPr>
              <w:t>广州市海珠区琶洲大道东1号保利国际广场南塔31-33楼</w:t>
            </w:r>
          </w:p>
        </w:tc>
      </w:tr>
    </w:tbl>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11" w:name="_Toc331410074"/>
      <w:bookmarkStart w:id="12" w:name="_Toc225498250"/>
      <w:bookmarkStart w:id="13" w:name="_Toc194312019"/>
      <w:bookmarkStart w:id="14" w:name="_Toc193947512"/>
      <w:r>
        <w:rPr>
          <w:b/>
          <w:bCs/>
          <w:sz w:val="21"/>
          <w:szCs w:val="21"/>
          <w:lang w:val="en-US"/>
        </w:rPr>
        <w:t xml:space="preserve">3  </w:t>
      </w:r>
      <w:r>
        <w:rPr>
          <w:b/>
          <w:bCs/>
          <w:sz w:val="21"/>
          <w:szCs w:val="21"/>
          <w:lang w:val="en-US"/>
        </w:rPr>
        <w:t>主要财务指标和基金净值表现</w:t>
      </w:r>
      <w:bookmarkEnd w:id="11"/>
      <w:bookmarkEnd w:id="12"/>
    </w:p>
    <w:p w:rsidR="00967083" w:rsidRDefault="00E4498A">
      <w:pPr>
        <w:pStyle w:val="2"/>
        <w:spacing w:after="0" w:before="0"/>
        <w:rPr>
          <w:rFonts w:ascii="Times New Roman" w:hAnsi="Times New Roman"/>
          <w:kern w:val="0"/>
          <w:sz w:val="21"/>
          <w:szCs w:val="21"/>
        </w:rPr>
      </w:pPr>
      <w:bookmarkStart w:id="15" w:name="_Toc286996129"/>
      <w:r>
        <w:rPr>
          <w:rFonts w:ascii="Times New Roman" w:hAnsi="Times New Roman"/>
          <w:kern w:val="0"/>
          <w:sz w:val="21"/>
          <w:szCs w:val="21"/>
        </w:rPr>
        <w:t xml:space="preserve">3.1 </w:t>
      </w:r>
      <w:r>
        <w:rPr>
          <w:rFonts w:ascii="Times New Roman" w:hAnsi="Times New Roman"/>
          <w:kern w:val="0"/>
          <w:sz w:val="21"/>
          <w:szCs w:val="21"/>
        </w:rPr>
        <w:t>主要会计数据和财务指标</w:t>
      </w:r>
      <w:bookmarkEnd w:id="15"/>
    </w:p>
    <w:p w:rsidR="00967083" w:rsidRDefault="00E4498A">
      <w:pPr>
        <w:autoSpaceDE w:val="0"/>
        <w:autoSpaceDN w:val="0"/>
        <w:adjustRightInd w:val="0"/>
        <w:spacing w:before="29" w:line="288" w:lineRule="auto"/>
        <w:ind w:left="15"/>
        <w:jc w:val="right"/>
        <w:rPr>
          <w:color w:val="000000"/>
          <w:kern w:val="0"/>
          <w:szCs w:val="21"/>
        </w:rPr>
      </w:pPr>
      <w:r>
        <w:rPr>
          <w:color w:val="000000"/>
          <w:kern w:val="0"/>
          <w:szCs w:val="21"/>
        </w:rPr>
        <w:t/>
      </w:r>
      <w:r>
        <w:rPr>
          <w:color w:val="000000"/>
          <w:kern w:val="0"/>
          <w:szCs w:val="21"/>
        </w:rPr>
        <w:t>金额单位：人民币元</w:t>
      </w:r>
    </w:p>
    <w:tbl>
      <w:tblPr>
        <w:tblW w:type="dxa" w:w="925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4509"/>
        <w:gridCol w:w="4744"/>
      </w:tblGrid>
      <w:tr w:rsidR="00967083">
        <w:trPr>
          <w:trHeight w:val="487"/>
          <w:jc w:val="center"/>
        </w:trPr>
        <w:tc>
          <w:tcPr>
            <w:tcW w:type="dxa" w:w="4509"/>
            <w:vAlign w:val="center"/>
          </w:tcPr>
          <w:p w:rsidR="00967083" w:rsidRDefault="00E4498A">
            <w:pPr>
              <w:rPr>
                <w:b/>
                <w:szCs w:val="21"/>
              </w:rPr>
            </w:pPr>
            <w:r>
              <w:rPr>
                <w:b/>
                <w:szCs w:val="21"/>
              </w:rPr>
              <w:t xml:space="preserve">3.1.1 </w:t>
            </w:r>
            <w:r>
              <w:rPr>
                <w:b/>
                <w:szCs w:val="21"/>
              </w:rPr>
              <w:t>期间数据和指标</w:t>
            </w:r>
            <w:r>
              <w:rPr>
                <w:b/>
                <w:color w:val="000000"/>
                <w:szCs w:val="21"/>
              </w:rPr>
              <w:t/>
            </w:r>
          </w:p>
        </w:tc>
        <w:tc>
          <w:tcPr>
            <w:tcW w:type="dxa" w:w="4744"/>
            <w:vAlign w:val="center"/>
          </w:tcPr>
          <w:p w:rsidR="00967083" w:rsidRDefault="00E4498A">
            <w:pPr>
              <w:jc w:val="center"/>
              <w:rPr>
                <w:b/>
                <w:szCs w:val="21"/>
              </w:rPr>
            </w:pPr>
            <w:r>
              <w:rPr>
                <w:b/>
                <w:szCs w:val="21"/>
              </w:rPr>
              <w:t>报告期（</w:t>
            </w:r>
            <w:r>
              <w:rPr>
                <w:b/>
                <w:szCs w:val="21"/>
              </w:rPr>
              <w:t>2019年1月1日</w:t>
            </w:r>
            <w:r>
              <w:rPr>
                <w:b/>
                <w:szCs w:val="21"/>
              </w:rPr>
              <w:t>至</w:t>
            </w:r>
            <w:r>
              <w:rPr>
                <w:b/>
                <w:szCs w:val="21"/>
              </w:rPr>
              <w:t>2019年6月30日</w:t>
            </w:r>
            <w:r>
              <w:rPr>
                <w:b/>
                <w:szCs w:val="21"/>
              </w:rPr>
              <w:t>）</w:t>
            </w:r>
          </w:p>
        </w:tc>
      </w:tr>
      <w:tr w:rsidR="00967083">
        <w:trPr>
          <w:jc w:val="center"/>
        </w:trPr>
        <w:tc>
          <w:tcPr>
            <w:tcW w:type="dxa" w:w="4509"/>
            <w:vAlign w:val="center"/>
          </w:tcPr>
          <w:p w:rsidR="00967083" w:rsidRDefault="00E4498A">
            <w:pPr>
              <w:rPr>
                <w:szCs w:val="21"/>
              </w:rPr>
            </w:pPr>
            <w:r>
              <w:rPr>
                <w:szCs w:val="21"/>
              </w:rPr>
              <w:t>本期已实现收益</w:t>
            </w:r>
          </w:p>
        </w:tc>
        <w:tc>
          <w:tcPr>
            <w:tcW w:type="dxa" w:w="4744"/>
            <w:vAlign w:val="bottom"/>
          </w:tcPr>
          <w:p w:rsidR="00967083" w:rsidRDefault="00E4498A">
            <w:pPr>
              <w:jc w:val="right"/>
              <w:rPr>
                <w:szCs w:val="21"/>
              </w:rPr>
            </w:pPr>
            <w:r>
              <w:rPr>
                <w:szCs w:val="21"/>
              </w:rPr>
              <w:t>1,026,193.95</w:t>
            </w:r>
          </w:p>
        </w:tc>
      </w:tr>
      <w:tr w:rsidR="00967083">
        <w:trPr>
          <w:jc w:val="center"/>
        </w:trPr>
        <w:tc>
          <w:tcPr>
            <w:tcW w:type="dxa" w:w="4509"/>
            <w:vAlign w:val="center"/>
          </w:tcPr>
          <w:p w:rsidR="00967083" w:rsidRDefault="00E4498A">
            <w:pPr>
              <w:rPr>
                <w:szCs w:val="21"/>
              </w:rPr>
            </w:pPr>
            <w:r>
              <w:rPr>
                <w:szCs w:val="21"/>
              </w:rPr>
              <w:t>本期利润</w:t>
            </w:r>
          </w:p>
        </w:tc>
        <w:tc>
          <w:tcPr>
            <w:tcW w:type="dxa" w:w="4744"/>
            <w:vAlign w:val="bottom"/>
          </w:tcPr>
          <w:p w:rsidR="00967083" w:rsidRDefault="00E4498A">
            <w:pPr>
              <w:jc w:val="right"/>
              <w:rPr>
                <w:szCs w:val="21"/>
              </w:rPr>
            </w:pPr>
            <w:r>
              <w:rPr>
                <w:szCs w:val="21"/>
              </w:rPr>
              <w:t>926,124.08</w:t>
            </w:r>
          </w:p>
        </w:tc>
      </w:tr>
      <w:tr w:rsidR="00967083">
        <w:trPr>
          <w:jc w:val="center"/>
        </w:trPr>
        <w:tc>
          <w:tcPr>
            <w:tcW w:type="dxa" w:w="4509"/>
            <w:vAlign w:val="center"/>
          </w:tcPr>
          <w:p w:rsidR="00967083" w:rsidRDefault="00E4498A">
            <w:pPr>
              <w:rPr>
                <w:szCs w:val="21"/>
              </w:rPr>
            </w:pPr>
            <w:r>
              <w:rPr>
                <w:szCs w:val="21"/>
              </w:rPr>
              <w:t>加权平均基金份额本期利润</w:t>
            </w:r>
          </w:p>
        </w:tc>
        <w:tc>
          <w:tcPr>
            <w:tcW w:type="dxa" w:w="4744"/>
            <w:vAlign w:val="bottom"/>
          </w:tcPr>
          <w:p w:rsidR="00967083" w:rsidRDefault="00E4498A">
            <w:pPr>
              <w:jc w:val="right"/>
              <w:rPr>
                <w:szCs w:val="21"/>
              </w:rPr>
            </w:pPr>
            <w:r>
              <w:rPr>
                <w:szCs w:val="21"/>
              </w:rPr>
              <w:t>0.0150</w:t>
            </w:r>
          </w:p>
        </w:tc>
      </w:tr>
      <w:tr w:rsidR="00967083">
        <w:trPr>
          <w:jc w:val="center"/>
        </w:trPr>
        <w:tc>
          <w:tcPr>
            <w:tcW w:type="dxa" w:w="4509"/>
            <w:vAlign w:val="center"/>
          </w:tcPr>
          <w:p w:rsidR="00967083" w:rsidRDefault="00E4498A">
            <w:pPr>
              <w:rPr>
                <w:szCs w:val="21"/>
              </w:rPr>
            </w:pPr>
            <w:r>
              <w:rPr>
                <w:szCs w:val="21"/>
              </w:rPr>
              <w:t>本期基金份额净值增长率</w:t>
            </w:r>
          </w:p>
        </w:tc>
        <w:tc>
          <w:tcPr>
            <w:tcW w:type="dxa" w:w="4744"/>
            <w:vAlign w:val="bottom"/>
          </w:tcPr>
          <w:p w:rsidR="00967083" w:rsidRDefault="00E4498A">
            <w:pPr>
              <w:jc w:val="right"/>
              <w:rPr>
                <w:szCs w:val="21"/>
              </w:rPr>
            </w:pPr>
            <w:r>
              <w:rPr>
                <w:szCs w:val="21"/>
              </w:rPr>
              <w:t>1.51%</w:t>
            </w:r>
          </w:p>
        </w:tc>
      </w:tr>
      <w:tr w:rsidR="00967083">
        <w:trPr>
          <w:jc w:val="center"/>
        </w:trPr>
        <w:tc>
          <w:tcPr>
            <w:tcW w:type="dxa" w:w="4509"/>
            <w:vAlign w:val="center"/>
          </w:tcPr>
          <w:p w:rsidR="00967083" w:rsidRDefault="00E4498A">
            <w:pPr>
              <w:rPr>
                <w:b/>
                <w:szCs w:val="21"/>
              </w:rPr>
            </w:pPr>
            <w:r>
              <w:rPr>
                <w:b/>
                <w:szCs w:val="21"/>
              </w:rPr>
              <w:t xml:space="preserve">3.1.2 </w:t>
            </w:r>
            <w:r>
              <w:rPr>
                <w:b/>
                <w:szCs w:val="21"/>
              </w:rPr>
              <w:t>期末数据和指标</w:t>
            </w:r>
          </w:p>
        </w:tc>
        <w:tc>
          <w:tcPr>
            <w:tcW w:type="dxa" w:w="4744"/>
            <w:vAlign w:val="center"/>
          </w:tcPr>
          <w:p w:rsidR="00967083" w:rsidRDefault="00E4498A">
            <w:pPr>
              <w:jc w:val="center"/>
              <w:rPr>
                <w:b/>
                <w:szCs w:val="21"/>
              </w:rPr>
            </w:pPr>
            <w:r>
              <w:rPr>
                <w:b/>
                <w:szCs w:val="21"/>
              </w:rPr>
              <w:t>报告期末</w:t>
            </w:r>
            <w:r>
              <w:rPr>
                <w:b/>
                <w:szCs w:val="21"/>
              </w:rPr>
              <w:t>(2019年6月30日)</w:t>
            </w:r>
          </w:p>
        </w:tc>
      </w:tr>
      <w:tr w:rsidR="00967083">
        <w:trPr>
          <w:jc w:val="center"/>
        </w:trPr>
        <w:tc>
          <w:tcPr>
            <w:tcW w:type="dxa" w:w="4509"/>
            <w:vAlign w:val="center"/>
          </w:tcPr>
          <w:p w:rsidR="00967083" w:rsidRDefault="00E4498A">
            <w:pPr>
              <w:rPr>
                <w:szCs w:val="21"/>
              </w:rPr>
            </w:pPr>
            <w:r>
              <w:rPr>
                <w:szCs w:val="21"/>
              </w:rPr>
              <w:t>期末可供分配基金份额利润</w:t>
            </w:r>
          </w:p>
        </w:tc>
        <w:tc>
          <w:tcPr>
            <w:tcW w:type="dxa" w:w="4744"/>
            <w:vAlign w:val="bottom"/>
          </w:tcPr>
          <w:p w:rsidR="00967083" w:rsidRDefault="00E4498A">
            <w:pPr>
              <w:jc w:val="right"/>
              <w:rPr>
                <w:szCs w:val="21"/>
              </w:rPr>
            </w:pPr>
            <w:r>
              <w:rPr>
                <w:szCs w:val="21"/>
              </w:rPr>
              <w:t>0.0120</w:t>
            </w:r>
          </w:p>
        </w:tc>
      </w:tr>
      <w:tr w:rsidR="00967083">
        <w:trPr>
          <w:jc w:val="center"/>
        </w:trPr>
        <w:tc>
          <w:tcPr>
            <w:tcW w:type="dxa" w:w="4509"/>
            <w:vAlign w:val="center"/>
          </w:tcPr>
          <w:p w:rsidR="00967083" w:rsidRDefault="00E4498A">
            <w:pPr>
              <w:rPr>
                <w:szCs w:val="21"/>
              </w:rPr>
            </w:pPr>
            <w:r>
              <w:rPr>
                <w:szCs w:val="21"/>
              </w:rPr>
              <w:t>期末基金资产净值</w:t>
            </w:r>
          </w:p>
        </w:tc>
        <w:tc>
          <w:tcPr>
            <w:tcW w:type="dxa" w:w="4744"/>
            <w:vAlign w:val="bottom"/>
          </w:tcPr>
          <w:p w:rsidR="00967083" w:rsidRDefault="00E4498A">
            <w:pPr>
              <w:jc w:val="right"/>
              <w:rPr>
                <w:szCs w:val="21"/>
              </w:rPr>
            </w:pPr>
            <w:r>
              <w:rPr>
                <w:szCs w:val="21"/>
              </w:rPr>
              <w:t>61,036,329.83</w:t>
            </w:r>
          </w:p>
        </w:tc>
      </w:tr>
      <w:tr w:rsidR="00967083">
        <w:trPr>
          <w:jc w:val="center"/>
        </w:trPr>
        <w:tc>
          <w:tcPr>
            <w:tcW w:type="dxa" w:w="4509"/>
            <w:vAlign w:val="center"/>
          </w:tcPr>
          <w:p w:rsidR="00967083" w:rsidRDefault="00E4498A">
            <w:pPr>
              <w:rPr>
                <w:szCs w:val="21"/>
              </w:rPr>
            </w:pPr>
            <w:r>
              <w:rPr>
                <w:szCs w:val="21"/>
              </w:rPr>
              <w:t>期末基金份额净值</w:t>
            </w:r>
          </w:p>
        </w:tc>
        <w:tc>
          <w:tcPr>
            <w:tcW w:type="dxa" w:w="4744"/>
            <w:vAlign w:val="bottom"/>
          </w:tcPr>
          <w:p w:rsidR="00967083" w:rsidRDefault="00E4498A">
            <w:pPr>
              <w:jc w:val="right"/>
              <w:rPr>
                <w:szCs w:val="21"/>
              </w:rPr>
            </w:pPr>
            <w:r>
              <w:rPr>
                <w:szCs w:val="21"/>
              </w:rPr>
              <w:t>1.0127</w:t>
            </w:r>
          </w:p>
        </w:tc>
      </w:tr>
    </w:tbl>
    <w:bookmarkEnd w:id="13"/>
    <w:bookmarkEnd w:id="14"/>
    <w:p>
      <w:pPr>
        <w:tabs>
          <w:tab w:pos="426" w:val="left"/>
        </w:tabs>
        <w:spacing w:line="360" w:lineRule="auto"/>
        <w:ind w:firstLine="420" w:firstLineChars="200"/>
        <w:jc w:val="left"/>
        <w:rPr>
          <w:rFonts w:eastAsiaTheme="minorEastAsia"/>
          <w:kern w:val="0"/>
          <w:szCs w:val="21"/>
        </w:rPr>
      </w:pPr>
      <w:r>
        <w:rPr>
          <w:rFonts w:eastAsiaTheme="minorEastAsia"/>
          <w:kern w:val="0"/>
          <w:szCs w:val="21"/>
        </w:rPr>
        <w:t>注：（1）所述基金业绩指标不包括持有人认购或交易基金的各项费用，计入费用后实际收益水平要低于所列数字。</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（2）本期已实现收益指基金本期利息收入、投资收益、其他收入（不含公允价值变动收益）扣除相关费用后的余额，本期利润为本期已实现收益加上本期公允价值变动收益。</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（3）期末可供分配利润采用期末资产负债表中未分配利润与未分配利润中已实现部分的孰低数（为期末余额，不是当期发生数）。</w:t>
      </w:r>
    </w:p>
    <w:p w:rsidR="00967083" w:rsidRDefault="00967083">
      <w:pPr>
        <w:spacing w:line="288" w:lineRule="auto"/>
        <w:rPr>
          <w:color w:val="000000"/>
          <w:szCs w:val="21"/>
        </w:rPr>
      </w:pPr>
    </w:p>
    <w:p w:rsidR="00967083" w:rsidRDefault="00E4498A">
      <w:pPr>
        <w:pStyle w:val="2"/>
        <w:spacing w:after="0" w:before="0"/>
        <w:rPr>
          <w:rFonts w:ascii="Times New Roman" w:hAnsi="Times New Roman"/>
          <w:kern w:val="0"/>
          <w:sz w:val="21"/>
          <w:szCs w:val="21"/>
        </w:rPr>
      </w:pPr>
      <w:bookmarkStart w:id="16" w:name="_Toc331410076"/>
      <w:bookmarkStart w:id="17" w:name="_Toc225498252"/>
      <w:r>
        <w:rPr>
          <w:rFonts w:ascii="Times New Roman" w:hAnsi="Times New Roman"/>
          <w:kern w:val="0"/>
          <w:sz w:val="21"/>
          <w:szCs w:val="21"/>
        </w:rPr>
        <w:t xml:space="preserve">3.2 </w:t>
      </w:r>
      <w:r>
        <w:rPr>
          <w:rFonts w:ascii="Times New Roman" w:hAnsi="Times New Roman"/>
          <w:kern w:val="0"/>
          <w:sz w:val="21"/>
          <w:szCs w:val="21"/>
        </w:rPr>
        <w:t>基金净值表现</w:t>
      </w:r>
      <w:bookmarkEnd w:id="16"/>
      <w:bookmarkEnd w:id="17"/>
    </w:p>
    <w:p w:rsidR="00967083" w:rsidRDefault="00E4498A">
      <w:pPr>
        <w:autoSpaceDE w:val="0"/>
        <w:autoSpaceDN w:val="0"/>
        <w:adjustRightInd w:val="0"/>
        <w:spacing w:line="360" w:lineRule="auto"/>
        <w:jc w:val="left"/>
        <w:rPr>
          <w:b/>
          <w:color w:val="000000"/>
          <w:kern w:val="0"/>
          <w:szCs w:val="21"/>
        </w:rPr>
      </w:pPr>
      <w:r>
        <w:rPr>
          <w:b/>
          <w:color w:val="000000"/>
          <w:kern w:val="0"/>
          <w:szCs w:val="21"/>
        </w:rPr>
        <w:t xml:space="preserve">3.2.1 </w:t>
      </w:r>
      <w:r>
        <w:rPr>
          <w:b/>
          <w:color w:val="000000"/>
          <w:kern w:val="0"/>
          <w:szCs w:val="21"/>
        </w:rPr>
        <w:t>基金份额净值增长率及其与同期业绩比较基准收益率的比较</w:t>
      </w:r>
    </w:p>
    <w:tbl>
      <w:tblPr>
        <w:tblW w:type="dxa" w:w="9720"/>
        <w:tblInd w:type="dxa" w:w="-252"/>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620"/>
        <w:gridCol w:w="1350"/>
        <w:gridCol w:w="1350"/>
        <w:gridCol w:w="1350"/>
        <w:gridCol w:w="1350"/>
        <w:gridCol w:w="1350"/>
        <w:gridCol w:w="1350"/>
      </w:tblGrid>
      <w:tr w:rsidR="00967083">
        <w:tc>
          <w:tcPr>
            <w:tcW w:type="dxa" w:w="1620"/>
            <w:vAlign w:val="center"/>
          </w:tcPr>
          <w:p w:rsidR="00967083" w:rsidRDefault="00E4498A">
            <w:pPr>
              <w:jc w:val="center"/>
              <w:rPr>
                <w:color w:val="000000"/>
                <w:szCs w:val="21"/>
              </w:rPr>
            </w:pPr>
            <w:r>
              <w:rPr>
                <w:color w:val="000000"/>
                <w:szCs w:val="21"/>
              </w:rPr>
              <w:t>阶段</w:t>
            </w:r>
            <w:r>
              <w:rPr>
                <w:color w:val="000000"/>
                <w:szCs w:val="21"/>
              </w:rPr>
              <w:t/>
            </w:r>
          </w:p>
        </w:tc>
        <w:tc>
          <w:tcPr>
            <w:tcW w:type="dxa" w:w="1350"/>
            <w:vAlign w:val="center"/>
          </w:tcPr>
          <w:p w:rsidR="00967083" w:rsidRDefault="00E4498A">
            <w:pPr>
              <w:jc w:val="center"/>
              <w:rPr>
                <w:color w:val="000000"/>
                <w:szCs w:val="21"/>
              </w:rPr>
            </w:pPr>
            <w:r>
              <w:rPr>
                <w:color w:val="000000"/>
                <w:szCs w:val="21"/>
              </w:rPr>
              <w:t>份额净值增长率</w:t>
            </w:r>
            <w:r>
              <w:rPr>
                <w:rFonts w:ascii="宋体" w:cs="宋体" w:hAnsi="宋体" w:hint="eastAsia"/>
                <w:color w:val="000000"/>
                <w:szCs w:val="21"/>
              </w:rPr>
              <w:t>①</w:t>
            </w:r>
          </w:p>
        </w:tc>
        <w:tc>
          <w:tcPr>
            <w:tcW w:type="dxa" w:w="1350"/>
            <w:vAlign w:val="center"/>
          </w:tcPr>
          <w:p w:rsidR="00967083" w:rsidRDefault="00E4498A">
            <w:pPr>
              <w:jc w:val="center"/>
              <w:rPr>
                <w:color w:val="000000"/>
                <w:szCs w:val="21"/>
              </w:rPr>
            </w:pPr>
            <w:r>
              <w:rPr>
                <w:color w:val="000000"/>
                <w:szCs w:val="21"/>
              </w:rPr>
              <w:t>份额净值增长率标准差</w:t>
            </w:r>
            <w:r>
              <w:rPr>
                <w:rFonts w:ascii="宋体" w:cs="宋体" w:hAnsi="宋体" w:hint="eastAsia"/>
                <w:color w:val="000000"/>
                <w:szCs w:val="21"/>
              </w:rPr>
              <w:t>②</w:t>
            </w:r>
          </w:p>
        </w:tc>
        <w:tc>
          <w:tcPr>
            <w:tcW w:type="dxa" w:w="1350"/>
            <w:vAlign w:val="center"/>
          </w:tcPr>
          <w:p w:rsidR="00967083" w:rsidRDefault="00E4498A">
            <w:pPr>
              <w:jc w:val="center"/>
              <w:rPr>
                <w:color w:val="000000"/>
                <w:szCs w:val="21"/>
              </w:rPr>
            </w:pPr>
            <w:r>
              <w:rPr>
                <w:color w:val="000000"/>
                <w:szCs w:val="21"/>
              </w:rPr>
              <w:t>业绩比较基准收益率</w:t>
            </w:r>
            <w:r>
              <w:rPr>
                <w:rFonts w:ascii="宋体" w:cs="宋体" w:hAnsi="宋体" w:hint="eastAsia"/>
                <w:color w:val="000000"/>
                <w:szCs w:val="21"/>
              </w:rPr>
              <w:t>③</w:t>
            </w:r>
          </w:p>
        </w:tc>
        <w:tc>
          <w:tcPr>
            <w:tcW w:type="dxa" w:w="1350"/>
            <w:vAlign w:val="center"/>
          </w:tcPr>
          <w:p w:rsidR="00967083" w:rsidRDefault="00E4498A">
            <w:pPr>
              <w:jc w:val="center"/>
              <w:rPr>
                <w:color w:val="000000"/>
                <w:szCs w:val="21"/>
              </w:rPr>
            </w:pPr>
            <w:r>
              <w:rPr>
                <w:color w:val="000000"/>
                <w:szCs w:val="21"/>
              </w:rPr>
              <w:t>业绩比较基准收益率标准差</w:t>
            </w:r>
            <w:r>
              <w:rPr>
                <w:rFonts w:ascii="宋体" w:cs="宋体" w:hAnsi="宋体" w:hint="eastAsia"/>
                <w:color w:val="000000"/>
                <w:szCs w:val="21"/>
              </w:rPr>
              <w:t>④</w:t>
            </w:r>
          </w:p>
        </w:tc>
        <w:tc>
          <w:tcPr>
            <w:tcW w:type="dxa" w:w="1350"/>
            <w:vAlign w:val="center"/>
          </w:tcPr>
          <w:p w:rsidR="00967083" w:rsidRDefault="00E4498A">
            <w:pPr>
              <w:jc w:val="center"/>
              <w:rPr>
                <w:color w:val="000000"/>
                <w:szCs w:val="21"/>
              </w:rPr>
            </w:pPr>
            <w:r>
              <w:rPr>
                <w:rFonts w:ascii="宋体" w:cs="宋体" w:hAnsi="宋体" w:hint="eastAsia"/>
                <w:color w:val="000000"/>
                <w:szCs w:val="21"/>
              </w:rPr>
              <w:t>①</w:t>
            </w:r>
            <w:r>
              <w:rPr>
                <w:color w:val="000000"/>
                <w:szCs w:val="21"/>
              </w:rPr>
              <w:t>－</w:t>
            </w:r>
            <w:r>
              <w:rPr>
                <w:rFonts w:ascii="宋体" w:cs="宋体" w:hAnsi="宋体" w:hint="eastAsia"/>
                <w:color w:val="000000"/>
                <w:szCs w:val="21"/>
              </w:rPr>
              <w:t>③</w:t>
            </w:r>
          </w:p>
        </w:tc>
        <w:tc>
          <w:tcPr>
            <w:tcW w:type="dxa" w:w="1350"/>
            <w:vAlign w:val="center"/>
          </w:tcPr>
          <w:p w:rsidR="00967083" w:rsidRDefault="00E4498A">
            <w:pPr>
              <w:jc w:val="center"/>
              <w:rPr>
                <w:color w:val="000000"/>
                <w:szCs w:val="21"/>
              </w:rPr>
            </w:pPr>
            <w:r>
              <w:rPr>
                <w:rFonts w:ascii="宋体" w:cs="宋体" w:hAnsi="宋体" w:hint="eastAsia"/>
                <w:color w:val="000000"/>
                <w:szCs w:val="21"/>
              </w:rPr>
              <w:t>②</w:t>
            </w:r>
            <w:r>
              <w:rPr>
                <w:color w:val="000000"/>
                <w:szCs w:val="21"/>
              </w:rPr>
              <w:t>－</w:t>
            </w:r>
            <w:r>
              <w:rPr>
                <w:rFonts w:ascii="宋体" w:cs="宋体" w:hAnsi="宋体" w:hint="eastAsia"/>
                <w:color w:val="000000"/>
                <w:szCs w:val="21"/>
              </w:rPr>
              <w:t>④</w:t>
            </w:r>
          </w:p>
        </w:tc>
      </w:tr>
      <w:tr>
        <w:tc>
          <w:tcPr>
            <w:vAlign w:val="center"/>
          </w:tcPr>
          <w:p>
            <w:pPr>
              <w:jc w:val="left"/>
            </w:pPr>
            <w:r>
              <w:rPr>
                <w:color w:val="000000"/>
                <w:szCs w:val="21"/>
              </w:rPr>
              <w:t>过去一个月</w:t>
            </w:r>
          </w:p>
        </w:tc>
        <w:tc>
          <w:tcPr>
            <w:vAlign w:val="center"/>
          </w:tcPr>
          <w:p>
            <w:pPr>
              <w:jc w:val="center"/>
            </w:pPr>
            <w:r>
              <w:rPr>
                <w:color w:val="000000"/>
                <w:szCs w:val="21"/>
              </w:rPr>
              <w:t>0.42%</w:t>
            </w:r>
          </w:p>
        </w:tc>
        <w:tc>
          <w:tcPr>
            <w:vAlign w:val="center"/>
          </w:tcPr>
          <w:p>
            <w:pPr>
              <w:jc w:val="center"/>
            </w:pPr>
            <w:r>
              <w:rPr>
                <w:color w:val="000000"/>
                <w:szCs w:val="21"/>
              </w:rPr>
              <w:t>0.02%</w:t>
            </w:r>
          </w:p>
        </w:tc>
        <w:tc>
          <w:tcPr>
            <w:vAlign w:val="center"/>
          </w:tcPr>
          <w:p>
            <w:pPr>
              <w:jc w:val="center"/>
            </w:pPr>
            <w:r>
              <w:rPr>
                <w:color w:val="000000"/>
                <w:szCs w:val="21"/>
              </w:rPr>
              <w:t>0.49%</w:t>
            </w:r>
          </w:p>
        </w:tc>
        <w:tc>
          <w:tcPr>
            <w:vAlign w:val="center"/>
          </w:tcPr>
          <w:p>
            <w:pPr>
              <w:jc w:val="center"/>
            </w:pPr>
            <w:r>
              <w:rPr>
                <w:color w:val="000000"/>
                <w:szCs w:val="21"/>
              </w:rPr>
              <w:t>0.03%</w:t>
            </w:r>
          </w:p>
        </w:tc>
        <w:tc>
          <w:tcPr>
            <w:vAlign w:val="center"/>
          </w:tcPr>
          <w:p>
            <w:pPr>
              <w:jc w:val="center"/>
            </w:pPr>
            <w:r>
              <w:rPr>
                <w:color w:val="000000"/>
                <w:szCs w:val="21"/>
              </w:rPr>
              <w:t>-0.07%</w:t>
            </w:r>
          </w:p>
        </w:tc>
        <w:tc>
          <w:tcPr>
            <w:vAlign w:val="center"/>
          </w:tcPr>
          <w:p>
            <w:pPr>
              <w:jc w:val="center"/>
            </w:pPr>
            <w:r>
              <w:rPr>
                <w:color w:val="000000"/>
                <w:szCs w:val="21"/>
              </w:rPr>
              <w:t>-0.01%</w:t>
            </w:r>
          </w:p>
        </w:tc>
      </w:tr>
      <w:tr>
        <w:tc>
          <w:tcPr>
            <w:vAlign w:val="center"/>
          </w:tcPr>
          <w:p>
            <w:pPr>
              <w:jc w:val="left"/>
            </w:pPr>
            <w:r>
              <w:rPr>
                <w:color w:val="000000"/>
                <w:szCs w:val="21"/>
              </w:rPr>
              <w:t>过去三个月</w:t>
            </w:r>
          </w:p>
        </w:tc>
        <w:tc>
          <w:tcPr>
            <w:vAlign w:val="center"/>
          </w:tcPr>
          <w:p>
            <w:pPr>
              <w:jc w:val="center"/>
            </w:pPr>
            <w:r>
              <w:rPr>
                <w:color w:val="000000"/>
                <w:szCs w:val="21"/>
              </w:rPr>
              <w:t>0.55%</w:t>
            </w:r>
          </w:p>
        </w:tc>
        <w:tc>
          <w:tcPr>
            <w:vAlign w:val="center"/>
          </w:tcPr>
          <w:p>
            <w:pPr>
              <w:jc w:val="center"/>
            </w:pPr>
            <w:r>
              <w:rPr>
                <w:color w:val="000000"/>
                <w:szCs w:val="21"/>
              </w:rPr>
              <w:t>0.04%</w:t>
            </w:r>
          </w:p>
        </w:tc>
        <w:tc>
          <w:tcPr>
            <w:vAlign w:val="center"/>
          </w:tcPr>
          <w:p>
            <w:pPr>
              <w:jc w:val="center"/>
            </w:pPr>
            <w:r>
              <w:rPr>
                <w:color w:val="000000"/>
                <w:szCs w:val="21"/>
              </w:rPr>
              <w:t>0.62%</w:t>
            </w:r>
          </w:p>
        </w:tc>
        <w:tc>
          <w:tcPr>
            <w:vAlign w:val="center"/>
          </w:tcPr>
          <w:p>
            <w:pPr>
              <w:jc w:val="center"/>
            </w:pPr>
            <w:r>
              <w:rPr>
                <w:color w:val="000000"/>
                <w:szCs w:val="21"/>
              </w:rPr>
              <w:t>0.05%</w:t>
            </w:r>
          </w:p>
        </w:tc>
        <w:tc>
          <w:tcPr>
            <w:vAlign w:val="center"/>
          </w:tcPr>
          <w:p>
            <w:pPr>
              <w:jc w:val="center"/>
            </w:pPr>
            <w:r>
              <w:rPr>
                <w:color w:val="000000"/>
                <w:szCs w:val="21"/>
              </w:rPr>
              <w:t>-0.07%</w:t>
            </w:r>
          </w:p>
        </w:tc>
        <w:tc>
          <w:tcPr>
            <w:vAlign w:val="center"/>
          </w:tcPr>
          <w:p>
            <w:pPr>
              <w:jc w:val="center"/>
            </w:pPr>
            <w:r>
              <w:rPr>
                <w:color w:val="000000"/>
                <w:szCs w:val="21"/>
              </w:rPr>
              <w:t>-0.01%</w:t>
            </w:r>
          </w:p>
        </w:tc>
      </w:tr>
      <w:tr>
        <w:tc>
          <w:tcPr>
            <w:vAlign w:val="center"/>
          </w:tcPr>
          <w:p>
            <w:pPr>
              <w:jc w:val="left"/>
            </w:pPr>
            <w:r>
              <w:rPr>
                <w:color w:val="000000"/>
                <w:szCs w:val="21"/>
              </w:rPr>
              <w:t>过去六个月</w:t>
            </w:r>
          </w:p>
        </w:tc>
        <w:tc>
          <w:tcPr>
            <w:vAlign w:val="center"/>
          </w:tcPr>
          <w:p>
            <w:pPr>
              <w:jc w:val="center"/>
            </w:pPr>
            <w:r>
              <w:rPr>
                <w:color w:val="000000"/>
                <w:szCs w:val="21"/>
              </w:rPr>
              <w:t>1.51%</w:t>
            </w:r>
          </w:p>
        </w:tc>
        <w:tc>
          <w:tcPr>
            <w:vAlign w:val="center"/>
          </w:tcPr>
          <w:p>
            <w:pPr>
              <w:jc w:val="center"/>
            </w:pPr>
            <w:r>
              <w:rPr>
                <w:color w:val="000000"/>
                <w:szCs w:val="21"/>
              </w:rPr>
              <w:t>0.04%</w:t>
            </w:r>
          </w:p>
        </w:tc>
        <w:tc>
          <w:tcPr>
            <w:vAlign w:val="center"/>
          </w:tcPr>
          <w:p>
            <w:pPr>
              <w:jc w:val="center"/>
            </w:pPr>
            <w:r>
              <w:rPr>
                <w:color w:val="000000"/>
                <w:szCs w:val="21"/>
              </w:rPr>
              <w:t>1.71%</w:t>
            </w:r>
          </w:p>
        </w:tc>
        <w:tc>
          <w:tcPr>
            <w:vAlign w:val="center"/>
          </w:tcPr>
          <w:p>
            <w:pPr>
              <w:jc w:val="center"/>
            </w:pPr>
            <w:r>
              <w:rPr>
                <w:color w:val="000000"/>
                <w:szCs w:val="21"/>
              </w:rPr>
              <w:t>0.05%</w:t>
            </w:r>
          </w:p>
        </w:tc>
        <w:tc>
          <w:tcPr>
            <w:vAlign w:val="center"/>
          </w:tcPr>
          <w:p>
            <w:pPr>
              <w:jc w:val="center"/>
            </w:pPr>
            <w:r>
              <w:rPr>
                <w:color w:val="000000"/>
                <w:szCs w:val="21"/>
              </w:rPr>
              <w:t>-0.20%</w:t>
            </w:r>
          </w:p>
        </w:tc>
        <w:tc>
          <w:tcPr>
            <w:vAlign w:val="center"/>
          </w:tcPr>
          <w:p>
            <w:pPr>
              <w:jc w:val="center"/>
            </w:pPr>
            <w:r>
              <w:rPr>
                <w:color w:val="000000"/>
                <w:szCs w:val="21"/>
              </w:rPr>
              <w:t>-0.01%</w:t>
            </w:r>
          </w:p>
        </w:tc>
      </w:tr>
      <w:tr>
        <w:tc>
          <w:tcPr>
            <w:vAlign w:val="center"/>
          </w:tcPr>
          <w:p>
            <w:pPr>
              <w:jc w:val="left"/>
            </w:pPr>
            <w:r>
              <w:rPr>
                <w:color w:val="000000"/>
                <w:szCs w:val="21"/>
              </w:rPr>
              <w:t>自基金合同生效起至今</w:t>
            </w:r>
          </w:p>
        </w:tc>
        <w:tc>
          <w:tcPr>
            <w:vAlign w:val="center"/>
          </w:tcPr>
          <w:p>
            <w:pPr>
              <w:jc w:val="center"/>
            </w:pPr>
            <w:r>
              <w:rPr>
                <w:color w:val="000000"/>
                <w:szCs w:val="21"/>
              </w:rPr>
              <w:t>1.98%</w:t>
            </w:r>
          </w:p>
        </w:tc>
        <w:tc>
          <w:tcPr>
            <w:vAlign w:val="center"/>
          </w:tcPr>
          <w:p>
            <w:pPr>
              <w:jc w:val="center"/>
            </w:pPr>
            <w:r>
              <w:rPr>
                <w:color w:val="000000"/>
                <w:szCs w:val="21"/>
              </w:rPr>
              <w:t>0.04%</w:t>
            </w:r>
          </w:p>
        </w:tc>
        <w:tc>
          <w:tcPr>
            <w:vAlign w:val="center"/>
          </w:tcPr>
          <w:p>
            <w:pPr>
              <w:jc w:val="center"/>
            </w:pPr>
            <w:r>
              <w:rPr>
                <w:color w:val="000000"/>
                <w:szCs w:val="21"/>
              </w:rPr>
              <w:t>2.58%</w:t>
            </w:r>
          </w:p>
        </w:tc>
        <w:tc>
          <w:tcPr>
            <w:vAlign w:val="center"/>
          </w:tcPr>
          <w:p>
            <w:pPr>
              <w:jc w:val="center"/>
            </w:pPr>
            <w:r>
              <w:rPr>
                <w:color w:val="000000"/>
                <w:szCs w:val="21"/>
              </w:rPr>
              <w:t>0.05%</w:t>
            </w:r>
          </w:p>
        </w:tc>
        <w:tc>
          <w:tcPr>
            <w:vAlign w:val="center"/>
          </w:tcPr>
          <w:p>
            <w:pPr>
              <w:jc w:val="center"/>
            </w:pPr>
            <w:r>
              <w:rPr>
                <w:color w:val="000000"/>
                <w:szCs w:val="21"/>
              </w:rPr>
              <w:t>-0.60%</w:t>
            </w:r>
          </w:p>
        </w:tc>
        <w:tc>
          <w:tcPr>
            <w:vAlign w:val="center"/>
          </w:tcPr>
          <w:p>
            <w:pPr>
              <w:jc w:val="center"/>
            </w:pPr>
            <w:r>
              <w:rPr>
                <w:color w:val="000000"/>
                <w:szCs w:val="21"/>
              </w:rPr>
              <w:t>-0.01%</w:t>
            </w:r>
          </w:p>
        </w:tc>
      </w:tr>
    </w:tbl>
    <w:p>
      <w:pPr>
        <w:tabs>
          <w:tab w:pos="426" w:val="left"/>
        </w:tabs>
        <w:spacing w:line="360" w:lineRule="auto"/>
        <w:ind w:firstLine="420" w:firstLineChars="200"/>
        <w:jc w:val="left"/>
        <w:rPr>
          <w:rFonts w:eastAsiaTheme="minorEastAsia"/>
          <w:kern w:val="0"/>
          <w:szCs w:val="21"/>
        </w:rPr>
      </w:pPr>
      <w:r>
        <w:rPr>
          <w:rFonts w:eastAsiaTheme="minorEastAsia"/>
          <w:kern w:val="0"/>
          <w:szCs w:val="21"/>
        </w:rPr>
        <w:t>注：（1）业绩比较基准：中债综合财富(总值)指数收益率×90%+银行一年期定期存款利率（税后）×10%。</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
      </w:r>
      <w:r>
        <w:rPr>
          <w:rFonts w:eastAsiaTheme="minorEastAsia"/>
          <w:kern w:val="0"/>
          <w:szCs w:val="21"/>
        </w:rPr>
        <w:lastRenderedPageBreak/>
        <w:t>（2）业绩比较基准是根据基金合同关于资产配置比例的规定构建的。</w:t>
      </w:r>
    </w:p>
    <w:p w:rsidR="00967083" w:rsidRDefault="00967083">
      <w:pPr>
        <w:pStyle w:val="20"/>
        <w:adjustRightInd w:val="0"/>
        <w:snapToGrid w:val="0"/>
        <w:spacing w:line="288" w:lineRule="auto"/>
        <w:ind w:firstLine="0" w:firstLineChars="0"/>
        <w:rPr>
          <w:rFonts w:ascii="Times New Roman" w:hAnsi="Times New Roman"/>
          <w:color w:val="auto"/>
          <w:sz w:val="21"/>
          <w:szCs w:val="21"/>
        </w:rPr>
      </w:pPr>
    </w:p>
    <w:p w:rsidR="00967083" w:rsidRDefault="00E4498A">
      <w:pPr>
        <w:spacing w:line="360" w:lineRule="auto"/>
        <w:rPr>
          <w:b/>
          <w:kern w:val="0"/>
          <w:szCs w:val="21"/>
        </w:rPr>
      </w:pPr>
      <w:r>
        <w:rPr>
          <w:b/>
          <w:kern w:val="0"/>
          <w:szCs w:val="21"/>
        </w:rPr>
        <w:t xml:space="preserve">3.2.2 </w:t>
      </w:r>
      <w:r>
        <w:rPr>
          <w:rFonts w:asciiTheme="minorEastAsia" w:eastAsiaTheme="minorEastAsia" w:hAnsiTheme="minorEastAsia" w:hint="eastAsia"/>
          <w:b/>
          <w:bCs/>
          <w:color w:val="000000"/>
          <w:sz w:val="24"/>
        </w:rPr>
        <w:t>自基金合同生效以来</w:t>
      </w:r>
      <w:r>
        <w:rPr>
          <w:b/>
          <w:kern w:val="0"/>
          <w:szCs w:val="21"/>
        </w:rPr>
        <w:t>基金份额累计净值增长率变动及其与同期业绩比较基准收益率变动的比较</w:t>
      </w:r>
    </w:p>
    <w:p w:rsidR="00967083" w:rsidRDefault="00E4498A">
      <w:pPr>
        <w:spacing w:line="360" w:lineRule="auto"/>
        <w:ind w:firstLine="420"/>
        <w:jc w:val="center"/>
        <w:rPr>
          <w:kern w:val="0"/>
          <w:szCs w:val="21"/>
        </w:rPr>
      </w:pPr>
      <w:r>
        <w:rPr>
          <w:kern w:val="0"/>
          <w:szCs w:val="21"/>
        </w:rPr>
        <w:t>广发景润纯债债券型证券投资基金</w:t>
      </w:r>
    </w:p>
    <w:p w:rsidR="00967083" w:rsidRDefault="00E4498A">
      <w:pPr>
        <w:spacing w:line="360" w:lineRule="auto"/>
        <w:ind w:firstLine="420"/>
        <w:jc w:val="center"/>
        <w:rPr>
          <w:kern w:val="0"/>
          <w:szCs w:val="21"/>
        </w:rPr>
      </w:pPr>
      <w:r>
        <w:rPr>
          <w:kern w:val="0"/>
          <w:szCs w:val="21"/>
        </w:rPr>
        <w:t>份额累计净值增长率与业绩比较基准收益率历史走势对比图</w:t>
      </w:r>
    </w:p>
    <w:p w:rsidR="00967083" w:rsidRDefault="00E4498A">
      <w:pPr>
        <w:pStyle w:val="a8"/>
        <w:snapToGrid w:val="0"/>
        <w:spacing w:line="360" w:lineRule="auto"/>
        <w:ind w:firstLine="480"/>
        <w:jc w:val="center"/>
        <w:rPr>
          <w:rFonts w:ascii="Times New Roman" w:hAnsi="Times New Roman"/>
        </w:rPr>
      </w:pPr>
      <w:r>
        <w:rPr>
          <w:rFonts w:ascii="Times New Roman" w:hAnsi="Times New Roman"/>
        </w:rPr>
        <w:t>（</w:t>
      </w:r>
      <w:r>
        <w:rPr>
          <w:rFonts w:ascii="Times New Roman" w:hAnsi="Times New Roman"/>
        </w:rPr>
        <w:t>2018年11月22日</w:t>
      </w:r>
      <w:r>
        <w:rPr>
          <w:rFonts w:ascii="Times New Roman" w:hAnsi="Times New Roman"/>
        </w:rPr>
        <w:t>至</w:t>
      </w:r>
      <w:r>
        <w:rPr>
          <w:rFonts w:ascii="Times New Roman" w:hAnsi="Times New Roman"/>
        </w:rPr>
        <w:t>2019年6月30日</w:t>
      </w:r>
      <w:r>
        <w:rPr>
          <w:rFonts w:ascii="Times New Roman" w:hAnsi="Times New Roman"/>
        </w:rPr>
        <w:t>）</w:t>
      </w:r>
    </w:p>
    <w:p w:rsidR="00967083" w:rsidRDefault="00E4498A">
      <w:pPr>
        <w:spacing w:line="360" w:lineRule="auto"/>
        <w:jc w:val="center"/>
        <w:rPr>
          <w:color w:val="000000"/>
          <w:szCs w:val="21"/>
        </w:rPr>
      </w:pPr>
      <w:r>
        <w:rPr>
          <w:noProof/>
          <w:color w:val="000000"/>
          <w:szCs w:val="21"/>
        </w:rPr>
        <w:drawing>
          <wp:inline distB="0" distL="0" distR="0" distT="0">
            <wp:extent cx="5759450" cy="3372485"/>
            <wp:effectExtent b="0" l="0" r="0" t="0"/>
            <wp:docPr descr="C:\Users\bonnieliu\Desktop\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nieliu\Desktop\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 xml:space="preserve">注：（1）本基金合同生效日期为2018年11月22日，至披露时点本基金成立未满一年。 </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（2）本基金建仓期为基金合同生效后6个月，建仓期结束时各项资产配置比例符合本基金合同有关规定。</w:t>
      </w:r>
    </w:p>
    <w:p w:rsidR="00967083" w:rsidRDefault="00967083">
      <w:pPr>
        <w:spacing w:line="360" w:lineRule="auto"/>
        <w:rPr>
          <w:color w:val="000000"/>
          <w:szCs w:val="21"/>
        </w:rPr>
      </w:pPr>
    </w:p>
    <w:p w:rsidR="00967083" w:rsidRDefault="00967083">
      <w:pPr>
        <w:tabs>
          <w:tab w:pos="1800" w:val="left"/>
        </w:tabs>
        <w:spacing w:line="360" w:lineRule="auto"/>
        <w:rPr>
          <w:rFonts w:eastAsiaTheme="minorEastAsia"/>
          <w:color w:val="000000"/>
          <w:szCs w:val="21"/>
        </w:rPr>
      </w:pP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18" w:name="_Toc225498254"/>
      <w:bookmarkStart w:id="19" w:name="_Toc331410078"/>
      <w:r>
        <w:rPr>
          <w:b/>
          <w:bCs/>
          <w:sz w:val="21"/>
          <w:szCs w:val="21"/>
          <w:lang w:val="en-US"/>
        </w:rPr>
        <w:t xml:space="preserve">4  </w:t>
      </w:r>
      <w:r>
        <w:rPr>
          <w:b/>
          <w:bCs/>
          <w:sz w:val="21"/>
          <w:szCs w:val="21"/>
          <w:lang w:val="en-US"/>
        </w:rPr>
        <w:t>管理人报告</w:t>
      </w:r>
      <w:bookmarkEnd w:id="18"/>
      <w:bookmarkEnd w:id="19"/>
    </w:p>
    <w:p w:rsidR="00967083" w:rsidRDefault="00E4498A">
      <w:pPr>
        <w:pStyle w:val="2"/>
        <w:spacing w:after="0" w:before="0"/>
        <w:rPr>
          <w:rFonts w:ascii="Times New Roman" w:hAnsi="Times New Roman"/>
          <w:kern w:val="0"/>
          <w:sz w:val="21"/>
          <w:szCs w:val="21"/>
        </w:rPr>
      </w:pPr>
      <w:bookmarkStart w:id="20" w:name="_Toc331410079"/>
      <w:r>
        <w:rPr>
          <w:rFonts w:ascii="Times New Roman" w:hAnsi="Times New Roman"/>
          <w:kern w:val="0"/>
          <w:sz w:val="21"/>
          <w:szCs w:val="21"/>
        </w:rPr>
        <w:t xml:space="preserve">4.1 </w:t>
      </w:r>
      <w:r>
        <w:rPr>
          <w:rFonts w:ascii="Times New Roman" w:hAnsi="Times New Roman"/>
          <w:kern w:val="0"/>
          <w:sz w:val="21"/>
          <w:szCs w:val="21"/>
        </w:rPr>
        <w:t>基金管理人及基金经理情况</w:t>
      </w:r>
      <w:bookmarkEnd w:id="20"/>
    </w:p>
    <w:p w:rsidR="00967083" w:rsidRDefault="00E4498A">
      <w:pPr>
        <w:autoSpaceDE w:val="0"/>
        <w:autoSpaceDN w:val="0"/>
        <w:adjustRightInd w:val="0"/>
        <w:spacing w:line="360" w:lineRule="auto"/>
        <w:jc w:val="left"/>
        <w:rPr>
          <w:b/>
          <w:color w:val="000000"/>
          <w:kern w:val="0"/>
          <w:szCs w:val="21"/>
        </w:rPr>
      </w:pPr>
      <w:r>
        <w:rPr>
          <w:b/>
          <w:color w:val="000000"/>
          <w:kern w:val="0"/>
          <w:szCs w:val="21"/>
        </w:rPr>
        <w:t xml:space="preserve">4.1.1 </w:t>
      </w:r>
      <w:r>
        <w:rPr>
          <w:b/>
          <w:color w:val="000000"/>
          <w:kern w:val="0"/>
          <w:szCs w:val="21"/>
        </w:rPr>
        <w:t>基金管理人及其管理基金的经验</w:t>
      </w:r>
    </w:p>
    <w:p>
      <w:pPr>
        <w:spacing w:line="360" w:lineRule="auto"/>
        <w:ind w:firstLine="420" w:firstLineChars="200"/>
        <w:rPr>
          <w:color w:val="000000"/>
          <w:szCs w:val="21"/>
        </w:rPr>
      </w:pPr>
      <w:r>
        <w:rPr>
          <w:color w:val="000000"/>
          <w:szCs w:val="21"/>
        </w:rPr>
        <w:t>本基金管理人经中国证监会证监基金字[2003]91号文批准，于2003年8月5日成立，注册资本1.2688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QDII）等业务资格。</w:t>
      </w:r>
    </w:p>
    <w:p>
      <w:pPr>
        <w:spacing w:line="360" w:lineRule="auto"/>
        <w:ind w:firstLine="420" w:firstLineChars="200"/>
        <w:rPr>
          <w:color w:val="000000"/>
          <w:szCs w:val="21"/>
        </w:rPr>
      </w:pPr>
      <w:r>
        <w:rPr>
          <w:color w:val="000000"/>
          <w:szCs w:val="21"/>
        </w:rPr>
        <w:t>本基金管理人在董事会下设合规及风险管理委员会、薪酬与资格审查委员会、战略规划委员会三个专业委员会。公司下设投资决策委员会、风险控制委员会和32个部门：宏观策略部、价值投资部、策略投资部、成长投资部、专户投资部、固定收益管理总部、指数投资部、量化投资部、资产配置部、国际业务部、研究发展部、产品设计部、营销管理部、机构理财部、渠道管理总部、养老金部、战略与创新业务部、北京分公司、广州分公司、上海分公司、互联网金融部、中央交易部、基金会计部、注册登记部、信息技术部、合规稽核部、金融工程与风险管理部、规划发展部、人力资源部、财务部、综合管理部、北京办事处。此外，还出资设立了瑞元资本管理有限公司、广发国际资产管理有限公司（香港子公司），参股了证通股份有限公司。</w:t>
      </w:r>
    </w:p>
    <w:p w:rsidR="00967083" w:rsidRDefault="00E4498A">
      <w:pPr>
        <w:spacing w:line="360" w:lineRule="auto"/>
        <w:ind w:firstLine="420" w:firstLineChars="200"/>
        <w:rPr>
          <w:color w:val="000000"/>
          <w:szCs w:val="21"/>
        </w:rPr>
      </w:pPr>
      <w:r>
        <w:rPr>
          <w:color w:val="000000"/>
          <w:szCs w:val="21"/>
        </w:rPr>
        <w:t>截至2019年6月30日，本基金管理人管理一百九十只开放式基金，管理公募基金规模为4452亿元。同时，公司还管理着多个特定客户资产管理投资组合、社保基金投资组合和养老基金投资组合。</w:t>
      </w:r>
    </w:p>
    <w:p w:rsidR="00967083" w:rsidRDefault="00967083">
      <w:pPr>
        <w:spacing w:line="360" w:lineRule="auto"/>
        <w:ind w:firstLine="420" w:firstLineChars="200"/>
        <w:rPr>
          <w:color w:val="000000"/>
          <w:szCs w:val="21"/>
        </w:rPr>
      </w:pPr>
    </w:p>
    <w:p w:rsidR="00967083" w:rsidRDefault="00E4498A">
      <w:pPr>
        <w:autoSpaceDE w:val="0"/>
        <w:autoSpaceDN w:val="0"/>
        <w:adjustRightInd w:val="0"/>
        <w:spacing w:line="360" w:lineRule="auto"/>
        <w:jc w:val="left"/>
        <w:rPr>
          <w:b/>
          <w:color w:val="000000"/>
          <w:kern w:val="0"/>
          <w:szCs w:val="21"/>
        </w:rPr>
      </w:pPr>
      <w:r>
        <w:rPr>
          <w:b/>
          <w:color w:val="000000"/>
          <w:kern w:val="0"/>
          <w:szCs w:val="21"/>
        </w:rPr>
        <w:t xml:space="preserve">4.1.2 </w:t>
      </w:r>
      <w:r>
        <w:rPr>
          <w:b/>
          <w:color w:val="000000"/>
          <w:kern w:val="0"/>
          <w:szCs w:val="21"/>
        </w:rPr>
        <w:t>基金经理（或基金经理小组）及基金经理助理简介</w:t>
      </w:r>
    </w:p>
    <w:tbl>
      <w:tblPr>
        <w:tblW w:type="dxa" w:w="9540"/>
        <w:tblInd w:type="dxa" w:w="-7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090"/>
        <w:gridCol w:w="1500"/>
        <w:gridCol w:w="1190"/>
        <w:gridCol w:w="1260"/>
        <w:gridCol w:w="1236"/>
        <w:gridCol w:w="3264"/>
      </w:tblGrid>
      <w:tr w:rsidR="00967083">
        <w:trPr>
          <w:cantSplit/>
        </w:trPr>
        <w:tc>
          <w:tcPr>
            <w:tcW w:type="dxa" w:w="1090"/>
            <w:vMerge w:val="restart"/>
            <w:vAlign w:val="center"/>
          </w:tcPr>
          <w:p w:rsidR="00967083" w:rsidRDefault="00E4498A">
            <w:pPr>
              <w:jc w:val="center"/>
              <w:rPr>
                <w:color w:val="000000"/>
                <w:szCs w:val="21"/>
              </w:rPr>
            </w:pPr>
            <w:r>
              <w:rPr>
                <w:color w:val="000000"/>
                <w:szCs w:val="21"/>
              </w:rPr>
              <w:t>姓名</w:t>
            </w:r>
          </w:p>
        </w:tc>
        <w:tc>
          <w:tcPr>
            <w:tcW w:type="dxa" w:w="1500"/>
            <w:vMerge w:val="restart"/>
            <w:vAlign w:val="center"/>
          </w:tcPr>
          <w:p w:rsidR="00967083" w:rsidRDefault="00E4498A">
            <w:pPr>
              <w:jc w:val="center"/>
              <w:rPr>
                <w:color w:val="000000"/>
                <w:szCs w:val="21"/>
              </w:rPr>
            </w:pPr>
            <w:r>
              <w:rPr>
                <w:color w:val="000000"/>
                <w:szCs w:val="21"/>
              </w:rPr>
              <w:t>职务</w:t>
            </w:r>
          </w:p>
        </w:tc>
        <w:tc>
          <w:tcPr>
            <w:tcW w:type="dxa" w:w="2450"/>
            <w:gridSpan w:val="2"/>
          </w:tcPr>
          <w:p w:rsidR="00967083" w:rsidRDefault="00E4498A">
            <w:pPr>
              <w:jc w:val="center"/>
              <w:rPr>
                <w:color w:val="000000"/>
                <w:szCs w:val="21"/>
              </w:rPr>
            </w:pPr>
            <w:r>
              <w:rPr>
                <w:color w:val="000000"/>
                <w:szCs w:val="21"/>
              </w:rPr>
              <w:t>任本基金的基金经理</w:t>
            </w:r>
          </w:p>
          <w:p w:rsidR="00967083" w:rsidRDefault="00E4498A">
            <w:pPr>
              <w:jc w:val="center"/>
              <w:rPr>
                <w:color w:val="000000"/>
                <w:szCs w:val="21"/>
              </w:rPr>
            </w:pPr>
            <w:r>
              <w:rPr>
                <w:color w:val="000000"/>
                <w:szCs w:val="21"/>
              </w:rPr>
              <w:t>（助理）期限</w:t>
            </w:r>
          </w:p>
        </w:tc>
        <w:tc>
          <w:tcPr>
            <w:tcW w:type="dxa" w:w="1236"/>
            <w:vMerge w:val="restart"/>
            <w:vAlign w:val="center"/>
          </w:tcPr>
          <w:p w:rsidR="00967083" w:rsidRDefault="00E4498A">
            <w:pPr>
              <w:jc w:val="center"/>
              <w:rPr>
                <w:color w:val="000000"/>
                <w:szCs w:val="21"/>
              </w:rPr>
            </w:pPr>
            <w:r>
              <w:rPr>
                <w:color w:val="000000"/>
                <w:szCs w:val="21"/>
              </w:rPr>
              <w:t>证券从业年限</w:t>
            </w:r>
          </w:p>
        </w:tc>
        <w:tc>
          <w:tcPr>
            <w:tcW w:type="dxa" w:w="3264"/>
            <w:vMerge w:val="restart"/>
            <w:vAlign w:val="center"/>
          </w:tcPr>
          <w:p w:rsidR="00967083" w:rsidRDefault="00E4498A">
            <w:pPr>
              <w:jc w:val="center"/>
              <w:rPr>
                <w:color w:val="000000"/>
                <w:szCs w:val="21"/>
              </w:rPr>
            </w:pPr>
            <w:r>
              <w:rPr>
                <w:color w:val="000000"/>
                <w:szCs w:val="21"/>
              </w:rPr>
              <w:t>说明</w:t>
            </w:r>
          </w:p>
        </w:tc>
      </w:tr>
      <w:tr w:rsidR="00967083">
        <w:trPr>
          <w:cantSplit/>
        </w:trPr>
        <w:tc>
          <w:tcPr>
            <w:tcW w:type="dxa" w:w="1090"/>
            <w:vMerge/>
            <w:vAlign w:val="center"/>
          </w:tcPr>
          <w:p w:rsidR="00967083" w:rsidRDefault="00967083">
            <w:pPr>
              <w:widowControl/>
              <w:jc w:val="left"/>
              <w:rPr>
                <w:color w:val="000000"/>
                <w:szCs w:val="21"/>
              </w:rPr>
            </w:pPr>
          </w:p>
        </w:tc>
        <w:tc>
          <w:tcPr>
            <w:tcW w:type="dxa" w:w="1500"/>
            <w:vMerge/>
            <w:vAlign w:val="center"/>
          </w:tcPr>
          <w:p w:rsidR="00967083" w:rsidRDefault="00967083">
            <w:pPr>
              <w:widowControl/>
              <w:jc w:val="left"/>
              <w:rPr>
                <w:color w:val="000000"/>
                <w:szCs w:val="21"/>
              </w:rPr>
            </w:pPr>
          </w:p>
        </w:tc>
        <w:tc>
          <w:tcPr>
            <w:tcW w:type="dxa" w:w="1190"/>
            <w:vAlign w:val="center"/>
          </w:tcPr>
          <w:p w:rsidR="00967083" w:rsidRDefault="00E4498A">
            <w:pPr>
              <w:jc w:val="center"/>
              <w:rPr>
                <w:color w:val="000000"/>
                <w:szCs w:val="21"/>
              </w:rPr>
            </w:pPr>
            <w:r>
              <w:rPr>
                <w:color w:val="000000"/>
                <w:szCs w:val="21"/>
              </w:rPr>
              <w:t>任职日期</w:t>
            </w:r>
          </w:p>
        </w:tc>
        <w:tc>
          <w:tcPr>
            <w:tcW w:type="dxa" w:w="1260"/>
            <w:vAlign w:val="center"/>
          </w:tcPr>
          <w:p w:rsidR="00967083" w:rsidRDefault="00E4498A">
            <w:pPr>
              <w:jc w:val="center"/>
              <w:rPr>
                <w:color w:val="000000"/>
                <w:szCs w:val="21"/>
              </w:rPr>
            </w:pPr>
            <w:r>
              <w:rPr>
                <w:color w:val="000000"/>
                <w:szCs w:val="21"/>
              </w:rPr>
              <w:t>离任日期</w:t>
            </w:r>
          </w:p>
        </w:tc>
        <w:tc>
          <w:tcPr>
            <w:tcW w:type="dxa" w:w="1236"/>
            <w:vMerge/>
            <w:vAlign w:val="center"/>
          </w:tcPr>
          <w:p w:rsidR="00967083" w:rsidRDefault="00967083">
            <w:pPr>
              <w:widowControl/>
              <w:jc w:val="left"/>
              <w:rPr>
                <w:color w:val="000000"/>
                <w:szCs w:val="21"/>
              </w:rPr>
            </w:pPr>
          </w:p>
        </w:tc>
        <w:tc>
          <w:tcPr>
            <w:tcW w:type="dxa" w:w="3264"/>
            <w:vMerge/>
            <w:vAlign w:val="center"/>
          </w:tcPr>
          <w:p w:rsidR="00967083" w:rsidRDefault="00967083">
            <w:pPr>
              <w:widowControl/>
              <w:jc w:val="left"/>
              <w:rPr>
                <w:color w:val="000000"/>
                <w:szCs w:val="21"/>
              </w:rPr>
            </w:pPr>
          </w:p>
        </w:tc>
      </w:tr>
      <w:tr>
        <w:tc>
          <w:tcPr>
            <w:vAlign w:val="center"/>
          </w:tcPr>
          <w:p>
            <w:pPr>
              <w:jc w:val="center"/>
            </w:pPr>
            <w:r>
              <w:rPr>
                <w:color w:val="000000"/>
                <w:szCs w:val="21"/>
              </w:rPr>
              <w:t>谢军</w:t>
            </w:r>
          </w:p>
        </w:tc>
        <w:tc>
          <w:tcPr>
            <w:vAlign w:val="center"/>
          </w:tcPr>
          <w:p>
            <w:pPr>
              <w:jc w:val="center"/>
            </w:pPr>
            <w:r>
              <w:rPr>
                <w:color w:val="000000"/>
                <w:szCs w:val="21"/>
              </w:rPr>
              <w:t>本基金的基金经理；广发增强债券型证券投资基金的基金经理；广发聚源债券型证券投资基金(LOF)的基金经理；广发安享灵活配置混合型证券投资基金的基金经理；广发安悦回报灵活配置混合型证券投资基金的基金经理；广发鑫源灵活配置混合型证券投资基金的基金经理；广发集瑞债券型证券投资基金的基金经理；广发景华纯债债券型证券投资基金的基金经理；广发汇瑞3个月定期开放债券型发起式证券投资基金的基金经理；广发景源纯债债券型证券投资基金的基金经理；广发景祥纯债债券型证券投资基金的基金经理；广发理财年年红债券型证券投资基金的基金经理；广发聚安混合型证券投资基金的基金经理；广发聚宝混合型证券投资基金的基金经理；广发聚盛灵活配置混合型证券投资基金的基金经理；广发趋势优选灵活配置混合型证券投资基金的基金经理；广发鑫和灵活配置混合型证券投资基金的基金经理；广发集富纯债债券型证券投资基金的基金经理；广发汇兴3个月定期开放债券型发起式证券投资基金的基金经理；广发景智纯债债券型证券投资基金的基金经理；广发汇立定期开放债券型发起式证券投资基金的基金经理；广发集裕债券型证券投资基金的基金经理；广发鑫裕灵活配置混合型证券投资基金的基金经理；广发汇承定期开放债券型发起式证券投资基金的基金经理；广发汇宏6个月定期开放债券型发起式证券投资基金的基金经理；广发汇康定期开放债券型发起式证券投资基金的基金经理；债券投资部总经理</w:t>
            </w:r>
          </w:p>
        </w:tc>
        <w:tc>
          <w:tcPr>
            <w:vAlign w:val="center"/>
          </w:tcPr>
          <w:p>
            <w:pPr>
              <w:jc w:val="center"/>
            </w:pPr>
            <w:r>
              <w:rPr>
                <w:color w:val="000000"/>
                <w:szCs w:val="21"/>
              </w:rPr>
              <w:t>2018-11-22</w:t>
            </w:r>
          </w:p>
        </w:tc>
        <w:tc>
          <w:tcPr>
            <w:vAlign w:val="center"/>
          </w:tcPr>
          <w:p>
            <w:pPr>
              <w:jc w:val="center"/>
            </w:pPr>
            <w:r>
              <w:rPr>
                <w:color w:val="000000"/>
                <w:szCs w:val="21"/>
              </w:rPr>
              <w:t>-</w:t>
            </w:r>
          </w:p>
        </w:tc>
        <w:tc>
          <w:tcPr>
            <w:vAlign w:val="center"/>
          </w:tcPr>
          <w:p>
            <w:pPr>
              <w:jc w:val="center"/>
            </w:pPr>
            <w:r>
              <w:rPr>
                <w:color w:val="000000"/>
                <w:szCs w:val="21"/>
              </w:rPr>
              <w:t>16年</w:t>
            </w:r>
          </w:p>
        </w:tc>
        <w:tc>
          <w:tcPr>
            <w:vAlign w:val="center"/>
          </w:tcPr>
          <w:p>
            <w:pPr>
              <w:jc w:val="both"/>
            </w:pPr>
            <w:r>
              <w:rPr>
                <w:color w:val="000000"/>
                <w:szCs w:val="21"/>
              </w:rPr>
              <w:t>谢军先生，金融学硕士，CFA，持有中国证券投资基金业从业证书。曾任广发基金管理有限公司固定收益部研究员、投资经理、固定收益部总经理助理、固定收益部副总经理、固定收益部总经理、广发货币市场基金基金经理(自2006年9月12日至2010年4月29日)、广发聚祥保本混合型证券投资基金基金经理(自2011年3月15日至2014年3月20日)、广发聚源定期开放债券型证券投资基金基金经理(自2013年5月8日至2014年8月17日)、广发鑫富灵活配置混合型证券投资基金基金经理(自2017年1月10日至2018年1月6日)、广发汇瑞一年定期开放债券型证券投资基金基金经理(自2016年12月2日至2018年6月12日)、广发服务业精选灵活配置混合型证券投资基金基金经理(自2016年11月9日至2018年10月9日)、广发安泽回报纯债债券型证券投资基金基金经理(自2017年1月10日至2018年10月29日)、广发鑫利灵活配置混合型证券投资基金基金经理(自2016年11月18日至2018年11月9日)、广发稳安保本混合型证券投资基金基金经理(自2017年10月31日至2019年2月14日)、广发汇吉3个月定期开放债券型发起式证券投资基金基金经理(自2018年3月2日至2019年4月10日)、广发汇元纯债定期开放债券型发起式证券投资基金基金经理(自2018年3月30日至2019年4月10日)、广发稳安灵活配置混合型证券投资基金基金经理(自2019年2月15日至2019年4月10日)、广发安泽短债债券型证券投资基金基金经理(自2018年10月30日至2019年4月10日)。</w:t>
            </w:r>
          </w:p>
        </w:tc>
      </w:tr>
      <w:tr>
        <w:tc>
          <w:tcPr>
            <w:vAlign w:val="center"/>
          </w:tcPr>
          <w:p>
            <w:pPr>
              <w:jc w:val="center"/>
            </w:pPr>
            <w:r>
              <w:rPr>
                <w:color w:val="000000"/>
                <w:szCs w:val="21"/>
              </w:rPr>
              <w:t>李伟</w:t>
            </w:r>
          </w:p>
        </w:tc>
        <w:tc>
          <w:tcPr>
            <w:vAlign w:val="center"/>
          </w:tcPr>
          <w:p>
            <w:pPr>
              <w:jc w:val="center"/>
            </w:pPr>
            <w:r>
              <w:rPr>
                <w:color w:val="000000"/>
                <w:szCs w:val="21"/>
              </w:rPr>
              <w:t>本基金的基金经理；广发上证10年期国债交易型开放式指数证券投资基金的基金经理；广发中债1-3年农发行债券指数证券投资基金的基金经理；广发汇瑞3个月定期开放债券型发起式证券投资基金的基金经理；广发景智纯债债券型证券投资基金的基金经理；广发中债1-3年国开行债券指数证券投资基金的基金经理；广发汇承定期开放债券型发起式证券投资基金的基金经理</w:t>
            </w:r>
          </w:p>
        </w:tc>
        <w:tc>
          <w:tcPr>
            <w:vAlign w:val="center"/>
          </w:tcPr>
          <w:p>
            <w:pPr>
              <w:jc w:val="center"/>
            </w:pPr>
            <w:r>
              <w:rPr>
                <w:color w:val="000000"/>
                <w:szCs w:val="21"/>
              </w:rPr>
              <w:t>2018-12-05</w:t>
            </w:r>
          </w:p>
        </w:tc>
        <w:tc>
          <w:tcPr>
            <w:vAlign w:val="center"/>
          </w:tcPr>
          <w:p>
            <w:pPr>
              <w:jc w:val="center"/>
            </w:pPr>
            <w:r>
              <w:rPr>
                <w:color w:val="000000"/>
                <w:szCs w:val="21"/>
              </w:rPr>
              <w:t>-</w:t>
            </w:r>
          </w:p>
        </w:tc>
        <w:tc>
          <w:tcPr>
            <w:vAlign w:val="center"/>
          </w:tcPr>
          <w:p>
            <w:pPr>
              <w:jc w:val="center"/>
            </w:pPr>
            <w:r>
              <w:rPr>
                <w:color w:val="000000"/>
                <w:szCs w:val="21"/>
              </w:rPr>
              <w:t>6年</w:t>
            </w:r>
          </w:p>
        </w:tc>
        <w:tc>
          <w:tcPr>
            <w:vAlign w:val="center"/>
          </w:tcPr>
          <w:p>
            <w:pPr>
              <w:jc w:val="both"/>
            </w:pPr>
            <w:r>
              <w:rPr>
                <w:color w:val="000000"/>
                <w:szCs w:val="21"/>
              </w:rPr>
              <w:t>李伟先生，经济学硕士，FRM，持有中国证券投资基金业从业证书。曾任广发基金管理有限公司固定收益部债券交易员、固定收益研究部债券研究员。</w:t>
            </w:r>
          </w:p>
        </w:tc>
      </w:tr>
    </w:tbl>
    <w:p>
      <w:pPr>
        <w:tabs>
          <w:tab w:pos="426" w:val="left"/>
        </w:tabs>
        <w:spacing w:line="360" w:lineRule="auto"/>
        <w:ind w:firstLine="420" w:firstLineChars="200"/>
        <w:jc w:val="left"/>
        <w:rPr>
          <w:rFonts w:eastAsiaTheme="minorEastAsia"/>
          <w:kern w:val="0"/>
          <w:szCs w:val="21"/>
        </w:rPr>
      </w:pPr>
      <w:r>
        <w:rPr>
          <w:rFonts w:eastAsiaTheme="minorEastAsia"/>
          <w:kern w:val="0"/>
          <w:szCs w:val="21"/>
        </w:rPr>
        <w:t>注：1.“任职日期”和“离职日期”指公司公告聘任或解聘日期。</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2.证券从业的含义遵从行业协会《证券业从业人员资格管理办法》的相关规定。</w:t>
      </w:r>
    </w:p>
    <w:p w:rsidR="00967083" w:rsidRDefault="00967083">
      <w:pPr>
        <w:spacing w:line="288" w:lineRule="auto"/>
        <w:ind w:firstLine="420" w:firstLineChars="200"/>
        <w:rPr>
          <w:color w:val="000000"/>
          <w:szCs w:val="21"/>
        </w:rPr>
      </w:pPr>
    </w:p>
    <w:p w:rsidR="00967083" w:rsidRDefault="00E4498A">
      <w:pPr>
        <w:pStyle w:val="2"/>
        <w:spacing w:after="0" w:before="0"/>
        <w:rPr>
          <w:rFonts w:ascii="Times New Roman" w:hAnsi="Times New Roman"/>
          <w:kern w:val="0"/>
          <w:sz w:val="21"/>
          <w:szCs w:val="21"/>
        </w:rPr>
      </w:pPr>
      <w:bookmarkStart w:id="21" w:name="_Toc331410080"/>
      <w:bookmarkStart w:id="22" w:name="_Toc225498256"/>
      <w:r>
        <w:rPr>
          <w:rFonts w:ascii="Times New Roman" w:hAnsi="Times New Roman"/>
          <w:kern w:val="0"/>
          <w:sz w:val="21"/>
          <w:szCs w:val="21"/>
        </w:rPr>
        <w:t xml:space="preserve">4.2 </w:t>
      </w:r>
      <w:r>
        <w:rPr>
          <w:rFonts w:ascii="Times New Roman" w:hAnsi="Times New Roman"/>
          <w:kern w:val="0"/>
          <w:sz w:val="21"/>
          <w:szCs w:val="21"/>
        </w:rPr>
        <w:t>管理人对报告期内本基金运作遵规守信情况的说明</w:t>
      </w:r>
      <w:bookmarkEnd w:id="21"/>
      <w:bookmarkEnd w:id="22"/>
    </w:p>
    <w:p w:rsidR="00967083" w:rsidRDefault="00E4498A">
      <w:pPr>
        <w:spacing w:line="360" w:lineRule="auto"/>
        <w:ind w:firstLine="420" w:firstLineChars="200"/>
        <w:rPr>
          <w:color w:val="000000"/>
          <w:szCs w:val="21"/>
        </w:rPr>
      </w:pPr>
      <w:r>
        <w:rPr>
          <w:color w:val="000000"/>
          <w:szCs w:val="21"/>
        </w:rPr>
        <w:t>本报告期内，本基金管理人严格遵守《中华人民共和国证券投资基金法》等有关法律法规及基金合同、基金招募说明书等有关基金法律文件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67083" w:rsidRDefault="00967083">
      <w:pPr>
        <w:spacing w:line="360" w:lineRule="auto"/>
        <w:ind w:firstLine="420" w:firstLineChars="200"/>
        <w:rPr>
          <w:color w:val="000000"/>
          <w:kern w:val="0"/>
          <w:szCs w:val="21"/>
        </w:rPr>
      </w:pPr>
    </w:p>
    <w:p w:rsidR="00967083" w:rsidRDefault="00E4498A">
      <w:pPr>
        <w:pStyle w:val="2"/>
        <w:spacing w:after="0" w:before="0"/>
        <w:rPr>
          <w:rFonts w:ascii="Times New Roman" w:hAnsi="Times New Roman"/>
          <w:kern w:val="0"/>
          <w:sz w:val="21"/>
          <w:szCs w:val="21"/>
        </w:rPr>
      </w:pPr>
      <w:bookmarkStart w:id="23" w:name="_Toc331410081"/>
      <w:bookmarkStart w:id="24" w:name="_Toc225498257"/>
      <w:r>
        <w:rPr>
          <w:rFonts w:ascii="Times New Roman" w:hAnsi="Times New Roman"/>
          <w:kern w:val="0"/>
          <w:sz w:val="21"/>
          <w:szCs w:val="21"/>
        </w:rPr>
        <w:t xml:space="preserve">4.3 </w:t>
      </w:r>
      <w:r>
        <w:rPr>
          <w:rFonts w:ascii="Times New Roman" w:hAnsi="Times New Roman"/>
          <w:kern w:val="0"/>
          <w:sz w:val="21"/>
          <w:szCs w:val="21"/>
        </w:rPr>
        <w:t>管理人对报告期内公平交易情况的专项说明</w:t>
      </w:r>
      <w:bookmarkEnd w:id="23"/>
      <w:bookmarkEnd w:id="24"/>
    </w:p>
    <w:p w:rsidR="00967083" w:rsidRDefault="00E4498A">
      <w:pPr>
        <w:autoSpaceDE w:val="0"/>
        <w:autoSpaceDN w:val="0"/>
        <w:adjustRightInd w:val="0"/>
        <w:spacing w:line="360" w:lineRule="auto"/>
        <w:jc w:val="left"/>
        <w:rPr>
          <w:b/>
          <w:color w:val="000000"/>
          <w:kern w:val="0"/>
          <w:szCs w:val="21"/>
        </w:rPr>
      </w:pPr>
      <w:r>
        <w:rPr>
          <w:b/>
          <w:color w:val="000000"/>
          <w:kern w:val="0"/>
          <w:szCs w:val="21"/>
        </w:rPr>
        <w:t xml:space="preserve">4.3.1 </w:t>
      </w:r>
      <w:r>
        <w:rPr>
          <w:b/>
          <w:color w:val="000000"/>
          <w:kern w:val="0"/>
          <w:szCs w:val="21"/>
        </w:rPr>
        <w:t>公平交易制度的执行情况</w:t>
      </w:r>
    </w:p>
    <w:p w:rsidR="00967083" w:rsidRDefault="00E4498A">
      <w:pPr>
        <w:spacing w:line="360" w:lineRule="auto"/>
        <w:ind w:firstLine="420" w:firstLineChars="200"/>
        <w:rPr>
          <w:color w:val="000000"/>
          <w:szCs w:val="21"/>
        </w:rPr>
      </w:pPr>
      <w:r>
        <w:rPr>
          <w:color w:val="000000"/>
          <w:szCs w:val="21"/>
        </w:rPr>
        <w:t>本报告期内，上述公平交易制度总体执行情况良好。通过对本年度该组合与公司其余各组合的同日、3日内和5日内的同向交易价差进行专项分析，未发现该组合与其他组合在不同的时间窗口下同向交易存在足够的样本量且差价率均值显著不趋于0的情况，表明报告期内该组合未发生可能导致不公平交易和利益输送的异常情况。</w:t>
      </w:r>
    </w:p>
    <w:p w:rsidR="00967083" w:rsidRDefault="00967083">
      <w:pPr>
        <w:spacing w:line="360" w:lineRule="auto"/>
        <w:jc w:val="left"/>
        <w:rPr>
          <w:color w:val="000000"/>
          <w:szCs w:val="21"/>
        </w:rPr>
      </w:pPr>
    </w:p>
    <w:p w:rsidR="00967083" w:rsidRDefault="00E4498A">
      <w:pPr>
        <w:autoSpaceDE w:val="0"/>
        <w:autoSpaceDN w:val="0"/>
        <w:adjustRightInd w:val="0"/>
        <w:spacing w:line="360" w:lineRule="auto"/>
        <w:jc w:val="left"/>
        <w:rPr>
          <w:b/>
          <w:color w:val="000000"/>
          <w:kern w:val="0"/>
          <w:szCs w:val="21"/>
        </w:rPr>
      </w:pPr>
      <w:r>
        <w:rPr>
          <w:b/>
          <w:color w:val="000000"/>
          <w:kern w:val="0"/>
          <w:szCs w:val="21"/>
        </w:rPr>
        <w:t xml:space="preserve">4.3.2 </w:t>
      </w:r>
      <w:r>
        <w:rPr>
          <w:b/>
          <w:color w:val="000000"/>
          <w:kern w:val="0"/>
          <w:szCs w:val="21"/>
        </w:rPr>
        <w:t>异常交易行为的专项说明</w:t>
      </w:r>
    </w:p>
    <w:p>
      <w:pPr>
        <w:spacing w:line="360" w:lineRule="auto"/>
        <w:ind w:firstLine="420" w:firstLineChars="200"/>
        <w:rPr>
          <w:color w:val="000000"/>
          <w:szCs w:val="21"/>
        </w:rPr>
      </w:pPr>
      <w:r>
        <w:rPr>
          <w:color w:val="000000"/>
          <w:szCs w:val="21"/>
        </w:rPr>
        <w:t>本公司原则上禁止不同投资组合之间（完全复制指数组合及量化组合除外）或同一投资组合在同一交易日内进行反向交易。如果因应对大额赎回等特殊情况需要进行反向交易的，则需经公司领导严格审批并留痕备查。</w:t>
      </w:r>
    </w:p>
    <w:p>
      <w:pPr>
        <w:spacing w:line="360" w:lineRule="auto"/>
        <w:ind w:firstLine="420" w:firstLineChars="200"/>
        <w:rPr>
          <w:color w:val="000000"/>
          <w:szCs w:val="21"/>
        </w:rPr>
      </w:pPr>
      <w:r>
        <w:rPr>
          <w:color w:val="000000"/>
          <w:szCs w:val="21"/>
        </w:rPr>
        <w:t xml:space="preserve">本报告期内，公司旗下所有投资组合参与的交易所公开竞价交易中，同日反向交易成交较少的单边交易量超过该证券当日成交量的5%的交易共4次，均为指数量化投资组合因投资策略需要和其他组合发生的反向交易。 </w:t>
      </w:r>
    </w:p>
    <w:p w:rsidR="00967083" w:rsidRDefault="00E4498A">
      <w:pPr>
        <w:spacing w:line="360" w:lineRule="auto"/>
        <w:ind w:firstLine="420" w:firstLineChars="200"/>
        <w:rPr>
          <w:color w:val="000000"/>
          <w:szCs w:val="21"/>
        </w:rPr>
      </w:pPr>
      <w:r>
        <w:rPr>
          <w:color w:val="000000"/>
          <w:szCs w:val="21"/>
        </w:rPr>
        <w:t>本报告期内，未发现本基金有可能导致不公平交易和利益输送的异常交易。</w:t>
      </w:r>
    </w:p>
    <w:p w:rsidR="00967083" w:rsidRDefault="00967083">
      <w:pPr>
        <w:spacing w:line="360" w:lineRule="auto"/>
        <w:ind w:firstLine="420" w:firstLineChars="200"/>
        <w:rPr>
          <w:color w:val="000000"/>
          <w:kern w:val="0"/>
          <w:szCs w:val="21"/>
        </w:rPr>
      </w:pPr>
    </w:p>
    <w:p w:rsidR="00967083" w:rsidRDefault="00E4498A">
      <w:pPr>
        <w:pStyle w:val="2"/>
        <w:spacing w:after="0" w:before="0"/>
        <w:rPr>
          <w:rFonts w:ascii="Times New Roman" w:hAnsi="Times New Roman"/>
          <w:kern w:val="0"/>
          <w:sz w:val="21"/>
          <w:szCs w:val="21"/>
        </w:rPr>
      </w:pPr>
      <w:bookmarkStart w:id="25" w:name="_Toc331410082"/>
      <w:bookmarkStart w:id="26" w:name="_Toc225498258"/>
      <w:r>
        <w:rPr>
          <w:rFonts w:ascii="Times New Roman" w:hAnsi="Times New Roman"/>
          <w:kern w:val="0"/>
          <w:sz w:val="21"/>
          <w:szCs w:val="21"/>
        </w:rPr>
        <w:t xml:space="preserve">4.4 </w:t>
      </w:r>
      <w:r>
        <w:rPr>
          <w:rFonts w:ascii="Times New Roman" w:hAnsi="Times New Roman"/>
          <w:kern w:val="0"/>
          <w:sz w:val="21"/>
          <w:szCs w:val="21"/>
        </w:rPr>
        <w:t>管理人对报告期内基金的投资策略和业绩表现的说明</w:t>
      </w:r>
      <w:bookmarkEnd w:id="25"/>
      <w:bookmarkEnd w:id="26"/>
    </w:p>
    <w:p w:rsidR="00967083" w:rsidRDefault="00E4498A">
      <w:pPr>
        <w:spacing w:line="360" w:lineRule="auto"/>
        <w:rPr>
          <w:b/>
          <w:szCs w:val="21"/>
        </w:rPr>
      </w:pPr>
      <w:r>
        <w:rPr>
          <w:b/>
          <w:szCs w:val="21"/>
        </w:rPr>
        <w:t>4.4.1</w:t>
      </w:r>
      <w:r>
        <w:rPr>
          <w:b/>
          <w:szCs w:val="21"/>
        </w:rPr>
        <w:t>报告期内基金投资策略和运作分析</w:t>
      </w:r>
    </w:p>
    <w:p w:rsidR="00967083" w:rsidRDefault="00E4498A">
      <w:pPr>
        <w:spacing w:line="360" w:lineRule="auto"/>
        <w:ind w:firstLine="420" w:firstLineChars="200"/>
        <w:rPr>
          <w:color w:val="000000"/>
          <w:szCs w:val="21"/>
        </w:rPr>
      </w:pPr>
      <w:r>
        <w:rPr>
          <w:color w:val="000000"/>
          <w:szCs w:val="21"/>
        </w:rPr>
        <w:lastRenderedPageBreak/>
        <w:t>上半年，债市整体表现出楔形震荡的局面，年初利率债收益率低位震荡，一季度末受金融数据影响，收益反弹；之后，受经济数据表现超预期及货币政策边际收紧影响，债市持续下跌；随着外围环境不确定性增加，利率转为震荡向下。5月下旬，受部分银行风险事件影响，债市遭遇短暂的流动性冲击，央行随即加大对资金面的呵护力度，债券市场震荡走强。市场表现来看：利率债收益率曲线陡峭化上移，信用债整体表现好于利率债。上半年，组合整体运行平稳，将久期、杠杆维持在较低水平，控制回撤风险。</w:t>
      </w:r>
    </w:p>
    <w:p w:rsidR="00967083" w:rsidRDefault="00967083">
      <w:pPr>
        <w:spacing w:line="360" w:lineRule="auto"/>
        <w:ind w:firstLine="420" w:firstLineChars="200"/>
        <w:rPr>
          <w:kern w:val="0"/>
          <w:szCs w:val="21"/>
        </w:rPr>
      </w:pPr>
    </w:p>
    <w:p w:rsidR="00967083" w:rsidRDefault="00E4498A">
      <w:pPr>
        <w:spacing w:line="360" w:lineRule="auto"/>
        <w:rPr>
          <w:b/>
          <w:szCs w:val="21"/>
        </w:rPr>
      </w:pPr>
      <w:r>
        <w:rPr>
          <w:b/>
          <w:szCs w:val="21"/>
        </w:rPr>
        <w:t xml:space="preserve">4.4.2 </w:t>
      </w:r>
      <w:r>
        <w:rPr>
          <w:b/>
          <w:szCs w:val="21"/>
        </w:rPr>
        <w:t>报告期内基金的业绩表现</w:t>
      </w:r>
    </w:p>
    <w:p w:rsidR="00967083" w:rsidRDefault="00E4498A">
      <w:pPr>
        <w:spacing w:line="360" w:lineRule="auto"/>
        <w:ind w:firstLine="420" w:firstLineChars="200"/>
        <w:rPr>
          <w:color w:val="000000"/>
          <w:szCs w:val="21"/>
        </w:rPr>
      </w:pPr>
      <w:r>
        <w:rPr>
          <w:color w:val="000000"/>
          <w:szCs w:val="21"/>
        </w:rPr>
        <w:t>本报告期内，本基金的份额净值增长率为1.51%，同期业绩比较基准收益率为1.71%。</w:t>
      </w:r>
    </w:p>
    <w:p w:rsidR="00967083" w:rsidRDefault="00967083">
      <w:pPr>
        <w:spacing w:line="360" w:lineRule="auto"/>
        <w:ind w:firstLine="420" w:firstLineChars="200"/>
        <w:rPr>
          <w:color w:val="000000"/>
          <w:kern w:val="0"/>
          <w:szCs w:val="21"/>
        </w:rPr>
      </w:pPr>
    </w:p>
    <w:p w:rsidR="00967083" w:rsidRDefault="00E4498A">
      <w:pPr>
        <w:pStyle w:val="2"/>
        <w:spacing w:after="0" w:before="0"/>
        <w:rPr>
          <w:rFonts w:ascii="Times New Roman" w:hAnsi="Times New Roman"/>
          <w:kern w:val="0"/>
          <w:sz w:val="21"/>
          <w:szCs w:val="21"/>
        </w:rPr>
      </w:pPr>
      <w:bookmarkStart w:id="27" w:name="_Toc331410083"/>
      <w:bookmarkStart w:id="28" w:name="_Toc225498259"/>
      <w:r>
        <w:rPr>
          <w:rFonts w:ascii="Times New Roman" w:hAnsi="Times New Roman"/>
          <w:kern w:val="0"/>
          <w:sz w:val="21"/>
          <w:szCs w:val="21"/>
        </w:rPr>
        <w:t xml:space="preserve">4.5 </w:t>
      </w:r>
      <w:r>
        <w:rPr>
          <w:rFonts w:ascii="Times New Roman" w:hAnsi="Times New Roman"/>
          <w:kern w:val="0"/>
          <w:sz w:val="21"/>
          <w:szCs w:val="21"/>
        </w:rPr>
        <w:t>管理人对宏观经济、证券市场及行业走势的简要展望</w:t>
      </w:r>
      <w:bookmarkEnd w:id="27"/>
      <w:bookmarkEnd w:id="28"/>
    </w:p>
    <w:p w:rsidR="00967083" w:rsidRDefault="00E4498A">
      <w:pPr>
        <w:spacing w:line="360" w:lineRule="auto"/>
        <w:ind w:firstLine="420" w:firstLineChars="200"/>
        <w:rPr>
          <w:color w:val="000000"/>
          <w:szCs w:val="21"/>
        </w:rPr>
      </w:pPr>
      <w:r>
        <w:rPr>
          <w:color w:val="000000"/>
          <w:szCs w:val="21"/>
        </w:rPr>
        <w:t>展望下半年，关注贸易谈判的更新进展及年中政治局会议对宏观政策的定调，经济增长预计温和回落，货币政策维持宽松态势，年底通胀可能面临一定的压力。财政托底政策与外围环境演变的不确定性或许会成为打破债市区间震荡的关键因素。组合将紧密跟踪经济基本面、货币政策及财政政策等方面的变化，从债券品种的绝对收益水平角度出发，判断操作时点。</w:t>
      </w:r>
    </w:p>
    <w:p w:rsidR="00967083" w:rsidRDefault="00967083">
      <w:pPr>
        <w:autoSpaceDE w:val="0"/>
        <w:autoSpaceDN w:val="0"/>
        <w:adjustRightInd w:val="0"/>
        <w:spacing w:line="360" w:lineRule="auto"/>
        <w:rPr>
          <w:color w:val="000000"/>
          <w:kern w:val="0"/>
          <w:szCs w:val="21"/>
        </w:rPr>
      </w:pPr>
    </w:p>
    <w:p w:rsidR="00967083" w:rsidRDefault="00E4498A">
      <w:pPr>
        <w:pStyle w:val="2"/>
        <w:spacing w:after="0" w:before="0"/>
        <w:rPr>
          <w:rFonts w:ascii="Times New Roman" w:hAnsi="Times New Roman"/>
          <w:kern w:val="0"/>
          <w:sz w:val="21"/>
          <w:szCs w:val="21"/>
        </w:rPr>
      </w:pPr>
      <w:bookmarkStart w:id="29" w:name="_Toc225570083"/>
      <w:bookmarkStart w:id="30" w:name="_Toc331410085"/>
      <w:bookmarkStart w:id="31" w:name="_Toc247959457"/>
      <w:r>
        <w:rPr>
          <w:rFonts w:ascii="Times New Roman" w:hAnsi="Times New Roman"/>
          <w:kern w:val="0"/>
          <w:sz w:val="21"/>
          <w:szCs w:val="21"/>
        </w:rPr>
        <w:t xml:space="preserve">4.6 </w:t>
      </w:r>
      <w:r>
        <w:rPr>
          <w:rFonts w:ascii="Times New Roman" w:hAnsi="Times New Roman"/>
          <w:kern w:val="0"/>
          <w:sz w:val="21"/>
          <w:szCs w:val="21"/>
        </w:rPr>
        <w:t>管理人对报告期内基金估值程序等事项的说明</w:t>
      </w:r>
      <w:bookmarkEnd w:id="29"/>
      <w:bookmarkEnd w:id="30"/>
      <w:bookmarkEnd w:id="31"/>
    </w:p>
    <w:p>
      <w:pPr>
        <w:spacing w:line="360" w:lineRule="auto"/>
        <w:ind w:firstLine="420" w:firstLineChars="20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公司领导、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w:t>
      </w:r>
    </w:p>
    <w:p w:rsidR="00967083" w:rsidRDefault="00E4498A">
      <w:pPr>
        <w:spacing w:line="360" w:lineRule="auto"/>
        <w:ind w:firstLine="420" w:firstLineChars="200"/>
        <w:rPr>
          <w:color w:val="000000"/>
          <w:szCs w:val="21"/>
        </w:rPr>
      </w:pPr>
      <w:r>
        <w:rPr>
          <w:color w:val="000000"/>
          <w:szCs w:val="21"/>
        </w:rPr>
        <w:t>本基金管理人已与中央国债登记结算有限责任公司、中证指数有限公司签署服务协议，由其按合同约定提供相关债券品种的估值数据。</w:t>
      </w:r>
    </w:p>
    <w:p w:rsidR="00967083" w:rsidRDefault="00967083">
      <w:pPr>
        <w:autoSpaceDE w:val="0"/>
        <w:autoSpaceDN w:val="0"/>
        <w:adjustRightInd w:val="0"/>
        <w:spacing w:line="360" w:lineRule="auto"/>
        <w:ind w:firstLine="482"/>
        <w:rPr>
          <w:color w:val="000000"/>
          <w:kern w:val="0"/>
          <w:szCs w:val="21"/>
        </w:rPr>
      </w:pPr>
    </w:p>
    <w:p w:rsidR="00967083" w:rsidRDefault="00E4498A">
      <w:pPr>
        <w:pStyle w:val="2"/>
        <w:spacing w:after="0" w:before="0"/>
        <w:rPr>
          <w:rFonts w:ascii="Times New Roman" w:hAnsi="Times New Roman"/>
          <w:kern w:val="0"/>
          <w:sz w:val="21"/>
          <w:szCs w:val="21"/>
        </w:rPr>
      </w:pPr>
      <w:bookmarkStart w:id="32" w:name="_Toc331410086"/>
      <w:bookmarkStart w:id="33" w:name="_Toc225570084"/>
      <w:bookmarkStart w:id="34" w:name="_Toc247959458"/>
      <w:r>
        <w:rPr>
          <w:rFonts w:ascii="Times New Roman" w:hAnsi="Times New Roman"/>
          <w:kern w:val="0"/>
          <w:sz w:val="21"/>
          <w:szCs w:val="21"/>
        </w:rPr>
        <w:t xml:space="preserve">4.7 </w:t>
      </w:r>
      <w:r>
        <w:rPr>
          <w:rFonts w:ascii="Times New Roman" w:hAnsi="Times New Roman"/>
          <w:kern w:val="0"/>
          <w:sz w:val="21"/>
          <w:szCs w:val="21"/>
        </w:rPr>
        <w:t>管理人对报告期内基金利润分配情况的说明</w:t>
      </w:r>
      <w:bookmarkEnd w:id="32"/>
      <w:bookmarkEnd w:id="33"/>
      <w:bookmarkEnd w:id="34"/>
    </w:p>
    <w:p w:rsidR="00967083" w:rsidRDefault="00E4498A">
      <w:pPr>
        <w:spacing w:line="360" w:lineRule="auto"/>
        <w:ind w:firstLine="420" w:firstLineChars="200"/>
        <w:rPr>
          <w:color w:val="000000"/>
          <w:szCs w:val="21"/>
        </w:rPr>
      </w:pPr>
      <w:r>
        <w:rPr>
          <w:color w:val="000000"/>
          <w:szCs w:val="21"/>
        </w:rPr>
        <w:t>根据本基金合同中“基金收益与分配”之“基金收益分配原则”的相关规定，2019年3月12日广发景润纯债每10份基金份额分配0.060元，2019年6月11日广发景润纯债每10份基金份额分配0.010元。截至2019年6月30日，广发景润纯债可供分配利润为723,013.08元。上述利润分配符合合同规定。</w:t>
      </w: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35" w:name="_Toc225498263"/>
      <w:bookmarkStart w:id="36" w:name="_Toc331410088"/>
      <w:r>
        <w:rPr>
          <w:b/>
          <w:bCs/>
          <w:sz w:val="21"/>
          <w:szCs w:val="21"/>
          <w:lang w:val="en-US"/>
        </w:rPr>
        <w:t xml:space="preserve">5  </w:t>
      </w:r>
      <w:r>
        <w:rPr>
          <w:b/>
          <w:bCs/>
          <w:sz w:val="21"/>
          <w:szCs w:val="21"/>
          <w:lang w:val="en-US"/>
        </w:rPr>
        <w:t>托管人报告</w:t>
      </w:r>
      <w:bookmarkEnd w:id="35"/>
      <w:bookmarkEnd w:id="36"/>
    </w:p>
    <w:p w:rsidR="00967083" w:rsidRDefault="00E4498A">
      <w:pPr>
        <w:pStyle w:val="2"/>
        <w:spacing w:after="0" w:before="0"/>
        <w:rPr>
          <w:rFonts w:ascii="Times New Roman" w:hAnsi="Times New Roman"/>
          <w:kern w:val="0"/>
          <w:sz w:val="21"/>
          <w:szCs w:val="21"/>
        </w:rPr>
      </w:pPr>
      <w:bookmarkStart w:id="37" w:name="_Toc331410089"/>
      <w:bookmarkStart w:id="38" w:name="_Toc225498264"/>
      <w:r>
        <w:rPr>
          <w:rFonts w:ascii="Times New Roman" w:hAnsi="Times New Roman"/>
          <w:kern w:val="0"/>
          <w:sz w:val="21"/>
          <w:szCs w:val="21"/>
        </w:rPr>
        <w:t xml:space="preserve">5.1 </w:t>
      </w:r>
      <w:r>
        <w:rPr>
          <w:rFonts w:ascii="Times New Roman" w:hAnsi="Times New Roman"/>
          <w:kern w:val="0"/>
          <w:sz w:val="21"/>
          <w:szCs w:val="21"/>
        </w:rPr>
        <w:t>报告期内本基金托管人遵规守信情况声明</w:t>
      </w:r>
      <w:bookmarkEnd w:id="37"/>
      <w:bookmarkEnd w:id="38"/>
    </w:p>
    <w:p w:rsidR="00967083" w:rsidRDefault="00E4498A">
      <w:pPr>
        <w:spacing w:line="360" w:lineRule="auto"/>
        <w:ind w:firstLine="420" w:firstLineChars="200"/>
        <w:rPr>
          <w:color w:val="000000"/>
          <w:szCs w:val="21"/>
        </w:rPr>
      </w:pPr>
      <w:r>
        <w:rPr>
          <w:color w:val="000000"/>
          <w:szCs w:val="21"/>
        </w:rPr>
        <w:t>本报告期内，在托管广发景润纯债债券型证券投资基金的过程中，本基金托管人—江苏银行股份有限公司严格遵守《中华人民共和国证券投资基金法》及其他有关法律法规的规定以及《广发景润纯债债券型证券投资基金托管协议》的约定，尽职尽责履行了托管人应尽的义务，没有从事任何损害基金份额持有人利益的行为。</w:t>
      </w:r>
    </w:p>
    <w:p w:rsidR="00967083" w:rsidRDefault="00967083">
      <w:pPr>
        <w:spacing w:line="360" w:lineRule="auto"/>
        <w:ind w:firstLine="420" w:firstLineChars="200"/>
        <w:rPr>
          <w:color w:val="000000"/>
          <w:kern w:val="0"/>
          <w:szCs w:val="21"/>
        </w:rPr>
      </w:pPr>
    </w:p>
    <w:p w:rsidR="00967083" w:rsidRDefault="00E4498A">
      <w:pPr>
        <w:pStyle w:val="2"/>
        <w:spacing w:after="0" w:before="0"/>
        <w:rPr>
          <w:rFonts w:ascii="Times New Roman" w:hAnsi="Times New Roman"/>
          <w:kern w:val="0"/>
          <w:sz w:val="21"/>
          <w:szCs w:val="21"/>
        </w:rPr>
      </w:pPr>
      <w:bookmarkStart w:id="39" w:name="_Toc225498265"/>
      <w:bookmarkStart w:id="40" w:name="_Toc331410090"/>
      <w:r>
        <w:rPr>
          <w:rFonts w:ascii="Times New Roman" w:hAnsi="Times New Roman"/>
          <w:kern w:val="0"/>
          <w:sz w:val="21"/>
          <w:szCs w:val="21"/>
        </w:rPr>
        <w:t xml:space="preserve">5.2 </w:t>
      </w:r>
      <w:r>
        <w:rPr>
          <w:rFonts w:ascii="Times New Roman" w:hAnsi="Times New Roman"/>
          <w:kern w:val="0"/>
          <w:sz w:val="21"/>
          <w:szCs w:val="21"/>
        </w:rPr>
        <w:t>托管人对报告期内本基金投资运作遵规守信、净值计算、利润分配等情况的</w:t>
      </w:r>
      <w:bookmarkEnd w:id="39"/>
      <w:r>
        <w:rPr>
          <w:rFonts w:ascii="Times New Roman" w:hAnsi="Times New Roman"/>
          <w:kern w:val="0"/>
          <w:sz w:val="21"/>
          <w:szCs w:val="21"/>
        </w:rPr>
        <w:t>说明</w:t>
      </w:r>
      <w:bookmarkEnd w:id="40"/>
    </w:p>
    <w:p w:rsidR="00967083" w:rsidRDefault="00E4498A">
      <w:pPr>
        <w:spacing w:line="360" w:lineRule="auto"/>
        <w:ind w:firstLine="420" w:firstLineChars="200"/>
        <w:rPr>
          <w:color w:val="000000"/>
          <w:szCs w:val="21"/>
        </w:rPr>
      </w:pPr>
      <w:r>
        <w:rPr>
          <w:color w:val="000000"/>
          <w:szCs w:val="21"/>
        </w:rPr>
        <w:t>本报告期内，本基金托管人-江苏银行股份有限公司未发现广发基金管理有限公司在广发景润纯债债券型证券投资基金的投资运作、基金资产净值的计算、基金份额申购赎回价格的计算、基金费用开支及利润分配等问题上存在损害基金份额持有人利益的行为，或违反《中华人民共和国证券投资基金法》等有关法律法规、在各重要方面的运作违反基金合同规定的情况。</w:t>
      </w:r>
    </w:p>
    <w:p w:rsidR="00967083" w:rsidRDefault="00967083">
      <w:pPr>
        <w:spacing w:line="360" w:lineRule="auto"/>
        <w:ind w:firstLine="420" w:firstLineChars="200"/>
        <w:rPr>
          <w:color w:val="000000"/>
          <w:kern w:val="0"/>
          <w:szCs w:val="21"/>
        </w:rPr>
      </w:pPr>
    </w:p>
    <w:p w:rsidR="00967083" w:rsidRDefault="00E4498A">
      <w:pPr>
        <w:pStyle w:val="2"/>
        <w:spacing w:after="0" w:before="0"/>
        <w:rPr>
          <w:rFonts w:ascii="Times New Roman" w:hAnsi="Times New Roman"/>
          <w:kern w:val="0"/>
          <w:sz w:val="21"/>
          <w:szCs w:val="21"/>
        </w:rPr>
      </w:pPr>
      <w:bookmarkStart w:id="41" w:name="_Toc225498266"/>
      <w:bookmarkStart w:id="42" w:name="_Toc331410091"/>
      <w:r>
        <w:rPr>
          <w:rFonts w:ascii="Times New Roman" w:hAnsi="Times New Roman"/>
          <w:kern w:val="0"/>
          <w:sz w:val="21"/>
          <w:szCs w:val="21"/>
        </w:rPr>
        <w:t xml:space="preserve">5.3 </w:t>
      </w:r>
      <w:r>
        <w:rPr>
          <w:rFonts w:ascii="Times New Roman" w:hAnsi="Times New Roman"/>
          <w:kern w:val="0"/>
          <w:sz w:val="21"/>
          <w:szCs w:val="21"/>
        </w:rPr>
        <w:t>托管人对本半年度报告中财务信息等内容的真实、准确和完整发表意见</w:t>
      </w:r>
      <w:bookmarkEnd w:id="41"/>
      <w:bookmarkEnd w:id="42"/>
    </w:p>
    <w:p w:rsidR="00967083" w:rsidRDefault="00E4498A">
      <w:pPr>
        <w:spacing w:line="360" w:lineRule="auto"/>
        <w:ind w:firstLine="420" w:firstLineChars="200"/>
        <w:rPr>
          <w:color w:val="000000"/>
          <w:szCs w:val="21"/>
        </w:rPr>
      </w:pPr>
      <w:r>
        <w:rPr>
          <w:color w:val="000000"/>
          <w:szCs w:val="21"/>
        </w:rPr>
        <w:t>本报告期内，由基金管理人所编制和披露的广发景润纯债债券型证券投资基金半年度报告中的财务指标、净值表现、收益分配情况、财务会计报告、投资组合报告等信息真实、准确、完整，未发现有损害基金持有人利益的行为。</w:t>
      </w: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43" w:name="_Toc331410096"/>
      <w:r>
        <w:rPr>
          <w:b/>
          <w:bCs/>
          <w:sz w:val="21"/>
          <w:szCs w:val="21"/>
          <w:lang w:val="en-US"/>
        </w:rPr>
        <w:lastRenderedPageBreak/>
        <w:t>6</w:t>
      </w:r>
      <w:bookmarkEnd w:id="43"/>
      <w:r>
        <w:rPr>
          <w:b/>
          <w:bCs/>
          <w:sz w:val="21"/>
          <w:szCs w:val="21"/>
          <w:lang w:val="en-US"/>
        </w:rPr>
        <w:tab/>
      </w:r>
      <w:r>
        <w:rPr>
          <w:b/>
          <w:bCs/>
          <w:sz w:val="21"/>
          <w:szCs w:val="21"/>
          <w:lang w:val="en-US"/>
        </w:rPr>
        <w:t>半年度财务会计报告（未经审计）</w:t>
      </w:r>
    </w:p>
    <w:p w:rsidR="00967083" w:rsidRDefault="00E4498A">
      <w:pPr>
        <w:pStyle w:val="2"/>
        <w:spacing w:after="312" w:afterLines="100" w:before="312" w:beforeLines="100"/>
        <w:rPr>
          <w:rFonts w:ascii="宋体"/>
          <w:kern w:val="0"/>
          <w:sz w:val="21"/>
          <w:szCs w:val="21"/>
        </w:rPr>
      </w:pPr>
      <w:bookmarkStart w:id="44" w:name="_Toc374540561"/>
      <w:bookmarkStart w:id="45" w:name="_Toc225498268"/>
      <w:r>
        <w:rPr>
          <w:rFonts w:ascii="宋体"/>
          <w:kern w:val="0"/>
          <w:sz w:val="21"/>
          <w:szCs w:val="21"/>
        </w:rPr>
        <w:t xml:space="preserve">6.1 </w:t>
      </w:r>
      <w:r>
        <w:rPr>
          <w:rFonts w:ascii="宋体" w:hint="eastAsia"/>
          <w:kern w:val="0"/>
          <w:sz w:val="21"/>
          <w:szCs w:val="21"/>
        </w:rPr>
        <w:t>资产负债表</w:t>
      </w:r>
      <w:bookmarkEnd w:id="44"/>
      <w:bookmarkEnd w:id="45"/>
    </w:p>
    <w:p w:rsidR="00967083" w:rsidRDefault="00E4498A">
      <w:pPr>
        <w:spacing w:line="360" w:lineRule="auto"/>
        <w:rPr>
          <w:rFonts w:ascii="宋体" w:hAnsi="宋体"/>
          <w:color w:val="000000"/>
          <w:szCs w:val="21"/>
        </w:rPr>
      </w:pPr>
      <w:r>
        <w:rPr>
          <w:rFonts w:ascii="宋体" w:hAnsi="宋体" w:hint="eastAsia"/>
          <w:color w:val="000000"/>
          <w:szCs w:val="21"/>
        </w:rPr>
        <w:t>会计主体：</w:t>
      </w:r>
      <w:r>
        <w:rPr>
          <w:rFonts w:ascii="宋体"/>
          <w:color w:val="000000"/>
          <w:szCs w:val="21"/>
        </w:rPr>
        <w:t/>
      </w:r>
      <w:r>
        <w:rPr>
          <w:rFonts w:ascii="宋体" w:hAnsi="宋体"/>
          <w:color w:val="000000"/>
          <w:szCs w:val="21"/>
        </w:rPr>
        <w:t>广发景润纯债债券型证券投资基金</w:t>
      </w:r>
    </w:p>
    <w:p w:rsidR="00967083" w:rsidRDefault="00E4498A">
      <w:pPr>
        <w:spacing w:line="360" w:lineRule="auto"/>
        <w:rPr>
          <w:rFonts w:ascii="宋体"/>
          <w:color w:val="000000"/>
          <w:szCs w:val="21"/>
        </w:rPr>
      </w:pPr>
      <w:r>
        <w:rPr>
          <w:rFonts w:ascii="宋体" w:hAnsi="宋体" w:hint="eastAsia"/>
          <w:color w:val="000000"/>
          <w:szCs w:val="21"/>
        </w:rPr>
        <w:t>报告截止日：</w:t>
      </w:r>
      <w:r>
        <w:rPr>
          <w:rFonts w:ascii="宋体"/>
          <w:color w:val="000000"/>
          <w:szCs w:val="21"/>
        </w:rPr>
        <w:t/>
      </w:r>
      <w:r>
        <w:rPr>
          <w:rFonts w:ascii="宋体" w:hAnsi="宋体"/>
          <w:color w:val="000000"/>
          <w:szCs w:val="21"/>
        </w:rPr>
        <w:t>2019年6月30日</w:t>
      </w:r>
    </w:p>
    <w:p w:rsidR="00967083" w:rsidRDefault="00E4498A">
      <w:pPr>
        <w:autoSpaceDE w:val="0"/>
        <w:autoSpaceDN w:val="0"/>
        <w:adjustRightInd w:val="0"/>
        <w:spacing w:before="29" w:line="288" w:lineRule="auto"/>
        <w:ind w:left="15"/>
        <w:jc w:val="right"/>
        <w:rPr>
          <w:rFonts w:ascii="宋体"/>
          <w:color w:val="000000"/>
          <w:kern w:val="0"/>
          <w:szCs w:val="21"/>
        </w:rPr>
      </w:pPr>
      <w:r>
        <w:rPr>
          <w:rFonts w:ascii="宋体" w:hAnsi="宋体" w:hint="eastAsia"/>
          <w:color w:val="000000"/>
          <w:kern w:val="0"/>
          <w:szCs w:val="21"/>
        </w:rPr>
        <w:t>单位：人民币元</w:t>
      </w:r>
    </w:p>
    <w:tbl>
      <w:tblPr>
        <w:tblW w:type="dxa" w:w="89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977"/>
        <w:gridCol w:w="2977"/>
        <w:gridCol w:w="2977"/>
      </w:tblGrid>
      <w:tr w:rsidR="00967083">
        <w:tc>
          <w:tcPr>
            <w:tcW w:type="dxa" w:w="2977"/>
            <w:vAlign w:val="center"/>
          </w:tcPr>
          <w:p w:rsidR="00967083" w:rsidRDefault="00E4498A">
            <w:pPr>
              <w:pStyle w:val="af"/>
              <w:jc w:val="center"/>
              <w:rPr>
                <w:b/>
                <w:color w:val="000000"/>
                <w:sz w:val="21"/>
                <w:szCs w:val="21"/>
              </w:rPr>
            </w:pPr>
            <w:r>
              <w:rPr>
                <w:rFonts w:hint="eastAsia"/>
                <w:b/>
                <w:color w:val="000000"/>
                <w:sz w:val="21"/>
                <w:szCs w:val="21"/>
              </w:rPr>
              <w:t>资  产</w:t>
            </w:r>
          </w:p>
        </w:tc>
        <w:tc>
          <w:tcPr>
            <w:tcW w:type="dxa" w:w="2977"/>
            <w:vAlign w:val="center"/>
          </w:tcPr>
          <w:p w:rsidR="00967083" w:rsidRDefault="00E4498A">
            <w:pPr>
              <w:pStyle w:val="af"/>
              <w:spacing w:after="0" w:afterAutospacing="0" w:before="0" w:beforeAutospacing="0"/>
              <w:jc w:val="center"/>
              <w:rPr>
                <w:b/>
                <w:color w:val="000000"/>
                <w:sz w:val="21"/>
                <w:szCs w:val="21"/>
              </w:rPr>
            </w:pPr>
            <w:r>
              <w:rPr>
                <w:rFonts w:hint="eastAsia"/>
                <w:b/>
                <w:color w:val="000000"/>
                <w:sz w:val="21"/>
                <w:szCs w:val="21"/>
              </w:rPr>
              <w:t>本期末</w:t>
            </w:r>
          </w:p>
          <w:p w:rsidR="00967083" w:rsidRDefault="00E4498A">
            <w:pPr>
              <w:pStyle w:val="af"/>
              <w:spacing w:after="0" w:afterAutospacing="0" w:before="0" w:beforeAutospacing="0"/>
              <w:jc w:val="center"/>
              <w:rPr>
                <w:b/>
                <w:color w:val="000000"/>
                <w:sz w:val="21"/>
                <w:szCs w:val="21"/>
              </w:rPr>
            </w:pPr>
            <w:r>
              <w:rPr>
                <w:b/>
                <w:color w:val="000000"/>
                <w:kern w:val="2"/>
                <w:sz w:val="21"/>
                <w:szCs w:val="21"/>
              </w:rPr>
              <w:t>2019年6月30日</w:t>
            </w:r>
          </w:p>
        </w:tc>
        <w:tc>
          <w:tcPr>
            <w:tcW w:type="dxa" w:w="2977"/>
            <w:vAlign w:val="center"/>
          </w:tcPr>
          <w:p w:rsidR="00967083" w:rsidRDefault="00E4498A">
            <w:pPr>
              <w:pStyle w:val="af"/>
              <w:spacing w:after="0" w:afterAutospacing="0" w:before="0" w:beforeAutospacing="0"/>
              <w:jc w:val="center"/>
              <w:rPr>
                <w:b/>
                <w:color w:val="000000"/>
                <w:sz w:val="21"/>
                <w:szCs w:val="21"/>
              </w:rPr>
            </w:pPr>
            <w:r>
              <w:rPr>
                <w:rFonts w:hint="eastAsia"/>
                <w:b/>
                <w:color w:val="000000"/>
                <w:sz w:val="21"/>
                <w:szCs w:val="21"/>
              </w:rPr>
              <w:t>上年度末</w:t>
            </w:r>
          </w:p>
          <w:p w:rsidR="00967083" w:rsidRDefault="00E4498A">
            <w:pPr>
              <w:pStyle w:val="af"/>
              <w:spacing w:after="0" w:afterAutospacing="0" w:before="0" w:beforeAutospacing="0"/>
              <w:jc w:val="center"/>
              <w:rPr>
                <w:b/>
                <w:color w:val="000000"/>
                <w:sz w:val="21"/>
                <w:szCs w:val="21"/>
              </w:rPr>
            </w:pPr>
            <w:r>
              <w:rPr>
                <w:b/>
                <w:color w:val="000000"/>
                <w:sz w:val="21"/>
                <w:szCs w:val="21"/>
              </w:rPr>
              <w:t>2018年12月31日</w:t>
            </w:r>
          </w:p>
        </w:tc>
      </w:tr>
      <w:tr w:rsidR="00967083">
        <w:tc>
          <w:tcPr>
            <w:tcW w:type="dxa" w:w="2977"/>
            <w:vAlign w:val="center"/>
          </w:tcPr>
          <w:p w:rsidR="00967083" w:rsidRDefault="00E4498A">
            <w:pPr>
              <w:rPr>
                <w:rFonts w:ascii="宋体"/>
                <w:color w:val="000000"/>
                <w:szCs w:val="21"/>
              </w:rPr>
            </w:pPr>
            <w:r>
              <w:rPr>
                <w:b/>
                <w:color w:val="000000"/>
                <w:szCs w:val="21"/>
              </w:rPr>
              <w:t>资</w:t>
            </w:r>
            <w:r>
              <w:rPr>
                <w:b/>
                <w:color w:val="000000"/>
                <w:szCs w:val="21"/>
              </w:rPr>
              <w:t xml:space="preserve"> </w:t>
            </w:r>
            <w:r>
              <w:rPr>
                <w:b/>
                <w:color w:val="000000"/>
                <w:szCs w:val="21"/>
              </w:rPr>
              <w:t>产：</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银行存款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153,795.06</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202,595.72</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结算备付金</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1,787.25</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1,162,372.40</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存出保证金</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20,332.83</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13,412.35</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交易性金融资产</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60,001,000.80</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57,330,787.20</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其中：股票投资</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pStyle w:val="af"/>
              <w:ind w:firstLine="630" w:firstLineChars="300"/>
              <w:jc w:val="both"/>
              <w:rPr>
                <w:color w:val="000000"/>
                <w:sz w:val="21"/>
                <w:szCs w:val="21"/>
              </w:rPr>
            </w:pPr>
            <w:r>
              <w:rPr>
                <w:rFonts w:hint="eastAsia"/>
                <w:color w:val="000000"/>
                <w:sz w:val="21"/>
                <w:szCs w:val="21"/>
              </w:rPr>
              <w:t>基金投资</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ind w:firstLine="630" w:firstLineChars="300"/>
              <w:rPr>
                <w:rFonts w:ascii="宋体"/>
                <w:color w:val="000000"/>
                <w:szCs w:val="21"/>
              </w:rPr>
            </w:pPr>
            <w:r>
              <w:rPr>
                <w:rFonts w:ascii="宋体" w:hAnsi="宋体" w:hint="eastAsia"/>
                <w:color w:val="000000"/>
                <w:szCs w:val="21"/>
              </w:rPr>
              <w:t>债券投资</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60,001,000.80</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57,330,787.20</w:t>
            </w:r>
          </w:p>
        </w:tc>
      </w:tr>
      <w:tr w:rsidR="00967083">
        <w:tc>
          <w:tcPr>
            <w:tcW w:type="dxa" w:w="2977"/>
            <w:vAlign w:val="center"/>
          </w:tcPr>
          <w:p w:rsidR="00967083" w:rsidRDefault="00E4498A">
            <w:pPr>
              <w:ind w:firstLine="630" w:firstLineChars="300"/>
              <w:rPr>
                <w:rFonts w:ascii="宋体"/>
                <w:color w:val="000000"/>
                <w:szCs w:val="21"/>
              </w:rPr>
            </w:pPr>
            <w:r>
              <w:rPr>
                <w:rFonts w:ascii="宋体" w:hAnsi="宋体" w:hint="eastAsia"/>
                <w:color w:val="000000"/>
                <w:szCs w:val="21"/>
              </w:rPr>
              <w:t>资产支持证券投资</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spacing w:line="360" w:lineRule="auto"/>
              <w:ind w:firstLine="630" w:firstLineChars="300"/>
              <w:rPr>
                <w:rFonts w:asciiTheme="minorEastAsia" w:eastAsiaTheme="minorEastAsia" w:hAnsiTheme="minorEastAsia"/>
                <w:color w:val="000000"/>
                <w:szCs w:val="21"/>
              </w:rPr>
            </w:pPr>
            <w:r>
              <w:rPr>
                <w:rFonts w:hint="eastAsia"/>
              </w:rPr>
              <w:t>贵金属投资</w:t>
            </w:r>
          </w:p>
        </w:tc>
        <w:tc>
          <w:tcPr>
            <w:tcW w:type="dxa" w:w="2977"/>
            <w:vAlign w:val="center"/>
          </w:tcPr>
          <w:p w:rsidR="00967083" w:rsidRDefault="00E4498A">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w:r>
            <w:r>
              <w:rPr>
                <w:rFonts w:asciiTheme="minorEastAsia" w:eastAsiaTheme="minorEastAsia" w:hAnsiTheme="minorEastAsia"/>
                <w:color w:val="000000"/>
                <w:szCs w:val="21"/>
              </w:rPr>
              <w:t/>
            </w:r>
            <w:r>
              <w:rPr>
                <w:rFonts w:asciiTheme="minorEastAsia" w:eastAsiaTheme="minorEastAsia" w:hAnsiTheme="minorEastAsia" w:hint="eastAsia"/>
                <w:color w:val="000000"/>
                <w:szCs w:val="21"/>
              </w:rPr>
              <w:t>-</w:t>
            </w:r>
          </w:p>
        </w:tc>
        <w:tc>
          <w:tcPr>
            <w:tcW w:type="dxa" w:w="2977"/>
            <w:vAlign w:val="center"/>
          </w:tcPr>
          <w:p w:rsidR="00967083" w:rsidRDefault="00E4498A">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w:r>
            <w:r>
              <w:rPr>
                <w:rFonts w:asciiTheme="minorEastAsia" w:eastAsiaTheme="minorEastAsia" w:hAnsiTheme="minorEastAsia"/>
                <w:color w:val="000000"/>
                <w:szCs w:val="21"/>
              </w:rPr>
              <w:t/>
            </w:r>
            <w:r>
              <w:rPr>
                <w:rFonts w:asciiTheme="minorEastAsia" w:eastAsiaTheme="minorEastAsia" w:hAnsiTheme="minorEastAsia" w:hint="eastAsia"/>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衍生金融资产</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买入返售金融资产</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应收证券清算款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2,803,528.77</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应收利息</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942,456.26</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922,510.33</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应收股利</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应收申购款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
            </w:r>
            <w:r>
              <w:rPr>
                <w:rFonts w:ascii="宋体" w:hAnsi="宋体"/>
                <w:color w:val="000000"/>
                <w:szCs w:val="21"/>
              </w:rPr>
              <w:lastRenderedPageBreak/>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lastRenderedPageBreak/>
              <w:t/>
            </w:r>
            <w:r>
              <w:rPr>
                <w:rFonts w:ascii="宋体" w:hAnsi="宋体"/>
                <w:color w:val="000000"/>
                <w:szCs w:val="21"/>
              </w:rPr>
              <w:lastRenderedPageBreak/>
              <w:t>200.00</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lastRenderedPageBreak/>
              <w:t>递延所得税资产</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其他资产</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资产总计</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61,119,372.20</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62,435,406.77</w:t>
            </w:r>
          </w:p>
        </w:tc>
      </w:tr>
    </w:tbl>
    <w:tbl>
      <w:tblPr>
        <w:tblW w:type="dxa" w:w="89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977"/>
        <w:gridCol w:w="2977"/>
        <w:gridCol w:w="2977"/>
      </w:tblGrid>
      <w:tr w:rsidR="00967083">
        <w:tc>
          <w:tcPr>
            <w:tcW w:type="dxa" w:w="2977"/>
            <w:vAlign w:val="center"/>
          </w:tcPr>
          <w:p w:rsidR="00967083" w:rsidRDefault="00E4498A">
            <w:pPr>
              <w:pStyle w:val="af"/>
              <w:jc w:val="center"/>
              <w:rPr>
                <w:b/>
                <w:color w:val="000000"/>
                <w:sz w:val="21"/>
                <w:szCs w:val="21"/>
              </w:rPr>
            </w:pPr>
            <w:r>
              <w:rPr>
                <w:rFonts w:hint="eastAsia"/>
                <w:b/>
                <w:color w:val="000000"/>
                <w:sz w:val="21"/>
                <w:szCs w:val="21"/>
              </w:rPr>
              <w:t>负债和所有者权益</w:t>
            </w:r>
          </w:p>
        </w:tc>
        <w:tc>
          <w:tcPr>
            <w:tcW w:type="dxa" w:w="2977"/>
            <w:vAlign w:val="center"/>
          </w:tcPr>
          <w:p w:rsidR="00967083" w:rsidRDefault="00E4498A">
            <w:pPr>
              <w:pStyle w:val="af"/>
              <w:spacing w:after="0" w:afterAutospacing="0" w:before="0" w:beforeAutospacing="0"/>
              <w:jc w:val="center"/>
              <w:rPr>
                <w:b/>
                <w:color w:val="000000"/>
                <w:sz w:val="21"/>
                <w:szCs w:val="21"/>
              </w:rPr>
            </w:pPr>
            <w:r>
              <w:rPr>
                <w:rFonts w:hint="eastAsia"/>
                <w:b/>
                <w:color w:val="000000"/>
                <w:sz w:val="21"/>
                <w:szCs w:val="21"/>
              </w:rPr>
              <w:t>本期末</w:t>
            </w:r>
          </w:p>
          <w:p w:rsidR="00967083" w:rsidRDefault="00E4498A">
            <w:pPr>
              <w:pStyle w:val="af"/>
              <w:spacing w:after="0" w:afterAutospacing="0" w:before="0" w:beforeAutospacing="0"/>
              <w:jc w:val="center"/>
              <w:rPr>
                <w:b/>
                <w:color w:val="000000"/>
                <w:sz w:val="21"/>
                <w:szCs w:val="21"/>
              </w:rPr>
            </w:pPr>
            <w:r>
              <w:rPr>
                <w:b/>
                <w:color w:val="000000"/>
                <w:kern w:val="2"/>
                <w:sz w:val="21"/>
                <w:szCs w:val="21"/>
              </w:rPr>
              <w:t>2019年6月30日</w:t>
            </w:r>
          </w:p>
        </w:tc>
        <w:tc>
          <w:tcPr>
            <w:tcW w:type="dxa" w:w="2977"/>
            <w:vAlign w:val="center"/>
          </w:tcPr>
          <w:p w:rsidR="00967083" w:rsidRDefault="00E4498A">
            <w:pPr>
              <w:pStyle w:val="af"/>
              <w:spacing w:after="0" w:afterAutospacing="0" w:before="0" w:beforeAutospacing="0"/>
              <w:jc w:val="center"/>
              <w:rPr>
                <w:b/>
                <w:color w:val="000000"/>
                <w:sz w:val="21"/>
                <w:szCs w:val="21"/>
              </w:rPr>
            </w:pPr>
            <w:r>
              <w:rPr>
                <w:rFonts w:hint="eastAsia"/>
                <w:b/>
                <w:color w:val="000000"/>
                <w:sz w:val="21"/>
                <w:szCs w:val="21"/>
              </w:rPr>
              <w:t>上年度末</w:t>
            </w:r>
            <w:r>
              <w:rPr>
                <w:rFonts w:asciiTheme="minorEastAsia" w:eastAsiaTheme="minorEastAsia" w:hAnsiTheme="minorEastAsia" w:hint="eastAsia"/>
                <w:b/>
                <w:color w:val="000000"/>
                <w:sz w:val="21"/>
                <w:szCs w:val="21"/>
              </w:rPr>
              <w:t/>
            </w:r>
          </w:p>
          <w:p w:rsidR="00967083" w:rsidRDefault="00E4498A">
            <w:pPr>
              <w:pStyle w:val="af"/>
              <w:spacing w:after="0" w:afterAutospacing="0" w:before="0" w:beforeAutospacing="0"/>
              <w:jc w:val="center"/>
              <w:rPr>
                <w:b/>
                <w:color w:val="000000"/>
                <w:sz w:val="21"/>
                <w:szCs w:val="21"/>
              </w:rPr>
            </w:pPr>
            <w:r>
              <w:rPr>
                <w:b/>
                <w:color w:val="000000"/>
                <w:sz w:val="21"/>
                <w:szCs w:val="21"/>
              </w:rPr>
              <w:t>2018年12月31日</w:t>
            </w:r>
          </w:p>
        </w:tc>
      </w:tr>
      <w:tr w:rsidR="00967083">
        <w:tc>
          <w:tcPr>
            <w:tcW w:type="dxa" w:w="2977"/>
            <w:vAlign w:val="center"/>
          </w:tcPr>
          <w:p w:rsidR="00967083" w:rsidRDefault="00E4498A">
            <w:pPr>
              <w:rPr>
                <w:rFonts w:ascii="宋体"/>
                <w:color w:val="000000"/>
                <w:szCs w:val="21"/>
              </w:rPr>
            </w:pPr>
            <w:r>
              <w:rPr>
                <w:b/>
                <w:color w:val="000000"/>
                <w:szCs w:val="21"/>
              </w:rPr>
              <w:t>负</w:t>
            </w:r>
            <w:r>
              <w:rPr>
                <w:b/>
                <w:color w:val="000000"/>
                <w:szCs w:val="21"/>
              </w:rPr>
              <w:t xml:space="preserve"> </w:t>
            </w:r>
            <w:r>
              <w:rPr>
                <w:b/>
                <w:color w:val="000000"/>
                <w:szCs w:val="21"/>
              </w:rPr>
              <w:t>债：</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短期借款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交易性金融负债</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衍生金融负债</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卖出回购金融资产款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应付证券清算款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应付赎回款</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应付管理人报酬</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15,020.33</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38,051.97</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应付托管费</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5,006.77</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12,683.99</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应付销售服务费</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应付交易费用</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175.00</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1,050.00</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应交税费</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应付利息</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应付利润</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递延所得税负债</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其他负债</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62,840.27</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25,000.02</w:t>
            </w:r>
          </w:p>
        </w:tc>
      </w:tr>
      <w:tr w:rsidR="00967083">
        <w:tc>
          <w:tcPr>
            <w:tcW w:type="dxa" w:w="2977"/>
            <w:vAlign w:val="center"/>
          </w:tcPr>
          <w:p w:rsidR="00967083" w:rsidRDefault="00E4498A">
            <w:pPr>
              <w:pStyle w:val="af"/>
              <w:jc w:val="both"/>
              <w:rPr>
                <w:color w:val="000000"/>
                <w:sz w:val="21"/>
                <w:szCs w:val="21"/>
              </w:rPr>
            </w:pPr>
            <w:r>
              <w:rPr>
                <w:rFonts w:hint="eastAsia"/>
                <w:color w:val="000000"/>
                <w:sz w:val="21"/>
                <w:szCs w:val="21"/>
              </w:rPr>
              <w:t>负债合计</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83,042.37</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76,785.98</w:t>
            </w:r>
          </w:p>
        </w:tc>
      </w:tr>
      <w:tr w:rsidR="00967083">
        <w:tc>
          <w:tcPr>
            <w:tcW w:type="dxa" w:w="2977"/>
            <w:vAlign w:val="center"/>
          </w:tcPr>
          <w:p w:rsidR="00967083" w:rsidRDefault="00E4498A">
            <w:pPr>
              <w:rPr>
                <w:rFonts w:ascii="宋体"/>
                <w:b/>
                <w:color w:val="000000"/>
                <w:szCs w:val="21"/>
              </w:rPr>
            </w:pPr>
            <w:r>
              <w:rPr>
                <w:rFonts w:ascii="宋体" w:hAnsi="宋体" w:hint="eastAsia"/>
                <w:b/>
                <w:color w:val="000000"/>
                <w:szCs w:val="21"/>
              </w:rPr>
              <w:t>所有者权益：</w:t>
            </w:r>
          </w:p>
        </w:tc>
        <w:tc>
          <w:tcPr>
            <w:tcW w:type="dxa" w:w="2977"/>
            <w:vAlign w:val="bottom"/>
          </w:tcPr>
          <w:p w:rsidR="00967083" w:rsidRDefault="00E4498A">
            <w:pPr>
              <w:jc w:val="right"/>
              <w:rPr>
                <w:rFonts w:ascii="宋体" w:hAnsi="宋体"/>
                <w:b/>
                <w:color w:val="000000"/>
                <w:szCs w:val="21"/>
              </w:rPr>
            </w:pPr>
            <w:r>
              <w:rPr>
                <w:rFonts w:ascii="宋体"/>
                <w:b/>
                <w:color w:val="000000"/>
                <w:szCs w:val="21"/>
              </w:rPr>
              <w:t/>
            </w:r>
            <w:r>
              <w:rPr>
                <w:rFonts w:ascii="宋体" w:hAnsi="宋体"/>
                <w:b/>
                <w:color w:val="000000"/>
                <w:szCs w:val="21"/>
              </w:rPr>
              <w:t>-</w:t>
            </w:r>
          </w:p>
        </w:tc>
        <w:tc>
          <w:tcPr>
            <w:tcW w:type="dxa" w:w="2977"/>
            <w:vAlign w:val="bottom"/>
          </w:tcPr>
          <w:p w:rsidR="00967083" w:rsidRDefault="00E4498A">
            <w:pPr>
              <w:jc w:val="right"/>
              <w:rPr>
                <w:rFonts w:ascii="宋体" w:hAnsi="宋体"/>
                <w:b/>
                <w:color w:val="000000"/>
                <w:szCs w:val="21"/>
              </w:rPr>
            </w:pPr>
            <w:r>
              <w:rPr>
                <w:rFonts w:ascii="宋体" w:hAnsi="宋体"/>
                <w:b/>
                <w:color w:val="000000"/>
                <w:szCs w:val="21"/>
              </w:rPr>
              <w:t>-</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lastRenderedPageBreak/>
              <w:t>实收基金</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60,272,313.14</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62,070,072.84</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未分配利润</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764,016.69</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288,547.95</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所有者权益合计</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61,036,329.83</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62,358,620.79</w:t>
            </w:r>
          </w:p>
        </w:tc>
      </w:tr>
      <w:tr w:rsidR="00967083">
        <w:tc>
          <w:tcPr>
            <w:tcW w:type="dxa" w:w="2977"/>
            <w:vAlign w:val="center"/>
          </w:tcPr>
          <w:p w:rsidR="00967083" w:rsidRDefault="00E4498A">
            <w:pPr>
              <w:rPr>
                <w:rFonts w:ascii="宋体"/>
                <w:color w:val="000000"/>
                <w:szCs w:val="21"/>
              </w:rPr>
            </w:pPr>
            <w:r>
              <w:rPr>
                <w:rFonts w:ascii="宋体" w:hAnsi="宋体" w:hint="eastAsia"/>
                <w:color w:val="000000"/>
                <w:szCs w:val="21"/>
              </w:rPr>
              <w:t>负债和所有者权益总计</w:t>
            </w:r>
          </w:p>
        </w:tc>
        <w:tc>
          <w:tcPr>
            <w:tcW w:type="dxa" w:w="2977"/>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61,119,372.20</w:t>
            </w:r>
          </w:p>
        </w:tc>
        <w:tc>
          <w:tcPr>
            <w:tcW w:type="dxa" w:w="2977"/>
            <w:vAlign w:val="bottom"/>
          </w:tcPr>
          <w:p w:rsidR="00967083" w:rsidRDefault="00E4498A">
            <w:pPr>
              <w:jc w:val="right"/>
              <w:rPr>
                <w:rFonts w:ascii="宋体" w:hAnsi="宋体"/>
                <w:color w:val="000000"/>
                <w:szCs w:val="21"/>
              </w:rPr>
            </w:pPr>
            <w:r>
              <w:rPr>
                <w:rFonts w:ascii="宋体" w:hAnsi="宋体"/>
                <w:color w:val="000000"/>
                <w:szCs w:val="21"/>
              </w:rPr>
              <w:t>62,435,406.77</w:t>
            </w:r>
          </w:p>
        </w:tc>
      </w:tr>
    </w:tbl>
    <w:p w:rsidR="00967083" w:rsidRDefault="00E4498A">
      <w:pPr>
        <w:tabs>
          <w:tab w:pos="426" w:val="left"/>
        </w:tabs>
        <w:spacing w:line="360" w:lineRule="auto"/>
        <w:ind w:firstLine="420" w:firstLineChars="200"/>
        <w:jc w:val="left"/>
        <w:rPr>
          <w:rFonts w:ascii="宋体"/>
          <w:color w:val="000000"/>
          <w:kern w:val="0"/>
          <w:szCs w:val="21"/>
        </w:rPr>
      </w:pPr>
      <w:r>
        <w:rPr>
          <w:rFonts w:ascii="宋体" w:cs="宋体"/>
          <w:kern w:val="0"/>
          <w:szCs w:val="21"/>
        </w:rPr>
        <w:t>注：报告截止日2019年6月30日，基金份额净值人民币1.0127元，基金份额总额60,272,313.14份。</w:t>
      </w:r>
    </w:p>
    <w:p w:rsidR="00967083" w:rsidRDefault="00E4498A">
      <w:pPr>
        <w:pStyle w:val="2"/>
        <w:spacing w:after="312" w:afterLines="100" w:before="312" w:beforeLines="100"/>
        <w:rPr>
          <w:rFonts w:ascii="宋体"/>
          <w:kern w:val="0"/>
          <w:sz w:val="21"/>
          <w:szCs w:val="21"/>
        </w:rPr>
      </w:pPr>
      <w:bookmarkStart w:id="46" w:name="_Toc225498269"/>
      <w:bookmarkStart w:id="47" w:name="_Toc374540562"/>
      <w:r>
        <w:rPr>
          <w:rFonts w:ascii="宋体"/>
          <w:kern w:val="0"/>
          <w:sz w:val="21"/>
          <w:szCs w:val="21"/>
        </w:rPr>
        <w:t xml:space="preserve">6.2 </w:t>
      </w:r>
      <w:r>
        <w:rPr>
          <w:rFonts w:ascii="宋体" w:hint="eastAsia"/>
          <w:kern w:val="0"/>
          <w:sz w:val="21"/>
          <w:szCs w:val="21"/>
        </w:rPr>
        <w:t>利润表</w:t>
      </w:r>
      <w:bookmarkEnd w:id="46"/>
      <w:bookmarkEnd w:id="47"/>
    </w:p>
    <w:p w:rsidR="00967083" w:rsidRDefault="00E4498A">
      <w:pPr>
        <w:spacing w:line="360" w:lineRule="auto"/>
        <w:rPr>
          <w:rFonts w:ascii="宋体" w:cs="宋体" w:hAnsi="宋体"/>
          <w:kern w:val="0"/>
          <w:szCs w:val="21"/>
        </w:rPr>
      </w:pPr>
      <w:r>
        <w:rPr>
          <w:rFonts w:ascii="宋体" w:hAnsi="宋体" w:hint="eastAsia"/>
          <w:color w:val="000000"/>
          <w:szCs w:val="21"/>
        </w:rPr>
        <w:t>会计主体：</w:t>
      </w:r>
      <w:r>
        <w:rPr>
          <w:rFonts w:ascii="宋体" w:cs="宋体"/>
          <w:kern w:val="0"/>
          <w:szCs w:val="21"/>
        </w:rPr>
        <w:t/>
      </w:r>
      <w:r>
        <w:rPr>
          <w:rFonts w:ascii="宋体" w:cs="宋体" w:hAnsi="宋体"/>
          <w:kern w:val="0"/>
          <w:szCs w:val="21"/>
        </w:rPr>
        <w:t>广发景润纯债债券型证券投资基金</w:t>
      </w:r>
    </w:p>
    <w:p w:rsidR="00967083" w:rsidRDefault="00E4498A">
      <w:pPr>
        <w:spacing w:line="360" w:lineRule="auto"/>
        <w:rPr>
          <w:rFonts w:ascii="宋体"/>
          <w:color w:val="000000"/>
          <w:kern w:val="0"/>
          <w:szCs w:val="21"/>
        </w:rPr>
      </w:pPr>
      <w:r>
        <w:rPr>
          <w:rFonts w:ascii="宋体" w:hAnsi="宋体" w:hint="eastAsia"/>
          <w:color w:val="000000"/>
          <w:szCs w:val="21"/>
        </w:rPr>
        <w:t>本报告期：</w:t>
      </w:r>
      <w:r>
        <w:rPr>
          <w:rFonts w:ascii="宋体" w:cs="宋体"/>
          <w:kern w:val="0"/>
          <w:szCs w:val="21"/>
        </w:rPr>
        <w:t/>
      </w:r>
      <w:r>
        <w:rPr>
          <w:rFonts w:ascii="宋体" w:cs="宋体" w:hAnsi="宋体"/>
          <w:kern w:val="0"/>
          <w:szCs w:val="21"/>
        </w:rPr>
        <w:t>2019年1月1日</w:t>
      </w:r>
      <w:r>
        <w:rPr>
          <w:rFonts w:ascii="宋体" w:cs="宋体" w:hAnsi="宋体" w:hint="eastAsia"/>
          <w:kern w:val="0"/>
          <w:szCs w:val="21"/>
        </w:rPr>
        <w:t>至</w:t>
      </w:r>
      <w:r>
        <w:rPr>
          <w:rFonts w:ascii="宋体" w:cs="宋体"/>
          <w:kern w:val="0"/>
          <w:szCs w:val="21"/>
        </w:rPr>
        <w:t/>
      </w:r>
      <w:r>
        <w:rPr>
          <w:rFonts w:ascii="宋体" w:cs="宋体" w:hAnsi="宋体"/>
          <w:kern w:val="0"/>
          <w:szCs w:val="21"/>
        </w:rPr>
        <w:t>2019年6月30日</w:t>
      </w:r>
    </w:p>
    <w:p w:rsidR="00967083" w:rsidRDefault="00E4498A">
      <w:pPr>
        <w:autoSpaceDE w:val="0"/>
        <w:autoSpaceDN w:val="0"/>
        <w:adjustRightInd w:val="0"/>
        <w:spacing w:before="29" w:line="288" w:lineRule="auto"/>
        <w:ind w:left="15"/>
        <w:jc w:val="right"/>
        <w:rPr>
          <w:rFonts w:ascii="宋体"/>
          <w:color w:val="000000"/>
          <w:kern w:val="0"/>
          <w:szCs w:val="21"/>
        </w:rPr>
      </w:pPr>
      <w:r>
        <w:rPr>
          <w:rFonts w:ascii="宋体" w:hAnsi="宋体" w:hint="eastAsia"/>
          <w:color w:val="000000"/>
          <w:kern w:val="0"/>
          <w:szCs w:val="21"/>
        </w:rPr>
        <w:t>单位：人民币元</w:t>
      </w:r>
    </w:p>
    <w:tbl>
      <w:tblPr>
        <w:tblW w:type="dxa" w:w="792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3420"/>
        <w:gridCol w:w="2250"/>
        <w:gridCol w:w="2250"/>
      </w:tblGrid>
      <w:tr w:rsidR="00967083">
        <w:tc>
          <w:tcPr>
            <w:tcW w:type="dxa" w:w="3420"/>
            <w:vAlign w:val="center"/>
          </w:tcPr>
          <w:p w:rsidR="00967083" w:rsidRDefault="00E4498A">
            <w:pPr>
              <w:pStyle w:val="af"/>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项目</w:t>
            </w:r>
          </w:p>
        </w:tc>
        <w:tc>
          <w:tcPr>
            <w:tcW w:type="dxa" w:w="4500"/>
            <w:hMerge w:val="restart"/>
            <w:vAlign w:val="center"/>
          </w:tcPr>
          <w:p w:rsidR="00967083" w:rsidRDefault="00E4498A">
            <w:pPr>
              <w:pStyle w:val="af"/>
              <w:spacing w:after="0" w:afterAutospacing="0" w:before="0" w:beforeAutospacing="0"/>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本期</w:t>
            </w:r>
          </w:p>
          <w:p w:rsidR="00967083" w:rsidRDefault="00E4498A">
            <w:pPr>
              <w:pStyle w:val="af"/>
              <w:spacing w:after="0" w:afterAutospacing="0" w:before="0" w:beforeAutospacing="0"/>
              <w:jc w:val="center"/>
              <w:rPr>
                <w:rFonts w:ascii="Times New Roman" w:eastAsiaTheme="minorEastAsia" w:hAnsi="Times New Roman"/>
                <w:b/>
                <w:color w:val="000000"/>
                <w:sz w:val="21"/>
                <w:szCs w:val="21"/>
              </w:rPr>
            </w:pPr>
            <w:r>
              <w:rPr>
                <w:rFonts w:ascii="Times New Roman" w:eastAsiaTheme="minorEastAsia" w:hAnsi="Times New Roman"/>
                <w:b/>
                <w:sz w:val="21"/>
                <w:szCs w:val="21"/>
              </w:rPr>
              <w:t>2019年1月1日</w:t>
            </w:r>
            <w:r>
              <w:rPr>
                <w:rFonts w:ascii="Times New Roman" w:eastAsiaTheme="minorEastAsia" w:hAnsi="Times New Roman"/>
                <w:b/>
                <w:sz w:val="21"/>
                <w:szCs w:val="21"/>
              </w:rPr>
              <w:t>至</w:t>
            </w:r>
            <w:r>
              <w:rPr>
                <w:rFonts w:ascii="Times New Roman" w:eastAsiaTheme="minorEastAsia" w:hAnsi="Times New Roman"/>
                <w:b/>
                <w:sz w:val="21"/>
                <w:szCs w:val="21"/>
              </w:rPr>
              <w:t>2019年6月30日</w:t>
            </w:r>
          </w:p>
        </w:tc>
        <w:tc>
          <w:tcPr>
            <w:tcW w:type="dxa" w:w="2250"/>
            <w:hMerge/>
            <w:vAlign w:val="center"/>
          </w:tcPr>
          <w:p w:rsidR="00967083" w:rsidRDefault="00E4498A">
            <w:pPr>
              <w:pStyle w:val="af"/>
              <w:spacing w:after="0" w:afterAutospacing="0" w:before="0" w:beforeAutospacing="0"/>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上年度可比期间</w:t>
            </w:r>
          </w:p>
          <w:p w:rsidR="00967083" w:rsidRDefault="00E4498A">
            <w:pPr>
              <w:pStyle w:val="af"/>
              <w:spacing w:after="0" w:afterAutospacing="0" w:before="0" w:beforeAutospacing="0"/>
              <w:jc w:val="center"/>
              <w:rPr>
                <w:rFonts w:ascii="Times New Roman" w:eastAsiaTheme="minorEastAsia" w:hAnsi="Times New Roman"/>
                <w:color w:val="000000"/>
                <w:sz w:val="21"/>
                <w:szCs w:val="21"/>
              </w:rPr>
            </w:pPr>
            <w:r>
              <w:rPr>
                <w:rFonts w:ascii="Times New Roman" w:eastAsiaTheme="minorEastAsia" w:hAnsi="Times New Roman"/>
                <w:b/>
                <w:color w:val="000000"/>
                <w:sz w:val="21"/>
                <w:szCs w:val="21"/>
              </w:rPr>
              <w:t>-</w:t>
            </w:r>
          </w:p>
        </w:tc>
      </w:tr>
      <w:tr w:rsidR="00967083">
        <w:tc>
          <w:tcPr>
            <w:tcW w:type="dxa" w:w="3420"/>
            <w:vAlign w:val="center"/>
          </w:tcPr>
          <w:p w:rsidR="00967083" w:rsidRDefault="00E4498A">
            <w:pPr>
              <w:rPr>
                <w:rFonts w:eastAsiaTheme="minorEastAsia"/>
                <w:b/>
                <w:color w:val="000000"/>
                <w:szCs w:val="21"/>
              </w:rPr>
            </w:pPr>
            <w:r>
              <w:rPr>
                <w:rFonts w:eastAsiaTheme="minorEastAsia"/>
                <w:b/>
                <w:color w:val="000000"/>
                <w:szCs w:val="21"/>
              </w:rPr>
              <w:t>一、收入</w:t>
            </w:r>
          </w:p>
        </w:tc>
        <w:tc>
          <w:tcPr>
            <w:tcW w:type="dxa" w:w="4500"/>
            <w:hMerge w:val="restart"/>
            <w:vAlign w:val="bottom"/>
          </w:tcPr>
          <w:p w:rsidR="00967083" w:rsidRDefault="00E4498A">
            <w:pPr>
              <w:jc w:val="right"/>
              <w:rPr>
                <w:rFonts w:eastAsiaTheme="minorEastAsia"/>
                <w:b/>
                <w:color w:val="000000"/>
                <w:szCs w:val="21"/>
              </w:rPr>
            </w:pPr>
            <w:r>
              <w:rPr>
                <w:rFonts w:eastAsiaTheme="minorEastAsia"/>
                <w:b/>
                <w:color w:val="000000"/>
                <w:szCs w:val="21"/>
              </w:rPr>
              <w:t>1,118,486.76</w:t>
            </w:r>
          </w:p>
        </w:tc>
        <w:tc>
          <w:tcPr>
            <w:tcW w:type="dxa" w:w="2250"/>
            <w:hMerge/>
            <w:vAlign w:val="bottom"/>
          </w:tcPr>
          <w:p w:rsidR="00967083" w:rsidRDefault="00E4498A">
            <w:pPr>
              <w:jc w:val="right"/>
              <w:rPr>
                <w:rFonts w:eastAsiaTheme="minorEastAsia"/>
                <w:b/>
                <w:color w:val="000000"/>
                <w:szCs w:val="21"/>
              </w:rPr>
            </w:pPr>
            <w:r>
              <w:rPr>
                <w:rFonts w:eastAsiaTheme="minorEastAsia"/>
                <w:b/>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1.</w:t>
            </w:r>
            <w:r>
              <w:rPr>
                <w:rFonts w:eastAsiaTheme="minorEastAsia"/>
                <w:color w:val="000000"/>
                <w:szCs w:val="21"/>
              </w:rPr>
              <w:t>利息收入</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1,092,881.42</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其中：存款利息收入</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5,194.38</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债券利息收入</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1,084,705.62</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资产支持证券利息收入</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买入返售金融资产收入</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2,981.42</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其他利息收入</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2.</w:t>
            </w:r>
            <w:r>
              <w:rPr>
                <w:rFonts w:eastAsiaTheme="minorEastAsia"/>
                <w:color w:val="000000"/>
                <w:szCs w:val="21"/>
              </w:rPr>
              <w:t>投资收益（损失以</w:t>
            </w:r>
            <w:r>
              <w:rPr>
                <w:rFonts w:eastAsiaTheme="minorEastAsia"/>
                <w:color w:val="000000"/>
                <w:szCs w:val="21"/>
              </w:rPr>
              <w:t>“-”</w:t>
            </w:r>
            <w:r>
              <w:rPr>
                <w:rFonts w:eastAsiaTheme="minorEastAsia"/>
                <w:color w:val="000000"/>
                <w:szCs w:val="21"/>
              </w:rPr>
              <w:t>填列）</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125,652.27</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其中：股票投资收益</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基金投资收益</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债券投资收益</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
            </w:r>
            <w:r>
              <w:rPr>
                <w:rFonts w:eastAsiaTheme="minorEastAsia"/>
                <w:color w:val="000000"/>
                <w:szCs w:val="21"/>
              </w:rPr>
              <w:lastRenderedPageBreak/>
              <w:t>125,652.27</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lastRenderedPageBreak/>
              <w:t/>
            </w:r>
            <w:r>
              <w:rPr>
                <w:rFonts w:eastAsiaTheme="minorEastAsia"/>
                <w:color w:val="000000"/>
                <w:szCs w:val="21"/>
              </w:rPr>
              <w:lastRenderedPageBreak/>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lastRenderedPageBreak/>
              <w:t>资产支持证券投资收益</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spacing w:line="360" w:lineRule="auto"/>
              <w:ind w:firstLine="630" w:firstLineChars="300"/>
              <w:rPr>
                <w:rFonts w:eastAsiaTheme="minorEastAsia"/>
                <w:color w:val="000000"/>
                <w:szCs w:val="21"/>
              </w:rPr>
            </w:pPr>
            <w:r>
              <w:rPr>
                <w:rFonts w:eastAsiaTheme="minorEastAsia"/>
              </w:rPr>
              <w:t>贵金属投资收益</w:t>
            </w:r>
          </w:p>
        </w:tc>
        <w:tc>
          <w:tcPr>
            <w:tcW w:type="dxa" w:w="4500"/>
            <w:hMerge w:val="restart"/>
            <w:vAlign w:val="center"/>
          </w:tcPr>
          <w:p w:rsidR="00967083" w:rsidRDefault="00E4498A">
            <w:pPr>
              <w:spacing w:line="360" w:lineRule="auto"/>
              <w:jc w:val="right"/>
              <w:rPr>
                <w:rFonts w:eastAsiaTheme="minorEastAsia"/>
                <w:color w:val="000000"/>
                <w:szCs w:val="21"/>
              </w:rPr>
            </w:pPr>
            <w:r>
              <w:rPr>
                <w:rFonts w:eastAsiaTheme="minorEastAsia"/>
                <w:color w:val="000000"/>
                <w:szCs w:val="21"/>
              </w:rPr>
              <w:t>-</w:t>
            </w:r>
          </w:p>
        </w:tc>
        <w:tc>
          <w:tcPr>
            <w:tcW w:type="dxa" w:w="2250"/>
            <w:hMerge/>
            <w:vAlign w:val="center"/>
          </w:tcPr>
          <w:p w:rsidR="00967083" w:rsidRDefault="00E4498A">
            <w:pPr>
              <w:spacing w:line="360" w:lineRule="auto"/>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衍生工具收益</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ind w:firstLine="630" w:firstLineChars="300"/>
              <w:rPr>
                <w:rFonts w:eastAsiaTheme="minorEastAsia"/>
                <w:color w:val="000000"/>
                <w:szCs w:val="21"/>
              </w:rPr>
            </w:pPr>
            <w:r>
              <w:rPr>
                <w:rFonts w:eastAsiaTheme="minorEastAsia"/>
                <w:color w:val="000000"/>
                <w:szCs w:val="21"/>
              </w:rPr>
              <w:t>股利收益</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3.</w:t>
            </w:r>
            <w:r>
              <w:rPr>
                <w:rFonts w:eastAsiaTheme="minorEastAsia"/>
                <w:color w:val="000000"/>
                <w:szCs w:val="21"/>
              </w:rPr>
              <w:t>公允价值变动收益（损失以</w:t>
            </w:r>
            <w:r>
              <w:rPr>
                <w:rFonts w:eastAsiaTheme="minorEastAsia"/>
                <w:color w:val="000000"/>
                <w:szCs w:val="21"/>
              </w:rPr>
              <w:t>“-”</w:t>
            </w:r>
            <w:r>
              <w:rPr>
                <w:rFonts w:eastAsiaTheme="minorEastAsia"/>
                <w:color w:val="000000"/>
                <w:szCs w:val="21"/>
              </w:rPr>
              <w:t>号填列）</w:t>
            </w:r>
          </w:p>
        </w:tc>
        <w:tc>
          <w:tcPr>
            <w:tcW w:type="dxa" w:w="4500"/>
            <w:hMerge w:val="restart"/>
            <w:vAlign w:val="center"/>
          </w:tcPr>
          <w:p w:rsidR="00967083" w:rsidRDefault="00E4498A">
            <w:pPr>
              <w:jc w:val="right"/>
              <w:rPr>
                <w:rFonts w:eastAsiaTheme="minorEastAsia"/>
                <w:color w:val="000000"/>
                <w:szCs w:val="21"/>
              </w:rPr>
            </w:pPr>
            <w:r>
              <w:rPr>
                <w:rFonts w:eastAsiaTheme="minorEastAsia"/>
                <w:color w:val="000000"/>
                <w:szCs w:val="21"/>
              </w:rPr>
              <w:t>-100,069.87</w:t>
            </w:r>
          </w:p>
        </w:tc>
        <w:tc>
          <w:tcPr>
            <w:tcW w:type="dxa" w:w="2250"/>
            <w:hMerge/>
            <w:vAlign w:val="center"/>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pStyle w:val="af"/>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4.</w:t>
            </w:r>
            <w:r>
              <w:rPr>
                <w:rFonts w:ascii="Times New Roman" w:eastAsiaTheme="minorEastAsia" w:hAnsi="Times New Roman"/>
                <w:color w:val="000000"/>
                <w:sz w:val="21"/>
                <w:szCs w:val="21"/>
              </w:rPr>
              <w:t>汇兑收益（损失以</w:t>
            </w:r>
            <w:r>
              <w:rPr>
                <w:rFonts w:ascii="Times New Roman" w:eastAsiaTheme="minorEastAsia" w:hAnsi="Times New Roman"/>
                <w:color w:val="000000"/>
                <w:sz w:val="21"/>
                <w:szCs w:val="21"/>
              </w:rPr>
              <w:t>“</w:t>
            </w:r>
            <w:r>
              <w:rPr>
                <w:rFonts w:ascii="Times New Roman" w:eastAsiaTheme="minorEastAsia" w:hAnsi="Times New Roman"/>
                <w:color w:val="000000"/>
                <w:sz w:val="21"/>
                <w:szCs w:val="21"/>
              </w:rPr>
              <w:t>－</w:t>
            </w:r>
            <w:r>
              <w:rPr>
                <w:rFonts w:ascii="Times New Roman" w:eastAsiaTheme="minorEastAsia" w:hAnsi="Times New Roman"/>
                <w:color w:val="000000"/>
                <w:sz w:val="21"/>
                <w:szCs w:val="21"/>
              </w:rPr>
              <w:t>”</w:t>
            </w:r>
            <w:r>
              <w:rPr>
                <w:rFonts w:ascii="Times New Roman" w:eastAsiaTheme="minorEastAsia" w:hAnsi="Times New Roman"/>
                <w:color w:val="000000"/>
                <w:sz w:val="21"/>
                <w:szCs w:val="21"/>
              </w:rPr>
              <w:t>号填列）</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5.</w:t>
            </w:r>
            <w:r>
              <w:rPr>
                <w:rFonts w:eastAsiaTheme="minorEastAsia"/>
                <w:color w:val="000000"/>
                <w:szCs w:val="21"/>
              </w:rPr>
              <w:t>其他收入（损失以</w:t>
            </w:r>
            <w:r>
              <w:rPr>
                <w:rFonts w:eastAsiaTheme="minorEastAsia"/>
                <w:color w:val="000000"/>
                <w:szCs w:val="21"/>
              </w:rPr>
              <w:t>“-”</w:t>
            </w:r>
            <w:r>
              <w:rPr>
                <w:rFonts w:eastAsiaTheme="minorEastAsia"/>
                <w:color w:val="000000"/>
                <w:szCs w:val="21"/>
              </w:rPr>
              <w:t>号填列）</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22.94</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b/>
                <w:color w:val="000000"/>
                <w:szCs w:val="21"/>
              </w:rPr>
            </w:pPr>
            <w:r>
              <w:rPr>
                <w:rFonts w:eastAsiaTheme="minorEastAsia"/>
                <w:b/>
                <w:color w:val="000000"/>
                <w:szCs w:val="21"/>
              </w:rPr>
              <w:t>减：二、费用</w:t>
            </w:r>
          </w:p>
        </w:tc>
        <w:tc>
          <w:tcPr>
            <w:tcW w:type="dxa" w:w="4500"/>
            <w:hMerge w:val="restart"/>
            <w:vAlign w:val="bottom"/>
          </w:tcPr>
          <w:p w:rsidR="00967083" w:rsidRDefault="00E4498A">
            <w:pPr>
              <w:jc w:val="right"/>
              <w:rPr>
                <w:rFonts w:eastAsiaTheme="minorEastAsia"/>
                <w:b/>
                <w:color w:val="000000"/>
                <w:szCs w:val="21"/>
              </w:rPr>
            </w:pPr>
            <w:r>
              <w:rPr>
                <w:rFonts w:eastAsiaTheme="minorEastAsia"/>
                <w:b/>
                <w:color w:val="000000"/>
                <w:szCs w:val="21"/>
              </w:rPr>
              <w:t>192,362.68</w:t>
            </w:r>
          </w:p>
        </w:tc>
        <w:tc>
          <w:tcPr>
            <w:tcW w:type="dxa" w:w="2250"/>
            <w:hMerge/>
            <w:vAlign w:val="bottom"/>
          </w:tcPr>
          <w:p w:rsidR="00967083" w:rsidRDefault="00E4498A">
            <w:pPr>
              <w:jc w:val="right"/>
              <w:rPr>
                <w:rFonts w:eastAsiaTheme="minorEastAsia"/>
                <w:b/>
                <w:color w:val="000000"/>
                <w:szCs w:val="21"/>
              </w:rPr>
            </w:pPr>
            <w:r>
              <w:rPr>
                <w:rFonts w:eastAsiaTheme="minorEastAsia"/>
                <w:b/>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1</w:t>
            </w:r>
            <w:r>
              <w:rPr>
                <w:rFonts w:eastAsiaTheme="minorEastAsia"/>
                <w:color w:val="000000"/>
                <w:szCs w:val="21"/>
              </w:rPr>
              <w:t>．管理人报酬</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92,905.22</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2</w:t>
            </w:r>
            <w:r>
              <w:rPr>
                <w:rFonts w:eastAsiaTheme="minorEastAsia"/>
                <w:color w:val="000000"/>
                <w:szCs w:val="21"/>
              </w:rPr>
              <w:t>．托管费</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30,968.36</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3</w:t>
            </w:r>
            <w:r>
              <w:rPr>
                <w:rFonts w:eastAsiaTheme="minorEastAsia"/>
                <w:color w:val="000000"/>
                <w:szCs w:val="21"/>
              </w:rPr>
              <w:t>．销售服务费</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4</w:t>
            </w:r>
            <w:r>
              <w:rPr>
                <w:rFonts w:eastAsiaTheme="minorEastAsia"/>
                <w:color w:val="000000"/>
                <w:szCs w:val="21"/>
              </w:rPr>
              <w:t>．交易费用</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823.42</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5</w:t>
            </w:r>
            <w:r>
              <w:rPr>
                <w:rFonts w:eastAsiaTheme="minorEastAsia"/>
                <w:color w:val="000000"/>
                <w:szCs w:val="21"/>
              </w:rPr>
              <w:t>．利息支出</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325.41</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color w:val="000000"/>
                <w:szCs w:val="21"/>
              </w:rPr>
              <w:t>其中：卖出回购金融资产支出</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325.41</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highlight w:val="red"/>
              </w:rPr>
            </w:pPr>
            <w:r>
              <w:rPr>
                <w:rFonts w:eastAsiaTheme="minorEastAsia" w:hint="eastAsia"/>
                <w:color w:val="000000"/>
                <w:szCs w:val="21"/>
              </w:rPr>
              <w:t>6</w:t>
            </w:r>
            <w:r>
              <w:rPr>
                <w:rFonts w:eastAsiaTheme="minorEastAsia" w:hint="eastAsia"/>
                <w:color w:val="000000"/>
                <w:szCs w:val="21"/>
              </w:rPr>
              <w:t>．税金及附加</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color w:val="000000"/>
                <w:szCs w:val="21"/>
              </w:rPr>
            </w:pPr>
            <w:r>
              <w:rPr>
                <w:rFonts w:eastAsiaTheme="minorEastAsia" w:hint="eastAsia"/>
                <w:color w:val="000000"/>
                <w:szCs w:val="21"/>
              </w:rPr>
              <w:t>7</w:t>
            </w:r>
            <w:r>
              <w:rPr>
                <w:rFonts w:eastAsiaTheme="minorEastAsia"/>
                <w:color w:val="000000"/>
                <w:szCs w:val="21"/>
              </w:rPr>
              <w:t>．其他费用</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67,340.27</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b/>
                <w:color w:val="000000"/>
                <w:szCs w:val="21"/>
              </w:rPr>
            </w:pPr>
            <w:r>
              <w:rPr>
                <w:rFonts w:eastAsiaTheme="minorEastAsia"/>
                <w:b/>
                <w:color w:val="000000"/>
                <w:szCs w:val="21"/>
              </w:rPr>
              <w:t>三、利润总额（亏损总额以</w:t>
            </w:r>
            <w:r>
              <w:rPr>
                <w:rFonts w:eastAsiaTheme="minorEastAsia"/>
                <w:b/>
                <w:color w:val="000000"/>
                <w:szCs w:val="21"/>
              </w:rPr>
              <w:t>“-”</w:t>
            </w:r>
            <w:r>
              <w:rPr>
                <w:rFonts w:eastAsiaTheme="minorEastAsia"/>
                <w:b/>
                <w:color w:val="000000"/>
                <w:szCs w:val="21"/>
              </w:rPr>
              <w:t>号填列）</w:t>
            </w:r>
          </w:p>
        </w:tc>
        <w:tc>
          <w:tcPr>
            <w:tcW w:type="dxa" w:w="4500"/>
            <w:hMerge w:val="restart"/>
            <w:vAlign w:val="center"/>
          </w:tcPr>
          <w:p w:rsidR="00967083" w:rsidRDefault="00E4498A">
            <w:pPr>
              <w:jc w:val="right"/>
              <w:rPr>
                <w:rFonts w:eastAsiaTheme="minorEastAsia"/>
                <w:b/>
                <w:color w:val="000000"/>
                <w:szCs w:val="21"/>
              </w:rPr>
            </w:pPr>
            <w:r>
              <w:rPr>
                <w:rFonts w:eastAsiaTheme="minorEastAsia"/>
                <w:b/>
                <w:color w:val="000000"/>
                <w:szCs w:val="21"/>
              </w:rPr>
              <w:t>926,124.08</w:t>
            </w:r>
          </w:p>
        </w:tc>
        <w:tc>
          <w:tcPr>
            <w:tcW w:type="dxa" w:w="2250"/>
            <w:hMerge/>
            <w:vAlign w:val="center"/>
          </w:tcPr>
          <w:p w:rsidR="00967083" w:rsidRDefault="00E4498A">
            <w:pPr>
              <w:jc w:val="right"/>
              <w:rPr>
                <w:rFonts w:eastAsiaTheme="minorEastAsia"/>
                <w:b/>
                <w:color w:val="000000"/>
                <w:szCs w:val="21"/>
              </w:rPr>
            </w:pPr>
            <w:r>
              <w:rPr>
                <w:rFonts w:eastAsiaTheme="minorEastAsia"/>
                <w:b/>
                <w:color w:val="000000"/>
                <w:szCs w:val="21"/>
              </w:rPr>
              <w:t>-</w:t>
            </w:r>
          </w:p>
        </w:tc>
      </w:tr>
      <w:tr w:rsidR="00967083">
        <w:tc>
          <w:tcPr>
            <w:tcW w:type="dxa" w:w="3420"/>
            <w:vAlign w:val="center"/>
          </w:tcPr>
          <w:p w:rsidR="00967083" w:rsidRDefault="00E4498A">
            <w:pPr>
              <w:rPr>
                <w:rFonts w:eastAsiaTheme="minorEastAsia"/>
                <w:b/>
                <w:color w:val="000000"/>
                <w:szCs w:val="21"/>
              </w:rPr>
            </w:pPr>
            <w:r>
              <w:rPr>
                <w:rFonts w:eastAsiaTheme="minorEastAsia"/>
                <w:szCs w:val="21"/>
              </w:rPr>
              <w:t>减：所得税费用</w:t>
            </w:r>
          </w:p>
        </w:tc>
        <w:tc>
          <w:tcPr>
            <w:tcW w:type="dxa" w:w="4500"/>
            <w:hMerge w:val="restart"/>
            <w:vAlign w:val="bottom"/>
          </w:tcPr>
          <w:p w:rsidR="00967083" w:rsidRDefault="00E4498A">
            <w:pPr>
              <w:jc w:val="right"/>
              <w:rPr>
                <w:rFonts w:eastAsiaTheme="minorEastAsia"/>
                <w:color w:val="000000"/>
                <w:szCs w:val="21"/>
              </w:rPr>
            </w:pPr>
            <w:r>
              <w:rPr>
                <w:rFonts w:eastAsiaTheme="minorEastAsia"/>
                <w:color w:val="000000"/>
                <w:szCs w:val="21"/>
              </w:rPr>
              <w:t>-</w:t>
            </w:r>
          </w:p>
        </w:tc>
        <w:tc>
          <w:tcPr>
            <w:tcW w:type="dxa" w:w="2250"/>
            <w:hMerge/>
            <w:vAlign w:val="bottom"/>
          </w:tcPr>
          <w:p w:rsidR="00967083" w:rsidRDefault="00E4498A">
            <w:pPr>
              <w:jc w:val="right"/>
              <w:rPr>
                <w:rFonts w:eastAsiaTheme="minorEastAsia"/>
                <w:color w:val="000000"/>
                <w:szCs w:val="21"/>
              </w:rPr>
            </w:pPr>
            <w:r>
              <w:rPr>
                <w:rFonts w:eastAsiaTheme="minorEastAsia"/>
                <w:color w:val="000000"/>
                <w:szCs w:val="21"/>
              </w:rPr>
              <w:t>-</w:t>
            </w:r>
          </w:p>
        </w:tc>
      </w:tr>
      <w:tr w:rsidR="00967083">
        <w:tc>
          <w:tcPr>
            <w:tcW w:type="dxa" w:w="3420"/>
            <w:vAlign w:val="center"/>
          </w:tcPr>
          <w:p w:rsidR="00967083" w:rsidRDefault="00E4498A">
            <w:pPr>
              <w:rPr>
                <w:rFonts w:eastAsiaTheme="minorEastAsia"/>
                <w:b/>
                <w:color w:val="000000"/>
                <w:szCs w:val="21"/>
              </w:rPr>
            </w:pPr>
            <w:r>
              <w:rPr>
                <w:rFonts w:eastAsiaTheme="minorEastAsia"/>
                <w:b/>
                <w:color w:val="000000"/>
                <w:szCs w:val="21"/>
              </w:rPr>
              <w:t>四、净利润（净亏损以</w:t>
            </w:r>
            <w:r>
              <w:rPr>
                <w:rFonts w:eastAsiaTheme="minorEastAsia"/>
                <w:b/>
                <w:color w:val="000000"/>
                <w:szCs w:val="21"/>
              </w:rPr>
              <w:t>“-”</w:t>
            </w:r>
            <w:r>
              <w:rPr>
                <w:rFonts w:eastAsiaTheme="minorEastAsia"/>
                <w:b/>
                <w:color w:val="000000"/>
                <w:szCs w:val="21"/>
              </w:rPr>
              <w:t>号填列）</w:t>
            </w:r>
          </w:p>
        </w:tc>
        <w:tc>
          <w:tcPr>
            <w:tcW w:type="dxa" w:w="4500"/>
            <w:hMerge w:val="restart"/>
            <w:vAlign w:val="bottom"/>
          </w:tcPr>
          <w:p w:rsidR="00967083" w:rsidRDefault="00E4498A">
            <w:pPr>
              <w:jc w:val="right"/>
              <w:rPr>
                <w:rFonts w:eastAsiaTheme="minorEastAsia"/>
                <w:b/>
                <w:color w:val="000000"/>
                <w:szCs w:val="21"/>
              </w:rPr>
            </w:pPr>
            <w:r>
              <w:rPr>
                <w:rFonts w:eastAsiaTheme="minorEastAsia"/>
                <w:b/>
                <w:color w:val="000000"/>
                <w:szCs w:val="21"/>
              </w:rPr>
              <w:t>926,124.08</w:t>
            </w:r>
          </w:p>
        </w:tc>
        <w:tc>
          <w:tcPr>
            <w:tcW w:type="dxa" w:w="2250"/>
            <w:hMerge/>
            <w:vAlign w:val="bottom"/>
          </w:tcPr>
          <w:p w:rsidR="00967083" w:rsidRDefault="00E4498A">
            <w:pPr>
              <w:jc w:val="right"/>
              <w:rPr>
                <w:rFonts w:eastAsiaTheme="minorEastAsia"/>
                <w:b/>
                <w:color w:val="000000"/>
                <w:szCs w:val="21"/>
              </w:rPr>
            </w:pPr>
            <w:r>
              <w:rPr>
                <w:rFonts w:eastAsiaTheme="minorEastAsia"/>
                <w:b/>
                <w:color w:val="000000"/>
                <w:szCs w:val="21"/>
              </w:rPr>
              <w:t>-</w:t>
            </w:r>
          </w:p>
        </w:tc>
      </w:tr>
    </w:tbl>
    <w:p w:rsidR="00967083" w:rsidRDefault="00E4498A">
      <w:pPr>
        <w:pStyle w:val="2"/>
        <w:spacing w:after="312" w:afterLines="100" w:before="312" w:beforeLines="100"/>
        <w:rPr>
          <w:rFonts w:ascii="宋体"/>
          <w:kern w:val="0"/>
          <w:sz w:val="21"/>
          <w:szCs w:val="21"/>
        </w:rPr>
      </w:pPr>
      <w:bookmarkStart w:id="48" w:name="_Toc225498270"/>
      <w:bookmarkStart w:id="49" w:name="_Toc374540563"/>
      <w:r>
        <w:rPr>
          <w:rFonts w:ascii="宋体"/>
          <w:kern w:val="0"/>
          <w:sz w:val="21"/>
          <w:szCs w:val="21"/>
        </w:rPr>
        <w:lastRenderedPageBreak/>
        <w:t xml:space="preserve">6.3 </w:t>
      </w:r>
      <w:r>
        <w:rPr>
          <w:rFonts w:ascii="宋体" w:hint="eastAsia"/>
          <w:kern w:val="0"/>
          <w:sz w:val="21"/>
          <w:szCs w:val="21"/>
        </w:rPr>
        <w:t>所有者权益（基金净值）变动表</w:t>
      </w:r>
      <w:bookmarkEnd w:id="48"/>
      <w:bookmarkEnd w:id="49"/>
    </w:p>
    <w:p w:rsidR="00967083" w:rsidRDefault="00E4498A">
      <w:pPr>
        <w:spacing w:line="360" w:lineRule="auto"/>
        <w:rPr>
          <w:rFonts w:ascii="宋体" w:cs="宋体" w:hAnsi="宋体"/>
          <w:kern w:val="0"/>
          <w:szCs w:val="21"/>
        </w:rPr>
      </w:pPr>
      <w:r>
        <w:rPr>
          <w:rFonts w:ascii="宋体" w:hAnsi="宋体" w:hint="eastAsia"/>
          <w:color w:val="000000"/>
          <w:szCs w:val="21"/>
        </w:rPr>
        <w:t>会计主体：</w:t>
      </w:r>
      <w:r>
        <w:rPr>
          <w:rFonts w:ascii="宋体" w:cs="宋体"/>
          <w:kern w:val="0"/>
          <w:szCs w:val="21"/>
        </w:rPr>
        <w:t/>
      </w:r>
      <w:r>
        <w:rPr>
          <w:rFonts w:ascii="宋体" w:cs="宋体" w:hAnsi="宋体"/>
          <w:kern w:val="0"/>
          <w:szCs w:val="21"/>
        </w:rPr>
        <w:t>广发景润纯债债券型证券投资基金</w:t>
      </w:r>
    </w:p>
    <w:p w:rsidR="00967083" w:rsidRDefault="00E4498A">
      <w:pPr>
        <w:spacing w:line="360" w:lineRule="auto"/>
        <w:rPr>
          <w:rFonts w:ascii="宋体" w:cs="宋体"/>
          <w:kern w:val="0"/>
          <w:szCs w:val="21"/>
        </w:rPr>
      </w:pPr>
      <w:r>
        <w:rPr>
          <w:rFonts w:ascii="宋体" w:hAnsi="宋体" w:hint="eastAsia"/>
          <w:color w:val="000000"/>
          <w:szCs w:val="21"/>
        </w:rPr>
        <w:t>本报告期：</w:t>
      </w:r>
      <w:r>
        <w:rPr>
          <w:rFonts w:ascii="宋体" w:cs="宋体"/>
          <w:kern w:val="0"/>
          <w:szCs w:val="21"/>
        </w:rPr>
        <w:t/>
      </w:r>
      <w:r>
        <w:rPr>
          <w:rFonts w:ascii="宋体" w:cs="宋体" w:hAnsi="宋体"/>
          <w:kern w:val="0"/>
          <w:szCs w:val="21"/>
        </w:rPr>
        <w:t>2019年1月1日</w:t>
      </w:r>
      <w:r>
        <w:rPr>
          <w:rFonts w:ascii="宋体" w:cs="宋体" w:hAnsi="宋体" w:hint="eastAsia"/>
          <w:kern w:val="0"/>
          <w:szCs w:val="21"/>
        </w:rPr>
        <w:t>至</w:t>
      </w:r>
      <w:r>
        <w:rPr>
          <w:rFonts w:ascii="宋体" w:cs="宋体"/>
          <w:kern w:val="0"/>
          <w:szCs w:val="21"/>
        </w:rPr>
        <w:t/>
      </w:r>
      <w:r>
        <w:rPr>
          <w:rFonts w:ascii="宋体" w:cs="宋体" w:hAnsi="宋体"/>
          <w:kern w:val="0"/>
          <w:szCs w:val="21"/>
        </w:rPr>
        <w:t>2019年6月30日</w:t>
      </w:r>
    </w:p>
    <w:p w:rsidR="00967083" w:rsidRDefault="00E4498A">
      <w:pPr>
        <w:autoSpaceDE w:val="0"/>
        <w:autoSpaceDN w:val="0"/>
        <w:adjustRightInd w:val="0"/>
        <w:spacing w:before="29" w:line="288" w:lineRule="auto"/>
        <w:ind w:left="15"/>
        <w:jc w:val="right"/>
        <w:rPr>
          <w:rFonts w:ascii="宋体"/>
          <w:color w:val="000000"/>
          <w:kern w:val="0"/>
          <w:szCs w:val="21"/>
        </w:rPr>
      </w:pPr>
      <w:r>
        <w:rPr>
          <w:rFonts w:ascii="宋体" w:hAnsi="宋体" w:hint="eastAsia"/>
          <w:color w:val="000000"/>
          <w:kern w:val="0"/>
          <w:szCs w:val="21"/>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552"/>
        <w:gridCol w:w="2149"/>
        <w:gridCol w:w="2149"/>
        <w:gridCol w:w="2150"/>
      </w:tblGrid>
      <w:tr w:rsidR="00967083">
        <w:tc>
          <w:tcPr>
            <w:tcW w:type="dxa" w:w="2552"/>
            <w:vMerge w:val="restart"/>
            <w:vAlign w:val="center"/>
          </w:tcPr>
          <w:p w:rsidR="00967083" w:rsidRDefault="00E4498A">
            <w:pPr>
              <w:jc w:val="center"/>
              <w:rPr>
                <w:rFonts w:ascii="宋体"/>
                <w:b/>
                <w:color w:val="000000"/>
                <w:szCs w:val="21"/>
              </w:rPr>
            </w:pPr>
            <w:r>
              <w:rPr>
                <w:rFonts w:ascii="宋体" w:hAnsi="宋体" w:hint="eastAsia"/>
                <w:b/>
                <w:color w:val="000000"/>
                <w:szCs w:val="21"/>
              </w:rPr>
              <w:t>项目</w:t>
            </w:r>
          </w:p>
        </w:tc>
        <w:tc>
          <w:tcPr>
            <w:tcW w:type="dxa" w:w="6448"/>
            <w:gridSpan w:val="3"/>
            <w:vAlign w:val="center"/>
          </w:tcPr>
          <w:p w:rsidR="00967083" w:rsidRDefault="00E4498A">
            <w:pPr>
              <w:jc w:val="center"/>
              <w:rPr>
                <w:rFonts w:ascii="宋体"/>
                <w:b/>
                <w:color w:val="000000"/>
                <w:szCs w:val="21"/>
              </w:rPr>
            </w:pPr>
            <w:r>
              <w:rPr>
                <w:rFonts w:ascii="宋体" w:hAnsi="宋体" w:hint="eastAsia"/>
                <w:b/>
                <w:color w:val="000000"/>
                <w:szCs w:val="21"/>
              </w:rPr>
              <w:t>本期</w:t>
            </w:r>
          </w:p>
          <w:p w:rsidR="00967083" w:rsidRDefault="00E4498A">
            <w:pPr>
              <w:pStyle w:val="af"/>
              <w:spacing w:after="0" w:afterAutospacing="0" w:before="0" w:beforeAutospacing="0"/>
              <w:jc w:val="center"/>
              <w:rPr>
                <w:b/>
                <w:color w:val="000000"/>
                <w:sz w:val="21"/>
                <w:szCs w:val="21"/>
              </w:rPr>
            </w:pPr>
            <w:r>
              <w:rPr>
                <w:rFonts w:cs="宋体"/>
                <w:b/>
                <w:sz w:val="21"/>
                <w:szCs w:val="21"/>
              </w:rPr>
              <w:t>2019年1月1日</w:t>
            </w:r>
            <w:r>
              <w:rPr>
                <w:rFonts w:cs="宋体" w:hint="eastAsia"/>
                <w:b/>
                <w:sz w:val="21"/>
                <w:szCs w:val="21"/>
              </w:rPr>
              <w:t>至</w:t>
            </w:r>
            <w:r>
              <w:rPr>
                <w:rFonts w:cs="宋体"/>
                <w:b/>
                <w:sz w:val="21"/>
                <w:szCs w:val="21"/>
              </w:rPr>
              <w:t>2019年6月30日</w:t>
            </w:r>
          </w:p>
        </w:tc>
      </w:tr>
      <w:tr w:rsidR="00967083">
        <w:tc>
          <w:tcPr>
            <w:tcW w:type="dxa" w:w="2552"/>
            <w:vMerge/>
            <w:vAlign w:val="center"/>
          </w:tcPr>
          <w:p w:rsidR="00967083" w:rsidRDefault="00967083">
            <w:pPr>
              <w:widowControl/>
              <w:jc w:val="left"/>
              <w:rPr>
                <w:rFonts w:ascii="宋体"/>
                <w:b/>
                <w:color w:val="000000"/>
                <w:szCs w:val="21"/>
              </w:rPr>
            </w:pPr>
          </w:p>
        </w:tc>
        <w:tc>
          <w:tcPr>
            <w:tcW w:type="dxa" w:w="2149"/>
            <w:vAlign w:val="center"/>
          </w:tcPr>
          <w:p w:rsidR="00967083" w:rsidRDefault="00E4498A">
            <w:pPr>
              <w:jc w:val="center"/>
              <w:rPr>
                <w:rFonts w:ascii="宋体"/>
                <w:b/>
                <w:color w:val="000000"/>
                <w:szCs w:val="21"/>
              </w:rPr>
            </w:pPr>
            <w:r>
              <w:rPr>
                <w:rFonts w:ascii="宋体" w:hAnsi="宋体" w:hint="eastAsia"/>
                <w:b/>
                <w:color w:val="000000"/>
                <w:szCs w:val="21"/>
              </w:rPr>
              <w:t>实收基金</w:t>
            </w:r>
          </w:p>
        </w:tc>
        <w:tc>
          <w:tcPr>
            <w:tcW w:type="dxa" w:w="2149"/>
            <w:vAlign w:val="center"/>
          </w:tcPr>
          <w:p w:rsidR="00967083" w:rsidRDefault="00E4498A">
            <w:pPr>
              <w:jc w:val="center"/>
              <w:rPr>
                <w:rFonts w:ascii="宋体"/>
                <w:b/>
                <w:color w:val="000000"/>
                <w:szCs w:val="21"/>
              </w:rPr>
            </w:pPr>
            <w:r>
              <w:rPr>
                <w:rFonts w:ascii="宋体" w:hAnsi="宋体" w:hint="eastAsia"/>
                <w:b/>
                <w:color w:val="000000"/>
                <w:szCs w:val="21"/>
              </w:rPr>
              <w:t>未分配利润</w:t>
            </w:r>
          </w:p>
        </w:tc>
        <w:tc>
          <w:tcPr>
            <w:tcW w:type="dxa" w:w="2150"/>
            <w:vAlign w:val="center"/>
          </w:tcPr>
          <w:p w:rsidR="00967083" w:rsidRDefault="00E4498A">
            <w:pPr>
              <w:jc w:val="center"/>
              <w:rPr>
                <w:rFonts w:ascii="宋体"/>
                <w:color w:val="000000"/>
                <w:szCs w:val="21"/>
              </w:rPr>
            </w:pPr>
            <w:r>
              <w:rPr>
                <w:rFonts w:ascii="宋体" w:hAnsi="宋体" w:hint="eastAsia"/>
                <w:b/>
                <w:color w:val="000000"/>
                <w:szCs w:val="21"/>
              </w:rPr>
              <w:t>所有者权益合计</w:t>
            </w:r>
          </w:p>
        </w:tc>
      </w:tr>
      <w:tr w:rsidR="00967083">
        <w:tc>
          <w:tcPr>
            <w:tcW w:type="dxa" w:w="2552"/>
          </w:tcPr>
          <w:p w:rsidR="00967083" w:rsidRDefault="00E4498A">
            <w:pPr>
              <w:rPr>
                <w:rFonts w:ascii="宋体"/>
                <w:color w:val="000000"/>
                <w:szCs w:val="21"/>
              </w:rPr>
            </w:pPr>
            <w:r>
              <w:rPr>
                <w:rFonts w:ascii="宋体" w:hAnsi="宋体" w:hint="eastAsia"/>
                <w:color w:val="000000"/>
                <w:szCs w:val="21"/>
              </w:rPr>
              <w:t>一、期初所有者权益（基金净值）</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62,070,072.84</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288,547.95</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62,358,620.79</w:t>
            </w:r>
          </w:p>
        </w:tc>
      </w:tr>
      <w:tr w:rsidR="00967083">
        <w:tc>
          <w:tcPr>
            <w:tcW w:type="dxa" w:w="2552"/>
          </w:tcPr>
          <w:p w:rsidR="00967083" w:rsidRDefault="00E4498A">
            <w:pPr>
              <w:rPr>
                <w:rFonts w:ascii="宋体"/>
                <w:color w:val="000000"/>
                <w:szCs w:val="21"/>
              </w:rPr>
            </w:pPr>
            <w:r>
              <w:rPr>
                <w:rFonts w:ascii="宋体" w:hAnsi="宋体" w:hint="eastAsia"/>
                <w:color w:val="000000"/>
                <w:szCs w:val="21"/>
              </w:rPr>
              <w:t>二、本期经营活动产生的基金净值变动数（本期利润）</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926,124.08</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926,124.08</w:t>
            </w:r>
          </w:p>
        </w:tc>
      </w:tr>
      <w:tr w:rsidR="00967083">
        <w:tc>
          <w:tcPr>
            <w:tcW w:type="dxa" w:w="2552"/>
          </w:tcPr>
          <w:p w:rsidR="00967083" w:rsidRDefault="00E4498A">
            <w:pPr>
              <w:rPr>
                <w:rFonts w:ascii="宋体"/>
                <w:color w:val="000000"/>
                <w:szCs w:val="21"/>
              </w:rPr>
            </w:pPr>
            <w:r>
              <w:rPr>
                <w:rFonts w:ascii="宋体" w:hAnsi="宋体" w:hint="eastAsia"/>
                <w:color w:val="000000"/>
                <w:szCs w:val="21"/>
              </w:rPr>
              <w:t>三、本期基金份额交易产生的基金净值变动数（净值减少以“</w:t>
            </w:r>
            <w:r>
              <w:rPr>
                <w:rFonts w:ascii="宋体"/>
                <w:color w:val="000000"/>
                <w:szCs w:val="21"/>
              </w:rPr>
              <w:t>-</w:t>
            </w:r>
            <w:r>
              <w:rPr>
                <w:rFonts w:ascii="宋体" w:hAnsi="宋体" w:hint="eastAsia"/>
                <w:color w:val="000000"/>
                <w:szCs w:val="21"/>
              </w:rPr>
              <w:t>”号填列）</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-1,797,759.70</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-16,225.49</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-1,813,985.19</w:t>
            </w:r>
          </w:p>
        </w:tc>
      </w:tr>
      <w:tr w:rsidR="00967083">
        <w:tc>
          <w:tcPr>
            <w:tcW w:type="dxa" w:w="2552"/>
          </w:tcPr>
          <w:p w:rsidR="00967083" w:rsidRDefault="00E4498A">
            <w:pPr>
              <w:rPr>
                <w:rFonts w:ascii="宋体"/>
                <w:color w:val="000000"/>
                <w:szCs w:val="21"/>
              </w:rPr>
            </w:pPr>
            <w:r>
              <w:rPr>
                <w:rFonts w:ascii="宋体" w:hAnsi="宋体" w:hint="eastAsia"/>
                <w:color w:val="000000"/>
                <w:szCs w:val="21"/>
              </w:rPr>
              <w:t>其中：</w:t>
            </w:r>
            <w:r>
              <w:rPr>
                <w:rFonts w:ascii="宋体" w:hAnsi="宋体"/>
                <w:color w:val="000000"/>
                <w:szCs w:val="21"/>
              </w:rPr>
              <w:t>1.</w:t>
            </w:r>
            <w:r>
              <w:rPr>
                <w:rFonts w:ascii="宋体" w:hAnsi="宋体" w:hint="eastAsia"/>
                <w:color w:val="000000"/>
                <w:szCs w:val="21"/>
              </w:rPr>
              <w:t>基金申购款</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297,702.96</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3,050.60</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300,753.56</w:t>
            </w:r>
          </w:p>
        </w:tc>
      </w:tr>
      <w:tr w:rsidR="00967083">
        <w:tc>
          <w:tcPr>
            <w:tcW w:type="dxa" w:w="2552"/>
          </w:tcPr>
          <w:p w:rsidR="00967083" w:rsidRDefault="00E4498A">
            <w:pPr>
              <w:ind w:firstLine="630" w:firstLineChars="300"/>
              <w:rPr>
                <w:rFonts w:ascii="宋体"/>
                <w:color w:val="000000"/>
                <w:szCs w:val="21"/>
              </w:rPr>
            </w:pPr>
            <w:r>
              <w:rPr>
                <w:rFonts w:ascii="宋体" w:hAnsi="宋体"/>
                <w:color w:val="000000"/>
                <w:szCs w:val="21"/>
              </w:rPr>
              <w:t>2.</w:t>
            </w:r>
            <w:r>
              <w:rPr>
                <w:rFonts w:ascii="宋体" w:hAnsi="宋体" w:hint="eastAsia"/>
                <w:color w:val="000000"/>
                <w:szCs w:val="21"/>
              </w:rPr>
              <w:t>基金赎回款</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-2,095,462.66</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-19,276.09</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-2,114,738.75</w:t>
            </w:r>
          </w:p>
        </w:tc>
      </w:tr>
      <w:tr w:rsidR="00967083">
        <w:tc>
          <w:tcPr>
            <w:tcW w:type="dxa" w:w="2552"/>
          </w:tcPr>
          <w:p w:rsidR="00967083" w:rsidRDefault="00E4498A">
            <w:pPr>
              <w:rPr>
                <w:rFonts w:ascii="宋体"/>
                <w:color w:val="000000"/>
                <w:szCs w:val="21"/>
              </w:rPr>
            </w:pPr>
            <w:r>
              <w:rPr>
                <w:rFonts w:ascii="宋体" w:hAnsi="宋体" w:hint="eastAsia"/>
                <w:color w:val="000000"/>
                <w:szCs w:val="21"/>
              </w:rPr>
              <w:t>四、本期向基金份额持有人分配利润产生的基金净值变动（净值减少以“</w:t>
            </w:r>
            <w:r>
              <w:rPr>
                <w:rFonts w:ascii="宋体"/>
                <w:color w:val="000000"/>
                <w:szCs w:val="21"/>
              </w:rPr>
              <w:t>-</w:t>
            </w:r>
            <w:r>
              <w:rPr>
                <w:rFonts w:ascii="宋体" w:hAnsi="宋体" w:hint="eastAsia"/>
                <w:color w:val="000000"/>
                <w:szCs w:val="21"/>
              </w:rPr>
              <w:t>”号填列）</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-434,429.85</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-434,429.85</w:t>
            </w:r>
          </w:p>
        </w:tc>
      </w:tr>
      <w:tr w:rsidR="00967083">
        <w:tc>
          <w:tcPr>
            <w:tcW w:type="dxa" w:w="2552"/>
          </w:tcPr>
          <w:p w:rsidR="00967083" w:rsidRDefault="00E4498A">
            <w:pPr>
              <w:rPr>
                <w:rFonts w:ascii="宋体"/>
                <w:color w:val="000000"/>
                <w:szCs w:val="21"/>
              </w:rPr>
            </w:pPr>
            <w:r>
              <w:rPr>
                <w:rFonts w:ascii="宋体" w:hAnsi="宋体" w:hint="eastAsia"/>
                <w:color w:val="000000"/>
                <w:szCs w:val="21"/>
              </w:rPr>
              <w:t>五、期末所有者权益（基金净值）</w:t>
            </w:r>
          </w:p>
        </w:tc>
        <w:tc>
          <w:tcPr>
            <w:tcW w:type="dxa" w:w="2149"/>
            <w:vAlign w:val="bottom"/>
          </w:tcPr>
          <w:p w:rsidR="00967083" w:rsidRDefault="00E4498A">
            <w:pPr>
              <w:jc w:val="right"/>
              <w:rPr>
                <w:rFonts w:ascii="宋体" w:hAnsi="宋体"/>
                <w:color w:val="000000"/>
                <w:szCs w:val="21"/>
              </w:rPr>
            </w:pPr>
            <w:r>
              <w:rPr>
                <w:rFonts w:ascii="宋体"/>
                <w:color w:val="000000"/>
                <w:szCs w:val="21"/>
              </w:rPr>
              <w:t/>
            </w:r>
            <w:r>
              <w:rPr>
                <w:rFonts w:ascii="宋体" w:hAnsi="宋体"/>
                <w:color w:val="000000"/>
                <w:szCs w:val="21"/>
              </w:rPr>
              <w:t>60,272,313.14</w:t>
            </w:r>
          </w:p>
        </w:tc>
        <w:tc>
          <w:tcPr>
            <w:tcW w:type="dxa" w:w="2149"/>
            <w:vAlign w:val="bottom"/>
          </w:tcPr>
          <w:p w:rsidR="00967083" w:rsidRDefault="00E4498A">
            <w:pPr>
              <w:jc w:val="right"/>
              <w:rPr>
                <w:rFonts w:ascii="宋体" w:hAnsi="宋体"/>
                <w:color w:val="000000"/>
                <w:szCs w:val="21"/>
              </w:rPr>
            </w:pPr>
            <w:r>
              <w:rPr>
                <w:rFonts w:ascii="宋体" w:hAnsi="宋体"/>
                <w:color w:val="000000"/>
                <w:szCs w:val="21"/>
              </w:rPr>
              <w:t>764,016.69</w:t>
            </w:r>
          </w:p>
        </w:tc>
        <w:tc>
          <w:tcPr>
            <w:tcW w:type="dxa" w:w="2150"/>
            <w:vAlign w:val="bottom"/>
          </w:tcPr>
          <w:p w:rsidR="00967083" w:rsidRDefault="00E4498A">
            <w:pPr>
              <w:jc w:val="right"/>
              <w:rPr>
                <w:rFonts w:ascii="宋体" w:hAnsi="宋体"/>
                <w:color w:val="000000"/>
                <w:szCs w:val="21"/>
              </w:rPr>
            </w:pPr>
            <w:r>
              <w:rPr>
                <w:rFonts w:ascii="宋体" w:hAnsi="宋体"/>
                <w:color w:val="000000"/>
                <w:szCs w:val="21"/>
              </w:rPr>
              <w:t>61,036,329.83</w:t>
            </w:r>
          </w:p>
        </w:tc>
      </w:tr>
    </w:tbl>
    <w:p w:rsidR="00967083" w:rsidRDefault="00E4498A">
      <w:pPr>
        <w:spacing w:line="360" w:lineRule="auto"/>
        <w:rPr>
          <w:szCs w:val="21"/>
        </w:rPr>
      </w:pPr>
      <w:r>
        <w:rPr>
          <w:szCs w:val="21"/>
        </w:rPr>
        <w:t>报表附注为财务报表的组成部分。</w:t>
      </w:r>
    </w:p>
    <w:p w:rsidR="00967083" w:rsidRDefault="00E4498A">
      <w:pPr>
        <w:spacing w:line="360" w:lineRule="auto"/>
        <w:rPr>
          <w:szCs w:val="21"/>
        </w:rPr>
      </w:pPr>
      <w:r>
        <w:rPr>
          <w:szCs w:val="21"/>
        </w:rPr>
        <w:t>本报告</w:t>
      </w:r>
      <w:r>
        <w:rPr>
          <w:szCs w:val="21"/>
        </w:rPr>
        <w:t>6.1</w:t>
      </w:r>
      <w:r>
        <w:rPr>
          <w:szCs w:val="21"/>
        </w:rPr>
        <w:t>至</w:t>
      </w:r>
      <w:r>
        <w:rPr>
          <w:szCs w:val="21"/>
        </w:rPr>
        <w:t>6.4</w:t>
      </w:r>
      <w:r>
        <w:rPr>
          <w:szCs w:val="21"/>
        </w:rPr>
        <w:t>，财务报表由下列负责人签署：</w:t>
      </w:r>
    </w:p>
    <w:p w:rsidR="00967083" w:rsidRDefault="00E4498A">
      <w:pPr>
        <w:spacing w:line="360" w:lineRule="auto"/>
        <w:rPr>
          <w:szCs w:val="21"/>
        </w:rPr>
      </w:pPr>
      <w:r>
        <w:rPr>
          <w:szCs w:val="21"/>
        </w:rPr>
        <w:t>基金管理人负责人：</w:t>
      </w:r>
      <w:r>
        <w:rPr>
          <w:szCs w:val="21"/>
        </w:rPr>
        <w:t>孙树明</w:t>
      </w:r>
      <w:r>
        <w:rPr>
          <w:szCs w:val="21"/>
        </w:rPr>
        <w:t>，主管会计工作负责人：</w:t>
      </w:r>
      <w:r>
        <w:rPr>
          <w:szCs w:val="21"/>
        </w:rPr>
        <w:t>窦刚</w:t>
      </w:r>
      <w:r>
        <w:rPr>
          <w:szCs w:val="21"/>
        </w:rPr>
        <w:t>，会计机构负责人：</w:t>
      </w:r>
      <w:r>
        <w:rPr>
          <w:szCs w:val="21"/>
        </w:rPr>
        <w:t>张晓章</w:t>
      </w:r>
    </w:p>
    <w:p w:rsidR="00967083" w:rsidRDefault="00967083">
      <w:pPr>
        <w:spacing w:line="288" w:lineRule="auto"/>
        <w:ind w:firstLine="420" w:firstLineChars="200"/>
        <w:rPr>
          <w:color w:val="000000"/>
          <w:szCs w:val="21"/>
        </w:rPr>
      </w:pPr>
    </w:p>
    <w:p w:rsidR="00967083" w:rsidRDefault="00E4498A">
      <w:pPr>
        <w:pStyle w:val="2"/>
        <w:spacing w:after="0" w:before="0"/>
        <w:rPr>
          <w:rFonts w:ascii="Times New Roman" w:hAnsi="Times New Roman"/>
          <w:kern w:val="0"/>
          <w:sz w:val="21"/>
          <w:szCs w:val="21"/>
        </w:rPr>
      </w:pPr>
      <w:bookmarkStart w:id="50" w:name="_Toc331410100"/>
      <w:bookmarkStart w:id="51" w:name="_Toc225498271"/>
      <w:r>
        <w:rPr>
          <w:rFonts w:ascii="Times New Roman" w:hAnsi="Times New Roman"/>
          <w:kern w:val="0"/>
          <w:sz w:val="21"/>
          <w:szCs w:val="21"/>
        </w:rPr>
        <w:t xml:space="preserve">6.4 </w:t>
      </w:r>
      <w:r>
        <w:rPr>
          <w:rFonts w:ascii="Times New Roman" w:hAnsi="Times New Roman"/>
          <w:kern w:val="0"/>
          <w:sz w:val="21"/>
          <w:szCs w:val="21"/>
        </w:rPr>
        <w:t>报表附注</w:t>
      </w:r>
      <w:bookmarkEnd w:id="50"/>
      <w:bookmarkEnd w:id="51"/>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6.4.1 </w:t>
      </w:r>
      <w:r>
        <w:rPr>
          <w:b/>
          <w:color w:val="000000"/>
          <w:kern w:val="0"/>
          <w:szCs w:val="21"/>
        </w:rPr>
        <w:t>基金基本情况</w:t>
      </w:r>
    </w:p>
    <w:p>
      <w:pPr>
        <w:spacing w:line="360" w:lineRule="auto"/>
        <w:ind w:firstLine="420" w:firstLineChars="200"/>
        <w:rPr>
          <w:color w:val="000000"/>
          <w:szCs w:val="21"/>
        </w:rPr>
      </w:pPr>
      <w:r>
        <w:rPr>
          <w:color w:val="000000"/>
          <w:szCs w:val="21"/>
        </w:rPr>
        <w:t>广发景润纯债债券型证券投资基金（“本基金”）经中国证券监督管理委员会（“中国证监会”）证监许可[2018]1525号《关于准予广发景润纯债债券型证券投资基金注册的批复》核准，由广发基金管理有限公司依照《中华人民共和国证券投资基金法》、《公开募集证券投资基金运作管理办法》等有关规定和《广发景润纯债债券型证券投资基金基金合同》（“基金合同”）公开募集，于2018年11月12日向社会公开发行募集并于2018年11月22日正式成立。本基金的基金管理人为广发基金管理有限公司，基金托管人为江苏银行股份有限公司。</w:t>
      </w:r>
    </w:p>
    <w:p>
      <w:pPr>
        <w:spacing w:line="360" w:lineRule="auto"/>
        <w:ind w:firstLine="420" w:firstLineChars="200"/>
        <w:rPr>
          <w:color w:val="000000"/>
          <w:szCs w:val="21"/>
        </w:rPr>
      </w:pPr>
      <w:r>
        <w:rPr>
          <w:color w:val="000000"/>
          <w:szCs w:val="21"/>
        </w:rPr>
        <w:t>本基金募集期间为2018年11月12日至2018年11月20日，为契约型开放式基金，存续期限不定，募集资金总额为人民币200,056,817.69元，有效认购户数为214户。其中，认购资金在募集期间的利息为人民币3,101.15元，折合基金份额3,101.15份。认购资金在募集期间产生的利息按照基金合同的有关约定计入基金份额持有人的基金账户。本基金募集资金经安永华明会计师事务所（特殊普通合伙）验资。</w:t>
      </w:r>
    </w:p>
    <w:p w:rsidR="00967083" w:rsidRDefault="00E4498A">
      <w:pPr>
        <w:spacing w:line="360" w:lineRule="auto"/>
        <w:ind w:firstLine="420" w:firstLineChars="200"/>
        <w:rPr>
          <w:color w:val="000000"/>
          <w:szCs w:val="21"/>
        </w:rPr>
      </w:pPr>
      <w:r>
        <w:rPr>
          <w:color w:val="000000"/>
          <w:szCs w:val="21"/>
        </w:rPr>
        <w:t>本基金的财务报表于2019年8月26日已经本基金的基金管理人及基金托管人批准报出。</w:t>
      </w:r>
    </w:p>
    <w:p w:rsidR="00967083" w:rsidRDefault="00967083">
      <w:pPr>
        <w:tabs>
          <w:tab w:pos="2265" w:val="left"/>
        </w:tabs>
        <w:spacing w:line="360" w:lineRule="auto"/>
        <w:ind w:firstLine="420" w:firstLineChars="200"/>
        <w:rPr>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6.4.2 </w:t>
      </w:r>
      <w:r>
        <w:rPr>
          <w:b/>
          <w:color w:val="000000"/>
          <w:kern w:val="0"/>
          <w:szCs w:val="21"/>
        </w:rPr>
        <w:t>会计报表的编制基础</w:t>
      </w:r>
    </w:p>
    <w:p w:rsidR="00967083" w:rsidRDefault="00E4498A">
      <w:pPr>
        <w:spacing w:line="360" w:lineRule="auto"/>
        <w:ind w:firstLine="420" w:firstLineChars="200"/>
        <w:rPr>
          <w:color w:val="000000"/>
          <w:szCs w:val="21"/>
        </w:rPr>
      </w:pPr>
      <w:r>
        <w:rPr>
          <w:color w:val="000000"/>
          <w:szCs w:val="21"/>
        </w:rPr>
        <w:t>本基金的财务报表按照财政部颁布的企业会计准则 （以下简称“企业会计准则”）和中国证监会发布的关于基金行业实务操作的有关规定编制，同时在具体会计核算和信息披露方面也参考了中国证券投资基金业协会发布的若干基金行业实务操作。本财务报表以持续经营为基础编制。</w:t>
      </w:r>
    </w:p>
    <w:p w:rsidR="00967083" w:rsidRDefault="00967083">
      <w:pPr>
        <w:spacing w:line="360" w:lineRule="auto"/>
        <w:ind w:firstLine="422" w:firstLineChars="200"/>
        <w:rPr>
          <w:b/>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6.4.3 </w:t>
      </w:r>
      <w:r>
        <w:rPr>
          <w:b/>
          <w:color w:val="000000"/>
          <w:kern w:val="0"/>
          <w:szCs w:val="21"/>
        </w:rPr>
        <w:t>遵循企业会计准则及其他有关规定的声明</w:t>
      </w:r>
    </w:p>
    <w:p w:rsidR="00967083" w:rsidRDefault="00E4498A">
      <w:pPr>
        <w:spacing w:line="360" w:lineRule="auto"/>
        <w:ind w:firstLine="420" w:firstLineChars="200"/>
        <w:rPr>
          <w:color w:val="000000"/>
          <w:szCs w:val="21"/>
        </w:rPr>
      </w:pPr>
      <w:r>
        <w:rPr>
          <w:color w:val="000000"/>
          <w:szCs w:val="21"/>
        </w:rPr>
        <w:t>本基金财务报表的编制符合企业会计准则和中国证监会发布的关于基金行业实务操作的有关规定的要求，真实、完整地反映了本基金2019年6月30日的财务状况以及2019年上半年度的经营成果和基金净值变动情况。</w:t>
      </w:r>
    </w:p>
    <w:p w:rsidR="00967083" w:rsidRDefault="00967083">
      <w:pPr>
        <w:spacing w:line="360" w:lineRule="auto"/>
        <w:ind w:firstLine="422" w:firstLineChars="200"/>
        <w:rPr>
          <w:b/>
          <w:color w:val="000000"/>
          <w:szCs w:val="21"/>
        </w:rPr>
      </w:pPr>
    </w:p>
    <w:p w:rsidR="00967083" w:rsidRDefault="00E4498A">
      <w:pPr>
        <w:autoSpaceDE w:val="0"/>
        <w:autoSpaceDN w:val="0"/>
        <w:adjustRightInd w:val="0"/>
        <w:snapToGrid w:val="0"/>
        <w:spacing w:line="360" w:lineRule="auto"/>
        <w:jc w:val="left"/>
        <w:rPr>
          <w:b/>
          <w:color w:val="000000"/>
          <w:kern w:val="0"/>
          <w:szCs w:val="21"/>
        </w:rPr>
      </w:pPr>
      <w:r>
        <w:rPr>
          <w:b/>
          <w:bCs/>
          <w:color w:val="000000"/>
          <w:kern w:val="0"/>
          <w:szCs w:val="21"/>
        </w:rPr>
        <w:t xml:space="preserve">6.4.4 </w:t>
      </w:r>
      <w:r>
        <w:rPr>
          <w:b/>
          <w:kern w:val="0"/>
          <w:szCs w:val="21"/>
        </w:rPr>
        <w:t>重要会计政策和会计估计</w:t>
      </w: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6.4.4.1 会计年度</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本基金的会计年度为公历年度，即每年1月1日起至12月31日止。</w:t>
      </w:r>
    </w:p>
    <w:p w:rsidR="00967083" w:rsidRDefault="00967083">
      <w:pPr>
        <w:spacing w:line="360" w:lineRule="auto"/>
        <w:ind w:firstLine="422" w:firstLineChars="200"/>
        <w:rPr>
          <w:b/>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6.4.4.2记账本位币</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本基金以人民币为记账本位币。</w:t>
      </w:r>
    </w:p>
    <w:p w:rsidR="00967083" w:rsidRDefault="00967083">
      <w:pPr>
        <w:spacing w:line="360" w:lineRule="auto"/>
        <w:ind w:firstLine="420" w:firstLineChars="200"/>
        <w:rPr>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6.4.4.3金融资产和金融负债的分类</w:t>
      </w:r>
      <w:r>
        <w:rPr>
          <w:b/>
          <w:color w:val="000000"/>
          <w:kern w:val="0"/>
          <w:szCs w:val="21"/>
        </w:rPr>
        <w:t/>
      </w:r>
    </w:p>
    <w:p>
      <w:pPr>
        <w:spacing w:line="360" w:lineRule="auto"/>
        <w:ind w:firstLine="420" w:firstLineChars="200"/>
        <w:rPr>
          <w:color w:val="000000"/>
          <w:szCs w:val="21"/>
        </w:rPr>
      </w:pPr>
      <w:r>
        <w:rPr>
          <w:color w:val="000000"/>
          <w:szCs w:val="21"/>
        </w:rPr>
        <w:t>金融工具是指形成一个单位的金融资产（负债），并形成其他单位的金融负债（资产）或权益工具的合同。</w:t>
      </w:r>
    </w:p>
    <w:p>
      <w:pPr>
        <w:spacing w:line="360" w:lineRule="auto"/>
        <w:ind w:firstLine="420" w:firstLineChars="200"/>
        <w:rPr>
          <w:color w:val="000000"/>
          <w:szCs w:val="21"/>
        </w:rPr>
      </w:pPr>
      <w:r>
        <w:rPr>
          <w:color w:val="000000"/>
          <w:szCs w:val="21"/>
        </w:rPr>
        <w:t>（1）金融资产分类</w:t>
      </w:r>
    </w:p>
    <w:p>
      <w:pPr>
        <w:spacing w:line="360" w:lineRule="auto"/>
        <w:ind w:firstLine="420" w:firstLineChars="200"/>
        <w:rPr>
          <w:color w:val="000000"/>
          <w:szCs w:val="21"/>
        </w:rPr>
      </w:pPr>
      <w:r>
        <w:rPr>
          <w:color w:val="000000"/>
          <w:szCs w:val="21"/>
        </w:rPr>
        <w:t>金融资产应当在初始确认时划分以公允价值计量且其变动计入当期损益的金融资产、持有至到期投资、贷款和应收款项，以及可供出售金融资产。本基金根据持有意图和能力，将持有的股票投资、债券投资和衍生工具（主要系权证投资）于初始确认时划分为以公允价值计量且其变动计入当期损益的金融资产；其他金融资产划分为贷款和应收款项。</w:t>
      </w:r>
    </w:p>
    <w:p>
      <w:pPr>
        <w:spacing w:line="360" w:lineRule="auto"/>
        <w:ind w:firstLine="420" w:firstLineChars="200"/>
        <w:rPr>
          <w:color w:val="000000"/>
          <w:szCs w:val="21"/>
        </w:rPr>
      </w:pPr>
      <w:r>
        <w:rPr>
          <w:color w:val="000000"/>
          <w:szCs w:val="21"/>
        </w:rPr>
        <w:t>（2）金融负债分类</w:t>
      </w:r>
    </w:p>
    <w:p w:rsidR="00967083" w:rsidRDefault="00E4498A">
      <w:pPr>
        <w:spacing w:line="360" w:lineRule="auto"/>
        <w:ind w:firstLine="420" w:firstLineChars="200"/>
        <w:rPr>
          <w:color w:val="000000"/>
          <w:szCs w:val="21"/>
        </w:rPr>
      </w:pPr>
      <w:r>
        <w:rPr>
          <w:color w:val="000000"/>
          <w:szCs w:val="21"/>
        </w:rPr>
        <w:t>金融负债应当在初始确认时划分以公允价值计量且其变动计入当期损益的金融负债和其他金融负债两类。本基金目前持有的金融负债划分为其他金融负债。</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6.4.4.4金融资产和金融负债的初始确认、后续计量和终止确认</w:t>
      </w:r>
      <w:r>
        <w:rPr>
          <w:b/>
          <w:color w:val="000000"/>
          <w:kern w:val="0"/>
          <w:szCs w:val="21"/>
        </w:rPr>
        <w:t/>
      </w:r>
    </w:p>
    <w:p>
      <w:pPr>
        <w:spacing w:line="360" w:lineRule="auto"/>
        <w:ind w:firstLine="420" w:firstLineChars="200"/>
        <w:rPr>
          <w:color w:val="000000"/>
          <w:szCs w:val="21"/>
        </w:rPr>
      </w:pPr>
      <w:r>
        <w:rPr>
          <w:color w:val="000000"/>
          <w:szCs w:val="21"/>
        </w:rPr>
        <w:t>本基金于成为金融工具合同的一方时确认一项金融资产或金融负债。</w:t>
      </w:r>
    </w:p>
    <w:p>
      <w:pPr>
        <w:spacing w:line="360" w:lineRule="auto"/>
        <w:ind w:firstLine="420" w:firstLineChars="200"/>
        <w:rPr>
          <w:color w:val="000000"/>
          <w:szCs w:val="21"/>
        </w:rPr>
      </w:pPr>
      <w:r>
        <w:rPr>
          <w:color w:val="000000"/>
          <w:szCs w:val="21"/>
        </w:rPr>
        <w:t>基金初始确认金融资产或金融负债，应当按照取得时的公允价值作为初始确认金额。划分为以公允价值计量且其变动计入当期损益的金融资产的股票投资、债券投资等，以及不作为有效套期工具的衍生金融工具，相关的交易费用在发生时计入当期损益。对于本基金的其他金融资产和其他金融负债，相关交易费用在发生时计入初始确认金额。</w:t>
      </w:r>
    </w:p>
    <w:p>
      <w:pPr>
        <w:spacing w:line="360" w:lineRule="auto"/>
        <w:ind w:firstLine="420" w:firstLineChars="200"/>
        <w:rPr>
          <w:color w:val="000000"/>
          <w:szCs w:val="21"/>
        </w:rPr>
      </w:pPr>
      <w:r>
        <w:rPr>
          <w:color w:val="000000"/>
          <w:szCs w:val="21"/>
        </w:rPr>
        <w:t>在持有以公允价值计量且其变动计入当期损益的金融资产期间取得的利息或现金股利，应当确认为当期收益。每日，本基金将以公允价值计量且其变动计入当期损益的金融资产或金融负债的公允价值变动计入当期损益。对于本基金的其他金融资产和其他金融负债，采用实际利率法，按摊余成本进行后续计量。</w:t>
      </w:r>
    </w:p>
    <w:p>
      <w:pPr>
        <w:spacing w:line="360" w:lineRule="auto"/>
        <w:ind w:firstLine="420" w:firstLineChars="200"/>
        <w:rPr>
          <w:color w:val="000000"/>
          <w:szCs w:val="21"/>
        </w:rPr>
      </w:pPr>
      <w:r>
        <w:rPr>
          <w:color w:val="000000"/>
          <w:szCs w:val="21"/>
        </w:rPr>
        <w:t>处置该金融资产或金融负债时，其公允价值与初始入账金额之间的差额应确认为投资收益，其中包括同时结转的公允价值变动收益。当收取该金融资产现金流量的合同权利终止，或该金融资产已转移，且符合金融资产转移的终止确认条件的，金融资产将终止确认。</w:t>
      </w:r>
    </w:p>
    <w:p>
      <w:pPr>
        <w:spacing w:line="360" w:lineRule="auto"/>
        <w:ind w:firstLine="420" w:firstLineChars="200"/>
        <w:rPr>
          <w:color w:val="000000"/>
          <w:szCs w:val="21"/>
        </w:rPr>
      </w:pPr>
      <w:r>
        <w:rPr>
          <w:color w:val="000000"/>
          <w:szCs w:val="21"/>
        </w:rPr>
        <w:t>金融负债的现时义务全部或部分已经解除的，终止确认该金融负债或其一部分。</w:t>
      </w:r>
    </w:p>
    <w:p w:rsidR="00967083" w:rsidRDefault="00E4498A">
      <w:pPr>
        <w:spacing w:line="360" w:lineRule="auto"/>
        <w:ind w:firstLine="420" w:firstLineChars="200"/>
        <w:rPr>
          <w:color w:val="000000"/>
          <w:szCs w:val="21"/>
        </w:rPr>
      </w:pPr>
      <w:r>
        <w:rPr>
          <w:color w:val="000000"/>
          <w:szCs w:val="21"/>
        </w:rPr>
        <w:t>金融资产转移，是指本基金将金融资产让与或交付给该金融资产发行方以外的另一方（转入方）。本基金已将金融资产所有权上几乎所有的风险和报酬转移给转入方的，终止确认该金融资产；保留了金融资产所有权上几乎所有的风险和报酬的，不终止确认该金融资产。本基金既没有转移也没有保留金融资产所有权上几乎所有的风险和报酬的，分别下列情况处理：放弃了对该金融资产控制的，终止确认该金融资产；未放弃对该金融资产控制的，按照其继续涉入所转移金融资产的程度确认有关金融资产，并相应确认有关负债。</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6.4.4.5金融资产和金融负债的估值原则</w:t>
      </w:r>
      <w:r>
        <w:rPr>
          <w:b/>
          <w:color w:val="000000"/>
          <w:kern w:val="0"/>
          <w:szCs w:val="21"/>
        </w:rPr>
        <w:t/>
      </w:r>
    </w:p>
    <w:p>
      <w:pPr>
        <w:spacing w:line="360" w:lineRule="auto"/>
        <w:ind w:firstLine="420" w:firstLineChars="200"/>
        <w:rPr>
          <w:color w:val="000000"/>
          <w:szCs w:val="21"/>
        </w:rPr>
      </w:pPr>
      <w:r>
        <w:rPr>
          <w:color w:val="000000"/>
          <w:szCs w:val="21"/>
        </w:rPr>
        <w:t>本基金持有的金融工具按如下原则确定公允价值并进行估值：</w:t>
      </w:r>
    </w:p>
    <w:p>
      <w:pPr>
        <w:spacing w:line="360" w:lineRule="auto"/>
        <w:ind w:firstLine="420" w:firstLineChars="200"/>
        <w:rPr>
          <w:color w:val="000000"/>
          <w:szCs w:val="21"/>
        </w:rPr>
      </w:pPr>
      <w:r>
        <w:rPr>
          <w:color w:val="000000"/>
          <w:szCs w:val="21"/>
        </w:rPr>
        <w:t>（1）存在活跃市场且能够获取相同资产或负债报价的金融工具，按其估值日不加调整的报价确定公允价值；估值日无报价且最近交易日后未发生影响公允价值计量的重大事件的，采用最近交易日的报价确定公允价值。有充足证据表明估值日或最近交易日的报价不能真实反映公允价值的，对报价进行调整，确定公允价值。</w:t>
      </w:r>
    </w:p>
    <w:p>
      <w:pPr>
        <w:spacing w:line="360" w:lineRule="auto"/>
        <w:ind w:firstLine="420" w:firstLineChars="200"/>
        <w:rPr>
          <w:color w:val="000000"/>
          <w:szCs w:val="21"/>
        </w:rPr>
      </w:pPr>
      <w:r>
        <w:rPr>
          <w:color w:val="000000"/>
          <w:szCs w:val="21"/>
        </w:rPr>
        <w:t>与上述投资品种相同，但具有不同特征的，以相同资产或负债的公允价值为基础，并在估值技术中考虑不同特征因素的影响。特征是指对资产出售或使用的限制等，如果该限制是针对资产持有者的，那么在估值技术中不将该限制作为特征考虑。基金管理人不考虑因大量持有相关资产或负债所产生的溢价或折价；</w:t>
      </w:r>
    </w:p>
    <w:p>
      <w:pPr>
        <w:spacing w:line="360" w:lineRule="auto"/>
        <w:ind w:firstLine="420" w:firstLineChars="200"/>
        <w:rPr>
          <w:color w:val="000000"/>
          <w:szCs w:val="21"/>
        </w:rPr>
      </w:pPr>
      <w:r>
        <w:rPr>
          <w:color w:val="000000"/>
          <w:szCs w:val="21"/>
        </w:rPr>
        <w:t>（2）不存在活跃市场的金融工具，采用在当前情况下适用并且有足够可利用数据和其他信息支持的估值技术确定公允价值。采用估值技术确定公允价值时，优先使用可观察输入值，只有在无法取得相关资产或负债可观察输入值或取得不切实可行的情况下，才使用不可观察输入值；</w:t>
      </w:r>
    </w:p>
    <w:p w:rsidR="00967083" w:rsidRDefault="00E4498A">
      <w:pPr>
        <w:spacing w:line="360" w:lineRule="auto"/>
        <w:ind w:firstLine="420" w:firstLineChars="200"/>
        <w:rPr>
          <w:color w:val="000000"/>
          <w:szCs w:val="21"/>
        </w:rPr>
      </w:pPr>
      <w:r>
        <w:rPr>
          <w:color w:val="000000"/>
          <w:szCs w:val="21"/>
        </w:rPr>
        <w:t>（3）如有确凿证据表明按上述方法进行估值不能客观反映金融工具公允价值的，基金管理人可根据具体情况与基金托管人商定后，按最能反映公允价值的方法估值。</w:t>
      </w:r>
    </w:p>
    <w:p w:rsidR="00967083" w:rsidRDefault="00967083">
      <w:pPr>
        <w:autoSpaceDE w:val="0"/>
        <w:autoSpaceDN w:val="0"/>
        <w:adjustRightInd w:val="0"/>
        <w:spacing w:line="360" w:lineRule="auto"/>
        <w:jc w:val="left"/>
        <w:rPr>
          <w:b/>
          <w:color w:val="000000"/>
          <w:kern w:val="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6.4.4.6金融资产和金融负债的抵销</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当本基金具有抵销已确认金融资产和金融负债的法定权利，且目前可执行该种法定权利，同时本基金计划以净额结算或同时变现该金融资产和清偿该金融负债时，金融资产和金融负债以相互抵销后的金额在资产负债表内列示。除此以外，金融资产和金融负债在资产负债表内分别列示，不予相互抵销。</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6.4.4.7实收基金</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实收基金为对外发行基金份额所对应的金额。申购、赎回、转换及红利再投资等引起的实收基金的变动分别于上述各交易确认日认列。</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6.4.4.8损益平准金</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损益平准金指申购、赎回、转入、转出及红利再投资等事项导致基金份额变动时，相关款项中包含的未分配利润。根据交易申请日利润分配（未分配利润）已实现与未实现部分各自占基金净值的比例，损益平准金分为已实现损益平准金和未实现损益平准金。损益平准金于基金申购确认日或基金赎回确认日认列，并于期末全额转入利润分配（未分配利润）。</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6.4.4.9收入/(损失)的确认和计量</w:t>
      </w:r>
      <w:r>
        <w:rPr>
          <w:b/>
          <w:color w:val="000000"/>
          <w:kern w:val="0"/>
          <w:szCs w:val="21"/>
        </w:rPr>
        <w:t/>
      </w:r>
      <w:r>
        <w:rPr>
          <w:b/>
          <w:color w:val="000000"/>
          <w:kern w:val="0"/>
          <w:szCs w:val="21"/>
        </w:rPr>
        <w:t/>
      </w:r>
      <w:r>
        <w:rPr>
          <w:b/>
          <w:color w:val="000000"/>
          <w:kern w:val="0"/>
          <w:szCs w:val="21"/>
        </w:rPr>
        <w:t/>
      </w:r>
      <w:r>
        <w:rPr>
          <w:b/>
          <w:color w:val="000000"/>
          <w:kern w:val="0"/>
          <w:szCs w:val="21"/>
        </w:rPr>
        <w:t/>
      </w:r>
      <w:r>
        <w:rPr>
          <w:b/>
          <w:color w:val="000000"/>
          <w:kern w:val="0"/>
          <w:szCs w:val="21"/>
        </w:rPr>
        <w:t/>
      </w:r>
    </w:p>
    <w:p>
      <w:pPr>
        <w:spacing w:line="360" w:lineRule="auto"/>
        <w:ind w:firstLine="420" w:firstLineChars="200"/>
        <w:rPr>
          <w:color w:val="000000"/>
          <w:szCs w:val="21"/>
        </w:rPr>
      </w:pPr>
      <w:r>
        <w:rPr>
          <w:color w:val="000000"/>
          <w:szCs w:val="21"/>
        </w:rPr>
        <w:t>（1）存款利息收入按存款的本金与适用的利率逐日计提的金额入账。若提前支取定期存款，按协议规定的利率及持有期重新计算存款利息收入，并根据提前支取所实际收到的利息收入与账面已确认的利息收入的差额确认利息损失，列入利息收入减项，存款利息收入以净额列示；</w:t>
      </w:r>
    </w:p>
    <w:p>
      <w:pPr>
        <w:spacing w:line="360" w:lineRule="auto"/>
        <w:ind w:firstLine="420" w:firstLineChars="200"/>
        <w:rPr>
          <w:color w:val="000000"/>
          <w:szCs w:val="21"/>
        </w:rPr>
      </w:pPr>
      <w:r>
        <w:rPr>
          <w:color w:val="000000"/>
          <w:szCs w:val="21"/>
        </w:rPr>
        <w:t>（2）债券利息收入按债券票面价值与票面利率或债券发行价计算的金额扣除应由债券发行企业代扣代缴的个人所得税后的净额确认，在债券实际持有期内逐日计提；</w:t>
      </w:r>
    </w:p>
    <w:p>
      <w:pPr>
        <w:spacing w:line="360" w:lineRule="auto"/>
        <w:ind w:firstLine="420" w:firstLineChars="200"/>
        <w:rPr>
          <w:color w:val="000000"/>
          <w:szCs w:val="21"/>
        </w:rPr>
      </w:pPr>
      <w:r>
        <w:rPr>
          <w:color w:val="000000"/>
          <w:szCs w:val="21"/>
        </w:rPr>
        <w:t>（3）资产支持证券利息收入按证券票面价值与票面利率计算的金额，扣除应由资产支持证券发行企业代扣代缴的个人所得税后的净额确认，在证券实际持有期内逐日计提；</w:t>
      </w:r>
    </w:p>
    <w:p>
      <w:pPr>
        <w:spacing w:line="360" w:lineRule="auto"/>
        <w:ind w:firstLine="420" w:firstLineChars="200"/>
        <w:rPr>
          <w:color w:val="000000"/>
          <w:szCs w:val="21"/>
        </w:rPr>
      </w:pPr>
      <w:r>
        <w:rPr>
          <w:color w:val="000000"/>
          <w:szCs w:val="21"/>
        </w:rPr>
        <w:t>（4）买入返售金融资产收入，按融出资金应付或实际支付的总额及实际利率（当实际利率与合同利率差异较小时，也可以用合同利率），在回购期内逐日计提；</w:t>
      </w:r>
    </w:p>
    <w:p>
      <w:pPr>
        <w:spacing w:line="360" w:lineRule="auto"/>
        <w:ind w:firstLine="420" w:firstLineChars="200"/>
        <w:rPr>
          <w:color w:val="000000"/>
          <w:szCs w:val="21"/>
        </w:rPr>
      </w:pPr>
      <w:r>
        <w:rPr>
          <w:color w:val="000000"/>
          <w:szCs w:val="21"/>
        </w:rPr>
        <w:t>（5）股票投资收益/（损失）于卖出股票成交日确认，并按卖出股票成交金额与其成本的差额入账；</w:t>
      </w:r>
    </w:p>
    <w:p>
      <w:pPr>
        <w:spacing w:line="360" w:lineRule="auto"/>
        <w:ind w:firstLine="420" w:firstLineChars="200"/>
        <w:rPr>
          <w:color w:val="000000"/>
          <w:szCs w:val="21"/>
        </w:rPr>
      </w:pPr>
      <w:r>
        <w:rPr>
          <w:color w:val="000000"/>
          <w:szCs w:val="21"/>
        </w:rPr>
        <w:t>（6）债券投资收益/（损失）</w:t>
      </w:r>
    </w:p>
    <w:p>
      <w:pPr>
        <w:spacing w:line="360" w:lineRule="auto"/>
        <w:ind w:firstLine="420" w:firstLineChars="200"/>
        <w:rPr>
          <w:color w:val="000000"/>
          <w:szCs w:val="21"/>
        </w:rPr>
      </w:pPr>
      <w:r>
        <w:rPr>
          <w:color w:val="000000"/>
          <w:szCs w:val="21"/>
        </w:rPr>
        <w:t>卖出交易所上市债券：于成交日确认债券投资收益/（损失），并按成交金额与其成本、应收利息的差额入账；</w:t>
      </w:r>
    </w:p>
    <w:p>
      <w:pPr>
        <w:spacing w:line="360" w:lineRule="auto"/>
        <w:ind w:firstLine="420" w:firstLineChars="200"/>
        <w:rPr>
          <w:color w:val="000000"/>
          <w:szCs w:val="21"/>
        </w:rPr>
      </w:pPr>
      <w:r>
        <w:rPr>
          <w:color w:val="000000"/>
          <w:szCs w:val="21"/>
        </w:rPr>
        <w:t>卖出银行间同业市场交易债券：于成交日确认债券投资收益/（损失），并按成交总额与其成本、应收利息的差额入账；</w:t>
      </w:r>
    </w:p>
    <w:p>
      <w:pPr>
        <w:spacing w:line="360" w:lineRule="auto"/>
        <w:ind w:firstLine="420" w:firstLineChars="200"/>
        <w:rPr>
          <w:color w:val="000000"/>
          <w:szCs w:val="21"/>
        </w:rPr>
      </w:pPr>
      <w:r>
        <w:rPr>
          <w:color w:val="000000"/>
          <w:szCs w:val="21"/>
        </w:rPr>
        <w:t>（7）衍生工具投资收益/（损失）于卖出权证成交日确认，并按卖出权证成交金额与其成本的差额入账；</w:t>
      </w:r>
    </w:p>
    <w:p>
      <w:pPr>
        <w:spacing w:line="360" w:lineRule="auto"/>
        <w:ind w:firstLine="420" w:firstLineChars="200"/>
        <w:rPr>
          <w:color w:val="000000"/>
          <w:szCs w:val="21"/>
        </w:rPr>
      </w:pPr>
      <w:r>
        <w:rPr>
          <w:color w:val="000000"/>
          <w:szCs w:val="21"/>
        </w:rPr>
        <w:t>（8）股利收益于除息日确认，并按上市公司宣告的分红派息比例计算的金额扣除应由上市公司代扣代缴的个人所得税后的净额入账；</w:t>
      </w:r>
    </w:p>
    <w:p>
      <w:pPr>
        <w:spacing w:line="360" w:lineRule="auto"/>
        <w:ind w:firstLine="420" w:firstLineChars="200"/>
        <w:rPr>
          <w:color w:val="000000"/>
          <w:szCs w:val="21"/>
        </w:rPr>
      </w:pPr>
      <w:r>
        <w:rPr>
          <w:color w:val="000000"/>
          <w:szCs w:val="21"/>
        </w:rPr>
        <w:t>（9）公允价值变动收益/（损失）系本基金持有的采用公允价值模式计量的交易性金融资产、交易性金融负债等公允价值变动形成的应计入当期损益的利得或损失；</w:t>
      </w:r>
    </w:p>
    <w:p w:rsidR="00967083" w:rsidRDefault="00E4498A">
      <w:pPr>
        <w:spacing w:line="360" w:lineRule="auto"/>
        <w:ind w:firstLine="420" w:firstLineChars="200"/>
        <w:rPr>
          <w:color w:val="000000"/>
          <w:szCs w:val="21"/>
        </w:rPr>
      </w:pPr>
      <w:r>
        <w:rPr>
          <w:color w:val="000000"/>
          <w:szCs w:val="21"/>
        </w:rPr>
        <w:t>（10）其他收入在主要风险和报酬已经转移给对方，经济利益很可能流入且金额可以可靠计量的时候确认。</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6.4.4.10费用的确认和计量</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针对基金合同约定费率和计算方法的费用，本基金在费用涵盖期间按合同约定进行确认。其他金融负债在持有期间确认的利息支出按实际利率法计算，实际利率法与直线法差异较小的按直线法近似计算。</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6.4.4.11基金的收益分配政策</w:t>
      </w:r>
      <w:r>
        <w:rPr>
          <w:b/>
          <w:color w:val="000000"/>
          <w:kern w:val="0"/>
          <w:szCs w:val="21"/>
        </w:rPr>
        <w:t/>
      </w:r>
    </w:p>
    <w:p>
      <w:pPr>
        <w:spacing w:line="360" w:lineRule="auto"/>
        <w:ind w:firstLine="420" w:firstLineChars="200"/>
        <w:rPr>
          <w:color w:val="000000"/>
          <w:szCs w:val="21"/>
        </w:rPr>
      </w:pPr>
      <w:r>
        <w:rPr>
          <w:color w:val="000000"/>
          <w:szCs w:val="21"/>
        </w:rPr>
        <w:t>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w:t>
      </w:r>
    </w:p>
    <w:p>
      <w:pPr>
        <w:spacing w:line="360" w:lineRule="auto"/>
        <w:ind w:firstLine="420" w:firstLineChars="200"/>
        <w:rPr>
          <w:color w:val="000000"/>
          <w:szCs w:val="21"/>
        </w:rPr>
      </w:pPr>
      <w:r>
        <w:rPr>
          <w:color w:val="000000"/>
          <w:szCs w:val="21"/>
        </w:rPr>
        <w:t>2、本基金收益分配方式分两种：现金分红与红利再投资，投资者可选择现金红利或将现金红利自动转为基金份额进行再投资；若投资者不选择，本基金默认的收益分配方式是现金分红；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420" w:firstLineChars="200"/>
        <w:rPr>
          <w:color w:val="000000"/>
          <w:szCs w:val="21"/>
        </w:rPr>
      </w:pPr>
      <w:r>
        <w:rPr>
          <w:color w:val="000000"/>
          <w:szCs w:val="21"/>
        </w:rPr>
        <w:t>3、基金收益分配后基金份额净值不能低于面值；即基金收益分配基准日的基金份额净值减去每单位基金份额收益分配金额后不能低于面值；</w:t>
      </w:r>
    </w:p>
    <w:p>
      <w:pPr>
        <w:spacing w:line="360" w:lineRule="auto"/>
        <w:ind w:firstLine="420" w:firstLineChars="200"/>
        <w:rPr>
          <w:color w:val="000000"/>
          <w:szCs w:val="21"/>
        </w:rPr>
      </w:pPr>
      <w:r>
        <w:rPr>
          <w:color w:val="000000"/>
          <w:szCs w:val="21"/>
        </w:rPr>
        <w:t>4、本基金每一基金份额享有同等分配权；</w:t>
      </w:r>
    </w:p>
    <w:p>
      <w:pPr>
        <w:spacing w:line="360" w:lineRule="auto"/>
        <w:ind w:firstLine="420" w:firstLineChars="200"/>
        <w:rPr>
          <w:color w:val="000000"/>
          <w:szCs w:val="21"/>
        </w:rPr>
      </w:pPr>
      <w:r>
        <w:rPr>
          <w:color w:val="000000"/>
          <w:szCs w:val="21"/>
        </w:rPr>
        <w:t>5、法律法规或监管机关另有规定的，从其规定。</w:t>
      </w:r>
    </w:p>
    <w:p w:rsidR="00967083" w:rsidRDefault="00E4498A">
      <w:pPr>
        <w:spacing w:line="360" w:lineRule="auto"/>
        <w:ind w:firstLine="420" w:firstLineChars="200"/>
        <w:rPr>
          <w:color w:val="000000"/>
          <w:szCs w:val="21"/>
        </w:rPr>
      </w:pPr>
      <w:r>
        <w:rPr>
          <w:color w:val="000000"/>
          <w:szCs w:val="21"/>
        </w:rPr>
        <w:t>在符合法律法规及基金合同约定，并对基金份额持有人利益无实质性不利影响的前提下，基金管理人可对基金收益分配原则和支付方式进行调整，不需召开基金份额持有人大会。</w:t>
      </w:r>
    </w:p>
    <w:p w:rsidR="00967083" w:rsidRDefault="00967083">
      <w:pPr>
        <w:spacing w:line="360" w:lineRule="auto"/>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6.4.4.12分部报告</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根据本基金的内部组织机构、管理要求及内部报告制度，本基金整体为一个报告分部，且向管理层报告时采用的会计政策及计量基础与编制财务报表时的会计政策及计量基础一致。</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6.4.5 </w:t>
      </w:r>
      <w:r>
        <w:rPr>
          <w:b/>
          <w:color w:val="000000"/>
          <w:kern w:val="0"/>
          <w:szCs w:val="21"/>
        </w:rPr>
        <w:t>会计政策和会计估计变更以及差错更正的说明</w:t>
      </w: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6.4.5.1</w:t>
      </w:r>
      <w:r>
        <w:rPr>
          <w:b/>
          <w:color w:val="000000"/>
          <w:kern w:val="0"/>
          <w:szCs w:val="21"/>
        </w:rPr>
        <w:t>会计政策变更的说明</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本基金在本报告期间无需说明的重大会计政策变更。</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6.4.5.2</w:t>
      </w:r>
      <w:r>
        <w:rPr>
          <w:b/>
          <w:color w:val="000000"/>
          <w:kern w:val="0"/>
          <w:szCs w:val="21"/>
        </w:rPr>
        <w:t>会计估计变更的说明</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本基金在本报告期间无需说明的重大会计估计变更。</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6.4.5.3</w:t>
      </w:r>
      <w:r>
        <w:rPr>
          <w:b/>
          <w:color w:val="000000"/>
          <w:kern w:val="0"/>
          <w:szCs w:val="21"/>
        </w:rPr>
        <w:t>差错更正的说明</w:t>
      </w:r>
      <w:r>
        <w:rPr>
          <w:b/>
          <w:color w:val="000000"/>
          <w:kern w:val="0"/>
          <w:szCs w:val="21"/>
        </w:rPr>
        <w:t/>
      </w:r>
    </w:p>
    <w:p w:rsidR="00967083" w:rsidRDefault="00E4498A">
      <w:pPr>
        <w:spacing w:line="360" w:lineRule="auto"/>
        <w:ind w:firstLine="420" w:firstLineChars="200"/>
        <w:rPr>
          <w:color w:val="000000"/>
          <w:szCs w:val="21"/>
        </w:rPr>
      </w:pPr>
      <w:r>
        <w:rPr>
          <w:color w:val="000000"/>
          <w:szCs w:val="21"/>
        </w:rPr>
        <w:t>本基金在本报告期间无需说明的重大会计差错更正。</w:t>
      </w:r>
    </w:p>
    <w:p w:rsidR="00967083" w:rsidRDefault="00967083">
      <w:pPr>
        <w:spacing w:line="360" w:lineRule="auto"/>
        <w:ind w:firstLine="420" w:firstLineChars="200"/>
        <w:rPr>
          <w:bCs/>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6.4.6 </w:t>
      </w:r>
      <w:r>
        <w:rPr>
          <w:b/>
          <w:color w:val="000000"/>
          <w:kern w:val="0"/>
          <w:szCs w:val="21"/>
        </w:rPr>
        <w:t>税项</w:t>
      </w:r>
    </w:p>
    <w:p>
      <w:pPr>
        <w:spacing w:line="360" w:lineRule="auto"/>
        <w:ind w:firstLine="420" w:firstLineChars="200"/>
        <w:rPr>
          <w:color w:val="000000"/>
          <w:szCs w:val="21"/>
        </w:rPr>
      </w:pPr>
      <w:r>
        <w:rPr>
          <w:color w:val="000000"/>
          <w:szCs w:val="21"/>
        </w:rPr>
        <w:t>（1）印花税</w:t>
      </w:r>
    </w:p>
    <w:p>
      <w:pPr>
        <w:spacing w:line="360" w:lineRule="auto"/>
        <w:ind w:firstLine="420" w:firstLineChars="200"/>
        <w:rPr>
          <w:color w:val="000000"/>
          <w:szCs w:val="21"/>
        </w:rPr>
      </w:pPr>
      <w:r>
        <w:rPr>
          <w:color w:val="000000"/>
          <w:szCs w:val="21"/>
        </w:rPr>
        <w:t>证券（股票）交易印花税税率为1‰，由出让方缴纳。</w:t>
      </w:r>
    </w:p>
    <w:p>
      <w:pPr>
        <w:spacing w:line="360" w:lineRule="auto"/>
        <w:ind w:firstLine="420" w:firstLineChars="200"/>
        <w:rPr>
          <w:color w:val="000000"/>
          <w:szCs w:val="21"/>
        </w:rPr>
      </w:pPr>
      <w:r>
        <w:rPr>
          <w:color w:val="000000"/>
          <w:szCs w:val="21"/>
        </w:rPr>
        <w:t>（2）增值税、城建税、教育费附加及地方教育费附加</w:t>
      </w:r>
    </w:p>
    <w:p>
      <w:pPr>
        <w:spacing w:line="360" w:lineRule="auto"/>
        <w:ind w:firstLine="420" w:firstLineChars="200"/>
        <w:rPr>
          <w:color w:val="000000"/>
          <w:szCs w:val="21"/>
        </w:rPr>
      </w:pPr>
      <w:r>
        <w:rPr>
          <w:color w:val="000000"/>
          <w:szCs w:val="21"/>
        </w:rPr>
        <w:t>根据财政部、国家税务总局财税[2016]36号文《关于全面推开营业税改增值税试点的通知》的规定，经国务院批准，自2016年5月1日起在全国范围内全面推开营业税改征增值税试点，金融业纳入试点范围，由缴纳营业税改为缴纳增值税。金融商品转让，按照卖出价扣除买入价后的余额为销售额。对证券投资基金（封闭式证券投资基金，开放式证券投资基金）管理人运用基金买卖股票、债券的转让收入免征增值税；国债、地方政府债利息收入以及金融同业往来利息收入免征增值税；存款利息收入不征收增值税；</w:t>
      </w:r>
    </w:p>
    <w:p>
      <w:pPr>
        <w:spacing w:line="360" w:lineRule="auto"/>
        <w:ind w:firstLine="420" w:firstLineChars="200"/>
        <w:rPr>
          <w:color w:val="000000"/>
          <w:szCs w:val="21"/>
        </w:rPr>
      </w:pPr>
      <w:r>
        <w:rPr>
          <w:color w:val="000000"/>
          <w:szCs w:val="21"/>
        </w:rPr>
        <w:t>根据财政部、国家税务总局财税[2016]46号文《关于进一步明确全面推开营改增试点金融业有关政策的通知》的规定，金融机构开展的质押式买入返售金融商品业务及持有政策性金融债券取得的利息收入属于金融同业往来利息收入；</w:t>
      </w:r>
    </w:p>
    <w:p>
      <w:pPr>
        <w:spacing w:line="360" w:lineRule="auto"/>
        <w:ind w:firstLine="420" w:firstLineChars="200"/>
        <w:rPr>
          <w:color w:val="000000"/>
          <w:szCs w:val="21"/>
        </w:rPr>
      </w:pPr>
      <w:r>
        <w:rPr>
          <w:color w:val="000000"/>
          <w:szCs w:val="21"/>
        </w:rPr>
        <w:t>根据财政部、国家税务总局财税[2016]70号文《关于金融机构同业往来等增值税政策的补充通知》的规定，金融机构开展的买断式买入返售金融商品业务、同业存款、同业存单以及持有金融债券取得的利息收入属于金融同业往来利息收入；</w:t>
      </w:r>
    </w:p>
    <w:p>
      <w:pPr>
        <w:spacing w:line="360" w:lineRule="auto"/>
        <w:ind w:firstLine="420" w:firstLineChars="200"/>
        <w:rPr>
          <w:color w:val="000000"/>
          <w:szCs w:val="21"/>
        </w:rPr>
      </w:pPr>
      <w:r>
        <w:rPr>
          <w:color w:val="000000"/>
          <w:szCs w:val="21"/>
        </w:rPr>
        <w:t>根据财政部、国家税务总局财税[2016]140号文《关于明确金融、房地产开发、教育辅助服务等增值税政策的通知》的规定，资管产品运营过程中发生的增值税应税行为，以资管产品管理人为增值税纳税人；</w:t>
      </w:r>
    </w:p>
    <w:p>
      <w:pPr>
        <w:spacing w:line="360" w:lineRule="auto"/>
        <w:ind w:firstLine="420" w:firstLineChars="200"/>
        <w:rPr>
          <w:color w:val="000000"/>
          <w:szCs w:val="21"/>
        </w:rPr>
      </w:pPr>
      <w:r>
        <w:rPr>
          <w:color w:val="000000"/>
          <w:szCs w:val="21"/>
        </w:rPr>
        <w:t>根据财政部、国家税务总局财税[2017]56号文《关于资管产品增值税有关问题的通知》的规定，自2018年1月1日起，资管产品管理人运营资管产品过程中发生的增值税应税行为（以下简称“资管产品运营业务”），暂适用简易计税方法，按照3%的征收率缴纳增值税，资管产品管理人未分别核算资管产品运营业务和其他业务的销售额和增值税应纳税额的除外。资管产品管理人可选择分别或汇总核算资管产品运营业务销售额和增值税应纳税额。对资管产品在2018年1月1日前运营过程中发生的增值税应税行为，未缴纳增值税的，不再缴纳；已缴纳增值税的，已纳税额从资管产品管理人以后月份的增值税应纳税额中抵减；</w:t>
      </w:r>
    </w:p>
    <w:p>
      <w:pPr>
        <w:spacing w:line="360" w:lineRule="auto"/>
        <w:ind w:firstLine="420" w:firstLineChars="200"/>
        <w:rPr>
          <w:color w:val="000000"/>
          <w:szCs w:val="21"/>
        </w:rPr>
      </w:pPr>
      <w:r>
        <w:rPr>
          <w:color w:val="000000"/>
          <w:szCs w:val="21"/>
        </w:rPr>
        <w:t>根据财政部、国家税务总局财税[2017]90号文《关于租入固定资产进项税额抵扣等增值税政策的通知》的规定，自2018年1月1日起，资管产品管理人运营资管产品提供的贷款服务、发生的部分金融商品转让业务，按照以下规定确定销售额：提供贷款服务，以2018年1月1日起产生的利息及利息性质的收入为销售额；转让2017年12月31日前取得的股票（不包括限售股）、债券、基金、非货物期货，可以选择按照实际买入价计算销售额，或者以2017年最后一个交易日的股票收盘价（2017年最后一个交易日处于停牌期间的股票，为停牌前最后一个交易日收盘价）、债券估值（中债金融估值中心有限公司或中证指数有限公司提供的债券估值）、基金份额净值、非货物期货结算价格作为买入价计算销售额。</w:t>
      </w:r>
    </w:p>
    <w:p>
      <w:pPr>
        <w:spacing w:line="360" w:lineRule="auto"/>
        <w:ind w:firstLine="420" w:firstLineChars="200"/>
        <w:rPr>
          <w:color w:val="000000"/>
          <w:szCs w:val="21"/>
        </w:rPr>
      </w:pPr>
      <w:r>
        <w:rPr>
          <w:color w:val="000000"/>
          <w:szCs w:val="21"/>
        </w:rPr>
        <w:t>本基金分别按实际缴纳的增值税额的7%、3%和2%缴纳城市维护建设税、教育费附加和地方教育费附加。</w:t>
      </w:r>
    </w:p>
    <w:p>
      <w:pPr>
        <w:spacing w:line="360" w:lineRule="auto"/>
        <w:ind w:firstLine="420" w:firstLineChars="200"/>
        <w:rPr>
          <w:color w:val="000000"/>
          <w:szCs w:val="21"/>
        </w:rPr>
      </w:pPr>
      <w:r>
        <w:rPr>
          <w:color w:val="000000"/>
          <w:szCs w:val="21"/>
        </w:rPr>
        <w:t>（3）企业所得税</w:t>
      </w:r>
    </w:p>
    <w:p>
      <w:pPr>
        <w:spacing w:line="360" w:lineRule="auto"/>
        <w:ind w:firstLine="420" w:firstLineChars="200"/>
        <w:rPr>
          <w:color w:val="000000"/>
          <w:szCs w:val="21"/>
        </w:rPr>
      </w:pPr>
      <w:r>
        <w:rPr>
          <w:color w:val="000000"/>
          <w:szCs w:val="21"/>
        </w:rPr>
        <w:t>证券投资基金从证券市场中取得的收入，包括买卖股票、债券的差价收入，股权的股息、红利收入，债券的利息收入及其他收入，暂不征收企业所得税。</w:t>
      </w:r>
    </w:p>
    <w:p>
      <w:pPr>
        <w:spacing w:line="360" w:lineRule="auto"/>
        <w:ind w:firstLine="420" w:firstLineChars="200"/>
        <w:rPr>
          <w:color w:val="000000"/>
          <w:szCs w:val="21"/>
        </w:rPr>
      </w:pPr>
      <w:r>
        <w:rPr>
          <w:color w:val="000000"/>
          <w:szCs w:val="21"/>
        </w:rPr>
        <w:t>（4）个人所得税</w:t>
      </w:r>
    </w:p>
    <w:p>
      <w:pPr>
        <w:spacing w:line="360" w:lineRule="auto"/>
        <w:ind w:firstLine="420" w:firstLineChars="200"/>
        <w:rPr>
          <w:color w:val="000000"/>
          <w:szCs w:val="21"/>
        </w:rPr>
      </w:pPr>
      <w:r>
        <w:rPr>
          <w:color w:val="000000"/>
          <w:szCs w:val="21"/>
        </w:rPr>
        <w:t>个人所得税税率为20%。</w:t>
      </w:r>
    </w:p>
    <w:p>
      <w:pPr>
        <w:spacing w:line="360" w:lineRule="auto"/>
        <w:ind w:firstLine="420" w:firstLineChars="200"/>
        <w:rPr>
          <w:color w:val="000000"/>
          <w:szCs w:val="21"/>
        </w:rPr>
      </w:pPr>
      <w:r>
        <w:rPr>
          <w:color w:val="000000"/>
          <w:szCs w:val="21"/>
        </w:rPr>
        <w:t>基金从上市公司分配取得的股息红利所得，持股期限在1个月以内（含1个月）的，其股息红利所得全额计入应纳税所得额；持股期限在1个月以上至1年（含1年）的，减按50%计入应纳税所得额；持股期限超过1年的，减按25%计入应纳税所得额；自2015年9月8日起，证券投资基金从公开发行和转让市场取得的上市公司股票，持股期限超过1年的，股息红利所得暂免征收个人所得税。</w:t>
      </w:r>
    </w:p>
    <w:p w:rsidR="00967083" w:rsidRDefault="00E4498A">
      <w:pPr>
        <w:spacing w:line="360" w:lineRule="auto"/>
        <w:ind w:firstLine="420" w:firstLineChars="200"/>
        <w:rPr>
          <w:color w:val="000000"/>
          <w:szCs w:val="21"/>
        </w:rPr>
      </w:pPr>
      <w:r>
        <w:rPr>
          <w:color w:val="000000"/>
          <w:szCs w:val="21"/>
        </w:rPr>
        <w:lastRenderedPageBreak/>
        <w:t>暂免征收储蓄存款利息所得个人所得税。</w:t>
      </w:r>
    </w:p>
    <w:p w:rsidR="00967083" w:rsidRDefault="00967083">
      <w:pPr>
        <w:autoSpaceDE w:val="0"/>
        <w:autoSpaceDN w:val="0"/>
        <w:adjustRightInd w:val="0"/>
        <w:spacing w:line="360" w:lineRule="auto"/>
        <w:jc w:val="left"/>
        <w:rPr>
          <w:b/>
          <w:bCs/>
          <w:color w:val="000000"/>
          <w:kern w:val="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6.4.7 </w:t>
      </w:r>
      <w:r>
        <w:rPr>
          <w:b/>
          <w:color w:val="000000"/>
          <w:kern w:val="0"/>
          <w:szCs w:val="21"/>
        </w:rPr>
        <w:t>关联方关系</w:t>
      </w:r>
    </w:p>
    <w:p w:rsidR="00967083" w:rsidRDefault="00E4498A">
      <w:pPr>
        <w:spacing w:line="360" w:lineRule="auto"/>
        <w:rPr>
          <w:b/>
          <w:kern w:val="0"/>
          <w:szCs w:val="21"/>
        </w:rPr>
      </w:pPr>
      <w:r>
        <w:rPr>
          <w:b/>
          <w:bCs/>
          <w:color w:val="000000"/>
          <w:kern w:val="0"/>
          <w:szCs w:val="21"/>
        </w:rPr>
        <w:t>6.4.7.1</w:t>
      </w:r>
      <w:r>
        <w:rPr>
          <w:b/>
          <w:kern w:val="0"/>
          <w:szCs w:val="21"/>
        </w:rPr>
        <w:t>本报告期存在控制关系或其他重大利害关系的关联方发生变化的情况</w:t>
      </w:r>
    </w:p>
    <w:p w:rsidR="00967083" w:rsidRDefault="00E4498A">
      <w:pPr>
        <w:spacing w:line="360" w:lineRule="auto"/>
        <w:ind w:firstLine="420" w:firstLineChars="200"/>
        <w:rPr>
          <w:color w:val="000000"/>
          <w:szCs w:val="21"/>
        </w:rPr>
      </w:pPr>
      <w:r>
        <w:rPr>
          <w:color w:val="000000"/>
          <w:szCs w:val="21"/>
        </w:rPr>
        <w:t>本基金本报告期不存在控制关系或者其他重大利害关系的关联方关系发生变化的情况。</w:t>
      </w:r>
    </w:p>
    <w:p w:rsidR="00967083" w:rsidRDefault="00967083">
      <w:pPr>
        <w:autoSpaceDE w:val="0"/>
        <w:autoSpaceDN w:val="0"/>
        <w:adjustRightInd w:val="0"/>
        <w:spacing w:line="360" w:lineRule="auto"/>
        <w:ind w:firstLine="405"/>
        <w:jc w:val="left"/>
        <w:rPr>
          <w:b/>
          <w:color w:val="000000"/>
          <w:kern w:val="0"/>
          <w:szCs w:val="21"/>
        </w:rPr>
      </w:pPr>
    </w:p>
    <w:p w:rsidR="00967083" w:rsidRDefault="00E4498A">
      <w:pPr>
        <w:spacing w:line="360" w:lineRule="auto"/>
        <w:rPr>
          <w:b/>
          <w:kern w:val="0"/>
          <w:szCs w:val="21"/>
        </w:rPr>
      </w:pPr>
      <w:r>
        <w:rPr>
          <w:b/>
          <w:bCs/>
          <w:color w:val="000000"/>
          <w:kern w:val="0"/>
          <w:szCs w:val="21"/>
        </w:rPr>
        <w:t xml:space="preserve">6.4.7.2 </w:t>
      </w:r>
      <w:r>
        <w:rPr>
          <w:b/>
          <w:szCs w:val="21"/>
        </w:rPr>
        <w:t>本报告期与基金发生关联交易的各关联方</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5220"/>
        <w:gridCol w:w="3780"/>
      </w:tblGrid>
      <w:tr w:rsidR="00967083">
        <w:tc>
          <w:tcPr>
            <w:tcW w:type="dxa" w:w="5220"/>
          </w:tcPr>
          <w:p w:rsidR="00967083" w:rsidRDefault="00E4498A">
            <w:pPr>
              <w:jc w:val="center"/>
              <w:rPr>
                <w:color w:val="000000"/>
                <w:szCs w:val="21"/>
              </w:rPr>
            </w:pPr>
            <w:r>
              <w:rPr>
                <w:color w:val="000000"/>
                <w:szCs w:val="21"/>
              </w:rPr>
              <w:t>关联方名称</w:t>
            </w:r>
          </w:p>
        </w:tc>
        <w:tc>
          <w:tcPr>
            <w:tcW w:type="dxa" w:w="3780"/>
          </w:tcPr>
          <w:p w:rsidR="00967083" w:rsidRDefault="00E4498A">
            <w:pPr>
              <w:jc w:val="center"/>
              <w:rPr>
                <w:color w:val="000000"/>
                <w:szCs w:val="21"/>
              </w:rPr>
            </w:pPr>
            <w:r>
              <w:rPr>
                <w:color w:val="000000"/>
                <w:szCs w:val="21"/>
              </w:rPr>
              <w:t>与本基金的关系</w:t>
            </w:r>
          </w:p>
        </w:tc>
      </w:tr>
      <w:tr>
        <w:tc>
          <w:tcPr>
            <w:vAlign w:val="center"/>
          </w:tcPr>
          <w:p>
            <w:pPr>
              <w:jc w:val="left"/>
            </w:pPr>
            <w:r>
              <w:rPr>
                <w:color w:val="000000"/>
                <w:szCs w:val="21"/>
              </w:rPr>
              <w:t>广发基金管理有限公司</w:t>
            </w:r>
          </w:p>
        </w:tc>
        <w:tc>
          <w:tcPr>
            <w:vAlign w:val="center"/>
          </w:tcPr>
          <w:p>
            <w:pPr>
              <w:jc w:val="left"/>
            </w:pPr>
            <w:r>
              <w:rPr>
                <w:color w:val="000000"/>
                <w:szCs w:val="21"/>
              </w:rPr>
              <w:t>基金发起人、基金管理人、注册登记与过户机构、直销机构</w:t>
            </w:r>
          </w:p>
        </w:tc>
      </w:tr>
      <w:tr>
        <w:tc>
          <w:tcPr>
            <w:vAlign w:val="center"/>
          </w:tcPr>
          <w:p>
            <w:pPr>
              <w:jc w:val="left"/>
            </w:pPr>
            <w:r>
              <w:rPr>
                <w:color w:val="000000"/>
                <w:szCs w:val="21"/>
              </w:rPr>
              <w:t>江苏银行股份有限公司</w:t>
            </w:r>
          </w:p>
        </w:tc>
        <w:tc>
          <w:tcPr>
            <w:vAlign w:val="center"/>
          </w:tcPr>
          <w:p>
            <w:pPr>
              <w:jc w:val="left"/>
            </w:pPr>
            <w:r>
              <w:rPr>
                <w:color w:val="000000"/>
                <w:szCs w:val="21"/>
              </w:rPr>
              <w:t>基金托管人、代销机构</w:t>
            </w:r>
          </w:p>
        </w:tc>
      </w:tr>
      <w:tr>
        <w:tc>
          <w:tcPr>
            <w:vAlign w:val="center"/>
          </w:tcPr>
          <w:p>
            <w:pPr>
              <w:jc w:val="left"/>
            </w:pPr>
            <w:r>
              <w:rPr>
                <w:color w:val="000000"/>
                <w:szCs w:val="21"/>
              </w:rPr>
              <w:t>广发证券股份有限公司</w:t>
            </w:r>
          </w:p>
        </w:tc>
        <w:tc>
          <w:tcPr>
            <w:vAlign w:val="center"/>
          </w:tcPr>
          <w:p>
            <w:pPr>
              <w:jc w:val="left"/>
            </w:pPr>
            <w:r>
              <w:rPr>
                <w:color w:val="000000"/>
                <w:szCs w:val="21"/>
              </w:rPr>
              <w:t>基金管理人母公司、代销机构</w:t>
            </w:r>
          </w:p>
        </w:tc>
      </w:tr>
    </w:tbl>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6.4.8 </w:t>
      </w:r>
      <w:r>
        <w:rPr>
          <w:b/>
          <w:color w:val="000000"/>
          <w:kern w:val="0"/>
          <w:szCs w:val="21"/>
        </w:rPr>
        <w:t>本报告期及上年度可比期间的关联方交易</w:t>
      </w: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6.4.8.1 </w:t>
      </w:r>
      <w:r>
        <w:rPr>
          <w:b/>
          <w:color w:val="000000"/>
          <w:kern w:val="0"/>
          <w:szCs w:val="21"/>
        </w:rPr>
        <w:t>通过关联方交易单元进行的交易</w:t>
      </w:r>
    </w:p>
    <w:p w:rsidR="00967083" w:rsidRDefault="00E4498A">
      <w:pPr>
        <w:spacing w:line="360" w:lineRule="auto"/>
        <w:rPr>
          <w:color w:val="000000"/>
          <w:szCs w:val="21"/>
        </w:rPr>
      </w:pPr>
      <w:r>
        <w:rPr>
          <w:b/>
          <w:bCs/>
          <w:color w:val="000000"/>
          <w:kern w:val="0"/>
          <w:szCs w:val="21"/>
        </w:rPr>
        <w:t xml:space="preserve">6.4.8.1.1 </w:t>
      </w:r>
      <w:r>
        <w:rPr>
          <w:b/>
          <w:color w:val="000000"/>
          <w:szCs w:val="21"/>
        </w:rPr>
        <w:t>股票交易</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本基金本报告期内无通过关联方交易单元进行的股票交易。</w:t>
      </w:r>
    </w:p>
    <w:p w:rsidR="00967083" w:rsidRDefault="00967083">
      <w:pPr>
        <w:spacing w:line="288" w:lineRule="auto"/>
        <w:rPr>
          <w:color w:val="000000"/>
          <w:szCs w:val="21"/>
        </w:rPr>
      </w:pPr>
    </w:p>
    <w:p w:rsidR="00967083" w:rsidRDefault="00E4498A">
      <w:pPr>
        <w:spacing w:line="360" w:lineRule="auto"/>
        <w:rPr>
          <w:b/>
          <w:color w:val="000000"/>
          <w:szCs w:val="21"/>
        </w:rPr>
      </w:pPr>
      <w:r>
        <w:rPr>
          <w:b/>
          <w:bCs/>
          <w:color w:val="000000"/>
          <w:kern w:val="0"/>
          <w:szCs w:val="21"/>
        </w:rPr>
        <w:t xml:space="preserve">6.4.8.1.2 </w:t>
      </w:r>
      <w:r>
        <w:rPr>
          <w:b/>
          <w:color w:val="000000"/>
          <w:szCs w:val="21"/>
        </w:rPr>
        <w:t>权证交易</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本基金本报告期内无通过关联方交易单元进行的权证交易。</w:t>
      </w:r>
    </w:p>
    <w:p w:rsidR="00967083" w:rsidRDefault="00967083">
      <w:pPr>
        <w:spacing w:line="288" w:lineRule="auto"/>
        <w:rPr>
          <w:color w:val="000000"/>
          <w:szCs w:val="21"/>
        </w:rPr>
      </w:pPr>
    </w:p>
    <w:p w:rsidR="00967083" w:rsidRDefault="00E4498A">
      <w:pPr>
        <w:spacing w:line="360" w:lineRule="auto"/>
        <w:rPr>
          <w:b/>
          <w:color w:val="000000"/>
          <w:szCs w:val="21"/>
        </w:rPr>
      </w:pPr>
      <w:r>
        <w:rPr>
          <w:b/>
          <w:bCs/>
          <w:color w:val="000000"/>
          <w:kern w:val="0"/>
          <w:szCs w:val="21"/>
        </w:rPr>
        <w:t xml:space="preserve">6.4.8.1.3 </w:t>
      </w:r>
      <w:r>
        <w:rPr>
          <w:b/>
          <w:color w:val="000000"/>
          <w:szCs w:val="21"/>
        </w:rPr>
        <w:t>应支付关联方的佣金</w:t>
      </w:r>
    </w:p>
    <w:p w:rsidR="00967083" w:rsidRDefault="00E4498A">
      <w:pPr>
        <w:tabs>
          <w:tab w:pos="426" w:val="left"/>
        </w:tabs>
        <w:spacing w:line="360" w:lineRule="auto"/>
        <w:ind w:firstLine="420" w:firstLineChars="200"/>
        <w:jc w:val="left"/>
        <w:rPr>
          <w:rFonts w:eastAsiaTheme="minorEastAsia"/>
          <w:kern w:val="0"/>
          <w:szCs w:val="21"/>
        </w:rPr>
      </w:pPr>
      <w:r>
        <w:rPr>
          <w:kern w:val="0"/>
          <w:szCs w:val="21"/>
        </w:rPr>
        <w:t>本基金本报告期内无应支付关联方的佣金，本报告期末无应付关联方佣金余额。</w:t>
      </w:r>
    </w:p>
    <w:p w:rsidR="00967083" w:rsidRDefault="00967083">
      <w:pPr>
        <w:spacing w:line="288" w:lineRule="auto"/>
        <w:rPr>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6.4.8.2 </w:t>
      </w:r>
      <w:r>
        <w:rPr>
          <w:b/>
          <w:color w:val="000000"/>
          <w:kern w:val="0"/>
          <w:szCs w:val="21"/>
        </w:rPr>
        <w:t>关联方报酬</w:t>
      </w: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6.4.8.2.1 </w:t>
      </w:r>
      <w:r>
        <w:rPr>
          <w:b/>
          <w:color w:val="000000"/>
          <w:kern w:val="0"/>
          <w:szCs w:val="21"/>
        </w:rPr>
        <w:t>基金管理费</w:t>
      </w:r>
    </w:p>
    <w:p w:rsidR="00967083" w:rsidRDefault="00E4498A">
      <w:pPr>
        <w:autoSpaceDE w:val="0"/>
        <w:autoSpaceDN w:val="0"/>
        <w:adjustRightInd w:val="0"/>
        <w:spacing w:before="29" w:line="288" w:lineRule="auto"/>
        <w:ind w:left="15" w:right="210"/>
        <w:jc w:val="right"/>
        <w:rPr>
          <w:color w:val="000000"/>
          <w:kern w:val="0"/>
          <w:szCs w:val="21"/>
        </w:rPr>
      </w:pPr>
      <w:r>
        <w:rPr>
          <w:color w:val="000000"/>
          <w:szCs w:val="21"/>
        </w:rPr>
        <w:t/>
      </w:r>
      <w:r>
        <w:rPr>
          <w:color w:val="000000"/>
          <w:szCs w:val="21"/>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3686"/>
        <w:gridCol w:w="2657"/>
        <w:gridCol w:w="2657"/>
      </w:tblGrid>
      <w:tr w:rsidR="00967083">
        <w:tc>
          <w:tcPr>
            <w:tcW w:type="dxa" w:w="3686"/>
            <w:vAlign w:val="center"/>
          </w:tcPr>
          <w:p w:rsidR="00967083" w:rsidRDefault="00E4498A">
            <w:pPr>
              <w:jc w:val="center"/>
              <w:rPr>
                <w:color w:val="000000"/>
                <w:szCs w:val="21"/>
              </w:rPr>
            </w:pPr>
            <w:r>
              <w:rPr>
                <w:color w:val="000000"/>
                <w:szCs w:val="21"/>
              </w:rPr>
              <w:lastRenderedPageBreak/>
              <w:t>项目</w:t>
            </w:r>
            <w:r>
              <w:rPr>
                <w:b/>
                <w:color w:val="000000"/>
                <w:szCs w:val="21"/>
              </w:rPr>
              <w:t/>
            </w:r>
          </w:p>
        </w:tc>
        <w:tc>
          <w:tcPr>
            <w:tcW w:type="dxa" w:w="5314"/>
            <w:hMerge w:val="restart"/>
          </w:tcPr>
          <w:p w:rsidR="00967083" w:rsidRDefault="00E4498A">
            <w:pPr>
              <w:jc w:val="center"/>
              <w:rPr>
                <w:color w:val="000000"/>
                <w:szCs w:val="21"/>
              </w:rPr>
            </w:pPr>
            <w:r>
              <w:rPr>
                <w:color w:val="000000"/>
                <w:szCs w:val="21"/>
              </w:rPr>
              <w:t>本期</w:t>
            </w:r>
          </w:p>
          <w:p w:rsidR="00967083" w:rsidRDefault="00E4498A">
            <w:pPr>
              <w:widowControl/>
              <w:autoSpaceDE w:val="0"/>
              <w:autoSpaceDN w:val="0"/>
              <w:ind w:right="-15"/>
              <w:jc w:val="center"/>
              <w:textAlignment w:val="bottom"/>
              <w:rPr>
                <w:color w:val="000000"/>
                <w:szCs w:val="21"/>
              </w:rPr>
            </w:pPr>
            <w:r>
              <w:rPr>
                <w:szCs w:val="21"/>
              </w:rPr>
              <w:t>2019年1月1日</w:t>
            </w:r>
            <w:r>
              <w:rPr>
                <w:szCs w:val="21"/>
              </w:rPr>
              <w:t>至</w:t>
            </w:r>
            <w:r>
              <w:rPr>
                <w:szCs w:val="21"/>
              </w:rPr>
              <w:t>2019年6月30日</w:t>
            </w:r>
          </w:p>
        </w:tc>
        <w:tc>
          <w:tcPr>
            <w:tcW w:type="dxa" w:w="2657"/>
            <w:hMerge/>
          </w:tcPr>
          <w:p w:rsidR="00967083" w:rsidRDefault="00E4498A">
            <w:pPr>
              <w:jc w:val="center"/>
              <w:rPr>
                <w:color w:val="000000"/>
                <w:szCs w:val="21"/>
              </w:rPr>
            </w:pPr>
            <w:r>
              <w:rPr>
                <w:color w:val="000000"/>
                <w:szCs w:val="21"/>
              </w:rPr>
              <w:t>上年度可比期间</w:t>
            </w:r>
          </w:p>
          <w:p w:rsidR="00967083" w:rsidRDefault="00E4498A">
            <w:pPr>
              <w:widowControl/>
              <w:autoSpaceDE w:val="0"/>
              <w:autoSpaceDN w:val="0"/>
              <w:ind w:right="-15"/>
              <w:jc w:val="center"/>
              <w:textAlignment w:val="bottom"/>
              <w:rPr>
                <w:color w:val="000000"/>
                <w:kern w:val="0"/>
                <w:szCs w:val="21"/>
              </w:rPr>
            </w:pPr>
            <w:r>
              <w:rPr>
                <w:color w:val="000000"/>
                <w:szCs w:val="21"/>
              </w:rPr>
              <w:t>-</w:t>
            </w:r>
            <w:r>
              <w:rPr>
                <w:szCs w:val="21"/>
              </w:rPr>
              <w:t/>
            </w:r>
          </w:p>
        </w:tc>
      </w:tr>
      <w:tr w:rsidR="00967083">
        <w:tc>
          <w:tcPr>
            <w:tcW w:type="dxa" w:w="3686"/>
            <w:vAlign w:val="center"/>
          </w:tcPr>
          <w:p w:rsidR="00967083" w:rsidRDefault="00E4498A">
            <w:pPr>
              <w:rPr>
                <w:color w:val="000000"/>
                <w:szCs w:val="21"/>
              </w:rPr>
            </w:pPr>
            <w:r>
              <w:rPr>
                <w:szCs w:val="21"/>
              </w:rPr>
              <w:t>当期发生的基金应支付的管理费</w:t>
            </w:r>
          </w:p>
        </w:tc>
        <w:tc>
          <w:tcPr>
            <w:tcW w:type="dxa" w:w="5314"/>
            <w:hMerge w:val="restart"/>
            <w:vAlign w:val="center"/>
          </w:tcPr>
          <w:p w:rsidR="00967083" w:rsidRDefault="00E4498A">
            <w:pPr>
              <w:jc w:val="right"/>
              <w:rPr>
                <w:szCs w:val="21"/>
              </w:rPr>
            </w:pPr>
            <w:r>
              <w:rPr>
                <w:szCs w:val="21"/>
              </w:rPr>
              <w:t>92,905.22</w:t>
            </w:r>
          </w:p>
        </w:tc>
        <w:tc>
          <w:tcPr>
            <w:tcW w:type="dxa" w:w="2657"/>
            <w:hMerge/>
            <w:vAlign w:val="center"/>
          </w:tcPr>
          <w:p w:rsidR="00967083" w:rsidRDefault="00E4498A">
            <w:pPr>
              <w:jc w:val="right"/>
              <w:rPr>
                <w:szCs w:val="21"/>
              </w:rPr>
            </w:pPr>
            <w:r>
              <w:rPr>
                <w:szCs w:val="21"/>
              </w:rPr>
              <w:t>-</w:t>
            </w:r>
          </w:p>
        </w:tc>
      </w:tr>
      <w:tr w:rsidR="00967083">
        <w:tc>
          <w:tcPr>
            <w:tcW w:type="dxa" w:w="3686"/>
            <w:vAlign w:val="center"/>
          </w:tcPr>
          <w:p w:rsidR="00967083" w:rsidRDefault="00E4498A">
            <w:pPr>
              <w:rPr>
                <w:color w:val="000000"/>
                <w:szCs w:val="21"/>
              </w:rPr>
            </w:pPr>
            <w:r>
              <w:rPr>
                <w:szCs w:val="21"/>
              </w:rPr>
              <w:t>其中：支付销售机构的客户维护费</w:t>
            </w:r>
          </w:p>
        </w:tc>
        <w:tc>
          <w:tcPr>
            <w:tcW w:type="dxa" w:w="5314"/>
            <w:hMerge w:val="restart"/>
            <w:vAlign w:val="center"/>
          </w:tcPr>
          <w:p w:rsidR="00967083" w:rsidRDefault="00E4498A">
            <w:pPr>
              <w:jc w:val="right"/>
              <w:rPr>
                <w:szCs w:val="21"/>
              </w:rPr>
            </w:pPr>
            <w:r>
              <w:rPr>
                <w:szCs w:val="21"/>
              </w:rPr>
              <w:t>-</w:t>
            </w:r>
          </w:p>
        </w:tc>
        <w:tc>
          <w:tcPr>
            <w:tcW w:type="dxa" w:w="2657"/>
            <w:hMerge/>
            <w:vAlign w:val="center"/>
          </w:tcPr>
          <w:p w:rsidR="00967083" w:rsidRDefault="00E4498A">
            <w:pPr>
              <w:jc w:val="right"/>
              <w:rPr>
                <w:szCs w:val="21"/>
              </w:rPr>
            </w:pPr>
            <w:r>
              <w:rPr>
                <w:szCs w:val="21"/>
              </w:rPr>
              <w:t>-</w:t>
            </w:r>
          </w:p>
        </w:tc>
      </w:tr>
    </w:tbl>
    <w:p>
      <w:pPr>
        <w:tabs>
          <w:tab w:pos="426" w:val="left"/>
        </w:tabs>
        <w:spacing w:line="360" w:lineRule="auto"/>
        <w:ind w:firstLine="420" w:firstLineChars="200"/>
        <w:jc w:val="left"/>
        <w:rPr>
          <w:rFonts w:eastAsiaTheme="minorEastAsia"/>
          <w:kern w:val="0"/>
          <w:szCs w:val="21"/>
        </w:rPr>
      </w:pPr>
      <w:r>
        <w:rPr>
          <w:rFonts w:eastAsiaTheme="minorEastAsia"/>
          <w:kern w:val="0"/>
          <w:szCs w:val="21"/>
        </w:rPr>
        <w:t>注：本基金的管理费按前一日基金资产净值的0.30%年费率计提。管理费的计算方法如下：</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H＝E×0.30%÷当年天数</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H为每日应计提的基金管理费</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E为前一日的基金资产净值</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基金管理费每日计算，逐日累计至每月月末，按月支付，由基金管理人与基金托管人核对一致后，基金托管人按照与基金管理人协商一致的方式于次月首日起5个工作日内从基金财产中一次性支付给基金管理人。若遇法定节假日、公休假等，支付日期顺延。</w:t>
      </w:r>
    </w:p>
    <w:p w:rsidR="00967083" w:rsidRDefault="00967083">
      <w:pPr>
        <w:spacing w:line="288" w:lineRule="auto"/>
        <w:rPr>
          <w:color w:val="000000"/>
          <w:szCs w:val="21"/>
        </w:rPr>
      </w:pPr>
    </w:p>
    <w:p w:rsidR="00967083" w:rsidRDefault="00E4498A">
      <w:pPr>
        <w:autoSpaceDE w:val="0"/>
        <w:autoSpaceDN w:val="0"/>
        <w:adjustRightInd w:val="0"/>
        <w:spacing w:line="360" w:lineRule="auto"/>
        <w:jc w:val="left"/>
        <w:rPr>
          <w:b/>
          <w:color w:val="000000"/>
          <w:kern w:val="0"/>
          <w:szCs w:val="21"/>
        </w:rPr>
      </w:pPr>
      <w:r>
        <w:rPr>
          <w:b/>
          <w:bCs/>
          <w:color w:val="000000"/>
          <w:kern w:val="0"/>
          <w:szCs w:val="21"/>
        </w:rPr>
        <w:t xml:space="preserve">6.4.8.2.2 </w:t>
      </w:r>
      <w:r>
        <w:rPr>
          <w:b/>
          <w:color w:val="000000"/>
          <w:kern w:val="0"/>
          <w:szCs w:val="21"/>
        </w:rPr>
        <w:t>基金托管费</w:t>
      </w:r>
    </w:p>
    <w:p w:rsidR="00967083" w:rsidRDefault="00E4498A">
      <w:pPr>
        <w:autoSpaceDE w:val="0"/>
        <w:autoSpaceDN w:val="0"/>
        <w:adjustRightInd w:val="0"/>
        <w:spacing w:before="29" w:line="288" w:lineRule="auto"/>
        <w:ind w:left="15" w:right="210"/>
        <w:jc w:val="right"/>
        <w:rPr>
          <w:color w:val="000000"/>
          <w:kern w:val="0"/>
          <w:szCs w:val="21"/>
        </w:rPr>
      </w:pPr>
      <w:r>
        <w:rPr>
          <w:color w:val="000000"/>
          <w:szCs w:val="21"/>
        </w:rPr>
        <w:t/>
      </w:r>
      <w:r>
        <w:rPr>
          <w:color w:val="000000"/>
          <w:szCs w:val="21"/>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3686"/>
        <w:gridCol w:w="2657"/>
        <w:gridCol w:w="2657"/>
      </w:tblGrid>
      <w:tr w:rsidR="00967083">
        <w:tc>
          <w:tcPr>
            <w:tcW w:type="dxa" w:w="3686"/>
            <w:vAlign w:val="center"/>
          </w:tcPr>
          <w:p w:rsidR="00967083" w:rsidRDefault="00E4498A">
            <w:pPr>
              <w:jc w:val="center"/>
              <w:rPr>
                <w:color w:val="000000"/>
                <w:szCs w:val="21"/>
              </w:rPr>
            </w:pPr>
            <w:r>
              <w:rPr>
                <w:color w:val="000000"/>
                <w:szCs w:val="21"/>
              </w:rPr>
              <w:t>项目</w:t>
            </w:r>
            <w:r>
              <w:rPr>
                <w:b/>
                <w:color w:val="000000"/>
                <w:szCs w:val="21"/>
              </w:rPr>
              <w:t/>
            </w:r>
          </w:p>
        </w:tc>
        <w:tc>
          <w:tcPr>
            <w:tcW w:type="dxa" w:w="5314"/>
            <w:hMerge w:val="restart"/>
          </w:tcPr>
          <w:p w:rsidR="00967083" w:rsidRDefault="00E4498A">
            <w:pPr>
              <w:jc w:val="center"/>
              <w:rPr>
                <w:color w:val="000000"/>
                <w:szCs w:val="21"/>
              </w:rPr>
            </w:pPr>
            <w:r>
              <w:rPr>
                <w:color w:val="000000"/>
                <w:szCs w:val="21"/>
              </w:rPr>
              <w:t>本期</w:t>
            </w:r>
          </w:p>
          <w:p w:rsidR="00967083" w:rsidRDefault="00E4498A">
            <w:pPr>
              <w:widowControl/>
              <w:autoSpaceDE w:val="0"/>
              <w:autoSpaceDN w:val="0"/>
              <w:ind w:right="-15"/>
              <w:jc w:val="center"/>
              <w:textAlignment w:val="bottom"/>
              <w:rPr>
                <w:color w:val="000000"/>
                <w:szCs w:val="21"/>
              </w:rPr>
            </w:pPr>
            <w:r>
              <w:rPr>
                <w:szCs w:val="21"/>
              </w:rPr>
              <w:t>2019年1月1日</w:t>
            </w:r>
            <w:r>
              <w:rPr>
                <w:szCs w:val="21"/>
              </w:rPr>
              <w:t>至</w:t>
            </w:r>
            <w:r>
              <w:rPr>
                <w:szCs w:val="21"/>
              </w:rPr>
              <w:t>2019年6月30日</w:t>
            </w:r>
          </w:p>
        </w:tc>
        <w:tc>
          <w:tcPr>
            <w:tcW w:type="dxa" w:w="2657"/>
            <w:hMerge/>
          </w:tcPr>
          <w:p w:rsidR="00967083" w:rsidRDefault="00E4498A">
            <w:pPr>
              <w:jc w:val="center"/>
              <w:rPr>
                <w:color w:val="000000"/>
                <w:szCs w:val="21"/>
              </w:rPr>
            </w:pPr>
            <w:r>
              <w:rPr>
                <w:color w:val="000000"/>
                <w:szCs w:val="21"/>
              </w:rPr>
              <w:t>上年度可比期间</w:t>
            </w:r>
          </w:p>
          <w:p w:rsidR="00967083" w:rsidRDefault="00E4498A">
            <w:pPr>
              <w:widowControl/>
              <w:autoSpaceDE w:val="0"/>
              <w:autoSpaceDN w:val="0"/>
              <w:ind w:right="-15"/>
              <w:jc w:val="center"/>
              <w:textAlignment w:val="bottom"/>
              <w:rPr>
                <w:color w:val="000000"/>
                <w:kern w:val="0"/>
                <w:szCs w:val="21"/>
              </w:rPr>
            </w:pPr>
            <w:r>
              <w:rPr>
                <w:color w:val="000000"/>
                <w:szCs w:val="21"/>
              </w:rPr>
              <w:t>-</w:t>
            </w:r>
            <w:r>
              <w:rPr>
                <w:szCs w:val="21"/>
              </w:rPr>
              <w:t/>
            </w:r>
          </w:p>
        </w:tc>
      </w:tr>
      <w:tr w:rsidR="00967083">
        <w:tc>
          <w:tcPr>
            <w:tcW w:type="dxa" w:w="3686"/>
            <w:vAlign w:val="center"/>
          </w:tcPr>
          <w:p w:rsidR="00967083" w:rsidRDefault="00E4498A">
            <w:pPr>
              <w:rPr>
                <w:color w:val="000000"/>
                <w:szCs w:val="21"/>
              </w:rPr>
            </w:pPr>
            <w:r>
              <w:rPr>
                <w:szCs w:val="21"/>
              </w:rPr>
              <w:t>当期发生的基金应支付的托管费</w:t>
            </w:r>
          </w:p>
        </w:tc>
        <w:tc>
          <w:tcPr>
            <w:tcW w:type="dxa" w:w="5314"/>
            <w:hMerge w:val="restart"/>
            <w:vAlign w:val="center"/>
          </w:tcPr>
          <w:p w:rsidR="00967083" w:rsidRDefault="00E4498A">
            <w:pPr>
              <w:jc w:val="right"/>
              <w:rPr>
                <w:color w:val="000000"/>
                <w:kern w:val="0"/>
                <w:szCs w:val="21"/>
              </w:rPr>
            </w:pPr>
            <w:r>
              <w:rPr>
                <w:szCs w:val="21"/>
              </w:rPr>
              <w:t>30,968.36</w:t>
            </w:r>
          </w:p>
        </w:tc>
        <w:tc>
          <w:tcPr>
            <w:tcW w:type="dxa" w:w="2657"/>
            <w:hMerge/>
            <w:vAlign w:val="center"/>
          </w:tcPr>
          <w:p w:rsidR="00967083" w:rsidRDefault="00E4498A">
            <w:pPr>
              <w:jc w:val="right"/>
              <w:rPr>
                <w:color w:val="000000"/>
                <w:szCs w:val="21"/>
              </w:rPr>
            </w:pPr>
            <w:r>
              <w:rPr>
                <w:szCs w:val="21"/>
              </w:rPr>
              <w:t>-</w:t>
            </w:r>
          </w:p>
        </w:tc>
      </w:tr>
    </w:tbl>
    <w:p>
      <w:pPr>
        <w:tabs>
          <w:tab w:pos="426" w:val="left"/>
        </w:tabs>
        <w:spacing w:line="360" w:lineRule="auto"/>
        <w:ind w:firstLine="420" w:firstLineChars="200"/>
        <w:jc w:val="left"/>
        <w:rPr>
          <w:rFonts w:eastAsiaTheme="minorEastAsia"/>
          <w:kern w:val="0"/>
          <w:szCs w:val="21"/>
        </w:rPr>
      </w:pPr>
      <w:r>
        <w:rPr>
          <w:rFonts w:eastAsiaTheme="minorEastAsia"/>
          <w:kern w:val="0"/>
          <w:szCs w:val="21"/>
        </w:rPr>
        <w:t>注：本基金的托管费按前一日基金资产净值的0.10%的年费率计提。托管费的计算方法如下：</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H＝E×0.10%÷当年天数</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H为每日应计提的基金托管费</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E为前一日的基金资产净值</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基金托管费每日计算，逐日累计至每月月末，按月支付，由基金管理人与基金托管人核对一致后，基金托管人按照与基金管理人协商一致的方式于次月首日起5个工作日内从基金财产中一次性支取。若遇法定节假日、公休假等,支付日期顺延。</w:t>
      </w:r>
    </w:p>
    <w:p w:rsidR="00967083" w:rsidRDefault="00967083">
      <w:pPr>
        <w:spacing w:line="288" w:lineRule="auto"/>
        <w:rPr>
          <w:color w:val="000000"/>
          <w:szCs w:val="21"/>
        </w:rPr>
      </w:pPr>
    </w:p>
    <w:p w:rsidR="00967083" w:rsidRDefault="00E4498A">
      <w:pPr>
        <w:spacing w:line="360" w:lineRule="auto"/>
        <w:rPr>
          <w:b/>
          <w:bCs/>
          <w:color w:val="000000"/>
          <w:szCs w:val="21"/>
        </w:rPr>
      </w:pPr>
      <w:r>
        <w:rPr>
          <w:b/>
          <w:bCs/>
          <w:color w:val="000000"/>
          <w:kern w:val="0"/>
          <w:szCs w:val="21"/>
        </w:rPr>
        <w:t xml:space="preserve">6.4.8.3 </w:t>
      </w:r>
      <w:r>
        <w:rPr>
          <w:b/>
          <w:bCs/>
          <w:color w:val="000000"/>
          <w:szCs w:val="21"/>
        </w:rPr>
        <w:t>与关联方进行银行间同业市场的债券</w:t>
      </w:r>
      <w:r>
        <w:rPr>
          <w:b/>
          <w:bCs/>
          <w:color w:val="000000"/>
          <w:szCs w:val="21"/>
        </w:rPr>
        <w:t>(</w:t>
      </w:r>
      <w:r>
        <w:rPr>
          <w:b/>
          <w:bCs/>
          <w:color w:val="000000"/>
          <w:szCs w:val="21"/>
        </w:rPr>
        <w:t>含回购</w:t>
      </w:r>
      <w:r>
        <w:rPr>
          <w:b/>
          <w:bCs/>
          <w:color w:val="000000"/>
          <w:szCs w:val="21"/>
        </w:rPr>
        <w:t>)</w:t>
      </w:r>
      <w:r>
        <w:rPr>
          <w:b/>
          <w:bCs/>
          <w:color w:val="000000"/>
          <w:szCs w:val="21"/>
        </w:rPr>
        <w:t>交易</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本基金本报告期内无与关联方进行银行间同业市场的债券（含回购）交易。</w:t>
      </w:r>
    </w:p>
    <w:p w:rsidR="00967083" w:rsidRDefault="00967083">
      <w:pPr>
        <w:spacing w:line="288" w:lineRule="auto"/>
        <w:rPr>
          <w:color w:val="000000"/>
          <w:szCs w:val="21"/>
        </w:rPr>
      </w:pPr>
    </w:p>
    <w:p w:rsidR="00967083" w:rsidRDefault="00E4498A">
      <w:pPr>
        <w:spacing w:line="360" w:lineRule="auto"/>
        <w:jc w:val="left"/>
        <w:rPr>
          <w:b/>
          <w:bCs/>
          <w:color w:val="000000"/>
          <w:szCs w:val="21"/>
        </w:rPr>
      </w:pPr>
      <w:r>
        <w:rPr>
          <w:b/>
          <w:bCs/>
          <w:color w:val="000000"/>
          <w:kern w:val="0"/>
          <w:szCs w:val="21"/>
        </w:rPr>
        <w:t xml:space="preserve">6.4.8.4 </w:t>
      </w:r>
      <w:r>
        <w:rPr>
          <w:b/>
          <w:bCs/>
          <w:color w:val="000000"/>
          <w:szCs w:val="21"/>
        </w:rPr>
        <w:t>各关联方投资本基金的情况</w:t>
      </w:r>
    </w:p>
    <w:p w:rsidR="00967083" w:rsidRDefault="00E4498A">
      <w:pPr>
        <w:adjustRightInd w:val="0"/>
        <w:snapToGrid w:val="0"/>
        <w:spacing w:line="360" w:lineRule="auto"/>
        <w:jc w:val="left"/>
        <w:rPr>
          <w:b/>
          <w:bCs/>
          <w:color w:val="000000"/>
          <w:szCs w:val="21"/>
        </w:rPr>
      </w:pPr>
      <w:r>
        <w:rPr>
          <w:b/>
          <w:bCs/>
          <w:color w:val="000000"/>
          <w:kern w:val="0"/>
          <w:szCs w:val="21"/>
        </w:rPr>
        <w:t xml:space="preserve">6.4.8.4.1 </w:t>
      </w:r>
      <w:r>
        <w:rPr>
          <w:b/>
          <w:bCs/>
          <w:color w:val="000000"/>
          <w:szCs w:val="21"/>
        </w:rPr>
        <w:t>报告期内基金管理人运用固有资金投资本基金的情况</w:t>
      </w:r>
    </w:p>
    <w:p w:rsidR="00967083" w:rsidRDefault="00E4498A">
      <w:pPr>
        <w:tabs>
          <w:tab w:pos="426" w:val="left"/>
        </w:tabs>
        <w:spacing w:line="360" w:lineRule="auto"/>
        <w:ind w:firstLine="420" w:firstLineChars="200"/>
        <w:rPr>
          <w:kern w:val="0"/>
          <w:szCs w:val="21"/>
        </w:rPr>
      </w:pPr>
      <w:r>
        <w:rPr>
          <w:kern w:val="0"/>
          <w:szCs w:val="21"/>
        </w:rPr>
        <w:t>本报告期内基金管理人无运用固有资金投资本基金的情况。</w:t>
      </w:r>
    </w:p>
    <w:p w:rsidR="00967083" w:rsidRDefault="00E4498A">
      <w:pPr>
        <w:adjustRightInd w:val="0"/>
        <w:snapToGrid w:val="0"/>
        <w:spacing w:line="288" w:lineRule="auto"/>
        <w:jc w:val="left"/>
        <w:rPr>
          <w:bCs/>
          <w:color w:val="000000"/>
          <w:szCs w:val="21"/>
        </w:rPr>
      </w:pPr>
      <w:r>
        <w:rPr>
          <w:bCs/>
          <w:color w:val="000000"/>
          <w:szCs w:val="21"/>
        </w:rPr>
        <w:tab/>
      </w:r>
    </w:p>
    <w:p w:rsidR="00967083" w:rsidRDefault="00E4498A">
      <w:pPr>
        <w:adjustRightInd w:val="0"/>
        <w:snapToGrid w:val="0"/>
        <w:spacing w:line="360" w:lineRule="auto"/>
        <w:rPr>
          <w:b/>
          <w:bCs/>
          <w:color w:val="000000"/>
          <w:szCs w:val="21"/>
        </w:rPr>
      </w:pPr>
      <w:r>
        <w:rPr>
          <w:b/>
          <w:bCs/>
          <w:color w:val="000000"/>
          <w:kern w:val="0"/>
          <w:szCs w:val="21"/>
        </w:rPr>
        <w:t xml:space="preserve">6.4.8.4.2 </w:t>
      </w:r>
      <w:r>
        <w:rPr>
          <w:b/>
          <w:bCs/>
          <w:color w:val="000000"/>
          <w:szCs w:val="21"/>
        </w:rPr>
        <w:t>报告期末除基金管理人之外的其他关联方投资本基金的情况</w:t>
      </w:r>
    </w:p>
    <w:p w:rsidR="00967083" w:rsidRDefault="00E4498A">
      <w:pPr>
        <w:adjustRightInd w:val="0"/>
        <w:snapToGrid w:val="0"/>
        <w:spacing w:line="288" w:lineRule="auto"/>
        <w:jc w:val="right"/>
        <w:rPr>
          <w:color w:val="000000"/>
          <w:szCs w:val="21"/>
        </w:rPr>
      </w:pPr>
      <w:r>
        <w:rPr>
          <w:color w:val="000000"/>
          <w:szCs w:val="21"/>
        </w:rPr>
        <w:t/>
      </w:r>
      <w:r>
        <w:rPr>
          <w:color w:val="000000"/>
          <w:szCs w:val="21"/>
        </w:rPr>
        <w:t>份额单位：份</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800"/>
        <w:gridCol w:w="1980"/>
        <w:gridCol w:w="1440"/>
        <w:gridCol w:w="2160"/>
        <w:gridCol w:w="1620"/>
      </w:tblGrid>
      <w:tr w:rsidR="00967083">
        <w:tc>
          <w:tcPr>
            <w:tcW w:type="dxa" w:w="1800"/>
            <w:vMerge w:val="restart"/>
            <w:vAlign w:val="center"/>
          </w:tcPr>
          <w:p w:rsidR="00967083" w:rsidRDefault="00E4498A">
            <w:pPr>
              <w:spacing w:line="360" w:lineRule="auto"/>
              <w:jc w:val="center"/>
              <w:rPr>
                <w:color w:val="000000"/>
                <w:szCs w:val="21"/>
              </w:rPr>
            </w:pPr>
            <w:r>
              <w:rPr>
                <w:color w:val="000000"/>
                <w:szCs w:val="21"/>
              </w:rPr>
              <w:t>关联方名称</w:t>
            </w:r>
            <w:r>
              <w:rPr>
                <w:color w:val="000000"/>
                <w:szCs w:val="21"/>
              </w:rPr>
              <w:t/>
            </w:r>
            <w:r>
              <w:rPr>
                <w:rFonts w:hint="eastAsia"/>
                <w:color w:val="000000"/>
                <w:szCs w:val="21"/>
              </w:rPr>
              <w:t/>
            </w:r>
            <w:r>
              <w:rPr>
                <w:color w:val="000000"/>
                <w:szCs w:val="21"/>
              </w:rPr>
              <w:t/>
            </w:r>
          </w:p>
        </w:tc>
        <w:tc>
          <w:tcPr>
            <w:tcW w:type="dxa" w:w="3420"/>
            <w:gridSpan w:val="2"/>
            <w:vAlign w:val="center"/>
          </w:tcPr>
          <w:p w:rsidR="00967083" w:rsidRDefault="00E4498A">
            <w:pPr>
              <w:spacing w:line="360" w:lineRule="auto"/>
              <w:jc w:val="center"/>
              <w:rPr>
                <w:color w:val="000000"/>
                <w:szCs w:val="21"/>
              </w:rPr>
            </w:pPr>
            <w:r>
              <w:rPr>
                <w:color w:val="000000"/>
                <w:szCs w:val="21"/>
              </w:rPr>
              <w:t>本期末</w:t>
            </w:r>
            <w:r>
              <w:rPr>
                <w:color w:val="000000"/>
                <w:szCs w:val="21"/>
              </w:rPr>
              <w:t>2019年6月30日</w:t>
            </w:r>
          </w:p>
        </w:tc>
        <w:tc>
          <w:tcPr>
            <w:tcW w:type="dxa" w:w="3780"/>
            <w:gridSpan w:val="2"/>
            <w:vAlign w:val="center"/>
          </w:tcPr>
          <w:p w:rsidR="00967083" w:rsidRDefault="00E4498A">
            <w:pPr>
              <w:spacing w:line="360" w:lineRule="auto"/>
              <w:jc w:val="center"/>
              <w:rPr>
                <w:color w:val="000000"/>
                <w:szCs w:val="21"/>
              </w:rPr>
            </w:pPr>
            <w:r>
              <w:rPr>
                <w:color w:val="000000"/>
                <w:szCs w:val="21"/>
              </w:rPr>
              <w:t>上年度末</w:t>
            </w:r>
            <w:r>
              <w:rPr>
                <w:color w:val="000000"/>
                <w:szCs w:val="21"/>
              </w:rPr>
              <w:t>2018年12月31日</w:t>
            </w:r>
          </w:p>
        </w:tc>
      </w:tr>
      <w:tr w:rsidR="00967083">
        <w:tc>
          <w:tcPr>
            <w:tcW w:type="dxa" w:w="1800"/>
            <w:vMerge/>
            <w:vAlign w:val="center"/>
          </w:tcPr>
          <w:p w:rsidR="00967083" w:rsidRDefault="00967083">
            <w:pPr>
              <w:widowControl/>
              <w:spacing w:line="360" w:lineRule="auto"/>
              <w:jc w:val="left"/>
              <w:rPr>
                <w:color w:val="000000"/>
                <w:szCs w:val="21"/>
              </w:rPr>
            </w:pPr>
          </w:p>
        </w:tc>
        <w:tc>
          <w:tcPr>
            <w:tcW w:type="dxa" w:w="1980"/>
            <w:vAlign w:val="center"/>
          </w:tcPr>
          <w:p w:rsidR="00967083" w:rsidRDefault="00E4498A">
            <w:pPr>
              <w:spacing w:line="360" w:lineRule="auto"/>
              <w:jc w:val="center"/>
              <w:rPr>
                <w:color w:val="000000"/>
                <w:szCs w:val="21"/>
              </w:rPr>
            </w:pPr>
            <w:r>
              <w:rPr>
                <w:color w:val="000000"/>
                <w:szCs w:val="21"/>
              </w:rPr>
              <w:t>持有的基金份额</w:t>
            </w:r>
          </w:p>
        </w:tc>
        <w:tc>
          <w:tcPr>
            <w:tcW w:type="dxa" w:w="1440"/>
            <w:vAlign w:val="center"/>
          </w:tcPr>
          <w:p w:rsidR="00967083" w:rsidRDefault="00E4498A">
            <w:pPr>
              <w:spacing w:line="360" w:lineRule="auto"/>
              <w:jc w:val="center"/>
              <w:rPr>
                <w:color w:val="000000"/>
                <w:szCs w:val="21"/>
              </w:rPr>
            </w:pPr>
            <w:r>
              <w:rPr>
                <w:color w:val="000000"/>
                <w:szCs w:val="21"/>
              </w:rPr>
              <w:t>持有的基金份额占基金总份额的比例</w:t>
            </w:r>
          </w:p>
        </w:tc>
        <w:tc>
          <w:tcPr>
            <w:tcW w:type="dxa" w:w="2160"/>
            <w:vAlign w:val="center"/>
          </w:tcPr>
          <w:p w:rsidR="00967083" w:rsidRDefault="00E4498A">
            <w:pPr>
              <w:spacing w:line="360" w:lineRule="auto"/>
              <w:jc w:val="center"/>
              <w:rPr>
                <w:color w:val="000000"/>
                <w:szCs w:val="21"/>
              </w:rPr>
            </w:pPr>
            <w:r>
              <w:rPr>
                <w:color w:val="000000"/>
                <w:szCs w:val="21"/>
              </w:rPr>
              <w:t>持有的基金份额</w:t>
            </w:r>
          </w:p>
        </w:tc>
        <w:tc>
          <w:tcPr>
            <w:tcW w:type="dxa" w:w="1620"/>
            <w:vAlign w:val="center"/>
          </w:tcPr>
          <w:p w:rsidR="00967083" w:rsidRDefault="00E4498A">
            <w:pPr>
              <w:spacing w:line="360" w:lineRule="auto"/>
              <w:jc w:val="center"/>
              <w:rPr>
                <w:color w:val="000000"/>
                <w:szCs w:val="21"/>
              </w:rPr>
            </w:pPr>
            <w:r>
              <w:rPr>
                <w:color w:val="000000"/>
                <w:szCs w:val="21"/>
              </w:rPr>
              <w:t>持有的基金份额占基金总份额的比例</w:t>
            </w:r>
          </w:p>
        </w:tc>
      </w:tr>
      <w:tr>
        <w:tc>
          <w:tcPr>
            <w:vAlign w:val="center"/>
          </w:tcPr>
          <w:p>
            <w:pPr>
              <w:jc w:val="left"/>
            </w:pPr>
            <w:r>
              <w:rPr>
                <w:szCs w:val="21"/>
              </w:rPr>
              <w:t>江苏银行股份有限公司</w:t>
            </w:r>
          </w:p>
        </w:tc>
        <w:tc>
          <w:tcPr>
            <w:vAlign w:val="center"/>
          </w:tcPr>
          <w:p>
            <w:pPr>
              <w:jc w:val="right"/>
            </w:pPr>
            <w:r>
              <w:rPr>
                <w:szCs w:val="21"/>
              </w:rPr>
              <w:t>60,000,200.00</w:t>
            </w:r>
          </w:p>
        </w:tc>
        <w:tc>
          <w:tcPr>
            <w:vAlign w:val="center"/>
          </w:tcPr>
          <w:p>
            <w:pPr>
              <w:jc w:val="right"/>
            </w:pPr>
            <w:r>
              <w:rPr>
                <w:szCs w:val="21"/>
              </w:rPr>
              <w:t>99.55%</w:t>
            </w:r>
          </w:p>
        </w:tc>
        <w:tc>
          <w:tcPr>
            <w:vAlign w:val="center"/>
          </w:tcPr>
          <w:p>
            <w:pPr>
              <w:jc w:val="right"/>
            </w:pPr>
            <w:r>
              <w:rPr>
                <w:szCs w:val="21"/>
              </w:rPr>
              <w:t>60,000,200.00</w:t>
            </w:r>
          </w:p>
        </w:tc>
        <w:tc>
          <w:tcPr>
            <w:vAlign w:val="center"/>
          </w:tcPr>
          <w:p>
            <w:pPr>
              <w:jc w:val="right"/>
            </w:pPr>
            <w:r>
              <w:rPr>
                <w:szCs w:val="21"/>
              </w:rPr>
              <w:t>96.67%</w:t>
            </w:r>
          </w:p>
        </w:tc>
      </w:tr>
    </w:tbl>
    <w:p w:rsidR="00967083" w:rsidRDefault="00E4498A">
      <w:pPr>
        <w:spacing w:line="360" w:lineRule="auto"/>
        <w:jc w:val="left"/>
        <w:rPr>
          <w:b/>
          <w:bCs/>
          <w:color w:val="000000"/>
          <w:szCs w:val="21"/>
        </w:rPr>
      </w:pPr>
      <w:r>
        <w:rPr>
          <w:b/>
          <w:bCs/>
          <w:color w:val="000000"/>
          <w:kern w:val="0"/>
          <w:szCs w:val="21"/>
        </w:rPr>
        <w:t xml:space="preserve">6.4.8.5 </w:t>
      </w:r>
      <w:r>
        <w:rPr>
          <w:b/>
          <w:bCs/>
          <w:color w:val="000000"/>
          <w:szCs w:val="21"/>
        </w:rPr>
        <w:t>由关联方保管的银行存款余额及当期产生的利息收入</w:t>
      </w:r>
    </w:p>
    <w:p w:rsidR="00967083" w:rsidRDefault="00E4498A">
      <w:pPr>
        <w:autoSpaceDE w:val="0"/>
        <w:autoSpaceDN w:val="0"/>
        <w:adjustRightInd w:val="0"/>
        <w:spacing w:before="29" w:line="288" w:lineRule="auto"/>
        <w:ind w:left="15" w:right="210"/>
        <w:jc w:val="right"/>
        <w:rPr>
          <w:color w:val="000000"/>
          <w:kern w:val="0"/>
          <w:szCs w:val="21"/>
        </w:rPr>
      </w:pPr>
      <w:r>
        <w:rPr>
          <w:color w:val="000000"/>
          <w:szCs w:val="21"/>
        </w:rPr>
        <w:t/>
      </w:r>
      <w:r>
        <w:rPr>
          <w:color w:val="000000"/>
          <w:szCs w:val="21"/>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2694"/>
        <w:gridCol w:w="3153"/>
        <w:gridCol w:w="3153"/>
      </w:tblGrid>
      <w:tr w:rsidR="00967083">
        <w:tc>
          <w:tcPr>
            <w:tcW w:type="dxa" w:w="2694"/>
            <w:vMerge w:val="restart"/>
            <w:vAlign w:val="center"/>
          </w:tcPr>
          <w:p w:rsidR="00967083" w:rsidRDefault="00E4498A">
            <w:pPr>
              <w:spacing w:line="360" w:lineRule="auto"/>
              <w:jc w:val="center"/>
              <w:rPr>
                <w:color w:val="000000"/>
                <w:szCs w:val="21"/>
              </w:rPr>
            </w:pPr>
            <w:r>
              <w:rPr>
                <w:color w:val="000000"/>
                <w:szCs w:val="21"/>
              </w:rPr>
              <w:t>关联方名称</w:t>
            </w:r>
            <w:r>
              <w:rPr>
                <w:color w:val="000000"/>
                <w:szCs w:val="21"/>
              </w:rPr>
              <w:t/>
            </w:r>
          </w:p>
        </w:tc>
        <w:tc>
          <w:tcPr>
            <w:tcW w:type="dxa" w:w="6306"/>
            <w:gridSpan w:val="2"/>
          </w:tcPr>
          <w:p w:rsidR="00967083" w:rsidRDefault="00E4498A">
            <w:pPr>
              <w:spacing w:line="360" w:lineRule="auto"/>
              <w:jc w:val="center"/>
              <w:rPr>
                <w:color w:val="000000"/>
                <w:szCs w:val="21"/>
              </w:rPr>
            </w:pPr>
            <w:r>
              <w:rPr>
                <w:color w:val="000000"/>
                <w:szCs w:val="21"/>
              </w:rPr>
              <w:t>本期</w:t>
            </w:r>
          </w:p>
          <w:p w:rsidR="00967083" w:rsidRDefault="00E4498A">
            <w:pPr>
              <w:widowControl/>
              <w:autoSpaceDE w:val="0"/>
              <w:autoSpaceDN w:val="0"/>
              <w:spacing w:line="360" w:lineRule="auto"/>
              <w:ind w:right="-15"/>
              <w:jc w:val="center"/>
              <w:textAlignment w:val="bottom"/>
              <w:rPr>
                <w:color w:val="000000"/>
                <w:kern w:val="0"/>
                <w:szCs w:val="21"/>
              </w:rPr>
            </w:pPr>
            <w:r>
              <w:rPr>
                <w:color w:val="000000"/>
                <w:szCs w:val="21"/>
              </w:rPr>
              <w:t>2019年1月1日</w:t>
            </w:r>
            <w:r>
              <w:rPr>
                <w:color w:val="000000"/>
                <w:szCs w:val="21"/>
              </w:rPr>
              <w:t>至</w:t>
            </w:r>
            <w:r>
              <w:rPr>
                <w:color w:val="000000"/>
                <w:szCs w:val="21"/>
              </w:rPr>
              <w:t>2019年6月30日</w:t>
            </w:r>
          </w:p>
        </w:tc>
      </w:tr>
      <w:tr w:rsidR="00967083">
        <w:tc>
          <w:tcPr>
            <w:tcW w:type="dxa" w:w="2694"/>
            <w:vMerge/>
            <w:vAlign w:val="center"/>
          </w:tcPr>
          <w:p w:rsidR="00967083" w:rsidRDefault="00967083">
            <w:pPr>
              <w:widowControl/>
              <w:spacing w:line="360" w:lineRule="auto"/>
              <w:jc w:val="left"/>
              <w:rPr>
                <w:color w:val="000000"/>
                <w:szCs w:val="21"/>
              </w:rPr>
            </w:pPr>
          </w:p>
        </w:tc>
        <w:tc>
          <w:tcPr>
            <w:tcW w:type="dxa" w:w="3153"/>
            <w:vAlign w:val="center"/>
          </w:tcPr>
          <w:p w:rsidR="00967083" w:rsidRDefault="00E4498A">
            <w:pPr>
              <w:spacing w:line="360" w:lineRule="auto"/>
              <w:jc w:val="center"/>
              <w:rPr>
                <w:color w:val="000000"/>
                <w:szCs w:val="21"/>
              </w:rPr>
            </w:pPr>
            <w:r>
              <w:rPr>
                <w:color w:val="000000"/>
                <w:szCs w:val="21"/>
              </w:rPr>
              <w:t>期末余额</w:t>
            </w:r>
          </w:p>
        </w:tc>
        <w:tc>
          <w:tcPr>
            <w:tcW w:type="dxa" w:w="3153"/>
            <w:vAlign w:val="center"/>
          </w:tcPr>
          <w:p w:rsidR="00967083" w:rsidRDefault="00E4498A">
            <w:pPr>
              <w:spacing w:line="360" w:lineRule="auto"/>
              <w:jc w:val="center"/>
              <w:rPr>
                <w:color w:val="000000"/>
                <w:szCs w:val="21"/>
              </w:rPr>
            </w:pPr>
            <w:r>
              <w:rPr>
                <w:color w:val="000000"/>
                <w:szCs w:val="21"/>
              </w:rPr>
              <w:t>当期利息收入</w:t>
            </w:r>
          </w:p>
        </w:tc>
      </w:tr>
      <w:tr>
        <w:tc>
          <w:tcPr>
            <w:vAlign w:val="center"/>
          </w:tcPr>
          <w:p>
            <w:pPr>
              <w:jc w:val="left"/>
            </w:pPr>
            <w:r>
              <w:rPr>
                <w:szCs w:val="21"/>
              </w:rPr>
              <w:t>江苏银行股份有限公司</w:t>
            </w:r>
          </w:p>
        </w:tc>
        <w:tc>
          <w:tcPr>
            <w:vAlign w:val="center"/>
          </w:tcPr>
          <w:p>
            <w:pPr>
              <w:jc w:val="right"/>
            </w:pPr>
            <w:r>
              <w:rPr>
                <w:szCs w:val="21"/>
              </w:rPr>
              <w:t>153,795.06</w:t>
            </w:r>
          </w:p>
        </w:tc>
        <w:tc>
          <w:tcPr>
            <w:vAlign w:val="center"/>
          </w:tcPr>
          <w:p>
            <w:pPr>
              <w:jc w:val="right"/>
            </w:pPr>
            <w:r>
              <w:rPr>
                <w:szCs w:val="21"/>
              </w:rPr>
              <w:t>1,427.58</w:t>
            </w:r>
          </w:p>
        </w:tc>
      </w:tr>
    </w:tbl>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注：本基金的银行存款由基金托管人江苏银行股份有限公司保管，按银行同业利率或约定利率计息。</w:t>
      </w:r>
    </w:p>
    <w:p w:rsidR="00967083" w:rsidRDefault="00967083">
      <w:pPr>
        <w:spacing w:line="288" w:lineRule="auto"/>
        <w:rPr>
          <w:color w:val="000000"/>
          <w:szCs w:val="21"/>
        </w:rPr>
      </w:pPr>
    </w:p>
    <w:p w:rsidR="00967083" w:rsidRDefault="00E4498A">
      <w:pPr>
        <w:spacing w:line="360" w:lineRule="auto"/>
        <w:jc w:val="left"/>
        <w:rPr>
          <w:b/>
          <w:bCs/>
          <w:color w:val="000000"/>
          <w:szCs w:val="21"/>
        </w:rPr>
      </w:pPr>
      <w:r>
        <w:rPr>
          <w:b/>
          <w:bCs/>
          <w:color w:val="000000"/>
          <w:kern w:val="0"/>
          <w:szCs w:val="21"/>
        </w:rPr>
        <w:t xml:space="preserve">6.4.8.6 </w:t>
      </w:r>
      <w:r>
        <w:rPr>
          <w:b/>
          <w:bCs/>
          <w:color w:val="000000"/>
          <w:szCs w:val="21"/>
        </w:rPr>
        <w:t>本基金在承销期内参与关联方承销证券的情况</w:t>
      </w:r>
    </w:p>
    <w:p w:rsidR="00967083" w:rsidRDefault="00E4498A">
      <w:pPr>
        <w:tabs>
          <w:tab w:pos="426" w:val="left"/>
        </w:tabs>
        <w:spacing w:line="360" w:lineRule="auto"/>
        <w:ind w:firstLine="420" w:firstLineChars="200"/>
        <w:jc w:val="left"/>
        <w:rPr>
          <w:rFonts w:eastAsiaTheme="minorEastAsia"/>
          <w:kern w:val="0"/>
          <w:szCs w:val="21"/>
        </w:rPr>
      </w:pPr>
      <w:r>
        <w:rPr>
          <w:kern w:val="0"/>
          <w:szCs w:val="21"/>
        </w:rPr>
        <w:t>本基金本报告期内无在承销期内参与关联方承销的证券。</w:t>
      </w:r>
    </w:p>
    <w:p w:rsidR="00967083" w:rsidRDefault="00967083">
      <w:pPr>
        <w:adjustRightInd w:val="0"/>
        <w:snapToGrid w:val="0"/>
        <w:spacing w:line="288" w:lineRule="auto"/>
        <w:jc w:val="left"/>
        <w:rPr>
          <w:bCs/>
          <w:color w:val="000000"/>
          <w:szCs w:val="21"/>
        </w:rPr>
      </w:pPr>
    </w:p>
    <w:p w:rsidR="00967083" w:rsidRDefault="00967083">
      <w:pPr>
        <w:spacing w:line="360" w:lineRule="auto"/>
        <w:rPr>
          <w:color w:val="000000"/>
          <w:szCs w:val="21"/>
        </w:rPr>
      </w:pPr>
    </w:p>
    <w:p w:rsidR="00967083" w:rsidRDefault="00E4498A">
      <w:pPr>
        <w:spacing w:line="360" w:lineRule="auto"/>
        <w:jc w:val="left"/>
        <w:rPr>
          <w:b/>
          <w:bCs/>
          <w:color w:val="000000"/>
          <w:szCs w:val="21"/>
        </w:rPr>
      </w:pPr>
      <w:r>
        <w:rPr>
          <w:b/>
          <w:bCs/>
          <w:color w:val="000000"/>
          <w:kern w:val="0"/>
          <w:szCs w:val="21"/>
        </w:rPr>
        <w:t xml:space="preserve">6.4.9 </w:t>
      </w:r>
      <w:r>
        <w:rPr>
          <w:b/>
          <w:bCs/>
          <w:color w:val="000000"/>
          <w:szCs w:val="21"/>
        </w:rPr>
        <w:t>期末（</w:t>
      </w:r>
      <w:r>
        <w:rPr>
          <w:b/>
          <w:bCs/>
          <w:color w:val="000000"/>
          <w:szCs w:val="21"/>
        </w:rPr>
        <w:t>2019年6月30日</w:t>
      </w:r>
      <w:r>
        <w:rPr>
          <w:b/>
          <w:bCs/>
          <w:color w:val="000000"/>
          <w:szCs w:val="21"/>
        </w:rPr>
        <w:t>）本基金持有的流通受限证券</w:t>
      </w:r>
    </w:p>
    <w:p w:rsidR="00967083" w:rsidRDefault="00E4498A">
      <w:pPr>
        <w:spacing w:line="360" w:lineRule="auto"/>
        <w:jc w:val="left"/>
        <w:rPr>
          <w:b/>
          <w:bCs/>
          <w:color w:val="000000"/>
          <w:szCs w:val="21"/>
        </w:rPr>
      </w:pPr>
      <w:r>
        <w:rPr>
          <w:b/>
          <w:bCs/>
          <w:color w:val="000000"/>
          <w:kern w:val="0"/>
          <w:szCs w:val="21"/>
        </w:rPr>
        <w:t xml:space="preserve">6.4.9.1 </w:t>
      </w:r>
      <w:r>
        <w:rPr>
          <w:b/>
          <w:bCs/>
          <w:color w:val="000000"/>
          <w:szCs w:val="21"/>
        </w:rPr>
        <w:t>因认购新发</w:t>
      </w:r>
      <w:r>
        <w:rPr>
          <w:b/>
          <w:bCs/>
          <w:color w:val="000000"/>
          <w:szCs w:val="21"/>
        </w:rPr>
        <w:t>/</w:t>
      </w:r>
      <w:r>
        <w:rPr>
          <w:b/>
          <w:bCs/>
          <w:color w:val="000000"/>
          <w:szCs w:val="21"/>
        </w:rPr>
        <w:t>增发证券而于期末持有的流通受限证券</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截至本报告期末2019年6月30日止，本基金无因认购新发/增发证券而持有的流通受限证券。</w:t>
      </w:r>
    </w:p>
    <w:p w:rsidR="00967083" w:rsidRDefault="00967083">
      <w:pPr>
        <w:spacing w:line="288" w:lineRule="auto"/>
        <w:rPr>
          <w:color w:val="000000"/>
          <w:szCs w:val="21"/>
        </w:rPr>
      </w:pPr>
    </w:p>
    <w:p w:rsidR="00967083" w:rsidRDefault="00E4498A">
      <w:pPr>
        <w:spacing w:line="360" w:lineRule="auto"/>
        <w:rPr>
          <w:b/>
          <w:bCs/>
          <w:color w:val="000000"/>
          <w:szCs w:val="21"/>
        </w:rPr>
      </w:pPr>
      <w:r>
        <w:rPr>
          <w:b/>
          <w:bCs/>
          <w:color w:val="000000"/>
          <w:kern w:val="0"/>
          <w:szCs w:val="21"/>
        </w:rPr>
        <w:t xml:space="preserve">6.4.9.2 </w:t>
      </w:r>
      <w:r>
        <w:rPr>
          <w:b/>
          <w:bCs/>
          <w:color w:val="000000"/>
          <w:szCs w:val="21"/>
        </w:rPr>
        <w:t>期末持有的暂时停牌等流通受限股票</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截至本报告期末2019年6月30日止，本基金无持有暂时停牌等流通受限股票。</w:t>
      </w:r>
    </w:p>
    <w:p w:rsidR="00967083" w:rsidRDefault="00967083">
      <w:pPr>
        <w:spacing w:line="360" w:lineRule="auto"/>
        <w:rPr>
          <w:color w:val="000000"/>
          <w:szCs w:val="21"/>
        </w:rPr>
      </w:pPr>
    </w:p>
    <w:p w:rsidR="00967083" w:rsidRDefault="00E4498A">
      <w:pPr>
        <w:spacing w:line="360" w:lineRule="auto"/>
        <w:rPr>
          <w:b/>
          <w:bCs/>
          <w:color w:val="000000"/>
          <w:szCs w:val="21"/>
        </w:rPr>
      </w:pPr>
      <w:r>
        <w:rPr>
          <w:b/>
          <w:bCs/>
          <w:color w:val="000000"/>
          <w:kern w:val="0"/>
          <w:szCs w:val="21"/>
        </w:rPr>
        <w:t xml:space="preserve">6.4.9.3 </w:t>
      </w:r>
      <w:r>
        <w:rPr>
          <w:b/>
          <w:bCs/>
          <w:color w:val="000000"/>
          <w:szCs w:val="21"/>
        </w:rPr>
        <w:t>期末债券正回购交易中作为抵押的债券</w:t>
      </w:r>
    </w:p>
    <w:p w:rsidR="00967083" w:rsidRDefault="00E4498A">
      <w:pPr>
        <w:spacing w:line="360" w:lineRule="auto"/>
        <w:rPr>
          <w:b/>
          <w:bCs/>
          <w:color w:val="000000"/>
          <w:szCs w:val="21"/>
        </w:rPr>
      </w:pPr>
      <w:r>
        <w:rPr>
          <w:b/>
          <w:bCs/>
          <w:color w:val="000000"/>
          <w:kern w:val="0"/>
          <w:szCs w:val="21"/>
        </w:rPr>
        <w:t xml:space="preserve">6.4.9.3.1 </w:t>
      </w:r>
      <w:r>
        <w:rPr>
          <w:b/>
          <w:bCs/>
          <w:color w:val="000000"/>
          <w:szCs w:val="21"/>
        </w:rPr>
        <w:t>银行间市场债券正回购</w:t>
      </w:r>
      <w:r>
        <w:rPr>
          <w:b/>
          <w:bCs/>
          <w:color w:val="000000"/>
          <w:szCs w:val="21"/>
        </w:rPr>
        <w:t/>
      </w:r>
    </w:p>
    <w:p w:rsidR="00967083" w:rsidRDefault="00E4498A">
      <w:pPr>
        <w:spacing w:line="360" w:lineRule="auto"/>
        <w:ind w:firstLine="420" w:firstLineChars="200"/>
        <w:rPr>
          <w:color w:val="000000"/>
          <w:szCs w:val="21"/>
        </w:rPr>
      </w:pPr>
      <w:r>
        <w:rPr>
          <w:color w:val="000000"/>
          <w:szCs w:val="21"/>
        </w:rPr>
        <w:t>截至本报告期末2019年6月30日止，本基金无从事银行间市场债券正回购交易形成的卖出回购证券款，无抵押债券。</w:t>
      </w:r>
    </w:p>
    <w:p w:rsidR="00967083" w:rsidRDefault="00967083">
      <w:pPr>
        <w:rPr>
          <w:color w:val="000000"/>
          <w:szCs w:val="21"/>
        </w:rPr>
      </w:pPr>
    </w:p>
    <w:p w:rsidR="00967083" w:rsidRDefault="00E4498A">
      <w:pPr>
        <w:spacing w:line="360" w:lineRule="auto"/>
        <w:rPr>
          <w:b/>
          <w:bCs/>
          <w:color w:val="000000"/>
          <w:szCs w:val="21"/>
        </w:rPr>
      </w:pPr>
      <w:r>
        <w:rPr>
          <w:b/>
          <w:color w:val="000000"/>
          <w:szCs w:val="21"/>
        </w:rPr>
        <w:t/>
      </w:r>
      <w:r>
        <w:rPr>
          <w:b/>
          <w:bCs/>
          <w:color w:val="000000"/>
          <w:kern w:val="0"/>
          <w:szCs w:val="21"/>
        </w:rPr>
        <w:t xml:space="preserve">6.4.9.3.2 </w:t>
      </w:r>
      <w:r>
        <w:rPr>
          <w:b/>
          <w:bCs/>
          <w:color w:val="000000"/>
          <w:szCs w:val="21"/>
        </w:rPr>
        <w:t>交易所市场债券正回购</w:t>
      </w:r>
      <w:r>
        <w:rPr>
          <w:b/>
          <w:bCs/>
          <w:color w:val="000000"/>
          <w:szCs w:val="21"/>
        </w:rPr>
        <w:t/>
      </w:r>
    </w:p>
    <w:p w:rsidR="00967083" w:rsidRDefault="00E4498A">
      <w:pPr>
        <w:spacing w:line="360" w:lineRule="auto"/>
        <w:ind w:firstLine="420" w:firstLineChars="200"/>
        <w:rPr>
          <w:color w:val="000000"/>
          <w:szCs w:val="21"/>
        </w:rPr>
      </w:pPr>
      <w:r>
        <w:rPr>
          <w:color w:val="000000"/>
          <w:szCs w:val="21"/>
        </w:rPr>
        <w:t>截至本报告期末2019年6月30日止，本基金无从事证券交易所债券正回购交易形成的卖出回购证券款，无抵押债券。</w:t>
      </w:r>
    </w:p>
    <w:p w:rsidR="00967083" w:rsidRDefault="00967083">
      <w:pPr>
        <w:spacing w:line="360" w:lineRule="auto"/>
        <w:ind w:firstLine="420" w:firstLineChars="200"/>
        <w:rPr>
          <w:bCs/>
          <w:color w:val="000000"/>
          <w:szCs w:val="21"/>
        </w:rPr>
      </w:pPr>
    </w:p>
    <w:p w:rsidR="00967083" w:rsidRDefault="00E4498A">
      <w:pPr>
        <w:adjustRightInd w:val="0"/>
        <w:snapToGrid w:val="0"/>
        <w:spacing w:line="360" w:lineRule="auto"/>
        <w:rPr>
          <w:b/>
          <w:color w:val="000000"/>
          <w:szCs w:val="21"/>
        </w:rPr>
      </w:pPr>
      <w:r>
        <w:rPr>
          <w:b/>
          <w:color w:val="000000"/>
          <w:szCs w:val="21"/>
        </w:rPr>
        <w:t/>
      </w:r>
      <w:r>
        <w:rPr>
          <w:b/>
          <w:bCs/>
          <w:color w:val="000000"/>
          <w:kern w:val="0"/>
          <w:szCs w:val="21"/>
        </w:rPr>
        <w:t xml:space="preserve">6.4.10 </w:t>
      </w:r>
      <w:r>
        <w:rPr>
          <w:b/>
          <w:color w:val="000000"/>
          <w:szCs w:val="21"/>
        </w:rPr>
        <w:t>有助于理解和分析会计报表需要说明的其他事项</w:t>
      </w:r>
    </w:p>
    <w:p>
      <w:pPr>
        <w:spacing w:line="360" w:lineRule="auto"/>
        <w:ind w:firstLine="420" w:firstLineChars="200"/>
        <w:rPr>
          <w:color w:val="000000"/>
          <w:szCs w:val="21"/>
        </w:rPr>
      </w:pPr>
      <w:r>
        <w:rPr>
          <w:color w:val="000000"/>
          <w:szCs w:val="21"/>
        </w:rPr>
        <w:t>1、公允价值</w:t>
      </w:r>
    </w:p>
    <w:p>
      <w:pPr>
        <w:spacing w:line="360" w:lineRule="auto"/>
        <w:ind w:firstLine="420" w:firstLineChars="200"/>
        <w:rPr>
          <w:color w:val="000000"/>
          <w:szCs w:val="21"/>
        </w:rPr>
      </w:pPr>
      <w:r>
        <w:rPr>
          <w:color w:val="000000"/>
          <w:szCs w:val="21"/>
        </w:rPr>
        <w:t>（1）不以公允价值计量的金融工具</w:t>
      </w:r>
    </w:p>
    <w:p>
      <w:pPr>
        <w:spacing w:line="360" w:lineRule="auto"/>
        <w:ind w:firstLine="420" w:firstLineChars="200"/>
        <w:rPr>
          <w:color w:val="000000"/>
          <w:szCs w:val="21"/>
        </w:rPr>
      </w:pPr>
      <w:r>
        <w:rPr>
          <w:color w:val="000000"/>
          <w:szCs w:val="21"/>
        </w:rPr>
        <w:t>不以公允价值计量的金融资产和负债主要包括应收款项和其他金融负债，其账面价值接近于公允价值。</w:t>
      </w:r>
    </w:p>
    <w:p>
      <w:pPr>
        <w:spacing w:line="360" w:lineRule="auto"/>
        <w:ind w:firstLine="420" w:firstLineChars="200"/>
        <w:rPr>
          <w:color w:val="000000"/>
          <w:szCs w:val="21"/>
        </w:rPr>
      </w:pPr>
      <w:r>
        <w:rPr>
          <w:color w:val="000000"/>
          <w:szCs w:val="21"/>
        </w:rPr>
        <w:t>（2）以公允价值计量的金融工具</w:t>
      </w:r>
    </w:p>
    <w:p>
      <w:pPr>
        <w:spacing w:line="360" w:lineRule="auto"/>
        <w:ind w:firstLine="420" w:firstLineChars="200"/>
        <w:rPr>
          <w:color w:val="000000"/>
          <w:szCs w:val="21"/>
        </w:rPr>
      </w:pPr>
      <w:r>
        <w:rPr>
          <w:color w:val="000000"/>
          <w:szCs w:val="21"/>
        </w:rPr>
        <w:t>（i）金融工具公允价值计量的方法</w:t>
      </w:r>
    </w:p>
    <w:p>
      <w:pPr>
        <w:spacing w:line="360" w:lineRule="auto"/>
        <w:ind w:firstLine="420" w:firstLineChars="200"/>
        <w:rPr>
          <w:color w:val="000000"/>
          <w:szCs w:val="21"/>
        </w:rPr>
      </w:pPr>
      <w:r>
        <w:rPr>
          <w:color w:val="000000"/>
          <w:szCs w:val="21"/>
        </w:rPr>
        <w:t xml:space="preserve">公允价值计量结果所属的层次，由对公允价值计量整体而言具有重要意义的输入值所属的最低层次决定： </w:t>
      </w:r>
    </w:p>
    <w:p>
      <w:pPr>
        <w:spacing w:line="360" w:lineRule="auto"/>
        <w:ind w:firstLine="420" w:firstLineChars="200"/>
        <w:rPr>
          <w:color w:val="000000"/>
          <w:szCs w:val="21"/>
        </w:rPr>
      </w:pPr>
      <w:r>
        <w:rPr>
          <w:color w:val="000000"/>
          <w:szCs w:val="21"/>
        </w:rPr>
        <w:t xml:space="preserve">第一层次：相同资产或负债在活跃市场上未经调整的报价。 </w:t>
      </w:r>
    </w:p>
    <w:p>
      <w:pPr>
        <w:spacing w:line="360" w:lineRule="auto"/>
        <w:ind w:firstLine="420" w:firstLineChars="200"/>
        <w:rPr>
          <w:color w:val="000000"/>
          <w:szCs w:val="21"/>
        </w:rPr>
      </w:pPr>
      <w:r>
        <w:rPr>
          <w:color w:val="000000"/>
          <w:szCs w:val="21"/>
        </w:rPr>
        <w:t xml:space="preserve">第二层次：除第一层次输入值外相关资产或负债直接或间接可观察的输入值。  </w:t>
      </w:r>
    </w:p>
    <w:p>
      <w:pPr>
        <w:spacing w:line="360" w:lineRule="auto"/>
        <w:ind w:firstLine="420" w:firstLineChars="200"/>
        <w:rPr>
          <w:color w:val="000000"/>
          <w:szCs w:val="21"/>
        </w:rPr>
      </w:pPr>
      <w:r>
        <w:rPr>
          <w:color w:val="000000"/>
          <w:szCs w:val="21"/>
        </w:rPr>
        <w:t>第三层次：相关资产或负债的不可观察输入值。</w:t>
      </w:r>
    </w:p>
    <w:p>
      <w:pPr>
        <w:spacing w:line="360" w:lineRule="auto"/>
        <w:ind w:firstLine="420" w:firstLineChars="200"/>
        <w:rPr>
          <w:color w:val="000000"/>
          <w:szCs w:val="21"/>
        </w:rPr>
      </w:pPr>
      <w:r>
        <w:rPr>
          <w:color w:val="000000"/>
          <w:szCs w:val="21"/>
        </w:rPr>
        <w:t>（ii）各层级金融工具公允价值</w:t>
      </w:r>
    </w:p>
    <w:p>
      <w:pPr>
        <w:spacing w:line="360" w:lineRule="auto"/>
        <w:ind w:firstLine="420" w:firstLineChars="200"/>
        <w:rPr>
          <w:color w:val="000000"/>
          <w:szCs w:val="21"/>
        </w:rPr>
      </w:pPr>
      <w:r>
        <w:rPr>
          <w:color w:val="000000"/>
          <w:szCs w:val="21"/>
        </w:rPr>
        <w:t>于2019年6月30日，本基金持有的以公允价值计量的金融工具中属于第二层级的余额为人民币60,001,000.80元，无属于第一层级和第三层级的金额（2018年12月31日，属于第二层级的余额为人民币57,330,787.20元，无属于第一层级和第三层级的金额）。</w:t>
      </w:r>
    </w:p>
    <w:p>
      <w:pPr>
        <w:spacing w:line="360" w:lineRule="auto"/>
        <w:ind w:firstLine="420" w:firstLineChars="200"/>
        <w:rPr>
          <w:color w:val="000000"/>
          <w:szCs w:val="21"/>
        </w:rPr>
      </w:pPr>
      <w:r>
        <w:rPr>
          <w:color w:val="000000"/>
          <w:szCs w:val="21"/>
        </w:rPr>
        <w:t>（iii）公允价值所属层级间的重大变动</w:t>
      </w:r>
    </w:p>
    <w:p>
      <w:pPr>
        <w:spacing w:line="360" w:lineRule="auto"/>
        <w:ind w:firstLine="420" w:firstLineChars="200"/>
        <w:rPr>
          <w:color w:val="000000"/>
          <w:szCs w:val="21"/>
        </w:rPr>
      </w:pPr>
      <w:r>
        <w:rPr>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967083" w:rsidRDefault="00E4498A">
      <w:pPr>
        <w:spacing w:line="360" w:lineRule="auto"/>
        <w:ind w:firstLine="420" w:firstLineChars="200"/>
        <w:rPr>
          <w:color w:val="000000"/>
          <w:szCs w:val="21"/>
        </w:rPr>
      </w:pPr>
      <w:r>
        <w:rPr>
          <w:color w:val="000000"/>
          <w:szCs w:val="21"/>
        </w:rPr>
        <w:t>2、除公允价值外，截至资产负债表日本基金无需要说明的其他重要事项。</w:t>
      </w: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52" w:name="_Toc225498272"/>
      <w:bookmarkStart w:id="53" w:name="_Toc331410101"/>
      <w:r>
        <w:rPr>
          <w:b/>
          <w:color w:val="000000"/>
          <w:sz w:val="21"/>
          <w:szCs w:val="21"/>
        </w:rPr>
        <w:lastRenderedPageBreak/>
        <w:t/>
      </w:r>
      <w:r>
        <w:rPr>
          <w:b/>
          <w:bCs/>
          <w:sz w:val="21"/>
          <w:szCs w:val="21"/>
          <w:lang w:val="en-US"/>
        </w:rPr>
        <w:t xml:space="preserve">7  </w:t>
      </w:r>
      <w:r>
        <w:rPr>
          <w:b/>
          <w:bCs/>
          <w:sz w:val="21"/>
          <w:szCs w:val="21"/>
          <w:lang w:val="en-US"/>
        </w:rPr>
        <w:t>投资组合报告</w:t>
      </w:r>
      <w:bookmarkEnd w:id="52"/>
      <w:bookmarkEnd w:id="53"/>
    </w:p>
    <w:p w:rsidR="00967083" w:rsidRDefault="00E4498A">
      <w:pPr>
        <w:pStyle w:val="2"/>
        <w:spacing w:after="0" w:before="0"/>
        <w:rPr>
          <w:rFonts w:ascii="Times New Roman" w:hAnsi="Times New Roman"/>
          <w:kern w:val="0"/>
          <w:sz w:val="21"/>
          <w:szCs w:val="21"/>
        </w:rPr>
      </w:pPr>
      <w:bookmarkStart w:id="54" w:name="_Toc331410102"/>
      <w:bookmarkStart w:id="55" w:name="_Toc225498273"/>
      <w:r>
        <w:rPr>
          <w:rFonts w:ascii="Times New Roman" w:hAnsi="Times New Roman"/>
          <w:color w:val="000000"/>
          <w:sz w:val="21"/>
          <w:szCs w:val="21"/>
        </w:rPr>
        <w:t/>
      </w:r>
      <w:r>
        <w:rPr>
          <w:rFonts w:ascii="Times New Roman" w:hAnsi="Times New Roman"/>
          <w:bCs w:val="0"/>
          <w:color w:val="000000"/>
          <w:kern w:val="0"/>
          <w:sz w:val="21"/>
          <w:szCs w:val="21"/>
        </w:rPr>
        <w:t xml:space="preserve">7.1 </w:t>
      </w:r>
      <w:r>
        <w:rPr>
          <w:rFonts w:ascii="Times New Roman" w:hAnsi="Times New Roman"/>
          <w:kern w:val="0"/>
          <w:sz w:val="21"/>
          <w:szCs w:val="21"/>
        </w:rPr>
        <w:t>期末基金资产组合情况</w:t>
      </w:r>
      <w:bookmarkEnd w:id="54"/>
      <w:bookmarkEnd w:id="55"/>
    </w:p>
    <w:p w:rsidR="00967083" w:rsidRDefault="00E4498A">
      <w:pPr>
        <w:autoSpaceDE w:val="0"/>
        <w:autoSpaceDN w:val="0"/>
        <w:adjustRightInd w:val="0"/>
        <w:spacing w:before="29" w:line="288" w:lineRule="auto"/>
        <w:ind w:left="15"/>
        <w:jc w:val="right"/>
        <w:rPr>
          <w:color w:val="000000"/>
          <w:kern w:val="0"/>
          <w:szCs w:val="21"/>
        </w:rPr>
      </w:pPr>
      <w:r>
        <w:rPr>
          <w:color w:val="000000"/>
          <w:szCs w:val="21"/>
        </w:rPr>
        <w:t/>
      </w:r>
      <w:r>
        <w:rPr>
          <w:color w:val="000000"/>
          <w:szCs w:val="21"/>
        </w:rPr>
        <w:t>金额单位：人民币元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080"/>
        <w:gridCol w:w="2748"/>
        <w:gridCol w:w="2551"/>
        <w:gridCol w:w="2621"/>
      </w:tblGrid>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序号</w:t>
            </w:r>
            <w:r>
              <w:rPr>
                <w:rFonts w:eastAsiaTheme="minorEastAsia"/>
                <w:color w:themeColor="text1" w:val="000000"/>
                <w:szCs w:val="21"/>
              </w:rPr>
              <w:t/>
            </w:r>
          </w:p>
        </w:tc>
        <w:tc>
          <w:tcPr>
            <w:tcW w:type="dxa" w:w="2748"/>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项目</w:t>
            </w:r>
          </w:p>
        </w:tc>
        <w:tc>
          <w:tcPr>
            <w:tcW w:type="dxa" w:w="2551"/>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金额</w:t>
            </w:r>
          </w:p>
        </w:tc>
        <w:tc>
          <w:tcPr>
            <w:tcW w:type="dxa" w:w="2621"/>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r>
              <w:rPr>
                <w:rFonts w:eastAsiaTheme="minor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1</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权益投资</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r>
      <w:tr w:rsidR="00967083">
        <w:tc>
          <w:tcPr>
            <w:tcW w:type="dxa" w:w="1080"/>
            <w:vAlign w:val="center"/>
          </w:tcPr>
          <w:p w:rsidR="00967083" w:rsidRDefault="00967083">
            <w:pPr>
              <w:spacing w:line="276" w:lineRule="auto"/>
              <w:jc w:val="center"/>
              <w:rPr>
                <w:rFonts w:eastAsiaTheme="minorEastAsia"/>
                <w:color w:themeColor="text1" w:val="000000"/>
                <w:szCs w:val="21"/>
              </w:rPr>
            </w:pP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其中：股票</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hint="eastAsia"/>
                <w:color w:themeColor="text1" w:val="000000"/>
                <w:szCs w:val="21"/>
              </w:rPr>
              <w:t>2</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hint="eastAsia"/>
                <w:color w:themeColor="text1" w:val="000000"/>
                <w:szCs w:val="21"/>
              </w:rPr>
              <w:t>基金投资</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hint="eastAsia"/>
                <w:color w:themeColor="text1" w:val="000000"/>
                <w:szCs w:val="21"/>
              </w:rPr>
              <w:t/>
            </w:r>
            <w:r>
              <w:rPr>
                <w:rFonts w:eastAsiaTheme="minorEastAsia"/>
                <w:color w:themeColor="text1" w:val="000000"/>
                <w:szCs w:val="21"/>
              </w:rPr>
              <w:t/>
            </w:r>
            <w:r>
              <w:rPr>
                <w:rFonts w:eastAsiaTheme="minorEastAsia" w:hint="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hint="eastAsia"/>
                <w:color w:themeColor="text1" w:val="000000"/>
                <w:szCs w:val="21"/>
              </w:rPr>
              <w:t/>
            </w:r>
            <w:r>
              <w:rPr>
                <w:rFonts w:eastAsiaTheme="minorEastAsia"/>
                <w:color w:themeColor="text1" w:val="000000"/>
                <w:szCs w:val="21"/>
              </w:rPr>
              <w:t/>
            </w:r>
            <w:r>
              <w:rPr>
                <w:rFonts w:eastAsiaTheme="minorEastAsia" w:hint="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hint="eastAsia"/>
                <w:color w:themeColor="text1" w:val="000000"/>
                <w:szCs w:val="21"/>
              </w:rPr>
              <w:t>3</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固定收益投资</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60,001,000.80</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98.17</w:t>
            </w:r>
          </w:p>
        </w:tc>
      </w:tr>
      <w:tr w:rsidR="00967083">
        <w:tc>
          <w:tcPr>
            <w:tcW w:type="dxa" w:w="1080"/>
            <w:vAlign w:val="center"/>
          </w:tcPr>
          <w:p w:rsidR="00967083" w:rsidRDefault="00967083">
            <w:pPr>
              <w:spacing w:line="276" w:lineRule="auto"/>
              <w:jc w:val="center"/>
              <w:rPr>
                <w:rFonts w:eastAsiaTheme="minorEastAsia"/>
                <w:color w:themeColor="text1" w:val="000000"/>
                <w:szCs w:val="21"/>
              </w:rPr>
            </w:pP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其中：债券</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60,001,000.80</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98.17</w:t>
            </w:r>
          </w:p>
        </w:tc>
      </w:tr>
      <w:tr w:rsidR="00967083">
        <w:tc>
          <w:tcPr>
            <w:tcW w:type="dxa" w:w="1080"/>
            <w:vAlign w:val="center"/>
          </w:tcPr>
          <w:p w:rsidR="00967083" w:rsidRDefault="00967083">
            <w:pPr>
              <w:spacing w:line="276" w:lineRule="auto"/>
              <w:jc w:val="center"/>
              <w:rPr>
                <w:rFonts w:eastAsiaTheme="minorEastAsia"/>
                <w:color w:themeColor="text1" w:val="000000"/>
                <w:szCs w:val="21"/>
              </w:rPr>
            </w:pPr>
          </w:p>
        </w:tc>
        <w:tc>
          <w:tcPr>
            <w:tcW w:type="dxa" w:w="2748"/>
            <w:vAlign w:val="center"/>
          </w:tcPr>
          <w:p w:rsidR="00967083" w:rsidRDefault="00E4498A">
            <w:pPr>
              <w:spacing w:line="276" w:lineRule="auto"/>
              <w:ind w:firstLine="630" w:firstLineChars="300" w:left="105" w:leftChars="50"/>
              <w:rPr>
                <w:rFonts w:eastAsiaTheme="minorEastAsia"/>
                <w:color w:themeColor="text1" w:val="000000"/>
                <w:szCs w:val="21"/>
              </w:rPr>
            </w:pPr>
            <w:r>
              <w:rPr>
                <w:rFonts w:eastAsiaTheme="minorEastAsia"/>
                <w:color w:themeColor="text1" w:val="000000"/>
                <w:szCs w:val="21"/>
              </w:rPr>
              <w:t>资产支持证券</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hint="eastAsia"/>
                <w:color w:themeColor="text1" w:val="000000"/>
                <w:szCs w:val="21"/>
              </w:rPr>
              <w:t>4</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hint="eastAsia"/>
                <w:color w:themeColor="text1" w:val="000000"/>
                <w:szCs w:val="21"/>
              </w:rPr>
              <w:t>5</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金融衍生品投资</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hint="eastAsia"/>
                <w:color w:themeColor="text1" w:val="000000"/>
                <w:szCs w:val="21"/>
              </w:rPr>
              <w:t>6</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买入返售金融资产</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w:t>
            </w:r>
          </w:p>
        </w:tc>
      </w:tr>
      <w:tr w:rsidR="00967083">
        <w:tc>
          <w:tcPr>
            <w:tcW w:type="dxa" w:w="1080"/>
            <w:vAlign w:val="center"/>
          </w:tcPr>
          <w:p w:rsidR="00967083" w:rsidRDefault="00967083">
            <w:pPr>
              <w:spacing w:line="276" w:lineRule="auto"/>
              <w:jc w:val="center"/>
              <w:rPr>
                <w:rFonts w:eastAsiaTheme="minorEastAsia"/>
                <w:color w:themeColor="text1" w:val="000000"/>
                <w:szCs w:val="21"/>
              </w:rPr>
            </w:pP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w:t>
            </w:r>
          </w:p>
        </w:tc>
      </w:tr>
      <w:tr w:rsidR="00967083">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hint="eastAsia"/>
                <w:color w:themeColor="text1" w:val="000000"/>
                <w:szCs w:val="21"/>
              </w:rPr>
              <w:t>7</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银行存款和结算备付金合计</w:t>
            </w:r>
          </w:p>
        </w:tc>
        <w:tc>
          <w:tcPr>
            <w:tcW w:type="dxa" w:w="255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155,582.31</w:t>
            </w:r>
          </w:p>
        </w:tc>
        <w:tc>
          <w:tcPr>
            <w:tcW w:type="dxa" w:w="2621"/>
            <w:vAlign w:val="center"/>
          </w:tcPr>
          <w:p w:rsidR="00967083" w:rsidRDefault="00E4498A">
            <w:pPr>
              <w:spacing w:before="29" w:line="276" w:lineRule="auto"/>
              <w:ind w:left="17"/>
              <w:jc w:val="right"/>
              <w:rPr>
                <w:rFonts w:eastAsiaTheme="minorEastAsia"/>
                <w:color w:themeColor="text1" w:val="000000"/>
                <w:szCs w:val="21"/>
              </w:rPr>
            </w:pPr>
            <w:r>
              <w:rPr>
                <w:rFonts w:eastAsiaTheme="minorEastAsia"/>
                <w:color w:themeColor="text1" w:val="000000"/>
                <w:szCs w:val="21"/>
              </w:rPr>
              <w:t>0.25</w:t>
            </w:r>
          </w:p>
        </w:tc>
      </w:tr>
      <w:tr w:rsidR="00967083">
        <w:tc>
          <w:tcPr>
            <w:tcW w:type="dxa" w:w="1080"/>
            <w:vAlign w:val="center"/>
          </w:tcPr>
          <w:p w:rsidR="00967083" w:rsidRDefault="00E4498A">
            <w:pPr>
              <w:spacing w:before="29" w:line="276"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8</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其他各项资产</w:t>
            </w:r>
          </w:p>
        </w:tc>
        <w:tc>
          <w:tcPr>
            <w:tcW w:type="dxa" w:w="2551"/>
            <w:vAlign w:val="center"/>
          </w:tcPr>
          <w:p w:rsidR="00967083" w:rsidRDefault="00E4498A">
            <w:pPr>
              <w:spacing w:line="276" w:lineRule="auto"/>
              <w:jc w:val="right"/>
              <w:rPr>
                <w:rFonts w:eastAsiaTheme="minorEastAsia"/>
                <w:color w:themeColor="text1" w:val="000000"/>
                <w:szCs w:val="21"/>
              </w:rPr>
            </w:pPr>
            <w:r>
              <w:rPr>
                <w:rFonts w:eastAsiaTheme="minorEastAsia"/>
                <w:color w:themeColor="text1" w:val="000000"/>
                <w:szCs w:val="21"/>
              </w:rPr>
              <w:t>962,789.09</w:t>
            </w:r>
          </w:p>
        </w:tc>
        <w:tc>
          <w:tcPr>
            <w:tcW w:type="dxa" w:w="2621"/>
            <w:vAlign w:val="center"/>
          </w:tcPr>
          <w:p w:rsidR="00967083" w:rsidRDefault="00E4498A">
            <w:pPr>
              <w:spacing w:line="276" w:lineRule="auto"/>
              <w:jc w:val="right"/>
              <w:rPr>
                <w:rFonts w:eastAsiaTheme="minorEastAsia"/>
                <w:color w:themeColor="text1" w:val="000000"/>
                <w:szCs w:val="21"/>
              </w:rPr>
            </w:pPr>
            <w:r>
              <w:rPr>
                <w:rFonts w:eastAsiaTheme="minorEastAsia"/>
                <w:color w:themeColor="text1" w:val="000000"/>
                <w:szCs w:val="21"/>
              </w:rPr>
              <w:t>1.58</w:t>
            </w:r>
          </w:p>
        </w:tc>
      </w:tr>
      <w:tr w:rsidR="00967083">
        <w:tc>
          <w:tcPr>
            <w:tcW w:type="dxa" w:w="1080"/>
            <w:vAlign w:val="center"/>
          </w:tcPr>
          <w:p w:rsidR="00967083" w:rsidRDefault="00E4498A">
            <w:pPr>
              <w:spacing w:before="29" w:line="276"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2748"/>
            <w:vAlign w:val="center"/>
          </w:tcPr>
          <w:p w:rsidR="00967083" w:rsidRDefault="00E4498A">
            <w:pPr>
              <w:spacing w:line="276" w:lineRule="auto"/>
              <w:ind w:left="105" w:leftChars="50"/>
              <w:rPr>
                <w:rFonts w:eastAsiaTheme="minorEastAsia"/>
                <w:color w:themeColor="text1" w:val="000000"/>
                <w:szCs w:val="21"/>
              </w:rPr>
            </w:pPr>
            <w:r>
              <w:rPr>
                <w:rFonts w:eastAsiaTheme="minorEastAsia"/>
                <w:color w:themeColor="text1" w:val="000000"/>
                <w:szCs w:val="21"/>
              </w:rPr>
              <w:t>合计</w:t>
            </w:r>
          </w:p>
        </w:tc>
        <w:tc>
          <w:tcPr>
            <w:tcW w:type="dxa" w:w="2551"/>
            <w:vAlign w:val="center"/>
          </w:tcPr>
          <w:p w:rsidR="00967083" w:rsidRDefault="00E4498A">
            <w:pPr>
              <w:spacing w:line="276" w:lineRule="auto"/>
              <w:jc w:val="right"/>
              <w:rPr>
                <w:rFonts w:eastAsiaTheme="minorEastAsia"/>
                <w:color w:themeColor="text1" w:val="000000"/>
                <w:szCs w:val="21"/>
              </w:rPr>
            </w:pPr>
            <w:r>
              <w:rPr>
                <w:rFonts w:eastAsiaTheme="minorEastAsia"/>
                <w:color w:themeColor="text1" w:val="000000"/>
                <w:szCs w:val="21"/>
              </w:rPr>
              <w:t>61,119,372.20</w:t>
            </w:r>
          </w:p>
        </w:tc>
        <w:tc>
          <w:tcPr>
            <w:tcW w:type="dxa" w:w="2621"/>
            <w:vAlign w:val="center"/>
          </w:tcPr>
          <w:p w:rsidR="00967083" w:rsidRDefault="00E4498A">
            <w:pPr>
              <w:spacing w:line="276" w:lineRule="auto"/>
              <w:jc w:val="right"/>
              <w:rPr>
                <w:rFonts w:eastAsiaTheme="minorEastAsia"/>
                <w:color w:themeColor="text1" w:val="000000"/>
                <w:szCs w:val="21"/>
              </w:rPr>
            </w:pPr>
            <w:r>
              <w:rPr>
                <w:rFonts w:eastAsiaTheme="minorEastAsia"/>
                <w:color w:themeColor="text1" w:val="000000"/>
                <w:szCs w:val="21"/>
              </w:rPr>
              <w:t>100.00</w:t>
            </w:r>
          </w:p>
        </w:tc>
      </w:tr>
    </w:tbl>
    <w:p w:rsidR="00967083" w:rsidRDefault="00967083">
      <w:pPr>
        <w:spacing w:line="288" w:lineRule="auto"/>
        <w:rPr>
          <w:color w:val="000000"/>
          <w:szCs w:val="21"/>
        </w:rPr>
      </w:pPr>
    </w:p>
    <w:p w:rsidR="00967083" w:rsidRDefault="00E4498A">
      <w:pPr>
        <w:pStyle w:val="2"/>
        <w:spacing w:after="0" w:before="312" w:beforeLines="100"/>
        <w:rPr>
          <w:rFonts w:ascii="Times New Roman" w:eastAsiaTheme="minorEastAsia" w:hAnsi="Times New Roman"/>
          <w:kern w:val="0"/>
          <w:sz w:val="21"/>
          <w:szCs w:val="21"/>
        </w:rPr>
      </w:pPr>
      <w:bookmarkStart w:id="57" w:name="_Toc331410103"/>
      <w:bookmarkStart w:id="58" w:name="_Toc225498274"/>
      <w:r>
        <w:rPr>
          <w:rFonts w:ascii="Times New Roman" w:eastAsiaTheme="minorEastAsia" w:hAnsi="Times New Roman"/>
          <w:color w:val="000000"/>
          <w:sz w:val="21"/>
          <w:szCs w:val="21"/>
        </w:rPr>
        <w:t/>
      </w:r>
      <w:r>
        <w:rPr>
          <w:rFonts w:ascii="Times New Roman" w:eastAsiaTheme="minorEastAsia" w:hAnsi="Times New Roman"/>
          <w:kern w:val="0"/>
          <w:sz w:val="21"/>
          <w:szCs w:val="21"/>
        </w:rPr>
        <w:t xml:space="preserve">7.2 </w:t>
      </w:r>
      <w:r>
        <w:rPr>
          <w:rFonts w:ascii="Times New Roman" w:eastAsiaTheme="minorEastAsia" w:hAnsi="Times New Roman" w:hint="eastAsia"/>
          <w:kern w:val="0"/>
          <w:sz w:val="21"/>
          <w:szCs w:val="21"/>
        </w:rPr>
        <w:t>报告</w:t>
      </w:r>
      <w:r>
        <w:rPr>
          <w:rFonts w:ascii="Times New Roman" w:eastAsiaTheme="minorEastAsia" w:hAnsi="Times New Roman"/>
          <w:kern w:val="0"/>
          <w:sz w:val="21"/>
          <w:szCs w:val="21"/>
        </w:rPr>
        <w:t>期末按行业分类的股票投资组合</w:t>
      </w:r>
      <w:bookmarkEnd w:id="57"/>
      <w:bookmarkEnd w:id="58"/>
    </w:p>
    <w:p w:rsidR="00967083" w:rsidRDefault="00E4498A">
      <w:pPr>
        <w:rPr>
          <w:rFonts w:eastAsiaTheme="minorEastAsia"/>
          <w:b/>
          <w:color w:val="000000"/>
          <w:szCs w:val="21"/>
        </w:rPr>
      </w:pPr>
      <w:r>
        <w:rPr>
          <w:rFonts w:eastAsiaTheme="minorEastAsia"/>
          <w:b/>
          <w:color w:val="000000"/>
          <w:szCs w:val="21"/>
        </w:rPr>
        <w:t>7.2.1</w:t>
      </w:r>
      <w:r>
        <w:rPr>
          <w:rFonts w:eastAsiaTheme="minorEastAsia" w:hint="eastAsia"/>
          <w:b/>
          <w:color w:val="000000"/>
          <w:szCs w:val="21"/>
        </w:rPr>
        <w:t>报告期末按行业分类的境内股票投资组合</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本基金本报告期末未持有境内股票。</w:t>
      </w:r>
    </w:p>
    <w:p w:rsidR="00967083" w:rsidRDefault="00967083">
      <w:pPr>
        <w:widowControl/>
        <w:rPr>
          <w:kern w:val="0"/>
          <w:szCs w:val="21"/>
        </w:rPr>
      </w:pPr>
    </w:p>
    <w:p w:rsidR="00967083" w:rsidRDefault="00E4498A">
      <w:pPr>
        <w:spacing w:before="312" w:beforeLines="100" w:line="360" w:lineRule="auto"/>
        <w:rPr>
          <w:rFonts w:eastAsiaTheme="minorEastAsia"/>
          <w:b/>
          <w:bCs/>
          <w:kern w:val="0"/>
          <w:szCs w:val="21"/>
        </w:rPr>
      </w:pPr>
      <w:r>
        <w:rPr>
          <w:rFonts w:eastAsiaTheme="minorEastAsia"/>
          <w:b/>
          <w:color w:val="000000"/>
          <w:szCs w:val="21"/>
        </w:rPr>
        <w:t>7.2.2</w:t>
      </w:r>
      <w:r>
        <w:rPr>
          <w:rFonts w:eastAsiaTheme="minorEastAsia" w:hint="eastAsia"/>
          <w:b/>
          <w:bCs/>
          <w:kern w:val="0"/>
          <w:szCs w:val="21"/>
        </w:rPr>
        <w:t>报告期末按行业分类的港股通投资股票投资组合</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hint="eastAsia"/>
          <w:szCs w:val="21"/>
        </w:rPr>
        <w:t xml:space="preserve">   </w:t>
      </w:r>
      <w:r>
        <w:rPr>
          <w:rFonts w:eastAsiaTheme="minorEastAsia"/>
          <w:szCs w:val="21"/>
        </w:rPr>
        <w:t>本基金本报告期末未持有通过港股通投资的股票。</w:t>
      </w:r>
    </w:p>
    <w:p w:rsidR="00967083" w:rsidRDefault="00967083">
      <w:pPr>
        <w:spacing w:line="288" w:lineRule="auto"/>
        <w:rPr>
          <w:color w:val="000000"/>
          <w:szCs w:val="21"/>
        </w:rPr>
      </w:pPr>
    </w:p>
    <w:p w:rsidR="00967083" w:rsidRDefault="00E4498A">
      <w:pPr>
        <w:pStyle w:val="2"/>
        <w:spacing w:after="0" w:before="0"/>
        <w:rPr>
          <w:rFonts w:ascii="Times New Roman" w:hAnsi="Times New Roman"/>
          <w:kern w:val="0"/>
          <w:sz w:val="21"/>
          <w:szCs w:val="21"/>
        </w:rPr>
      </w:pPr>
      <w:bookmarkStart w:id="61" w:name="_Toc331410104"/>
      <w:r>
        <w:rPr>
          <w:rFonts w:ascii="Times New Roman" w:hAnsi="Times New Roman"/>
          <w:kern w:val="0"/>
          <w:sz w:val="21"/>
          <w:szCs w:val="21"/>
        </w:rPr>
        <w:lastRenderedPageBreak/>
        <w:t xml:space="preserve">7.3 </w:t>
      </w:r>
      <w:r>
        <w:rPr>
          <w:rFonts w:ascii="Times New Roman" w:hAnsi="Times New Roman"/>
          <w:kern w:val="0"/>
          <w:sz w:val="21"/>
          <w:szCs w:val="21"/>
        </w:rPr>
        <w:t>期末按公允价值占基金资产净值比例大小排序的前十名股票投资明细</w:t>
      </w:r>
      <w:bookmarkEnd w:id="61"/>
    </w:p>
    <w:p w:rsidR="00967083" w:rsidRDefault="00E4498A">
      <w:pPr>
        <w:spacing w:line="360" w:lineRule="auto"/>
        <w:ind w:firstLine="480" w:firstLineChars="200"/>
      </w:pPr>
      <w:r>
        <w:rPr>
          <w:kern w:val="0"/>
          <w:sz w:val="24"/>
        </w:rPr>
        <w:t/>
      </w:r>
      <w:r>
        <w:t/>
      </w:r>
      <w:r>
        <w:rPr>
          <w:rFonts w:eastAsiaTheme="minorEastAsia"/>
          <w:kern w:val="0"/>
          <w:szCs w:val="21"/>
        </w:rPr>
        <w:t/>
      </w:r>
      <w:r>
        <w:t/>
      </w:r>
      <w:r>
        <w:rPr>
          <w:szCs w:val="21"/>
        </w:rPr>
        <w:t/>
      </w:r>
      <w:r>
        <w:t>本基金本报告期末未持有股票。</w:t>
      </w:r>
    </w:p>
    <w:p w:rsidR="00967083" w:rsidRDefault="00967083">
      <w:pPr>
        <w:spacing w:line="288" w:lineRule="auto"/>
        <w:rPr>
          <w:color w:val="000000"/>
          <w:szCs w:val="21"/>
        </w:rPr>
      </w:pPr>
    </w:p>
    <w:p w:rsidR="00967083" w:rsidRDefault="00E4498A">
      <w:pPr>
        <w:pStyle w:val="2"/>
        <w:spacing w:after="0" w:before="0"/>
        <w:rPr>
          <w:rFonts w:ascii="Times New Roman" w:hAnsi="Times New Roman"/>
          <w:kern w:val="0"/>
          <w:sz w:val="21"/>
          <w:szCs w:val="21"/>
        </w:rPr>
      </w:pPr>
      <w:bookmarkStart w:id="62" w:name="_Toc331410105"/>
      <w:r>
        <w:rPr>
          <w:rFonts w:ascii="Times New Roman" w:hAnsi="Times New Roman"/>
          <w:kern w:val="0"/>
          <w:sz w:val="21"/>
          <w:szCs w:val="21"/>
        </w:rPr>
        <w:t>7.4</w:t>
      </w:r>
      <w:bookmarkStart w:id="63" w:name="_Toc234814103"/>
      <w:r>
        <w:rPr>
          <w:rFonts w:ascii="Times New Roman" w:hAnsi="Times New Roman"/>
          <w:kern w:val="0"/>
          <w:sz w:val="21"/>
          <w:szCs w:val="21"/>
        </w:rPr>
        <w:t>报告期内股票投资组合的重大变动</w:t>
      </w:r>
      <w:bookmarkEnd w:id="62"/>
      <w:bookmarkEnd w:id="63"/>
    </w:p>
    <w:p w:rsidR="00967083" w:rsidRDefault="00E4498A">
      <w:pPr>
        <w:spacing w:line="360" w:lineRule="auto"/>
        <w:rPr>
          <w:b/>
          <w:bCs/>
          <w:color w:val="000000"/>
          <w:szCs w:val="21"/>
        </w:rPr>
      </w:pPr>
      <w:r>
        <w:rPr>
          <w:b/>
          <w:color w:val="000000"/>
          <w:szCs w:val="21"/>
        </w:rPr>
        <w:t xml:space="preserve">7.4.1 </w:t>
      </w:r>
      <w:r>
        <w:rPr>
          <w:b/>
          <w:bCs/>
          <w:color w:val="000000"/>
          <w:szCs w:val="21"/>
        </w:rPr>
        <w:t>累计买入金额超出</w:t>
      </w:r>
      <w:r>
        <w:rPr>
          <w:rFonts w:ascii="宋体" w:hAnsi="宋体" w:hint="eastAsia"/>
          <w:b/>
          <w:color w:val="000000"/>
          <w:kern w:val="0"/>
          <w:szCs w:val="21"/>
        </w:rPr>
        <w:t>期初</w:t>
      </w:r>
      <w:r>
        <w:rPr>
          <w:b/>
          <w:bCs/>
          <w:color w:val="000000"/>
          <w:szCs w:val="21"/>
        </w:rPr>
        <w:t>基金资产净值</w:t>
      </w:r>
      <w:r>
        <w:rPr>
          <w:b/>
          <w:bCs/>
          <w:color w:val="000000"/>
          <w:szCs w:val="21"/>
        </w:rPr>
        <w:t>2%</w:t>
      </w:r>
      <w:r>
        <w:rPr>
          <w:b/>
          <w:bCs/>
          <w:color w:val="000000"/>
          <w:szCs w:val="21"/>
        </w:rPr>
        <w:t>或前</w:t>
      </w:r>
      <w:r>
        <w:rPr>
          <w:b/>
          <w:bCs/>
          <w:color w:val="000000"/>
          <w:szCs w:val="21"/>
        </w:rPr>
        <w:t>20</w:t>
      </w:r>
      <w:r>
        <w:rPr>
          <w:b/>
          <w:bCs/>
          <w:color w:val="000000"/>
          <w:szCs w:val="21"/>
        </w:rPr>
        <w:t>名的股票明细</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本基金本报告期内未持有股票。</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spacing w:line="360" w:lineRule="auto"/>
        <w:rPr>
          <w:b/>
          <w:bCs/>
          <w:color w:val="000000"/>
          <w:szCs w:val="21"/>
        </w:rPr>
      </w:pPr>
      <w:r>
        <w:rPr>
          <w:b/>
          <w:color w:val="000000"/>
          <w:szCs w:val="21"/>
        </w:rPr>
        <w:t xml:space="preserve">7.4.2 </w:t>
      </w:r>
      <w:r>
        <w:rPr>
          <w:b/>
          <w:bCs/>
          <w:color w:val="000000"/>
          <w:szCs w:val="21"/>
        </w:rPr>
        <w:t>累计卖出金额超出</w:t>
      </w:r>
      <w:r>
        <w:rPr>
          <w:rFonts w:ascii="宋体" w:hAnsi="宋体" w:hint="eastAsia"/>
          <w:b/>
          <w:color w:val="000000"/>
          <w:kern w:val="0"/>
          <w:szCs w:val="21"/>
        </w:rPr>
        <w:t>期初</w:t>
      </w:r>
      <w:r>
        <w:rPr>
          <w:b/>
          <w:bCs/>
          <w:color w:val="000000"/>
          <w:szCs w:val="21"/>
        </w:rPr>
        <w:t>基金资产净值</w:t>
      </w:r>
      <w:r>
        <w:rPr>
          <w:b/>
          <w:bCs/>
          <w:color w:val="000000"/>
          <w:szCs w:val="21"/>
        </w:rPr>
        <w:t>2%</w:t>
      </w:r>
      <w:r>
        <w:rPr>
          <w:b/>
          <w:bCs/>
          <w:color w:val="000000"/>
          <w:szCs w:val="21"/>
        </w:rPr>
        <w:t>或前</w:t>
      </w:r>
      <w:r>
        <w:rPr>
          <w:b/>
          <w:bCs/>
          <w:color w:val="000000"/>
          <w:szCs w:val="21"/>
        </w:rPr>
        <w:t>20</w:t>
      </w:r>
      <w:r>
        <w:rPr>
          <w:b/>
          <w:bCs/>
          <w:color w:val="000000"/>
          <w:szCs w:val="21"/>
        </w:rPr>
        <w:t>名的股票明细</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本基金本报告期内未持有股票。</w:t>
      </w:r>
    </w:p>
    <w:p w:rsidR="00967083" w:rsidRDefault="00967083">
      <w:pPr>
        <w:pStyle w:val="af"/>
        <w:spacing w:after="0" w:afterAutospacing="0" w:before="0" w:beforeAutospacing="0" w:line="288" w:lineRule="auto"/>
        <w:rPr>
          <w:rFonts w:ascii="Times New Roman" w:hAnsi="Times New Roman"/>
          <w:kern w:val="2"/>
          <w:sz w:val="21"/>
          <w:szCs w:val="21"/>
        </w:rPr>
      </w:pPr>
    </w:p>
    <w:p w:rsidR="00967083" w:rsidRDefault="00E4498A">
      <w:pPr>
        <w:spacing w:line="360" w:lineRule="auto"/>
        <w:rPr>
          <w:b/>
          <w:bCs/>
          <w:color w:val="000000"/>
          <w:szCs w:val="21"/>
        </w:rPr>
      </w:pPr>
      <w:r>
        <w:rPr>
          <w:b/>
          <w:color w:val="000000"/>
          <w:szCs w:val="21"/>
        </w:rPr>
        <w:t xml:space="preserve">7.4.3 </w:t>
      </w:r>
      <w:r>
        <w:rPr>
          <w:b/>
          <w:bCs/>
          <w:color w:val="000000"/>
          <w:szCs w:val="21"/>
        </w:rPr>
        <w:t>买入股票的成本总额及卖出股票的收入总额</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本基金本报告期内未持有股票。</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2"/>
        <w:spacing w:after="0" w:before="0"/>
        <w:rPr>
          <w:rFonts w:ascii="Times New Roman" w:hAnsi="Times New Roman"/>
          <w:kern w:val="0"/>
          <w:sz w:val="21"/>
          <w:szCs w:val="21"/>
        </w:rPr>
      </w:pPr>
      <w:bookmarkStart w:id="64" w:name="_Toc234814104"/>
      <w:bookmarkStart w:id="65" w:name="_Toc331410106"/>
      <w:r>
        <w:rPr>
          <w:rFonts w:ascii="Times New Roman" w:hAnsi="Times New Roman"/>
          <w:kern w:val="0"/>
          <w:sz w:val="21"/>
          <w:szCs w:val="21"/>
        </w:rPr>
        <w:lastRenderedPageBreak/>
        <w:t xml:space="preserve">7.5 </w:t>
      </w:r>
      <w:r>
        <w:rPr>
          <w:rFonts w:ascii="Times New Roman" w:hAnsi="Times New Roman"/>
          <w:kern w:val="0"/>
          <w:sz w:val="21"/>
          <w:szCs w:val="21"/>
        </w:rPr>
        <w:t>期末按债券品种分类的债券投资组合</w:t>
      </w:r>
      <w:bookmarkEnd w:id="64"/>
      <w:bookmarkEnd w:id="65"/>
    </w:p>
    <w:p w:rsidR="00967083" w:rsidRDefault="00E4498A">
      <w:pPr>
        <w:autoSpaceDE w:val="0"/>
        <w:autoSpaceDN w:val="0"/>
        <w:adjustRightInd w:val="0"/>
        <w:spacing w:before="29" w:line="288" w:lineRule="auto"/>
        <w:ind w:left="15"/>
        <w:jc w:val="right"/>
        <w:rPr>
          <w:rFonts w:eastAsiaTheme="minorEastAsia"/>
          <w:color w:val="000000"/>
          <w:kern w:val="0"/>
          <w:szCs w:val="21"/>
        </w:rPr>
      </w:pPr>
      <w:r>
        <w:rPr>
          <w:rFonts w:eastAsiaTheme="minorEastAsia"/>
          <w:color w:val="000000"/>
          <w:szCs w:val="21"/>
        </w:rPr>
        <w:t/>
      </w:r>
      <w:r>
        <w:rPr>
          <w:rFonts w:eastAsiaTheme="minorEastAsia"/>
          <w:color w:val="000000"/>
          <w:szCs w:val="21"/>
        </w:rPr>
        <w:t>金额单位：人民币元</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410"/>
        <w:gridCol w:w="2041"/>
      </w:tblGrid>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序号</w:t>
            </w:r>
            <w:r>
              <w:rPr>
                <w:rFonts w:eastAsiaTheme="minorEastAsia"/>
                <w:color w:val="000000"/>
                <w:szCs w:val="21"/>
              </w:rPr>
              <w:t/>
            </w:r>
          </w:p>
        </w:tc>
        <w:tc>
          <w:tcPr>
            <w:tcW w:type="dxa" w:w="3260"/>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债券品种</w:t>
            </w:r>
          </w:p>
        </w:tc>
        <w:tc>
          <w:tcPr>
            <w:tcW w:type="dxa" w:w="2410"/>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公允价值</w:t>
            </w:r>
          </w:p>
        </w:tc>
        <w:tc>
          <w:tcPr>
            <w:tcW w:type="dxa" w:w="2041"/>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占基金资产净值比例</w:t>
            </w:r>
            <w:r>
              <w:rPr>
                <w:rFonts w:eastAsiaTheme="minorEastAsia"/>
                <w:color w:val="000000"/>
                <w:szCs w:val="21"/>
              </w:rPr>
              <w:t>(</w:t>
            </w:r>
            <w:r>
              <w:rPr>
                <w:rFonts w:eastAsiaTheme="minorEastAsia"/>
                <w:color w:val="000000"/>
                <w:szCs w:val="21"/>
              </w:rPr>
              <w:t>％</w:t>
            </w:r>
            <w:r>
              <w:rPr>
                <w:rFonts w:eastAsiaTheme="minorEastAsia"/>
                <w:color w:val="000000"/>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1</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国家债券</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2</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央行票据</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3</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金融债券</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60,001,000.80</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98.30</w:t>
            </w:r>
          </w:p>
        </w:tc>
      </w:tr>
      <w:tr w:rsidR="00967083">
        <w:tc>
          <w:tcPr>
            <w:tcW w:type="dxa" w:w="817"/>
            <w:vAlign w:val="center"/>
          </w:tcPr>
          <w:p w:rsidR="00967083" w:rsidRDefault="00967083">
            <w:pPr>
              <w:spacing w:before="29" w:line="360" w:lineRule="auto"/>
              <w:ind w:left="17"/>
              <w:jc w:val="center"/>
              <w:rPr>
                <w:rFonts w:eastAsiaTheme="minorEastAsia"/>
                <w:color w:val="000000"/>
                <w:szCs w:val="21"/>
              </w:rPr>
            </w:pP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其中：政策性金融债</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60,001,000.80</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98.30</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4</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企业债券</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5</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企业短期融资券</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
            </w:r>
            <w:r>
              <w:rPr>
                <w:rFonts w:eastAsiaTheme="minorEastAsia"/>
                <w:szCs w:val="21"/>
              </w:rPr>
              <w:lastRenderedPageBreak/>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lastRenderedPageBreak/>
              <w:t/>
            </w:r>
            <w:r>
              <w:rPr>
                <w:rFonts w:eastAsiaTheme="minorEastAsia"/>
                <w:szCs w:val="21"/>
              </w:rPr>
              <w:lastRenderedPageBreak/>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lastRenderedPageBreak/>
              <w:t>6</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中期票据</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7</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可转债</w:t>
            </w:r>
            <w:r>
              <w:rPr>
                <w:rFonts w:eastAsiaTheme="minorEastAsia" w:hint="eastAsia"/>
                <w:color w:val="000000"/>
                <w:szCs w:val="21"/>
              </w:rPr>
              <w:t>（可交换债）</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hint="eastAsia"/>
                <w:color w:val="000000"/>
                <w:szCs w:val="21"/>
              </w:rPr>
              <w:t>8</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hint="eastAsia"/>
                <w:color w:val="000000"/>
                <w:szCs w:val="21"/>
              </w:rPr>
              <w:t>同业存单</w:t>
            </w:r>
          </w:p>
        </w:tc>
        <w:tc>
          <w:tcPr>
            <w:tcW w:type="dxa" w:w="2410"/>
            <w:vAlign w:val="center"/>
          </w:tcPr>
          <w:p w:rsidR="00967083" w:rsidRDefault="00E4498A">
            <w:pPr>
              <w:spacing w:before="29" w:line="360" w:lineRule="auto"/>
              <w:ind w:left="17"/>
              <w:jc w:val="left"/>
              <w:rPr>
                <w:rFonts w:eastAsiaTheme="minorEastAsia"/>
                <w:color w:val="000000"/>
                <w:szCs w:val="21"/>
              </w:rPr>
            </w:pPr>
            <w:r>
              <w:rPr>
                <w:rFonts w:eastAsiaTheme="minorEastAsia" w:hint="eastAsia"/>
                <w:color w:val="000000"/>
                <w:szCs w:val="21"/>
              </w:rPr>
              <w:t/>
            </w:r>
            <w:r>
              <w:rPr>
                <w:rFonts w:eastAsiaTheme="minorEastAsia"/>
                <w:color w:val="000000"/>
                <w:szCs w:val="21"/>
              </w:rPr>
              <w:t/>
            </w:r>
            <w:r>
              <w:rPr>
                <w:rFonts w:eastAsiaTheme="minorEastAsia" w:hint="eastAsia"/>
                <w:color w:val="000000"/>
                <w:szCs w:val="21"/>
              </w:rPr>
              <w:t>-</w:t>
            </w:r>
          </w:p>
        </w:tc>
        <w:tc>
          <w:tcPr>
            <w:tcW w:type="dxa" w:w="2041"/>
            <w:vAlign w:val="center"/>
          </w:tcPr>
          <w:p w:rsidR="00967083" w:rsidRDefault="00E4498A">
            <w:pPr>
              <w:spacing w:before="29" w:line="360" w:lineRule="auto"/>
              <w:ind w:left="17"/>
              <w:jc w:val="left"/>
              <w:rPr>
                <w:rFonts w:eastAsiaTheme="minorEastAsia"/>
                <w:color w:val="000000"/>
                <w:szCs w:val="21"/>
              </w:rPr>
            </w:pPr>
            <w:r>
              <w:rPr>
                <w:rFonts w:eastAsiaTheme="minorEastAsia" w:hint="eastAsia"/>
                <w:color w:val="000000"/>
                <w:szCs w:val="21"/>
              </w:rPr>
              <w:t/>
            </w:r>
            <w:r>
              <w:rPr>
                <w:rFonts w:eastAsiaTheme="minorEastAsia"/>
                <w:color w:val="000000"/>
                <w:szCs w:val="21"/>
              </w:rPr>
              <w:t/>
            </w:r>
            <w:r>
              <w:rPr>
                <w:rFonts w:eastAsiaTheme="minorEastAsia" w:hint="eastAsia"/>
                <w:color w:val="000000"/>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
            </w:r>
            <w:r>
              <w:rPr>
                <w:rFonts w:eastAsiaTheme="minorEastAsia" w:hint="eastAsia"/>
                <w:color w:val="000000"/>
                <w:szCs w:val="21"/>
              </w:rPr>
              <w:t/>
            </w:r>
            <w:r>
              <w:rPr>
                <w:rFonts w:eastAsiaTheme="minorEastAsia"/>
                <w:color w:val="000000"/>
                <w:szCs w:val="21"/>
              </w:rPr>
              <w:t>9</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其他</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w:t>
            </w:r>
          </w:p>
        </w:tc>
      </w:tr>
      <w:tr w:rsidR="00967083">
        <w:tc>
          <w:tcPr>
            <w:tcW w:type="dxa" w:w="817"/>
            <w:vAlign w:val="center"/>
          </w:tcPr>
          <w:p w:rsidR="00967083" w:rsidRDefault="00E4498A">
            <w:pPr>
              <w:spacing w:before="29" w:line="360" w:lineRule="auto"/>
              <w:ind w:left="17"/>
              <w:jc w:val="center"/>
              <w:rPr>
                <w:rFonts w:eastAsiaTheme="minorEastAsia"/>
                <w:color w:val="000000"/>
                <w:szCs w:val="21"/>
              </w:rPr>
            </w:pPr>
            <w:r>
              <w:rPr>
                <w:rFonts w:eastAsiaTheme="minorEastAsia"/>
                <w:color w:val="000000"/>
                <w:szCs w:val="21"/>
              </w:rPr>
              <w:t/>
            </w:r>
            <w:r>
              <w:rPr>
                <w:rFonts w:eastAsiaTheme="minorEastAsia" w:hint="eastAsia"/>
                <w:color w:val="000000"/>
                <w:szCs w:val="21"/>
              </w:rPr>
              <w:t/>
            </w:r>
            <w:r>
              <w:rPr>
                <w:rFonts w:eastAsiaTheme="minorEastAsia"/>
                <w:color w:val="000000"/>
                <w:szCs w:val="21"/>
              </w:rPr>
              <w:t>10</w:t>
            </w:r>
          </w:p>
        </w:tc>
        <w:tc>
          <w:tcPr>
            <w:tcW w:type="dxa" w:w="3260"/>
            <w:vAlign w:val="center"/>
          </w:tcPr>
          <w:p w:rsidR="00967083" w:rsidRDefault="00E4498A">
            <w:pPr>
              <w:spacing w:before="29" w:line="360" w:lineRule="auto"/>
              <w:ind w:left="17"/>
              <w:jc w:val="left"/>
              <w:rPr>
                <w:rFonts w:eastAsiaTheme="minorEastAsia"/>
                <w:color w:val="000000"/>
                <w:szCs w:val="21"/>
              </w:rPr>
            </w:pPr>
            <w:r>
              <w:rPr>
                <w:rFonts w:eastAsiaTheme="minorEastAsia"/>
                <w:color w:val="000000"/>
                <w:szCs w:val="21"/>
              </w:rPr>
              <w:t>合计</w:t>
            </w:r>
          </w:p>
        </w:tc>
        <w:tc>
          <w:tcPr>
            <w:tcW w:type="dxa" w:w="2410"/>
            <w:vAlign w:val="center"/>
          </w:tcPr>
          <w:p w:rsidR="00967083" w:rsidRDefault="00E4498A">
            <w:pPr>
              <w:spacing w:before="29" w:line="360" w:lineRule="auto"/>
              <w:ind w:left="17"/>
              <w:jc w:val="right"/>
              <w:rPr>
                <w:rFonts w:eastAsiaTheme="minorEastAsia"/>
                <w:szCs w:val="21"/>
              </w:rPr>
            </w:pPr>
            <w:r>
              <w:rPr>
                <w:rFonts w:eastAsiaTheme="minorEastAsia"/>
                <w:szCs w:val="21"/>
              </w:rPr>
              <w:t>60,001,000.80</w:t>
            </w:r>
          </w:p>
        </w:tc>
        <w:tc>
          <w:tcPr>
            <w:tcW w:type="dxa" w:w="2041"/>
            <w:vAlign w:val="center"/>
          </w:tcPr>
          <w:p w:rsidR="00967083" w:rsidRDefault="00E4498A">
            <w:pPr>
              <w:spacing w:before="29" w:line="360" w:lineRule="auto"/>
              <w:ind w:left="17"/>
              <w:jc w:val="right"/>
              <w:rPr>
                <w:rFonts w:eastAsiaTheme="minorEastAsia"/>
                <w:szCs w:val="21"/>
              </w:rPr>
            </w:pPr>
            <w:r>
              <w:rPr>
                <w:rFonts w:eastAsiaTheme="minorEastAsia"/>
                <w:szCs w:val="21"/>
              </w:rPr>
              <w:t>98.30</w:t>
            </w:r>
          </w:p>
        </w:tc>
      </w:tr>
    </w:tbl>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2"/>
        <w:spacing w:after="0" w:before="0"/>
        <w:rPr>
          <w:rFonts w:ascii="Times New Roman" w:hAnsi="Times New Roman"/>
          <w:kern w:val="0"/>
          <w:sz w:val="21"/>
          <w:szCs w:val="21"/>
        </w:rPr>
      </w:pPr>
      <w:bookmarkStart w:id="66" w:name="_Toc331410107"/>
      <w:r>
        <w:rPr>
          <w:rFonts w:ascii="Times New Roman" w:hAnsi="Times New Roman"/>
          <w:kern w:val="0"/>
          <w:sz w:val="21"/>
          <w:szCs w:val="21"/>
        </w:rPr>
        <w:lastRenderedPageBreak/>
        <w:t>7.6</w:t>
      </w:r>
      <w:bookmarkStart w:id="67" w:name="_Toc234814105"/>
      <w:r>
        <w:rPr>
          <w:rFonts w:ascii="Times New Roman" w:hAnsi="Times New Roman"/>
          <w:kern w:val="0"/>
          <w:sz w:val="21"/>
          <w:szCs w:val="21"/>
        </w:rPr>
        <w:t>期末按公允价值占基金资产净值比例大小排序的前五名债券投资明细</w:t>
      </w:r>
      <w:bookmarkEnd w:id="66"/>
      <w:bookmarkEnd w:id="67"/>
    </w:p>
    <w:p w:rsidR="00967083" w:rsidRDefault="00E4498A">
      <w:pPr>
        <w:autoSpaceDE w:val="0"/>
        <w:autoSpaceDN w:val="0"/>
        <w:adjustRightInd w:val="0"/>
        <w:spacing w:before="29" w:line="288" w:lineRule="auto"/>
        <w:ind w:left="15"/>
        <w:jc w:val="right"/>
        <w:rPr>
          <w:color w:val="000000"/>
          <w:kern w:val="0"/>
          <w:szCs w:val="21"/>
        </w:rPr>
      </w:pPr>
      <w:r>
        <w:rPr>
          <w:color w:val="000000"/>
          <w:szCs w:val="21"/>
        </w:rPr>
        <w:t/>
      </w:r>
      <w:r>
        <w:rPr>
          <w:color w:val="000000"/>
          <w:szCs w:val="21"/>
        </w:rPr>
        <w:t>金额单位：人民币元</w:t>
      </w:r>
    </w:p>
    <w:tbl>
      <w:tblPr>
        <w:tblW w:type="dxa" w:w="852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252"/>
        <w:gridCol w:w="1310"/>
        <w:gridCol w:w="1282"/>
        <w:gridCol w:w="1426"/>
        <w:gridCol w:w="1646"/>
        <w:gridCol w:w="1612"/>
      </w:tblGrid>
      <w:tr w:rsidR="00967083">
        <w:tc>
          <w:tcPr>
            <w:tcW w:type="dxa" w:w="1252"/>
            <w:vAlign w:val="center"/>
          </w:tcPr>
          <w:p w:rsidR="00967083" w:rsidRDefault="00E4498A">
            <w:pPr>
              <w:spacing w:before="29" w:line="360" w:lineRule="auto"/>
              <w:ind w:left="17"/>
              <w:jc w:val="center"/>
              <w:rPr>
                <w:color w:val="000000"/>
                <w:szCs w:val="21"/>
              </w:rPr>
            </w:pPr>
            <w:r>
              <w:rPr>
                <w:color w:val="000000"/>
                <w:szCs w:val="21"/>
              </w:rPr>
              <w:t>序号</w:t>
            </w:r>
          </w:p>
        </w:tc>
        <w:tc>
          <w:tcPr>
            <w:tcW w:type="dxa" w:w="1310"/>
            <w:vAlign w:val="center"/>
          </w:tcPr>
          <w:p w:rsidR="00967083" w:rsidRDefault="00E4498A">
            <w:pPr>
              <w:spacing w:before="29" w:line="360" w:lineRule="auto"/>
              <w:ind w:left="17"/>
              <w:jc w:val="center"/>
              <w:rPr>
                <w:color w:val="000000"/>
                <w:szCs w:val="21"/>
              </w:rPr>
            </w:pPr>
            <w:r>
              <w:rPr>
                <w:color w:val="000000"/>
                <w:szCs w:val="21"/>
              </w:rPr>
              <w:t>债券代码</w:t>
            </w:r>
          </w:p>
        </w:tc>
        <w:tc>
          <w:tcPr>
            <w:tcW w:type="dxa" w:w="1282"/>
            <w:vAlign w:val="center"/>
          </w:tcPr>
          <w:p w:rsidR="00967083" w:rsidRDefault="00E4498A">
            <w:pPr>
              <w:spacing w:before="29" w:line="360" w:lineRule="auto"/>
              <w:ind w:left="17"/>
              <w:jc w:val="center"/>
              <w:rPr>
                <w:color w:val="000000"/>
                <w:szCs w:val="21"/>
              </w:rPr>
            </w:pPr>
            <w:r>
              <w:rPr>
                <w:color w:val="000000"/>
                <w:szCs w:val="21"/>
              </w:rPr>
              <w:t>债券名称</w:t>
            </w:r>
          </w:p>
        </w:tc>
        <w:tc>
          <w:tcPr>
            <w:tcW w:type="dxa" w:w="1426"/>
            <w:vAlign w:val="center"/>
          </w:tcPr>
          <w:p w:rsidR="00967083" w:rsidRDefault="00E4498A">
            <w:pPr>
              <w:spacing w:before="29" w:line="360" w:lineRule="auto"/>
              <w:ind w:left="17"/>
              <w:jc w:val="center"/>
              <w:rPr>
                <w:color w:val="000000"/>
                <w:szCs w:val="21"/>
              </w:rPr>
            </w:pPr>
            <w:r>
              <w:rPr>
                <w:color w:val="000000"/>
                <w:szCs w:val="21"/>
              </w:rPr>
              <w:t>数量</w:t>
            </w:r>
            <w:r>
              <w:rPr>
                <w:color w:val="000000"/>
                <w:szCs w:val="21"/>
              </w:rPr>
              <w:t>(</w:t>
            </w:r>
            <w:r>
              <w:rPr>
                <w:color w:val="000000"/>
                <w:szCs w:val="21"/>
              </w:rPr>
              <w:t>张</w:t>
            </w:r>
            <w:r>
              <w:rPr>
                <w:color w:val="000000"/>
                <w:szCs w:val="21"/>
              </w:rPr>
              <w:t>)</w:t>
            </w:r>
          </w:p>
        </w:tc>
        <w:tc>
          <w:tcPr>
            <w:tcW w:type="dxa" w:w="1646"/>
            <w:vAlign w:val="center"/>
          </w:tcPr>
          <w:p w:rsidR="00967083" w:rsidRDefault="00E4498A">
            <w:pPr>
              <w:spacing w:before="29" w:line="360" w:lineRule="auto"/>
              <w:ind w:left="17"/>
              <w:jc w:val="center"/>
              <w:rPr>
                <w:color w:val="000000"/>
                <w:szCs w:val="21"/>
              </w:rPr>
            </w:pPr>
            <w:r>
              <w:rPr>
                <w:color w:val="000000"/>
                <w:szCs w:val="21"/>
              </w:rPr>
              <w:t>公允价值</w:t>
            </w:r>
          </w:p>
        </w:tc>
        <w:tc>
          <w:tcPr>
            <w:tcW w:type="dxa" w:w="1612"/>
            <w:vAlign w:val="center"/>
          </w:tcPr>
          <w:p w:rsidR="00967083" w:rsidRDefault="00E4498A">
            <w:pPr>
              <w:spacing w:before="29" w:line="360" w:lineRule="auto"/>
              <w:ind w:left="17"/>
              <w:jc w:val="center"/>
              <w:rPr>
                <w:color w:val="000000"/>
                <w:szCs w:val="21"/>
              </w:rPr>
            </w:pPr>
            <w:r>
              <w:rPr>
                <w:color w:val="000000"/>
                <w:szCs w:val="21"/>
              </w:rPr>
              <w:t>占基金资产净值比例</w:t>
            </w:r>
            <w:r>
              <w:rPr>
                <w:color w:val="000000"/>
                <w:szCs w:val="21"/>
              </w:rPr>
              <w:t>(</w:t>
            </w:r>
            <w:r>
              <w:rPr>
                <w:color w:val="000000"/>
                <w:szCs w:val="21"/>
              </w:rPr>
              <w:t>％</w:t>
            </w:r>
            <w:r>
              <w:rPr>
                <w:color w:val="000000"/>
                <w:szCs w:val="21"/>
              </w:rPr>
              <w:t>)</w:t>
            </w:r>
          </w:p>
        </w:tc>
      </w:tr>
      <w:tr>
        <w:tc>
          <w:tcPr>
            <w:vAlign w:val="center"/>
          </w:tcPr>
          <w:p>
            <w:pPr>
              <w:jc w:val="center"/>
            </w:pPr>
            <w:r>
              <w:rPr>
                <w:color w:val="000000"/>
                <w:szCs w:val="21"/>
              </w:rPr>
              <w:t>1</w:t>
            </w:r>
          </w:p>
        </w:tc>
        <w:tc>
          <w:tcPr>
            <w:vAlign w:val="center"/>
          </w:tcPr>
          <w:p>
            <w:pPr>
              <w:jc w:val="center"/>
            </w:pPr>
            <w:r>
              <w:rPr>
                <w:color w:val="000000"/>
                <w:szCs w:val="21"/>
              </w:rPr>
              <w:t>108602</w:t>
            </w:r>
          </w:p>
        </w:tc>
        <w:tc>
          <w:tcPr>
            <w:vAlign w:val="center"/>
          </w:tcPr>
          <w:p>
            <w:pPr>
              <w:jc w:val="center"/>
            </w:pPr>
            <w:r>
              <w:rPr>
                <w:color w:val="000000"/>
                <w:szCs w:val="21"/>
              </w:rPr>
              <w:t>国开1704</w:t>
            </w:r>
          </w:p>
        </w:tc>
        <w:tc>
          <w:tcPr>
            <w:vAlign w:val="center"/>
          </w:tcPr>
          <w:p>
            <w:pPr>
              <w:jc w:val="right"/>
            </w:pPr>
            <w:r>
              <w:rPr>
                <w:color w:val="000000"/>
                <w:szCs w:val="21"/>
              </w:rPr>
              <w:t>164,140</w:t>
            </w:r>
          </w:p>
        </w:tc>
        <w:tc>
          <w:tcPr>
            <w:vAlign w:val="center"/>
          </w:tcPr>
          <w:p>
            <w:pPr>
              <w:jc w:val="right"/>
            </w:pPr>
            <w:r>
              <w:rPr>
                <w:color w:val="000000"/>
                <w:szCs w:val="21"/>
              </w:rPr>
              <w:t>16,579,781.40</w:t>
            </w:r>
          </w:p>
        </w:tc>
        <w:tc>
          <w:tcPr>
            <w:vAlign w:val="center"/>
          </w:tcPr>
          <w:p>
            <w:pPr>
              <w:jc w:val="right"/>
            </w:pPr>
            <w:r>
              <w:rPr>
                <w:color w:val="000000"/>
                <w:szCs w:val="21"/>
              </w:rPr>
              <w:t>27.16</w:t>
            </w:r>
          </w:p>
        </w:tc>
      </w:tr>
      <w:tr>
        <w:tc>
          <w:tcPr>
            <w:vAlign w:val="center"/>
          </w:tcPr>
          <w:p>
            <w:pPr>
              <w:jc w:val="center"/>
            </w:pPr>
            <w:r>
              <w:rPr>
                <w:color w:val="000000"/>
                <w:szCs w:val="21"/>
              </w:rPr>
              <w:t>2</w:t>
            </w:r>
          </w:p>
        </w:tc>
        <w:tc>
          <w:tcPr>
            <w:vAlign w:val="center"/>
          </w:tcPr>
          <w:p>
            <w:pPr>
              <w:jc w:val="center"/>
            </w:pPr>
            <w:r>
              <w:rPr>
                <w:color w:val="000000"/>
                <w:szCs w:val="21"/>
              </w:rPr>
              <w:t>108902</w:t>
            </w:r>
          </w:p>
        </w:tc>
        <w:tc>
          <w:tcPr>
            <w:vAlign w:val="center"/>
          </w:tcPr>
          <w:p>
            <w:pPr>
              <w:jc w:val="center"/>
            </w:pPr>
            <w:r>
              <w:rPr>
                <w:color w:val="000000"/>
                <w:szCs w:val="21"/>
              </w:rPr>
              <w:t>农发1802</w:t>
            </w:r>
          </w:p>
        </w:tc>
        <w:tc>
          <w:tcPr>
            <w:vAlign w:val="center"/>
          </w:tcPr>
          <w:p>
            <w:pPr>
              <w:jc w:val="right"/>
            </w:pPr>
            <w:r>
              <w:rPr>
                <w:color w:val="000000"/>
                <w:szCs w:val="21"/>
              </w:rPr>
              <w:t>105,000</w:t>
            </w:r>
          </w:p>
        </w:tc>
        <w:tc>
          <w:tcPr>
            <w:vAlign w:val="center"/>
          </w:tcPr>
          <w:p>
            <w:pPr>
              <w:jc w:val="right"/>
            </w:pPr>
            <w:r>
              <w:rPr>
                <w:color w:val="000000"/>
                <w:szCs w:val="21"/>
              </w:rPr>
              <w:t>10,558,800.00</w:t>
            </w:r>
          </w:p>
        </w:tc>
        <w:tc>
          <w:tcPr>
            <w:vAlign w:val="center"/>
          </w:tcPr>
          <w:p>
            <w:pPr>
              <w:jc w:val="right"/>
            </w:pPr>
            <w:r>
              <w:rPr>
                <w:color w:val="000000"/>
                <w:szCs w:val="21"/>
              </w:rPr>
              <w:t>17.30</w:t>
            </w:r>
          </w:p>
        </w:tc>
      </w:tr>
      <w:tr>
        <w:tc>
          <w:tcPr>
            <w:vAlign w:val="center"/>
          </w:tcPr>
          <w:p>
            <w:pPr>
              <w:jc w:val="center"/>
            </w:pPr>
            <w:r>
              <w:rPr>
                <w:color w:val="000000"/>
                <w:szCs w:val="21"/>
              </w:rPr>
              <w:t>3</w:t>
            </w:r>
          </w:p>
        </w:tc>
        <w:tc>
          <w:tcPr>
            <w:vAlign w:val="center"/>
          </w:tcPr>
          <w:p>
            <w:pPr>
              <w:jc w:val="center"/>
            </w:pPr>
            <w:r>
              <w:rPr>
                <w:color w:val="000000"/>
                <w:szCs w:val="21"/>
              </w:rPr>
              <w:t>180208</w:t>
            </w:r>
          </w:p>
        </w:tc>
        <w:tc>
          <w:tcPr>
            <w:vAlign w:val="center"/>
          </w:tcPr>
          <w:p>
            <w:pPr>
              <w:jc w:val="center"/>
            </w:pPr>
            <w:r>
              <w:rPr>
                <w:color w:val="000000"/>
                <w:szCs w:val="21"/>
              </w:rPr>
              <w:t>18国开08</w:t>
            </w:r>
          </w:p>
        </w:tc>
        <w:tc>
          <w:tcPr>
            <w:vAlign w:val="center"/>
          </w:tcPr>
          <w:p>
            <w:pPr>
              <w:jc w:val="right"/>
            </w:pPr>
            <w:r>
              <w:rPr>
                <w:color w:val="000000"/>
                <w:szCs w:val="21"/>
              </w:rPr>
              <w:t>100,000</w:t>
            </w:r>
          </w:p>
        </w:tc>
        <w:tc>
          <w:tcPr>
            <w:vAlign w:val="center"/>
          </w:tcPr>
          <w:p>
            <w:pPr>
              <w:jc w:val="right"/>
            </w:pPr>
            <w:r>
              <w:rPr>
                <w:color w:val="000000"/>
                <w:szCs w:val="21"/>
              </w:rPr>
              <w:t>10,176,000.00</w:t>
            </w:r>
          </w:p>
        </w:tc>
        <w:tc>
          <w:tcPr>
            <w:vAlign w:val="center"/>
          </w:tcPr>
          <w:p>
            <w:pPr>
              <w:jc w:val="right"/>
            </w:pPr>
            <w:r>
              <w:rPr>
                <w:color w:val="000000"/>
                <w:szCs w:val="21"/>
              </w:rPr>
              <w:t>16.67</w:t>
            </w:r>
          </w:p>
        </w:tc>
      </w:tr>
      <w:tr>
        <w:tc>
          <w:tcPr>
            <w:vAlign w:val="center"/>
          </w:tcPr>
          <w:p>
            <w:pPr>
              <w:jc w:val="center"/>
            </w:pPr>
            <w:r>
              <w:rPr>
                <w:color w:val="000000"/>
                <w:szCs w:val="21"/>
              </w:rPr>
              <w:t>4</w:t>
            </w:r>
          </w:p>
        </w:tc>
        <w:tc>
          <w:tcPr>
            <w:vAlign w:val="center"/>
          </w:tcPr>
          <w:p>
            <w:pPr>
              <w:jc w:val="center"/>
            </w:pPr>
            <w:r>
              <w:rPr>
                <w:color w:val="000000"/>
                <w:szCs w:val="21"/>
              </w:rPr>
              <w:t>170310</w:t>
            </w:r>
          </w:p>
        </w:tc>
        <w:tc>
          <w:tcPr>
            <w:vAlign w:val="center"/>
          </w:tcPr>
          <w:p>
            <w:pPr>
              <w:jc w:val="center"/>
            </w:pPr>
            <w:r>
              <w:rPr>
                <w:color w:val="000000"/>
                <w:szCs w:val="21"/>
              </w:rPr>
              <w:t>17进出10</w:t>
            </w:r>
          </w:p>
        </w:tc>
        <w:tc>
          <w:tcPr>
            <w:vAlign w:val="center"/>
          </w:tcPr>
          <w:p>
            <w:pPr>
              <w:jc w:val="right"/>
            </w:pPr>
            <w:r>
              <w:rPr>
                <w:color w:val="000000"/>
                <w:szCs w:val="21"/>
              </w:rPr>
              <w:t>100,000</w:t>
            </w:r>
          </w:p>
        </w:tc>
        <w:tc>
          <w:tcPr>
            <w:vAlign w:val="center"/>
          </w:tcPr>
          <w:p>
            <w:pPr>
              <w:jc w:val="right"/>
            </w:pPr>
            <w:r>
              <w:rPr>
                <w:color w:val="000000"/>
                <w:szCs w:val="21"/>
              </w:rPr>
              <w:t>10,117,000.00</w:t>
            </w:r>
          </w:p>
        </w:tc>
        <w:tc>
          <w:tcPr>
            <w:vAlign w:val="center"/>
          </w:tcPr>
          <w:p>
            <w:pPr>
              <w:jc w:val="right"/>
            </w:pPr>
            <w:r>
              <w:rPr>
                <w:color w:val="000000"/>
                <w:szCs w:val="21"/>
              </w:rPr>
              <w:t>16.58</w:t>
            </w:r>
          </w:p>
        </w:tc>
      </w:tr>
      <w:tr>
        <w:tc>
          <w:tcPr>
            <w:vAlign w:val="center"/>
          </w:tcPr>
          <w:p>
            <w:pPr>
              <w:jc w:val="center"/>
            </w:pPr>
            <w:r>
              <w:rPr>
                <w:color w:val="000000"/>
                <w:szCs w:val="21"/>
              </w:rPr>
              <w:t>5</w:t>
            </w:r>
          </w:p>
        </w:tc>
        <w:tc>
          <w:tcPr>
            <w:vAlign w:val="center"/>
          </w:tcPr>
          <w:p>
            <w:pPr>
              <w:jc w:val="center"/>
            </w:pPr>
            <w:r>
              <w:rPr>
                <w:color w:val="000000"/>
                <w:szCs w:val="21"/>
              </w:rPr>
              <w:t>018006</w:t>
            </w:r>
          </w:p>
        </w:tc>
        <w:tc>
          <w:tcPr>
            <w:vAlign w:val="center"/>
          </w:tcPr>
          <w:p>
            <w:pPr>
              <w:jc w:val="center"/>
            </w:pPr>
            <w:r>
              <w:rPr>
                <w:color w:val="000000"/>
                <w:szCs w:val="21"/>
              </w:rPr>
              <w:t>国开1702</w:t>
            </w:r>
          </w:p>
        </w:tc>
        <w:tc>
          <w:tcPr>
            <w:vAlign w:val="center"/>
          </w:tcPr>
          <w:p>
            <w:pPr>
              <w:jc w:val="right"/>
            </w:pPr>
            <w:r>
              <w:rPr>
                <w:color w:val="000000"/>
                <w:szCs w:val="21"/>
              </w:rPr>
              <w:t>84,580</w:t>
            </w:r>
          </w:p>
        </w:tc>
        <w:tc>
          <w:tcPr>
            <w:vAlign w:val="center"/>
          </w:tcPr>
          <w:p>
            <w:pPr>
              <w:jc w:val="right"/>
            </w:pPr>
            <w:r>
              <w:rPr>
                <w:color w:val="000000"/>
                <w:szCs w:val="21"/>
              </w:rPr>
              <w:t>8,629,697.40</w:t>
            </w:r>
          </w:p>
        </w:tc>
        <w:tc>
          <w:tcPr>
            <w:vAlign w:val="center"/>
          </w:tcPr>
          <w:p>
            <w:pPr>
              <w:jc w:val="right"/>
            </w:pPr>
            <w:r>
              <w:rPr>
                <w:color w:val="000000"/>
                <w:szCs w:val="21"/>
              </w:rPr>
              <w:t>14.14</w:t>
            </w:r>
          </w:p>
        </w:tc>
      </w:tr>
    </w:tbl>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2"/>
        <w:spacing w:after="0" w:before="0"/>
        <w:rPr>
          <w:rFonts w:ascii="Times New Roman" w:hAnsi="Times New Roman"/>
          <w:kern w:val="0"/>
          <w:sz w:val="21"/>
          <w:szCs w:val="21"/>
        </w:rPr>
      </w:pPr>
      <w:bookmarkStart w:id="68" w:name="_Toc331410108"/>
      <w:r>
        <w:rPr>
          <w:rFonts w:ascii="Times New Roman" w:hAnsi="Times New Roman"/>
          <w:kern w:val="0"/>
          <w:sz w:val="21"/>
          <w:szCs w:val="21"/>
        </w:rPr>
        <w:t xml:space="preserve">7.7 </w:t>
      </w:r>
      <w:r>
        <w:rPr>
          <w:rFonts w:ascii="Times New Roman" w:hAnsi="Times New Roman"/>
          <w:kern w:val="0"/>
          <w:sz w:val="21"/>
          <w:szCs w:val="21"/>
        </w:rPr>
        <w:t>期末按公允价值占基金资产净值比例大小排序的前十名资产支持证券投资明细</w:t>
      </w:r>
      <w:bookmarkEnd w:id="68"/>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本基金本报告期末未持有资产支持证券。</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2"/>
        <w:spacing w:after="0" w:before="0"/>
        <w:rPr>
          <w:rFonts w:ascii="Times New Roman" w:eastAsiaTheme="minorEastAsia" w:hAnsi="Times New Roman"/>
          <w:kern w:val="0"/>
          <w:sz w:val="21"/>
          <w:szCs w:val="21"/>
        </w:rPr>
      </w:pPr>
      <w:bookmarkStart w:id="69" w:name="_Toc390421264"/>
      <w:r>
        <w:rPr>
          <w:rFonts w:ascii="Times New Roman" w:eastAsiaTheme="minorEastAsia" w:hAnsi="Times New Roman"/>
          <w:kern w:val="0"/>
          <w:sz w:val="21"/>
          <w:szCs w:val="21"/>
        </w:rPr>
        <w:lastRenderedPageBreak/>
        <w:t xml:space="preserve">7.8 </w:t>
      </w:r>
      <w:r>
        <w:rPr>
          <w:rFonts w:ascii="Times New Roman" w:eastAsiaTheme="minorEastAsia" w:hAnsi="Times New Roman"/>
          <w:kern w:val="0"/>
          <w:sz w:val="21"/>
          <w:szCs w:val="21"/>
        </w:rPr>
        <w:t>报告期末按公允价值占基金资产净值比例大小排序的前五名贵金属投资明细</w:t>
      </w:r>
      <w:bookmarkEnd w:id="69"/>
    </w:p>
    <w:p w:rsidR="00967083" w:rsidRDefault="00E4498A">
      <w:pPr>
        <w:widowControl/>
        <w:spacing w:line="360" w:lineRule="auto"/>
        <w:ind w:firstLine="420" w:firstLineChars="200"/>
        <w:jc w:val="left"/>
        <w:rPr>
          <w:szCs w:val="21"/>
        </w:rPr>
      </w:pPr>
      <w:r>
        <w:rPr>
          <w:szCs w:val="21"/>
        </w:rPr>
        <w:t>本基金本报告期末未持有贵金属。</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2"/>
        <w:spacing w:after="0" w:before="0"/>
        <w:rPr>
          <w:rFonts w:ascii="Times New Roman" w:hAnsi="Times New Roman"/>
          <w:kern w:val="0"/>
          <w:sz w:val="21"/>
          <w:szCs w:val="21"/>
        </w:rPr>
      </w:pPr>
      <w:bookmarkStart w:id="70" w:name="_Toc331410109"/>
      <w:r>
        <w:rPr>
          <w:rFonts w:ascii="Times New Roman" w:hAnsi="Times New Roman"/>
          <w:kern w:val="0"/>
          <w:sz w:val="21"/>
          <w:szCs w:val="21"/>
        </w:rPr>
        <w:t xml:space="preserve">7.9 </w:t>
      </w:r>
      <w:r>
        <w:rPr>
          <w:rFonts w:ascii="Times New Roman" w:hAnsi="Times New Roman"/>
          <w:kern w:val="0"/>
          <w:sz w:val="21"/>
          <w:szCs w:val="21"/>
        </w:rPr>
        <w:t>期末按公允价值占基金资产净值比例大小排序的前五名权证投资明细</w:t>
      </w:r>
      <w:bookmarkEnd w:id="70"/>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本基金本报告期末未持有权证。</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2"/>
        <w:spacing w:after="0" w:before="0"/>
        <w:rPr>
          <w:rFonts w:ascii="Times New Roman" w:hAnsi="Times New Roman"/>
          <w:kern w:val="0"/>
          <w:sz w:val="21"/>
          <w:szCs w:val="21"/>
        </w:rPr>
      </w:pPr>
      <w:r>
        <w:rPr>
          <w:rFonts w:ascii="Times New Roman" w:hAnsi="Times New Roman"/>
          <w:kern w:val="0"/>
          <w:sz w:val="21"/>
          <w:szCs w:val="21"/>
        </w:rPr>
        <w:t xml:space="preserve">7.10 </w:t>
      </w:r>
      <w:r>
        <w:rPr>
          <w:rFonts w:ascii="Times New Roman" w:hAnsi="Times New Roman"/>
          <w:kern w:val="0"/>
          <w:sz w:val="21"/>
          <w:szCs w:val="21"/>
        </w:rPr>
        <w:t>报告期末本基金投资的股指期货交易情况说明</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 xml:space="preserve">（1）本基金本报告期末未持有股指期货。 </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（2）本基金本报告期内未进行股指期货交易。</w:t>
      </w:r>
    </w:p>
    <w:p w:rsidR="00967083" w:rsidRDefault="00967083">
      <w:pPr>
        <w:adjustRightInd w:val="0"/>
        <w:snapToGrid w:val="0"/>
        <w:spacing w:line="360" w:lineRule="exact"/>
        <w:rPr>
          <w:szCs w:val="21"/>
        </w:rPr>
      </w:pPr>
    </w:p>
    <w:p w:rsidR="00967083" w:rsidRDefault="00E4498A">
      <w:pPr>
        <w:pStyle w:val="2"/>
        <w:spacing w:after="0" w:before="0"/>
        <w:rPr>
          <w:rFonts w:ascii="Times New Roman" w:hAnsi="Times New Roman"/>
          <w:kern w:val="0"/>
          <w:sz w:val="21"/>
          <w:szCs w:val="21"/>
        </w:rPr>
      </w:pPr>
      <w:r>
        <w:rPr>
          <w:rFonts w:ascii="Times New Roman" w:hAnsi="Times New Roman"/>
          <w:kern w:val="0"/>
          <w:sz w:val="21"/>
          <w:szCs w:val="21"/>
        </w:rPr>
        <w:t>7.11</w:t>
      </w:r>
      <w:r>
        <w:rPr>
          <w:rFonts w:ascii="Times New Roman" w:hAnsi="Times New Roman"/>
          <w:kern w:val="0"/>
          <w:sz w:val="21"/>
          <w:szCs w:val="21"/>
        </w:rPr>
        <w:t>报告期末本基金投资的国债期货交易情况说明</w:t>
      </w:r>
    </w:p>
    <w:p>
      <w:pPr>
        <w:tabs>
          <w:tab w:pos="426" w:val="left"/>
        </w:tabs>
        <w:spacing w:line="360" w:lineRule="auto"/>
        <w:ind w:firstLine="420" w:firstLineChars="200"/>
        <w:jc w:val="left"/>
        <w:rPr>
          <w:rFonts w:eastAsiaTheme="minorEastAsia"/>
          <w:kern w:val="0"/>
          <w:szCs w:val="21"/>
        </w:rPr>
      </w:pPr>
      <w:r>
        <w:rPr>
          <w:rFonts w:eastAsiaTheme="minorEastAsia"/>
          <w:kern w:val="0"/>
          <w:szCs w:val="21"/>
        </w:rPr>
        <w:t>（1）本基金本报告期末未持有国债期货。</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（2）本基金本报告期内未进行国债期货交易。</w:t>
      </w:r>
    </w:p>
    <w:p w:rsidR="00967083" w:rsidRDefault="00967083">
      <w:pPr>
        <w:pStyle w:val="af"/>
        <w:spacing w:after="0" w:afterAutospacing="0" w:before="0" w:beforeAutospacing="0" w:line="360" w:lineRule="auto"/>
        <w:rPr>
          <w:rFonts w:ascii="Times New Roman" w:hAnsi="Times New Roman"/>
          <w:color w:val="000000"/>
          <w:sz w:val="21"/>
          <w:szCs w:val="21"/>
        </w:rPr>
      </w:pPr>
    </w:p>
    <w:p w:rsidR="00967083" w:rsidRDefault="00E4498A">
      <w:pPr>
        <w:pStyle w:val="2"/>
        <w:spacing w:after="0" w:before="0"/>
        <w:rPr>
          <w:rFonts w:ascii="Times New Roman" w:hAnsi="Times New Roman"/>
          <w:kern w:val="0"/>
          <w:sz w:val="21"/>
          <w:szCs w:val="21"/>
        </w:rPr>
      </w:pPr>
      <w:bookmarkStart w:id="71" w:name="_Toc331410110"/>
      <w:r>
        <w:rPr>
          <w:rFonts w:ascii="Times New Roman" w:hAnsi="Times New Roman"/>
          <w:sz w:val="21"/>
          <w:szCs w:val="21"/>
        </w:rPr>
        <w:t/>
      </w:r>
      <w:r>
        <w:rPr>
          <w:rFonts w:ascii="Times New Roman" w:hAnsi="Times New Roman"/>
          <w:kern w:val="0"/>
          <w:sz w:val="21"/>
          <w:szCs w:val="21"/>
        </w:rPr>
        <w:t xml:space="preserve">7.12 </w:t>
      </w:r>
      <w:r>
        <w:rPr>
          <w:rFonts w:ascii="Times New Roman" w:hAnsi="Times New Roman"/>
          <w:kern w:val="0"/>
          <w:sz w:val="21"/>
          <w:szCs w:val="21"/>
        </w:rPr>
        <w:t>投资组合报告附注</w:t>
      </w:r>
      <w:bookmarkEnd w:id="71"/>
    </w:p>
    <w:p w:rsidR="00967083" w:rsidRDefault="00E4498A">
      <w:pPr>
        <w:spacing w:line="360" w:lineRule="auto"/>
        <w:rPr>
          <w:color w:val="000000"/>
          <w:szCs w:val="21"/>
        </w:rPr>
      </w:pPr>
      <w:r>
        <w:rPr>
          <w:szCs w:val="21"/>
        </w:rPr>
        <w:t/>
      </w:r>
      <w:r>
        <w:rPr>
          <w:b/>
          <w:color w:val="000000"/>
          <w:szCs w:val="21"/>
        </w:rPr>
        <w:t>7.12.1</w:t>
      </w:r>
      <w:r>
        <w:rPr>
          <w:color w:val="000000"/>
          <w:szCs w:val="21"/>
        </w:rPr>
        <w:t>报告期内，本基金投资的前十名证券的发行主体未被监管部门立案调查，报告编制日前一年内未受到公开谴责、处罚。</w:t>
      </w:r>
    </w:p>
    <w:p w:rsidR="00967083" w:rsidRDefault="00E4498A">
      <w:pPr>
        <w:spacing w:line="360" w:lineRule="auto"/>
        <w:rPr>
          <w:color w:val="000000"/>
          <w:szCs w:val="21"/>
        </w:rPr>
      </w:pPr>
      <w:r>
        <w:rPr>
          <w:szCs w:val="21"/>
        </w:rPr>
        <w:t/>
      </w:r>
      <w:r>
        <w:rPr>
          <w:b/>
          <w:color w:val="000000"/>
          <w:szCs w:val="21"/>
        </w:rPr>
        <w:t>7.12.2</w:t>
      </w:r>
      <w:r>
        <w:rPr>
          <w:color w:val="000000"/>
          <w:szCs w:val="21"/>
        </w:rPr>
        <w:t>本报告期内，基金投资的前十名股票未出现超出基金合同规定的备选股票库的情形。</w:t>
      </w:r>
    </w:p>
    <w:p w:rsidR="00967083" w:rsidRDefault="00E4498A">
      <w:pPr>
        <w:spacing w:line="360" w:lineRule="auto"/>
        <w:rPr>
          <w:b/>
          <w:bCs/>
          <w:color w:val="000000"/>
          <w:szCs w:val="21"/>
        </w:rPr>
      </w:pPr>
      <w:r>
        <w:rPr>
          <w:b/>
          <w:color w:val="000000"/>
          <w:szCs w:val="21"/>
        </w:rPr>
        <w:t>7.12.3</w:t>
      </w:r>
      <w:r>
        <w:rPr>
          <w:b/>
          <w:bCs/>
          <w:color w:val="000000"/>
          <w:szCs w:val="21"/>
        </w:rPr>
        <w:t>期末其他各项资产构成</w:t>
      </w:r>
    </w:p>
    <w:p w:rsidR="00967083" w:rsidRDefault="00E4498A">
      <w:pPr>
        <w:autoSpaceDE w:val="0"/>
        <w:autoSpaceDN w:val="0"/>
        <w:adjustRightInd w:val="0"/>
        <w:spacing w:before="29" w:line="288" w:lineRule="auto"/>
        <w:ind w:left="15"/>
        <w:jc w:val="right"/>
        <w:rPr>
          <w:color w:val="000000"/>
          <w:kern w:val="0"/>
          <w:szCs w:val="21"/>
        </w:rPr>
      </w:pPr>
      <w:r>
        <w:rPr>
          <w:color w:val="000000"/>
          <w:szCs w:val="21"/>
        </w:rPr>
        <w:t/>
      </w:r>
      <w:r>
        <w:rPr>
          <w:color w:val="000000"/>
          <w:szCs w:val="21"/>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765"/>
        <w:gridCol w:w="4117"/>
        <w:gridCol w:w="4118"/>
      </w:tblGrid>
      <w:tr w:rsidR="00967083">
        <w:tc>
          <w:tcPr>
            <w:tcW w:type="dxa" w:w="765"/>
            <w:vAlign w:val="center"/>
          </w:tcPr>
          <w:p w:rsidR="00967083" w:rsidRDefault="00E4498A">
            <w:pPr>
              <w:jc w:val="center"/>
              <w:rPr>
                <w:color w:val="000000"/>
                <w:szCs w:val="21"/>
              </w:rPr>
            </w:pPr>
            <w:r>
              <w:rPr>
                <w:color w:val="000000"/>
                <w:szCs w:val="21"/>
              </w:rPr>
              <w:t>序号</w:t>
            </w:r>
          </w:p>
        </w:tc>
        <w:tc>
          <w:tcPr>
            <w:tcW w:type="dxa" w:w="4117"/>
            <w:vAlign w:val="center"/>
          </w:tcPr>
          <w:p w:rsidR="00967083" w:rsidRDefault="00E4498A">
            <w:pPr>
              <w:jc w:val="center"/>
              <w:rPr>
                <w:color w:val="000000"/>
                <w:szCs w:val="21"/>
              </w:rPr>
            </w:pPr>
            <w:r>
              <w:rPr>
                <w:color w:val="000000"/>
                <w:szCs w:val="21"/>
              </w:rPr>
              <w:t>名称</w:t>
            </w:r>
            <w:r>
              <w:rPr>
                <w:color w:val="000000"/>
                <w:szCs w:val="21"/>
              </w:rPr>
              <w:t/>
            </w:r>
          </w:p>
        </w:tc>
        <w:tc>
          <w:tcPr>
            <w:tcW w:type="dxa" w:w="4118"/>
            <w:vAlign w:val="center"/>
          </w:tcPr>
          <w:p w:rsidR="00967083" w:rsidRDefault="00E4498A">
            <w:pPr>
              <w:jc w:val="center"/>
              <w:rPr>
                <w:color w:val="000000"/>
                <w:szCs w:val="21"/>
              </w:rPr>
            </w:pPr>
            <w:r>
              <w:rPr>
                <w:color w:val="000000"/>
                <w:szCs w:val="21"/>
              </w:rPr>
              <w:t>金额</w:t>
            </w:r>
          </w:p>
        </w:tc>
      </w:tr>
      <w:tr w:rsidR="00967083">
        <w:tc>
          <w:tcPr>
            <w:tcW w:type="dxa" w:w="765"/>
            <w:vAlign w:val="center"/>
          </w:tcPr>
          <w:p w:rsidR="00967083" w:rsidRDefault="00E4498A">
            <w:pPr>
              <w:jc w:val="center"/>
              <w:rPr>
                <w:color w:val="000000"/>
                <w:szCs w:val="21"/>
              </w:rPr>
            </w:pPr>
            <w:r>
              <w:rPr>
                <w:color w:val="000000"/>
                <w:szCs w:val="21"/>
              </w:rPr>
              <w:t>1</w:t>
            </w:r>
          </w:p>
        </w:tc>
        <w:tc>
          <w:tcPr>
            <w:tcW w:type="dxa" w:w="4117"/>
            <w:vAlign w:val="center"/>
          </w:tcPr>
          <w:p w:rsidR="00967083" w:rsidRDefault="00E4498A">
            <w:pPr>
              <w:ind w:left="105" w:leftChars="50"/>
              <w:rPr>
                <w:color w:val="000000"/>
                <w:szCs w:val="21"/>
              </w:rPr>
            </w:pPr>
            <w:r>
              <w:rPr>
                <w:color w:val="000000"/>
                <w:szCs w:val="21"/>
              </w:rPr>
              <w:t>存出保证金</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20,332.83</w:t>
            </w:r>
          </w:p>
        </w:tc>
      </w:tr>
      <w:tr w:rsidR="00967083">
        <w:tc>
          <w:tcPr>
            <w:tcW w:type="dxa" w:w="765"/>
            <w:vAlign w:val="center"/>
          </w:tcPr>
          <w:p w:rsidR="00967083" w:rsidRDefault="00E4498A">
            <w:pPr>
              <w:jc w:val="center"/>
              <w:rPr>
                <w:color w:val="000000"/>
                <w:szCs w:val="21"/>
              </w:rPr>
            </w:pPr>
            <w:r>
              <w:rPr>
                <w:color w:val="000000"/>
                <w:szCs w:val="21"/>
              </w:rPr>
              <w:t>2</w:t>
            </w:r>
          </w:p>
        </w:tc>
        <w:tc>
          <w:tcPr>
            <w:tcW w:type="dxa" w:w="4117"/>
            <w:vAlign w:val="center"/>
          </w:tcPr>
          <w:p w:rsidR="00967083" w:rsidRDefault="00E4498A">
            <w:pPr>
              <w:ind w:left="105" w:leftChars="50"/>
              <w:rPr>
                <w:color w:val="000000"/>
                <w:szCs w:val="21"/>
              </w:rPr>
            </w:pPr>
            <w:r>
              <w:rPr>
                <w:color w:val="000000"/>
                <w:szCs w:val="21"/>
              </w:rPr>
              <w:t>应收证券清算款</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w:t>
            </w:r>
          </w:p>
        </w:tc>
      </w:tr>
      <w:tr w:rsidR="00967083">
        <w:tc>
          <w:tcPr>
            <w:tcW w:type="dxa" w:w="765"/>
            <w:vAlign w:val="center"/>
          </w:tcPr>
          <w:p w:rsidR="00967083" w:rsidRDefault="00E4498A">
            <w:pPr>
              <w:jc w:val="center"/>
              <w:rPr>
                <w:color w:val="000000"/>
                <w:szCs w:val="21"/>
              </w:rPr>
            </w:pPr>
            <w:r>
              <w:rPr>
                <w:color w:val="000000"/>
                <w:szCs w:val="21"/>
              </w:rPr>
              <w:t>3</w:t>
            </w:r>
          </w:p>
        </w:tc>
        <w:tc>
          <w:tcPr>
            <w:tcW w:type="dxa" w:w="4117"/>
            <w:vAlign w:val="center"/>
          </w:tcPr>
          <w:p w:rsidR="00967083" w:rsidRDefault="00E4498A">
            <w:pPr>
              <w:ind w:left="105" w:leftChars="50"/>
              <w:rPr>
                <w:color w:val="000000"/>
                <w:szCs w:val="21"/>
              </w:rPr>
            </w:pPr>
            <w:r>
              <w:rPr>
                <w:color w:val="000000"/>
                <w:szCs w:val="21"/>
              </w:rPr>
              <w:t>应收股利</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w:t>
            </w:r>
          </w:p>
        </w:tc>
      </w:tr>
      <w:tr w:rsidR="00967083">
        <w:tc>
          <w:tcPr>
            <w:tcW w:type="dxa" w:w="765"/>
            <w:vAlign w:val="center"/>
          </w:tcPr>
          <w:p w:rsidR="00967083" w:rsidRDefault="00E4498A">
            <w:pPr>
              <w:jc w:val="center"/>
              <w:rPr>
                <w:color w:val="000000"/>
                <w:szCs w:val="21"/>
              </w:rPr>
            </w:pPr>
            <w:r>
              <w:rPr>
                <w:color w:val="000000"/>
                <w:szCs w:val="21"/>
              </w:rPr>
              <w:t>4</w:t>
            </w:r>
          </w:p>
        </w:tc>
        <w:tc>
          <w:tcPr>
            <w:tcW w:type="dxa" w:w="4117"/>
            <w:vAlign w:val="center"/>
          </w:tcPr>
          <w:p w:rsidR="00967083" w:rsidRDefault="00E4498A">
            <w:pPr>
              <w:ind w:left="105" w:leftChars="50"/>
              <w:rPr>
                <w:color w:val="000000"/>
                <w:szCs w:val="21"/>
              </w:rPr>
            </w:pPr>
            <w:r>
              <w:rPr>
                <w:color w:val="000000"/>
                <w:szCs w:val="21"/>
              </w:rPr>
              <w:t>应收利息</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942,456.26</w:t>
            </w:r>
          </w:p>
        </w:tc>
      </w:tr>
      <w:tr w:rsidR="00967083">
        <w:tc>
          <w:tcPr>
            <w:tcW w:type="dxa" w:w="765"/>
            <w:vAlign w:val="center"/>
          </w:tcPr>
          <w:p w:rsidR="00967083" w:rsidRDefault="00E4498A">
            <w:pPr>
              <w:jc w:val="center"/>
              <w:rPr>
                <w:color w:val="000000"/>
                <w:szCs w:val="21"/>
              </w:rPr>
            </w:pPr>
            <w:r>
              <w:rPr>
                <w:color w:val="000000"/>
                <w:szCs w:val="21"/>
              </w:rPr>
              <w:t>5</w:t>
            </w:r>
          </w:p>
        </w:tc>
        <w:tc>
          <w:tcPr>
            <w:tcW w:type="dxa" w:w="4117"/>
            <w:vAlign w:val="center"/>
          </w:tcPr>
          <w:p w:rsidR="00967083" w:rsidRDefault="00E4498A">
            <w:pPr>
              <w:ind w:left="105" w:leftChars="50"/>
              <w:rPr>
                <w:color w:val="000000"/>
                <w:szCs w:val="21"/>
              </w:rPr>
            </w:pPr>
            <w:r>
              <w:rPr>
                <w:color w:val="000000"/>
                <w:szCs w:val="21"/>
              </w:rPr>
              <w:t>应收申购款</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w:t>
            </w:r>
          </w:p>
        </w:tc>
      </w:tr>
      <w:tr w:rsidR="00967083">
        <w:tc>
          <w:tcPr>
            <w:tcW w:type="dxa" w:w="765"/>
            <w:vAlign w:val="center"/>
          </w:tcPr>
          <w:p w:rsidR="00967083" w:rsidRDefault="00E4498A">
            <w:pPr>
              <w:jc w:val="center"/>
              <w:rPr>
                <w:color w:val="000000"/>
                <w:szCs w:val="21"/>
              </w:rPr>
            </w:pPr>
            <w:r>
              <w:rPr>
                <w:color w:val="000000"/>
                <w:szCs w:val="21"/>
              </w:rPr>
              <w:t>6</w:t>
            </w:r>
          </w:p>
        </w:tc>
        <w:tc>
          <w:tcPr>
            <w:tcW w:type="dxa" w:w="4117"/>
            <w:vAlign w:val="center"/>
          </w:tcPr>
          <w:p w:rsidR="00967083" w:rsidRDefault="00E4498A">
            <w:pPr>
              <w:ind w:left="105" w:leftChars="50"/>
              <w:rPr>
                <w:color w:val="000000"/>
                <w:szCs w:val="21"/>
              </w:rPr>
            </w:pPr>
            <w:r>
              <w:rPr>
                <w:color w:val="000000"/>
                <w:szCs w:val="21"/>
              </w:rPr>
              <w:t>其他应收款</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w:t>
            </w:r>
          </w:p>
        </w:tc>
      </w:tr>
      <w:tr w:rsidR="00967083">
        <w:tc>
          <w:tcPr>
            <w:tcW w:type="dxa" w:w="765"/>
            <w:vAlign w:val="center"/>
          </w:tcPr>
          <w:p w:rsidR="00967083" w:rsidRDefault="00E4498A">
            <w:pPr>
              <w:jc w:val="center"/>
              <w:rPr>
                <w:color w:val="000000"/>
                <w:szCs w:val="21"/>
              </w:rPr>
            </w:pPr>
            <w:r>
              <w:rPr>
                <w:color w:val="000000"/>
                <w:szCs w:val="21"/>
              </w:rPr>
              <w:t>7</w:t>
            </w:r>
          </w:p>
        </w:tc>
        <w:tc>
          <w:tcPr>
            <w:tcW w:type="dxa" w:w="4117"/>
            <w:vAlign w:val="center"/>
          </w:tcPr>
          <w:p w:rsidR="00967083" w:rsidRDefault="00E4498A">
            <w:pPr>
              <w:ind w:left="105" w:leftChars="50"/>
              <w:rPr>
                <w:color w:val="000000"/>
                <w:szCs w:val="21"/>
              </w:rPr>
            </w:pPr>
            <w:r>
              <w:rPr>
                <w:color w:val="000000"/>
                <w:szCs w:val="21"/>
              </w:rPr>
              <w:t>待摊费用</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w:t>
            </w:r>
          </w:p>
        </w:tc>
      </w:tr>
      <w:tr w:rsidR="00967083">
        <w:tc>
          <w:tcPr>
            <w:tcW w:type="dxa" w:w="765"/>
            <w:vAlign w:val="center"/>
          </w:tcPr>
          <w:p w:rsidR="00967083" w:rsidRDefault="00E4498A">
            <w:pPr>
              <w:autoSpaceDE w:val="0"/>
              <w:autoSpaceDN w:val="0"/>
              <w:adjustRightInd w:val="0"/>
              <w:spacing w:before="29" w:line="360" w:lineRule="auto"/>
              <w:ind w:left="15"/>
              <w:jc w:val="center"/>
              <w:rPr>
                <w:color w:val="000000"/>
                <w:szCs w:val="21"/>
              </w:rPr>
            </w:pPr>
            <w:r>
              <w:rPr>
                <w:color w:val="000000"/>
                <w:szCs w:val="21"/>
              </w:rPr>
              <w:t>8</w:t>
            </w:r>
          </w:p>
        </w:tc>
        <w:tc>
          <w:tcPr>
            <w:tcW w:type="dxa" w:w="4117"/>
            <w:vAlign w:val="center"/>
          </w:tcPr>
          <w:p w:rsidR="00967083" w:rsidRDefault="00E4498A">
            <w:pPr>
              <w:ind w:left="105" w:leftChars="50"/>
              <w:rPr>
                <w:color w:val="000000"/>
                <w:szCs w:val="21"/>
              </w:rPr>
            </w:pPr>
            <w:r>
              <w:rPr>
                <w:color w:val="000000"/>
                <w:szCs w:val="21"/>
              </w:rPr>
              <w:t>其他</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w:t>
            </w:r>
          </w:p>
        </w:tc>
      </w:tr>
      <w:tr w:rsidR="00967083">
        <w:tc>
          <w:tcPr>
            <w:tcW w:type="dxa" w:w="765"/>
            <w:vAlign w:val="center"/>
          </w:tcPr>
          <w:p w:rsidR="00967083" w:rsidRDefault="00E4498A">
            <w:pPr>
              <w:autoSpaceDE w:val="0"/>
              <w:autoSpaceDN w:val="0"/>
              <w:adjustRightInd w:val="0"/>
              <w:spacing w:before="29" w:line="360" w:lineRule="auto"/>
              <w:ind w:left="15"/>
              <w:jc w:val="center"/>
              <w:rPr>
                <w:color w:val="000000"/>
                <w:szCs w:val="21"/>
              </w:rPr>
            </w:pPr>
            <w:r>
              <w:rPr>
                <w:color w:val="000000"/>
                <w:szCs w:val="21"/>
              </w:rPr>
              <w:t>9</w:t>
            </w:r>
          </w:p>
        </w:tc>
        <w:tc>
          <w:tcPr>
            <w:tcW w:type="dxa" w:w="4117"/>
            <w:vAlign w:val="center"/>
          </w:tcPr>
          <w:p w:rsidR="00967083" w:rsidRDefault="00E4498A">
            <w:pPr>
              <w:ind w:left="105" w:leftChars="50"/>
              <w:rPr>
                <w:color w:val="000000"/>
                <w:szCs w:val="21"/>
              </w:rPr>
            </w:pPr>
            <w:r>
              <w:rPr>
                <w:color w:val="000000"/>
                <w:szCs w:val="21"/>
              </w:rPr>
              <w:t>合计</w:t>
            </w:r>
          </w:p>
        </w:tc>
        <w:tc>
          <w:tcPr>
            <w:tcW w:type="dxa" w:w="4118"/>
            <w:vAlign w:val="center"/>
          </w:tcPr>
          <w:p w:rsidR="00967083" w:rsidRDefault="00E4498A">
            <w:pPr>
              <w:autoSpaceDE w:val="0"/>
              <w:autoSpaceDN w:val="0"/>
              <w:adjustRightInd w:val="0"/>
              <w:spacing w:before="29" w:line="360" w:lineRule="auto"/>
              <w:ind w:left="15"/>
              <w:jc w:val="right"/>
              <w:rPr>
                <w:color w:val="000000"/>
                <w:szCs w:val="21"/>
              </w:rPr>
            </w:pPr>
            <w:r>
              <w:rPr>
                <w:color w:val="000000"/>
                <w:szCs w:val="21"/>
              </w:rPr>
              <w:t>962,789.09</w:t>
            </w:r>
          </w:p>
        </w:tc>
      </w:tr>
    </w:tbl>
    <w:p w:rsidR="00967083" w:rsidRDefault="00967083">
      <w:pPr>
        <w:pStyle w:val="af"/>
        <w:spacing w:after="0" w:afterAutospacing="0" w:before="0" w:beforeAutospacing="0" w:line="288" w:lineRule="auto"/>
        <w:rPr>
          <w:rFonts w:ascii="Times New Roman" w:hAnsi="Times New Roman"/>
          <w:b/>
          <w:bCs/>
          <w:color w:val="000000"/>
          <w:sz w:val="21"/>
          <w:szCs w:val="21"/>
        </w:rPr>
      </w:pPr>
    </w:p>
    <w:p w:rsidR="00967083" w:rsidRDefault="00E4498A">
      <w:pPr>
        <w:spacing w:line="360" w:lineRule="auto"/>
        <w:rPr>
          <w:b/>
          <w:bCs/>
          <w:color w:val="000000"/>
          <w:szCs w:val="21"/>
        </w:rPr>
      </w:pPr>
      <w:r>
        <w:rPr>
          <w:b/>
          <w:color w:val="000000"/>
          <w:szCs w:val="21"/>
        </w:rPr>
        <w:t>7.12.4</w:t>
      </w:r>
      <w:r>
        <w:rPr>
          <w:b/>
          <w:bCs/>
          <w:color w:val="000000"/>
          <w:szCs w:val="21"/>
        </w:rPr>
        <w:t>期末持有的处于转股期的可转换债券明细</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本基金本报告期末未持有处于转股期的可转换债券。</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spacing w:line="360" w:lineRule="auto"/>
        <w:rPr>
          <w:b/>
          <w:bCs/>
          <w:color w:val="000000"/>
          <w:szCs w:val="21"/>
        </w:rPr>
      </w:pPr>
      <w:r>
        <w:rPr>
          <w:b/>
          <w:color w:val="000000"/>
          <w:szCs w:val="21"/>
        </w:rPr>
        <w:t xml:space="preserve">7.12.5 </w:t>
      </w:r>
      <w:r>
        <w:rPr>
          <w:b/>
          <w:bCs/>
          <w:color w:val="000000"/>
          <w:szCs w:val="21"/>
        </w:rPr>
        <w:t>期末前十名股票中存在流通受限情况的说明</w:t>
      </w:r>
    </w:p>
    <w:p w:rsidR="00967083" w:rsidRDefault="00E4498A">
      <w:pPr>
        <w:tabs>
          <w:tab w:pos="426" w:val="left"/>
        </w:tabs>
        <w:spacing w:line="360" w:lineRule="auto"/>
        <w:ind w:firstLine="420" w:firstLineChars="200"/>
        <w:jc w:val="left"/>
        <w:rPr>
          <w:rFonts w:eastAsiaTheme="minorEastAsia"/>
          <w:kern w:val="0"/>
          <w:szCs w:val="21"/>
        </w:rPr>
      </w:pPr>
      <w:r>
        <w:rPr>
          <w:rFonts w:eastAsiaTheme="minorEastAsia"/>
          <w:kern w:val="0"/>
          <w:szCs w:val="21"/>
        </w:rPr>
        <w:t>本基金本报告期末前十名股票中不存在流通受限情况。</w:t>
      </w:r>
    </w:p>
    <w:p w:rsidR="00967083" w:rsidRDefault="00967083">
      <w:pPr>
        <w:pStyle w:val="af"/>
        <w:spacing w:after="0" w:afterAutospacing="0" w:before="0" w:beforeAutospacing="0" w:line="288" w:lineRule="auto"/>
        <w:rPr>
          <w:rFonts w:ascii="Times New Roman" w:hAnsi="Times New Roman"/>
          <w:color w:val="000000"/>
          <w:sz w:val="21"/>
          <w:szCs w:val="21"/>
        </w:rPr>
      </w:pP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72" w:name="_Toc331410111"/>
      <w:bookmarkStart w:id="73" w:name="_Toc225500050"/>
      <w:r>
        <w:rPr>
          <w:b/>
          <w:color w:val="000000"/>
          <w:sz w:val="21"/>
          <w:szCs w:val="21"/>
        </w:rPr>
        <w:t/>
      </w:r>
      <w:r>
        <w:rPr>
          <w:b/>
          <w:bCs/>
          <w:sz w:val="21"/>
          <w:szCs w:val="21"/>
          <w:lang w:val="en-US"/>
        </w:rPr>
        <w:t xml:space="preserve">8  </w:t>
      </w:r>
      <w:r>
        <w:rPr>
          <w:b/>
          <w:bCs/>
          <w:sz w:val="21"/>
          <w:szCs w:val="21"/>
          <w:lang w:val="en-US"/>
        </w:rPr>
        <w:t>基金份额持有人信息</w:t>
      </w:r>
      <w:bookmarkEnd w:id="72"/>
      <w:bookmarkEnd w:id="73"/>
    </w:p>
    <w:p w:rsidR="00967083" w:rsidRDefault="00E4498A">
      <w:pPr>
        <w:pStyle w:val="2"/>
        <w:spacing w:after="0" w:before="0"/>
        <w:rPr>
          <w:rFonts w:ascii="Times New Roman" w:hAnsi="Times New Roman"/>
          <w:kern w:val="0"/>
          <w:sz w:val="21"/>
          <w:szCs w:val="21"/>
        </w:rPr>
      </w:pPr>
      <w:bookmarkStart w:id="74" w:name="_Toc331410112"/>
      <w:bookmarkStart w:id="75" w:name="_Toc225500051"/>
      <w:r>
        <w:rPr>
          <w:rFonts w:ascii="Times New Roman" w:hAnsi="Times New Roman"/>
          <w:kern w:val="0"/>
          <w:sz w:val="21"/>
          <w:szCs w:val="21"/>
        </w:rPr>
        <w:t xml:space="preserve">8.1 </w:t>
      </w:r>
      <w:r>
        <w:rPr>
          <w:rFonts w:ascii="Times New Roman" w:hAnsi="Times New Roman"/>
          <w:kern w:val="0"/>
          <w:sz w:val="21"/>
          <w:szCs w:val="21"/>
        </w:rPr>
        <w:t>期末基金份额持有人户数及持有人结构</w:t>
      </w:r>
      <w:bookmarkEnd w:id="74"/>
      <w:bookmarkEnd w:id="75"/>
    </w:p>
    <w:p w:rsidR="00967083" w:rsidRDefault="00E4498A">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
      </w:r>
      <w:r>
        <w:rPr>
          <w:rFonts w:eastAsiaTheme="minorEastAsia"/>
          <w:color w:val="000000"/>
          <w:szCs w:val="21"/>
        </w:rPr>
        <w:t>份额单位：份</w:t>
      </w:r>
    </w:p>
    <w:p w:rsidR="00967083" w:rsidRDefault="00967083">
      <w:pPr>
        <w:autoSpaceDE w:val="0"/>
        <w:autoSpaceDN w:val="0"/>
        <w:adjustRightInd w:val="0"/>
        <w:spacing w:line="360" w:lineRule="auto"/>
        <w:jc w:val="left"/>
        <w:rPr>
          <w:rFonts w:eastAsiaTheme="minorEastAsia"/>
          <w:color w:val="000000"/>
          <w:szCs w:val="21"/>
        </w:rPr>
      </w:pPr>
    </w:p>
    <w:tbl>
      <w:tblPr>
        <w:tblW w:type="dxa" w:w="9286"/>
        <w:jc w:val="center"/>
        <w:tblLayout w:type="fixed"/>
        <w:tblLook w:firstColumn="1" w:firstRow="1" w:lastColumn="0" w:lastRow="0" w:noHBand="0" w:noVBand="1" w:val="04A0"/>
      </w:tblPr>
      <w:tblGrid>
        <w:gridCol w:w="1790"/>
        <w:gridCol w:w="1176"/>
        <w:gridCol w:w="1278"/>
        <w:gridCol w:w="1534"/>
        <w:gridCol w:w="986"/>
        <w:gridCol w:w="1566"/>
        <w:gridCol w:w="956"/>
      </w:tblGrid>
      <w:tr w:rsidR="00967083">
        <w:trPr>
          <w:jc w:val="center"/>
        </w:trPr>
        <w:tc>
          <w:tcPr>
            <w:tcW w:type="dxa" w:w="1790"/>
            <w:hMerge w:val="restart"/>
            <w:vMerge w:val="restart"/>
            <w:tcBorders>
              <w:top w:color="000000" w:space="0" w:sz="8" w:val="single"/>
              <w:left w:color="000000" w:space="0" w:sz="8" w:val="single"/>
              <w:right w:color="000000" w:space="0" w:sz="8" w:val="single"/>
            </w:tcBorders>
            <w:vAlign w:val="center"/>
          </w:tcPr>
          <w:p>
            <w:pPr>
              <w:jc w:val="center"/>
            </w:pPr>
            <w:r>
              <w:t>持有人户数(户)</w:t>
            </w:r>
          </w:p>
        </w:tc>
        <w:tc>
          <w:tcPr>
            <w:tcW w:type="dxa" w:w="1176"/>
            <w:hMerge/>
            <w:vMerge w:val="restart"/>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持有人户数</w:t>
            </w:r>
            <w:r>
              <w:rPr>
                <w:rFonts w:eastAsiaTheme="minorEastAsia"/>
                <w:bCs/>
                <w:color w:val="000000"/>
                <w:szCs w:val="21"/>
              </w:rPr>
              <w:t>(</w:t>
            </w:r>
            <w:r>
              <w:rPr>
                <w:rFonts w:eastAsiaTheme="minorEastAsia"/>
                <w:bCs/>
                <w:color w:val="000000"/>
                <w:szCs w:val="21"/>
              </w:rPr>
              <w:t>户</w:t>
            </w:r>
            <w:r>
              <w:rPr>
                <w:rFonts w:eastAsiaTheme="minorEastAsia"/>
                <w:bCs/>
                <w:color w:val="000000"/>
                <w:szCs w:val="21"/>
              </w:rPr>
              <w:t>)</w:t>
            </w:r>
          </w:p>
        </w:tc>
        <w:tc>
          <w:tcPr>
            <w:tcW w:type="dxa" w:w="1278"/>
            <w:vMerge w:val="restart"/>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户均持有的基金份额</w:t>
            </w:r>
          </w:p>
        </w:tc>
        <w:tc>
          <w:tcPr>
            <w:tcW w:type="dxa" w:w="5042"/>
            <w:gridSpan w:val="4"/>
            <w:tcBorders>
              <w:top w:color="000000" w:space="0" w:sz="8" w:val="single"/>
              <w:left w:color="000000" w:space="0" w:sz="8" w:val="single"/>
              <w:bottom w:color="000000" w:space="0" w:sz="8" w:val="single"/>
              <w:right w:color="auto" w:space="0" w:sz="4"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持有人结构</w:t>
            </w:r>
          </w:p>
        </w:tc>
      </w:tr>
      <w:tr w:rsidR="00967083">
        <w:trPr>
          <w:jc w:val="center"/>
        </w:trPr>
        <w:tc>
          <w:tcPr>
            <w:tcW w:type="dxa" w:w="1790"/>
            <w:hMerge w:val="restart"/>
            <w:vMerge/>
            <w:tcBorders>
              <w:left w:color="000000" w:space="0" w:sz="8" w:val="single"/>
              <w:right w:color="000000" w:space="0" w:sz="8" w:val="single"/>
            </w:tcBorders>
            <w:vAlign w:val="center"/>
          </w:tcPr>
          <w:p>
            <w:pPr>
              <w:jc w:val="left"/>
            </w:pPr>
            <w:r>
              <w:t/>
            </w:r>
          </w:p>
        </w:tc>
        <w:tc>
          <w:tcPr>
            <w:tcW w:type="dxa" w:w="1176"/>
            <w:hMerge/>
            <w:vMerge/>
            <w:tcBorders>
              <w:top w:color="000000" w:space="0" w:sz="8" w:val="single"/>
              <w:left w:color="000000" w:space="0" w:sz="8" w:val="single"/>
              <w:bottom w:color="000000" w:space="0" w:sz="8" w:val="single"/>
              <w:right w:color="000000" w:space="0" w:sz="8" w:val="single"/>
            </w:tcBorders>
            <w:vAlign w:val="center"/>
          </w:tcPr>
          <w:p w:rsidR="00967083" w:rsidRDefault="00967083">
            <w:pPr>
              <w:widowControl/>
              <w:spacing w:line="360" w:lineRule="auto"/>
              <w:jc w:val="left"/>
              <w:rPr>
                <w:rFonts w:eastAsiaTheme="minorEastAsia"/>
                <w:bCs/>
                <w:color w:val="000000"/>
                <w:szCs w:val="21"/>
              </w:rPr>
            </w:pPr>
          </w:p>
        </w:tc>
        <w:tc>
          <w:tcPr>
            <w:tcW w:type="dxa" w:w="1278"/>
            <w:vMerge/>
            <w:tcBorders>
              <w:top w:color="000000" w:space="0" w:sz="8" w:val="single"/>
              <w:left w:color="000000" w:space="0" w:sz="8" w:val="single"/>
              <w:bottom w:color="000000" w:space="0" w:sz="8" w:val="single"/>
              <w:right w:color="000000" w:space="0" w:sz="8" w:val="single"/>
            </w:tcBorders>
            <w:vAlign w:val="center"/>
          </w:tcPr>
          <w:p w:rsidR="00967083" w:rsidRDefault="00967083">
            <w:pPr>
              <w:widowControl/>
              <w:spacing w:line="360" w:lineRule="auto"/>
              <w:jc w:val="left"/>
              <w:rPr>
                <w:rFonts w:eastAsiaTheme="minorEastAsia"/>
                <w:bCs/>
                <w:color w:val="000000"/>
                <w:szCs w:val="21"/>
              </w:rPr>
            </w:pPr>
          </w:p>
        </w:tc>
        <w:tc>
          <w:tcPr>
            <w:tcW w:type="dxa" w:w="2520"/>
            <w:gridSpan w:val="2"/>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机构投资者</w:t>
            </w:r>
          </w:p>
        </w:tc>
        <w:tc>
          <w:tcPr>
            <w:tcW w:type="dxa" w:w="2522"/>
            <w:gridSpan w:val="2"/>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个人投资者</w:t>
            </w:r>
          </w:p>
        </w:tc>
      </w:tr>
      <w:tr w:rsidR="00967083">
        <w:trPr>
          <w:jc w:val="center"/>
        </w:trPr>
        <w:tc>
          <w:tcPr>
            <w:tcW w:type="dxa" w:w="1790"/>
            <w:hMerge w:val="restart"/>
            <w:vMerge/>
            <w:tcBorders>
              <w:left w:color="000000" w:space="0" w:sz="8" w:val="single"/>
              <w:bottom w:color="000000" w:space="0" w:sz="8" w:val="single"/>
              <w:right w:color="000000" w:space="0" w:sz="8" w:val="single"/>
            </w:tcBorders>
            <w:vAlign w:val="center"/>
          </w:tcPr>
          <w:p>
            <w:pPr>
              <w:jc w:val="left"/>
            </w:pPr>
            <w:r>
              <w:rPr xsi:nil="true"/>
              <w:t/>
            </w:r>
          </w:p>
        </w:tc>
        <w:tc>
          <w:tcPr>
            <w:tcW w:type="dxa" w:w="1176"/>
            <w:hMerge/>
            <w:vMerge/>
            <w:tcBorders>
              <w:top w:color="000000" w:space="0" w:sz="8" w:val="single"/>
              <w:left w:color="000000" w:space="0" w:sz="8" w:val="single"/>
              <w:bottom w:color="000000" w:space="0" w:sz="8" w:val="single"/>
              <w:right w:color="000000" w:space="0" w:sz="8" w:val="single"/>
            </w:tcBorders>
            <w:vAlign w:val="center"/>
          </w:tcPr>
          <w:p w:rsidR="00967083" w:rsidRDefault="00967083">
            <w:pPr>
              <w:widowControl/>
              <w:spacing w:line="360" w:lineRule="auto"/>
              <w:jc w:val="left"/>
              <w:rPr>
                <w:rFonts w:eastAsiaTheme="minorEastAsia"/>
                <w:bCs/>
                <w:color w:val="000000"/>
                <w:szCs w:val="21"/>
              </w:rPr>
            </w:pPr>
            <w:r/>
          </w:p>
        </w:tc>
        <w:tc>
          <w:tcPr>
            <w:tcW w:type="dxa" w:w="1278"/>
            <w:vMerge/>
            <w:tcBorders>
              <w:top w:color="000000" w:space="0" w:sz="8" w:val="single"/>
              <w:left w:color="000000" w:space="0" w:sz="8" w:val="single"/>
              <w:bottom w:color="000000" w:space="0" w:sz="8" w:val="single"/>
              <w:right w:color="000000" w:space="0" w:sz="8" w:val="single"/>
            </w:tcBorders>
            <w:vAlign w:val="center"/>
          </w:tcPr>
          <w:p w:rsidR="00967083" w:rsidRDefault="00967083">
            <w:pPr>
              <w:widowControl/>
              <w:spacing w:line="360" w:lineRule="auto"/>
              <w:jc w:val="left"/>
              <w:rPr>
                <w:rFonts w:eastAsiaTheme="minorEastAsia"/>
                <w:bCs/>
                <w:color w:val="000000"/>
                <w:szCs w:val="21"/>
              </w:rPr>
            </w:pPr>
          </w:p>
        </w:tc>
        <w:tc>
          <w:tcPr>
            <w:tcW w:type="dxa" w:w="1534"/>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持有份额</w:t>
            </w:r>
          </w:p>
        </w:tc>
        <w:tc>
          <w:tcPr>
            <w:tcW w:type="dxa" w:w="986"/>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占总份额比例</w:t>
            </w:r>
          </w:p>
        </w:tc>
        <w:tc>
          <w:tcPr>
            <w:tcW w:type="dxa" w:w="1566"/>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持有份额</w:t>
            </w:r>
          </w:p>
        </w:tc>
        <w:tc>
          <w:tcPr>
            <w:tcW w:type="dxa" w:w="956"/>
            <w:tcBorders>
              <w:top w:color="000000" w:space="0" w:sz="8" w:val="single"/>
              <w:left w:color="000000" w:space="0" w:sz="8" w:val="single"/>
              <w:bottom w:color="000000" w:space="0" w:sz="8" w:val="single"/>
              <w:right w:color="auto" w:space="0" w:sz="4"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占总份额比例</w:t>
            </w:r>
          </w:p>
        </w:tc>
      </w:tr>
      <w:tr w:rsidR="00967083">
        <w:trPr>
          <w:jc w:val="center"/>
        </w:trPr>
        <w:tc>
          <w:tcPr>
            <w:tcW w:type="dxa" w:w="1790"/>
            <w:hMerge w:val="restart"/>
            <w:tcBorders>
              <w:top w:color="000000" w:space="0" w:sz="8" w:val="single"/>
              <w:left w:color="000000" w:space="0" w:sz="8" w:val="single"/>
              <w:bottom w:color="000000" w:space="0" w:sz="8" w:val="single"/>
              <w:right w:color="000000" w:space="0" w:sz="8" w:val="single"/>
            </w:tcBorders>
            <w:vAlign w:val="center"/>
          </w:tcPr>
          <w:p>
            <w:pPr>
              <w:jc w:val="center"/>
            </w:pPr>
            <w:r>
              <w:rPr>
                <w:rFonts w:eastAsiaTheme="minorEastAsia"/>
                <w:bCs/>
                <w:color w:val="000000"/>
                <w:szCs w:val="21"/>
              </w:rPr>
              <w:t>219</w:t>
            </w:r>
          </w:p>
        </w:tc>
        <w:tc>
          <w:tcPr>
            <w:tcW w:type="dxa" w:w="1176"/>
            <w:hMerge/>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center"/>
              <w:rPr>
                <w:rFonts w:eastAsiaTheme="minorEastAsia"/>
                <w:bCs/>
                <w:color w:val="000000"/>
                <w:szCs w:val="21"/>
              </w:rPr>
            </w:pPr>
            <w:r>
              <w:rPr>
                <w:rFonts w:eastAsiaTheme="minorEastAsia"/>
                <w:bCs/>
                <w:color w:val="000000"/>
                <w:szCs w:val="21"/>
              </w:rPr>
              <w:t>219</w:t>
            </w:r>
          </w:p>
        </w:tc>
        <w:tc>
          <w:tcPr>
            <w:tcW w:type="dxa" w:w="1278"/>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right"/>
              <w:rPr>
                <w:rFonts w:eastAsiaTheme="minorEastAsia"/>
                <w:bCs/>
                <w:color w:val="000000"/>
                <w:szCs w:val="21"/>
              </w:rPr>
            </w:pPr>
            <w:r>
              <w:rPr>
                <w:rFonts w:eastAsiaTheme="minorEastAsia"/>
                <w:bCs/>
                <w:color w:val="000000"/>
                <w:szCs w:val="21"/>
              </w:rPr>
              <w:t>275,216.04</w:t>
            </w:r>
          </w:p>
        </w:tc>
        <w:tc>
          <w:tcPr>
            <w:tcW w:type="dxa" w:w="1534"/>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right"/>
              <w:rPr>
                <w:rFonts w:eastAsiaTheme="minorEastAsia"/>
                <w:bCs/>
                <w:color w:val="000000"/>
                <w:szCs w:val="21"/>
              </w:rPr>
            </w:pPr>
            <w:r>
              <w:rPr>
                <w:rFonts w:eastAsiaTheme="minorEastAsia"/>
                <w:bCs/>
                <w:color w:val="000000"/>
                <w:szCs w:val="21"/>
              </w:rPr>
              <w:t>60,000,200.00</w:t>
            </w:r>
          </w:p>
        </w:tc>
        <w:tc>
          <w:tcPr>
            <w:tcW w:type="dxa" w:w="986"/>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right"/>
              <w:rPr>
                <w:rFonts w:eastAsiaTheme="minorEastAsia"/>
                <w:bCs/>
                <w:color w:val="000000"/>
                <w:szCs w:val="21"/>
              </w:rPr>
            </w:pPr>
            <w:r>
              <w:rPr>
                <w:rFonts w:eastAsiaTheme="minorEastAsia"/>
                <w:bCs/>
                <w:color w:val="000000"/>
                <w:szCs w:val="21"/>
              </w:rPr>
              <w:t>99.55%</w:t>
            </w:r>
          </w:p>
        </w:tc>
        <w:tc>
          <w:tcPr>
            <w:tcW w:type="dxa" w:w="1566"/>
            <w:tcBorders>
              <w:top w:color="000000" w:space="0" w:sz="8" w:val="single"/>
              <w:left w:color="000000" w:space="0" w:sz="8" w:val="single"/>
              <w:bottom w:color="000000" w:space="0" w:sz="8" w:val="single"/>
              <w:right w:color="000000" w:space="0" w:sz="8" w:val="single"/>
            </w:tcBorders>
            <w:vAlign w:val="center"/>
          </w:tcPr>
          <w:p w:rsidR="00967083" w:rsidRDefault="00E4498A">
            <w:pPr>
              <w:spacing w:line="360" w:lineRule="auto"/>
              <w:jc w:val="right"/>
              <w:rPr>
                <w:rFonts w:eastAsiaTheme="minorEastAsia"/>
                <w:bCs/>
                <w:color w:val="000000"/>
                <w:szCs w:val="21"/>
              </w:rPr>
            </w:pPr>
            <w:r>
              <w:rPr>
                <w:rFonts w:eastAsiaTheme="minorEastAsia"/>
                <w:bCs/>
                <w:color w:val="000000"/>
                <w:szCs w:val="21"/>
              </w:rPr>
              <w:t>272,113.14</w:t>
            </w:r>
          </w:p>
        </w:tc>
        <w:tc>
          <w:tcPr>
            <w:tcW w:type="dxa" w:w="956"/>
            <w:tcBorders>
              <w:top w:color="000000" w:space="0" w:sz="8" w:val="single"/>
              <w:left w:color="000000" w:space="0" w:sz="8" w:val="single"/>
              <w:bottom w:color="000000" w:space="0" w:sz="8" w:val="single"/>
              <w:right w:color="auto" w:space="0" w:sz="4" w:val="single"/>
            </w:tcBorders>
            <w:vAlign w:val="center"/>
          </w:tcPr>
          <w:p w:rsidR="00967083" w:rsidRDefault="00E4498A">
            <w:pPr>
              <w:spacing w:line="360" w:lineRule="auto"/>
              <w:jc w:val="right"/>
              <w:rPr>
                <w:rFonts w:eastAsiaTheme="minorEastAsia"/>
                <w:bCs/>
                <w:color w:val="000000"/>
                <w:szCs w:val="21"/>
              </w:rPr>
            </w:pPr>
            <w:r>
              <w:rPr>
                <w:rFonts w:eastAsiaTheme="minorEastAsia"/>
                <w:bCs/>
                <w:color w:val="000000"/>
                <w:szCs w:val="21"/>
              </w:rPr>
              <w:t>0.45%</w:t>
            </w:r>
          </w:p>
        </w:tc>
      </w:tr>
    </w:tbl>
    <w:p w:rsidR="00967083" w:rsidRDefault="00967083">
      <w:pPr>
        <w:spacing w:line="288" w:lineRule="auto"/>
        <w:rPr>
          <w:color w:val="000000"/>
          <w:szCs w:val="21"/>
        </w:rPr>
      </w:pPr>
    </w:p>
    <w:p w:rsidR="00967083" w:rsidRDefault="00E4498A">
      <w:pPr>
        <w:pStyle w:val="2"/>
        <w:spacing w:after="0" w:before="0"/>
        <w:rPr>
          <w:rFonts w:ascii="Times New Roman" w:hAnsi="Times New Roman"/>
          <w:kern w:val="0"/>
          <w:sz w:val="21"/>
          <w:szCs w:val="21"/>
        </w:rPr>
      </w:pPr>
      <w:bookmarkStart w:id="77" w:name="_Toc331410113"/>
      <w:r>
        <w:rPr>
          <w:rFonts w:ascii="Times New Roman" w:hAnsi="Times New Roman"/>
          <w:kern w:val="0"/>
          <w:sz w:val="21"/>
          <w:szCs w:val="21"/>
        </w:rPr>
        <w:t>8.2</w:t>
      </w:r>
      <w:r>
        <w:rPr>
          <w:rFonts w:ascii="Times New Roman" w:hAnsi="Times New Roman"/>
          <w:kern w:val="0"/>
          <w:sz w:val="21"/>
          <w:szCs w:val="21"/>
        </w:rPr>
        <w:t>期末基金管理人的从业人员持有本基金的情况</w:t>
      </w:r>
      <w:bookmarkEnd w:id="77"/>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3828"/>
        <w:gridCol w:w="3012"/>
        <w:gridCol w:w="2160"/>
      </w:tblGrid>
      <w:tr w:rsidR="00967083">
        <w:tc>
          <w:tcPr>
            <w:tcW w:type="dxa" w:w="3828"/>
            <w:vAlign w:val="center"/>
          </w:tcPr>
          <w:p w:rsidR="00967083" w:rsidRDefault="00E4498A">
            <w:pPr>
              <w:widowControl/>
              <w:spacing w:line="360" w:lineRule="auto"/>
              <w:jc w:val="center"/>
              <w:rPr>
                <w:rFonts w:eastAsiaTheme="minorEastAsia"/>
                <w:color w:val="000000"/>
                <w:kern w:val="0"/>
                <w:szCs w:val="21"/>
              </w:rPr>
            </w:pPr>
            <w:bookmarkStart w:id="78" w:name="_Toc286911325"/>
            <w:bookmarkStart w:id="79" w:name="_Toc331410114"/>
            <w:bookmarkStart w:id="80" w:name="_Toc247957892"/>
            <w:r>
              <w:rPr>
                <w:rFonts w:eastAsiaTheme="minorEastAsia"/>
                <w:color w:val="000000"/>
                <w:kern w:val="0"/>
                <w:szCs w:val="21"/>
              </w:rPr>
              <w:t>项目</w:t>
            </w:r>
            <w:r>
              <w:rPr>
                <w:rFonts w:eastAsiaTheme="minorEastAsia"/>
                <w:color w:val="000000"/>
                <w:kern w:val="0"/>
                <w:szCs w:val="21"/>
              </w:rPr>
              <w:t/>
            </w:r>
            <w:r>
              <w:rPr>
                <w:rFonts w:eastAsiaTheme="minorEastAsia"/>
                <w:szCs w:val="21"/>
              </w:rPr>
              <w:t/>
            </w:r>
          </w:p>
        </w:tc>
        <w:tc>
          <w:tcPr>
            <w:tcW w:type="dxa" w:w="3012"/>
            <w:vAlign w:val="center"/>
          </w:tcPr>
          <w:p w:rsidR="00967083" w:rsidRDefault="00E4498A">
            <w:pPr>
              <w:widowControl/>
              <w:spacing w:line="360" w:lineRule="auto"/>
              <w:jc w:val="center"/>
              <w:rPr>
                <w:rFonts w:eastAsiaTheme="minorEastAsia"/>
                <w:color w:val="000000"/>
                <w:kern w:val="0"/>
                <w:szCs w:val="21"/>
              </w:rPr>
            </w:pPr>
            <w:r>
              <w:rPr>
                <w:rFonts w:eastAsiaTheme="minorEastAsia"/>
                <w:color w:val="000000"/>
                <w:kern w:val="0"/>
                <w:szCs w:val="21"/>
              </w:rPr>
              <w:t>持有份额总数（份）</w:t>
            </w:r>
          </w:p>
        </w:tc>
        <w:tc>
          <w:tcPr>
            <w:tcW w:type="dxa" w:w="2160"/>
            <w:vAlign w:val="center"/>
          </w:tcPr>
          <w:p w:rsidR="00967083" w:rsidRDefault="00E4498A">
            <w:pPr>
              <w:widowControl/>
              <w:spacing w:line="360" w:lineRule="auto"/>
              <w:jc w:val="center"/>
              <w:rPr>
                <w:rFonts w:eastAsiaTheme="minorEastAsia"/>
                <w:color w:val="000000"/>
                <w:kern w:val="0"/>
                <w:szCs w:val="21"/>
              </w:rPr>
            </w:pPr>
            <w:r>
              <w:rPr>
                <w:rFonts w:eastAsiaTheme="minorEastAsia"/>
                <w:color w:val="000000"/>
                <w:kern w:val="0"/>
                <w:szCs w:val="21"/>
              </w:rPr>
              <w:t>占基金总份额比例</w:t>
            </w:r>
          </w:p>
        </w:tc>
      </w:tr>
      <w:tr w:rsidR="00967083">
        <w:tc>
          <w:tcPr>
            <w:tcW w:type="dxa" w:w="3828"/>
            <w:vAlign w:val="center"/>
          </w:tcPr>
          <w:p w:rsidR="00967083" w:rsidRDefault="00E4498A">
            <w:pPr>
              <w:spacing w:line="360" w:lineRule="auto"/>
              <w:jc w:val="left"/>
              <w:rPr>
                <w:rFonts w:eastAsiaTheme="minorEastAsia"/>
                <w:color w:val="000000"/>
                <w:szCs w:val="21"/>
              </w:rPr>
            </w:pPr>
            <w:r>
              <w:rPr>
                <w:rFonts w:eastAsiaTheme="minorEastAsia"/>
                <w:color w:val="000000"/>
                <w:szCs w:val="21"/>
              </w:rPr>
              <w:t>基金管理人所有从业人员持有本基金</w:t>
            </w:r>
            <w:r>
              <w:rPr>
                <w:bCs/>
                <w:color w:val="000000"/>
                <w:szCs w:val="21"/>
              </w:rPr>
              <w:t/>
            </w:r>
          </w:p>
        </w:tc>
        <w:tc>
          <w:tcPr>
            <w:tcW w:type="dxa" w:w="3012"/>
            <w:vAlign w:val="center"/>
          </w:tcPr>
          <w:p w:rsidR="00967083" w:rsidRDefault="00E4498A">
            <w:pPr>
              <w:widowControl/>
              <w:spacing w:line="360" w:lineRule="auto"/>
              <w:jc w:val="right"/>
              <w:rPr>
                <w:rFonts w:eastAsiaTheme="minorEastAsia"/>
                <w:color w:val="000000"/>
                <w:kern w:val="0"/>
                <w:szCs w:val="21"/>
              </w:rPr>
            </w:pPr>
            <w:r>
              <w:rPr>
                <w:rFonts w:eastAsiaTheme="minorEastAsia"/>
                <w:color w:val="000000"/>
                <w:kern w:val="0"/>
                <w:szCs w:val="21"/>
              </w:rPr>
              <w:t>1,826.87</w:t>
            </w:r>
          </w:p>
        </w:tc>
        <w:tc>
          <w:tcPr>
            <w:tcW w:type="dxa" w:w="2160"/>
            <w:vAlign w:val="center"/>
          </w:tcPr>
          <w:p w:rsidR="00967083" w:rsidRDefault="00E4498A">
            <w:pPr>
              <w:widowControl/>
              <w:spacing w:line="360" w:lineRule="auto"/>
              <w:jc w:val="right"/>
              <w:rPr>
                <w:rFonts w:eastAsiaTheme="minorEastAsia"/>
                <w:color w:val="000000"/>
                <w:kern w:val="0"/>
                <w:szCs w:val="21"/>
              </w:rPr>
            </w:pPr>
            <w:r>
              <w:rPr>
                <w:rFonts w:eastAsiaTheme="minorEastAsia"/>
                <w:color w:val="000000"/>
                <w:kern w:val="0"/>
                <w:szCs w:val="21"/>
              </w:rPr>
              <w:t>0.0030%</w:t>
            </w:r>
          </w:p>
        </w:tc>
      </w:tr>
    </w:tbl>
    <w:p w:rsidR="00967083" w:rsidRDefault="00967083">
      <w:pPr>
        <w:spacing w:line="288" w:lineRule="auto"/>
        <w:rPr>
          <w:color w:val="000000"/>
          <w:szCs w:val="21"/>
        </w:rPr>
      </w:pPr>
    </w:p>
    <w:p w:rsidR="00967083" w:rsidRDefault="00E4498A">
      <w:pPr>
        <w:pStyle w:val="2"/>
        <w:spacing w:after="0" w:before="0" w:line="240" w:lineRule="auto"/>
        <w:rPr>
          <w:rFonts w:ascii="宋体" w:hAnsi="宋体"/>
          <w:sz w:val="21"/>
          <w:szCs w:val="21"/>
        </w:rPr>
      </w:pPr>
      <w:r>
        <w:rPr>
          <w:rFonts w:ascii="Times New Roman" w:hAnsi="Times New Roman"/>
          <w:kern w:val="0"/>
          <w:sz w:val="21"/>
          <w:szCs w:val="21"/>
        </w:rPr>
        <w:t>8.3</w:t>
      </w:r>
      <w:r>
        <w:rPr>
          <w:rFonts w:ascii="宋体" w:hAnsi="宋体" w:hint="eastAsia"/>
          <w:sz w:val="21"/>
          <w:szCs w:val="21"/>
        </w:rPr>
        <w:t>期末基金管理人的从业人员持有本开放式基金份额总量区间的情况</w:t>
      </w:r>
    </w:p>
    <w:tbl>
      <w:tblPr>
        <w:tblW w:type="dxa" w:w="9286"/>
        <w:tblBorders>
          <w:top w:color="auto" w:space="0" w:sz="8" w:val="single"/>
          <w:left w:color="auto" w:space="0" w:sz="8" w:val="single"/>
          <w:bottom w:color="auto" w:space="0" w:sz="8" w:val="single"/>
          <w:right w:color="auto" w:space="0" w:sz="8" w:val="single"/>
          <w:insideH w:color="auto" w:space="0" w:sz="8" w:val="single"/>
          <w:insideV w:color="auto" w:space="0" w:sz="8" w:val="single"/>
        </w:tblBorders>
        <w:tblLayout w:type="fixed"/>
        <w:tblCellMar>
          <w:left w:type="dxa" w:w="0"/>
          <w:right w:type="dxa" w:w="0"/>
        </w:tblCellMar>
        <w:tblLook w:firstColumn="1" w:firstRow="1" w:lastColumn="0" w:lastRow="0" w:noHBand="0" w:noVBand="1" w:val="04A0"/>
      </w:tblPr>
      <w:tblGrid>
        <w:gridCol w:w="3369"/>
        <w:gridCol w:w="5917"/>
      </w:tblGrid>
      <w:tr w:rsidR="00967083">
        <w:trPr>
          <w:trHeight w:val="285"/>
        </w:trPr>
        <w:tc>
          <w:tcPr>
            <w:tcW w:type="dxa" w:w="3369"/>
            <w:shd w:color="auto" w:fill="auto" w:val="clear"/>
            <w:tcMar>
              <w:top w:type="dxa" w:w="0"/>
              <w:left w:type="dxa" w:w="108"/>
              <w:bottom w:type="dxa" w:w="0"/>
              <w:right w:type="dxa" w:w="108"/>
            </w:tcMar>
            <w:vAlign w:val="center"/>
          </w:tcPr>
          <w:p w:rsidR="00967083" w:rsidRDefault="00E4498A">
            <w:pPr>
              <w:widowControl/>
              <w:jc w:val="center"/>
              <w:rPr>
                <w:kern w:val="0"/>
                <w:szCs w:val="21"/>
              </w:rPr>
            </w:pPr>
            <w:r>
              <w:rPr>
                <w:rFonts w:ascii="宋体" w:hAnsi="宋体" w:hint="eastAsia"/>
                <w:kern w:val="0"/>
                <w:szCs w:val="21"/>
              </w:rPr>
              <w:t>项目</w:t>
            </w:r>
            <w:r>
              <w:rPr>
                <w:color w:val="000000"/>
                <w:szCs w:val="21"/>
              </w:rPr>
              <w:t/>
            </w:r>
            <w:r>
              <w:rPr>
                <w:rFonts w:eastAsiaTheme="minorEastAsia"/>
                <w:szCs w:val="21"/>
              </w:rPr>
              <w:t/>
            </w:r>
          </w:p>
        </w:tc>
        <w:tc>
          <w:tcPr>
            <w:tcW w:type="dxa" w:w="5917"/>
            <w:shd w:color="auto" w:fill="auto" w:val="clear"/>
            <w:tcMar>
              <w:top w:type="dxa" w:w="0"/>
              <w:left w:type="dxa" w:w="108"/>
              <w:bottom w:type="dxa" w:w="0"/>
              <w:right w:type="dxa" w:w="108"/>
            </w:tcMar>
            <w:vAlign w:val="center"/>
          </w:tcPr>
          <w:p w:rsidR="00967083" w:rsidRDefault="00E4498A">
            <w:pPr>
              <w:widowControl/>
              <w:jc w:val="center"/>
              <w:rPr>
                <w:kern w:val="0"/>
                <w:szCs w:val="21"/>
              </w:rPr>
            </w:pPr>
            <w:r>
              <w:rPr>
                <w:rFonts w:ascii="宋体" w:hAnsi="宋体" w:hint="eastAsia"/>
                <w:kern w:val="0"/>
                <w:szCs w:val="21"/>
              </w:rPr>
              <w:t>持有基金份额总量的数量区间（万份）</w:t>
            </w:r>
          </w:p>
        </w:tc>
      </w:tr>
      <w:tr w:rsidR="00967083">
        <w:trPr>
          <w:trHeight w:val="713"/>
        </w:trPr>
        <w:tc>
          <w:tcPr>
            <w:tcW w:type="dxa" w:w="3369"/>
            <w:shd w:color="auto" w:fill="auto" w:val="clear"/>
            <w:tcMar>
              <w:top w:type="dxa" w:w="0"/>
              <w:left w:type="dxa" w:w="108"/>
              <w:bottom w:type="dxa" w:w="0"/>
              <w:right w:type="dxa" w:w="108"/>
            </w:tcMar>
            <w:vAlign w:val="center"/>
          </w:tcPr>
          <w:p w:rsidR="00967083" w:rsidRDefault="00E4498A">
            <w:pPr>
              <w:widowControl/>
              <w:jc w:val="left"/>
              <w:rPr>
                <w:kern w:val="0"/>
                <w:szCs w:val="21"/>
              </w:rPr>
            </w:pPr>
            <w:r>
              <w:rPr>
                <w:rFonts w:ascii="宋体" w:hAnsi="宋体" w:hint="eastAsia"/>
                <w:kern w:val="0"/>
                <w:szCs w:val="21"/>
              </w:rPr>
              <w:t>本公司高级管理人员、基金投资和研究部门负责人</w:t>
            </w:r>
            <w:r>
              <w:rPr>
                <w:rFonts w:ascii="宋体" w:hAnsi="宋体" w:hint="eastAsia"/>
                <w:color w:val="000000"/>
                <w:kern w:val="0"/>
                <w:szCs w:val="21"/>
              </w:rPr>
              <w:t>持有本开放式基金</w:t>
            </w:r>
          </w:p>
        </w:tc>
        <w:tc>
          <w:tcPr>
            <w:tcW w:type="dxa" w:w="5917"/>
            <w:shd w:color="auto" w:fill="auto" w:val="clear"/>
            <w:tcMar>
              <w:top w:type="dxa" w:w="0"/>
              <w:left w:type="dxa" w:w="108"/>
              <w:bottom w:type="dxa" w:w="0"/>
              <w:right w:type="dxa" w:w="108"/>
            </w:tcMar>
            <w:vAlign w:val="center"/>
          </w:tcPr>
          <w:p w:rsidR="00967083" w:rsidRDefault="00E4498A">
            <w:pPr>
              <w:widowControl/>
              <w:jc w:val="center"/>
              <w:rPr>
                <w:kern w:val="0"/>
                <w:szCs w:val="21"/>
              </w:rPr>
            </w:pPr>
            <w:r>
              <w:rPr>
                <w:kern w:val="0"/>
                <w:szCs w:val="21"/>
              </w:rPr>
              <w:t>0</w:t>
            </w:r>
          </w:p>
        </w:tc>
      </w:tr>
      <w:tr w:rsidR="00967083">
        <w:trPr>
          <w:trHeight w:val="285"/>
        </w:trPr>
        <w:tc>
          <w:tcPr>
            <w:tcW w:type="dxa" w:w="3369"/>
            <w:shd w:color="auto" w:fill="auto" w:val="clear"/>
            <w:tcMar>
              <w:top w:type="dxa" w:w="0"/>
              <w:left w:type="dxa" w:w="108"/>
              <w:bottom w:type="dxa" w:w="0"/>
              <w:right w:type="dxa" w:w="108"/>
            </w:tcMar>
            <w:vAlign w:val="center"/>
          </w:tcPr>
          <w:p w:rsidR="00967083" w:rsidRDefault="00E4498A">
            <w:pPr>
              <w:widowControl/>
              <w:jc w:val="left"/>
              <w:rPr>
                <w:kern w:val="0"/>
                <w:szCs w:val="21"/>
              </w:rPr>
            </w:pPr>
            <w:r>
              <w:rPr>
                <w:rFonts w:ascii="宋体" w:hAnsi="宋体" w:hint="eastAsia"/>
                <w:kern w:val="0"/>
                <w:szCs w:val="21"/>
              </w:rPr>
              <w:t>本基金基金经理</w:t>
            </w:r>
            <w:r>
              <w:rPr>
                <w:rFonts w:ascii="宋体" w:hAnsi="宋体" w:hint="eastAsia"/>
                <w:color w:val="000000"/>
                <w:kern w:val="0"/>
                <w:szCs w:val="21"/>
              </w:rPr>
              <w:t>持有本开放式基金</w:t>
            </w:r>
          </w:p>
        </w:tc>
        <w:tc>
          <w:tcPr>
            <w:tcW w:type="dxa" w:w="5917"/>
            <w:shd w:color="auto" w:fill="auto" w:val="clear"/>
            <w:tcMar>
              <w:top w:type="dxa" w:w="0"/>
              <w:left w:type="dxa" w:w="108"/>
              <w:bottom w:type="dxa" w:w="0"/>
              <w:right w:type="dxa" w:w="108"/>
            </w:tcMar>
            <w:vAlign w:val="center"/>
          </w:tcPr>
          <w:p w:rsidR="00967083" w:rsidRDefault="00E4498A">
            <w:pPr>
              <w:widowControl/>
              <w:jc w:val="center"/>
              <w:rPr>
                <w:kern w:val="0"/>
                <w:szCs w:val="21"/>
              </w:rPr>
            </w:pPr>
            <w:r>
              <w:rPr>
                <w:kern w:val="0"/>
                <w:szCs w:val="21"/>
              </w:rPr>
              <w:t>0~10</w:t>
            </w:r>
          </w:p>
        </w:tc>
      </w:tr>
    </w:tbl>
    <w:p w:rsidR="00967083" w:rsidRDefault="00967083">
      <w:pPr>
        <w:spacing w:line="288" w:lineRule="auto"/>
        <w:rPr>
          <w:color w:val="000000"/>
          <w:szCs w:val="21"/>
        </w:rPr>
      </w:pPr>
    </w:p>
    <w:p w:rsidR="00967083" w:rsidRDefault="00967083">
      <w:pPr>
        <w:spacing w:line="288" w:lineRule="auto"/>
        <w:rPr>
          <w:color w:val="000000"/>
          <w:szCs w:val="21"/>
        </w:rPr>
      </w:pPr>
    </w:p>
    <w:p w:rsidR="00967083" w:rsidRDefault="00E4498A">
      <w:pPr>
        <w:pStyle w:val="1"/>
        <w:keepNext/>
        <w:keepLines/>
        <w:widowControl w:val="0"/>
        <w:spacing w:line="360" w:lineRule="auto"/>
        <w:jc w:val="center"/>
        <w:rPr>
          <w:b/>
          <w:bCs/>
          <w:sz w:val="21"/>
          <w:szCs w:val="21"/>
          <w:lang w:val="en-US"/>
        </w:rPr>
      </w:pPr>
      <w:bookmarkStart w:id="81" w:name="_Toc225500053"/>
      <w:bookmarkStart w:id="82" w:name="_Toc331410115"/>
      <w:r>
        <w:rPr>
          <w:b/>
          <w:bCs/>
          <w:sz w:val="21"/>
          <w:szCs w:val="21"/>
          <w:lang w:val="en-US"/>
        </w:rPr>
        <w:t xml:space="preserve">9  </w:t>
      </w:r>
      <w:r>
        <w:rPr>
          <w:b/>
          <w:bCs/>
          <w:sz w:val="21"/>
          <w:szCs w:val="21"/>
          <w:lang w:val="en-US"/>
        </w:rPr>
        <w:t>开放式基金份额变动</w:t>
      </w:r>
      <w:bookmarkEnd w:id="81"/>
      <w:bookmarkEnd w:id="82"/>
    </w:p>
    <w:p w:rsidR="00967083" w:rsidRDefault="00E4498A">
      <w:pPr>
        <w:jc w:val="right"/>
        <w:rPr>
          <w:szCs w:val="21"/>
        </w:rPr>
      </w:pPr>
      <w:r>
        <w:rPr>
          <w:szCs w:val="21"/>
        </w:rPr>
        <w:t/>
      </w:r>
      <w:r>
        <w:rPr>
          <w:szCs w:val="21"/>
        </w:rPr>
        <w:t>单位：份</w:t>
      </w:r>
    </w:p>
    <w:tbl>
      <w:tblPr>
        <w:tblW w:type="dxa" w:w="928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211"/>
        <w:gridCol w:w="4075"/>
      </w:tblGrid>
      <w:tr w:rsidR="00967083">
        <w:tc>
          <w:tcPr>
            <w:tcW w:type="dxa" w:w="5211"/>
          </w:tcPr>
          <w:p w:rsidR="00967083" w:rsidRDefault="00E4498A">
            <w:pPr>
              <w:rPr>
                <w:szCs w:val="21"/>
              </w:rPr>
            </w:pPr>
            <w:r>
              <w:rPr>
                <w:szCs w:val="21"/>
              </w:rPr>
              <w:t>基金合同生效日（</w:t>
            </w:r>
            <w:r>
              <w:rPr>
                <w:szCs w:val="21"/>
              </w:rPr>
              <w:t>2018年11月22日</w:t>
            </w:r>
            <w:r>
              <w:rPr>
                <w:szCs w:val="21"/>
              </w:rPr>
              <w:t>）基金份额总额</w:t>
            </w:r>
            <w:r>
              <w:rPr>
                <w:szCs w:val="21"/>
              </w:rPr>
              <w:t/>
            </w:r>
            <w:r>
              <w:rPr>
                <w:rFonts w:eastAsiaTheme="minorEastAsia"/>
                <w:szCs w:val="21"/>
              </w:rPr>
              <w:t/>
            </w:r>
          </w:p>
        </w:tc>
        <w:tc>
          <w:tcPr>
            <w:tcW w:type="dxa" w:w="4075"/>
          </w:tcPr>
          <w:p w:rsidR="00967083" w:rsidRDefault="00E4498A">
            <w:pPr>
              <w:jc w:val="right"/>
              <w:rPr>
                <w:szCs w:val="21"/>
              </w:rPr>
            </w:pPr>
            <w:r>
              <w:rPr>
                <w:szCs w:val="21"/>
              </w:rPr>
              <w:t xml:space="preserve">200,056,817.69 </w:t>
            </w:r>
          </w:p>
        </w:tc>
      </w:tr>
      <w:tr w:rsidR="00967083">
        <w:tc>
          <w:tcPr>
            <w:tcW w:type="dxa" w:w="5211"/>
            <w:vAlign w:val="center"/>
          </w:tcPr>
          <w:p w:rsidR="00967083" w:rsidRDefault="00E4498A">
            <w:pPr>
              <w:rPr>
                <w:szCs w:val="21"/>
              </w:rPr>
            </w:pPr>
            <w:r>
              <w:rPr>
                <w:szCs w:val="21"/>
              </w:rPr>
              <w:lastRenderedPageBreak/>
              <w:t>本报告期期初基金份额总额</w:t>
            </w:r>
          </w:p>
        </w:tc>
        <w:tc>
          <w:tcPr>
            <w:tcW w:type="dxa" w:w="4075"/>
          </w:tcPr>
          <w:p w:rsidR="00967083" w:rsidRDefault="00E4498A">
            <w:pPr>
              <w:jc w:val="right"/>
              <w:rPr>
                <w:szCs w:val="21"/>
              </w:rPr>
            </w:pPr>
            <w:r>
              <w:rPr>
                <w:szCs w:val="21"/>
              </w:rPr>
              <w:t>62,070,072.84</w:t>
            </w:r>
          </w:p>
        </w:tc>
      </w:tr>
      <w:tr w:rsidR="00967083">
        <w:tc>
          <w:tcPr>
            <w:tcW w:type="dxa" w:w="5211"/>
            <w:vAlign w:val="center"/>
          </w:tcPr>
          <w:p w:rsidR="00967083" w:rsidRDefault="00E4498A">
            <w:pPr>
              <w:rPr>
                <w:szCs w:val="21"/>
              </w:rPr>
            </w:pPr>
            <w:r>
              <w:rPr>
                <w:szCs w:val="21"/>
              </w:rPr>
              <w:t>本报告期</w:t>
            </w:r>
            <w:r>
              <w:rPr>
                <w:szCs w:val="21"/>
              </w:rPr>
              <w:t>基金总申购份额</w:t>
            </w:r>
          </w:p>
        </w:tc>
        <w:tc>
          <w:tcPr>
            <w:tcW w:type="dxa" w:w="4075"/>
          </w:tcPr>
          <w:p w:rsidR="00967083" w:rsidRDefault="00E4498A">
            <w:pPr>
              <w:jc w:val="right"/>
              <w:rPr>
                <w:szCs w:val="21"/>
              </w:rPr>
            </w:pPr>
            <w:r>
              <w:rPr>
                <w:szCs w:val="21"/>
              </w:rPr>
              <w:t>297,702.96</w:t>
            </w:r>
          </w:p>
        </w:tc>
      </w:tr>
      <w:tr w:rsidR="00967083">
        <w:tc>
          <w:tcPr>
            <w:tcW w:type="dxa" w:w="5211"/>
            <w:vAlign w:val="center"/>
          </w:tcPr>
          <w:p w:rsidR="00967083" w:rsidRDefault="00E4498A">
            <w:pPr>
              <w:rPr>
                <w:szCs w:val="21"/>
              </w:rPr>
            </w:pPr>
            <w:r>
              <w:rPr>
                <w:szCs w:val="21"/>
              </w:rPr>
              <w:t>减：</w:t>
            </w:r>
            <w:r>
              <w:rPr>
                <w:szCs w:val="21"/>
              </w:rPr>
              <w:t>本报告期</w:t>
            </w:r>
            <w:r>
              <w:rPr>
                <w:szCs w:val="21"/>
              </w:rPr>
              <w:t>基金总赎回份额</w:t>
            </w:r>
          </w:p>
        </w:tc>
        <w:tc>
          <w:tcPr>
            <w:tcW w:type="dxa" w:w="4075"/>
          </w:tcPr>
          <w:p w:rsidR="00967083" w:rsidRDefault="00E4498A">
            <w:pPr>
              <w:jc w:val="right"/>
              <w:rPr>
                <w:szCs w:val="21"/>
              </w:rPr>
            </w:pPr>
            <w:r>
              <w:rPr>
                <w:szCs w:val="21"/>
              </w:rPr>
              <w:t>2,095,462.66</w:t>
            </w:r>
          </w:p>
        </w:tc>
      </w:tr>
      <w:tr w:rsidR="00967083">
        <w:tc>
          <w:tcPr>
            <w:tcW w:type="dxa" w:w="5211"/>
            <w:vAlign w:val="center"/>
          </w:tcPr>
          <w:p w:rsidR="00967083" w:rsidRDefault="00E4498A">
            <w:pPr>
              <w:rPr>
                <w:szCs w:val="21"/>
              </w:rPr>
            </w:pPr>
            <w:r>
              <w:rPr>
                <w:szCs w:val="21"/>
              </w:rPr>
              <w:t>本报告期</w:t>
            </w:r>
            <w:r>
              <w:rPr>
                <w:szCs w:val="21"/>
              </w:rPr>
              <w:t>基金拆分变动份额</w:t>
            </w:r>
          </w:p>
        </w:tc>
        <w:tc>
          <w:tcPr>
            <w:tcW w:type="dxa" w:w="4075"/>
          </w:tcPr>
          <w:p w:rsidR="00967083" w:rsidRDefault="00E4498A">
            <w:pPr>
              <w:jc w:val="right"/>
              <w:rPr>
                <w:szCs w:val="21"/>
              </w:rPr>
            </w:pPr>
            <w:r>
              <w:rPr>
                <w:szCs w:val="21"/>
              </w:rPr>
              <w:t>-</w:t>
            </w:r>
          </w:p>
        </w:tc>
      </w:tr>
      <w:tr w:rsidR="00967083">
        <w:tc>
          <w:tcPr>
            <w:tcW w:type="dxa" w:w="5211"/>
            <w:vAlign w:val="center"/>
          </w:tcPr>
          <w:p w:rsidR="00967083" w:rsidRDefault="00E4498A">
            <w:pPr>
              <w:rPr>
                <w:szCs w:val="21"/>
              </w:rPr>
            </w:pPr>
            <w:r>
              <w:rPr>
                <w:szCs w:val="21"/>
              </w:rPr>
              <w:t>本报告期期末基金份额总额</w:t>
            </w:r>
          </w:p>
        </w:tc>
        <w:tc>
          <w:tcPr>
            <w:tcW w:type="dxa" w:w="4075"/>
          </w:tcPr>
          <w:p w:rsidR="00967083" w:rsidRDefault="00E4498A">
            <w:pPr>
              <w:jc w:val="right"/>
              <w:rPr>
                <w:szCs w:val="21"/>
              </w:rPr>
            </w:pPr>
            <w:r>
              <w:rPr>
                <w:szCs w:val="21"/>
              </w:rPr>
              <w:t>60,272,313.14</w:t>
            </w:r>
          </w:p>
        </w:tc>
      </w:tr>
    </w:tbl>
    <w:p w:rsidR="00967083" w:rsidRDefault="00967083">
      <w:pPr>
        <w:spacing w:line="360" w:lineRule="auto"/>
        <w:rPr>
          <w:szCs w:val="21"/>
        </w:rPr>
      </w:pPr>
    </w:p>
    <w:p w:rsidR="00967083" w:rsidRDefault="00E4498A">
      <w:pPr>
        <w:pStyle w:val="1"/>
        <w:keepNext/>
        <w:keepLines/>
        <w:widowControl w:val="0"/>
        <w:spacing w:after="312" w:afterLines="100" w:before="312" w:beforeLines="100" w:line="360" w:lineRule="auto"/>
        <w:jc w:val="center"/>
        <w:rPr>
          <w:b/>
          <w:bCs/>
          <w:sz w:val="21"/>
          <w:szCs w:val="21"/>
          <w:lang w:val="en-US"/>
        </w:rPr>
      </w:pPr>
      <w:bookmarkStart w:id="83" w:name="_Toc331410116"/>
      <w:bookmarkStart w:id="84" w:name="_Toc225500054"/>
      <w:r>
        <w:rPr>
          <w:b/>
          <w:bCs/>
          <w:sz w:val="21"/>
          <w:szCs w:val="21"/>
          <w:lang w:val="en-US"/>
        </w:rPr>
        <w:lastRenderedPageBreak/>
        <w:t xml:space="preserve">10  </w:t>
      </w:r>
      <w:r>
        <w:rPr>
          <w:b/>
          <w:bCs/>
          <w:sz w:val="21"/>
          <w:szCs w:val="21"/>
          <w:lang w:val="en-US"/>
        </w:rPr>
        <w:t>重大事件揭示</w:t>
      </w:r>
      <w:bookmarkEnd w:id="83"/>
      <w:bookmarkEnd w:id="84"/>
    </w:p>
    <w:p w:rsidR="00967083" w:rsidRDefault="00E4498A">
      <w:pPr>
        <w:pStyle w:val="2"/>
        <w:spacing w:after="0" w:before="312" w:beforeLines="100"/>
        <w:rPr>
          <w:rFonts w:ascii="Times New Roman" w:eastAsiaTheme="minorEastAsia" w:hAnsi="Times New Roman"/>
          <w:kern w:val="0"/>
          <w:sz w:val="21"/>
          <w:szCs w:val="21"/>
        </w:rPr>
      </w:pPr>
      <w:bookmarkStart w:id="85" w:name="_Toc361324894"/>
      <w:bookmarkStart w:id="86" w:name="_Toc249760071"/>
      <w:r>
        <w:rPr>
          <w:rFonts w:ascii="Times New Roman" w:eastAsiaTheme="minorEastAsia" w:hAnsi="Times New Roman"/>
          <w:kern w:val="0"/>
          <w:sz w:val="21"/>
          <w:szCs w:val="21"/>
        </w:rPr>
        <w:t xml:space="preserve">10.1 </w:t>
      </w:r>
      <w:r>
        <w:rPr>
          <w:rFonts w:ascii="Times New Roman" w:eastAsiaTheme="minorEastAsia" w:hAnsi="Times New Roman"/>
          <w:kern w:val="0"/>
          <w:sz w:val="21"/>
          <w:szCs w:val="21"/>
        </w:rPr>
        <w:t>基金份额持有人大会决议</w:t>
      </w:r>
      <w:bookmarkEnd w:id="85"/>
    </w:p>
    <w:p w:rsidR="00967083" w:rsidRDefault="00E4498A">
      <w:pPr>
        <w:spacing w:line="360" w:lineRule="auto"/>
        <w:ind w:firstLine="420" w:firstLineChars="200"/>
        <w:rPr>
          <w:rFonts w:eastAsiaTheme="minorEastAsia"/>
          <w:color w:val="000000"/>
          <w:szCs w:val="21"/>
        </w:rPr>
      </w:pPr>
      <w:r>
        <w:rPr>
          <w:rFonts w:eastAsiaTheme="minorEastAsia"/>
          <w:color w:val="000000"/>
          <w:szCs w:val="21"/>
        </w:rPr>
        <w:t>本报告期内未召开基金份额持有人大会。</w:t>
      </w:r>
    </w:p>
    <w:p w:rsidR="00967083" w:rsidRDefault="00E4498A">
      <w:pPr>
        <w:pStyle w:val="2"/>
        <w:spacing w:after="0" w:before="312" w:beforeLines="100"/>
        <w:rPr>
          <w:rFonts w:ascii="Times New Roman" w:eastAsiaTheme="minorEastAsia" w:hAnsi="Times New Roman"/>
          <w:kern w:val="0"/>
          <w:sz w:val="21"/>
          <w:szCs w:val="21"/>
        </w:rPr>
      </w:pPr>
      <w:bookmarkStart w:id="87" w:name="_Toc361324895"/>
      <w:r>
        <w:rPr>
          <w:rFonts w:ascii="Times New Roman" w:eastAsiaTheme="minorEastAsia" w:hAnsi="Times New Roman"/>
          <w:kern w:val="0"/>
          <w:sz w:val="21"/>
          <w:szCs w:val="21"/>
        </w:rPr>
        <w:t xml:space="preserve">10.2 </w:t>
      </w:r>
      <w:r>
        <w:rPr>
          <w:rFonts w:ascii="Times New Roman" w:eastAsiaTheme="minorEastAsia" w:hAnsi="Times New Roman"/>
          <w:kern w:val="0"/>
          <w:sz w:val="21"/>
          <w:szCs w:val="21"/>
        </w:rPr>
        <w:t>基金管理人、基金托管人的专门基金托管部门的重大人事变动</w:t>
      </w:r>
      <w:bookmarkEnd w:id="87"/>
    </w:p>
    <w:p>
      <w:pPr>
        <w:spacing w:line="360" w:lineRule="auto"/>
        <w:ind w:firstLine="420" w:firstLineChars="200"/>
        <w:rPr>
          <w:rFonts w:eastAsiaTheme="minorEastAsia"/>
          <w:color w:val="000000"/>
          <w:szCs w:val="21"/>
        </w:rPr>
      </w:pPr>
      <w:r>
        <w:rPr>
          <w:rFonts w:eastAsiaTheme="minorEastAsia"/>
          <w:color w:val="000000"/>
          <w:szCs w:val="21"/>
        </w:rPr>
        <w:t>本基金管理人于2019年6月4日发布公告，自2019年6月1日起，聘任窦刚先生担任公司首席信息官。</w:t>
      </w:r>
    </w:p>
    <w:p w:rsidR="00967083" w:rsidRDefault="00E4498A">
      <w:pPr>
        <w:spacing w:line="360" w:lineRule="auto"/>
        <w:ind w:firstLine="420" w:firstLineChars="200"/>
        <w:rPr>
          <w:rFonts w:eastAsiaTheme="minorEastAsia"/>
          <w:color w:val="000000"/>
          <w:szCs w:val="21"/>
        </w:rPr>
      </w:pPr>
      <w:r>
        <w:rPr>
          <w:rFonts w:eastAsiaTheme="minorEastAsia"/>
          <w:color w:val="000000"/>
          <w:szCs w:val="21"/>
        </w:rPr>
        <w:t>基金托管人于2019年3月8日发布《江苏银行股份有限公司关于资产托管部负责人信息的公告》，由柯振林先生担任江苏银行股份有限公司资产托管部总经理。</w:t>
      </w:r>
    </w:p>
    <w:p w:rsidR="00967083" w:rsidRDefault="00E4498A">
      <w:pPr>
        <w:pStyle w:val="2"/>
        <w:spacing w:after="0" w:before="312" w:beforeLines="100"/>
        <w:rPr>
          <w:rFonts w:ascii="Times New Roman" w:eastAsiaTheme="minorEastAsia" w:hAnsi="Times New Roman"/>
          <w:kern w:val="0"/>
          <w:sz w:val="21"/>
          <w:szCs w:val="21"/>
        </w:rPr>
      </w:pPr>
      <w:bookmarkStart w:id="88" w:name="_Toc361324896"/>
      <w:r>
        <w:rPr>
          <w:rFonts w:ascii="Times New Roman" w:eastAsiaTheme="minorEastAsia" w:hAnsi="Times New Roman"/>
          <w:kern w:val="0"/>
          <w:sz w:val="21"/>
          <w:szCs w:val="21"/>
        </w:rPr>
        <w:t xml:space="preserve">10.3 </w:t>
      </w:r>
      <w:r>
        <w:rPr>
          <w:rFonts w:ascii="Times New Roman" w:eastAsiaTheme="minorEastAsia" w:hAnsi="Times New Roman"/>
          <w:kern w:val="0"/>
          <w:sz w:val="21"/>
          <w:szCs w:val="21"/>
        </w:rPr>
        <w:t>涉及基金管理人、基金财产、基金托管业务的诉讼</w:t>
      </w:r>
      <w:bookmarkEnd w:id="88"/>
    </w:p>
    <w:p w:rsidR="00967083" w:rsidRDefault="00E4498A">
      <w:pPr>
        <w:spacing w:line="360" w:lineRule="auto"/>
        <w:ind w:firstLine="420" w:firstLineChars="200"/>
        <w:rPr>
          <w:rFonts w:eastAsiaTheme="minorEastAsia"/>
          <w:color w:val="000000"/>
          <w:szCs w:val="21"/>
        </w:rPr>
      </w:pPr>
      <w:r>
        <w:rPr>
          <w:rFonts w:eastAsiaTheme="minorEastAsia"/>
          <w:color w:val="000000"/>
          <w:szCs w:val="21"/>
        </w:rPr>
        <w:t>本报告期内无涉及本基金管理人、基金财产、基金托管业务的诉讼事项。</w:t>
      </w:r>
    </w:p>
    <w:p w:rsidR="00967083" w:rsidRDefault="00E4498A">
      <w:pPr>
        <w:pStyle w:val="2"/>
        <w:spacing w:after="0" w:before="312" w:beforeLines="100"/>
        <w:rPr>
          <w:rFonts w:ascii="Times New Roman" w:eastAsiaTheme="minorEastAsia" w:hAnsi="Times New Roman"/>
          <w:kern w:val="0"/>
          <w:sz w:val="21"/>
          <w:szCs w:val="21"/>
        </w:rPr>
      </w:pPr>
      <w:bookmarkStart w:id="89" w:name="_Toc361324897"/>
      <w:r>
        <w:rPr>
          <w:rFonts w:ascii="Times New Roman" w:eastAsiaTheme="minorEastAsia" w:hAnsi="Times New Roman"/>
          <w:kern w:val="0"/>
          <w:sz w:val="21"/>
          <w:szCs w:val="21"/>
        </w:rPr>
        <w:t xml:space="preserve">10.4 </w:t>
      </w:r>
      <w:r>
        <w:rPr>
          <w:rFonts w:ascii="Times New Roman" w:eastAsiaTheme="minorEastAsia" w:hAnsi="Times New Roman"/>
          <w:kern w:val="0"/>
          <w:sz w:val="21"/>
          <w:szCs w:val="21"/>
        </w:rPr>
        <w:t>基金投资策略的改变</w:t>
      </w:r>
      <w:bookmarkEnd w:id="89"/>
    </w:p>
    <w:p w:rsidR="00967083" w:rsidRDefault="00E4498A">
      <w:pPr>
        <w:spacing w:line="360" w:lineRule="auto"/>
        <w:ind w:firstLine="420" w:firstLineChars="200"/>
        <w:rPr>
          <w:rFonts w:eastAsiaTheme="minorEastAsia"/>
          <w:color w:val="000000"/>
          <w:szCs w:val="21"/>
        </w:rPr>
      </w:pPr>
      <w:r>
        <w:rPr>
          <w:rFonts w:eastAsiaTheme="minorEastAsia"/>
          <w:color w:val="000000"/>
          <w:szCs w:val="21"/>
        </w:rPr>
        <w:t>本报告期内本基金投资策略未发生改变。</w:t>
      </w:r>
    </w:p>
    <w:p w:rsidR="00967083" w:rsidRDefault="00E4498A">
      <w:pPr>
        <w:pStyle w:val="2"/>
        <w:spacing w:after="0" w:before="0"/>
        <w:rPr>
          <w:rFonts w:ascii="Times New Roman" w:eastAsiaTheme="minorEastAsia" w:hAnsi="Times New Roman"/>
          <w:color w:themeColor="text1" w:val="000000"/>
          <w:kern w:val="0"/>
          <w:sz w:val="21"/>
          <w:szCs w:val="21"/>
        </w:rPr>
      </w:pPr>
      <w:bookmarkStart w:id="90" w:name="_Toc361324898"/>
      <w:bookmarkStart w:id="91" w:name="_Toc409100466"/>
      <w:bookmarkStart w:id="92" w:name="_Toc409100103"/>
      <w:r>
        <w:rPr>
          <w:rFonts w:ascii="Times New Roman" w:eastAsiaTheme="minorEastAsia" w:hAnsi="Times New Roman"/>
          <w:bCs w:val="0"/>
          <w:color w:themeColor="text1" w:val="000000"/>
          <w:sz w:val="21"/>
          <w:szCs w:val="21"/>
        </w:rPr>
        <w:t>10.</w:t>
      </w:r>
      <w:bookmarkEnd w:id="90"/>
      <w:r>
        <w:rPr>
          <w:rFonts w:ascii="Times New Roman" w:eastAsiaTheme="minorEastAsia" w:hAnsi="Times New Roman"/>
          <w:kern w:val="0"/>
          <w:sz w:val="21"/>
          <w:szCs w:val="21"/>
        </w:rPr>
        <w:t xml:space="preserve">5 </w:t>
      </w:r>
      <w:r>
        <w:rPr>
          <w:rFonts w:ascii="Times New Roman" w:eastAsiaTheme="minorEastAsia" w:hAnsi="Times New Roman"/>
          <w:bCs w:val="0"/>
          <w:color w:themeColor="text1" w:val="000000"/>
          <w:sz w:val="21"/>
          <w:szCs w:val="21"/>
        </w:rPr>
        <w:t>为基金</w:t>
      </w:r>
      <w:r>
        <w:rPr>
          <w:rFonts w:ascii="Times New Roman" w:eastAsiaTheme="minorEastAsia" w:hAnsi="Times New Roman"/>
          <w:color w:themeColor="text1" w:val="000000"/>
          <w:sz w:val="21"/>
          <w:szCs w:val="21"/>
        </w:rPr>
        <w:t>进行审计的会计师事务所情况</w:t>
      </w:r>
      <w:bookmarkEnd w:id="91"/>
      <w:bookmarkEnd w:id="92"/>
      <w:r>
        <w:rPr>
          <w:rFonts w:ascii="Times New Roman" w:eastAsiaTheme="minorEastAsia" w:hAnsi="Times New Roman" w:hint="eastAsia"/>
          <w:bCs w:val="0"/>
          <w:color w:themeColor="text1" w:val="000000"/>
          <w:sz w:val="21"/>
          <w:szCs w:val="21"/>
        </w:rPr>
        <w:t/>
      </w:r>
      <w:r>
        <w:rPr>
          <w:rFonts w:ascii="Times New Roman" w:eastAsiaTheme="minorEastAsia" w:hAnsi="Times New Roman"/>
          <w:bCs w:val="0"/>
          <w:color w:themeColor="text1" w:val="000000"/>
          <w:sz w:val="21"/>
          <w:szCs w:val="21"/>
        </w:rPr>
        <w:t/>
      </w:r>
      <w:r>
        <w:rPr>
          <w:rFonts w:ascii="Times New Roman" w:eastAsiaTheme="minorEastAsia" w:hAnsi="Times New Roman" w:hint="eastAsia"/>
          <w:bCs w:val="0"/>
          <w:color w:themeColor="text1" w:val="000000"/>
          <w:sz w:val="21"/>
          <w:szCs w:val="21"/>
        </w:rPr>
        <w:t/>
      </w:r>
    </w:p>
    <w:p w:rsidR="00967083" w:rsidRDefault="00E4498A">
      <w:pPr>
        <w:spacing w:line="360" w:lineRule="auto"/>
        <w:ind w:firstLine="420" w:firstLineChars="200"/>
        <w:rPr>
          <w:rFonts w:eastAsiaTheme="minorEastAsia"/>
          <w:color w:themeColor="text1" w:val="000000"/>
          <w:szCs w:val="21"/>
        </w:rPr>
      </w:pPr>
      <w:bookmarkStart w:id="93" w:name="OLE_LINK3"/>
      <w:r>
        <w:rPr>
          <w:rFonts w:eastAsiaTheme="minorEastAsia"/>
          <w:color w:themeColor="text1" w:val="000000"/>
          <w:szCs w:val="21"/>
        </w:rPr>
        <w:t>本报告期内本基金聘请的会计师事务所未发生变更。</w:t>
      </w:r>
    </w:p>
    <w:p w:rsidR="00967083" w:rsidRDefault="00E4498A">
      <w:pPr>
        <w:pStyle w:val="2"/>
        <w:spacing w:after="0" w:before="0"/>
        <w:rPr>
          <w:rFonts w:ascii="Times New Roman" w:eastAsiaTheme="minorEastAsia" w:hAnsi="Times New Roman"/>
          <w:color w:themeColor="text1" w:val="000000"/>
          <w:kern w:val="0"/>
          <w:sz w:val="21"/>
          <w:szCs w:val="21"/>
        </w:rPr>
      </w:pPr>
      <w:bookmarkStart w:id="94" w:name="_Toc409100104"/>
      <w:bookmarkStart w:id="95" w:name="_Toc409100467"/>
      <w:bookmarkStart w:id="96" w:name="_Toc361324899"/>
      <w:bookmarkEnd w:id="93"/>
      <w:r>
        <w:rPr>
          <w:rFonts w:ascii="Times New Roman" w:eastAsiaTheme="minorEastAsia" w:hAnsi="Times New Roman"/>
          <w:bCs w:val="0"/>
          <w:color w:themeColor="text1" w:val="000000"/>
          <w:sz w:val="21"/>
          <w:szCs w:val="21"/>
        </w:rPr>
        <w:t>10.</w:t>
      </w:r>
      <w:r>
        <w:rPr>
          <w:rFonts w:ascii="Times New Roman" w:eastAsiaTheme="minorEastAsia" w:hAnsi="Times New Roman"/>
          <w:kern w:val="0"/>
          <w:sz w:val="21"/>
          <w:szCs w:val="21"/>
        </w:rPr>
        <w:t>6</w:t>
      </w:r>
      <w:r>
        <w:rPr>
          <w:rFonts w:ascii="Times New Roman" w:eastAsiaTheme="minorEastAsia" w:hAnsi="Times New Roman"/>
          <w:bCs w:val="0"/>
          <w:color w:themeColor="text1" w:val="000000"/>
          <w:sz w:val="21"/>
          <w:szCs w:val="21"/>
        </w:rPr>
        <w:t xml:space="preserve"> </w:t>
      </w:r>
      <w:r>
        <w:rPr>
          <w:rFonts w:ascii="Times New Roman" w:eastAsiaTheme="minorEastAsia" w:hAnsi="Times New Roman"/>
          <w:bCs w:val="0"/>
          <w:color w:themeColor="text1" w:val="000000"/>
          <w:sz w:val="21"/>
          <w:szCs w:val="21"/>
        </w:rPr>
        <w:t>管理人、</w:t>
      </w:r>
      <w:r>
        <w:rPr>
          <w:rFonts w:ascii="Times New Roman" w:eastAsiaTheme="minorEastAsia" w:hAnsi="Times New Roman"/>
          <w:color w:themeColor="text1" w:val="000000"/>
          <w:kern w:val="0"/>
          <w:sz w:val="21"/>
          <w:szCs w:val="21"/>
        </w:rPr>
        <w:t>托管人及其高级管理人员受稽查或处罚等情况</w:t>
      </w:r>
      <w:bookmarkEnd w:id="94"/>
      <w:bookmarkEnd w:id="95"/>
      <w:bookmarkEnd w:id="96"/>
    </w:p>
    <w:p w:rsidR="00967083" w:rsidRDefault="00E4498A">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本报告期内，本基金管理人、托管人的托管业务部门及其相关高级管理人员无受稽查或处罚等情况。</w:t>
      </w:r>
    </w:p>
    <w:p w:rsidR="00967083" w:rsidRDefault="00E4498A">
      <w:pPr>
        <w:pStyle w:val="2"/>
        <w:spacing w:after="0" w:before="0"/>
        <w:rPr>
          <w:rFonts w:ascii="Times New Roman" w:eastAsiaTheme="minorEastAsia" w:hAnsi="Times New Roman"/>
          <w:bCs w:val="0"/>
          <w:color w:themeColor="text1" w:val="000000"/>
          <w:sz w:val="21"/>
          <w:szCs w:val="21"/>
        </w:rPr>
      </w:pPr>
      <w:bookmarkStart w:id="97" w:name="_Toc409100105"/>
      <w:bookmarkStart w:id="98" w:name="_Toc361324900"/>
      <w:bookmarkStart w:id="99" w:name="_Toc409100468"/>
      <w:r>
        <w:rPr>
          <w:rFonts w:ascii="Times New Roman" w:eastAsiaTheme="minorEastAsia" w:hAnsi="Times New Roman"/>
          <w:bCs w:val="0"/>
          <w:color w:themeColor="text1" w:val="000000"/>
          <w:sz w:val="21"/>
          <w:szCs w:val="21"/>
        </w:rPr>
        <w:t>10.</w:t>
      </w:r>
      <w:r>
        <w:rPr>
          <w:rFonts w:ascii="Times New Roman" w:eastAsiaTheme="minorEastAsia" w:hAnsi="Times New Roman"/>
          <w:kern w:val="0"/>
          <w:sz w:val="21"/>
          <w:szCs w:val="21"/>
        </w:rPr>
        <w:t>7</w:t>
      </w:r>
      <w:r>
        <w:rPr>
          <w:rFonts w:ascii="Times New Roman" w:eastAsiaTheme="minorEastAsia" w:hAnsi="Times New Roman"/>
          <w:bCs w:val="0"/>
          <w:color w:themeColor="text1" w:val="000000"/>
          <w:sz w:val="21"/>
          <w:szCs w:val="21"/>
        </w:rPr>
        <w:t xml:space="preserve"> </w:t>
      </w:r>
      <w:r>
        <w:rPr>
          <w:rFonts w:ascii="Times New Roman" w:eastAsiaTheme="minorEastAsia" w:hAnsi="Times New Roman"/>
          <w:bCs w:val="0"/>
          <w:color w:themeColor="text1" w:val="000000"/>
          <w:sz w:val="21"/>
          <w:szCs w:val="21"/>
        </w:rPr>
        <w:t>基金租用证券公司交易单元的有关情况</w:t>
      </w:r>
      <w:bookmarkEnd w:id="97"/>
      <w:bookmarkEnd w:id="98"/>
      <w:bookmarkEnd w:id="99"/>
    </w:p>
    <w:p w:rsidR="00967083" w:rsidRDefault="00E4498A">
      <w:pPr>
        <w:spacing w:line="360" w:lineRule="auto"/>
        <w:rPr>
          <w:rFonts w:eastAsiaTheme="minorEastAsia"/>
          <w:b/>
          <w:color w:themeColor="text1" w:val="000000"/>
          <w:szCs w:val="21"/>
        </w:rPr>
      </w:pPr>
      <w:bookmarkStart w:id="100" w:name="_Toc249760070"/>
      <w:r>
        <w:rPr>
          <w:rFonts w:eastAsiaTheme="minorEastAsia"/>
          <w:b/>
          <w:color w:themeColor="text1" w:val="000000"/>
          <w:szCs w:val="21"/>
        </w:rPr>
        <w:t>10.</w:t>
      </w:r>
      <w:r>
        <w:rPr>
          <w:rFonts w:eastAsiaTheme="minorEastAsia" w:hint="eastAsia"/>
          <w:b/>
          <w:color w:themeColor="text1" w:val="000000"/>
          <w:szCs w:val="21"/>
        </w:rPr>
        <w:t/>
      </w:r>
      <w:r>
        <w:rPr>
          <w:rFonts w:eastAsiaTheme="minorEastAsia"/>
          <w:b/>
          <w:color w:themeColor="text1" w:val="000000"/>
          <w:szCs w:val="21"/>
        </w:rPr>
        <w:t/>
      </w:r>
      <w:r>
        <w:rPr>
          <w:rFonts w:eastAsiaTheme="minorEastAsia" w:hint="eastAsia"/>
          <w:b/>
          <w:color w:themeColor="text1" w:val="000000"/>
          <w:szCs w:val="21"/>
        </w:rPr>
        <w:t>7</w:t>
      </w:r>
      <w:r>
        <w:rPr>
          <w:rFonts w:eastAsiaTheme="minorEastAsia"/>
          <w:b/>
          <w:color w:themeColor="text1" w:val="000000"/>
          <w:szCs w:val="21"/>
        </w:rPr>
        <w:t xml:space="preserve">.1 </w:t>
      </w:r>
      <w:r>
        <w:rPr>
          <w:rFonts w:eastAsiaTheme="minorEastAsia"/>
          <w:b/>
          <w:color w:themeColor="text1" w:val="000000"/>
          <w:szCs w:val="21"/>
        </w:rPr>
        <w:t>基金租用证券公司交易单元进行股票投资及佣金支付情况</w:t>
      </w:r>
      <w:bookmarkEnd w:id="100"/>
    </w:p>
    <w:p w:rsidR="00967083" w:rsidRDefault="00E4498A">
      <w:pPr>
        <w:pStyle w:val="a0"/>
        <w:spacing w:line="360" w:lineRule="auto"/>
        <w:ind w:firstLine="5460" w:firstLineChars="2600"/>
        <w:jc w:val="right"/>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t>金额单位：人民币元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560"/>
        <w:gridCol w:w="780"/>
        <w:gridCol w:w="1800"/>
        <w:gridCol w:w="1080"/>
        <w:gridCol w:w="1620"/>
        <w:gridCol w:w="1080"/>
        <w:gridCol w:w="1080"/>
      </w:tblGrid>
      <w:tr w:rsidR="00967083">
        <w:tc>
          <w:tcPr>
            <w:tcW w:type="dxa" w:w="1560"/>
            <w:vMerge w:val="restart"/>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券商名称</w:t>
            </w:r>
            <w:r>
              <w:rPr>
                <w:rFonts w:eastAsiaTheme="minorEastAsia"/>
                <w:color w:themeColor="text1" w:val="000000"/>
                <w:szCs w:val="21"/>
              </w:rPr>
              <w:t/>
            </w:r>
          </w:p>
        </w:tc>
        <w:tc>
          <w:tcPr>
            <w:tcW w:type="dxa" w:w="780"/>
            <w:vMerge w:val="restart"/>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交易单元数量</w:t>
            </w:r>
          </w:p>
        </w:tc>
        <w:tc>
          <w:tcPr>
            <w:tcW w:type="dxa" w:w="2880"/>
            <w:gridSpan w:val="2"/>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股票交易</w:t>
            </w:r>
          </w:p>
        </w:tc>
        <w:tc>
          <w:tcPr>
            <w:tcW w:type="dxa" w:w="2700"/>
            <w:gridSpan w:val="2"/>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应支付该券商的佣金</w:t>
            </w:r>
          </w:p>
        </w:tc>
        <w:tc>
          <w:tcPr>
            <w:tcW w:type="dxa" w:w="1080"/>
            <w:vMerge w:val="restart"/>
            <w:vAlign w:val="center"/>
          </w:tcPr>
          <w:p w:rsidR="00967083" w:rsidRDefault="00E4498A">
            <w:pPr>
              <w:spacing w:line="276" w:lineRule="auto"/>
              <w:jc w:val="center"/>
              <w:rPr>
                <w:rFonts w:eastAsiaTheme="minorEastAsia"/>
                <w:color w:themeColor="text1" w:val="000000"/>
                <w:kern w:val="0"/>
                <w:szCs w:val="21"/>
              </w:rPr>
            </w:pPr>
            <w:r>
              <w:rPr>
                <w:rFonts w:eastAsiaTheme="minorEastAsia"/>
                <w:color w:themeColor="text1" w:val="000000"/>
                <w:kern w:val="0"/>
                <w:szCs w:val="21"/>
              </w:rPr>
              <w:t>备注</w:t>
            </w:r>
          </w:p>
        </w:tc>
      </w:tr>
      <w:tr w:rsidR="00967083">
        <w:tc>
          <w:tcPr>
            <w:tcW w:type="dxa" w:w="1560"/>
            <w:vMerge/>
            <w:vAlign w:val="center"/>
          </w:tcPr>
          <w:p w:rsidR="00967083" w:rsidRDefault="00967083">
            <w:pPr>
              <w:widowControl/>
              <w:spacing w:line="276" w:lineRule="auto"/>
              <w:jc w:val="left"/>
              <w:rPr>
                <w:rFonts w:eastAsiaTheme="minorEastAsia"/>
                <w:color w:themeColor="text1" w:val="000000"/>
                <w:szCs w:val="21"/>
              </w:rPr>
            </w:pPr>
          </w:p>
        </w:tc>
        <w:tc>
          <w:tcPr>
            <w:tcW w:type="dxa" w:w="780"/>
            <w:vMerge/>
            <w:vAlign w:val="center"/>
          </w:tcPr>
          <w:p w:rsidR="00967083" w:rsidRDefault="00967083">
            <w:pPr>
              <w:widowControl/>
              <w:spacing w:line="276" w:lineRule="auto"/>
              <w:jc w:val="left"/>
              <w:rPr>
                <w:rFonts w:eastAsiaTheme="minorEastAsia"/>
                <w:color w:themeColor="text1" w:val="000000"/>
                <w:szCs w:val="21"/>
              </w:rPr>
            </w:pPr>
          </w:p>
        </w:tc>
        <w:tc>
          <w:tcPr>
            <w:tcW w:type="dxa" w:w="1800"/>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成交金额</w:t>
            </w:r>
          </w:p>
        </w:tc>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占当期股票成交总额的比例</w:t>
            </w:r>
          </w:p>
        </w:tc>
        <w:tc>
          <w:tcPr>
            <w:tcW w:type="dxa" w:w="1620"/>
            <w:vAlign w:val="center"/>
          </w:tcPr>
          <w:p w:rsidR="00967083" w:rsidRDefault="00E4498A">
            <w:pPr>
              <w:spacing w:line="276" w:lineRule="auto"/>
              <w:jc w:val="center"/>
              <w:rPr>
                <w:rFonts w:eastAsiaTheme="minorEastAsia"/>
                <w:color w:themeColor="text1" w:val="000000"/>
                <w:kern w:val="0"/>
                <w:szCs w:val="21"/>
              </w:rPr>
            </w:pPr>
            <w:r>
              <w:rPr>
                <w:rFonts w:eastAsiaTheme="minorEastAsia"/>
                <w:color w:themeColor="text1" w:val="000000"/>
                <w:kern w:val="0"/>
                <w:szCs w:val="21"/>
              </w:rPr>
              <w:t>佣金</w:t>
            </w:r>
          </w:p>
        </w:tc>
        <w:tc>
          <w:tcPr>
            <w:tcW w:type="dxa" w:w="1080"/>
            <w:vAlign w:val="center"/>
          </w:tcPr>
          <w:p w:rsidR="00967083" w:rsidRDefault="00E4498A">
            <w:pPr>
              <w:spacing w:line="276" w:lineRule="auto"/>
              <w:jc w:val="center"/>
              <w:rPr>
                <w:rFonts w:eastAsiaTheme="minorEastAsia"/>
                <w:color w:themeColor="text1" w:val="000000"/>
                <w:szCs w:val="21"/>
              </w:rPr>
            </w:pPr>
            <w:r>
              <w:rPr>
                <w:rFonts w:eastAsiaTheme="minorEastAsia"/>
                <w:color w:themeColor="text1" w:val="000000"/>
                <w:szCs w:val="21"/>
              </w:rPr>
              <w:t>占当期佣金总量的比例</w:t>
            </w:r>
          </w:p>
        </w:tc>
        <w:tc>
          <w:tcPr>
            <w:tcW w:type="dxa" w:w="1080"/>
            <w:vMerge/>
            <w:vAlign w:val="center"/>
          </w:tcPr>
          <w:p w:rsidR="00967083" w:rsidRDefault="00967083">
            <w:pPr>
              <w:widowControl/>
              <w:spacing w:line="276" w:lineRule="auto"/>
              <w:jc w:val="left"/>
              <w:rPr>
                <w:rFonts w:eastAsiaTheme="minorEastAsia"/>
                <w:color w:themeColor="text1" w:val="000000"/>
                <w:kern w:val="0"/>
                <w:szCs w:val="21"/>
              </w:rPr>
            </w:pPr>
          </w:p>
        </w:tc>
      </w:tr>
      <w:tr>
        <w:tc>
          <w:tcPr>
            <w:vAlign w:val="center"/>
          </w:tcPr>
          <w:p>
            <w:pPr>
              <w:jc w:val="left"/>
            </w:pPr>
            <w:r>
              <w:rPr>
                <w:rFonts w:eastAsiaTheme="minorEastAsia"/>
                <w:color w:themeColor="text1" w:val="000000"/>
                <w:szCs w:val="21"/>
              </w:rPr>
              <w:t>国融证券</w:t>
            </w:r>
          </w:p>
        </w:tc>
        <w:tc>
          <w:tcPr>
            <w:vAlign w:val="center"/>
          </w:tcPr>
          <w:p>
            <w:pPr>
              <w:jc w:val="right"/>
            </w:pPr>
            <w:r>
              <w:rPr>
                <w:rFonts w:eastAsiaTheme="minorEastAsia"/>
                <w:color w:themeColor="text1" w:val="000000"/>
                <w:szCs w:val="21"/>
              </w:rPr>
              <w:t>2</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left"/>
            </w:pPr>
            <w:r>
              <w:rPr>
                <w:rFonts w:eastAsiaTheme="minorEastAsia"/>
                <w:color w:themeColor="text1" w:val="000000"/>
                <w:szCs w:val="21"/>
              </w:rPr>
              <w:t>-</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注：1、交易席位选择标准：</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（1）财务状况良好，在最近一年内无重大违规行为；</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（2）经营行为规范，内控制度健全，在业内有良好的声誉；</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（3）具备投资运作所需的高效、安全、合规的席位资源，满足投资组合进行证券交易的需要；</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（4）具有较强的研究和行业分析能力，能及时、全面、准确地向公司提供关于宏观、行业、市场及个股的高质量报告，并能根据基金投资的特殊要求，提供专门的研究报告；</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（5）能积极为公司投资业务的开展，提供良好的信息交流和客户服务；</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（6）能提供其他基金运作和管理所需的服务。</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2、交易席位选择流程：</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（1）对交易单元候选券商的研究服务进行评估。本基金管理人组织相关人员依据交易单元选择标准对交易单元候选券商的服务质量和研究实力进行评估，确定选用交易单元的券商。</w:t>
      </w:r>
    </w:p>
    <w:p w:rsidR="00967083" w:rsidRDefault="00E4498A">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lastRenderedPageBreak/>
        <w:t>（2）协议签署及通知托管人。本基金管理人与被选择的券商签订交易单元租用协议，并通知基金托管人。</w:t>
      </w:r>
    </w:p>
    <w:p w:rsidR="00967083" w:rsidRDefault="00E4498A">
      <w:pPr>
        <w:spacing w:line="360" w:lineRule="auto"/>
        <w:rPr>
          <w:b/>
          <w:szCs w:val="21"/>
        </w:rPr>
      </w:pPr>
      <w:r>
        <w:rPr>
          <w:rFonts w:eastAsiaTheme="minorEastAsia"/>
          <w:b/>
          <w:color w:themeColor="text1" w:val="000000"/>
          <w:szCs w:val="21"/>
        </w:rPr>
        <w:t xml:space="preserve">10.7.2 </w:t>
      </w:r>
      <w:r>
        <w:rPr>
          <w:rFonts w:eastAsiaTheme="minorEastAsia"/>
          <w:b/>
          <w:color w:themeColor="text1" w:val="000000"/>
          <w:szCs w:val="21"/>
        </w:rPr>
        <w:t>基金租用证券公司交易单元进行其他证券投资</w:t>
      </w:r>
      <w:r>
        <w:rPr>
          <w:b/>
          <w:szCs w:val="21"/>
        </w:rPr>
        <w:t>的情况</w:t>
      </w:r>
      <w:bookmarkEnd w:id="86"/>
    </w:p>
    <w:p w:rsidR="00967083" w:rsidRDefault="00E4498A">
      <w:pPr>
        <w:wordWrap w:val="0"/>
        <w:ind w:firstLine="420"/>
        <w:jc w:val="right"/>
        <w:rPr>
          <w:color w:val="000000"/>
          <w:szCs w:val="21"/>
        </w:rPr>
      </w:pPr>
      <w:bookmarkStart w:id="101" w:name="_Toc249707408"/>
      <w:r>
        <w:rPr>
          <w:szCs w:val="21"/>
        </w:rPr>
        <w:t/>
      </w:r>
      <w:r>
        <w:rPr>
          <w:szCs w:val="21"/>
        </w:rPr>
        <w:t>金额单位</w:t>
      </w:r>
      <w:r>
        <w:rPr>
          <w:color w:val="000000"/>
          <w:kern w:val="0"/>
          <w:szCs w:val="21"/>
        </w:rPr>
        <w:t>：</w:t>
      </w:r>
      <w:r>
        <w:rPr>
          <w:color w:val="000000"/>
          <w:kern w:val="0"/>
          <w:szCs w:val="21"/>
          <w:lang w:val="zh-CN"/>
        </w:rPr>
        <w:t>人民币元</w:t>
      </w:r>
      <w:bookmarkEnd w:id="101"/>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560"/>
        <w:gridCol w:w="1320"/>
        <w:gridCol w:w="1080"/>
        <w:gridCol w:w="1143"/>
        <w:gridCol w:w="1197"/>
        <w:gridCol w:w="1497"/>
        <w:gridCol w:w="1203"/>
      </w:tblGrid>
      <w:tr w:rsidR="00967083">
        <w:tc>
          <w:tcPr>
            <w:tcW w:type="dxa" w:w="1560"/>
            <w:vMerge w:val="restart"/>
            <w:vAlign w:val="center"/>
          </w:tcPr>
          <w:p w:rsidR="00967083" w:rsidRDefault="00E4498A">
            <w:pPr>
              <w:spacing w:line="360" w:lineRule="auto"/>
              <w:jc w:val="center"/>
              <w:rPr>
                <w:rFonts w:eastAsiaTheme="minorEastAsia"/>
                <w:color w:val="000000"/>
                <w:kern w:val="0"/>
                <w:szCs w:val="21"/>
              </w:rPr>
            </w:pPr>
            <w:bookmarkStart w:id="102" w:name="_Toc331410125"/>
            <w:r>
              <w:rPr>
                <w:rFonts w:eastAsiaTheme="minorEastAsia"/>
                <w:color w:val="000000"/>
                <w:szCs w:val="21"/>
              </w:rPr>
              <w:t>券商名称</w:t>
            </w:r>
            <w:r>
              <w:rPr>
                <w:rFonts w:eastAsiaTheme="minorEastAsia"/>
                <w:color w:val="000000"/>
                <w:szCs w:val="21"/>
              </w:rPr>
              <w:t/>
            </w:r>
          </w:p>
        </w:tc>
        <w:tc>
          <w:tcPr>
            <w:tcW w:type="dxa" w:w="2400"/>
            <w:gridSpan w:val="2"/>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债券交易</w:t>
            </w:r>
          </w:p>
        </w:tc>
        <w:tc>
          <w:tcPr>
            <w:tcW w:type="dxa" w:w="2340"/>
            <w:gridSpan w:val="2"/>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回购交易</w:t>
            </w:r>
          </w:p>
        </w:tc>
        <w:tc>
          <w:tcPr>
            <w:tcW w:type="dxa" w:w="2700"/>
            <w:gridSpan w:val="2"/>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权证交易</w:t>
            </w:r>
          </w:p>
        </w:tc>
      </w:tr>
      <w:tr w:rsidR="00967083">
        <w:tc>
          <w:tcPr>
            <w:tcW w:type="dxa" w:w="1560"/>
            <w:vMerge/>
            <w:vAlign w:val="center"/>
          </w:tcPr>
          <w:p w:rsidR="00967083" w:rsidRDefault="00967083">
            <w:pPr>
              <w:widowControl/>
              <w:spacing w:line="360" w:lineRule="auto"/>
              <w:jc w:val="left"/>
              <w:rPr>
                <w:rFonts w:eastAsiaTheme="minorEastAsia"/>
                <w:color w:val="000000"/>
                <w:kern w:val="0"/>
                <w:szCs w:val="21"/>
              </w:rPr>
            </w:pPr>
          </w:p>
        </w:tc>
        <w:tc>
          <w:tcPr>
            <w:tcW w:type="dxa" w:w="1320"/>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成交金额</w:t>
            </w:r>
          </w:p>
        </w:tc>
        <w:tc>
          <w:tcPr>
            <w:tcW w:type="dxa" w:w="1080"/>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占当期债券成交总额的比例</w:t>
            </w:r>
          </w:p>
        </w:tc>
        <w:tc>
          <w:tcPr>
            <w:tcW w:type="dxa" w:w="1143"/>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成交金额</w:t>
            </w:r>
          </w:p>
        </w:tc>
        <w:tc>
          <w:tcPr>
            <w:tcW w:type="dxa" w:w="1197"/>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占当期回购成交总额的比例</w:t>
            </w:r>
          </w:p>
        </w:tc>
        <w:tc>
          <w:tcPr>
            <w:tcW w:type="dxa" w:w="1497"/>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成交金额</w:t>
            </w:r>
          </w:p>
        </w:tc>
        <w:tc>
          <w:tcPr>
            <w:tcW w:type="dxa" w:w="1203"/>
            <w:vAlign w:val="center"/>
          </w:tcPr>
          <w:p w:rsidR="00967083" w:rsidRDefault="00E4498A">
            <w:pPr>
              <w:spacing w:line="360" w:lineRule="auto"/>
              <w:jc w:val="center"/>
              <w:rPr>
                <w:rFonts w:eastAsiaTheme="minorEastAsia"/>
                <w:color w:val="000000"/>
                <w:szCs w:val="21"/>
              </w:rPr>
            </w:pPr>
            <w:r>
              <w:rPr>
                <w:rFonts w:eastAsiaTheme="minorEastAsia"/>
                <w:color w:val="000000"/>
                <w:szCs w:val="21"/>
              </w:rPr>
              <w:t>占当期权证成交总额的比例</w:t>
            </w:r>
          </w:p>
        </w:tc>
      </w:tr>
      <w:tr>
        <w:tc>
          <w:tcPr>
            <w:vAlign w:val="center"/>
          </w:tcPr>
          <w:p>
            <w:pPr>
              <w:jc w:val="center"/>
            </w:pPr>
            <w:r>
              <w:rPr>
                <w:rFonts w:eastAsiaTheme="minorEastAsia"/>
                <w:color w:val="000000"/>
                <w:szCs w:val="21"/>
              </w:rPr>
              <w:t>国融证券</w:t>
            </w:r>
          </w:p>
        </w:tc>
        <w:tc>
          <w:tcPr>
            <w:vAlign w:val="center"/>
          </w:tcPr>
          <w:p>
            <w:pPr>
              <w:jc w:val="right"/>
            </w:pPr>
            <w:r>
              <w:rPr>
                <w:rFonts w:eastAsiaTheme="minorEastAsia"/>
                <w:color w:val="000000"/>
                <w:szCs w:val="21"/>
              </w:rPr>
              <w:t>34,997,819.60</w:t>
            </w:r>
          </w:p>
        </w:tc>
        <w:tc>
          <w:tcPr>
            <w:vAlign w:val="center"/>
          </w:tcPr>
          <w:p>
            <w:pPr>
              <w:jc w:val="right"/>
            </w:pPr>
            <w:r>
              <w:rPr>
                <w:rFonts w:eastAsiaTheme="minorEastAsia"/>
                <w:color w:val="000000"/>
                <w:szCs w:val="21"/>
              </w:rPr>
              <w:t>100.00%</w:t>
            </w:r>
          </w:p>
        </w:tc>
        <w:tc>
          <w:tcPr>
            <w:vAlign w:val="center"/>
          </w:tcPr>
          <w:p>
            <w:pPr>
              <w:jc w:val="right"/>
            </w:pPr>
            <w:r>
              <w:rPr>
                <w:rFonts w:eastAsiaTheme="minorEastAsia"/>
                <w:color w:val="000000"/>
                <w:szCs w:val="21"/>
              </w:rPr>
              <w:t>16,700,000.00</w:t>
            </w:r>
          </w:p>
        </w:tc>
        <w:tc>
          <w:tcPr>
            <w:vAlign w:val="center"/>
          </w:tcPr>
          <w:p>
            <w:pPr>
              <w:jc w:val="right"/>
            </w:pPr>
            <w:r>
              <w:rPr>
                <w:rFonts w:eastAsiaTheme="minorEastAsia"/>
                <w:color w:val="000000"/>
                <w:szCs w:val="21"/>
              </w:rPr>
              <w:t>100.00%</w:t>
            </w:r>
          </w:p>
        </w:tc>
        <w:tc>
          <w:tcPr>
            <w:vAlign w:val="center"/>
          </w:tcPr>
          <w:p>
            <w:pPr>
              <w:jc w:val="right"/>
            </w:pPr>
            <w:r>
              <w:rPr>
                <w:rFonts w:eastAsiaTheme="minorEastAsia"/>
                <w:color w:val="000000"/>
                <w:szCs w:val="21"/>
              </w:rPr>
              <w:t>-</w:t>
            </w:r>
          </w:p>
        </w:tc>
        <w:tc>
          <w:tcPr>
            <w:vAlign w:val="center"/>
          </w:tcPr>
          <w:p>
            <w:pPr>
              <w:jc w:val="right"/>
            </w:pPr>
            <w:r>
              <w:rPr>
                <w:rFonts w:eastAsiaTheme="minorEastAsia"/>
                <w:color w:val="000000"/>
                <w:szCs w:val="21"/>
              </w:rPr>
              <w:t>-</w:t>
            </w:r>
          </w:p>
        </w:tc>
      </w:tr>
    </w:tbl>
    <w:p w:rsidR="00967083" w:rsidRDefault="00967083">
      <w:pPr>
        <w:autoSpaceDE w:val="0"/>
        <w:autoSpaceDN w:val="0"/>
        <w:adjustRightInd w:val="0"/>
        <w:spacing w:line="360" w:lineRule="auto"/>
        <w:jc w:val="left"/>
        <w:rPr>
          <w:color w:val="000000"/>
          <w:szCs w:val="21"/>
        </w:rPr>
      </w:pPr>
    </w:p>
    <w:p w:rsidR="00967083" w:rsidRDefault="00E4498A">
      <w:pPr>
        <w:pStyle w:val="1"/>
        <w:keepNext/>
        <w:keepLines/>
        <w:widowControl w:val="0"/>
        <w:spacing w:after="312" w:afterLines="100" w:before="312" w:beforeLines="100" w:line="360" w:lineRule="auto"/>
        <w:jc w:val="center"/>
        <w:rPr>
          <w:b/>
          <w:bCs/>
          <w:sz w:val="21"/>
          <w:szCs w:val="21"/>
          <w:lang w:val="en-US"/>
        </w:rPr>
      </w:pPr>
      <w:r>
        <w:rPr>
          <w:b/>
          <w:bCs/>
          <w:color w:val="000000"/>
          <w:sz w:val="21"/>
          <w:szCs w:val="21"/>
        </w:rPr>
        <w:lastRenderedPageBreak/>
        <w:t/>
      </w:r>
      <w:r>
        <w:rPr>
          <w:b/>
          <w:bCs/>
          <w:sz w:val="21"/>
          <w:szCs w:val="21"/>
          <w:lang w:val="en-US"/>
        </w:rPr>
        <w:t xml:space="preserve">11  </w:t>
      </w:r>
      <w:r>
        <w:rPr>
          <w:b/>
          <w:bCs/>
          <w:sz w:val="21"/>
          <w:szCs w:val="21"/>
          <w:lang w:val="en-US"/>
        </w:rPr>
        <w:t>影响投资者决策的其他重要信息</w:t>
      </w:r>
      <w:bookmarkEnd w:id="102"/>
    </w:p>
    <w:p w:rsidR="00967083" w:rsidRDefault="00E4498A">
      <w:pPr>
        <w:autoSpaceDE w:val="0"/>
        <w:autoSpaceDN w:val="0"/>
        <w:adjustRightInd w:val="0"/>
        <w:spacing w:line="360" w:lineRule="auto"/>
        <w:jc w:val="left"/>
        <w:rPr>
          <w:rFonts w:eastAsiaTheme="minorEastAsia"/>
          <w:b/>
          <w:bCs/>
          <w:color w:themeColor="text1" w:val="000000"/>
          <w:kern w:val="0"/>
          <w:szCs w:val="21"/>
        </w:rPr>
      </w:pPr>
      <w:r>
        <w:rPr>
          <w:rFonts w:eastAsiaTheme="minorEastAsia"/>
          <w:b/>
          <w:color w:themeColor="text1" w:val="000000"/>
          <w:kern w:val="0"/>
          <w:szCs w:val="21"/>
        </w:rPr>
        <w:t/>
      </w:r>
      <w:r>
        <w:rPr>
          <w:rFonts w:eastAsiaTheme="minorEastAsia"/>
          <w:b/>
          <w:bCs/>
          <w:color w:themeColor="text1" w:val="000000"/>
          <w:kern w:val="0"/>
          <w:szCs w:val="21"/>
        </w:rPr>
        <w:t xml:space="preserve">11.1 </w:t>
      </w:r>
      <w:r>
        <w:rPr>
          <w:rFonts w:eastAsiaTheme="minorEastAsia" w:hint="eastAsia"/>
          <w:b/>
          <w:bCs/>
          <w:color w:themeColor="text1" w:val="000000"/>
          <w:kern w:val="0"/>
          <w:szCs w:val="21"/>
        </w:rPr>
        <w:t>报告期内单一投资者持有基金份额比例达到或超过</w:t>
      </w:r>
      <w:r>
        <w:rPr>
          <w:rFonts w:eastAsiaTheme="minorEastAsia"/>
          <w:b/>
          <w:bCs/>
          <w:color w:themeColor="text1" w:val="000000"/>
          <w:kern w:val="0"/>
          <w:szCs w:val="21"/>
        </w:rPr>
        <w:t>20%</w:t>
      </w:r>
      <w:r>
        <w:rPr>
          <w:rFonts w:eastAsiaTheme="minorEastAsia" w:hint="eastAsia"/>
          <w:b/>
          <w:bCs/>
          <w:color w:themeColor="text1" w:val="000000"/>
          <w:kern w:val="0"/>
          <w:szCs w:val="21"/>
        </w:rPr>
        <w:t>的情况</w:t>
      </w:r>
    </w:p>
    <w:tbl>
      <w:tblPr>
        <w:tblStyle w:val="af1"/>
        <w:tblW w:type="dxa" w:w="9210"/>
        <w:tblInd w:type="dxa" w:w="-176"/>
        <w:tblLayout w:type="fixed"/>
        <w:tblLook w:firstColumn="1" w:firstRow="1" w:lastColumn="0" w:lastRow="0" w:noHBand="0" w:noVBand="1" w:val="04A0"/>
      </w:tblPr>
      <w:tblGrid>
        <w:gridCol w:w="992"/>
        <w:gridCol w:w="991"/>
        <w:gridCol w:w="1843"/>
        <w:gridCol w:w="851"/>
        <w:gridCol w:w="992"/>
        <w:gridCol w:w="850"/>
        <w:gridCol w:w="1418"/>
        <w:gridCol w:w="1273"/>
      </w:tblGrid>
      <w:tr w:rsidR="00967083">
        <w:tc>
          <w:tcPr>
            <w:tcW w:type="dxa" w:w="992"/>
            <w:vMerge w:val="restart"/>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投资者类别</w:t>
            </w:r>
            <w:r>
              <w:t/>
            </w:r>
          </w:p>
        </w:tc>
        <w:tc>
          <w:tcPr>
            <w:tcW w:type="dxa" w:w="5527"/>
            <w:gridSpan w:val="5"/>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报告期内持有基金份额变化情况</w:t>
            </w:r>
          </w:p>
        </w:tc>
        <w:tc>
          <w:tcPr>
            <w:tcW w:type="dxa" w:w="2691"/>
            <w:gridSpan w:val="2"/>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报告期末持有基金情况</w:t>
            </w:r>
          </w:p>
        </w:tc>
      </w:tr>
      <w:tr w:rsidR="00967083">
        <w:tc>
          <w:tcPr>
            <w:tcW w:type="dxa" w:w="992"/>
            <w:vMerge/>
            <w:tcBorders>
              <w:top w:color="auto" w:space="0" w:sz="4" w:val="single"/>
              <w:left w:color="auto" w:space="0" w:sz="4" w:val="single"/>
              <w:bottom w:color="auto" w:space="0" w:sz="4" w:val="single"/>
              <w:right w:color="auto" w:space="0" w:sz="4" w:val="single"/>
            </w:tcBorders>
            <w:vAlign w:val="center"/>
          </w:tcPr>
          <w:p w:rsidR="00967083" w:rsidRDefault="00967083">
            <w:pPr>
              <w:widowControl/>
              <w:jc w:val="left"/>
            </w:pPr>
          </w:p>
        </w:tc>
        <w:tc>
          <w:tcPr>
            <w:tcW w:type="dxa" w:w="991"/>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序号</w:t>
            </w:r>
          </w:p>
        </w:tc>
        <w:tc>
          <w:tcPr>
            <w:tcW w:type="dxa" w:w="1843"/>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持有基金份额比例达到或者超过</w:t>
            </w:r>
            <w:r>
              <w:t>20%</w:t>
            </w:r>
            <w:r>
              <w:rPr>
                <w:rFonts w:hint="eastAsia"/>
              </w:rPr>
              <w:t>的时间区间</w:t>
            </w:r>
          </w:p>
        </w:tc>
        <w:tc>
          <w:tcPr>
            <w:tcW w:type="dxa" w:w="851"/>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期初份额</w:t>
            </w:r>
          </w:p>
        </w:tc>
        <w:tc>
          <w:tcPr>
            <w:tcW w:type="dxa" w:w="992"/>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申购份额</w:t>
            </w:r>
          </w:p>
        </w:tc>
        <w:tc>
          <w:tcPr>
            <w:tcW w:type="dxa" w:w="850"/>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赎回份额</w:t>
            </w:r>
          </w:p>
        </w:tc>
        <w:tc>
          <w:tcPr>
            <w:tcW w:type="dxa" w:w="1418"/>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持有份额</w:t>
            </w:r>
          </w:p>
        </w:tc>
        <w:tc>
          <w:tcPr>
            <w:tcW w:type="dxa" w:w="1273"/>
            <w:tcBorders>
              <w:top w:color="auto" w:space="0" w:sz="4" w:val="single"/>
              <w:left w:color="auto" w:space="0" w:sz="4" w:val="single"/>
              <w:bottom w:color="auto" w:space="0" w:sz="4" w:val="single"/>
              <w:right w:color="auto" w:space="0" w:sz="4" w:val="single"/>
            </w:tcBorders>
            <w:vAlign w:val="center"/>
          </w:tcPr>
          <w:p w:rsidR="00967083" w:rsidRDefault="00E4498A">
            <w:r>
              <w:rPr>
                <w:rFonts w:hint="eastAsia"/>
              </w:rPr>
              <w:t>份额占比</w:t>
            </w:r>
          </w:p>
        </w:tc>
      </w:tr>
      <w:tr>
        <w:tc>
          <w:tcPr>
            <w:vMerge w:val="restart"/>
            <w:vAlign w:val="center"/>
          </w:tcPr>
          <w:p>
            <w:r>
              <w:rPr>
                <w:rFonts w:hint="eastAsia"/>
              </w:rPr>
              <w:t>机构</w:t>
            </w:r>
          </w:p>
        </w:tc>
        <w:tc>
          <w:tcPr>
            <w:vAlign w:val="center"/>
          </w:tcPr>
          <w:p>
            <w:pPr>
              <w:jc w:val="center"/>
            </w:pPr>
            <w:r>
              <w:rPr xsi:nil="true"/>
              <w:t>1</w:t>
            </w:r>
          </w:p>
        </w:tc>
        <w:tc>
          <w:tcPr>
            <w:vAlign w:val="center"/>
          </w:tcPr>
          <w:p>
            <w:pPr>
              <w:jc w:val="center"/>
            </w:pPr>
            <w:r>
              <w:rPr xsi:nil="true"/>
              <w:t>20190101-20190630</w:t>
            </w:r>
          </w:p>
        </w:tc>
        <w:tc>
          <w:tcPr>
            <w:vAlign w:val="center"/>
          </w:tcPr>
          <w:p>
            <w:pPr>
              <w:jc w:val="center"/>
            </w:pPr>
            <w:r>
              <w:rPr xsi:nil="true"/>
              <w:t>60,000,200.00</w:t>
            </w:r>
          </w:p>
        </w:tc>
        <w:tc>
          <w:tcPr>
            <w:vAlign w:val="center"/>
          </w:tcPr>
          <w:p>
            <w:pPr>
              <w:jc w:val="center"/>
            </w:pPr>
            <w:r>
              <w:rPr xsi:nil="true"/>
              <w:t>-</w:t>
            </w:r>
          </w:p>
        </w:tc>
        <w:tc>
          <w:tcPr>
            <w:vAlign w:val="center"/>
          </w:tcPr>
          <w:p>
            <w:pPr>
              <w:jc w:val="center"/>
            </w:pPr>
            <w:r>
              <w:rPr xsi:nil="true"/>
              <w:t>-</w:t>
            </w:r>
          </w:p>
        </w:tc>
        <w:tc>
          <w:tcPr>
            <w:vAlign w:val="center"/>
          </w:tcPr>
          <w:p>
            <w:pPr>
              <w:jc w:val="center"/>
            </w:pPr>
            <w:r>
              <w:rPr xsi:nil="true"/>
              <w:t>60,000,200.00</w:t>
            </w:r>
          </w:p>
        </w:tc>
        <w:tc>
          <w:tcPr>
            <w:vAlign w:val="center"/>
          </w:tcPr>
          <w:p>
            <w:pPr>
              <w:jc w:val="center"/>
            </w:pPr>
            <w:r>
              <w:rPr xsi:nil="true"/>
              <w:t>99.55%</w:t>
            </w:r>
          </w:p>
        </w:tc>
      </w:tr>
    </w:tbl>
    <w:tbl>
      <w:tblPr>
        <w:tblStyle w:val="af1"/>
        <w:tblW w:type="dxa" w:w="9210"/>
        <w:tblInd w:type="dxa" w:w="-176"/>
        <w:tblLayout w:type="fixed"/>
        <w:tblLook w:firstColumn="1" w:firstRow="1" w:lastColumn="0" w:lastRow="0" w:noHBand="0" w:noVBand="1" w:val="04A0"/>
      </w:tblPr>
      <w:tblGrid>
        <w:gridCol w:w="9210"/>
      </w:tblGrid>
      <w:tr w:rsidR="00967083">
        <w:tc>
          <w:tcPr>
            <w:tcW w:type="dxa" w:w="9210"/>
            <w:tcBorders>
              <w:top w:color="auto" w:space="0" w:sz="4" w:val="single"/>
              <w:left w:color="auto" w:space="0" w:sz="4" w:val="single"/>
              <w:bottom w:color="auto" w:space="0" w:sz="4" w:val="single"/>
              <w:right w:color="auto" w:space="0" w:sz="4" w:val="single"/>
            </w:tcBorders>
            <w:vAlign w:val="center"/>
          </w:tcPr>
          <w:p w:rsidR="00967083" w:rsidRDefault="00E4498A">
            <w:pPr>
              <w:autoSpaceDE w:val="0"/>
              <w:autoSpaceDN w:val="0"/>
              <w:adjustRightInd w:val="0"/>
              <w:ind w:firstLine="1126"/>
              <w:jc w:val="center"/>
            </w:pPr>
            <w:r>
              <w:rPr>
                <w:rFonts w:hint="eastAsia"/>
                <w:color w:val="000000"/>
              </w:rPr>
              <w:t>产品特有风险</w:t>
            </w:r>
            <w:r>
              <w:t/>
            </w:r>
          </w:p>
        </w:tc>
      </w:tr>
      <w:tr w:rsidR="00967083">
        <w:tc>
          <w:tcPr>
            <w:tcW w:type="dxa" w:w="9210"/>
            <w:tcBorders>
              <w:top w:color="auto" w:space="0" w:sz="4" w:val="single"/>
              <w:left w:color="auto" w:space="0" w:sz="4" w:val="single"/>
              <w:bottom w:color="auto" w:space="0" w:sz="4" w:val="single"/>
              <w:right w:color="auto" w:space="0" w:sz="4" w:val="single"/>
            </w:tcBorders>
            <w:vAlign w:val="center"/>
          </w:tcPr>
          <w:p w:rsidR="00967083" w:rsidRDefault="00E4498A">
            <w:pPr>
              <w:autoSpaceDE w:val="0"/>
              <w:autoSpaceDN w:val="0"/>
              <w:adjustRightInd w:val="0"/>
              <w:jc w:val="left"/>
            </w:pPr>
            <w:r>
              <w:t>报告期内，本基金存在单一投资者持有份额比例达到或超过20%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 5000 万元，基金还可能面临转换运作方式、与其他基金合并或者终止基金合同等情形。本基金管理人将对基金的大额申赎进行审慎评估并合理应对，完善流动性风险管控机制，切实保护持有人利益。</w:t>
            </w:r>
          </w:p>
        </w:tc>
      </w:tr>
    </w:tbl>
    <w:p w:rsidR="00967083" w:rsidRDefault="00E4498A">
      <w:pPr>
        <w:spacing w:line="360" w:lineRule="auto"/>
        <w:ind w:left="840"/>
        <w:jc w:val="right"/>
        <w:rPr>
          <w:rFonts w:eastAsiaTheme="minorEastAsia"/>
          <w:b/>
          <w:bCs/>
          <w:szCs w:val="21"/>
        </w:rPr>
      </w:pPr>
      <w:r>
        <w:rPr>
          <w:rFonts w:eastAsiaTheme="minorEastAsia"/>
          <w:b/>
          <w:bCs/>
          <w:szCs w:val="21"/>
        </w:rPr>
        <w:t>广发基金管理有限公司</w:t>
      </w:r>
    </w:p>
    <w:p w:rsidR="00967083" w:rsidRDefault="00E4498A">
      <w:pPr>
        <w:spacing w:line="360" w:lineRule="auto"/>
        <w:ind w:left="840"/>
        <w:jc w:val="right"/>
        <w:rPr>
          <w:rFonts w:eastAsiaTheme="minorEastAsia"/>
          <w:b/>
          <w:bCs/>
          <w:szCs w:val="21"/>
        </w:rPr>
      </w:pPr>
      <w:r>
        <w:rPr>
          <w:rFonts w:eastAsiaTheme="minorEastAsia"/>
          <w:b/>
          <w:bCs/>
          <w:szCs w:val="21"/>
        </w:rPr>
        <w:t>二〇一九年八月二十八日</w:t>
      </w:r>
    </w:p>
    <w:sectPr w:rsidR="00967083">
      <w:footerReference r:id="rId11" w:type="even"/>
      <w:footerReference r:id="rId12" w:type="default"/>
      <w:pgSz w:h="16838" w:w="11906"/>
      <w:pgMar w:bottom="851" w:footer="992" w:gutter="0" w:header="851" w:left="1418" w:right="1418" w:top="1418"/>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59" w:rsidRDefault="00F81059">
      <w:r>
        <w:separator/>
      </w:r>
    </w:p>
  </w:endnote>
  <w:endnote w:type="continuationSeparator" w:id="0">
    <w:p w:rsidR="00F81059" w:rsidRDefault="00F8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7083" w:rsidRDefault="00E4498A">
    <w:pPr>
      <w:pStyle w:val="ab"/>
      <w:framePr w:hAnchor="margin" w:vAnchor="text" w:wrap="around" w:xAlign="right" w:y="1"/>
      <w:rPr>
        <w:rStyle w:val="af2"/>
      </w:rPr>
    </w:pPr>
    <w:r>
      <w:rPr>
        <w:rStyle w:val="af2"/>
      </w:rPr>
      <w:fldChar w:fldCharType="begin"/>
    </w:r>
    <w:r>
      <w:rPr>
        <w:rStyle w:val="af2"/>
      </w:rPr>
      <w:instrText xml:space="preserve">PAGE  </w:instrText>
    </w:r>
    <w:r>
      <w:rPr>
        <w:rStyle w:val="af2"/>
      </w:rPr>
      <w:fldChar w:fldCharType="end"/>
    </w:r>
  </w:p>
  <w:p w:rsidR="00967083" w:rsidRDefault="00967083">
    <w:pPr>
      <w:pStyle w:val="ab"/>
      <w:ind w:right="360"/>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7083" w:rsidRDefault="00E4498A">
    <w:pPr>
      <w:pStyle w:val="ab"/>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42F37">
      <w:rPr>
        <w:noProof/>
        <w:kern w:val="0"/>
        <w:szCs w:val="21"/>
      </w:rPr>
      <w:t>58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42F37">
      <w:rPr>
        <w:noProof/>
        <w:kern w:val="0"/>
        <w:szCs w:val="21"/>
      </w:rPr>
      <w:t>63</w:t>
    </w:r>
    <w:r>
      <w:rPr>
        <w:kern w:val="0"/>
        <w:szCs w:val="21"/>
      </w:rPr>
      <w:fldChar w:fldCharType="end"/>
    </w:r>
    <w:r>
      <w:rPr>
        <w:rFonts w:hint="eastAsia"/>
        <w:kern w:val="0"/>
        <w:szCs w:val="21"/>
      </w:rPr>
      <w:t>页</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R="00F81059" w:rsidRDefault="00F81059">
      <w:r>
        <w:separator/>
      </w:r>
    </w:p>
  </w:footnote>
  <w:footnote w:id="0" w:type="continuationSeparator">
    <w:p w:rsidR="00F81059" w:rsidRDefault="00F81059">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7083" w:rsidRDefault="00E4498A">
    <w:pPr>
      <w:pStyle w:val="ac"/>
      <w:pBdr>
        <w:bottom w:color="auto" w:space="0" w:sz="6" w:val="single"/>
      </w:pBdr>
      <w:jc w:val="right"/>
    </w:pPr>
    <w:r>
      <w:t>广发景润纯债债券型证券投资基金2019年半年度报告</w:t>
    </w:r>
    <w:r>
      <w:rPr>
        <w:rFonts w:hint="eastAsia"/>
      </w:rPr>
      <w:t>摘要</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printPostScriptOverText/>
  <w:bordersDoNotSurroundHeader/>
  <w:bordersDoNotSurroundFooter/>
  <w:hideSpellingErrors/>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41F"/>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2D"/>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88B"/>
    <w:rsid w:val="000D7BDE"/>
    <w:rsid w:val="000E1288"/>
    <w:rsid w:val="000E2603"/>
    <w:rsid w:val="000E2950"/>
    <w:rsid w:val="000E34ED"/>
    <w:rsid w:val="000E4456"/>
    <w:rsid w:val="000E45F9"/>
    <w:rsid w:val="000E6184"/>
    <w:rsid w:val="000E67FE"/>
    <w:rsid w:val="000F0C0A"/>
    <w:rsid w:val="000F175F"/>
    <w:rsid w:val="000F17D1"/>
    <w:rsid w:val="000F21C4"/>
    <w:rsid w:val="000F254E"/>
    <w:rsid w:val="000F2C75"/>
    <w:rsid w:val="000F32E3"/>
    <w:rsid w:val="000F3506"/>
    <w:rsid w:val="000F38AB"/>
    <w:rsid w:val="000F593E"/>
    <w:rsid w:val="000F60DF"/>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A7F5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3357"/>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8ED"/>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52"/>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5B8D"/>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1D0F"/>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52A"/>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0A4"/>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52C3"/>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598"/>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6B34"/>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32E2"/>
    <w:rsid w:val="007440FA"/>
    <w:rsid w:val="00744201"/>
    <w:rsid w:val="00744B78"/>
    <w:rsid w:val="00745FCE"/>
    <w:rsid w:val="00746130"/>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7B6"/>
    <w:rsid w:val="00760895"/>
    <w:rsid w:val="00762876"/>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810"/>
    <w:rsid w:val="007E4C1F"/>
    <w:rsid w:val="007E57C9"/>
    <w:rsid w:val="007E5A6D"/>
    <w:rsid w:val="007F01DE"/>
    <w:rsid w:val="007F02E5"/>
    <w:rsid w:val="007F0759"/>
    <w:rsid w:val="007F0BCC"/>
    <w:rsid w:val="007F0EEF"/>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814"/>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599"/>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4DC9"/>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3F0D"/>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83"/>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3EDF"/>
    <w:rsid w:val="009844D6"/>
    <w:rsid w:val="00984520"/>
    <w:rsid w:val="0098472A"/>
    <w:rsid w:val="0098545C"/>
    <w:rsid w:val="009862F1"/>
    <w:rsid w:val="009871EA"/>
    <w:rsid w:val="00987FA6"/>
    <w:rsid w:val="0099056D"/>
    <w:rsid w:val="009910DC"/>
    <w:rsid w:val="00991675"/>
    <w:rsid w:val="009918D4"/>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591A"/>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1B8"/>
    <w:rsid w:val="00A039FF"/>
    <w:rsid w:val="00A04524"/>
    <w:rsid w:val="00A05ACE"/>
    <w:rsid w:val="00A062B7"/>
    <w:rsid w:val="00A073AA"/>
    <w:rsid w:val="00A0740C"/>
    <w:rsid w:val="00A102F1"/>
    <w:rsid w:val="00A114B9"/>
    <w:rsid w:val="00A12D8C"/>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15FD"/>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1B4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553"/>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B0F"/>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B77"/>
    <w:rsid w:val="00C96F5F"/>
    <w:rsid w:val="00C97055"/>
    <w:rsid w:val="00CA02E8"/>
    <w:rsid w:val="00CA194C"/>
    <w:rsid w:val="00CA1DDD"/>
    <w:rsid w:val="00CA2B4F"/>
    <w:rsid w:val="00CA30C3"/>
    <w:rsid w:val="00CA58A2"/>
    <w:rsid w:val="00CA5927"/>
    <w:rsid w:val="00CA635E"/>
    <w:rsid w:val="00CA6BB0"/>
    <w:rsid w:val="00CA70CE"/>
    <w:rsid w:val="00CA79EC"/>
    <w:rsid w:val="00CB002C"/>
    <w:rsid w:val="00CB05F1"/>
    <w:rsid w:val="00CB0C51"/>
    <w:rsid w:val="00CB1C35"/>
    <w:rsid w:val="00CB1E4B"/>
    <w:rsid w:val="00CB259F"/>
    <w:rsid w:val="00CB39C2"/>
    <w:rsid w:val="00CB3E85"/>
    <w:rsid w:val="00CB4A5E"/>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CF5E01"/>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60E"/>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98A"/>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4D51"/>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2CE4"/>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5D"/>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2F37"/>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03F8"/>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5A1"/>
    <w:rsid w:val="00F7564C"/>
    <w:rsid w:val="00F76220"/>
    <w:rsid w:val="00F769BE"/>
    <w:rsid w:val="00F7735C"/>
    <w:rsid w:val="00F77BD5"/>
    <w:rsid w:val="00F81059"/>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74F055A"/>
    <w:rsid w:val="0D6005ED"/>
    <w:rsid w:val="112560AC"/>
    <w:rsid w:val="11462E39"/>
    <w:rsid w:val="18FB112A"/>
    <w:rsid w:val="1A9C50B6"/>
    <w:rsid w:val="1EFC5BB2"/>
    <w:rsid w:val="226118F5"/>
    <w:rsid w:val="36F35A32"/>
    <w:rsid w:val="48943BD5"/>
    <w:rsid w:val="4CB413D0"/>
    <w:rsid w:val="4D5D0B39"/>
    <w:rsid w:val="4EA17A10"/>
    <w:rsid w:val="55AE392E"/>
    <w:rsid w:val="5874593C"/>
    <w:rsid w:val="5B9D74F6"/>
    <w:rsid w:val="5EA01807"/>
    <w:rsid w:val="5F526676"/>
    <w:rsid w:val="6A013438"/>
    <w:rsid w:val="6DDD6CAF"/>
    <w:rsid w:val="7475514A"/>
    <w:rsid w:val="7B320C48"/>
    <w:rsid w:val="7BFD0CB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cs="Times New Roman" w:eastAsia="宋体" w:hAnsi="Times New Roman"/>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nhideWhenUsed="0"/>
    <w:lsdException w:name="heading 2" w:qFormat="1" w:semiHidden="0" w:unhideWhenUsed="0"/>
    <w:lsdException w:name="heading 3" w:qFormat="1" w:semiHidden="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name="index 1" w:qFormat="1"/>
    <w:lsdException w:name="toc 1" w:qFormat="1"/>
    <w:lsdException w:name="toc 2" w:qFormat="1"/>
    <w:lsdException w:name="toc 3" w:qFormat="1"/>
    <w:lsdException w:locked="1" w:name="toc 4" w:uiPriority="0"/>
    <w:lsdException w:locked="1" w:name="toc 5" w:uiPriority="0"/>
    <w:lsdException w:locked="1" w:name="toc 6" w:uiPriority="0"/>
    <w:lsdException w:locked="1" w:name="toc 7" w:uiPriority="0"/>
    <w:lsdException w:locked="1" w:name="toc 8" w:uiPriority="0"/>
    <w:lsdException w:locked="1" w:name="toc 9" w:uiPriority="0"/>
    <w:lsdException w:name="Normal Indent" w:qFormat="1"/>
    <w:lsdException w:name="footnote text" w:qFormat="1"/>
    <w:lsdException w:name="annotation text" w:qFormat="1"/>
    <w:lsdException w:name="header" w:qFormat="1"/>
    <w:lsdException w:name="footer" w:qFormat="1"/>
    <w:lsdException w:locked="1" w:name="caption" w:qFormat="1" w:uiPriority="0"/>
    <w:lsdException w:name="footnote reference" w:qFormat="1"/>
    <w:lsdException w:name="annotation reference" w:qFormat="1"/>
    <w:lsdException w:name="page number" w:qFormat="1"/>
    <w:lsdException w:name="List" w:qFormat="1"/>
    <w:lsdException w:locked="1" w:name="Title" w:qFormat="1" w:semiHidden="0" w:uiPriority="0" w:unhideWhenUsed="0"/>
    <w:lsdException w:name="Default Paragraph Font" w:uiPriority="1"/>
    <w:lsdException w:name="Body Text" w:qFormat="1"/>
    <w:lsdException w:name="Body Text Indent" w:qFormat="1"/>
    <w:lsdException w:locked="1" w:name="Subtitle" w:qFormat="1" w:semiHidden="0" w:uiPriority="0" w:unhideWhenUsed="0"/>
    <w:lsdException w:name="Date" w:qFormat="1" w:semiHidden="0" w:unhideWhenUsed="0"/>
    <w:lsdException w:name="Body Text Indent 2" w:qFormat="1"/>
    <w:lsdException w:name="Body Text Indent 3" w:qFormat="1"/>
    <w:lsdException w:name="Hyperlink" w:qFormat="1"/>
    <w:lsdException w:name="FollowedHyperlink" w:qFormat="1"/>
    <w:lsdException w:locked="1" w:name="Strong" w:qFormat="1" w:semiHidden="0" w:uiPriority="0" w:unhideWhenUsed="0"/>
    <w:lsdException w:locked="1" w:name="Emphasis" w:qFormat="1" w:semiHidden="0" w:uiPriority="0" w:unhideWhenUsed="0"/>
    <w:lsdException w:name="Document Map" w:qFormat="1"/>
    <w:lsdException w:name="Plain Text" w:qFormat="1"/>
    <w:lsdException w:name="Normal (Web)" w:qFormat="1"/>
    <w:lsdException w:name="Normal Table" w:qFormat="1"/>
    <w:lsdException w:name="annotation subject" w:qFormat="1"/>
    <w:lsdException w:name="Balloon Text" w:qFormat="1"/>
    <w:lsdException w:name="Table Grid" w:qFormat="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rPr>
      <w:kern w:val="2"/>
      <w:sz w:val="21"/>
      <w:szCs w:val="24"/>
    </w:rPr>
  </w:style>
  <w:style w:styleId="1" w:type="paragraph">
    <w:name w:val="heading 1"/>
    <w:basedOn w:val="a"/>
    <w:next w:val="a"/>
    <w:link w:val="1Char"/>
    <w:uiPriority w:val="99"/>
    <w:qFormat/>
    <w:pPr>
      <w:widowControl/>
      <w:jc w:val="left"/>
      <w:outlineLvl w:val="0"/>
    </w:pPr>
    <w:rPr>
      <w:kern w:val="0"/>
      <w:sz w:val="24"/>
      <w:szCs w:val="20"/>
      <w:lang w:val="en-GB"/>
    </w:rPr>
  </w:style>
  <w:style w:styleId="2" w:type="paragraph">
    <w:name w:val="heading 2"/>
    <w:basedOn w:val="a"/>
    <w:next w:val="a0"/>
    <w:link w:val="2Char1"/>
    <w:uiPriority w:val="99"/>
    <w:qFormat/>
    <w:pPr>
      <w:keepNext/>
      <w:keepLines/>
      <w:spacing w:after="260" w:before="260" w:line="360" w:lineRule="auto"/>
      <w:outlineLvl w:val="1"/>
    </w:pPr>
    <w:rPr>
      <w:rFonts w:ascii="Arial" w:hAnsi="Arial"/>
      <w:b/>
      <w:bCs/>
      <w:sz w:val="24"/>
      <w:szCs w:val="28"/>
    </w:rPr>
  </w:style>
  <w:style w:styleId="3" w:type="paragraph">
    <w:name w:val="heading 3"/>
    <w:basedOn w:val="a"/>
    <w:next w:val="a"/>
    <w:link w:val="3Char"/>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Document Map"/>
    <w:basedOn w:val="a"/>
    <w:link w:val="Char"/>
    <w:uiPriority w:val="99"/>
    <w:semiHidden/>
    <w:qFormat/>
    <w:pPr>
      <w:shd w:color="auto" w:fill="000080" w:val="clear"/>
    </w:pPr>
  </w:style>
  <w:style w:styleId="a5" w:type="paragraph">
    <w:name w:val="annotation text"/>
    <w:basedOn w:val="a"/>
    <w:link w:val="Char0"/>
    <w:uiPriority w:val="99"/>
    <w:semiHidden/>
    <w:qFormat/>
    <w:pPr>
      <w:jc w:val="left"/>
    </w:pPr>
  </w:style>
  <w:style w:styleId="a6" w:type="paragraph">
    <w:name w:val="Body Text"/>
    <w:basedOn w:val="a"/>
    <w:link w:val="Char1"/>
    <w:uiPriority w:val="99"/>
    <w:qFormat/>
    <w:pPr>
      <w:spacing w:after="120"/>
    </w:pPr>
  </w:style>
  <w:style w:styleId="a7" w:type="paragraph">
    <w:name w:val="Body Text Indent"/>
    <w:basedOn w:val="a"/>
    <w:link w:val="Char2"/>
    <w:uiPriority w:val="99"/>
    <w:qFormat/>
    <w:pPr>
      <w:widowControl/>
      <w:spacing w:after="100" w:afterAutospacing="1" w:before="100" w:beforeAutospacing="1"/>
      <w:jc w:val="left"/>
    </w:pPr>
    <w:rPr>
      <w:rFonts w:ascii="Arial Unicode MS" w:cs="Arial Unicode MS" w:hAnsi="Arial Unicode MS"/>
      <w:kern w:val="0"/>
      <w:sz w:val="24"/>
    </w:rPr>
  </w:style>
  <w:style w:styleId="30" w:type="paragraph">
    <w:name w:val="toc 3"/>
    <w:basedOn w:val="a"/>
    <w:next w:val="a"/>
    <w:uiPriority w:val="99"/>
    <w:semiHidden/>
    <w:qFormat/>
    <w:pPr>
      <w:ind w:left="840" w:leftChars="400"/>
    </w:pPr>
  </w:style>
  <w:style w:styleId="a8" w:type="paragraph">
    <w:name w:val="Plain Text"/>
    <w:basedOn w:val="a"/>
    <w:link w:val="Char3"/>
    <w:uiPriority w:val="99"/>
    <w:qFormat/>
    <w:rPr>
      <w:rFonts w:ascii="宋体" w:hAnsi="Courier New"/>
      <w:szCs w:val="21"/>
    </w:rPr>
  </w:style>
  <w:style w:styleId="a9" w:type="paragraph">
    <w:name w:val="Date"/>
    <w:basedOn w:val="a"/>
    <w:next w:val="a"/>
    <w:link w:val="Char4"/>
    <w:uiPriority w:val="99"/>
    <w:qFormat/>
    <w:rPr>
      <w:sz w:val="24"/>
      <w:szCs w:val="20"/>
    </w:rPr>
  </w:style>
  <w:style w:styleId="20" w:type="paragraph">
    <w:name w:val="Body Text Indent 2"/>
    <w:basedOn w:val="a"/>
    <w:link w:val="2Char"/>
    <w:uiPriority w:val="99"/>
    <w:qFormat/>
    <w:pPr>
      <w:spacing w:line="560" w:lineRule="exact"/>
      <w:ind w:firstLine="480" w:firstLineChars="200"/>
    </w:pPr>
    <w:rPr>
      <w:rFonts w:ascii="宋体" w:hAnsi="宋体"/>
      <w:color w:val="FF0000"/>
      <w:sz w:val="24"/>
    </w:rPr>
  </w:style>
  <w:style w:styleId="aa" w:type="paragraph">
    <w:name w:val="Balloon Text"/>
    <w:basedOn w:val="a"/>
    <w:link w:val="Char5"/>
    <w:uiPriority w:val="99"/>
    <w:semiHidden/>
    <w:qFormat/>
    <w:rPr>
      <w:sz w:val="18"/>
      <w:szCs w:val="18"/>
    </w:rPr>
  </w:style>
  <w:style w:styleId="ab" w:type="paragraph">
    <w:name w:val="footer"/>
    <w:basedOn w:val="a"/>
    <w:link w:val="Char6"/>
    <w:uiPriority w:val="99"/>
    <w:qFormat/>
    <w:pPr>
      <w:tabs>
        <w:tab w:pos="4153" w:val="center"/>
        <w:tab w:pos="8306" w:val="right"/>
      </w:tabs>
      <w:snapToGrid w:val="0"/>
      <w:jc w:val="left"/>
    </w:pPr>
    <w:rPr>
      <w:sz w:val="18"/>
      <w:szCs w:val="18"/>
    </w:rPr>
  </w:style>
  <w:style w:styleId="ac" w:type="paragraph">
    <w:name w:val="header"/>
    <w:basedOn w:val="a"/>
    <w:link w:val="Char7"/>
    <w:uiPriority w:val="99"/>
    <w:qFormat/>
    <w:pPr>
      <w:pBdr>
        <w:bottom w:color="auto" w:space="1" w:sz="6" w:val="single"/>
      </w:pBdr>
      <w:tabs>
        <w:tab w:pos="4153" w:val="center"/>
        <w:tab w:pos="8306" w:val="right"/>
      </w:tabs>
      <w:snapToGrid w:val="0"/>
      <w:jc w:val="center"/>
    </w:pPr>
    <w:rPr>
      <w:sz w:val="18"/>
      <w:szCs w:val="18"/>
    </w:rPr>
  </w:style>
  <w:style w:styleId="10" w:type="paragraph">
    <w:name w:val="toc 1"/>
    <w:basedOn w:val="a"/>
    <w:next w:val="a"/>
    <w:uiPriority w:val="99"/>
    <w:semiHidden/>
    <w:qFormat/>
    <w:pPr>
      <w:tabs>
        <w:tab w:leader="dot" w:pos="9072" w:val="right"/>
      </w:tabs>
    </w:pPr>
  </w:style>
  <w:style w:styleId="ad" w:type="paragraph">
    <w:name w:val="List"/>
    <w:basedOn w:val="a6"/>
    <w:uiPriority w:val="99"/>
    <w:qFormat/>
    <w:pPr>
      <w:spacing w:after="220" w:line="220" w:lineRule="atLeast"/>
      <w:ind w:hanging="360" w:left="1440"/>
    </w:pPr>
    <w:rPr>
      <w:szCs w:val="20"/>
    </w:rPr>
  </w:style>
  <w:style w:styleId="ae" w:type="paragraph">
    <w:name w:val="footnote text"/>
    <w:basedOn w:val="a"/>
    <w:link w:val="Char8"/>
    <w:uiPriority w:val="99"/>
    <w:qFormat/>
    <w:pPr>
      <w:snapToGrid w:val="0"/>
      <w:jc w:val="left"/>
    </w:pPr>
    <w:rPr>
      <w:sz w:val="18"/>
      <w:szCs w:val="18"/>
    </w:rPr>
  </w:style>
  <w:style w:styleId="31" w:type="paragraph">
    <w:name w:val="Body Text Indent 3"/>
    <w:basedOn w:val="a"/>
    <w:link w:val="3Char0"/>
    <w:uiPriority w:val="99"/>
    <w:qFormat/>
    <w:pPr>
      <w:spacing w:line="560" w:lineRule="exact"/>
      <w:ind w:firstLine="420" w:firstLineChars="200"/>
    </w:pPr>
    <w:rPr>
      <w:rFonts w:ascii="Arial" w:cs="Arial" w:hAnsi="Arial"/>
      <w:color w:val="FF0000"/>
    </w:rPr>
  </w:style>
  <w:style w:styleId="21" w:type="paragraph">
    <w:name w:val="toc 2"/>
    <w:basedOn w:val="a"/>
    <w:next w:val="a"/>
    <w:uiPriority w:val="99"/>
    <w:semiHidden/>
    <w:qFormat/>
    <w:pPr>
      <w:tabs>
        <w:tab w:pos="1260" w:val="left"/>
        <w:tab w:leader="dot" w:pos="9072" w:val="right"/>
      </w:tabs>
      <w:ind w:left="420" w:leftChars="200"/>
    </w:pPr>
    <w:rPr>
      <w:kern w:val="0"/>
      <w:szCs w:val="21"/>
    </w:rPr>
  </w:style>
  <w:style w:styleId="af" w:type="paragraph">
    <w:name w:val="Normal (Web)"/>
    <w:basedOn w:val="a"/>
    <w:uiPriority w:val="99"/>
    <w:qFormat/>
    <w:pPr>
      <w:widowControl/>
      <w:spacing w:after="100" w:afterAutospacing="1" w:before="100" w:beforeAutospacing="1"/>
      <w:jc w:val="left"/>
    </w:pPr>
    <w:rPr>
      <w:rFonts w:ascii="宋体" w:hAnsi="宋体"/>
      <w:kern w:val="0"/>
      <w:sz w:val="24"/>
    </w:rPr>
  </w:style>
  <w:style w:styleId="11" w:type="paragraph">
    <w:name w:val="index 1"/>
    <w:basedOn w:val="a"/>
    <w:next w:val="a"/>
    <w:uiPriority w:val="99"/>
    <w:semiHidden/>
    <w:qFormat/>
    <w:pPr>
      <w:jc w:val="right"/>
    </w:pPr>
    <w:rPr>
      <w:color w:val="008000"/>
    </w:rPr>
  </w:style>
  <w:style w:styleId="af0" w:type="paragraph">
    <w:name w:val="annotation subject"/>
    <w:basedOn w:val="a5"/>
    <w:next w:val="a5"/>
    <w:link w:val="Char9"/>
    <w:uiPriority w:val="99"/>
    <w:semiHidden/>
    <w:qFormat/>
    <w:rPr>
      <w:b/>
      <w:bCs/>
    </w:rPr>
  </w:style>
  <w:style w:styleId="af1" w:type="table">
    <w:name w:val="Table Grid"/>
    <w:basedOn w:val="a2"/>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2" w:type="character">
    <w:name w:val="page number"/>
    <w:uiPriority w:val="99"/>
    <w:qFormat/>
    <w:rPr>
      <w:rFonts w:cs="Times New Roman"/>
    </w:rPr>
  </w:style>
  <w:style w:styleId="af3" w:type="character">
    <w:name w:val="FollowedHyperlink"/>
    <w:uiPriority w:val="99"/>
    <w:qFormat/>
    <w:rPr>
      <w:rFonts w:cs="Times New Roman"/>
      <w:color w:val="800080"/>
      <w:u w:val="single"/>
    </w:rPr>
  </w:style>
  <w:style w:styleId="af4" w:type="character">
    <w:name w:val="Hyperlink"/>
    <w:uiPriority w:val="99"/>
    <w:qFormat/>
    <w:rPr>
      <w:rFonts w:cs="Times New Roman"/>
      <w:color w:val="0000FF"/>
      <w:u w:val="single"/>
    </w:rPr>
  </w:style>
  <w:style w:styleId="af5" w:type="character">
    <w:name w:val="annotation reference"/>
    <w:uiPriority w:val="99"/>
    <w:semiHidden/>
    <w:qFormat/>
    <w:rPr>
      <w:rFonts w:cs="Times New Roman"/>
      <w:sz w:val="21"/>
    </w:rPr>
  </w:style>
  <w:style w:styleId="af6" w:type="character">
    <w:name w:val="footnote reference"/>
    <w:uiPriority w:val="99"/>
    <w:qFormat/>
    <w:rPr>
      <w:rFonts w:cs="Times New Roman"/>
      <w:vertAlign w:val="superscript"/>
    </w:rPr>
  </w:style>
  <w:style w:customStyle="1" w:styleId="1Char" w:type="character">
    <w:name w:val="标题 1 Char"/>
    <w:link w:val="1"/>
    <w:uiPriority w:val="99"/>
    <w:qFormat/>
    <w:locked/>
    <w:rPr>
      <w:rFonts w:cs="Times New Roman"/>
      <w:sz w:val="24"/>
      <w:lang w:val="en-GB"/>
    </w:rPr>
  </w:style>
  <w:style w:customStyle="1" w:styleId="2Char0" w:type="character">
    <w:name w:val="标题 2 Char"/>
    <w:uiPriority w:val="99"/>
    <w:qFormat/>
    <w:locked/>
    <w:rPr>
      <w:rFonts w:ascii="Arial" w:cs="Times New Roman" w:hAnsi="Arial"/>
      <w:b/>
      <w:kern w:val="2"/>
      <w:sz w:val="28"/>
    </w:rPr>
  </w:style>
  <w:style w:customStyle="1" w:styleId="3Char" w:type="character">
    <w:name w:val="标题 3 Char"/>
    <w:link w:val="3"/>
    <w:uiPriority w:val="99"/>
    <w:qFormat/>
    <w:locked/>
    <w:rPr>
      <w:rFonts w:cs="Times New Roman"/>
      <w:b/>
      <w:bCs/>
      <w:kern w:val="2"/>
      <w:sz w:val="32"/>
      <w:szCs w:val="32"/>
    </w:rPr>
  </w:style>
  <w:style w:customStyle="1" w:styleId="Char2" w:type="character">
    <w:name w:val="正文文本缩进 Char"/>
    <w:link w:val="a7"/>
    <w:uiPriority w:val="99"/>
    <w:qFormat/>
    <w:locked/>
    <w:rPr>
      <w:rFonts w:ascii="Arial Unicode MS" w:cs="Arial Unicode MS" w:hAnsi="Arial Unicode MS"/>
      <w:sz w:val="24"/>
      <w:szCs w:val="24"/>
    </w:rPr>
  </w:style>
  <w:style w:customStyle="1" w:styleId="Char3" w:type="character">
    <w:name w:val="纯文本 Char"/>
    <w:link w:val="a8"/>
    <w:uiPriority w:val="99"/>
    <w:qFormat/>
    <w:locked/>
    <w:rPr>
      <w:rFonts w:ascii="宋体" w:cs="Times New Roman" w:hAnsi="Courier New"/>
      <w:kern w:val="2"/>
      <w:sz w:val="21"/>
    </w:rPr>
  </w:style>
  <w:style w:customStyle="1" w:styleId="2Char" w:type="character">
    <w:name w:val="正文文本缩进 2 Char"/>
    <w:link w:val="20"/>
    <w:uiPriority w:val="99"/>
    <w:qFormat/>
    <w:locked/>
    <w:rPr>
      <w:rFonts w:ascii="宋体" w:cs="Times New Roman" w:eastAsia="宋体"/>
      <w:color w:val="FF0000"/>
      <w:kern w:val="2"/>
      <w:sz w:val="24"/>
      <w:szCs w:val="24"/>
    </w:rPr>
  </w:style>
  <w:style w:customStyle="1" w:styleId="Char6" w:type="character">
    <w:name w:val="页脚 Char"/>
    <w:link w:val="ab"/>
    <w:uiPriority w:val="99"/>
    <w:qFormat/>
    <w:locked/>
    <w:rPr>
      <w:rFonts w:cs="Times New Roman"/>
      <w:kern w:val="2"/>
      <w:sz w:val="18"/>
      <w:szCs w:val="18"/>
    </w:rPr>
  </w:style>
  <w:style w:customStyle="1" w:styleId="3Char0" w:type="character">
    <w:name w:val="正文文本缩进 3 Char"/>
    <w:link w:val="31"/>
    <w:uiPriority w:val="99"/>
    <w:qFormat/>
    <w:locked/>
    <w:rPr>
      <w:rFonts w:ascii="Arial" w:cs="Arial" w:hAnsi="Arial"/>
      <w:color w:val="FF0000"/>
      <w:kern w:val="2"/>
      <w:sz w:val="24"/>
      <w:szCs w:val="24"/>
    </w:rPr>
  </w:style>
  <w:style w:customStyle="1" w:styleId="Char7" w:type="character">
    <w:name w:val="页眉 Char"/>
    <w:link w:val="ac"/>
    <w:uiPriority w:val="99"/>
    <w:qFormat/>
    <w:locked/>
    <w:rPr>
      <w:rFonts w:cs="Times New Roman"/>
      <w:kern w:val="2"/>
      <w:sz w:val="18"/>
      <w:szCs w:val="18"/>
    </w:rPr>
  </w:style>
  <w:style w:customStyle="1" w:styleId="Char1" w:type="character">
    <w:name w:val="正文文本 Char"/>
    <w:link w:val="a6"/>
    <w:uiPriority w:val="99"/>
    <w:qFormat/>
    <w:locked/>
    <w:rPr>
      <w:rFonts w:cs="Times New Roman"/>
      <w:kern w:val="2"/>
      <w:sz w:val="24"/>
      <w:szCs w:val="24"/>
    </w:rPr>
  </w:style>
  <w:style w:customStyle="1" w:styleId="Char4" w:type="character">
    <w:name w:val="日期 Char"/>
    <w:link w:val="a9"/>
    <w:uiPriority w:val="99"/>
    <w:qFormat/>
    <w:locked/>
    <w:rPr>
      <w:rFonts w:cs="Times New Roman"/>
      <w:kern w:val="2"/>
      <w:sz w:val="24"/>
    </w:rPr>
  </w:style>
  <w:style w:customStyle="1" w:styleId="c1" w:type="character">
    <w:name w:val="c1"/>
    <w:uiPriority w:val="99"/>
    <w:qFormat/>
    <w:rPr>
      <w:color w:val="000000"/>
      <w:spacing w:val="300"/>
      <w:sz w:val="18"/>
    </w:rPr>
  </w:style>
  <w:style w:customStyle="1" w:styleId="font5" w:type="paragraph">
    <w:name w:val="font5"/>
    <w:basedOn w:val="a"/>
    <w:uiPriority w:val="99"/>
    <w:qFormat/>
    <w:pPr>
      <w:widowControl/>
      <w:spacing w:after="100" w:afterAutospacing="1" w:before="100" w:beforeAutospacing="1"/>
      <w:jc w:val="left"/>
    </w:pPr>
    <w:rPr>
      <w:rFonts w:ascii="宋体" w:cs="Arial Unicode MS"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hAnsi="Arial Unicode MS"/>
      <w:b/>
      <w:bCs/>
      <w:color w:val="000000"/>
      <w:kern w:val="0"/>
      <w:sz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hAnsi="Arial Unicode MS"/>
      <w:b/>
      <w:bCs/>
      <w:color w:val="000000"/>
      <w:kern w:val="0"/>
      <w:sz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FF0000"/>
      <w:kern w:val="0"/>
      <w:sz w:val="23"/>
      <w:szCs w:val="23"/>
    </w:rPr>
  </w:style>
  <w:style w:customStyle="1" w:styleId="Char5" w:type="character">
    <w:name w:val="批注框文本 Char"/>
    <w:link w:val="aa"/>
    <w:uiPriority w:val="99"/>
    <w:semiHidden/>
    <w:qFormat/>
    <w:locked/>
    <w:rPr>
      <w:rFonts w:cs="Times New Roman"/>
      <w:kern w:val="2"/>
      <w:sz w:val="18"/>
      <w:szCs w:val="18"/>
    </w:rPr>
  </w:style>
  <w:style w:customStyle="1" w:styleId="Char0" w:type="character">
    <w:name w:val="批注文字 Char"/>
    <w:link w:val="a5"/>
    <w:uiPriority w:val="99"/>
    <w:semiHidden/>
    <w:qFormat/>
    <w:locked/>
    <w:rPr>
      <w:rFonts w:cs="Times New Roman"/>
      <w:kern w:val="2"/>
      <w:sz w:val="24"/>
      <w:szCs w:val="24"/>
    </w:rPr>
  </w:style>
  <w:style w:customStyle="1" w:styleId="Char9" w:type="character">
    <w:name w:val="批注主题 Char"/>
    <w:link w:val="af0"/>
    <w:uiPriority w:val="99"/>
    <w:semiHidden/>
    <w:qFormat/>
    <w:locked/>
    <w:rPr>
      <w:rFonts w:cs="Times New Roman"/>
      <w:b/>
      <w:bCs/>
      <w:kern w:val="2"/>
      <w:sz w:val="24"/>
      <w:szCs w:val="24"/>
    </w:rPr>
  </w:style>
  <w:style w:customStyle="1" w:styleId="Chara" w:type="paragraph">
    <w:name w:val="Char"/>
    <w:basedOn w:val="a"/>
    <w:uiPriority w:val="99"/>
    <w:qFormat/>
  </w:style>
  <w:style w:customStyle="1" w:styleId="Char" w:type="character">
    <w:name w:val="文档结构图 Char"/>
    <w:link w:val="a4"/>
    <w:uiPriority w:val="99"/>
    <w:semiHidden/>
    <w:qFormat/>
    <w:locked/>
    <w:rPr>
      <w:rFonts w:cs="Times New Roman"/>
      <w:kern w:val="2"/>
      <w:sz w:val="24"/>
      <w:szCs w:val="24"/>
      <w:shd w:color="auto" w:fill="000080" w:val="clear"/>
    </w:rPr>
  </w:style>
  <w:style w:customStyle="1" w:styleId="af7" w:type="paragraph">
    <w:name w:val="正文 + (符号) 宋体"/>
    <w:basedOn w:val="a"/>
    <w:uiPriority w:val="99"/>
    <w:qFormat/>
    <w:pPr>
      <w:autoSpaceDE w:val="0"/>
      <w:autoSpaceDN w:val="0"/>
      <w:adjustRightInd w:val="0"/>
      <w:ind w:firstLine="1229" w:firstLineChars="512" w:right="1409" w:rightChars="671"/>
      <w:jc w:val="distribute"/>
    </w:pPr>
    <w:rPr>
      <w:sz w:val="24"/>
    </w:rPr>
  </w:style>
  <w:style w:customStyle="1" w:styleId="Char8" w:type="character">
    <w:name w:val="脚注文本 Char"/>
    <w:link w:val="ae"/>
    <w:uiPriority w:val="99"/>
    <w:qFormat/>
    <w:locked/>
    <w:rPr>
      <w:rFonts w:cs="Times New Roman"/>
      <w:kern w:val="2"/>
      <w:sz w:val="18"/>
      <w:szCs w:val="18"/>
    </w:rPr>
  </w:style>
  <w:style w:customStyle="1" w:styleId="Char10" w:type="paragraph">
    <w:name w:val="Char1"/>
    <w:basedOn w:val="a"/>
    <w:uiPriority w:val="99"/>
    <w:qFormat/>
  </w:style>
  <w:style w:customStyle="1" w:styleId="CharCharCharCharCharChar1CharCharChar" w:type="paragraph">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customStyle="1" w:styleId="CharCharCharChar" w:type="paragraph">
    <w:name w:val="Char Char Char Char"/>
    <w:basedOn w:val="a"/>
    <w:uiPriority w:val="99"/>
    <w:qFormat/>
    <w:pPr>
      <w:tabs>
        <w:tab w:pos="840" w:val="left"/>
      </w:tabs>
      <w:adjustRightInd w:val="0"/>
      <w:spacing w:line="360" w:lineRule="atLeast"/>
      <w:ind w:hanging="360" w:left="840"/>
      <w:textAlignment w:val="baseline"/>
    </w:pPr>
    <w:rPr>
      <w:sz w:val="24"/>
    </w:rPr>
  </w:style>
  <w:style w:customStyle="1" w:styleId="CharCharCharCharCharChar1CharCharChar1" w:type="paragraph">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customStyle="1" w:styleId="Default" w:type="paragraph">
    <w:name w:val="Default"/>
    <w:uiPriority w:val="99"/>
    <w:qFormat/>
    <w:pPr>
      <w:widowControl w:val="0"/>
      <w:autoSpaceDE w:val="0"/>
      <w:autoSpaceDN w:val="0"/>
      <w:adjustRightInd w:val="0"/>
    </w:pPr>
    <w:rPr>
      <w:rFonts w:ascii="仿宋" w:cs="仿宋" w:hAnsi="仿宋"/>
      <w:color w:val="000000"/>
      <w:sz w:val="24"/>
      <w:szCs w:val="24"/>
    </w:rPr>
  </w:style>
  <w:style w:customStyle="1" w:styleId="2Char1" w:type="character">
    <w:name w:val="标题 2 Char1"/>
    <w:basedOn w:val="a1"/>
    <w:link w:val="2"/>
    <w:qFormat/>
    <w:rPr>
      <w:rFonts w:ascii="Arial" w:cs="Arial" w:hAnsi="Arial" w:hint="default"/>
      <w:b/>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1.xml" Type="http://schemas.openxmlformats.org/officeDocument/2006/relationships/foot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7E324-7DCD-4315-A002-E03AA49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12891</Words>
  <Characters>73484</Characters>
  <Application>Microsoft Office Word</Application>
  <DocSecurity>0</DocSecurity>
  <Lines>612</Lines>
  <Paragraphs>172</Paragraphs>
  <ScaleCrop>false</ScaleCrop>
  <Company/>
  <LinksUpToDate>false</LinksUpToDate>
  <CharactersWithSpaces>86203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2013-08-19T07:44:00Z</dcterms:created>
  <dc:creator>bonnieliu</dc:creator>
  <cp:lastModifiedBy>Windows 用户</cp:lastModifiedBy>
  <cp:lastPrinted>2007-07-19T00:46:00Z</cp:lastPrinted>
  <dcterms:modified xsi:type="dcterms:W3CDTF">2019-08-16T09:25:00Z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2052-11.1.0.8894</vt:lpwstr>
  </property>
</Properties>
</file>