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75" w:rsidRPr="002B1361" w:rsidRDefault="009A6519" w:rsidP="004C44B4">
      <w:pPr>
        <w:pStyle w:val="1"/>
        <w:spacing w:before="0" w:after="0" w:line="240" w:lineRule="auto"/>
        <w:jc w:val="center"/>
        <w:rPr>
          <w:rFonts w:eastAsia="方正大标宋简体"/>
          <w:b w:val="0"/>
          <w:color w:val="000000"/>
          <w:sz w:val="36"/>
          <w:szCs w:val="36"/>
        </w:rPr>
      </w:pPr>
      <w:r>
        <w:rPr>
          <w:rFonts w:eastAsia="方正大标宋简体" w:hint="eastAsia"/>
          <w:b w:val="0"/>
          <w:color w:val="000000"/>
          <w:sz w:val="36"/>
          <w:szCs w:val="36"/>
        </w:rPr>
        <w:t>广发基金管理有限公司</w:t>
      </w:r>
      <w:r w:rsidR="00431275" w:rsidRPr="002B1361">
        <w:rPr>
          <w:rFonts w:eastAsia="方正大标宋简体"/>
          <w:b w:val="0"/>
          <w:color w:val="000000"/>
          <w:sz w:val="36"/>
          <w:szCs w:val="36"/>
        </w:rPr>
        <w:t>改聘会计师事务所公告</w:t>
      </w:r>
    </w:p>
    <w:p w:rsidR="00431275" w:rsidRPr="00BD5586" w:rsidRDefault="00431275" w:rsidP="004C44B4">
      <w:pPr>
        <w:jc w:val="center"/>
        <w:rPr>
          <w:color w:val="000000"/>
          <w:sz w:val="24"/>
        </w:rPr>
      </w:pPr>
      <w:r w:rsidRPr="00BD5586">
        <w:rPr>
          <w:color w:val="000000"/>
          <w:sz w:val="24"/>
        </w:rPr>
        <w:t>公告送出日期：</w:t>
      </w:r>
      <w:r>
        <w:rPr>
          <w:rFonts w:hint="eastAsia"/>
          <w:color w:val="000000"/>
          <w:sz w:val="24"/>
        </w:rPr>
        <w:t>2018</w:t>
      </w:r>
      <w:r w:rsidRPr="00BD5586">
        <w:rPr>
          <w:color w:val="000000"/>
          <w:sz w:val="24"/>
        </w:rPr>
        <w:t>年</w:t>
      </w:r>
      <w:r>
        <w:rPr>
          <w:rFonts w:hint="eastAsia"/>
          <w:color w:val="000000"/>
          <w:sz w:val="24"/>
        </w:rPr>
        <w:t>09</w:t>
      </w:r>
      <w:r w:rsidRPr="00BD5586">
        <w:rPr>
          <w:color w:val="000000"/>
          <w:sz w:val="24"/>
        </w:rPr>
        <w:t>月</w:t>
      </w:r>
      <w:r w:rsidR="007A302E">
        <w:rPr>
          <w:rFonts w:hint="eastAsia"/>
          <w:color w:val="000000"/>
          <w:sz w:val="24"/>
        </w:rPr>
        <w:t>29</w:t>
      </w:r>
      <w:r w:rsidRPr="00BD5586">
        <w:rPr>
          <w:color w:val="000000"/>
          <w:sz w:val="24"/>
        </w:rPr>
        <w:t>日</w:t>
      </w:r>
      <w:bookmarkStart w:id="0" w:name="_GoBack"/>
      <w:bookmarkEnd w:id="0"/>
    </w:p>
    <w:p w:rsidR="00431275" w:rsidRPr="00BD5586" w:rsidRDefault="00431275" w:rsidP="004C44B4">
      <w:pPr>
        <w:jc w:val="center"/>
        <w:rPr>
          <w:color w:val="000000"/>
          <w:sz w:val="24"/>
        </w:rPr>
      </w:pPr>
    </w:p>
    <w:p w:rsidR="00431275" w:rsidRPr="00BD5586" w:rsidRDefault="00431275" w:rsidP="004C44B4">
      <w:pPr>
        <w:pStyle w:val="2"/>
        <w:spacing w:line="240" w:lineRule="auto"/>
        <w:rPr>
          <w:rFonts w:ascii="Times New Roman" w:eastAsia="方正仿宋简体" w:hAnsi="Times New Roman"/>
          <w:bCs w:val="0"/>
          <w:color w:val="000000"/>
          <w:sz w:val="24"/>
          <w:szCs w:val="24"/>
        </w:rPr>
      </w:pPr>
      <w:bookmarkStart w:id="1" w:name="_Toc275961438"/>
      <w:r w:rsidRPr="00BD5586">
        <w:rPr>
          <w:rFonts w:ascii="Times New Roman" w:eastAsia="方正仿宋简体" w:hAnsi="Times New Roman"/>
          <w:bCs w:val="0"/>
          <w:color w:val="000000"/>
          <w:sz w:val="24"/>
          <w:szCs w:val="24"/>
        </w:rPr>
        <w:t xml:space="preserve">1 </w:t>
      </w:r>
      <w:r w:rsidRPr="00BD5586">
        <w:rPr>
          <w:rFonts w:ascii="Times New Roman" w:eastAsia="方正仿宋简体" w:hAnsi="Times New Roman"/>
          <w:bCs w:val="0"/>
          <w:color w:val="000000"/>
          <w:sz w:val="24"/>
          <w:szCs w:val="24"/>
        </w:rPr>
        <w:t>公告基本信息</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5"/>
        <w:gridCol w:w="1803"/>
        <w:gridCol w:w="3780"/>
      </w:tblGrid>
      <w:tr w:rsidR="00431275" w:rsidRPr="00BD5586" w:rsidTr="00561A6C">
        <w:trPr>
          <w:jc w:val="center"/>
        </w:trPr>
        <w:tc>
          <w:tcPr>
            <w:tcW w:w="5148" w:type="dxa"/>
            <w:gridSpan w:val="2"/>
          </w:tcPr>
          <w:p w:rsidR="00431275" w:rsidRPr="00BD5586" w:rsidRDefault="00431275" w:rsidP="004C44B4">
            <w:pPr>
              <w:rPr>
                <w:color w:val="000000"/>
                <w:sz w:val="24"/>
              </w:rPr>
            </w:pPr>
            <w:r w:rsidRPr="00BD5586">
              <w:rPr>
                <w:color w:val="000000"/>
                <w:sz w:val="24"/>
              </w:rPr>
              <w:t>基金管理人名称</w:t>
            </w:r>
          </w:p>
        </w:tc>
        <w:tc>
          <w:tcPr>
            <w:tcW w:w="3780" w:type="dxa"/>
          </w:tcPr>
          <w:p w:rsidR="00431275" w:rsidRPr="002E7100" w:rsidRDefault="002E7100" w:rsidP="004C44B4">
            <w:pPr>
              <w:rPr>
                <w:color w:val="000000"/>
                <w:kern w:val="0"/>
                <w:sz w:val="21"/>
                <w:szCs w:val="21"/>
              </w:rPr>
            </w:pPr>
            <w:r w:rsidRPr="002E7100">
              <w:rPr>
                <w:rFonts w:hint="eastAsia"/>
                <w:color w:val="000000"/>
                <w:kern w:val="0"/>
                <w:sz w:val="21"/>
                <w:szCs w:val="21"/>
              </w:rPr>
              <w:t>广发基金管理有限公司</w:t>
            </w:r>
          </w:p>
        </w:tc>
      </w:tr>
      <w:tr w:rsidR="00431275" w:rsidRPr="00BD5586" w:rsidTr="00561A6C">
        <w:trPr>
          <w:jc w:val="center"/>
        </w:trPr>
        <w:tc>
          <w:tcPr>
            <w:tcW w:w="5148" w:type="dxa"/>
            <w:gridSpan w:val="2"/>
          </w:tcPr>
          <w:p w:rsidR="00431275" w:rsidRPr="00BD5586" w:rsidRDefault="00431275" w:rsidP="004C44B4">
            <w:pPr>
              <w:rPr>
                <w:color w:val="000000"/>
                <w:sz w:val="24"/>
              </w:rPr>
            </w:pPr>
            <w:r w:rsidRPr="00BD5586">
              <w:rPr>
                <w:color w:val="000000"/>
                <w:sz w:val="24"/>
              </w:rPr>
              <w:t>公告依据</w:t>
            </w:r>
          </w:p>
        </w:tc>
        <w:tc>
          <w:tcPr>
            <w:tcW w:w="3780" w:type="dxa"/>
          </w:tcPr>
          <w:p w:rsidR="002E7100" w:rsidRPr="002E7100" w:rsidRDefault="002E7100" w:rsidP="004C44B4">
            <w:pPr>
              <w:rPr>
                <w:color w:val="000000"/>
                <w:kern w:val="0"/>
                <w:sz w:val="21"/>
                <w:szCs w:val="21"/>
              </w:rPr>
            </w:pPr>
            <w:r w:rsidRPr="002E7100">
              <w:rPr>
                <w:rFonts w:hint="eastAsia"/>
                <w:color w:val="000000"/>
                <w:kern w:val="0"/>
                <w:sz w:val="21"/>
                <w:szCs w:val="21"/>
              </w:rPr>
              <w:t>《证券投资基金信息披露管理办法》</w:t>
            </w:r>
          </w:p>
          <w:p w:rsidR="002E7100" w:rsidRPr="002E7100" w:rsidRDefault="002E7100" w:rsidP="004C44B4">
            <w:pPr>
              <w:rPr>
                <w:color w:val="000000"/>
                <w:kern w:val="0"/>
                <w:sz w:val="21"/>
                <w:szCs w:val="21"/>
              </w:rPr>
            </w:pPr>
            <w:r w:rsidRPr="002E7100">
              <w:rPr>
                <w:rFonts w:hint="eastAsia"/>
                <w:color w:val="000000"/>
                <w:kern w:val="0"/>
                <w:sz w:val="21"/>
                <w:szCs w:val="21"/>
              </w:rPr>
              <w:t>、各基金《基金合同》及更新的《招</w:t>
            </w:r>
          </w:p>
          <w:p w:rsidR="00431275" w:rsidRPr="002E7100" w:rsidRDefault="002E7100" w:rsidP="004C44B4">
            <w:pPr>
              <w:rPr>
                <w:color w:val="000000"/>
                <w:kern w:val="0"/>
                <w:sz w:val="21"/>
                <w:szCs w:val="21"/>
              </w:rPr>
            </w:pPr>
            <w:r w:rsidRPr="002E7100">
              <w:rPr>
                <w:rFonts w:hint="eastAsia"/>
                <w:color w:val="000000"/>
                <w:kern w:val="0"/>
                <w:sz w:val="21"/>
                <w:szCs w:val="21"/>
              </w:rPr>
              <w:t>募说明书》等法律文件、</w:t>
            </w:r>
            <w:r>
              <w:rPr>
                <w:rFonts w:hint="eastAsia"/>
                <w:color w:val="000000"/>
                <w:kern w:val="0"/>
                <w:sz w:val="21"/>
                <w:szCs w:val="21"/>
              </w:rPr>
              <w:t>广发基金管理有限公司</w:t>
            </w:r>
            <w:r w:rsidRPr="002E7100">
              <w:rPr>
                <w:rFonts w:hint="eastAsia"/>
                <w:color w:val="000000"/>
                <w:kern w:val="0"/>
                <w:sz w:val="21"/>
                <w:szCs w:val="21"/>
              </w:rPr>
              <w:t>第六届董事会第九次会议决议</w:t>
            </w:r>
          </w:p>
        </w:tc>
      </w:tr>
      <w:tr w:rsidR="00431275" w:rsidRPr="00BD5586" w:rsidTr="00561A6C">
        <w:trPr>
          <w:jc w:val="center"/>
        </w:trPr>
        <w:tc>
          <w:tcPr>
            <w:tcW w:w="5148" w:type="dxa"/>
            <w:gridSpan w:val="2"/>
          </w:tcPr>
          <w:p w:rsidR="00431275" w:rsidRPr="00BD5586" w:rsidRDefault="00431275" w:rsidP="004C44B4">
            <w:pPr>
              <w:rPr>
                <w:color w:val="000000"/>
                <w:sz w:val="24"/>
              </w:rPr>
            </w:pPr>
            <w:r w:rsidRPr="00BD5586">
              <w:rPr>
                <w:color w:val="000000"/>
                <w:sz w:val="24"/>
              </w:rPr>
              <w:t>改聘日期</w:t>
            </w:r>
          </w:p>
        </w:tc>
        <w:tc>
          <w:tcPr>
            <w:tcW w:w="3780" w:type="dxa"/>
          </w:tcPr>
          <w:p w:rsidR="00431275" w:rsidRPr="002E7100" w:rsidRDefault="002E7100" w:rsidP="004C44B4">
            <w:pPr>
              <w:rPr>
                <w:color w:val="000000"/>
                <w:kern w:val="0"/>
                <w:sz w:val="21"/>
                <w:szCs w:val="21"/>
              </w:rPr>
            </w:pPr>
            <w:r>
              <w:rPr>
                <w:rFonts w:hint="eastAsia"/>
                <w:color w:val="000000"/>
                <w:kern w:val="0"/>
                <w:sz w:val="21"/>
                <w:szCs w:val="21"/>
              </w:rPr>
              <w:t>2018</w:t>
            </w:r>
            <w:r>
              <w:rPr>
                <w:rFonts w:hint="eastAsia"/>
                <w:color w:val="000000"/>
                <w:kern w:val="0"/>
                <w:sz w:val="21"/>
                <w:szCs w:val="21"/>
              </w:rPr>
              <w:t>年</w:t>
            </w:r>
            <w:r>
              <w:rPr>
                <w:rFonts w:hint="eastAsia"/>
                <w:color w:val="000000"/>
                <w:kern w:val="0"/>
                <w:sz w:val="21"/>
                <w:szCs w:val="21"/>
              </w:rPr>
              <w:t>9</w:t>
            </w:r>
            <w:r>
              <w:rPr>
                <w:rFonts w:hint="eastAsia"/>
                <w:color w:val="000000"/>
                <w:kern w:val="0"/>
                <w:sz w:val="21"/>
                <w:szCs w:val="21"/>
              </w:rPr>
              <w:t>月</w:t>
            </w:r>
            <w:r>
              <w:rPr>
                <w:rFonts w:hint="eastAsia"/>
                <w:color w:val="000000"/>
                <w:kern w:val="0"/>
                <w:sz w:val="21"/>
                <w:szCs w:val="21"/>
              </w:rPr>
              <w:t>27</w:t>
            </w:r>
            <w:r>
              <w:rPr>
                <w:rFonts w:hint="eastAsia"/>
                <w:color w:val="000000"/>
                <w:kern w:val="0"/>
                <w:sz w:val="21"/>
                <w:szCs w:val="21"/>
              </w:rPr>
              <w:t>日</w:t>
            </w:r>
          </w:p>
        </w:tc>
      </w:tr>
      <w:tr w:rsidR="00431275" w:rsidRPr="00BD5586" w:rsidTr="00561A6C">
        <w:trPr>
          <w:jc w:val="center"/>
        </w:trPr>
        <w:tc>
          <w:tcPr>
            <w:tcW w:w="5148" w:type="dxa"/>
            <w:gridSpan w:val="2"/>
          </w:tcPr>
          <w:p w:rsidR="00431275" w:rsidRPr="00BD5586" w:rsidRDefault="00431275" w:rsidP="004C44B4">
            <w:pPr>
              <w:rPr>
                <w:color w:val="000000"/>
                <w:sz w:val="24"/>
              </w:rPr>
            </w:pPr>
            <w:r w:rsidRPr="00BD5586">
              <w:rPr>
                <w:color w:val="000000"/>
                <w:sz w:val="24"/>
              </w:rPr>
              <w:t>改聘前会计师事务所名称</w:t>
            </w:r>
          </w:p>
        </w:tc>
        <w:tc>
          <w:tcPr>
            <w:tcW w:w="3780" w:type="dxa"/>
          </w:tcPr>
          <w:p w:rsidR="002E7100" w:rsidRPr="002E7100" w:rsidRDefault="002E7100" w:rsidP="004C44B4">
            <w:pPr>
              <w:rPr>
                <w:color w:val="000000"/>
                <w:kern w:val="0"/>
                <w:sz w:val="21"/>
                <w:szCs w:val="21"/>
              </w:rPr>
            </w:pPr>
            <w:r w:rsidRPr="002E7100">
              <w:rPr>
                <w:rFonts w:hint="eastAsia"/>
                <w:color w:val="000000"/>
                <w:kern w:val="0"/>
                <w:sz w:val="21"/>
                <w:szCs w:val="21"/>
              </w:rPr>
              <w:t>德勤华永会计师事务所（特殊普通合</w:t>
            </w:r>
          </w:p>
          <w:p w:rsidR="00431275" w:rsidRPr="002E7100" w:rsidRDefault="002E7100" w:rsidP="004C44B4">
            <w:pPr>
              <w:rPr>
                <w:color w:val="000000"/>
                <w:kern w:val="0"/>
                <w:sz w:val="21"/>
                <w:szCs w:val="21"/>
              </w:rPr>
            </w:pPr>
            <w:r w:rsidRPr="002E7100">
              <w:rPr>
                <w:rFonts w:hint="eastAsia"/>
                <w:color w:val="000000"/>
                <w:kern w:val="0"/>
                <w:sz w:val="21"/>
                <w:szCs w:val="21"/>
              </w:rPr>
              <w:t>伙）</w:t>
            </w:r>
          </w:p>
        </w:tc>
      </w:tr>
      <w:tr w:rsidR="00431275" w:rsidRPr="00BD5586" w:rsidTr="00561A6C">
        <w:trPr>
          <w:jc w:val="center"/>
        </w:trPr>
        <w:tc>
          <w:tcPr>
            <w:tcW w:w="5148" w:type="dxa"/>
            <w:gridSpan w:val="2"/>
          </w:tcPr>
          <w:p w:rsidR="00431275" w:rsidRPr="00BD5586" w:rsidRDefault="00431275" w:rsidP="004C44B4">
            <w:pPr>
              <w:rPr>
                <w:color w:val="000000"/>
                <w:sz w:val="24"/>
              </w:rPr>
            </w:pPr>
            <w:r w:rsidRPr="00BD5586">
              <w:rPr>
                <w:color w:val="000000"/>
                <w:sz w:val="24"/>
              </w:rPr>
              <w:t>改聘后会计师事务所名称</w:t>
            </w:r>
          </w:p>
        </w:tc>
        <w:tc>
          <w:tcPr>
            <w:tcW w:w="3780" w:type="dxa"/>
          </w:tcPr>
          <w:p w:rsidR="002E7100" w:rsidRPr="002E7100" w:rsidRDefault="002E7100" w:rsidP="004C44B4">
            <w:pPr>
              <w:rPr>
                <w:color w:val="000000"/>
                <w:kern w:val="0"/>
                <w:sz w:val="21"/>
                <w:szCs w:val="21"/>
              </w:rPr>
            </w:pPr>
            <w:r w:rsidRPr="002E7100">
              <w:rPr>
                <w:rFonts w:hint="eastAsia"/>
                <w:color w:val="000000"/>
                <w:kern w:val="0"/>
                <w:sz w:val="21"/>
                <w:szCs w:val="21"/>
              </w:rPr>
              <w:t>安永华明会计师事务所（特殊普通合</w:t>
            </w:r>
          </w:p>
          <w:p w:rsidR="00431275" w:rsidRPr="002E7100" w:rsidRDefault="002E7100" w:rsidP="004C44B4">
            <w:pPr>
              <w:rPr>
                <w:color w:val="000000"/>
                <w:kern w:val="0"/>
                <w:sz w:val="21"/>
                <w:szCs w:val="21"/>
              </w:rPr>
            </w:pPr>
            <w:r w:rsidRPr="002E7100">
              <w:rPr>
                <w:rFonts w:hint="eastAsia"/>
                <w:color w:val="000000"/>
                <w:kern w:val="0"/>
                <w:sz w:val="21"/>
                <w:szCs w:val="21"/>
              </w:rPr>
              <w:t>伙）</w:t>
            </w:r>
          </w:p>
        </w:tc>
      </w:tr>
      <w:tr w:rsidR="00431275" w:rsidRPr="00BD5586" w:rsidTr="00561A6C">
        <w:trPr>
          <w:jc w:val="center"/>
        </w:trPr>
        <w:tc>
          <w:tcPr>
            <w:tcW w:w="3345" w:type="dxa"/>
          </w:tcPr>
          <w:p w:rsidR="00431275" w:rsidRPr="00BD5586" w:rsidRDefault="00431275" w:rsidP="004C44B4">
            <w:pPr>
              <w:rPr>
                <w:color w:val="000000"/>
                <w:sz w:val="24"/>
              </w:rPr>
            </w:pPr>
            <w:r w:rsidRPr="00BD5586">
              <w:rPr>
                <w:color w:val="000000"/>
                <w:sz w:val="24"/>
              </w:rPr>
              <w:t>基金名称</w:t>
            </w:r>
          </w:p>
        </w:tc>
        <w:tc>
          <w:tcPr>
            <w:tcW w:w="1803" w:type="dxa"/>
          </w:tcPr>
          <w:p w:rsidR="00431275" w:rsidRPr="00BD5586" w:rsidRDefault="00431275" w:rsidP="004C44B4">
            <w:pPr>
              <w:rPr>
                <w:color w:val="000000"/>
                <w:sz w:val="24"/>
              </w:rPr>
            </w:pPr>
            <w:r w:rsidRPr="00BD5586">
              <w:rPr>
                <w:color w:val="000000"/>
                <w:sz w:val="24"/>
              </w:rPr>
              <w:t>基金简称</w:t>
            </w:r>
          </w:p>
        </w:tc>
        <w:tc>
          <w:tcPr>
            <w:tcW w:w="3780" w:type="dxa"/>
          </w:tcPr>
          <w:p w:rsidR="00431275" w:rsidRPr="00BD5586" w:rsidRDefault="00431275" w:rsidP="004C44B4">
            <w:pPr>
              <w:rPr>
                <w:color w:val="000000"/>
                <w:kern w:val="0"/>
                <w:sz w:val="18"/>
              </w:rPr>
            </w:pPr>
            <w:r w:rsidRPr="00BD5586">
              <w:rPr>
                <w:color w:val="000000"/>
                <w:sz w:val="24"/>
              </w:rPr>
              <w:t>基金主代码</w:t>
            </w:r>
          </w:p>
        </w:tc>
      </w:tr>
      <w:tr w:rsidR="008706BD" w:rsidRPr="00BD5586" w:rsidTr="008706BD">
        <w:trPr>
          <w:jc w:val="center"/>
        </w:trPr>
        <w:tc>
          <w:tcPr>
            <w:tcW w:w="3345" w:type="dxa"/>
            <w:vAlign w:val="center"/>
          </w:tcPr>
          <w:p w:rsidR="008706BD" w:rsidRDefault="008706BD" w:rsidP="00E17D53">
            <w:pPr>
              <w:spacing w:line="60" w:lineRule="auto"/>
              <w:rPr>
                <w:rFonts w:ascii="宋体" w:eastAsia="宋体" w:hAnsi="宋体" w:cs="宋体"/>
                <w:color w:val="000000"/>
                <w:sz w:val="22"/>
                <w:szCs w:val="22"/>
              </w:rPr>
            </w:pPr>
            <w:r>
              <w:rPr>
                <w:rFonts w:hint="eastAsia"/>
                <w:color w:val="000000"/>
                <w:sz w:val="22"/>
                <w:szCs w:val="22"/>
              </w:rPr>
              <w:t>广发理财</w:t>
            </w:r>
            <w:r>
              <w:rPr>
                <w:rFonts w:hint="eastAsia"/>
                <w:color w:val="000000"/>
                <w:sz w:val="22"/>
                <w:szCs w:val="22"/>
              </w:rPr>
              <w:t>7</w:t>
            </w:r>
            <w:r>
              <w:rPr>
                <w:rFonts w:hint="eastAsia"/>
                <w:color w:val="000000"/>
                <w:sz w:val="22"/>
                <w:szCs w:val="22"/>
              </w:rPr>
              <w:t>天债券型证券投资基金</w:t>
            </w:r>
          </w:p>
        </w:tc>
        <w:tc>
          <w:tcPr>
            <w:tcW w:w="1803" w:type="dxa"/>
            <w:vAlign w:val="center"/>
          </w:tcPr>
          <w:p w:rsidR="008706BD" w:rsidRDefault="008706BD" w:rsidP="00E17D53">
            <w:pPr>
              <w:spacing w:line="60" w:lineRule="auto"/>
              <w:rPr>
                <w:rFonts w:ascii="宋体" w:eastAsia="宋体" w:hAnsi="宋体" w:cs="宋体"/>
                <w:color w:val="000000"/>
                <w:sz w:val="22"/>
                <w:szCs w:val="22"/>
              </w:rPr>
            </w:pPr>
            <w:r>
              <w:rPr>
                <w:rFonts w:hint="eastAsia"/>
                <w:color w:val="000000"/>
                <w:sz w:val="22"/>
                <w:szCs w:val="22"/>
              </w:rPr>
              <w:t>广发理财</w:t>
            </w:r>
            <w:r>
              <w:rPr>
                <w:rFonts w:hint="eastAsia"/>
                <w:color w:val="000000"/>
                <w:sz w:val="22"/>
                <w:szCs w:val="22"/>
              </w:rPr>
              <w:t>7</w:t>
            </w:r>
            <w:r>
              <w:rPr>
                <w:rFonts w:hint="eastAsia"/>
                <w:color w:val="000000"/>
                <w:sz w:val="22"/>
                <w:szCs w:val="22"/>
              </w:rPr>
              <w:t>天债券</w:t>
            </w:r>
          </w:p>
        </w:tc>
        <w:tc>
          <w:tcPr>
            <w:tcW w:w="3780" w:type="dxa"/>
            <w:vAlign w:val="center"/>
          </w:tcPr>
          <w:p w:rsidR="008706BD" w:rsidRDefault="008706BD" w:rsidP="00E17D53">
            <w:pPr>
              <w:spacing w:line="60" w:lineRule="auto"/>
              <w:rPr>
                <w:rFonts w:ascii="宋体" w:eastAsia="宋体" w:hAnsi="宋体" w:cs="宋体"/>
                <w:color w:val="000000"/>
                <w:sz w:val="22"/>
                <w:szCs w:val="22"/>
              </w:rPr>
            </w:pPr>
            <w:r>
              <w:rPr>
                <w:rFonts w:hint="eastAsia"/>
                <w:color w:val="000000"/>
                <w:sz w:val="22"/>
                <w:szCs w:val="22"/>
              </w:rPr>
              <w:t>000037</w:t>
            </w:r>
          </w:p>
        </w:tc>
      </w:tr>
      <w:tr w:rsidR="008706BD" w:rsidRPr="00BD5586" w:rsidTr="008706BD">
        <w:trPr>
          <w:jc w:val="center"/>
        </w:trPr>
        <w:tc>
          <w:tcPr>
            <w:tcW w:w="3345" w:type="dxa"/>
            <w:vAlign w:val="center"/>
          </w:tcPr>
          <w:p w:rsidR="008706BD" w:rsidRDefault="008706BD" w:rsidP="00E17D53">
            <w:pPr>
              <w:spacing w:line="60" w:lineRule="auto"/>
              <w:rPr>
                <w:rFonts w:ascii="宋体" w:eastAsia="宋体" w:hAnsi="宋体" w:cs="宋体"/>
                <w:color w:val="000000"/>
                <w:sz w:val="22"/>
                <w:szCs w:val="22"/>
              </w:rPr>
            </w:pPr>
            <w:r>
              <w:rPr>
                <w:rFonts w:hint="eastAsia"/>
                <w:color w:val="000000"/>
                <w:sz w:val="22"/>
                <w:szCs w:val="22"/>
              </w:rPr>
              <w:t>广发轮动配置混合型证券投资</w:t>
            </w:r>
            <w:r>
              <w:rPr>
                <w:rFonts w:hint="eastAsia"/>
                <w:color w:val="000000"/>
                <w:sz w:val="22"/>
                <w:szCs w:val="22"/>
              </w:rPr>
              <w:lastRenderedPageBreak/>
              <w:t>基金</w:t>
            </w:r>
          </w:p>
        </w:tc>
        <w:tc>
          <w:tcPr>
            <w:tcW w:w="1803" w:type="dxa"/>
            <w:vAlign w:val="center"/>
          </w:tcPr>
          <w:p w:rsidR="008706BD" w:rsidRDefault="008706BD" w:rsidP="00E17D53">
            <w:pPr>
              <w:spacing w:line="60" w:lineRule="auto"/>
              <w:rPr>
                <w:rFonts w:ascii="宋体" w:eastAsia="宋体" w:hAnsi="宋体" w:cs="宋体"/>
                <w:color w:val="000000"/>
                <w:sz w:val="22"/>
                <w:szCs w:val="22"/>
              </w:rPr>
            </w:pPr>
            <w:r>
              <w:rPr>
                <w:rFonts w:hint="eastAsia"/>
                <w:color w:val="000000"/>
                <w:sz w:val="22"/>
                <w:szCs w:val="22"/>
              </w:rPr>
              <w:lastRenderedPageBreak/>
              <w:t>广发轮动配置</w:t>
            </w:r>
            <w:r>
              <w:rPr>
                <w:rFonts w:hint="eastAsia"/>
                <w:color w:val="000000"/>
                <w:sz w:val="22"/>
                <w:szCs w:val="22"/>
              </w:rPr>
              <w:lastRenderedPageBreak/>
              <w:t>混合</w:t>
            </w:r>
          </w:p>
        </w:tc>
        <w:tc>
          <w:tcPr>
            <w:tcW w:w="3780" w:type="dxa"/>
            <w:vAlign w:val="center"/>
          </w:tcPr>
          <w:p w:rsidR="008706BD" w:rsidRDefault="008706BD" w:rsidP="00E17D53">
            <w:pPr>
              <w:spacing w:line="60" w:lineRule="auto"/>
              <w:rPr>
                <w:rFonts w:ascii="宋体" w:eastAsia="宋体" w:hAnsi="宋体" w:cs="宋体"/>
                <w:color w:val="000000"/>
                <w:sz w:val="22"/>
                <w:szCs w:val="22"/>
              </w:rPr>
            </w:pPr>
            <w:r>
              <w:rPr>
                <w:rFonts w:hint="eastAsia"/>
                <w:color w:val="000000"/>
                <w:sz w:val="22"/>
                <w:szCs w:val="22"/>
              </w:rPr>
              <w:lastRenderedPageBreak/>
              <w:t>000117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lastRenderedPageBreak/>
              <w:t>广发聚鑫债券型证券投资基金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广发聚鑫债券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000118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广发聚优灵活配置混合型证券投资基金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广发聚优灵活配置混合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000167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广发成长优选灵活配置混合型证券投资基金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广发成长优选混合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000214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广发趋势优选灵活配置混合型证券投资基金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广发趋势优选灵活配置混合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000215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广发集利一年定期开放债券型证券投资基金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广发集利一年定期开放债券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000267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广发天天红发起式货币市场基金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广发天天红货币</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000389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广发集鑫债券型证券投资基金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广发集鑫债券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000473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广发天天利货币市场基金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广发天天利货币</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000475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广发主题领先灵活配置混合型证券投资基金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广发主题领先混合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000477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广发钱袋子货币市场基金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广发钱袋子货币</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000509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广发竞争优势灵活配置混合型证券投资基金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广发竞争优势混合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000529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lastRenderedPageBreak/>
              <w:t>广发新动力混合型证券投资基金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广发新动力混合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000550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广发聚祥灵活混合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000567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广发逆向策略灵活配置混合型证券投资基金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广发逆向策略混合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000747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广发活期宝货币市场基金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广发活期宝货币</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000748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广发中证百度百发策略</w:t>
            </w:r>
            <w:r>
              <w:rPr>
                <w:rFonts w:hint="eastAsia"/>
                <w:color w:val="000000"/>
                <w:sz w:val="22"/>
                <w:szCs w:val="22"/>
              </w:rPr>
              <w:t>100</w:t>
            </w:r>
            <w:r>
              <w:rPr>
                <w:rFonts w:hint="eastAsia"/>
                <w:color w:val="000000"/>
                <w:sz w:val="22"/>
                <w:szCs w:val="22"/>
              </w:rPr>
              <w:t>指数型证券投资基金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w:t>
            </w:r>
            <w:r>
              <w:rPr>
                <w:rFonts w:hint="eastAsia"/>
                <w:color w:val="000000"/>
                <w:sz w:val="22"/>
                <w:szCs w:val="22"/>
              </w:rPr>
              <w:t>100</w:t>
            </w:r>
            <w:r>
              <w:rPr>
                <w:rFonts w:hint="eastAsia"/>
                <w:color w:val="000000"/>
                <w:sz w:val="22"/>
                <w:szCs w:val="22"/>
              </w:rPr>
              <w:t>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000826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广发中证全指信息技术交易型开放式指数证券投资基金发起式联接基金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广发信息技术联接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000942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广发中证养老产业指数型发起式证券投资基金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广发养老指数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000968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广发对冲套利定期开放混合型发起式证券投资基金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广发对冲套利定期开放混合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000992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广发中证环保产业交易型开放式指数证券投资基金发起式联接基金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广发中证环保</w:t>
            </w:r>
            <w:r>
              <w:rPr>
                <w:rFonts w:hint="eastAsia"/>
                <w:color w:val="000000"/>
                <w:sz w:val="22"/>
                <w:szCs w:val="22"/>
              </w:rPr>
              <w:t>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001064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广发聚安混合型证券投资基金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001115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广发中证全指可选消费交易型开放式指数证券投资基金发起式联接基金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广发可选消费联接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001133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广发中证全指医药卫生交易型开放式指数证券投资基金发起式联接基金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广发医药卫生联接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001180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广发聚宝混合型证券投资基金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广发聚宝混合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001189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广发聚惠灵活配置混合型证券投资基金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广发聚惠混合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001206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广发安泰回报混合型证券投资基金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广发安泰回报混合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001290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广发聚泰混合型证券投资基金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广发聚泰混合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001355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广发中证全指主要消费交易型开放式指数证券投资基金发起式联接基金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广发主要消费联接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001458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广发中证全指原材料交易型开放式指数证券投资基金发起式联接基金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广发原材料联接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001459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广发中证全指能源交易型开放式指数证券投资基金发起式联接基金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广发能源联接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001460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广发改革先锋灵活配置混合型证券投资基金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广发改革混合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001468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广发中证全指金融地产交易型开放式指数证券投资基金发起式联接基金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广发金融地产联接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001469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广发百发大数据策略价值灵活配置混合型证券投资基金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广发百发大数据价值混合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001731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广发百发大数据策略成长灵活配置混合型证券投资基金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广发百发大数据成长混合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001734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广发百发大数据策略精选灵活配置混合型证券投资基金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广发百发大数据精选混合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001741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广发安宏回报灵活配置混合型证券投资基金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广发安宏回报混合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001761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广发多策略灵活配置混合型证券投资基金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广发多策略混合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001763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广发沪港深新机遇股票型证券投资基金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广发沪港深股票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001764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广发聚盛灵活配置混合型证券投资基金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广发聚盛混合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002025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广发安享灵活配置混合型证券投资基金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广发安享混合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002116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广发安盈灵活配置混合型证券投资基金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广发安盈混合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002118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广发安悦回报灵活配置混合型证券投资基金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广发安悦回报混合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002120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广发沪港深新起点股票型证券投资基金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广发沪港深新起点股票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002121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广发新兴产业精选灵活配置混合型证券投资基金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广发新兴产业精选混合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002124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广发新兴成长灵活配置混合型证券投资基金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广发新兴成长混合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002125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广发鑫惠纯债定期开放债券型发起式证券投资基金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广发鑫惠纯债定期开放债券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002128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广发鑫利灵活配置混合型证券投资基金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广发鑫利混合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002129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广发鑫隆灵活配置混合型证券投资基金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广发鑫隆混合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002130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广发鑫享灵活配置混合型证券投资基金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广发鑫享混合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002132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广发鑫益灵活配置混合型证券投资基金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广发鑫益混合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002133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广发鑫裕灵活配置混合型证券投资基金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广发鑫裕混合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002134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广发鑫源灵活配置混合型证券投资基金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广发鑫源混合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002135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广发稳安保本混合型证券投资基金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广发稳安保本混合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002295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广发稳鑫保本混合型证券投资基金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广发稳鑫保本混合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002446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广发稳裕保本混合型证券投资基金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广发稳裕保本混合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002622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广发服务业精选灵活配置混合型证券投资基金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广发服务业精选混合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002623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广发优企精选灵活配置混合型证券投资基金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广发优企精选混合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002624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广发集裕债券型证券投资基金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广发集裕债券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002636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广发集丰债券型证券投资基金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广发集丰债券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002711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广发转型升级灵活配置混合型证券投资基金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广发转型升级混合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002713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广发东财大数据精选灵活配置混合型证券投资基金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广发东财大数据混合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002802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广发安泽回报纯债债券型证券投资基金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广发安泽回报纯债债券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002864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广发集源债券型证券投资基金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广发集源债券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002925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广发创新升级灵活配置混合型证券投资基金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广发创新升级混合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002939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广发安瑞回报灵活配置混合型证券投资基金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广发安瑞回报混合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002941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广发多因子灵活配置混合型证券投资基金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广发多因子混合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002943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广发中证军工交易型开放式指数证券投资基金发起式联接基金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广发中证军工</w:t>
            </w:r>
            <w:r>
              <w:rPr>
                <w:rFonts w:hint="eastAsia"/>
                <w:color w:val="000000"/>
                <w:sz w:val="22"/>
                <w:szCs w:val="22"/>
              </w:rPr>
              <w:t>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003017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广发安祥回报灵活配置混合型证券投资基金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广发安祥回报混合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003035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广发集瑞债券型证券投资基金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广发集瑞债券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003037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广发集富纯债债券型证券投资基金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广发集富纯债</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003039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广发景盛纯债债券型证券投资基金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广发景盛纯债债券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003178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广发集安债券型证券投资基金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广发集安债券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003211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广发景丰纯债债券型证券投资基金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广发景丰纯债债券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003223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广发鑫盛</w:t>
            </w:r>
            <w:r>
              <w:rPr>
                <w:rFonts w:hint="eastAsia"/>
                <w:color w:val="000000"/>
                <w:sz w:val="22"/>
                <w:szCs w:val="22"/>
              </w:rPr>
              <w:t>18</w:t>
            </w:r>
            <w:r>
              <w:rPr>
                <w:rFonts w:hint="eastAsia"/>
                <w:color w:val="000000"/>
                <w:sz w:val="22"/>
                <w:szCs w:val="22"/>
              </w:rPr>
              <w:t>个月定期开放混合型证券投资基金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广发鑫盛</w:t>
            </w:r>
            <w:r>
              <w:rPr>
                <w:rFonts w:hint="eastAsia"/>
                <w:color w:val="000000"/>
                <w:sz w:val="22"/>
                <w:szCs w:val="22"/>
              </w:rPr>
              <w:t>18</w:t>
            </w:r>
            <w:r>
              <w:rPr>
                <w:rFonts w:hint="eastAsia"/>
                <w:color w:val="000000"/>
                <w:sz w:val="22"/>
                <w:szCs w:val="22"/>
              </w:rPr>
              <w:t>个月定开混合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003350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广发中债</w:t>
            </w:r>
            <w:r>
              <w:rPr>
                <w:rFonts w:hint="eastAsia"/>
                <w:color w:val="000000"/>
                <w:sz w:val="22"/>
                <w:szCs w:val="22"/>
              </w:rPr>
              <w:t>7-10</w:t>
            </w:r>
            <w:r>
              <w:rPr>
                <w:rFonts w:hint="eastAsia"/>
                <w:color w:val="000000"/>
                <w:sz w:val="22"/>
                <w:szCs w:val="22"/>
              </w:rPr>
              <w:t>年期国开行债券指数证券投资基金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广发中债</w:t>
            </w:r>
            <w:r>
              <w:rPr>
                <w:rFonts w:hint="eastAsia"/>
                <w:color w:val="000000"/>
                <w:sz w:val="22"/>
                <w:szCs w:val="22"/>
              </w:rPr>
              <w:t>7-10</w:t>
            </w:r>
            <w:r>
              <w:rPr>
                <w:rFonts w:hint="eastAsia"/>
                <w:color w:val="000000"/>
                <w:sz w:val="22"/>
                <w:szCs w:val="22"/>
              </w:rPr>
              <w:t>年国开债指数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003376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广发汇平一年定期开放债券型证券投资基金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广发汇平一年定期债券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003743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广发多元新兴股票型证券投资基金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广发多元新兴股票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003745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广发汇瑞</w:t>
            </w:r>
            <w:r>
              <w:rPr>
                <w:rFonts w:hint="eastAsia"/>
                <w:color w:val="000000"/>
                <w:sz w:val="22"/>
                <w:szCs w:val="22"/>
              </w:rPr>
              <w:t>3</w:t>
            </w:r>
            <w:r>
              <w:rPr>
                <w:rFonts w:hint="eastAsia"/>
                <w:color w:val="000000"/>
                <w:sz w:val="22"/>
                <w:szCs w:val="22"/>
              </w:rPr>
              <w:t>个月定期开放债券型发起式证券投资基金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广发汇瑞</w:t>
            </w:r>
            <w:r>
              <w:rPr>
                <w:rFonts w:hint="eastAsia"/>
                <w:color w:val="000000"/>
                <w:sz w:val="22"/>
                <w:szCs w:val="22"/>
              </w:rPr>
              <w:t>3</w:t>
            </w:r>
            <w:r>
              <w:rPr>
                <w:rFonts w:hint="eastAsia"/>
                <w:color w:val="000000"/>
                <w:sz w:val="22"/>
                <w:szCs w:val="22"/>
              </w:rPr>
              <w:t>个月定期开放债券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003746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广发创业板交易型开放式指数证券投资基金发起式联接基金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广发创业板</w:t>
            </w:r>
            <w:r>
              <w:rPr>
                <w:rFonts w:hint="eastAsia"/>
                <w:color w:val="000000"/>
                <w:sz w:val="22"/>
                <w:szCs w:val="22"/>
              </w:rPr>
              <w:t>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003765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广发景华纯债债券型证券投资基金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广发景华纯债债券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003819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广发景祥纯债债券型证券投资基金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广发景祥纯债债券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004020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广发汇富一年定期开放债券型证券投资基金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广发汇富一年定期债券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004021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广发量化稳健混合型证券投资基金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广发量化稳健混合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004023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广发景源纯债债券型证券投资基金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广发景源纯债</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004027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广发创新驱动灵活配置混合型证券投资基金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广发创新驱动混合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004119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广发汇安</w:t>
            </w:r>
            <w:r>
              <w:rPr>
                <w:rFonts w:hint="eastAsia"/>
                <w:color w:val="000000"/>
                <w:sz w:val="22"/>
                <w:szCs w:val="22"/>
              </w:rPr>
              <w:t>18</w:t>
            </w:r>
            <w:r>
              <w:rPr>
                <w:rFonts w:hint="eastAsia"/>
                <w:color w:val="000000"/>
                <w:sz w:val="22"/>
                <w:szCs w:val="22"/>
              </w:rPr>
              <w:t>个月定期开放债券型证券投资基金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广发汇安</w:t>
            </w:r>
            <w:r>
              <w:rPr>
                <w:rFonts w:hint="eastAsia"/>
                <w:color w:val="000000"/>
                <w:sz w:val="22"/>
                <w:szCs w:val="22"/>
              </w:rPr>
              <w:t>18</w:t>
            </w:r>
            <w:r>
              <w:rPr>
                <w:rFonts w:hint="eastAsia"/>
                <w:color w:val="000000"/>
                <w:sz w:val="22"/>
                <w:szCs w:val="22"/>
              </w:rPr>
              <w:t>个月定期债券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004386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广发中证全指工业交易型开放式指数证券投资基金发起式联接基金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广发全指工业</w:t>
            </w:r>
            <w:r>
              <w:rPr>
                <w:rFonts w:hint="eastAsia"/>
                <w:color w:val="000000"/>
                <w:sz w:val="22"/>
                <w:szCs w:val="22"/>
              </w:rPr>
              <w:t>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004593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广发鑫和灵活配置混合型证券投资基金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广发鑫和混合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004750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广发中证传媒交易型开放式指数证券投资基金发起式联接基金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广发中证传媒</w:t>
            </w:r>
            <w:r>
              <w:rPr>
                <w:rFonts w:hint="eastAsia"/>
                <w:color w:val="000000"/>
                <w:sz w:val="22"/>
                <w:szCs w:val="22"/>
              </w:rPr>
              <w:t>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004752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广发汇祥一年定期开放债券型证券投资基金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广发汇祥一年定期债券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004754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广发医疗保健股票型证券投资基金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广发医疗保健股票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004851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广发价值回报混合型证券投资基金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广发价值回报混合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004852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广发中证全指汽车指数型发起式证券投资基金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广发中证全指汽车指数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004854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广发中证全指建筑材料指数型发起式证券投资基金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广发中证全指建筑材料指数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004856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广发品牌消费股票型发起式证券投资基金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广发品牌消费股票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004995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广发高端制造股票型发起式证券投资基金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广发高端制造股票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004997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广发中证全指家用电器指数型发起式证券投资基金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广发中证全指家用电器指数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005063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广发中证基建工程指数型发起式证券投资基金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广发中证基建工程指数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005223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广发量化多因子灵活配置混合型证券投资基金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广发量化多因子混合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005225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广发睿毅领先混合型证券投资基金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广发睿毅领先混合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005233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广发汇吉</w:t>
            </w:r>
            <w:r>
              <w:rPr>
                <w:rFonts w:hint="eastAsia"/>
                <w:color w:val="000000"/>
                <w:sz w:val="22"/>
                <w:szCs w:val="22"/>
              </w:rPr>
              <w:t>3</w:t>
            </w:r>
            <w:r>
              <w:rPr>
                <w:rFonts w:hint="eastAsia"/>
                <w:color w:val="000000"/>
                <w:sz w:val="22"/>
                <w:szCs w:val="22"/>
              </w:rPr>
              <w:t>个月定期开放债券型发起式证券投资基金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广发汇吉</w:t>
            </w:r>
            <w:r>
              <w:rPr>
                <w:rFonts w:hint="eastAsia"/>
                <w:color w:val="000000"/>
                <w:sz w:val="22"/>
                <w:szCs w:val="22"/>
              </w:rPr>
              <w:t>3</w:t>
            </w:r>
            <w:r>
              <w:rPr>
                <w:rFonts w:hint="eastAsia"/>
                <w:color w:val="000000"/>
                <w:sz w:val="22"/>
                <w:szCs w:val="22"/>
              </w:rPr>
              <w:t>个月定期开放债券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005234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广发电子信息传媒产业精选股票型发起式证券投资基金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广发电子信息传媒股票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005310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广发资源优选股票型发起式证券投资基金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广发资源优选股票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005402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广发集泰债券型证券投资基金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广发集泰债券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005559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广发中小盘精选混合型证券投资基金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广发中小盘精选混合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005598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广发中债</w:t>
            </w:r>
            <w:r>
              <w:rPr>
                <w:rFonts w:hint="eastAsia"/>
                <w:color w:val="000000"/>
                <w:sz w:val="22"/>
                <w:szCs w:val="22"/>
              </w:rPr>
              <w:t>1-3</w:t>
            </w:r>
            <w:r>
              <w:rPr>
                <w:rFonts w:hint="eastAsia"/>
                <w:color w:val="000000"/>
                <w:sz w:val="22"/>
                <w:szCs w:val="22"/>
              </w:rPr>
              <w:t>年农发行债券指数证券投资基金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广发中债</w:t>
            </w:r>
            <w:r>
              <w:rPr>
                <w:rFonts w:hint="eastAsia"/>
                <w:color w:val="000000"/>
                <w:sz w:val="22"/>
                <w:szCs w:val="22"/>
              </w:rPr>
              <w:t>1-3</w:t>
            </w:r>
            <w:r>
              <w:rPr>
                <w:rFonts w:hint="eastAsia"/>
                <w:color w:val="000000"/>
                <w:sz w:val="22"/>
                <w:szCs w:val="22"/>
              </w:rPr>
              <w:t>年农发债指数</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005623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广发沪港深行业龙头混合型证券投资基金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广发沪港深龙头混合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005644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广发汇佳定期开放债券型发起式证券投资基金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广发汇佳定期开放债券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005647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广发汇康定期开放债券型发起式证券投资基金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广发汇康定期开放债券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005745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广发科技动力股票型证券投资基金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广发科技动力股票</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005777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广发汇元纯债定期开放债券型发起式证券投资基金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广发汇元纯债定期开放债券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005778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广发中证京津冀协同发展主题交易型开放式指数证券投资基金发起式联接基金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广发中证京津冀</w:t>
            </w:r>
            <w:r>
              <w:rPr>
                <w:rFonts w:hint="eastAsia"/>
                <w:color w:val="000000"/>
                <w:sz w:val="22"/>
                <w:szCs w:val="22"/>
              </w:rPr>
              <w:t>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005803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广发龙头优选灵活配置混合型证券投资基金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广发龙头优选混合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005910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广发汇誉</w:t>
            </w:r>
            <w:r>
              <w:rPr>
                <w:rFonts w:hint="eastAsia"/>
                <w:color w:val="000000"/>
                <w:sz w:val="22"/>
                <w:szCs w:val="22"/>
              </w:rPr>
              <w:t>3</w:t>
            </w:r>
            <w:r>
              <w:rPr>
                <w:rFonts w:hint="eastAsia"/>
                <w:color w:val="000000"/>
                <w:sz w:val="22"/>
                <w:szCs w:val="22"/>
              </w:rPr>
              <w:t>个月定期开放债券型发起式证券投资基金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广发汇誉</w:t>
            </w:r>
            <w:r>
              <w:rPr>
                <w:rFonts w:hint="eastAsia"/>
                <w:color w:val="000000"/>
                <w:sz w:val="22"/>
                <w:szCs w:val="22"/>
              </w:rPr>
              <w:t>3</w:t>
            </w:r>
            <w:r>
              <w:rPr>
                <w:rFonts w:hint="eastAsia"/>
                <w:color w:val="000000"/>
                <w:sz w:val="22"/>
                <w:szCs w:val="22"/>
              </w:rPr>
              <w:t>个月定期开放债券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005917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广发沪深</w:t>
            </w:r>
            <w:r>
              <w:rPr>
                <w:rFonts w:hint="eastAsia"/>
                <w:color w:val="000000"/>
                <w:sz w:val="22"/>
                <w:szCs w:val="22"/>
              </w:rPr>
              <w:t>300</w:t>
            </w:r>
            <w:r>
              <w:rPr>
                <w:rFonts w:hint="eastAsia"/>
                <w:color w:val="000000"/>
                <w:sz w:val="22"/>
                <w:szCs w:val="22"/>
              </w:rPr>
              <w:t>指数增强型发起式证券投资基金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广发沪深</w:t>
            </w:r>
            <w:r>
              <w:rPr>
                <w:rFonts w:hint="eastAsia"/>
                <w:color w:val="000000"/>
                <w:sz w:val="22"/>
                <w:szCs w:val="22"/>
              </w:rPr>
              <w:t>300</w:t>
            </w:r>
            <w:r>
              <w:rPr>
                <w:rFonts w:hint="eastAsia"/>
                <w:color w:val="000000"/>
                <w:sz w:val="22"/>
                <w:szCs w:val="22"/>
              </w:rPr>
              <w:t>指数增强</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006020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广发估值优势混合型证券投资基金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广发估值优势混合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006136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广发中小板</w:t>
            </w:r>
            <w:r>
              <w:rPr>
                <w:rFonts w:hint="eastAsia"/>
                <w:color w:val="000000"/>
                <w:sz w:val="22"/>
                <w:szCs w:val="22"/>
              </w:rPr>
              <w:t>300</w:t>
            </w:r>
            <w:r>
              <w:rPr>
                <w:rFonts w:hint="eastAsia"/>
                <w:color w:val="000000"/>
                <w:sz w:val="22"/>
                <w:szCs w:val="22"/>
              </w:rPr>
              <w:t>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广发中小板</w:t>
            </w:r>
            <w:r>
              <w:rPr>
                <w:rFonts w:hint="eastAsia"/>
                <w:color w:val="000000"/>
                <w:sz w:val="22"/>
                <w:szCs w:val="22"/>
              </w:rPr>
              <w:t>300ETF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159907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广发中证全指可选消费交易型开放式指数证券投资基金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广发中证全指可选消费</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159936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广发中证全指医药卫生交易型开放式指数证券投资基金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广发中证全指医药卫生</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159938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广发中证全指信息技术交易型开放式指数证券投资基金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广发中证全指信息技术</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159939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广发中证全指金融地产交易型开放式指数证券投资基金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广发中证全指金融地产</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159940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广发中证全指原材料交易型开放式指数证券投资基金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广发中证全指原材料</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159944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广发中证全指能源交易型开放式指数证券投资基金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广发中证全指能源</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159945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广发中证全指主要消费交易型开放式指数证券投资基金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广发中证全指主要消费</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159946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广发创业板交易型开放式指数证券投资基金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广发创业板</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159952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广发中证全指工业交易型开放式指数证券投资基金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广发中证全指工业</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159953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广发小盘成长混合型证券投资基金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广发小盘成长混合</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162703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w:t>
            </w:r>
            <w:r>
              <w:rPr>
                <w:rFonts w:hint="eastAsia"/>
                <w:color w:val="000000"/>
                <w:sz w:val="22"/>
                <w:szCs w:val="22"/>
              </w:rPr>
              <w:t>500</w:t>
            </w:r>
            <w:r>
              <w:rPr>
                <w:rFonts w:hint="eastAsia"/>
                <w:color w:val="000000"/>
                <w:sz w:val="22"/>
                <w:szCs w:val="22"/>
              </w:rPr>
              <w:t>交易型开放式指数证券投资基金联接基金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w:t>
            </w:r>
            <w:r>
              <w:rPr>
                <w:rFonts w:hint="eastAsia"/>
                <w:color w:val="000000"/>
                <w:sz w:val="22"/>
                <w:szCs w:val="22"/>
              </w:rPr>
              <w:t>500ETF</w:t>
            </w:r>
            <w:r>
              <w:rPr>
                <w:rFonts w:hint="eastAsia"/>
                <w:color w:val="000000"/>
                <w:sz w:val="22"/>
                <w:szCs w:val="22"/>
              </w:rPr>
              <w:t>联接</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162711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广发聚利债券型证券投资基金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广发聚利债券</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162712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广发深证</w:t>
            </w:r>
            <w:r>
              <w:rPr>
                <w:rFonts w:hint="eastAsia"/>
                <w:color w:val="000000"/>
                <w:sz w:val="22"/>
                <w:szCs w:val="22"/>
              </w:rPr>
              <w:t>100</w:t>
            </w:r>
            <w:r>
              <w:rPr>
                <w:rFonts w:hint="eastAsia"/>
                <w:color w:val="000000"/>
                <w:sz w:val="22"/>
                <w:szCs w:val="22"/>
              </w:rPr>
              <w:t>指数分级证券投资基金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广发深证</w:t>
            </w:r>
            <w:r>
              <w:rPr>
                <w:rFonts w:hint="eastAsia"/>
                <w:color w:val="000000"/>
                <w:sz w:val="22"/>
                <w:szCs w:val="22"/>
              </w:rPr>
              <w:t>100</w:t>
            </w:r>
            <w:r>
              <w:rPr>
                <w:rFonts w:hint="eastAsia"/>
                <w:color w:val="000000"/>
                <w:sz w:val="22"/>
                <w:szCs w:val="22"/>
              </w:rPr>
              <w:t>指数分级</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162714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广发聚源债券型证券投资基金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广发聚源债券</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162715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广发再融资主题灵活配置混合型证券投资基金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广发再融资主题混合</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162717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广发鑫瑞混合型证券投资基金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广发鑫瑞混合</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162718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广发聚富开放式证券投资基金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广发聚富混合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广发稳健增长开放式证券投资基金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广发稳健增长混合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广发货币</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广发聚丰混合型证券投资基金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广发聚丰混合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广发策略优选混合型证券投资基金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广发策略优选混合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广发大盘成长混合型证券投资基金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广发大盘成长混合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270007</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广发核心精选混合型证券投资基金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广发核心精选混合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广发增强债券型证券投资基金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广发增强债券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270009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广发沪深</w:t>
            </w:r>
            <w:r>
              <w:rPr>
                <w:rFonts w:hint="eastAsia"/>
                <w:color w:val="000000"/>
                <w:sz w:val="22"/>
                <w:szCs w:val="22"/>
              </w:rPr>
              <w:t>300</w:t>
            </w:r>
            <w:r>
              <w:rPr>
                <w:rFonts w:hint="eastAsia"/>
                <w:color w:val="000000"/>
                <w:sz w:val="22"/>
                <w:szCs w:val="22"/>
              </w:rPr>
              <w:t>交易型开放式指数证券投资基金联接基金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广发沪深</w:t>
            </w:r>
            <w:r>
              <w:rPr>
                <w:rFonts w:hint="eastAsia"/>
                <w:color w:val="000000"/>
                <w:sz w:val="22"/>
                <w:szCs w:val="22"/>
              </w:rPr>
              <w:t>300ETF</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270010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广发聚瑞混合型证券投资基金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广发聚瑞混合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270021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广发内需增长灵活配置混合型证券投资基金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广发内需增长混合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270022</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广发行业领先混合型证券投资基金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广发行业领先混合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270025</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广发中小板</w:t>
            </w:r>
            <w:r>
              <w:rPr>
                <w:rFonts w:hint="eastAsia"/>
                <w:color w:val="000000"/>
                <w:sz w:val="22"/>
                <w:szCs w:val="22"/>
              </w:rPr>
              <w:t>300</w:t>
            </w:r>
            <w:r>
              <w:rPr>
                <w:rFonts w:hint="eastAsia"/>
                <w:color w:val="000000"/>
                <w:sz w:val="22"/>
                <w:szCs w:val="22"/>
              </w:rPr>
              <w:t>交易型开放式指数证券投资基金联接基金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广发中小板</w:t>
            </w:r>
            <w:r>
              <w:rPr>
                <w:rFonts w:hint="eastAsia"/>
                <w:color w:val="000000"/>
                <w:sz w:val="22"/>
                <w:szCs w:val="22"/>
              </w:rPr>
              <w:t>300</w:t>
            </w:r>
            <w:r>
              <w:rPr>
                <w:rFonts w:hint="eastAsia"/>
                <w:color w:val="000000"/>
                <w:sz w:val="22"/>
                <w:szCs w:val="22"/>
              </w:rPr>
              <w:t>联接</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270026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广发制造业精选混合型证券投资基金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广发制造业精选混合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270028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广发聚财信用债券型证券投资基金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广发聚财信用债券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270029</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广发消费品精选混合型证券投资基金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广发消费品精选混合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270041</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广发理财年年红债券型证券投资基金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广发理财年年红债券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270043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广发双债添利债券型证券投资基金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广发双债添利债券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270044</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广发理财</w:t>
            </w:r>
            <w:r>
              <w:rPr>
                <w:rFonts w:hint="eastAsia"/>
                <w:color w:val="000000"/>
                <w:sz w:val="22"/>
                <w:szCs w:val="22"/>
              </w:rPr>
              <w:t>30</w:t>
            </w:r>
            <w:r>
              <w:rPr>
                <w:rFonts w:hint="eastAsia"/>
                <w:color w:val="000000"/>
                <w:sz w:val="22"/>
                <w:szCs w:val="22"/>
              </w:rPr>
              <w:t>天债券型证券投资基金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广发理财</w:t>
            </w:r>
            <w:r>
              <w:rPr>
                <w:rFonts w:hint="eastAsia"/>
                <w:color w:val="000000"/>
                <w:sz w:val="22"/>
                <w:szCs w:val="22"/>
              </w:rPr>
              <w:t>30</w:t>
            </w:r>
            <w:r>
              <w:rPr>
                <w:rFonts w:hint="eastAsia"/>
                <w:color w:val="000000"/>
                <w:sz w:val="22"/>
                <w:szCs w:val="22"/>
              </w:rPr>
              <w:t>天债券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270046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广发纯债债券型证券投资基金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广发纯债债券</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270048</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广发新经济混合型发起式证券投资基金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广发新经济混合</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270050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w:t>
            </w:r>
            <w:r>
              <w:rPr>
                <w:rFonts w:hint="eastAsia"/>
                <w:color w:val="000000"/>
                <w:sz w:val="22"/>
                <w:szCs w:val="22"/>
              </w:rPr>
              <w:t>10</w:t>
            </w:r>
            <w:r>
              <w:rPr>
                <w:rFonts w:hint="eastAsia"/>
                <w:color w:val="000000"/>
                <w:sz w:val="22"/>
                <w:szCs w:val="22"/>
              </w:rPr>
              <w:t>年期国开债指数证券投资基金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w:t>
            </w:r>
            <w:r>
              <w:rPr>
                <w:rFonts w:hint="eastAsia"/>
                <w:color w:val="000000"/>
                <w:sz w:val="22"/>
                <w:szCs w:val="22"/>
              </w:rPr>
              <w:t>10</w:t>
            </w:r>
            <w:r>
              <w:rPr>
                <w:rFonts w:hint="eastAsia"/>
                <w:color w:val="000000"/>
                <w:sz w:val="22"/>
                <w:szCs w:val="22"/>
              </w:rPr>
              <w:t>年期国开债</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501106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广发港股通恒生综合中型股指数证券投资基金</w:t>
            </w:r>
            <w:r>
              <w:rPr>
                <w:rFonts w:hint="eastAsia"/>
                <w:color w:val="000000"/>
                <w:sz w:val="22"/>
                <w:szCs w:val="22"/>
              </w:rPr>
              <w:t>(LOF)</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广发恒生中型股指数</w:t>
            </w:r>
            <w:r>
              <w:rPr>
                <w:rFonts w:hint="eastAsia"/>
                <w:color w:val="000000"/>
                <w:sz w:val="22"/>
                <w:szCs w:val="22"/>
              </w:rPr>
              <w:t>(LOF)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501303</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广发中证医疗指数分级证券投资基金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广发医疗指数分级</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502056</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广发沪深</w:t>
            </w:r>
            <w:r>
              <w:rPr>
                <w:rFonts w:hint="eastAsia"/>
                <w:color w:val="000000"/>
                <w:sz w:val="22"/>
                <w:szCs w:val="22"/>
              </w:rPr>
              <w:t>300</w:t>
            </w:r>
            <w:r>
              <w:rPr>
                <w:rFonts w:hint="eastAsia"/>
                <w:color w:val="000000"/>
                <w:sz w:val="22"/>
                <w:szCs w:val="22"/>
              </w:rPr>
              <w:t>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广发沪深</w:t>
            </w:r>
            <w:r>
              <w:rPr>
                <w:rFonts w:hint="eastAsia"/>
                <w:color w:val="000000"/>
                <w:sz w:val="22"/>
                <w:szCs w:val="22"/>
              </w:rPr>
              <w:t>300ETF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510360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w:t>
            </w:r>
            <w:r>
              <w:rPr>
                <w:rFonts w:hint="eastAsia"/>
                <w:color w:val="000000"/>
                <w:sz w:val="22"/>
                <w:szCs w:val="22"/>
              </w:rPr>
              <w:t>500</w:t>
            </w:r>
            <w:r>
              <w:rPr>
                <w:rFonts w:hint="eastAsia"/>
                <w:color w:val="000000"/>
                <w:sz w:val="22"/>
                <w:szCs w:val="22"/>
              </w:rPr>
              <w:t>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w:t>
            </w:r>
            <w:r>
              <w:rPr>
                <w:rFonts w:hint="eastAsia"/>
                <w:color w:val="000000"/>
                <w:sz w:val="22"/>
                <w:szCs w:val="22"/>
              </w:rPr>
              <w:t>500ETF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510510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广发上证</w:t>
            </w:r>
            <w:r>
              <w:rPr>
                <w:rFonts w:hint="eastAsia"/>
                <w:color w:val="000000"/>
                <w:sz w:val="22"/>
                <w:szCs w:val="22"/>
              </w:rPr>
              <w:t>10</w:t>
            </w:r>
            <w:r>
              <w:rPr>
                <w:rFonts w:hint="eastAsia"/>
                <w:color w:val="000000"/>
                <w:sz w:val="22"/>
                <w:szCs w:val="22"/>
              </w:rPr>
              <w:t>年期国债交易型开放式指数证券投资基金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广发上证</w:t>
            </w:r>
            <w:r>
              <w:rPr>
                <w:rFonts w:hint="eastAsia"/>
                <w:color w:val="000000"/>
                <w:sz w:val="22"/>
                <w:szCs w:val="22"/>
              </w:rPr>
              <w:t>10</w:t>
            </w:r>
            <w:r>
              <w:rPr>
                <w:rFonts w:hint="eastAsia"/>
                <w:color w:val="000000"/>
                <w:sz w:val="22"/>
                <w:szCs w:val="22"/>
              </w:rPr>
              <w:t>年期国债</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511290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广发添利交易型货币市场基金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广发添利货币</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511950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广发中证环保产业交易型开放式指数证券投资基金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广发中证环保</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512580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广发中证军工交易型开放式指数证券投资基金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广发中证军工</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512680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广发中证京津冀协同发展主题交易型开放式指数证券投资基金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广发中证京津冀</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512780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广发中证传媒交易型开放式指数证券投资基金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广发中证传媒</w:t>
            </w:r>
            <w:r>
              <w:rPr>
                <w:rFonts w:hint="eastAsia"/>
                <w:color w:val="000000"/>
                <w:sz w:val="22"/>
                <w:szCs w:val="22"/>
              </w:rPr>
              <w:t>ETF</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512980</w:t>
            </w:r>
          </w:p>
        </w:tc>
      </w:tr>
      <w:tr w:rsidR="008706BD" w:rsidRPr="00BD5586" w:rsidTr="008706BD">
        <w:trPr>
          <w:jc w:val="center"/>
        </w:trPr>
        <w:tc>
          <w:tcPr>
            <w:tcW w:w="3345"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广发现金宝场内实时申赎货币市场基金</w:t>
            </w:r>
          </w:p>
        </w:tc>
        <w:tc>
          <w:tcPr>
            <w:tcW w:w="1803"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广发现金宝场内货币</w:t>
            </w:r>
          </w:p>
        </w:tc>
        <w:tc>
          <w:tcPr>
            <w:tcW w:w="3780" w:type="dxa"/>
            <w:vAlign w:val="center"/>
          </w:tcPr>
          <w:p w:rsidR="008706BD" w:rsidRDefault="008706BD" w:rsidP="004C44B4">
            <w:pPr>
              <w:rPr>
                <w:rFonts w:ascii="宋体" w:eastAsia="宋体" w:hAnsi="宋体" w:cs="宋体"/>
                <w:color w:val="000000"/>
                <w:sz w:val="22"/>
                <w:szCs w:val="22"/>
              </w:rPr>
            </w:pPr>
            <w:r>
              <w:rPr>
                <w:rFonts w:hint="eastAsia"/>
                <w:color w:val="000000"/>
                <w:sz w:val="22"/>
                <w:szCs w:val="22"/>
              </w:rPr>
              <w:t>519858</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广发美国房地产指数证券投资基金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广发美国房地产指数</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000179</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广发亚太中高收益债券型证券投资基金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广发亚太中高收益债券</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000274</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广发全球医疗保健指数证券投资基金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广发全球医疗保健指数</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000369</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广发纳斯达克生物科技指数型发起式证券投资基金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广发生物科技指数</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001092</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广发海外多元配置证券投资基金</w:t>
            </w:r>
            <w:r>
              <w:rPr>
                <w:rFonts w:hint="eastAsia"/>
                <w:color w:val="000000"/>
                <w:sz w:val="22"/>
                <w:szCs w:val="22"/>
              </w:rPr>
              <w:t>(QDII)</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广发海外多元配置</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005557</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广发纳斯达克</w:t>
            </w:r>
            <w:r>
              <w:rPr>
                <w:rFonts w:hint="eastAsia"/>
                <w:color w:val="000000"/>
                <w:sz w:val="22"/>
                <w:szCs w:val="22"/>
              </w:rPr>
              <w:t>100</w:t>
            </w:r>
            <w:r>
              <w:rPr>
                <w:rFonts w:hint="eastAsia"/>
                <w:color w:val="000000"/>
                <w:sz w:val="22"/>
                <w:szCs w:val="22"/>
              </w:rPr>
              <w:t>交易型开放式指数证券投资基金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广发纳指</w:t>
            </w:r>
            <w:r>
              <w:rPr>
                <w:rFonts w:hint="eastAsia"/>
                <w:color w:val="000000"/>
                <w:sz w:val="22"/>
                <w:szCs w:val="22"/>
              </w:rPr>
              <w:t>100ETF</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159941</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广发道琼斯美国石油开发与生产指数证券投资基金</w:t>
            </w:r>
            <w:r>
              <w:rPr>
                <w:rFonts w:hint="eastAsia"/>
                <w:color w:val="000000"/>
                <w:sz w:val="22"/>
                <w:szCs w:val="22"/>
              </w:rPr>
              <w:t>(QDII-LOF)</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广发道琼斯石油指数</w:t>
            </w:r>
            <w:r>
              <w:rPr>
                <w:rFonts w:hint="eastAsia"/>
                <w:color w:val="000000"/>
                <w:sz w:val="22"/>
                <w:szCs w:val="22"/>
              </w:rPr>
              <w:t>(QDII-LOF)</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162719</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广发全球精选股票型证券投资基金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广发全球精选股票</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270023</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广发标普全球农业指数证券投资基金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广发全球农业指数</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270027</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广发纳斯达克</w:t>
            </w:r>
            <w:r>
              <w:rPr>
                <w:rFonts w:hint="eastAsia"/>
                <w:color w:val="000000"/>
                <w:sz w:val="22"/>
                <w:szCs w:val="22"/>
              </w:rPr>
              <w:t>100</w:t>
            </w:r>
            <w:r>
              <w:rPr>
                <w:rFonts w:hint="eastAsia"/>
                <w:color w:val="000000"/>
                <w:sz w:val="22"/>
                <w:szCs w:val="22"/>
              </w:rPr>
              <w:t>指数证券投资基金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广发纳斯达克</w:t>
            </w:r>
            <w:r>
              <w:rPr>
                <w:rFonts w:hint="eastAsia"/>
                <w:color w:val="000000"/>
                <w:sz w:val="22"/>
                <w:szCs w:val="22"/>
              </w:rPr>
              <w:t>100</w:t>
            </w:r>
            <w:r>
              <w:rPr>
                <w:rFonts w:hint="eastAsia"/>
                <w:color w:val="000000"/>
                <w:sz w:val="22"/>
                <w:szCs w:val="22"/>
              </w:rPr>
              <w:t>指数</w:t>
            </w:r>
            <w:r>
              <w:rPr>
                <w:rFonts w:hint="eastAsia"/>
                <w:color w:val="000000"/>
                <w:sz w:val="22"/>
                <w:szCs w:val="22"/>
              </w:rPr>
              <w:t>(QDII)</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270042</w:t>
            </w:r>
          </w:p>
        </w:tc>
      </w:tr>
      <w:tr w:rsidR="00015C1B" w:rsidRPr="00BD5586" w:rsidTr="00A54A7D">
        <w:trPr>
          <w:jc w:val="center"/>
        </w:trPr>
        <w:tc>
          <w:tcPr>
            <w:tcW w:w="3345"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广发全球收益债券型证券投资基金</w:t>
            </w:r>
          </w:p>
        </w:tc>
        <w:tc>
          <w:tcPr>
            <w:tcW w:w="1803" w:type="dxa"/>
            <w:vAlign w:val="bottom"/>
          </w:tcPr>
          <w:p w:rsidR="00015C1B" w:rsidRDefault="00015C1B">
            <w:pPr>
              <w:rPr>
                <w:rFonts w:ascii="宋体" w:eastAsia="宋体" w:hAnsi="宋体" w:cs="宋体"/>
                <w:color w:val="000000"/>
                <w:sz w:val="22"/>
                <w:szCs w:val="22"/>
              </w:rPr>
            </w:pPr>
            <w:r>
              <w:rPr>
                <w:rFonts w:hint="eastAsia"/>
                <w:color w:val="000000"/>
                <w:sz w:val="22"/>
                <w:szCs w:val="22"/>
              </w:rPr>
              <w:t>广发全球收益债券（</w:t>
            </w:r>
            <w:r>
              <w:rPr>
                <w:rFonts w:hint="eastAsia"/>
                <w:color w:val="000000"/>
                <w:sz w:val="22"/>
                <w:szCs w:val="22"/>
              </w:rPr>
              <w:t>QDII</w:t>
            </w:r>
            <w:r>
              <w:rPr>
                <w:rFonts w:hint="eastAsia"/>
                <w:color w:val="000000"/>
                <w:sz w:val="22"/>
                <w:szCs w:val="22"/>
              </w:rPr>
              <w:t>）</w:t>
            </w:r>
          </w:p>
        </w:tc>
        <w:tc>
          <w:tcPr>
            <w:tcW w:w="3780" w:type="dxa"/>
            <w:vAlign w:val="bottom"/>
          </w:tcPr>
          <w:p w:rsidR="00015C1B" w:rsidRDefault="00015C1B">
            <w:pPr>
              <w:rPr>
                <w:rFonts w:ascii="宋体" w:eastAsia="宋体" w:hAnsi="宋体" w:cs="宋体"/>
                <w:color w:val="000000"/>
                <w:sz w:val="22"/>
                <w:szCs w:val="22"/>
              </w:rPr>
            </w:pPr>
            <w:r>
              <w:rPr>
                <w:rFonts w:hint="eastAsia"/>
                <w:color w:val="000000"/>
                <w:sz w:val="22"/>
                <w:szCs w:val="22"/>
              </w:rPr>
              <w:t>005912</w:t>
            </w:r>
          </w:p>
        </w:tc>
      </w:tr>
    </w:tbl>
    <w:p w:rsidR="00431275" w:rsidRPr="00BD5586" w:rsidRDefault="00431275" w:rsidP="004C44B4">
      <w:pPr>
        <w:pStyle w:val="2"/>
        <w:spacing w:line="240" w:lineRule="auto"/>
        <w:rPr>
          <w:rFonts w:ascii="Times New Roman" w:eastAsia="方正仿宋简体" w:hAnsi="Times New Roman"/>
          <w:bCs w:val="0"/>
          <w:color w:val="000000"/>
          <w:sz w:val="24"/>
          <w:szCs w:val="24"/>
        </w:rPr>
      </w:pPr>
      <w:bookmarkStart w:id="2" w:name="_Toc275961439"/>
      <w:r w:rsidRPr="00BD5586">
        <w:rPr>
          <w:rFonts w:ascii="Times New Roman" w:eastAsia="方正仿宋简体" w:hAnsi="Times New Roman"/>
          <w:bCs w:val="0"/>
          <w:color w:val="000000"/>
          <w:sz w:val="24"/>
          <w:szCs w:val="24"/>
        </w:rPr>
        <w:t xml:space="preserve">2 </w:t>
      </w:r>
      <w:r w:rsidRPr="00BD5586">
        <w:rPr>
          <w:rFonts w:ascii="Times New Roman" w:eastAsia="方正仿宋简体" w:hAnsi="Times New Roman"/>
          <w:bCs w:val="0"/>
          <w:color w:val="000000"/>
          <w:sz w:val="24"/>
          <w:szCs w:val="24"/>
        </w:rPr>
        <w:t>其他需要提示的事项</w:t>
      </w:r>
      <w:bookmarkEnd w:id="2"/>
    </w:p>
    <w:p w:rsidR="00430F49" w:rsidRDefault="00EC184D" w:rsidP="00EC184D">
      <w:pPr>
        <w:ind w:firstLine="420"/>
        <w:rPr>
          <w:color w:val="000000"/>
          <w:sz w:val="22"/>
          <w:szCs w:val="22"/>
        </w:rPr>
      </w:pPr>
      <w:r w:rsidRPr="00EC184D">
        <w:rPr>
          <w:rFonts w:hint="eastAsia"/>
          <w:color w:val="000000"/>
          <w:sz w:val="22"/>
          <w:szCs w:val="22"/>
        </w:rPr>
        <w:t>上述变更事项，已由</w:t>
      </w:r>
      <w:r>
        <w:rPr>
          <w:rFonts w:hint="eastAsia"/>
          <w:color w:val="000000"/>
          <w:sz w:val="22"/>
          <w:szCs w:val="22"/>
        </w:rPr>
        <w:t>广发基金管理有限公司</w:t>
      </w:r>
      <w:r w:rsidRPr="00EC184D">
        <w:rPr>
          <w:rFonts w:hint="eastAsia"/>
          <w:color w:val="000000"/>
          <w:sz w:val="22"/>
          <w:szCs w:val="22"/>
        </w:rPr>
        <w:t>董事会会议审议通过，并已按照相关规定及基金合同约定通知基金托管人，同时将按规定向中国证券监督管理委员会备案。</w:t>
      </w:r>
      <w:r w:rsidR="00561A6C" w:rsidRPr="00561A6C">
        <w:rPr>
          <w:rFonts w:hint="eastAsia"/>
          <w:color w:val="000000"/>
          <w:sz w:val="22"/>
          <w:szCs w:val="22"/>
        </w:rPr>
        <w:t>自本公告披露后，本公司旗下新成立基金亦将聘请安永华明会计师事务所提供服务。如有变更，另行公告。</w:t>
      </w:r>
    </w:p>
    <w:p w:rsidR="00EC184D" w:rsidRDefault="00EC184D" w:rsidP="00EC184D">
      <w:pPr>
        <w:ind w:firstLine="420"/>
        <w:rPr>
          <w:color w:val="000000"/>
          <w:sz w:val="22"/>
          <w:szCs w:val="22"/>
        </w:rPr>
      </w:pPr>
      <w:r>
        <w:rPr>
          <w:rFonts w:hint="eastAsia"/>
          <w:color w:val="000000"/>
          <w:sz w:val="22"/>
          <w:szCs w:val="22"/>
        </w:rPr>
        <w:t>广发基金管理有限公司</w:t>
      </w:r>
    </w:p>
    <w:p w:rsidR="00EC184D" w:rsidRPr="00EC184D" w:rsidRDefault="00EC184D" w:rsidP="00EC184D">
      <w:pPr>
        <w:ind w:firstLine="420"/>
        <w:rPr>
          <w:color w:val="000000"/>
          <w:sz w:val="22"/>
          <w:szCs w:val="22"/>
        </w:rPr>
      </w:pPr>
      <w:r>
        <w:rPr>
          <w:rFonts w:hint="eastAsia"/>
          <w:color w:val="000000"/>
          <w:sz w:val="22"/>
          <w:szCs w:val="22"/>
        </w:rPr>
        <w:t xml:space="preserve">                                                  2018</w:t>
      </w:r>
      <w:r>
        <w:rPr>
          <w:rFonts w:hint="eastAsia"/>
          <w:color w:val="000000"/>
          <w:sz w:val="22"/>
          <w:szCs w:val="22"/>
        </w:rPr>
        <w:t>年</w:t>
      </w:r>
      <w:r>
        <w:rPr>
          <w:rFonts w:hint="eastAsia"/>
          <w:color w:val="000000"/>
          <w:sz w:val="22"/>
          <w:szCs w:val="22"/>
        </w:rPr>
        <w:t>9</w:t>
      </w:r>
      <w:r>
        <w:rPr>
          <w:rFonts w:hint="eastAsia"/>
          <w:color w:val="000000"/>
          <w:sz w:val="22"/>
          <w:szCs w:val="22"/>
        </w:rPr>
        <w:t>月</w:t>
      </w:r>
      <w:r w:rsidR="00A71266">
        <w:rPr>
          <w:rFonts w:hint="eastAsia"/>
          <w:color w:val="000000"/>
          <w:sz w:val="22"/>
          <w:szCs w:val="22"/>
        </w:rPr>
        <w:t>29</w:t>
      </w:r>
      <w:r>
        <w:rPr>
          <w:rFonts w:hint="eastAsia"/>
          <w:color w:val="000000"/>
          <w:sz w:val="22"/>
          <w:szCs w:val="22"/>
        </w:rPr>
        <w:t>日</w:t>
      </w:r>
    </w:p>
    <w:sectPr w:rsidR="00EC184D" w:rsidRPr="00EC184D" w:rsidSect="00561A6C">
      <w:footerReference w:type="default" r:id="rId7"/>
      <w:pgSz w:w="11907" w:h="16840" w:code="9"/>
      <w:pgMar w:top="2098" w:right="1588" w:bottom="2098" w:left="1588" w:header="851" w:footer="1440" w:gutter="0"/>
      <w:cols w:space="425"/>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6C" w:rsidRDefault="00561A6C" w:rsidP="00431275">
      <w:r>
        <w:separator/>
      </w:r>
    </w:p>
  </w:endnote>
  <w:endnote w:type="continuationSeparator" w:id="1">
    <w:p w:rsidR="00561A6C" w:rsidRDefault="00561A6C" w:rsidP="00431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6C" w:rsidRDefault="00561A6C" w:rsidP="00561A6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6C" w:rsidRDefault="00561A6C" w:rsidP="00431275">
      <w:r>
        <w:separator/>
      </w:r>
    </w:p>
  </w:footnote>
  <w:footnote w:type="continuationSeparator" w:id="1">
    <w:p w:rsidR="00561A6C" w:rsidRDefault="00561A6C" w:rsidP="00431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1275"/>
    <w:rsid w:val="00015C1B"/>
    <w:rsid w:val="0006407A"/>
    <w:rsid w:val="0006727C"/>
    <w:rsid w:val="002C5427"/>
    <w:rsid w:val="002E7100"/>
    <w:rsid w:val="00430F49"/>
    <w:rsid w:val="00431275"/>
    <w:rsid w:val="00440394"/>
    <w:rsid w:val="004C44B4"/>
    <w:rsid w:val="004D1BD9"/>
    <w:rsid w:val="00561A6C"/>
    <w:rsid w:val="006C4007"/>
    <w:rsid w:val="006D11C2"/>
    <w:rsid w:val="00774AA7"/>
    <w:rsid w:val="007A302E"/>
    <w:rsid w:val="008706BD"/>
    <w:rsid w:val="009A6519"/>
    <w:rsid w:val="009A67FA"/>
    <w:rsid w:val="00A71266"/>
    <w:rsid w:val="00B34858"/>
    <w:rsid w:val="00DB0285"/>
    <w:rsid w:val="00E17D53"/>
    <w:rsid w:val="00EC184D"/>
    <w:rsid w:val="00ED3331"/>
    <w:rsid w:val="00F41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75"/>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43127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43127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31275"/>
    <w:rPr>
      <w:rFonts w:ascii="Times New Roman" w:eastAsia="宋体" w:hAnsi="Times New Roman" w:cs="Times New Roman"/>
      <w:b/>
      <w:bCs/>
      <w:kern w:val="44"/>
      <w:sz w:val="44"/>
      <w:szCs w:val="44"/>
    </w:rPr>
  </w:style>
  <w:style w:type="character" w:customStyle="1" w:styleId="2Char">
    <w:name w:val="标题 2 Char"/>
    <w:basedOn w:val="a0"/>
    <w:link w:val="2"/>
    <w:rsid w:val="00431275"/>
    <w:rPr>
      <w:rFonts w:ascii="Arial" w:eastAsia="黑体" w:hAnsi="Arial" w:cs="Times New Roman"/>
      <w:b/>
      <w:bCs/>
      <w:sz w:val="32"/>
      <w:szCs w:val="32"/>
    </w:rPr>
  </w:style>
  <w:style w:type="paragraph" w:styleId="a3">
    <w:name w:val="footer"/>
    <w:basedOn w:val="a"/>
    <w:link w:val="Char"/>
    <w:rsid w:val="00431275"/>
    <w:pPr>
      <w:tabs>
        <w:tab w:val="center" w:pos="4153"/>
        <w:tab w:val="right" w:pos="8306"/>
      </w:tabs>
      <w:snapToGrid w:val="0"/>
      <w:jc w:val="left"/>
    </w:pPr>
    <w:rPr>
      <w:sz w:val="18"/>
    </w:rPr>
  </w:style>
  <w:style w:type="character" w:customStyle="1" w:styleId="Char">
    <w:name w:val="页脚 Char"/>
    <w:basedOn w:val="a0"/>
    <w:link w:val="a3"/>
    <w:rsid w:val="00431275"/>
    <w:rPr>
      <w:rFonts w:ascii="Times New Roman" w:eastAsia="方正仿宋简体" w:hAnsi="Times New Roman" w:cs="Times New Roman"/>
      <w:sz w:val="18"/>
      <w:szCs w:val="20"/>
    </w:rPr>
  </w:style>
  <w:style w:type="character" w:styleId="a4">
    <w:name w:val="footnote reference"/>
    <w:rsid w:val="00431275"/>
    <w:rPr>
      <w:vertAlign w:val="superscript"/>
    </w:rPr>
  </w:style>
  <w:style w:type="paragraph" w:styleId="a5">
    <w:name w:val="footnote text"/>
    <w:basedOn w:val="a"/>
    <w:link w:val="Char0"/>
    <w:rsid w:val="00431275"/>
    <w:pPr>
      <w:snapToGrid w:val="0"/>
      <w:jc w:val="left"/>
    </w:pPr>
    <w:rPr>
      <w:rFonts w:eastAsia="宋体"/>
      <w:sz w:val="18"/>
    </w:rPr>
  </w:style>
  <w:style w:type="character" w:customStyle="1" w:styleId="Char0">
    <w:name w:val="脚注文本 Char"/>
    <w:basedOn w:val="a0"/>
    <w:link w:val="a5"/>
    <w:rsid w:val="00431275"/>
    <w:rPr>
      <w:rFonts w:ascii="Times New Roman" w:eastAsia="宋体" w:hAnsi="Times New Roman" w:cs="Times New Roman"/>
      <w:sz w:val="18"/>
      <w:szCs w:val="20"/>
    </w:rPr>
  </w:style>
  <w:style w:type="paragraph" w:styleId="a6">
    <w:name w:val="header"/>
    <w:basedOn w:val="a"/>
    <w:link w:val="Char1"/>
    <w:uiPriority w:val="99"/>
    <w:semiHidden/>
    <w:unhideWhenUsed/>
    <w:rsid w:val="000640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06407A"/>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75"/>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43127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43127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31275"/>
    <w:rPr>
      <w:rFonts w:ascii="Times New Roman" w:eastAsia="宋体" w:hAnsi="Times New Roman" w:cs="Times New Roman"/>
      <w:b/>
      <w:bCs/>
      <w:kern w:val="44"/>
      <w:sz w:val="44"/>
      <w:szCs w:val="44"/>
    </w:rPr>
  </w:style>
  <w:style w:type="character" w:customStyle="1" w:styleId="2Char">
    <w:name w:val="标题 2 Char"/>
    <w:basedOn w:val="a0"/>
    <w:link w:val="2"/>
    <w:rsid w:val="00431275"/>
    <w:rPr>
      <w:rFonts w:ascii="Arial" w:eastAsia="黑体" w:hAnsi="Arial" w:cs="Times New Roman"/>
      <w:b/>
      <w:bCs/>
      <w:sz w:val="32"/>
      <w:szCs w:val="32"/>
    </w:rPr>
  </w:style>
  <w:style w:type="paragraph" w:styleId="a3">
    <w:name w:val="footer"/>
    <w:basedOn w:val="a"/>
    <w:link w:val="Char"/>
    <w:rsid w:val="00431275"/>
    <w:pPr>
      <w:tabs>
        <w:tab w:val="center" w:pos="4153"/>
        <w:tab w:val="right" w:pos="8306"/>
      </w:tabs>
      <w:snapToGrid w:val="0"/>
      <w:jc w:val="left"/>
    </w:pPr>
    <w:rPr>
      <w:sz w:val="18"/>
    </w:rPr>
  </w:style>
  <w:style w:type="character" w:customStyle="1" w:styleId="Char">
    <w:name w:val="页脚 Char"/>
    <w:basedOn w:val="a0"/>
    <w:link w:val="a3"/>
    <w:rsid w:val="00431275"/>
    <w:rPr>
      <w:rFonts w:ascii="Times New Roman" w:eastAsia="方正仿宋简体" w:hAnsi="Times New Roman" w:cs="Times New Roman"/>
      <w:sz w:val="18"/>
      <w:szCs w:val="20"/>
    </w:rPr>
  </w:style>
  <w:style w:type="character" w:styleId="a4">
    <w:name w:val="footnote reference"/>
    <w:rsid w:val="00431275"/>
    <w:rPr>
      <w:vertAlign w:val="superscript"/>
    </w:rPr>
  </w:style>
  <w:style w:type="paragraph" w:styleId="a5">
    <w:name w:val="footnote text"/>
    <w:basedOn w:val="a"/>
    <w:link w:val="Char0"/>
    <w:rsid w:val="00431275"/>
    <w:pPr>
      <w:snapToGrid w:val="0"/>
      <w:jc w:val="left"/>
    </w:pPr>
    <w:rPr>
      <w:rFonts w:eastAsia="宋体"/>
      <w:sz w:val="18"/>
    </w:rPr>
  </w:style>
  <w:style w:type="character" w:customStyle="1" w:styleId="Char0">
    <w:name w:val="脚注文本 Char"/>
    <w:basedOn w:val="a0"/>
    <w:link w:val="a5"/>
    <w:rsid w:val="00431275"/>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7077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42E8-AFF3-48BE-A06A-A05FAAE1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6206</Characters>
  <Application>Microsoft Office Word</Application>
  <DocSecurity>4</DocSecurity>
  <Lines>51</Lines>
  <Paragraphs>14</Paragraphs>
  <ScaleCrop>false</ScaleCrop>
  <Company>Microsoft</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鲁洋洋</dc:creator>
  <cp:lastModifiedBy>ZHONGM</cp:lastModifiedBy>
  <cp:revision>2</cp:revision>
  <dcterms:created xsi:type="dcterms:W3CDTF">2018-09-28T16:41:00Z</dcterms:created>
  <dcterms:modified xsi:type="dcterms:W3CDTF">2018-09-28T16:41:00Z</dcterms:modified>
</cp:coreProperties>
</file>