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26" w:rsidRPr="009C28F2" w:rsidRDefault="007E7926" w:rsidP="007E7926">
      <w:pPr>
        <w:autoSpaceDE w:val="0"/>
        <w:autoSpaceDN w:val="0"/>
        <w:adjustRightInd w:val="0"/>
        <w:spacing w:line="288" w:lineRule="auto"/>
        <w:jc w:val="left"/>
        <w:rPr>
          <w:color w:val="000000"/>
          <w:kern w:val="0"/>
          <w:sz w:val="24"/>
        </w:rPr>
      </w:pPr>
    </w:p>
    <w:p w:rsidR="007E7926" w:rsidRPr="009C28F2" w:rsidRDefault="007E7926" w:rsidP="007E7926">
      <w:pPr>
        <w:autoSpaceDE w:val="0"/>
        <w:autoSpaceDN w:val="0"/>
        <w:adjustRightInd w:val="0"/>
        <w:spacing w:line="288" w:lineRule="auto"/>
        <w:jc w:val="left"/>
        <w:rPr>
          <w:color w:val="000000"/>
          <w:kern w:val="0"/>
          <w:sz w:val="24"/>
        </w:rPr>
      </w:pPr>
    </w:p>
    <w:p w:rsidR="007E7926" w:rsidRPr="009C28F2" w:rsidRDefault="007E7926" w:rsidP="007E7926">
      <w:pPr>
        <w:autoSpaceDE w:val="0"/>
        <w:autoSpaceDN w:val="0"/>
        <w:adjustRightInd w:val="0"/>
        <w:spacing w:line="288" w:lineRule="auto"/>
        <w:jc w:val="left"/>
        <w:rPr>
          <w:color w:val="000000"/>
          <w:kern w:val="0"/>
          <w:sz w:val="24"/>
        </w:rPr>
      </w:pPr>
    </w:p>
    <w:p w:rsidR="007E7926" w:rsidRPr="009C28F2" w:rsidRDefault="007E7926" w:rsidP="007E7926">
      <w:pPr>
        <w:autoSpaceDE w:val="0"/>
        <w:autoSpaceDN w:val="0"/>
        <w:adjustRightInd w:val="0"/>
        <w:spacing w:line="288" w:lineRule="auto"/>
        <w:jc w:val="left"/>
        <w:rPr>
          <w:color w:val="000000"/>
          <w:kern w:val="0"/>
          <w:sz w:val="24"/>
        </w:rPr>
      </w:pPr>
    </w:p>
    <w:p w:rsidR="007E7926" w:rsidRPr="00CE171C" w:rsidRDefault="00CE171C" w:rsidP="007E7926">
      <w:pPr>
        <w:spacing w:line="360" w:lineRule="auto"/>
        <w:jc w:val="center"/>
        <w:outlineLvl w:val="0"/>
        <w:rPr>
          <w:rFonts w:ascii="宋体" w:hAnsi="宋体"/>
          <w:b/>
          <w:bCs/>
          <w:sz w:val="48"/>
          <w:szCs w:val="30"/>
        </w:rPr>
      </w:pPr>
      <w:r>
        <w:rPr>
          <w:rFonts w:ascii="宋体" w:hAnsi="宋体" w:hint="eastAsia"/>
          <w:b/>
          <w:bCs/>
          <w:sz w:val="48"/>
          <w:szCs w:val="30"/>
        </w:rPr>
        <w:t>银河量化配置混合型证券投资基金</w:t>
      </w:r>
      <w:r w:rsidR="007E7926" w:rsidRPr="00CE171C">
        <w:rPr>
          <w:rFonts w:ascii="宋体" w:hAnsi="宋体" w:hint="eastAsia"/>
          <w:b/>
          <w:bCs/>
          <w:sz w:val="48"/>
          <w:szCs w:val="30"/>
        </w:rPr>
        <w:t>清算报告</w:t>
      </w:r>
    </w:p>
    <w:p w:rsidR="007E7926" w:rsidRPr="006032C2" w:rsidRDefault="007E7926" w:rsidP="007E7926">
      <w:pPr>
        <w:spacing w:line="360" w:lineRule="auto"/>
        <w:jc w:val="center"/>
        <w:outlineLvl w:val="0"/>
        <w:rPr>
          <w:b/>
          <w:bCs/>
          <w:color w:val="000000"/>
          <w:sz w:val="24"/>
        </w:rPr>
      </w:pPr>
    </w:p>
    <w:p w:rsidR="007E7926" w:rsidRP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jc w:val="center"/>
        <w:rPr>
          <w:b/>
          <w:color w:val="000000"/>
          <w:sz w:val="24"/>
        </w:rPr>
      </w:pPr>
    </w:p>
    <w:p w:rsidR="007E7926" w:rsidRDefault="007E7926" w:rsidP="007E7926">
      <w:pPr>
        <w:spacing w:line="360" w:lineRule="auto"/>
        <w:rPr>
          <w:b/>
          <w:color w:val="000000"/>
          <w:sz w:val="24"/>
        </w:rPr>
      </w:pPr>
    </w:p>
    <w:p w:rsidR="00CE171C" w:rsidRDefault="00CE171C" w:rsidP="00CE171C">
      <w:pPr>
        <w:ind w:firstLineChars="600" w:firstLine="1687"/>
        <w:jc w:val="left"/>
        <w:rPr>
          <w:rFonts w:ascii="宋体" w:hAnsi="宋体"/>
          <w:b/>
          <w:bCs/>
          <w:sz w:val="28"/>
          <w:szCs w:val="30"/>
        </w:rPr>
      </w:pPr>
      <w:r>
        <w:rPr>
          <w:rFonts w:ascii="宋体" w:hAnsi="宋体"/>
          <w:b/>
          <w:bCs/>
          <w:sz w:val="28"/>
          <w:szCs w:val="30"/>
        </w:rPr>
        <w:t>基金管理人：</w:t>
      </w:r>
      <w:r>
        <w:rPr>
          <w:rFonts w:ascii="宋体" w:hAnsi="宋体" w:hint="eastAsia"/>
          <w:b/>
          <w:bCs/>
          <w:sz w:val="28"/>
          <w:szCs w:val="30"/>
        </w:rPr>
        <w:t>银河基金管理有限公司</w:t>
      </w:r>
    </w:p>
    <w:p w:rsidR="00CE171C" w:rsidRDefault="00CE171C" w:rsidP="00CE171C">
      <w:pPr>
        <w:ind w:firstLineChars="600" w:firstLine="1687"/>
        <w:jc w:val="left"/>
        <w:rPr>
          <w:rFonts w:ascii="宋体" w:hAnsi="宋体"/>
          <w:b/>
          <w:bCs/>
          <w:sz w:val="28"/>
          <w:szCs w:val="30"/>
        </w:rPr>
      </w:pPr>
      <w:r>
        <w:rPr>
          <w:rFonts w:ascii="宋体" w:hAnsi="宋体"/>
          <w:b/>
          <w:bCs/>
          <w:sz w:val="28"/>
          <w:szCs w:val="30"/>
        </w:rPr>
        <w:t>基金托管人：</w:t>
      </w:r>
      <w:r>
        <w:rPr>
          <w:rFonts w:ascii="宋体" w:hAnsi="宋体" w:hint="eastAsia"/>
          <w:b/>
          <w:bCs/>
          <w:sz w:val="28"/>
          <w:szCs w:val="30"/>
        </w:rPr>
        <w:t>中国邮政储蓄银行股份有限公司</w:t>
      </w:r>
    </w:p>
    <w:p w:rsidR="00981FC5" w:rsidRPr="00D80658" w:rsidRDefault="00CE171C" w:rsidP="00CE171C">
      <w:pPr>
        <w:ind w:firstLineChars="590" w:firstLine="1658"/>
      </w:pPr>
      <w:r>
        <w:rPr>
          <w:rFonts w:ascii="宋体" w:hAnsi="宋体"/>
          <w:b/>
          <w:bCs/>
          <w:sz w:val="28"/>
          <w:szCs w:val="30"/>
        </w:rPr>
        <w:t>送出日期：</w:t>
      </w:r>
      <w:r w:rsidRPr="00F20154">
        <w:rPr>
          <w:rFonts w:ascii="宋体" w:hAnsi="宋体"/>
          <w:b/>
          <w:bCs/>
          <w:sz w:val="28"/>
          <w:szCs w:val="30"/>
        </w:rPr>
        <w:t>2018年</w:t>
      </w:r>
      <w:r w:rsidR="00F20154">
        <w:rPr>
          <w:rFonts w:ascii="宋体" w:hAnsi="宋体" w:hint="eastAsia"/>
          <w:b/>
          <w:bCs/>
          <w:sz w:val="28"/>
          <w:szCs w:val="30"/>
        </w:rPr>
        <w:t>9</w:t>
      </w:r>
      <w:r w:rsidRPr="00F20154">
        <w:rPr>
          <w:rFonts w:ascii="宋体" w:hAnsi="宋体"/>
          <w:b/>
          <w:bCs/>
          <w:sz w:val="28"/>
          <w:szCs w:val="30"/>
        </w:rPr>
        <w:t>月</w:t>
      </w:r>
      <w:r w:rsidR="00F20154">
        <w:rPr>
          <w:rFonts w:ascii="宋体" w:hAnsi="宋体" w:hint="eastAsia"/>
          <w:b/>
          <w:bCs/>
          <w:sz w:val="28"/>
          <w:szCs w:val="30"/>
        </w:rPr>
        <w:t>28</w:t>
      </w:r>
      <w:r w:rsidRPr="00F20154">
        <w:rPr>
          <w:rFonts w:ascii="宋体" w:hAnsi="宋体"/>
          <w:b/>
          <w:bCs/>
          <w:sz w:val="28"/>
          <w:szCs w:val="30"/>
        </w:rPr>
        <w:t>日</w:t>
      </w:r>
    </w:p>
    <w:p w:rsidR="00981FC5" w:rsidRDefault="00981FC5"/>
    <w:p w:rsidR="00981FC5" w:rsidRDefault="00981FC5"/>
    <w:p w:rsidR="00CE171C" w:rsidRDefault="00CE171C"/>
    <w:p w:rsidR="00CE171C" w:rsidRDefault="00CE171C" w:rsidP="00981FC5">
      <w:pPr>
        <w:autoSpaceDE w:val="0"/>
        <w:autoSpaceDN w:val="0"/>
        <w:adjustRightInd w:val="0"/>
        <w:spacing w:before="29" w:line="288" w:lineRule="auto"/>
        <w:ind w:left="15"/>
        <w:jc w:val="center"/>
        <w:rPr>
          <w:b/>
          <w:color w:val="000000"/>
          <w:kern w:val="0"/>
          <w:sz w:val="24"/>
        </w:rPr>
      </w:pPr>
    </w:p>
    <w:p w:rsidR="00981FC5" w:rsidRPr="009C28F2" w:rsidRDefault="00981FC5" w:rsidP="00981FC5">
      <w:pPr>
        <w:autoSpaceDE w:val="0"/>
        <w:autoSpaceDN w:val="0"/>
        <w:adjustRightInd w:val="0"/>
        <w:spacing w:before="29" w:line="288" w:lineRule="auto"/>
        <w:ind w:left="15"/>
        <w:jc w:val="center"/>
        <w:rPr>
          <w:b/>
          <w:color w:val="000000"/>
          <w:kern w:val="0"/>
          <w:sz w:val="24"/>
        </w:rPr>
      </w:pPr>
      <w:r w:rsidRPr="009C28F2">
        <w:rPr>
          <w:b/>
          <w:color w:val="000000"/>
          <w:kern w:val="0"/>
          <w:sz w:val="24"/>
        </w:rPr>
        <w:lastRenderedPageBreak/>
        <w:t xml:space="preserve">§1  </w:t>
      </w:r>
      <w:r w:rsidRPr="009C28F2">
        <w:rPr>
          <w:b/>
          <w:color w:val="000000"/>
          <w:kern w:val="0"/>
          <w:sz w:val="24"/>
        </w:rPr>
        <w:t>重要提示</w:t>
      </w:r>
    </w:p>
    <w:p w:rsidR="00981FC5" w:rsidRPr="009C28F2" w:rsidRDefault="00981FC5" w:rsidP="00981FC5">
      <w:pPr>
        <w:autoSpaceDE w:val="0"/>
        <w:autoSpaceDN w:val="0"/>
        <w:adjustRightInd w:val="0"/>
        <w:spacing w:line="288" w:lineRule="auto"/>
        <w:jc w:val="left"/>
        <w:rPr>
          <w:color w:val="000000"/>
          <w:kern w:val="0"/>
          <w:sz w:val="23"/>
        </w:rPr>
      </w:pPr>
    </w:p>
    <w:p w:rsidR="00B42EF7" w:rsidRDefault="00B42EF7" w:rsidP="00B42EF7">
      <w:pPr>
        <w:spacing w:before="100" w:line="360" w:lineRule="auto"/>
        <w:ind w:firstLineChars="200" w:firstLine="480"/>
        <w:rPr>
          <w:bCs/>
          <w:color w:val="000000"/>
          <w:sz w:val="24"/>
        </w:rPr>
      </w:pPr>
      <w:r>
        <w:rPr>
          <w:rFonts w:hint="eastAsia"/>
          <w:bCs/>
          <w:color w:val="000000"/>
          <w:sz w:val="24"/>
        </w:rPr>
        <w:t>银河量化配置混合型证券投资基金</w:t>
      </w:r>
      <w:r>
        <w:rPr>
          <w:bCs/>
          <w:color w:val="000000"/>
          <w:sz w:val="24"/>
        </w:rPr>
        <w:t>(</w:t>
      </w:r>
      <w:r>
        <w:rPr>
          <w:bCs/>
          <w:color w:val="000000"/>
          <w:sz w:val="24"/>
        </w:rPr>
        <w:t>以下简称</w:t>
      </w:r>
      <w:r>
        <w:rPr>
          <w:bCs/>
          <w:color w:val="000000"/>
          <w:sz w:val="24"/>
        </w:rPr>
        <w:t>“</w:t>
      </w:r>
      <w:r>
        <w:rPr>
          <w:bCs/>
          <w:color w:val="000000"/>
          <w:sz w:val="24"/>
        </w:rPr>
        <w:t>本基金</w:t>
      </w:r>
      <w:r>
        <w:rPr>
          <w:bCs/>
          <w:color w:val="000000"/>
          <w:sz w:val="24"/>
        </w:rPr>
        <w:t>”)</w:t>
      </w:r>
      <w:r>
        <w:rPr>
          <w:bCs/>
          <w:color w:val="000000"/>
          <w:sz w:val="24"/>
        </w:rPr>
        <w:t>系由基金管理人银河基金管理有限公司依照《中华人民共和国证券投资基金法》、《银河量化配置混合型证券投资基金基金合同》</w:t>
      </w:r>
      <w:r>
        <w:rPr>
          <w:bCs/>
          <w:color w:val="000000"/>
          <w:sz w:val="24"/>
        </w:rPr>
        <w:t>(</w:t>
      </w:r>
      <w:r>
        <w:rPr>
          <w:bCs/>
          <w:color w:val="000000"/>
          <w:sz w:val="24"/>
        </w:rPr>
        <w:t>以下简称</w:t>
      </w:r>
      <w:r>
        <w:rPr>
          <w:bCs/>
          <w:color w:val="000000"/>
          <w:sz w:val="24"/>
        </w:rPr>
        <w:t>“</w:t>
      </w:r>
      <w:r>
        <w:rPr>
          <w:bCs/>
          <w:color w:val="000000"/>
          <w:sz w:val="24"/>
        </w:rPr>
        <w:t>基金合同</w:t>
      </w:r>
      <w:r>
        <w:rPr>
          <w:bCs/>
          <w:color w:val="000000"/>
          <w:sz w:val="24"/>
        </w:rPr>
        <w:t>”)</w:t>
      </w:r>
      <w:r>
        <w:rPr>
          <w:bCs/>
          <w:color w:val="000000"/>
          <w:sz w:val="24"/>
        </w:rPr>
        <w:t>及其他有关法律法规的规定，经中国证券监督管理委员会</w:t>
      </w:r>
      <w:r>
        <w:rPr>
          <w:bCs/>
          <w:color w:val="000000"/>
          <w:sz w:val="24"/>
        </w:rPr>
        <w:t>(</w:t>
      </w:r>
      <w:r>
        <w:rPr>
          <w:bCs/>
          <w:color w:val="000000"/>
          <w:sz w:val="24"/>
        </w:rPr>
        <w:t>以下简称</w:t>
      </w:r>
      <w:r>
        <w:rPr>
          <w:bCs/>
          <w:color w:val="000000"/>
          <w:sz w:val="24"/>
        </w:rPr>
        <w:t>“</w:t>
      </w:r>
      <w:r>
        <w:rPr>
          <w:bCs/>
          <w:color w:val="000000"/>
          <w:sz w:val="24"/>
        </w:rPr>
        <w:t>中国证监会</w:t>
      </w:r>
      <w:r>
        <w:rPr>
          <w:bCs/>
          <w:color w:val="000000"/>
          <w:sz w:val="24"/>
        </w:rPr>
        <w:t>”)</w:t>
      </w:r>
      <w:r>
        <w:rPr>
          <w:bCs/>
          <w:color w:val="000000"/>
          <w:sz w:val="24"/>
        </w:rPr>
        <w:t>以证监许可</w:t>
      </w:r>
      <w:r>
        <w:rPr>
          <w:bCs/>
          <w:color w:val="000000"/>
          <w:sz w:val="24"/>
        </w:rPr>
        <w:t>[2017]1002</w:t>
      </w:r>
      <w:r>
        <w:rPr>
          <w:bCs/>
          <w:color w:val="000000"/>
          <w:sz w:val="24"/>
        </w:rPr>
        <w:t>号文批准公开募集。本基金为契约型开放式基金，存续期限为不定期，首次设立募集基金份额为</w:t>
      </w:r>
      <w:r>
        <w:rPr>
          <w:bCs/>
          <w:color w:val="000000"/>
          <w:sz w:val="24"/>
        </w:rPr>
        <w:t>203,187,219.08</w:t>
      </w:r>
      <w:r>
        <w:rPr>
          <w:bCs/>
          <w:color w:val="000000"/>
          <w:sz w:val="24"/>
        </w:rPr>
        <w:t>份。基金合同于</w:t>
      </w:r>
      <w:r>
        <w:rPr>
          <w:bCs/>
          <w:color w:val="000000"/>
          <w:sz w:val="24"/>
        </w:rPr>
        <w:t>2018</w:t>
      </w:r>
      <w:r>
        <w:rPr>
          <w:bCs/>
          <w:color w:val="000000"/>
          <w:sz w:val="24"/>
        </w:rPr>
        <w:t>年</w:t>
      </w:r>
      <w:r>
        <w:rPr>
          <w:bCs/>
          <w:color w:val="000000"/>
          <w:sz w:val="24"/>
        </w:rPr>
        <w:t>2</w:t>
      </w:r>
      <w:r>
        <w:rPr>
          <w:bCs/>
          <w:color w:val="000000"/>
          <w:sz w:val="24"/>
        </w:rPr>
        <w:t>月</w:t>
      </w:r>
      <w:r>
        <w:rPr>
          <w:bCs/>
          <w:color w:val="000000"/>
          <w:sz w:val="24"/>
        </w:rPr>
        <w:t>11</w:t>
      </w:r>
      <w:r>
        <w:rPr>
          <w:bCs/>
          <w:color w:val="000000"/>
          <w:sz w:val="24"/>
        </w:rPr>
        <w:t>日正式生效。本基金的基金管理人为银河基金管理有限公司，</w:t>
      </w:r>
      <w:r>
        <w:rPr>
          <w:rFonts w:hint="eastAsia"/>
          <w:bCs/>
          <w:color w:val="000000"/>
          <w:sz w:val="24"/>
        </w:rPr>
        <w:t>注册登记机构为中国证券登记结算有限责任公司，</w:t>
      </w:r>
      <w:r>
        <w:rPr>
          <w:bCs/>
          <w:color w:val="000000"/>
          <w:sz w:val="24"/>
        </w:rPr>
        <w:t>基金托管人为中国</w:t>
      </w:r>
      <w:r>
        <w:rPr>
          <w:rFonts w:hint="eastAsia"/>
          <w:bCs/>
          <w:color w:val="000000"/>
          <w:sz w:val="24"/>
        </w:rPr>
        <w:t>邮政储蓄银行股份有限公司。</w:t>
      </w:r>
    </w:p>
    <w:p w:rsidR="00B42EF7" w:rsidRDefault="00B42EF7" w:rsidP="00B42EF7">
      <w:pPr>
        <w:spacing w:before="100" w:line="360" w:lineRule="auto"/>
        <w:ind w:firstLineChars="200" w:firstLine="480"/>
        <w:rPr>
          <w:bCs/>
          <w:color w:val="000000"/>
          <w:sz w:val="24"/>
        </w:rPr>
      </w:pPr>
      <w:r>
        <w:rPr>
          <w:rFonts w:hint="eastAsia"/>
          <w:bCs/>
          <w:color w:val="000000"/>
          <w:sz w:val="24"/>
        </w:rPr>
        <w:t>根据《中华人民共和国证券投资基金法》、截至报告期末最新公告的基金合同及《银河量化配置混合型证券投资基金招募说明书》的有关规定，本基金的投资范围为具有良好流动性的金融工具，包括国内依法发行上市的股票</w:t>
      </w:r>
      <w:r>
        <w:rPr>
          <w:bCs/>
          <w:color w:val="000000"/>
          <w:sz w:val="24"/>
        </w:rPr>
        <w:t>(</w:t>
      </w:r>
      <w:r>
        <w:rPr>
          <w:bCs/>
          <w:color w:val="000000"/>
          <w:sz w:val="24"/>
        </w:rPr>
        <w:t>包含中小板、创业板及其他经中国证监会核准上市的股票</w:t>
      </w:r>
      <w:r>
        <w:rPr>
          <w:bCs/>
          <w:color w:val="000000"/>
          <w:sz w:val="24"/>
        </w:rPr>
        <w:t>)</w:t>
      </w:r>
      <w:r>
        <w:rPr>
          <w:bCs/>
          <w:color w:val="000000"/>
          <w:sz w:val="24"/>
        </w:rPr>
        <w:t>、债券</w:t>
      </w:r>
      <w:r>
        <w:rPr>
          <w:bCs/>
          <w:color w:val="000000"/>
          <w:sz w:val="24"/>
        </w:rPr>
        <w:t>(</w:t>
      </w:r>
      <w:r>
        <w:rPr>
          <w:bCs/>
          <w:color w:val="000000"/>
          <w:sz w:val="24"/>
        </w:rPr>
        <w:t>包括国债、央行票据、金融债券、企业债券、公司债券、中期票据、短期融资券、超短期融资券、次级债券、政府支持机构债、地方政府债、可转换债券、可交换债券及其他经中国证监会允许投资的债券</w:t>
      </w:r>
      <w:r>
        <w:rPr>
          <w:bCs/>
          <w:color w:val="000000"/>
          <w:sz w:val="24"/>
        </w:rPr>
        <w:t>)</w:t>
      </w:r>
      <w:r>
        <w:rPr>
          <w:bCs/>
          <w:color w:val="000000"/>
          <w:sz w:val="24"/>
        </w:rPr>
        <w:t>、债券回购、资产支持证券、货币市场工具</w:t>
      </w:r>
      <w:r>
        <w:rPr>
          <w:bCs/>
          <w:color w:val="000000"/>
          <w:sz w:val="24"/>
        </w:rPr>
        <w:t>(</w:t>
      </w:r>
      <w:r>
        <w:rPr>
          <w:bCs/>
          <w:color w:val="000000"/>
          <w:sz w:val="24"/>
        </w:rPr>
        <w:t>含</w:t>
      </w:r>
      <w:r>
        <w:rPr>
          <w:rFonts w:hint="eastAsia"/>
          <w:bCs/>
          <w:color w:val="000000"/>
          <w:sz w:val="24"/>
        </w:rPr>
        <w:t>同业存单</w:t>
      </w:r>
      <w:r>
        <w:rPr>
          <w:bCs/>
          <w:color w:val="000000"/>
          <w:sz w:val="24"/>
        </w:rPr>
        <w:t>)</w:t>
      </w:r>
      <w:r>
        <w:rPr>
          <w:bCs/>
          <w:color w:val="000000"/>
          <w:sz w:val="24"/>
        </w:rPr>
        <w:t>、权证、股指期货以及法律法规或中国证监会允许基金投资的其他金融工具</w:t>
      </w:r>
      <w:r>
        <w:rPr>
          <w:bCs/>
          <w:color w:val="000000"/>
          <w:sz w:val="24"/>
        </w:rPr>
        <w:t>(</w:t>
      </w:r>
      <w:r>
        <w:rPr>
          <w:bCs/>
          <w:color w:val="000000"/>
          <w:sz w:val="24"/>
        </w:rPr>
        <w:t>但须符合中国证监会相关规定</w:t>
      </w:r>
      <w:r>
        <w:rPr>
          <w:bCs/>
          <w:color w:val="000000"/>
          <w:sz w:val="24"/>
        </w:rPr>
        <w:t>)</w:t>
      </w:r>
      <w:r>
        <w:rPr>
          <w:bCs/>
          <w:color w:val="000000"/>
          <w:sz w:val="24"/>
        </w:rPr>
        <w:t>。如法律法规或监管机构以后允许基金投资其他品种，基金管理人在履行适当程序后，可以将其纳入投资范围。基金的投资组合比例为：本基金股票资产投资占基金资产的比例为</w:t>
      </w:r>
      <w:r>
        <w:rPr>
          <w:bCs/>
          <w:color w:val="000000"/>
          <w:sz w:val="24"/>
        </w:rPr>
        <w:t>60%-95%</w:t>
      </w:r>
      <w:r>
        <w:rPr>
          <w:bCs/>
          <w:color w:val="000000"/>
          <w:sz w:val="24"/>
        </w:rPr>
        <w:t>，每个交易日日终在扣除股指期货合约需缴纳的交易保证金后，现金或到期日在一年以内的政府债券不低于基金资产净值的</w:t>
      </w:r>
      <w:r>
        <w:rPr>
          <w:bCs/>
          <w:color w:val="000000"/>
          <w:sz w:val="24"/>
        </w:rPr>
        <w:t>5%</w:t>
      </w:r>
      <w:r>
        <w:rPr>
          <w:bCs/>
          <w:color w:val="000000"/>
          <w:sz w:val="24"/>
        </w:rPr>
        <w:t>，其中，现金不包括结算备付金、存出保证金、应收申购款等；权证、股指期货及其他金融工具的投资比例依照法律法规或监管机构的规定</w:t>
      </w:r>
      <w:r>
        <w:rPr>
          <w:rFonts w:hint="eastAsia"/>
          <w:bCs/>
          <w:color w:val="000000"/>
          <w:sz w:val="24"/>
        </w:rPr>
        <w:t>执行。如法律法规或监管机构变更投资品种的投资比例限制，基金管理人在履行适当程序后，可以调整上述投资品种的投资比例。</w:t>
      </w:r>
    </w:p>
    <w:p w:rsidR="00B42EF7" w:rsidRDefault="00B42EF7" w:rsidP="00B42EF7">
      <w:pPr>
        <w:spacing w:before="100" w:line="360" w:lineRule="auto"/>
        <w:ind w:firstLineChars="200" w:firstLine="480"/>
        <w:rPr>
          <w:bCs/>
          <w:color w:val="000000"/>
          <w:sz w:val="24"/>
        </w:rPr>
      </w:pPr>
      <w:r>
        <w:rPr>
          <w:rFonts w:hint="eastAsia"/>
          <w:bCs/>
          <w:color w:val="000000"/>
          <w:sz w:val="24"/>
        </w:rPr>
        <w:t>本基金的业绩比较基准为：中证</w:t>
      </w:r>
      <w:r>
        <w:rPr>
          <w:bCs/>
          <w:color w:val="000000"/>
          <w:sz w:val="24"/>
        </w:rPr>
        <w:t>500</w:t>
      </w:r>
      <w:r>
        <w:rPr>
          <w:bCs/>
          <w:color w:val="000000"/>
          <w:sz w:val="24"/>
        </w:rPr>
        <w:t>指数收益率</w:t>
      </w:r>
      <w:r>
        <w:rPr>
          <w:bCs/>
          <w:color w:val="000000"/>
          <w:sz w:val="24"/>
        </w:rPr>
        <w:t>×80% +</w:t>
      </w:r>
      <w:r>
        <w:rPr>
          <w:bCs/>
          <w:color w:val="000000"/>
          <w:sz w:val="24"/>
        </w:rPr>
        <w:t>中证综合债券指数收益率</w:t>
      </w:r>
      <w:r>
        <w:rPr>
          <w:bCs/>
          <w:color w:val="000000"/>
          <w:sz w:val="24"/>
        </w:rPr>
        <w:t>×20%</w:t>
      </w:r>
      <w:r>
        <w:rPr>
          <w:bCs/>
          <w:color w:val="000000"/>
          <w:sz w:val="24"/>
        </w:rPr>
        <w:t>。</w:t>
      </w:r>
    </w:p>
    <w:p w:rsidR="00B42EF7" w:rsidRDefault="00B42EF7" w:rsidP="00B42EF7">
      <w:pPr>
        <w:spacing w:before="100" w:line="360" w:lineRule="auto"/>
        <w:ind w:firstLineChars="150" w:firstLine="360"/>
        <w:rPr>
          <w:rFonts w:ascii="黑体" w:eastAsia="黑体" w:hAnsi="黑体" w:cs="Arial"/>
          <w:sz w:val="24"/>
          <w:szCs w:val="22"/>
        </w:rPr>
      </w:pPr>
      <w:r>
        <w:rPr>
          <w:rFonts w:ascii="黑体" w:eastAsia="黑体" w:hAnsi="黑体" w:cs="Arial" w:hint="eastAsia"/>
          <w:sz w:val="24"/>
          <w:szCs w:val="22"/>
        </w:rPr>
        <w:t>清算原因：</w:t>
      </w:r>
      <w:r>
        <w:rPr>
          <w:rFonts w:hint="eastAsia"/>
          <w:bCs/>
          <w:color w:val="000000"/>
          <w:sz w:val="24"/>
        </w:rPr>
        <w:t>根据市场环境变化，为更好地满足投资者需求，保护基金份额持</w:t>
      </w:r>
      <w:r>
        <w:rPr>
          <w:rFonts w:hint="eastAsia"/>
          <w:bCs/>
          <w:color w:val="000000"/>
          <w:sz w:val="24"/>
        </w:rPr>
        <w:lastRenderedPageBreak/>
        <w:t>有人的利益，基金管理人依据《中华人民共和国证券投资基金法》、《公开募集证券投资基金运作管理办法》和基金合同的有关规定，终止基金合同。根据基金合同第十九部分“基金合同的变更、终止与基金财产的清算”中“二、《基金合同》的终止事由”的约定：“有下列情形之一的，在履行相关程序后，《基金合同》应当终止：</w:t>
      </w:r>
      <w:r>
        <w:rPr>
          <w:bCs/>
          <w:color w:val="000000"/>
          <w:sz w:val="24"/>
        </w:rPr>
        <w:t>1</w:t>
      </w:r>
      <w:r>
        <w:rPr>
          <w:rFonts w:hint="eastAsia"/>
          <w:bCs/>
          <w:color w:val="000000"/>
          <w:sz w:val="24"/>
        </w:rPr>
        <w:t>、基金份额持有人大会决定终止的；”</w:t>
      </w:r>
      <w:r>
        <w:rPr>
          <w:bCs/>
          <w:color w:val="000000"/>
          <w:sz w:val="24"/>
        </w:rPr>
        <w:t xml:space="preserve"> </w:t>
      </w:r>
      <w:r>
        <w:rPr>
          <w:rFonts w:hint="eastAsia"/>
          <w:bCs/>
          <w:color w:val="000000"/>
          <w:sz w:val="24"/>
        </w:rPr>
        <w:t>根据基金管理人</w:t>
      </w:r>
      <w:r>
        <w:rPr>
          <w:bCs/>
          <w:color w:val="000000"/>
          <w:sz w:val="24"/>
        </w:rPr>
        <w:t>2018</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11</w:t>
      </w:r>
      <w:r>
        <w:rPr>
          <w:rFonts w:hint="eastAsia"/>
          <w:bCs/>
          <w:color w:val="000000"/>
          <w:sz w:val="24"/>
        </w:rPr>
        <w:t>日发布的《银河基金管理有限公司关于银河量化配置混合型证券投资基金基金份额持有人大会表决结果暨决议生效的公告》，本基金基金份额持有人大会于</w:t>
      </w:r>
      <w:r>
        <w:rPr>
          <w:bCs/>
          <w:color w:val="000000"/>
          <w:sz w:val="24"/>
        </w:rPr>
        <w:t>2018</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9</w:t>
      </w:r>
      <w:r>
        <w:rPr>
          <w:rFonts w:hint="eastAsia"/>
          <w:bCs/>
          <w:color w:val="000000"/>
          <w:sz w:val="24"/>
        </w:rPr>
        <w:t>日表决通过了《关于终止银河量化配置混合型证券投资基金基金合同有关事项的议案》，大会决议自该日起生效。根据《关于终止银河量化配置混合型证券投资基金基金合同有关事项的议案》及《关于终止银河量化配置混合型证券投资基金基金合同有关事项的说明》，本基金最后运作日为</w:t>
      </w:r>
      <w:r>
        <w:rPr>
          <w:bCs/>
          <w:color w:val="000000"/>
          <w:sz w:val="24"/>
        </w:rPr>
        <w:t>2018</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12</w:t>
      </w:r>
      <w:r>
        <w:rPr>
          <w:rFonts w:hint="eastAsia"/>
          <w:bCs/>
          <w:color w:val="000000"/>
          <w:sz w:val="24"/>
        </w:rPr>
        <w:t>日，自</w:t>
      </w:r>
      <w:r>
        <w:rPr>
          <w:bCs/>
          <w:color w:val="000000"/>
          <w:sz w:val="24"/>
        </w:rPr>
        <w:t>2018</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13</w:t>
      </w:r>
      <w:r>
        <w:rPr>
          <w:rFonts w:hint="eastAsia"/>
          <w:bCs/>
          <w:color w:val="000000"/>
          <w:sz w:val="24"/>
        </w:rPr>
        <w:t>日进入清算程序。</w:t>
      </w:r>
    </w:p>
    <w:p w:rsidR="00B42EF7" w:rsidRDefault="00B42EF7" w:rsidP="00B42EF7">
      <w:pPr>
        <w:spacing w:before="100" w:line="360" w:lineRule="auto"/>
        <w:ind w:firstLineChars="200" w:firstLine="480"/>
        <w:rPr>
          <w:bCs/>
          <w:color w:val="000000"/>
          <w:sz w:val="24"/>
        </w:rPr>
      </w:pPr>
      <w:r>
        <w:rPr>
          <w:rFonts w:hint="eastAsia"/>
          <w:bCs/>
          <w:color w:val="000000"/>
          <w:sz w:val="24"/>
        </w:rPr>
        <w:t>基金管理人银河基金管理有限公司、基金托管人中国邮政储蓄银行股份有限公司、安永华明会计师事务所（特殊普通合伙）和上海源泰律师事务所于</w:t>
      </w:r>
      <w:r>
        <w:rPr>
          <w:bCs/>
          <w:color w:val="000000"/>
          <w:sz w:val="24"/>
        </w:rPr>
        <w:t>2018</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13</w:t>
      </w:r>
      <w:r>
        <w:rPr>
          <w:rFonts w:hint="eastAsia"/>
          <w:bCs/>
          <w:color w:val="000000"/>
          <w:sz w:val="24"/>
        </w:rPr>
        <w:t>日组成基金财产清算小组履行基金财产清算程序，并由安永华明会计师事务所（特殊普通合伙）对清算报告进行审计，上海源泰律师事务所对清算报告出具法律意见。</w:t>
      </w:r>
    </w:p>
    <w:p w:rsidR="00B42EF7" w:rsidRDefault="00B42EF7" w:rsidP="00B42EF7"/>
    <w:p w:rsidR="00B42EF7" w:rsidRDefault="00B42EF7" w:rsidP="00B42EF7"/>
    <w:p w:rsidR="00B42EF7" w:rsidRDefault="00B42EF7" w:rsidP="00B42EF7">
      <w:pPr>
        <w:autoSpaceDE w:val="0"/>
        <w:autoSpaceDN w:val="0"/>
        <w:adjustRightInd w:val="0"/>
        <w:spacing w:before="29" w:line="288" w:lineRule="auto"/>
        <w:ind w:left="15"/>
        <w:jc w:val="center"/>
        <w:rPr>
          <w:b/>
          <w:color w:val="000000"/>
          <w:kern w:val="0"/>
          <w:sz w:val="24"/>
        </w:rPr>
      </w:pPr>
      <w:r>
        <w:rPr>
          <w:b/>
          <w:color w:val="000000"/>
          <w:kern w:val="0"/>
          <w:sz w:val="24"/>
        </w:rPr>
        <w:t xml:space="preserve">§2  </w:t>
      </w:r>
      <w:r>
        <w:rPr>
          <w:b/>
          <w:color w:val="000000"/>
          <w:kern w:val="0"/>
          <w:sz w:val="24"/>
        </w:rPr>
        <w:t>基金产品概况</w:t>
      </w:r>
    </w:p>
    <w:p w:rsidR="00B42EF7" w:rsidRDefault="00B42EF7" w:rsidP="00B42EF7">
      <w:pPr>
        <w:autoSpaceDE w:val="0"/>
        <w:autoSpaceDN w:val="0"/>
        <w:adjustRightInd w:val="0"/>
        <w:spacing w:line="288" w:lineRule="auto"/>
        <w:jc w:val="left"/>
        <w:rPr>
          <w:color w:val="000000"/>
          <w:kern w:val="0"/>
          <w:sz w:val="23"/>
        </w:rPr>
      </w:pPr>
    </w:p>
    <w:tbl>
      <w:tblPr>
        <w:tblW w:w="0" w:type="auto"/>
        <w:tblInd w:w="108" w:type="dxa"/>
        <w:tblLayout w:type="fixed"/>
        <w:tblLook w:val="0000"/>
      </w:tblPr>
      <w:tblGrid>
        <w:gridCol w:w="3686"/>
        <w:gridCol w:w="5528"/>
      </w:tblGrid>
      <w:tr w:rsidR="00B42EF7" w:rsidTr="00D66769">
        <w:tc>
          <w:tcPr>
            <w:tcW w:w="3686"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基金简称</w:t>
            </w:r>
          </w:p>
        </w:tc>
        <w:tc>
          <w:tcPr>
            <w:tcW w:w="5528"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银河量化配置混合</w:t>
            </w:r>
          </w:p>
        </w:tc>
      </w:tr>
      <w:tr w:rsidR="00B42EF7" w:rsidTr="00D66769">
        <w:tc>
          <w:tcPr>
            <w:tcW w:w="3686"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基金主代码</w:t>
            </w:r>
          </w:p>
        </w:tc>
        <w:tc>
          <w:tcPr>
            <w:tcW w:w="5528"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005385</w:t>
            </w:r>
          </w:p>
        </w:tc>
      </w:tr>
      <w:tr w:rsidR="00B42EF7" w:rsidTr="00D66769">
        <w:tc>
          <w:tcPr>
            <w:tcW w:w="3686"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基金运作方式</w:t>
            </w:r>
          </w:p>
        </w:tc>
        <w:tc>
          <w:tcPr>
            <w:tcW w:w="5528"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契约型开放式</w:t>
            </w:r>
          </w:p>
        </w:tc>
      </w:tr>
      <w:tr w:rsidR="00B42EF7" w:rsidTr="00D66769">
        <w:tc>
          <w:tcPr>
            <w:tcW w:w="3686"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基金合同生效日</w:t>
            </w:r>
          </w:p>
        </w:tc>
        <w:tc>
          <w:tcPr>
            <w:tcW w:w="5528"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2018</w:t>
            </w:r>
            <w:r>
              <w:rPr>
                <w:rFonts w:hint="eastAsia"/>
                <w:color w:val="000000"/>
                <w:kern w:val="0"/>
                <w:sz w:val="24"/>
              </w:rPr>
              <w:t>年</w:t>
            </w:r>
            <w:r>
              <w:rPr>
                <w:rFonts w:hint="eastAsia"/>
                <w:color w:val="000000"/>
                <w:kern w:val="0"/>
                <w:sz w:val="24"/>
              </w:rPr>
              <w:t>2</w:t>
            </w:r>
            <w:r>
              <w:rPr>
                <w:rFonts w:hint="eastAsia"/>
                <w:color w:val="000000"/>
                <w:kern w:val="0"/>
                <w:sz w:val="24"/>
              </w:rPr>
              <w:t>月</w:t>
            </w:r>
            <w:r>
              <w:rPr>
                <w:rFonts w:hint="eastAsia"/>
                <w:color w:val="000000"/>
                <w:kern w:val="0"/>
                <w:sz w:val="24"/>
              </w:rPr>
              <w:t>11</w:t>
            </w:r>
            <w:r>
              <w:rPr>
                <w:rFonts w:hint="eastAsia"/>
                <w:color w:val="000000"/>
                <w:kern w:val="0"/>
                <w:sz w:val="24"/>
              </w:rPr>
              <w:t>日</w:t>
            </w:r>
          </w:p>
        </w:tc>
      </w:tr>
      <w:tr w:rsidR="00B42EF7" w:rsidTr="00D66769">
        <w:tc>
          <w:tcPr>
            <w:tcW w:w="3686"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报告期末</w:t>
            </w:r>
            <w:r>
              <w:rPr>
                <w:rFonts w:hint="eastAsia"/>
                <w:color w:val="000000"/>
                <w:kern w:val="0"/>
                <w:sz w:val="24"/>
              </w:rPr>
              <w:t>(2018</w:t>
            </w:r>
            <w:r>
              <w:rPr>
                <w:rFonts w:hint="eastAsia"/>
                <w:color w:val="000000"/>
                <w:kern w:val="0"/>
                <w:sz w:val="24"/>
              </w:rPr>
              <w:t>年</w:t>
            </w:r>
            <w:r>
              <w:rPr>
                <w:rFonts w:hint="eastAsia"/>
                <w:color w:val="000000"/>
                <w:kern w:val="0"/>
                <w:sz w:val="24"/>
              </w:rPr>
              <w:t>8</w:t>
            </w:r>
            <w:r>
              <w:rPr>
                <w:rFonts w:hint="eastAsia"/>
                <w:color w:val="000000"/>
                <w:kern w:val="0"/>
                <w:sz w:val="24"/>
              </w:rPr>
              <w:t>月</w:t>
            </w:r>
            <w:r>
              <w:rPr>
                <w:rFonts w:hint="eastAsia"/>
                <w:color w:val="000000"/>
                <w:kern w:val="0"/>
                <w:sz w:val="24"/>
              </w:rPr>
              <w:t>12</w:t>
            </w:r>
            <w:r>
              <w:rPr>
                <w:rFonts w:hint="eastAsia"/>
                <w:color w:val="000000"/>
                <w:kern w:val="0"/>
                <w:sz w:val="24"/>
              </w:rPr>
              <w:t>日</w:t>
            </w:r>
            <w:r>
              <w:rPr>
                <w:rFonts w:hint="eastAsia"/>
                <w:color w:val="000000"/>
                <w:kern w:val="0"/>
                <w:sz w:val="24"/>
              </w:rPr>
              <w:t>)</w:t>
            </w:r>
            <w:r>
              <w:rPr>
                <w:rFonts w:hint="eastAsia"/>
                <w:color w:val="000000"/>
                <w:kern w:val="0"/>
                <w:sz w:val="24"/>
              </w:rPr>
              <w:t>基金份额总额</w:t>
            </w:r>
          </w:p>
        </w:tc>
        <w:tc>
          <w:tcPr>
            <w:tcW w:w="5528"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color w:val="000000"/>
                <w:kern w:val="0"/>
                <w:sz w:val="24"/>
              </w:rPr>
              <w:t>3,668,631.98</w:t>
            </w:r>
            <w:r>
              <w:rPr>
                <w:rFonts w:hint="eastAsia"/>
                <w:color w:val="000000"/>
                <w:kern w:val="0"/>
                <w:sz w:val="24"/>
              </w:rPr>
              <w:t>份</w:t>
            </w:r>
          </w:p>
        </w:tc>
      </w:tr>
      <w:tr w:rsidR="00B42EF7" w:rsidTr="00D66769">
        <w:tc>
          <w:tcPr>
            <w:tcW w:w="3686"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投资目标</w:t>
            </w:r>
          </w:p>
        </w:tc>
        <w:tc>
          <w:tcPr>
            <w:tcW w:w="5528"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本基金运用量化投资策略进行资产配置和股票投资，在严格控制风险的前提下，力求</w:t>
            </w:r>
          </w:p>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基金资产长期、稳定的增值。</w:t>
            </w:r>
          </w:p>
          <w:p w:rsidR="00B42EF7" w:rsidRDefault="00B42EF7" w:rsidP="00D66769">
            <w:pPr>
              <w:autoSpaceDE w:val="0"/>
              <w:autoSpaceDN w:val="0"/>
              <w:adjustRightInd w:val="0"/>
              <w:spacing w:before="29" w:line="288" w:lineRule="auto"/>
              <w:ind w:left="15"/>
              <w:jc w:val="left"/>
              <w:rPr>
                <w:color w:val="000000"/>
                <w:kern w:val="0"/>
                <w:sz w:val="24"/>
              </w:rPr>
            </w:pPr>
          </w:p>
        </w:tc>
      </w:tr>
      <w:tr w:rsidR="00B42EF7" w:rsidTr="00D66769">
        <w:tc>
          <w:tcPr>
            <w:tcW w:w="3686"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lastRenderedPageBreak/>
              <w:t>投资策略</w:t>
            </w:r>
          </w:p>
        </w:tc>
        <w:tc>
          <w:tcPr>
            <w:tcW w:w="5528"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本基金将运用量化选股模型，以量化多因子选股、事件驱动选股策略为主，辅以量化行业配置、套利策略等多个策略，力求寻找基本面良好，并能带来长期稳定超额收益的股票投资组合。同时，本基金也将对基金整体的波动和风险进行控制，力求基金资产长期、稳定的增值。</w:t>
            </w:r>
          </w:p>
        </w:tc>
      </w:tr>
      <w:tr w:rsidR="00B42EF7" w:rsidTr="00D66769">
        <w:tc>
          <w:tcPr>
            <w:tcW w:w="3686"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业绩比较基准</w:t>
            </w:r>
          </w:p>
        </w:tc>
        <w:tc>
          <w:tcPr>
            <w:tcW w:w="5528"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中证</w:t>
            </w:r>
            <w:r>
              <w:rPr>
                <w:rFonts w:hint="eastAsia"/>
                <w:color w:val="000000"/>
                <w:kern w:val="0"/>
                <w:sz w:val="24"/>
              </w:rPr>
              <w:t>500</w:t>
            </w:r>
            <w:r>
              <w:rPr>
                <w:rFonts w:hint="eastAsia"/>
                <w:color w:val="000000"/>
                <w:kern w:val="0"/>
                <w:sz w:val="24"/>
              </w:rPr>
              <w:t>指数收益率×</w:t>
            </w:r>
            <w:r>
              <w:rPr>
                <w:rFonts w:hint="eastAsia"/>
                <w:color w:val="000000"/>
                <w:kern w:val="0"/>
                <w:sz w:val="24"/>
              </w:rPr>
              <w:t xml:space="preserve">80% + </w:t>
            </w:r>
            <w:r>
              <w:rPr>
                <w:rFonts w:hint="eastAsia"/>
                <w:color w:val="000000"/>
                <w:kern w:val="0"/>
                <w:sz w:val="24"/>
              </w:rPr>
              <w:t>中证综合债券指数收益率×</w:t>
            </w:r>
            <w:r>
              <w:rPr>
                <w:rFonts w:hint="eastAsia"/>
                <w:color w:val="000000"/>
                <w:kern w:val="0"/>
                <w:sz w:val="24"/>
              </w:rPr>
              <w:t>20%</w:t>
            </w:r>
          </w:p>
        </w:tc>
      </w:tr>
      <w:tr w:rsidR="00B42EF7" w:rsidTr="00D66769">
        <w:tc>
          <w:tcPr>
            <w:tcW w:w="3686"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风险收益特征</w:t>
            </w:r>
          </w:p>
        </w:tc>
        <w:tc>
          <w:tcPr>
            <w:tcW w:w="5528"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本基金为混合型基金，属于证券投资基金中预期风险与预期收益中等的基金品种，其风险收益水平高于货币市场基金和债券型基金，低于股票型基金。</w:t>
            </w:r>
          </w:p>
        </w:tc>
      </w:tr>
      <w:tr w:rsidR="00B42EF7" w:rsidTr="00D66769">
        <w:tc>
          <w:tcPr>
            <w:tcW w:w="3686"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基金管理人</w:t>
            </w:r>
          </w:p>
        </w:tc>
        <w:tc>
          <w:tcPr>
            <w:tcW w:w="5528"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银河基金管理有限公司</w:t>
            </w:r>
          </w:p>
        </w:tc>
      </w:tr>
      <w:tr w:rsidR="00B42EF7" w:rsidTr="00D66769">
        <w:tc>
          <w:tcPr>
            <w:tcW w:w="3686"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基金托管人</w:t>
            </w:r>
          </w:p>
        </w:tc>
        <w:tc>
          <w:tcPr>
            <w:tcW w:w="5528" w:type="dxa"/>
            <w:tcBorders>
              <w:top w:val="single" w:sz="8" w:space="0" w:color="000000"/>
              <w:left w:val="single" w:sz="8" w:space="0" w:color="000000"/>
              <w:bottom w:val="single" w:sz="8" w:space="0" w:color="000000"/>
              <w:right w:val="single" w:sz="8" w:space="0" w:color="000000"/>
            </w:tcBorders>
            <w:vAlign w:val="center"/>
          </w:tcPr>
          <w:p w:rsidR="00B42EF7" w:rsidRDefault="00B42EF7" w:rsidP="00D66769">
            <w:pPr>
              <w:autoSpaceDE w:val="0"/>
              <w:autoSpaceDN w:val="0"/>
              <w:adjustRightInd w:val="0"/>
              <w:spacing w:before="29" w:line="288" w:lineRule="auto"/>
              <w:ind w:left="15"/>
              <w:jc w:val="left"/>
              <w:rPr>
                <w:color w:val="000000"/>
                <w:kern w:val="0"/>
                <w:sz w:val="24"/>
              </w:rPr>
            </w:pPr>
            <w:r>
              <w:rPr>
                <w:rFonts w:hint="eastAsia"/>
                <w:color w:val="000000"/>
                <w:kern w:val="0"/>
                <w:sz w:val="24"/>
              </w:rPr>
              <w:t>中国邮政储蓄银行股份有限公司</w:t>
            </w:r>
          </w:p>
        </w:tc>
      </w:tr>
    </w:tbl>
    <w:p w:rsidR="00B42EF7" w:rsidRDefault="00B42EF7" w:rsidP="00B42EF7">
      <w:pPr>
        <w:autoSpaceDE w:val="0"/>
        <w:autoSpaceDN w:val="0"/>
        <w:adjustRightInd w:val="0"/>
        <w:spacing w:before="29" w:line="360" w:lineRule="auto"/>
        <w:ind w:left="15"/>
        <w:jc w:val="center"/>
      </w:pPr>
    </w:p>
    <w:p w:rsidR="00B42EF7" w:rsidRDefault="00B42EF7" w:rsidP="00B42EF7">
      <w:pPr>
        <w:autoSpaceDE w:val="0"/>
        <w:autoSpaceDN w:val="0"/>
        <w:adjustRightInd w:val="0"/>
        <w:spacing w:before="29" w:line="360" w:lineRule="auto"/>
        <w:ind w:left="15"/>
        <w:jc w:val="center"/>
        <w:rPr>
          <w:b/>
          <w:color w:val="000000"/>
          <w:kern w:val="0"/>
          <w:sz w:val="24"/>
        </w:rPr>
      </w:pPr>
      <w:r>
        <w:rPr>
          <w:b/>
          <w:color w:val="000000"/>
          <w:kern w:val="0"/>
          <w:sz w:val="24"/>
        </w:rPr>
        <w:t xml:space="preserve">§3  </w:t>
      </w:r>
      <w:r>
        <w:rPr>
          <w:rFonts w:hint="eastAsia"/>
          <w:b/>
          <w:color w:val="000000"/>
          <w:kern w:val="0"/>
          <w:sz w:val="24"/>
        </w:rPr>
        <w:t>基金运作情况概述</w:t>
      </w:r>
    </w:p>
    <w:p w:rsidR="00B42EF7" w:rsidRDefault="00B42EF7" w:rsidP="00B42EF7">
      <w:pPr>
        <w:spacing w:before="100" w:line="360" w:lineRule="auto"/>
        <w:ind w:firstLineChars="200" w:firstLine="480"/>
        <w:rPr>
          <w:bCs/>
          <w:color w:val="000000"/>
          <w:sz w:val="24"/>
        </w:rPr>
      </w:pPr>
    </w:p>
    <w:p w:rsidR="00C431D2" w:rsidRDefault="00B42EF7" w:rsidP="00B42EF7">
      <w:pPr>
        <w:spacing w:before="100" w:line="360" w:lineRule="auto"/>
        <w:ind w:firstLineChars="200" w:firstLine="480"/>
        <w:rPr>
          <w:rFonts w:ascii="宋体" w:hAnsi="宋体"/>
        </w:rPr>
      </w:pPr>
      <w:r>
        <w:rPr>
          <w:rFonts w:hint="eastAsia"/>
          <w:bCs/>
          <w:color w:val="000000"/>
          <w:sz w:val="24"/>
        </w:rPr>
        <w:t>银河量化配置混合型证券投资基金</w:t>
      </w:r>
      <w:r>
        <w:rPr>
          <w:bCs/>
          <w:color w:val="000000"/>
          <w:sz w:val="24"/>
        </w:rPr>
        <w:t>(</w:t>
      </w:r>
      <w:r>
        <w:rPr>
          <w:bCs/>
          <w:color w:val="000000"/>
          <w:sz w:val="24"/>
        </w:rPr>
        <w:t>以下简称</w:t>
      </w:r>
      <w:r>
        <w:rPr>
          <w:bCs/>
          <w:color w:val="000000"/>
          <w:sz w:val="24"/>
        </w:rPr>
        <w:t>“</w:t>
      </w:r>
      <w:r>
        <w:rPr>
          <w:bCs/>
          <w:color w:val="000000"/>
          <w:sz w:val="24"/>
        </w:rPr>
        <w:t>本基金</w:t>
      </w:r>
      <w:r>
        <w:rPr>
          <w:bCs/>
          <w:color w:val="000000"/>
          <w:sz w:val="24"/>
        </w:rPr>
        <w:t>”)</w:t>
      </w:r>
      <w:r>
        <w:rPr>
          <w:bCs/>
          <w:color w:val="000000"/>
          <w:sz w:val="24"/>
        </w:rPr>
        <w:t>系由基金管理人银河基金管理有限公司依照《中华人民共和国证券投资基金法》、《银河量化配置混合型证券投资基金基金合同》</w:t>
      </w:r>
      <w:r>
        <w:rPr>
          <w:bCs/>
          <w:color w:val="000000"/>
          <w:sz w:val="24"/>
        </w:rPr>
        <w:t>(</w:t>
      </w:r>
      <w:r>
        <w:rPr>
          <w:bCs/>
          <w:color w:val="000000"/>
          <w:sz w:val="24"/>
        </w:rPr>
        <w:t>以下简称</w:t>
      </w:r>
      <w:r>
        <w:rPr>
          <w:bCs/>
          <w:color w:val="000000"/>
          <w:sz w:val="24"/>
        </w:rPr>
        <w:t>“</w:t>
      </w:r>
      <w:r>
        <w:rPr>
          <w:bCs/>
          <w:color w:val="000000"/>
          <w:sz w:val="24"/>
        </w:rPr>
        <w:t>基金合同</w:t>
      </w:r>
      <w:r>
        <w:rPr>
          <w:bCs/>
          <w:color w:val="000000"/>
          <w:sz w:val="24"/>
        </w:rPr>
        <w:t>”)</w:t>
      </w:r>
      <w:r>
        <w:rPr>
          <w:bCs/>
          <w:color w:val="000000"/>
          <w:sz w:val="24"/>
        </w:rPr>
        <w:t>及其他有关法律法规的规定，经中国证券监督管理委员会</w:t>
      </w:r>
      <w:r>
        <w:rPr>
          <w:bCs/>
          <w:color w:val="000000"/>
          <w:sz w:val="24"/>
        </w:rPr>
        <w:t>(</w:t>
      </w:r>
      <w:r>
        <w:rPr>
          <w:bCs/>
          <w:color w:val="000000"/>
          <w:sz w:val="24"/>
        </w:rPr>
        <w:t>以下简称</w:t>
      </w:r>
      <w:r>
        <w:rPr>
          <w:bCs/>
          <w:color w:val="000000"/>
          <w:sz w:val="24"/>
        </w:rPr>
        <w:t>“</w:t>
      </w:r>
      <w:r>
        <w:rPr>
          <w:bCs/>
          <w:color w:val="000000"/>
          <w:sz w:val="24"/>
        </w:rPr>
        <w:t>中国证监会</w:t>
      </w:r>
      <w:r>
        <w:rPr>
          <w:bCs/>
          <w:color w:val="000000"/>
          <w:sz w:val="24"/>
        </w:rPr>
        <w:t>”)</w:t>
      </w:r>
      <w:r>
        <w:rPr>
          <w:bCs/>
          <w:color w:val="000000"/>
          <w:sz w:val="24"/>
        </w:rPr>
        <w:t>以证监许可</w:t>
      </w:r>
      <w:r>
        <w:rPr>
          <w:bCs/>
          <w:color w:val="000000"/>
          <w:sz w:val="24"/>
        </w:rPr>
        <w:t>[2017]1002</w:t>
      </w:r>
      <w:r>
        <w:rPr>
          <w:bCs/>
          <w:color w:val="000000"/>
          <w:sz w:val="24"/>
        </w:rPr>
        <w:t>号文批准公开募集。本基金为契约型开放式基金，存续期限为不定期，首次设立募集基金份额为</w:t>
      </w:r>
      <w:r>
        <w:rPr>
          <w:bCs/>
          <w:color w:val="000000"/>
          <w:sz w:val="24"/>
        </w:rPr>
        <w:t>203,187,219.08</w:t>
      </w:r>
      <w:r>
        <w:rPr>
          <w:bCs/>
          <w:color w:val="000000"/>
          <w:sz w:val="24"/>
        </w:rPr>
        <w:t>份。基金合同于</w:t>
      </w:r>
      <w:r>
        <w:rPr>
          <w:bCs/>
          <w:color w:val="000000"/>
          <w:sz w:val="24"/>
        </w:rPr>
        <w:t>2018</w:t>
      </w:r>
      <w:r>
        <w:rPr>
          <w:bCs/>
          <w:color w:val="000000"/>
          <w:sz w:val="24"/>
        </w:rPr>
        <w:t>年</w:t>
      </w:r>
      <w:r>
        <w:rPr>
          <w:bCs/>
          <w:color w:val="000000"/>
          <w:sz w:val="24"/>
        </w:rPr>
        <w:t>2</w:t>
      </w:r>
      <w:r>
        <w:rPr>
          <w:bCs/>
          <w:color w:val="000000"/>
          <w:sz w:val="24"/>
        </w:rPr>
        <w:t>月</w:t>
      </w:r>
      <w:r>
        <w:rPr>
          <w:bCs/>
          <w:color w:val="000000"/>
          <w:sz w:val="24"/>
        </w:rPr>
        <w:t>11</w:t>
      </w:r>
      <w:r>
        <w:rPr>
          <w:bCs/>
          <w:color w:val="000000"/>
          <w:sz w:val="24"/>
        </w:rPr>
        <w:t>日正式生效。本基金的基金管理人为银河基金管理有限公司，</w:t>
      </w:r>
      <w:r>
        <w:rPr>
          <w:rFonts w:hint="eastAsia"/>
          <w:bCs/>
          <w:color w:val="000000"/>
          <w:sz w:val="24"/>
        </w:rPr>
        <w:t>注册登记机构为中国证券登记结算有限责任公司，</w:t>
      </w:r>
      <w:r>
        <w:rPr>
          <w:bCs/>
          <w:color w:val="000000"/>
          <w:sz w:val="24"/>
        </w:rPr>
        <w:t>基金托管人为中国</w:t>
      </w:r>
      <w:r>
        <w:rPr>
          <w:rFonts w:hint="eastAsia"/>
          <w:bCs/>
          <w:color w:val="000000"/>
          <w:sz w:val="24"/>
        </w:rPr>
        <w:t>邮政储蓄银行股份有限公司。根据基金管理人</w:t>
      </w:r>
      <w:r>
        <w:rPr>
          <w:bCs/>
          <w:color w:val="000000"/>
          <w:sz w:val="24"/>
        </w:rPr>
        <w:t>2018</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11</w:t>
      </w:r>
      <w:r>
        <w:rPr>
          <w:rFonts w:hint="eastAsia"/>
          <w:bCs/>
          <w:color w:val="000000"/>
          <w:sz w:val="24"/>
        </w:rPr>
        <w:t>日发布的《银河基金管理有限公司关于银河量化配置混合型证券投资基金基金份额持有人大会表决结果暨决议生效的公告》，本基金基金份额持有人大会于</w:t>
      </w:r>
      <w:r>
        <w:rPr>
          <w:bCs/>
          <w:color w:val="000000"/>
          <w:sz w:val="24"/>
        </w:rPr>
        <w:t>2018</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9</w:t>
      </w:r>
      <w:r>
        <w:rPr>
          <w:rFonts w:hint="eastAsia"/>
          <w:bCs/>
          <w:color w:val="000000"/>
          <w:sz w:val="24"/>
        </w:rPr>
        <w:t>日表决通过了《关于终止银河量化配置混合型证券投资基金基金合同有关事项的议案》，大会决议自该日起生效。根据《关于终止银河量化配置混合型证券投资基金基金合同有关事项的议案》及《关于终止银河量化配置混合型证券投资基金基金合同有关事项的说明》，本基金最后运作日为</w:t>
      </w:r>
      <w:r>
        <w:rPr>
          <w:bCs/>
          <w:color w:val="000000"/>
          <w:sz w:val="24"/>
        </w:rPr>
        <w:t>2018</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12</w:t>
      </w:r>
      <w:r>
        <w:rPr>
          <w:rFonts w:hint="eastAsia"/>
          <w:bCs/>
          <w:color w:val="000000"/>
          <w:sz w:val="24"/>
        </w:rPr>
        <w:t>日，自</w:t>
      </w:r>
      <w:r>
        <w:rPr>
          <w:bCs/>
          <w:color w:val="000000"/>
          <w:sz w:val="24"/>
        </w:rPr>
        <w:t>2018</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13</w:t>
      </w:r>
      <w:r>
        <w:rPr>
          <w:rFonts w:hint="eastAsia"/>
          <w:bCs/>
          <w:color w:val="000000"/>
          <w:sz w:val="24"/>
        </w:rPr>
        <w:t>日进入清算程序。本基金的清算报表是在非持续经营的前提下参考《企业会计准则》及《证券投资基金会计核算业务指引》的有关规定编制的。自本基金最后运作日起，资产负债按清算价格计价。由于报告性质所致，本清算报表并无比较期间的相关数据列示</w:t>
      </w:r>
      <w:r>
        <w:rPr>
          <w:rFonts w:ascii="黑体" w:eastAsia="黑体" w:hAnsi="黑体" w:cs="Arial" w:hint="eastAsia"/>
          <w:sz w:val="22"/>
          <w:szCs w:val="22"/>
        </w:rPr>
        <w:t>。</w:t>
      </w:r>
    </w:p>
    <w:p w:rsidR="006C6AF2" w:rsidRDefault="006C6AF2" w:rsidP="006C6AF2">
      <w:pPr>
        <w:autoSpaceDE w:val="0"/>
        <w:autoSpaceDN w:val="0"/>
        <w:adjustRightInd w:val="0"/>
        <w:spacing w:before="29" w:line="288" w:lineRule="auto"/>
        <w:ind w:left="15"/>
        <w:jc w:val="center"/>
        <w:rPr>
          <w:b/>
          <w:color w:val="000000"/>
          <w:kern w:val="0"/>
          <w:sz w:val="24"/>
        </w:rPr>
      </w:pPr>
      <w:r w:rsidRPr="009C28F2">
        <w:rPr>
          <w:b/>
          <w:color w:val="000000"/>
          <w:kern w:val="0"/>
          <w:sz w:val="24"/>
        </w:rPr>
        <w:t>§</w:t>
      </w:r>
      <w:r>
        <w:rPr>
          <w:rFonts w:hint="eastAsia"/>
          <w:b/>
          <w:color w:val="000000"/>
          <w:kern w:val="0"/>
          <w:sz w:val="24"/>
        </w:rPr>
        <w:t>4</w:t>
      </w:r>
      <w:r w:rsidRPr="009C28F2">
        <w:rPr>
          <w:b/>
          <w:color w:val="000000"/>
          <w:kern w:val="0"/>
          <w:sz w:val="24"/>
        </w:rPr>
        <w:t xml:space="preserve">  </w:t>
      </w:r>
      <w:r>
        <w:rPr>
          <w:rFonts w:hint="eastAsia"/>
          <w:b/>
          <w:color w:val="000000"/>
          <w:kern w:val="0"/>
          <w:sz w:val="24"/>
        </w:rPr>
        <w:t>财务</w:t>
      </w:r>
      <w:r w:rsidRPr="009C28F2">
        <w:rPr>
          <w:b/>
          <w:color w:val="000000"/>
          <w:kern w:val="0"/>
          <w:sz w:val="24"/>
        </w:rPr>
        <w:t>报告</w:t>
      </w:r>
      <w:bookmarkStart w:id="0" w:name="_Toc382311925"/>
    </w:p>
    <w:p w:rsidR="006C6AF2" w:rsidRPr="00840B2A" w:rsidRDefault="00840B2A" w:rsidP="006C6AF2">
      <w:pPr>
        <w:autoSpaceDE w:val="0"/>
        <w:autoSpaceDN w:val="0"/>
        <w:adjustRightInd w:val="0"/>
        <w:spacing w:before="29" w:line="288" w:lineRule="auto"/>
        <w:ind w:left="15" w:firstLine="465"/>
        <w:jc w:val="left"/>
        <w:rPr>
          <w:b/>
          <w:color w:val="000000"/>
          <w:kern w:val="0"/>
          <w:sz w:val="24"/>
        </w:rPr>
      </w:pPr>
      <w:r w:rsidRPr="00A51E84">
        <w:rPr>
          <w:rFonts w:ascii="宋体" w:hAnsi="宋体" w:cs="Arial" w:hint="eastAsia"/>
          <w:b/>
          <w:color w:val="000000"/>
          <w:sz w:val="24"/>
        </w:rPr>
        <w:t>4.1</w:t>
      </w:r>
      <w:r w:rsidR="006C6AF2" w:rsidRPr="00A51E84">
        <w:rPr>
          <w:rFonts w:ascii="宋体" w:hAnsi="宋体" w:cs="Arial" w:hint="eastAsia"/>
          <w:b/>
          <w:color w:val="000000"/>
          <w:sz w:val="24"/>
        </w:rPr>
        <w:t>资产负债表</w:t>
      </w:r>
      <w:bookmarkEnd w:id="0"/>
      <w:r w:rsidR="006C6AF2" w:rsidRPr="00840B2A">
        <w:rPr>
          <w:rFonts w:ascii="宋体" w:hAnsi="宋体" w:cs="Arial" w:hint="eastAsia"/>
          <w:b/>
          <w:color w:val="000000"/>
          <w:sz w:val="24"/>
        </w:rPr>
        <w:t xml:space="preserve"> </w:t>
      </w:r>
    </w:p>
    <w:p w:rsidR="008D1A13" w:rsidRDefault="006C6AF2" w:rsidP="008D1A13">
      <w:pPr>
        <w:spacing w:before="100"/>
        <w:ind w:firstLineChars="200" w:firstLine="480"/>
        <w:rPr>
          <w:bCs/>
          <w:color w:val="000000"/>
          <w:sz w:val="24"/>
        </w:rPr>
      </w:pPr>
      <w:r w:rsidRPr="00793BA6">
        <w:rPr>
          <w:rFonts w:hint="eastAsia"/>
          <w:color w:val="000000"/>
          <w:sz w:val="24"/>
        </w:rPr>
        <w:t>会计主体：</w:t>
      </w:r>
      <w:r w:rsidR="00662082">
        <w:rPr>
          <w:rFonts w:hint="eastAsia"/>
          <w:bCs/>
          <w:color w:val="000000"/>
          <w:sz w:val="24"/>
        </w:rPr>
        <w:t>银河量化配置</w:t>
      </w:r>
      <w:r w:rsidR="00EE312F" w:rsidRPr="001F35C4">
        <w:rPr>
          <w:rFonts w:hint="eastAsia"/>
          <w:bCs/>
          <w:color w:val="000000"/>
          <w:sz w:val="24"/>
        </w:rPr>
        <w:t>混合型证券投资基金</w:t>
      </w:r>
    </w:p>
    <w:p w:rsidR="006C6AF2" w:rsidRDefault="006C6AF2" w:rsidP="006C6AF2">
      <w:pPr>
        <w:spacing w:before="100"/>
        <w:ind w:firstLineChars="200" w:firstLine="480"/>
        <w:rPr>
          <w:color w:val="000000"/>
          <w:sz w:val="24"/>
        </w:rPr>
      </w:pPr>
      <w:r w:rsidRPr="00793BA6">
        <w:rPr>
          <w:rFonts w:hint="eastAsia"/>
          <w:color w:val="000000"/>
          <w:sz w:val="24"/>
        </w:rPr>
        <w:t>报告截止日：</w:t>
      </w:r>
      <w:r>
        <w:rPr>
          <w:rFonts w:hint="eastAsia"/>
          <w:color w:val="000000"/>
          <w:sz w:val="24"/>
        </w:rPr>
        <w:t>201</w:t>
      </w:r>
      <w:r w:rsidR="00614D22">
        <w:rPr>
          <w:rFonts w:hint="eastAsia"/>
          <w:color w:val="000000"/>
          <w:sz w:val="24"/>
        </w:rPr>
        <w:t>8</w:t>
      </w:r>
      <w:r>
        <w:rPr>
          <w:rFonts w:hint="eastAsia"/>
          <w:color w:val="000000"/>
          <w:sz w:val="24"/>
        </w:rPr>
        <w:t>年</w:t>
      </w:r>
      <w:r w:rsidR="00C431D2">
        <w:rPr>
          <w:rFonts w:hint="eastAsia"/>
          <w:color w:val="000000"/>
          <w:sz w:val="24"/>
        </w:rPr>
        <w:t>8</w:t>
      </w:r>
      <w:r>
        <w:rPr>
          <w:rFonts w:hint="eastAsia"/>
          <w:color w:val="000000"/>
          <w:sz w:val="24"/>
        </w:rPr>
        <w:t>月</w:t>
      </w:r>
      <w:r w:rsidR="00C431D2">
        <w:rPr>
          <w:rFonts w:hint="eastAsia"/>
          <w:color w:val="000000"/>
          <w:sz w:val="24"/>
        </w:rPr>
        <w:t>12</w:t>
      </w:r>
      <w:r>
        <w:rPr>
          <w:rFonts w:hint="eastAsia"/>
          <w:color w:val="000000"/>
          <w:sz w:val="24"/>
        </w:rPr>
        <w:t>日</w:t>
      </w:r>
    </w:p>
    <w:p w:rsidR="006C6AF2" w:rsidRDefault="006C6AF2" w:rsidP="006C6AF2">
      <w:pPr>
        <w:widowControl/>
        <w:spacing w:before="225" w:after="225" w:line="360" w:lineRule="atLeast"/>
        <w:jc w:val="right"/>
        <w:rPr>
          <w:rFonts w:ascii="宋体" w:hAnsi="宋体" w:cs="宋体"/>
          <w:kern w:val="0"/>
          <w:sz w:val="24"/>
        </w:rPr>
      </w:pPr>
      <w:r w:rsidRPr="003F1729">
        <w:rPr>
          <w:rFonts w:ascii="宋体" w:hAnsi="宋体" w:cs="宋体" w:hint="eastAsia"/>
          <w:kern w:val="0"/>
          <w:sz w:val="24"/>
        </w:rPr>
        <w:t xml:space="preserve">单位：人民币元 </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8"/>
        <w:gridCol w:w="4114"/>
      </w:tblGrid>
      <w:tr w:rsidR="006C6AF2" w:rsidRPr="00793BA6" w:rsidTr="006032C2">
        <w:trPr>
          <w:jc w:val="center"/>
        </w:trPr>
        <w:tc>
          <w:tcPr>
            <w:tcW w:w="3878" w:type="dxa"/>
            <w:tcBorders>
              <w:top w:val="single" w:sz="4" w:space="0" w:color="auto"/>
            </w:tcBorders>
            <w:vAlign w:val="center"/>
          </w:tcPr>
          <w:p w:rsidR="006C6AF2" w:rsidRPr="00793BA6" w:rsidRDefault="006C6AF2" w:rsidP="006032C2">
            <w:pPr>
              <w:pStyle w:val="a6"/>
              <w:spacing w:beforeAutospacing="0" w:after="0" w:afterAutospacing="0"/>
              <w:jc w:val="center"/>
              <w:rPr>
                <w:b/>
                <w:color w:val="000000"/>
              </w:rPr>
            </w:pPr>
            <w:r w:rsidRPr="00793BA6">
              <w:rPr>
                <w:rFonts w:hint="eastAsia"/>
                <w:b/>
                <w:color w:val="000000"/>
              </w:rPr>
              <w:t>资 产</w:t>
            </w:r>
          </w:p>
        </w:tc>
        <w:tc>
          <w:tcPr>
            <w:tcW w:w="4114" w:type="dxa"/>
            <w:tcBorders>
              <w:top w:val="single" w:sz="4" w:space="0" w:color="auto"/>
            </w:tcBorders>
            <w:vAlign w:val="center"/>
          </w:tcPr>
          <w:p w:rsidR="006C6AF2" w:rsidRPr="00793BA6" w:rsidRDefault="006C6AF2" w:rsidP="006032C2">
            <w:pPr>
              <w:widowControl/>
              <w:autoSpaceDE w:val="0"/>
              <w:autoSpaceDN w:val="0"/>
              <w:spacing w:before="100"/>
              <w:ind w:right="-15"/>
              <w:jc w:val="center"/>
              <w:textAlignment w:val="bottom"/>
              <w:rPr>
                <w:b/>
                <w:color w:val="000000"/>
                <w:sz w:val="24"/>
              </w:rPr>
            </w:pPr>
            <w:r>
              <w:rPr>
                <w:rFonts w:hint="eastAsia"/>
                <w:b/>
                <w:color w:val="000000"/>
                <w:sz w:val="24"/>
              </w:rPr>
              <w:t>最后运作日</w:t>
            </w:r>
          </w:p>
          <w:p w:rsidR="006C6AF2" w:rsidRPr="00793BA6" w:rsidRDefault="00C431D2">
            <w:pPr>
              <w:widowControl/>
              <w:autoSpaceDE w:val="0"/>
              <w:autoSpaceDN w:val="0"/>
              <w:spacing w:before="100"/>
              <w:ind w:right="-15"/>
              <w:jc w:val="center"/>
              <w:textAlignment w:val="bottom"/>
              <w:rPr>
                <w:b/>
                <w:color w:val="000000"/>
                <w:sz w:val="24"/>
              </w:rPr>
            </w:pPr>
            <w:r>
              <w:rPr>
                <w:rFonts w:hint="eastAsia"/>
                <w:b/>
                <w:color w:val="000000"/>
                <w:sz w:val="24"/>
              </w:rPr>
              <w:t>2018</w:t>
            </w:r>
            <w:r>
              <w:rPr>
                <w:rFonts w:hint="eastAsia"/>
                <w:b/>
                <w:color w:val="000000"/>
                <w:sz w:val="24"/>
              </w:rPr>
              <w:t>年</w:t>
            </w:r>
            <w:r>
              <w:rPr>
                <w:rFonts w:hint="eastAsia"/>
                <w:b/>
                <w:color w:val="000000"/>
                <w:sz w:val="24"/>
              </w:rPr>
              <w:t>8</w:t>
            </w:r>
            <w:r>
              <w:rPr>
                <w:rFonts w:hint="eastAsia"/>
                <w:b/>
                <w:color w:val="000000"/>
                <w:sz w:val="24"/>
              </w:rPr>
              <w:t>月</w:t>
            </w:r>
            <w:r>
              <w:rPr>
                <w:rFonts w:hint="eastAsia"/>
                <w:b/>
                <w:color w:val="000000"/>
                <w:sz w:val="24"/>
              </w:rPr>
              <w:t>12</w:t>
            </w:r>
            <w:r>
              <w:rPr>
                <w:rFonts w:hint="eastAsia"/>
                <w:b/>
                <w:color w:val="000000"/>
                <w:sz w:val="24"/>
              </w:rPr>
              <w:t>日</w:t>
            </w:r>
          </w:p>
        </w:tc>
      </w:tr>
      <w:tr w:rsidR="006C6AF2" w:rsidRPr="00793BA6" w:rsidTr="006032C2">
        <w:trPr>
          <w:jc w:val="center"/>
        </w:trPr>
        <w:tc>
          <w:tcPr>
            <w:tcW w:w="3878" w:type="dxa"/>
            <w:vAlign w:val="center"/>
          </w:tcPr>
          <w:p w:rsidR="006C6AF2" w:rsidRPr="00793BA6" w:rsidRDefault="006C6AF2" w:rsidP="006032C2">
            <w:pPr>
              <w:pStyle w:val="a6"/>
              <w:spacing w:beforeAutospacing="0" w:after="0" w:afterAutospacing="0"/>
              <w:rPr>
                <w:b/>
                <w:color w:val="000000"/>
              </w:rPr>
            </w:pPr>
            <w:r>
              <w:rPr>
                <w:rFonts w:hint="eastAsia"/>
                <w:b/>
                <w:bCs/>
                <w:color w:val="000000"/>
              </w:rPr>
              <w:t>资 产：</w:t>
            </w:r>
          </w:p>
        </w:tc>
        <w:tc>
          <w:tcPr>
            <w:tcW w:w="4114" w:type="dxa"/>
            <w:vAlign w:val="bottom"/>
          </w:tcPr>
          <w:p w:rsidR="006C6AF2" w:rsidRPr="00793BA6" w:rsidRDefault="006C6AF2" w:rsidP="006032C2">
            <w:pPr>
              <w:widowControl/>
              <w:autoSpaceDE w:val="0"/>
              <w:autoSpaceDN w:val="0"/>
              <w:spacing w:before="100"/>
              <w:ind w:right="-15"/>
              <w:jc w:val="right"/>
              <w:textAlignment w:val="bottom"/>
              <w:rPr>
                <w:color w:val="000000"/>
                <w:sz w:val="24"/>
              </w:rPr>
            </w:pPr>
            <w:r>
              <w:rPr>
                <w:color w:val="000000"/>
              </w:rPr>
              <w:t xml:space="preserve">　</w:t>
            </w:r>
          </w:p>
        </w:tc>
      </w:tr>
      <w:tr w:rsidR="00607F30" w:rsidRPr="000B1947" w:rsidTr="008D1A13">
        <w:trPr>
          <w:jc w:val="center"/>
        </w:trPr>
        <w:tc>
          <w:tcPr>
            <w:tcW w:w="3878" w:type="dxa"/>
          </w:tcPr>
          <w:p w:rsidR="00607F30" w:rsidRDefault="00607F30">
            <w:pPr>
              <w:rPr>
                <w:rFonts w:ascii="宋体" w:hAnsi="宋体" w:cs="宋体"/>
                <w:color w:val="000000"/>
                <w:sz w:val="22"/>
                <w:szCs w:val="22"/>
              </w:rPr>
            </w:pPr>
            <w:r>
              <w:rPr>
                <w:rFonts w:hint="eastAsia"/>
                <w:color w:val="000000"/>
                <w:sz w:val="22"/>
                <w:szCs w:val="22"/>
              </w:rPr>
              <w:t>银行存款</w:t>
            </w:r>
          </w:p>
        </w:tc>
        <w:tc>
          <w:tcPr>
            <w:tcW w:w="4114" w:type="dxa"/>
            <w:vAlign w:val="bottom"/>
          </w:tcPr>
          <w:p w:rsidR="00607F30" w:rsidRDefault="00607F30">
            <w:pPr>
              <w:jc w:val="right"/>
              <w:rPr>
                <w:rFonts w:ascii="宋体" w:hAnsi="宋体" w:cs="宋体"/>
                <w:color w:val="000000"/>
                <w:sz w:val="22"/>
                <w:szCs w:val="22"/>
              </w:rPr>
            </w:pPr>
            <w:r>
              <w:rPr>
                <w:rFonts w:hint="eastAsia"/>
                <w:color w:val="000000"/>
                <w:sz w:val="22"/>
                <w:szCs w:val="22"/>
              </w:rPr>
              <w:t>1,694,057.50</w:t>
            </w:r>
          </w:p>
        </w:tc>
      </w:tr>
      <w:tr w:rsidR="00607F30" w:rsidRPr="000B1947" w:rsidTr="004C1AF4">
        <w:trPr>
          <w:jc w:val="center"/>
        </w:trPr>
        <w:tc>
          <w:tcPr>
            <w:tcW w:w="3878" w:type="dxa"/>
          </w:tcPr>
          <w:p w:rsidR="00607F30" w:rsidRDefault="00607F30">
            <w:pPr>
              <w:rPr>
                <w:rFonts w:ascii="宋体" w:hAnsi="宋体" w:cs="宋体"/>
                <w:color w:val="000000"/>
                <w:sz w:val="22"/>
                <w:szCs w:val="22"/>
              </w:rPr>
            </w:pPr>
            <w:r>
              <w:rPr>
                <w:rFonts w:hint="eastAsia"/>
                <w:color w:val="000000"/>
                <w:sz w:val="22"/>
                <w:szCs w:val="22"/>
              </w:rPr>
              <w:t>结算备付金</w:t>
            </w:r>
          </w:p>
        </w:tc>
        <w:tc>
          <w:tcPr>
            <w:tcW w:w="4114" w:type="dxa"/>
            <w:vAlign w:val="bottom"/>
          </w:tcPr>
          <w:p w:rsidR="00607F30" w:rsidRDefault="00607F30">
            <w:pPr>
              <w:jc w:val="right"/>
              <w:rPr>
                <w:rFonts w:ascii="宋体" w:hAnsi="宋体" w:cs="宋体"/>
                <w:color w:val="000000"/>
                <w:sz w:val="22"/>
                <w:szCs w:val="22"/>
              </w:rPr>
            </w:pPr>
            <w:r>
              <w:rPr>
                <w:rFonts w:hint="eastAsia"/>
                <w:color w:val="000000"/>
                <w:sz w:val="22"/>
                <w:szCs w:val="22"/>
              </w:rPr>
              <w:t>220,454.55</w:t>
            </w:r>
          </w:p>
        </w:tc>
      </w:tr>
      <w:tr w:rsidR="00607F30" w:rsidRPr="000B1947" w:rsidTr="004C1AF4">
        <w:trPr>
          <w:jc w:val="center"/>
        </w:trPr>
        <w:tc>
          <w:tcPr>
            <w:tcW w:w="3878" w:type="dxa"/>
          </w:tcPr>
          <w:p w:rsidR="00607F30" w:rsidRDefault="00607F30">
            <w:pPr>
              <w:rPr>
                <w:rFonts w:ascii="宋体" w:hAnsi="宋体" w:cs="宋体"/>
                <w:color w:val="000000"/>
                <w:sz w:val="22"/>
                <w:szCs w:val="22"/>
              </w:rPr>
            </w:pPr>
            <w:r>
              <w:rPr>
                <w:rFonts w:hint="eastAsia"/>
                <w:color w:val="000000"/>
                <w:sz w:val="22"/>
                <w:szCs w:val="22"/>
              </w:rPr>
              <w:t>存出保证金</w:t>
            </w:r>
          </w:p>
        </w:tc>
        <w:tc>
          <w:tcPr>
            <w:tcW w:w="4114" w:type="dxa"/>
            <w:vAlign w:val="bottom"/>
          </w:tcPr>
          <w:p w:rsidR="00607F30" w:rsidRDefault="00607F30">
            <w:pPr>
              <w:jc w:val="right"/>
              <w:rPr>
                <w:rFonts w:ascii="宋体" w:hAnsi="宋体" w:cs="宋体"/>
                <w:color w:val="000000"/>
                <w:sz w:val="22"/>
                <w:szCs w:val="22"/>
              </w:rPr>
            </w:pPr>
            <w:r>
              <w:rPr>
                <w:rFonts w:hint="eastAsia"/>
                <w:color w:val="000000"/>
                <w:sz w:val="22"/>
                <w:szCs w:val="22"/>
              </w:rPr>
              <w:t>1,154.59</w:t>
            </w:r>
          </w:p>
        </w:tc>
      </w:tr>
      <w:tr w:rsidR="00607F30" w:rsidRPr="000B1947" w:rsidTr="006032C2">
        <w:trPr>
          <w:jc w:val="center"/>
        </w:trPr>
        <w:tc>
          <w:tcPr>
            <w:tcW w:w="3878" w:type="dxa"/>
            <w:vAlign w:val="center"/>
          </w:tcPr>
          <w:p w:rsidR="00607F30" w:rsidRPr="00607F30" w:rsidRDefault="00607F30" w:rsidP="00607F30">
            <w:pPr>
              <w:jc w:val="left"/>
              <w:rPr>
                <w:color w:val="000000"/>
                <w:sz w:val="22"/>
                <w:szCs w:val="22"/>
              </w:rPr>
            </w:pPr>
            <w:r>
              <w:rPr>
                <w:rFonts w:hint="eastAsia"/>
                <w:color w:val="000000"/>
                <w:sz w:val="22"/>
                <w:szCs w:val="22"/>
              </w:rPr>
              <w:t>交易性金融资产（</w:t>
            </w:r>
            <w:r>
              <w:rPr>
                <w:rFonts w:hint="eastAsia"/>
                <w:color w:val="000000"/>
                <w:sz w:val="22"/>
                <w:szCs w:val="22"/>
              </w:rPr>
              <w:t xml:space="preserve"> </w:t>
            </w:r>
            <w:r>
              <w:rPr>
                <w:rFonts w:hint="eastAsia"/>
                <w:color w:val="000000"/>
                <w:sz w:val="22"/>
                <w:szCs w:val="22"/>
              </w:rPr>
              <w:t>债券投资）</w:t>
            </w:r>
          </w:p>
        </w:tc>
        <w:tc>
          <w:tcPr>
            <w:tcW w:w="4114" w:type="dxa"/>
            <w:vAlign w:val="bottom"/>
          </w:tcPr>
          <w:p w:rsidR="00607F30" w:rsidRDefault="00607F30">
            <w:pPr>
              <w:jc w:val="right"/>
              <w:rPr>
                <w:rFonts w:ascii="宋体" w:hAnsi="宋体" w:cs="宋体"/>
                <w:color w:val="000000"/>
                <w:sz w:val="22"/>
                <w:szCs w:val="22"/>
              </w:rPr>
            </w:pPr>
            <w:r>
              <w:rPr>
                <w:rFonts w:hint="eastAsia"/>
                <w:color w:val="000000"/>
                <w:sz w:val="22"/>
                <w:szCs w:val="22"/>
              </w:rPr>
              <w:t>2,014,000</w:t>
            </w:r>
            <w:r w:rsidR="0054069E">
              <w:rPr>
                <w:rFonts w:hint="eastAsia"/>
                <w:color w:val="000000"/>
                <w:sz w:val="22"/>
                <w:szCs w:val="22"/>
              </w:rPr>
              <w:t>.00</w:t>
            </w:r>
          </w:p>
        </w:tc>
      </w:tr>
      <w:tr w:rsidR="00607F30" w:rsidRPr="000B1947" w:rsidTr="006032C2">
        <w:trPr>
          <w:jc w:val="center"/>
        </w:trPr>
        <w:tc>
          <w:tcPr>
            <w:tcW w:w="3878" w:type="dxa"/>
            <w:vAlign w:val="center"/>
          </w:tcPr>
          <w:p w:rsidR="00607F30" w:rsidRPr="00607F30" w:rsidRDefault="00607F30" w:rsidP="00607F30">
            <w:pPr>
              <w:jc w:val="left"/>
              <w:rPr>
                <w:rFonts w:ascii="宋体" w:hAnsi="宋体" w:cs="宋体"/>
                <w:color w:val="000000"/>
                <w:sz w:val="22"/>
                <w:szCs w:val="22"/>
              </w:rPr>
            </w:pPr>
            <w:r>
              <w:rPr>
                <w:rFonts w:hint="eastAsia"/>
                <w:color w:val="000000"/>
                <w:sz w:val="22"/>
                <w:szCs w:val="22"/>
              </w:rPr>
              <w:t>买入返售金融资产</w:t>
            </w:r>
          </w:p>
        </w:tc>
        <w:tc>
          <w:tcPr>
            <w:tcW w:w="4114" w:type="dxa"/>
            <w:vAlign w:val="bottom"/>
          </w:tcPr>
          <w:p w:rsidR="00607F30" w:rsidRDefault="00607F30" w:rsidP="00607F30">
            <w:pPr>
              <w:jc w:val="right"/>
              <w:rPr>
                <w:rFonts w:ascii="宋体" w:hAnsi="宋体" w:cs="宋体"/>
                <w:color w:val="000000"/>
                <w:sz w:val="22"/>
                <w:szCs w:val="22"/>
              </w:rPr>
            </w:pPr>
            <w:r>
              <w:rPr>
                <w:rFonts w:hint="eastAsia"/>
                <w:color w:val="000000"/>
                <w:sz w:val="22"/>
                <w:szCs w:val="22"/>
              </w:rPr>
              <w:t>800,000</w:t>
            </w:r>
            <w:r w:rsidR="0054069E">
              <w:rPr>
                <w:rFonts w:hint="eastAsia"/>
                <w:color w:val="000000"/>
                <w:sz w:val="22"/>
                <w:szCs w:val="22"/>
              </w:rPr>
              <w:t>.00</w:t>
            </w:r>
          </w:p>
          <w:p w:rsidR="00607F30" w:rsidRPr="00607F30" w:rsidRDefault="00607F30" w:rsidP="00FF24AC">
            <w:pPr>
              <w:jc w:val="right"/>
              <w:rPr>
                <w:rFonts w:ascii="宋体" w:hAnsi="宋体" w:cs="宋体"/>
                <w:b/>
                <w:color w:val="000000"/>
                <w:sz w:val="22"/>
                <w:szCs w:val="22"/>
              </w:rPr>
            </w:pPr>
          </w:p>
        </w:tc>
      </w:tr>
      <w:tr w:rsidR="00607F30" w:rsidRPr="000B1947" w:rsidTr="006032C2">
        <w:trPr>
          <w:jc w:val="center"/>
        </w:trPr>
        <w:tc>
          <w:tcPr>
            <w:tcW w:w="3878" w:type="dxa"/>
            <w:vAlign w:val="center"/>
          </w:tcPr>
          <w:p w:rsidR="00607F30" w:rsidRPr="000B1947" w:rsidRDefault="00607F30" w:rsidP="006032C2">
            <w:pPr>
              <w:pStyle w:val="a6"/>
              <w:spacing w:beforeAutospacing="0" w:after="0" w:afterAutospacing="0"/>
              <w:rPr>
                <w:color w:val="000000"/>
              </w:rPr>
            </w:pPr>
            <w:r w:rsidRPr="000B1947">
              <w:rPr>
                <w:rFonts w:hint="eastAsia"/>
                <w:color w:val="000000"/>
              </w:rPr>
              <w:t>应收利息</w:t>
            </w:r>
          </w:p>
        </w:tc>
        <w:tc>
          <w:tcPr>
            <w:tcW w:w="4114" w:type="dxa"/>
            <w:vAlign w:val="bottom"/>
          </w:tcPr>
          <w:p w:rsidR="00982BD3" w:rsidRDefault="00982BD3" w:rsidP="00982BD3">
            <w:pPr>
              <w:jc w:val="right"/>
              <w:rPr>
                <w:rFonts w:ascii="宋体" w:hAnsi="宋体" w:cs="宋体"/>
                <w:color w:val="000000"/>
                <w:sz w:val="22"/>
                <w:szCs w:val="22"/>
              </w:rPr>
            </w:pPr>
            <w:r>
              <w:rPr>
                <w:rFonts w:hint="eastAsia"/>
                <w:color w:val="000000"/>
                <w:sz w:val="22"/>
                <w:szCs w:val="22"/>
              </w:rPr>
              <w:t>29,360.25</w:t>
            </w:r>
          </w:p>
          <w:p w:rsidR="00607F30" w:rsidRPr="00FF24AC" w:rsidRDefault="00607F30" w:rsidP="00FF24AC">
            <w:pPr>
              <w:jc w:val="right"/>
              <w:rPr>
                <w:rFonts w:ascii="宋体" w:hAnsi="宋体" w:cs="宋体"/>
                <w:color w:val="000000"/>
                <w:sz w:val="22"/>
                <w:szCs w:val="22"/>
              </w:rPr>
            </w:pPr>
          </w:p>
        </w:tc>
      </w:tr>
      <w:tr w:rsidR="006C6AF2" w:rsidRPr="000B1947" w:rsidTr="006032C2">
        <w:trPr>
          <w:jc w:val="center"/>
        </w:trPr>
        <w:tc>
          <w:tcPr>
            <w:tcW w:w="3878" w:type="dxa"/>
            <w:vAlign w:val="center"/>
          </w:tcPr>
          <w:p w:rsidR="006C6AF2" w:rsidRPr="000B1947" w:rsidRDefault="006C6AF2" w:rsidP="006032C2">
            <w:pPr>
              <w:pStyle w:val="a6"/>
              <w:spacing w:beforeAutospacing="0" w:after="0" w:afterAutospacing="0"/>
              <w:rPr>
                <w:color w:val="000000"/>
              </w:rPr>
            </w:pPr>
            <w:r w:rsidRPr="000B1947">
              <w:rPr>
                <w:rFonts w:hint="eastAsia"/>
                <w:color w:val="000000"/>
              </w:rPr>
              <w:t>资产总计</w:t>
            </w:r>
          </w:p>
        </w:tc>
        <w:tc>
          <w:tcPr>
            <w:tcW w:w="4114" w:type="dxa"/>
            <w:vAlign w:val="bottom"/>
          </w:tcPr>
          <w:p w:rsidR="00982BD3" w:rsidRDefault="00982BD3" w:rsidP="00982BD3">
            <w:pPr>
              <w:jc w:val="right"/>
              <w:rPr>
                <w:rFonts w:ascii="宋体" w:hAnsi="宋体" w:cs="宋体"/>
                <w:color w:val="000000"/>
                <w:sz w:val="22"/>
                <w:szCs w:val="22"/>
              </w:rPr>
            </w:pPr>
            <w:r>
              <w:rPr>
                <w:rFonts w:hint="eastAsia"/>
                <w:color w:val="000000"/>
                <w:sz w:val="22"/>
                <w:szCs w:val="22"/>
              </w:rPr>
              <w:t>4,759,026.89</w:t>
            </w:r>
          </w:p>
          <w:p w:rsidR="006C6AF2" w:rsidRPr="00FF24AC" w:rsidRDefault="006C6AF2" w:rsidP="00FF24AC">
            <w:pPr>
              <w:jc w:val="right"/>
              <w:rPr>
                <w:rFonts w:ascii="宋体" w:hAnsi="宋体" w:cs="宋体"/>
                <w:color w:val="000000"/>
                <w:sz w:val="22"/>
                <w:szCs w:val="22"/>
              </w:rPr>
            </w:pPr>
          </w:p>
        </w:tc>
      </w:tr>
      <w:tr w:rsidR="006C6AF2" w:rsidRPr="000B1947" w:rsidTr="006032C2">
        <w:trPr>
          <w:jc w:val="center"/>
        </w:trPr>
        <w:tc>
          <w:tcPr>
            <w:tcW w:w="3878" w:type="dxa"/>
            <w:vAlign w:val="center"/>
          </w:tcPr>
          <w:p w:rsidR="006C6AF2" w:rsidRPr="000B1947" w:rsidRDefault="006C6AF2" w:rsidP="006032C2">
            <w:pPr>
              <w:pStyle w:val="a6"/>
              <w:spacing w:beforeAutospacing="0" w:after="0" w:afterAutospacing="0"/>
              <w:jc w:val="center"/>
              <w:rPr>
                <w:b/>
                <w:color w:val="000000"/>
              </w:rPr>
            </w:pPr>
            <w:r w:rsidRPr="000B1947">
              <w:rPr>
                <w:rFonts w:hint="eastAsia"/>
                <w:b/>
                <w:color w:val="000000"/>
              </w:rPr>
              <w:t>负债和所有者权益</w:t>
            </w:r>
          </w:p>
        </w:tc>
        <w:tc>
          <w:tcPr>
            <w:tcW w:w="4114" w:type="dxa"/>
            <w:vAlign w:val="center"/>
          </w:tcPr>
          <w:p w:rsidR="008D1A13" w:rsidRPr="00793BA6" w:rsidRDefault="008D1A13" w:rsidP="008D1A13">
            <w:pPr>
              <w:widowControl/>
              <w:autoSpaceDE w:val="0"/>
              <w:autoSpaceDN w:val="0"/>
              <w:spacing w:before="100"/>
              <w:ind w:right="-15"/>
              <w:jc w:val="center"/>
              <w:textAlignment w:val="bottom"/>
              <w:rPr>
                <w:b/>
                <w:color w:val="000000"/>
                <w:sz w:val="24"/>
              </w:rPr>
            </w:pPr>
            <w:r>
              <w:rPr>
                <w:rFonts w:hint="eastAsia"/>
                <w:b/>
                <w:color w:val="000000"/>
                <w:sz w:val="24"/>
              </w:rPr>
              <w:t>最后运作日</w:t>
            </w:r>
          </w:p>
          <w:p w:rsidR="006C6AF2" w:rsidRPr="000B1947" w:rsidRDefault="00C431D2">
            <w:pPr>
              <w:widowControl/>
              <w:autoSpaceDE w:val="0"/>
              <w:autoSpaceDN w:val="0"/>
              <w:spacing w:before="100"/>
              <w:ind w:right="-15"/>
              <w:jc w:val="center"/>
              <w:textAlignment w:val="bottom"/>
              <w:rPr>
                <w:b/>
                <w:color w:val="000000"/>
                <w:sz w:val="24"/>
              </w:rPr>
            </w:pPr>
            <w:r>
              <w:rPr>
                <w:rFonts w:hint="eastAsia"/>
                <w:b/>
                <w:color w:val="000000"/>
                <w:sz w:val="24"/>
              </w:rPr>
              <w:t>2018</w:t>
            </w:r>
            <w:r>
              <w:rPr>
                <w:rFonts w:hint="eastAsia"/>
                <w:b/>
                <w:color w:val="000000"/>
                <w:sz w:val="24"/>
              </w:rPr>
              <w:t>年</w:t>
            </w:r>
            <w:r>
              <w:rPr>
                <w:rFonts w:hint="eastAsia"/>
                <w:b/>
                <w:color w:val="000000"/>
                <w:sz w:val="24"/>
              </w:rPr>
              <w:t>8</w:t>
            </w:r>
            <w:r>
              <w:rPr>
                <w:rFonts w:hint="eastAsia"/>
                <w:b/>
                <w:color w:val="000000"/>
                <w:sz w:val="24"/>
              </w:rPr>
              <w:t>月</w:t>
            </w:r>
            <w:r>
              <w:rPr>
                <w:rFonts w:hint="eastAsia"/>
                <w:b/>
                <w:color w:val="000000"/>
                <w:sz w:val="24"/>
              </w:rPr>
              <w:t>12</w:t>
            </w:r>
            <w:r>
              <w:rPr>
                <w:rFonts w:hint="eastAsia"/>
                <w:b/>
                <w:color w:val="000000"/>
                <w:sz w:val="24"/>
              </w:rPr>
              <w:t>日</w:t>
            </w:r>
          </w:p>
        </w:tc>
      </w:tr>
      <w:tr w:rsidR="006C6AF2" w:rsidRPr="000B1947" w:rsidTr="006032C2">
        <w:trPr>
          <w:jc w:val="center"/>
        </w:trPr>
        <w:tc>
          <w:tcPr>
            <w:tcW w:w="3878" w:type="dxa"/>
            <w:vAlign w:val="center"/>
          </w:tcPr>
          <w:p w:rsidR="006C6AF2" w:rsidRPr="000B1947" w:rsidRDefault="006C6AF2" w:rsidP="006032C2">
            <w:pPr>
              <w:pStyle w:val="a6"/>
              <w:spacing w:beforeAutospacing="0" w:after="0" w:afterAutospacing="0"/>
              <w:rPr>
                <w:b/>
                <w:color w:val="000000"/>
              </w:rPr>
            </w:pPr>
            <w:r w:rsidRPr="000B1947">
              <w:rPr>
                <w:rFonts w:hint="eastAsia"/>
                <w:b/>
                <w:color w:val="000000"/>
              </w:rPr>
              <w:t>负 债：</w:t>
            </w:r>
          </w:p>
        </w:tc>
        <w:tc>
          <w:tcPr>
            <w:tcW w:w="4114" w:type="dxa"/>
            <w:vAlign w:val="center"/>
          </w:tcPr>
          <w:p w:rsidR="006C6AF2" w:rsidRPr="000B1947" w:rsidRDefault="006C6AF2" w:rsidP="006032C2">
            <w:pPr>
              <w:widowControl/>
              <w:autoSpaceDE w:val="0"/>
              <w:autoSpaceDN w:val="0"/>
              <w:spacing w:before="100"/>
              <w:ind w:right="-15"/>
              <w:jc w:val="right"/>
              <w:textAlignment w:val="bottom"/>
              <w:rPr>
                <w:color w:val="000000"/>
                <w:sz w:val="24"/>
              </w:rPr>
            </w:pPr>
          </w:p>
        </w:tc>
      </w:tr>
      <w:tr w:rsidR="00FF24AC" w:rsidRPr="000B1947" w:rsidTr="006032C2">
        <w:trPr>
          <w:jc w:val="center"/>
        </w:trPr>
        <w:tc>
          <w:tcPr>
            <w:tcW w:w="3878" w:type="dxa"/>
            <w:tcBorders>
              <w:top w:val="single" w:sz="4" w:space="0" w:color="auto"/>
              <w:left w:val="single" w:sz="4" w:space="0" w:color="auto"/>
              <w:bottom w:val="single" w:sz="4" w:space="0" w:color="auto"/>
              <w:right w:val="single" w:sz="4" w:space="0" w:color="auto"/>
            </w:tcBorders>
          </w:tcPr>
          <w:p w:rsidR="00FF24AC" w:rsidRDefault="00FF24AC">
            <w:pPr>
              <w:rPr>
                <w:rFonts w:ascii="宋体" w:hAnsi="宋体" w:cs="宋体"/>
                <w:color w:val="000000"/>
                <w:sz w:val="22"/>
                <w:szCs w:val="22"/>
              </w:rPr>
            </w:pPr>
            <w:r>
              <w:rPr>
                <w:rFonts w:hint="eastAsia"/>
                <w:color w:val="000000"/>
                <w:sz w:val="22"/>
                <w:szCs w:val="22"/>
              </w:rPr>
              <w:t>应付赎回款</w:t>
            </w:r>
          </w:p>
        </w:tc>
        <w:tc>
          <w:tcPr>
            <w:tcW w:w="4114" w:type="dxa"/>
            <w:tcBorders>
              <w:top w:val="single" w:sz="4" w:space="0" w:color="auto"/>
              <w:left w:val="single" w:sz="4" w:space="0" w:color="auto"/>
              <w:bottom w:val="single" w:sz="4" w:space="0" w:color="auto"/>
              <w:right w:val="single" w:sz="4" w:space="0" w:color="auto"/>
            </w:tcBorders>
            <w:vAlign w:val="bottom"/>
          </w:tcPr>
          <w:p w:rsidR="00982BD3" w:rsidRDefault="00982BD3" w:rsidP="00982BD3">
            <w:pPr>
              <w:jc w:val="right"/>
              <w:rPr>
                <w:rFonts w:ascii="宋体" w:hAnsi="宋体" w:cs="宋体"/>
                <w:color w:val="000000"/>
                <w:sz w:val="22"/>
                <w:szCs w:val="22"/>
              </w:rPr>
            </w:pPr>
            <w:r>
              <w:rPr>
                <w:rFonts w:hint="eastAsia"/>
                <w:color w:val="000000"/>
                <w:sz w:val="22"/>
                <w:szCs w:val="22"/>
              </w:rPr>
              <w:t>35,950.22</w:t>
            </w:r>
          </w:p>
          <w:p w:rsidR="00FF24AC" w:rsidRDefault="00FF24AC">
            <w:pPr>
              <w:jc w:val="right"/>
              <w:rPr>
                <w:rFonts w:ascii="宋体" w:hAnsi="宋体" w:cs="宋体"/>
                <w:color w:val="000000"/>
                <w:sz w:val="22"/>
                <w:szCs w:val="22"/>
              </w:rPr>
            </w:pPr>
          </w:p>
        </w:tc>
      </w:tr>
      <w:tr w:rsidR="00982BD3" w:rsidRPr="000B1947" w:rsidTr="001B1313">
        <w:trPr>
          <w:jc w:val="center"/>
        </w:trPr>
        <w:tc>
          <w:tcPr>
            <w:tcW w:w="3878" w:type="dxa"/>
            <w:tcBorders>
              <w:top w:val="single" w:sz="4" w:space="0" w:color="auto"/>
              <w:left w:val="single" w:sz="4" w:space="0" w:color="auto"/>
              <w:bottom w:val="single" w:sz="4" w:space="0" w:color="auto"/>
              <w:right w:val="single" w:sz="4" w:space="0" w:color="auto"/>
            </w:tcBorders>
          </w:tcPr>
          <w:p w:rsidR="00982BD3" w:rsidRDefault="00982BD3" w:rsidP="00272C8B">
            <w:pPr>
              <w:rPr>
                <w:rFonts w:ascii="宋体" w:hAnsi="宋体" w:cs="宋体"/>
                <w:color w:val="000000"/>
                <w:sz w:val="22"/>
                <w:szCs w:val="22"/>
              </w:rPr>
            </w:pPr>
            <w:r>
              <w:rPr>
                <w:rFonts w:hint="eastAsia"/>
                <w:color w:val="000000"/>
                <w:sz w:val="22"/>
                <w:szCs w:val="22"/>
              </w:rPr>
              <w:t>应付证券清算款</w:t>
            </w:r>
          </w:p>
        </w:tc>
        <w:tc>
          <w:tcPr>
            <w:tcW w:w="4114" w:type="dxa"/>
            <w:tcBorders>
              <w:top w:val="single" w:sz="4" w:space="0" w:color="auto"/>
              <w:left w:val="single" w:sz="4" w:space="0" w:color="auto"/>
              <w:bottom w:val="single" w:sz="4" w:space="0" w:color="auto"/>
              <w:right w:val="single" w:sz="4" w:space="0" w:color="auto"/>
            </w:tcBorders>
            <w:vAlign w:val="bottom"/>
          </w:tcPr>
          <w:p w:rsidR="00982BD3" w:rsidRDefault="00982BD3" w:rsidP="00982BD3">
            <w:pPr>
              <w:jc w:val="right"/>
              <w:rPr>
                <w:rFonts w:ascii="宋体" w:hAnsi="宋体" w:cs="宋体"/>
                <w:color w:val="000000"/>
                <w:sz w:val="22"/>
                <w:szCs w:val="22"/>
              </w:rPr>
            </w:pPr>
            <w:r>
              <w:rPr>
                <w:rFonts w:hint="eastAsia"/>
                <w:color w:val="000000"/>
                <w:sz w:val="22"/>
                <w:szCs w:val="22"/>
              </w:rPr>
              <w:t>800,000</w:t>
            </w:r>
            <w:r w:rsidR="0054069E">
              <w:rPr>
                <w:rFonts w:hint="eastAsia"/>
                <w:color w:val="000000"/>
                <w:sz w:val="22"/>
                <w:szCs w:val="22"/>
              </w:rPr>
              <w:t>.00</w:t>
            </w:r>
          </w:p>
        </w:tc>
      </w:tr>
      <w:tr w:rsidR="00F8525F" w:rsidRPr="000B1947" w:rsidTr="00CE3A45">
        <w:trPr>
          <w:jc w:val="center"/>
        </w:trPr>
        <w:tc>
          <w:tcPr>
            <w:tcW w:w="3878" w:type="dxa"/>
            <w:tcBorders>
              <w:top w:val="single" w:sz="4" w:space="0" w:color="auto"/>
              <w:left w:val="single" w:sz="4" w:space="0" w:color="auto"/>
              <w:bottom w:val="single" w:sz="4" w:space="0" w:color="auto"/>
              <w:right w:val="single" w:sz="4" w:space="0" w:color="auto"/>
            </w:tcBorders>
          </w:tcPr>
          <w:p w:rsidR="00F8525F" w:rsidRDefault="00F8525F">
            <w:pPr>
              <w:rPr>
                <w:rFonts w:ascii="宋体" w:hAnsi="宋体" w:cs="宋体"/>
                <w:color w:val="000000"/>
                <w:sz w:val="22"/>
                <w:szCs w:val="22"/>
              </w:rPr>
            </w:pPr>
            <w:r>
              <w:rPr>
                <w:rFonts w:hint="eastAsia"/>
                <w:color w:val="000000"/>
                <w:sz w:val="22"/>
                <w:szCs w:val="22"/>
              </w:rPr>
              <w:t>应付管理人报酬</w:t>
            </w:r>
          </w:p>
        </w:tc>
        <w:tc>
          <w:tcPr>
            <w:tcW w:w="4114" w:type="dxa"/>
            <w:tcBorders>
              <w:top w:val="single" w:sz="4" w:space="0" w:color="auto"/>
              <w:left w:val="single" w:sz="4" w:space="0" w:color="auto"/>
              <w:bottom w:val="single" w:sz="4" w:space="0" w:color="auto"/>
              <w:right w:val="single" w:sz="4" w:space="0" w:color="auto"/>
            </w:tcBorders>
          </w:tcPr>
          <w:p w:rsidR="00F8525F" w:rsidRDefault="00982BD3" w:rsidP="00982BD3">
            <w:pPr>
              <w:jc w:val="right"/>
              <w:rPr>
                <w:rFonts w:ascii="宋体" w:hAnsi="宋体" w:cs="宋体"/>
                <w:color w:val="000000"/>
                <w:sz w:val="22"/>
                <w:szCs w:val="22"/>
              </w:rPr>
            </w:pPr>
            <w:r>
              <w:rPr>
                <w:rFonts w:hint="eastAsia"/>
                <w:color w:val="000000"/>
                <w:sz w:val="22"/>
                <w:szCs w:val="22"/>
              </w:rPr>
              <w:t>2,993.96</w:t>
            </w:r>
          </w:p>
        </w:tc>
      </w:tr>
      <w:tr w:rsidR="00F8525F" w:rsidRPr="000B1947" w:rsidTr="00CE3A45">
        <w:trPr>
          <w:jc w:val="center"/>
        </w:trPr>
        <w:tc>
          <w:tcPr>
            <w:tcW w:w="3878" w:type="dxa"/>
            <w:tcBorders>
              <w:top w:val="single" w:sz="4" w:space="0" w:color="auto"/>
              <w:left w:val="single" w:sz="4" w:space="0" w:color="auto"/>
              <w:bottom w:val="single" w:sz="4" w:space="0" w:color="auto"/>
              <w:right w:val="single" w:sz="4" w:space="0" w:color="auto"/>
            </w:tcBorders>
          </w:tcPr>
          <w:p w:rsidR="00F8525F" w:rsidRDefault="00F8525F">
            <w:pPr>
              <w:rPr>
                <w:rFonts w:ascii="宋体" w:hAnsi="宋体" w:cs="宋体"/>
                <w:color w:val="000000"/>
                <w:sz w:val="22"/>
                <w:szCs w:val="22"/>
              </w:rPr>
            </w:pPr>
            <w:r>
              <w:rPr>
                <w:rFonts w:hint="eastAsia"/>
                <w:color w:val="000000"/>
                <w:sz w:val="22"/>
                <w:szCs w:val="22"/>
              </w:rPr>
              <w:t>应付托管费</w:t>
            </w:r>
          </w:p>
        </w:tc>
        <w:tc>
          <w:tcPr>
            <w:tcW w:w="4114" w:type="dxa"/>
            <w:tcBorders>
              <w:top w:val="single" w:sz="4" w:space="0" w:color="auto"/>
              <w:left w:val="single" w:sz="4" w:space="0" w:color="auto"/>
              <w:bottom w:val="single" w:sz="4" w:space="0" w:color="auto"/>
              <w:right w:val="single" w:sz="4" w:space="0" w:color="auto"/>
            </w:tcBorders>
          </w:tcPr>
          <w:p w:rsidR="00F8525F" w:rsidRDefault="00982BD3">
            <w:pPr>
              <w:jc w:val="right"/>
              <w:rPr>
                <w:rFonts w:ascii="宋体" w:hAnsi="宋体" w:cs="宋体"/>
                <w:color w:val="000000"/>
                <w:sz w:val="22"/>
                <w:szCs w:val="22"/>
              </w:rPr>
            </w:pPr>
            <w:r w:rsidRPr="00982BD3">
              <w:rPr>
                <w:rFonts w:ascii="宋体" w:hAnsi="宋体" w:cs="宋体"/>
                <w:color w:val="000000"/>
                <w:sz w:val="22"/>
                <w:szCs w:val="22"/>
              </w:rPr>
              <w:t>499.01</w:t>
            </w:r>
          </w:p>
        </w:tc>
      </w:tr>
      <w:tr w:rsidR="00FF24AC" w:rsidRPr="000B1947" w:rsidTr="006032C2">
        <w:trPr>
          <w:jc w:val="center"/>
        </w:trPr>
        <w:tc>
          <w:tcPr>
            <w:tcW w:w="3878" w:type="dxa"/>
            <w:tcBorders>
              <w:top w:val="single" w:sz="4" w:space="0" w:color="auto"/>
              <w:left w:val="single" w:sz="4" w:space="0" w:color="auto"/>
              <w:bottom w:val="single" w:sz="4" w:space="0" w:color="auto"/>
              <w:right w:val="single" w:sz="4" w:space="0" w:color="auto"/>
            </w:tcBorders>
          </w:tcPr>
          <w:p w:rsidR="00FF24AC" w:rsidRDefault="00FF24AC">
            <w:pPr>
              <w:rPr>
                <w:rFonts w:ascii="宋体" w:hAnsi="宋体" w:cs="宋体"/>
                <w:color w:val="000000"/>
                <w:sz w:val="22"/>
                <w:szCs w:val="22"/>
              </w:rPr>
            </w:pPr>
            <w:r>
              <w:rPr>
                <w:rFonts w:hint="eastAsia"/>
                <w:color w:val="000000"/>
                <w:sz w:val="22"/>
                <w:szCs w:val="22"/>
              </w:rPr>
              <w:t>其他负债</w:t>
            </w:r>
          </w:p>
        </w:tc>
        <w:tc>
          <w:tcPr>
            <w:tcW w:w="4114" w:type="dxa"/>
            <w:tcBorders>
              <w:top w:val="single" w:sz="4" w:space="0" w:color="auto"/>
              <w:left w:val="single" w:sz="4" w:space="0" w:color="auto"/>
              <w:bottom w:val="single" w:sz="4" w:space="0" w:color="auto"/>
              <w:right w:val="single" w:sz="4" w:space="0" w:color="auto"/>
            </w:tcBorders>
            <w:vAlign w:val="bottom"/>
          </w:tcPr>
          <w:p w:rsidR="00982BD3" w:rsidRDefault="00982BD3" w:rsidP="00982BD3">
            <w:pPr>
              <w:jc w:val="right"/>
              <w:rPr>
                <w:rFonts w:ascii="宋体" w:hAnsi="宋体" w:cs="宋体"/>
                <w:color w:val="000000"/>
                <w:sz w:val="22"/>
                <w:szCs w:val="22"/>
              </w:rPr>
            </w:pPr>
            <w:r>
              <w:rPr>
                <w:rFonts w:hint="eastAsia"/>
                <w:color w:val="000000"/>
                <w:sz w:val="22"/>
                <w:szCs w:val="22"/>
              </w:rPr>
              <w:t>169,578.84</w:t>
            </w:r>
          </w:p>
          <w:p w:rsidR="00FF24AC" w:rsidRDefault="00FF24AC">
            <w:pPr>
              <w:jc w:val="right"/>
              <w:rPr>
                <w:rFonts w:ascii="宋体" w:hAnsi="宋体" w:cs="宋体"/>
                <w:color w:val="000000"/>
                <w:sz w:val="22"/>
                <w:szCs w:val="22"/>
              </w:rPr>
            </w:pPr>
          </w:p>
        </w:tc>
      </w:tr>
      <w:tr w:rsidR="00FF24AC" w:rsidRPr="000B1947" w:rsidTr="006032C2">
        <w:trPr>
          <w:jc w:val="center"/>
        </w:trPr>
        <w:tc>
          <w:tcPr>
            <w:tcW w:w="3878" w:type="dxa"/>
            <w:tcBorders>
              <w:top w:val="single" w:sz="4" w:space="0" w:color="auto"/>
              <w:left w:val="single" w:sz="4" w:space="0" w:color="auto"/>
              <w:bottom w:val="single" w:sz="4" w:space="0" w:color="auto"/>
              <w:right w:val="single" w:sz="4" w:space="0" w:color="auto"/>
            </w:tcBorders>
            <w:vAlign w:val="center"/>
          </w:tcPr>
          <w:p w:rsidR="00FF24AC" w:rsidRPr="000B1947" w:rsidRDefault="00FF24AC" w:rsidP="006032C2">
            <w:pPr>
              <w:pStyle w:val="a6"/>
              <w:spacing w:beforeAutospacing="0" w:after="0" w:afterAutospacing="0"/>
              <w:rPr>
                <w:color w:val="000000"/>
              </w:rPr>
            </w:pPr>
            <w:r w:rsidRPr="000B1947">
              <w:rPr>
                <w:rFonts w:hint="eastAsia"/>
                <w:color w:val="000000"/>
              </w:rPr>
              <w:t>负债合计</w:t>
            </w:r>
          </w:p>
        </w:tc>
        <w:tc>
          <w:tcPr>
            <w:tcW w:w="4114" w:type="dxa"/>
            <w:tcBorders>
              <w:top w:val="single" w:sz="4" w:space="0" w:color="auto"/>
              <w:left w:val="single" w:sz="4" w:space="0" w:color="auto"/>
              <w:bottom w:val="single" w:sz="4" w:space="0" w:color="auto"/>
              <w:right w:val="single" w:sz="4" w:space="0" w:color="auto"/>
            </w:tcBorders>
            <w:vAlign w:val="bottom"/>
          </w:tcPr>
          <w:p w:rsidR="00FF24AC" w:rsidRDefault="00982BD3" w:rsidP="00982BD3">
            <w:pPr>
              <w:jc w:val="right"/>
              <w:rPr>
                <w:rFonts w:ascii="宋体" w:hAnsi="宋体" w:cs="宋体"/>
                <w:color w:val="000000"/>
                <w:sz w:val="22"/>
                <w:szCs w:val="22"/>
              </w:rPr>
            </w:pPr>
            <w:r>
              <w:rPr>
                <w:rFonts w:hint="eastAsia"/>
                <w:color w:val="000000"/>
                <w:sz w:val="22"/>
                <w:szCs w:val="22"/>
              </w:rPr>
              <w:t>1,009,022.03</w:t>
            </w:r>
          </w:p>
        </w:tc>
      </w:tr>
      <w:tr w:rsidR="006C6AF2" w:rsidRPr="000B1947" w:rsidTr="006032C2">
        <w:trPr>
          <w:jc w:val="center"/>
        </w:trPr>
        <w:tc>
          <w:tcPr>
            <w:tcW w:w="3878" w:type="dxa"/>
            <w:tcBorders>
              <w:top w:val="single" w:sz="4" w:space="0" w:color="auto"/>
              <w:left w:val="single" w:sz="4" w:space="0" w:color="auto"/>
              <w:bottom w:val="single" w:sz="4" w:space="0" w:color="auto"/>
              <w:right w:val="single" w:sz="4" w:space="0" w:color="auto"/>
            </w:tcBorders>
            <w:vAlign w:val="center"/>
          </w:tcPr>
          <w:p w:rsidR="006C6AF2" w:rsidRPr="009362A9" w:rsidRDefault="006C6AF2" w:rsidP="006032C2">
            <w:pPr>
              <w:pStyle w:val="a6"/>
              <w:spacing w:beforeAutospacing="0" w:after="0" w:afterAutospacing="0"/>
              <w:rPr>
                <w:b/>
                <w:color w:val="000000"/>
              </w:rPr>
            </w:pPr>
            <w:r w:rsidRPr="009362A9">
              <w:rPr>
                <w:rFonts w:hint="eastAsia"/>
                <w:b/>
                <w:color w:val="000000"/>
              </w:rPr>
              <w:t>所有者权益：</w:t>
            </w:r>
          </w:p>
        </w:tc>
        <w:tc>
          <w:tcPr>
            <w:tcW w:w="4114" w:type="dxa"/>
            <w:tcBorders>
              <w:top w:val="single" w:sz="4" w:space="0" w:color="auto"/>
              <w:left w:val="single" w:sz="4" w:space="0" w:color="auto"/>
              <w:bottom w:val="single" w:sz="4" w:space="0" w:color="auto"/>
              <w:right w:val="single" w:sz="4" w:space="0" w:color="auto"/>
            </w:tcBorders>
            <w:vAlign w:val="center"/>
          </w:tcPr>
          <w:p w:rsidR="006C6AF2" w:rsidRPr="009362A9" w:rsidRDefault="006C6AF2" w:rsidP="006032C2">
            <w:pPr>
              <w:widowControl/>
              <w:autoSpaceDE w:val="0"/>
              <w:autoSpaceDN w:val="0"/>
              <w:spacing w:before="100"/>
              <w:ind w:right="-15"/>
              <w:jc w:val="right"/>
              <w:textAlignment w:val="bottom"/>
              <w:rPr>
                <w:color w:val="000000"/>
                <w:sz w:val="24"/>
              </w:rPr>
            </w:pPr>
          </w:p>
        </w:tc>
      </w:tr>
      <w:tr w:rsidR="00982BD3" w:rsidRPr="000B1947" w:rsidTr="006032C2">
        <w:trPr>
          <w:jc w:val="center"/>
        </w:trPr>
        <w:tc>
          <w:tcPr>
            <w:tcW w:w="3878" w:type="dxa"/>
            <w:tcBorders>
              <w:top w:val="single" w:sz="4" w:space="0" w:color="auto"/>
              <w:left w:val="single" w:sz="4" w:space="0" w:color="auto"/>
              <w:bottom w:val="single" w:sz="4" w:space="0" w:color="auto"/>
              <w:right w:val="single" w:sz="4" w:space="0" w:color="auto"/>
            </w:tcBorders>
          </w:tcPr>
          <w:p w:rsidR="00982BD3" w:rsidRDefault="00982BD3">
            <w:pPr>
              <w:rPr>
                <w:rFonts w:ascii="宋体" w:hAnsi="宋体" w:cs="宋体"/>
                <w:color w:val="000000"/>
                <w:sz w:val="22"/>
                <w:szCs w:val="22"/>
              </w:rPr>
            </w:pPr>
            <w:r>
              <w:rPr>
                <w:rFonts w:hint="eastAsia"/>
                <w:color w:val="000000"/>
                <w:sz w:val="22"/>
                <w:szCs w:val="22"/>
              </w:rPr>
              <w:t>实收基金</w:t>
            </w:r>
          </w:p>
        </w:tc>
        <w:tc>
          <w:tcPr>
            <w:tcW w:w="4114" w:type="dxa"/>
            <w:tcBorders>
              <w:top w:val="single" w:sz="4" w:space="0" w:color="auto"/>
              <w:left w:val="single" w:sz="4" w:space="0" w:color="auto"/>
              <w:bottom w:val="single" w:sz="4" w:space="0" w:color="auto"/>
              <w:right w:val="single" w:sz="4" w:space="0" w:color="auto"/>
            </w:tcBorders>
            <w:vAlign w:val="bottom"/>
          </w:tcPr>
          <w:p w:rsidR="00982BD3" w:rsidRDefault="00982BD3">
            <w:pPr>
              <w:jc w:val="right"/>
              <w:rPr>
                <w:rFonts w:ascii="宋体" w:hAnsi="宋体" w:cs="宋体"/>
                <w:color w:val="000000"/>
                <w:sz w:val="22"/>
                <w:szCs w:val="22"/>
              </w:rPr>
            </w:pPr>
            <w:r>
              <w:rPr>
                <w:rFonts w:hint="eastAsia"/>
                <w:color w:val="000000"/>
                <w:sz w:val="22"/>
                <w:szCs w:val="22"/>
              </w:rPr>
              <w:t>3,668,631.98</w:t>
            </w:r>
          </w:p>
        </w:tc>
      </w:tr>
      <w:tr w:rsidR="00982BD3" w:rsidRPr="000B1947" w:rsidTr="006032C2">
        <w:trPr>
          <w:jc w:val="center"/>
        </w:trPr>
        <w:tc>
          <w:tcPr>
            <w:tcW w:w="3878" w:type="dxa"/>
            <w:tcBorders>
              <w:top w:val="single" w:sz="4" w:space="0" w:color="auto"/>
              <w:left w:val="single" w:sz="4" w:space="0" w:color="auto"/>
              <w:bottom w:val="single" w:sz="4" w:space="0" w:color="auto"/>
              <w:right w:val="single" w:sz="4" w:space="0" w:color="auto"/>
            </w:tcBorders>
          </w:tcPr>
          <w:p w:rsidR="00982BD3" w:rsidRDefault="00982BD3">
            <w:pPr>
              <w:rPr>
                <w:rFonts w:ascii="宋体" w:hAnsi="宋体" w:cs="宋体"/>
                <w:color w:val="000000"/>
                <w:sz w:val="22"/>
                <w:szCs w:val="22"/>
              </w:rPr>
            </w:pPr>
            <w:r>
              <w:rPr>
                <w:rFonts w:hint="eastAsia"/>
                <w:color w:val="000000"/>
                <w:sz w:val="22"/>
                <w:szCs w:val="22"/>
              </w:rPr>
              <w:t>未分配利润</w:t>
            </w:r>
          </w:p>
        </w:tc>
        <w:tc>
          <w:tcPr>
            <w:tcW w:w="4114" w:type="dxa"/>
            <w:tcBorders>
              <w:top w:val="single" w:sz="4" w:space="0" w:color="auto"/>
              <w:left w:val="single" w:sz="4" w:space="0" w:color="auto"/>
              <w:bottom w:val="single" w:sz="4" w:space="0" w:color="auto"/>
              <w:right w:val="single" w:sz="4" w:space="0" w:color="auto"/>
            </w:tcBorders>
            <w:vAlign w:val="bottom"/>
          </w:tcPr>
          <w:p w:rsidR="00982BD3" w:rsidRDefault="00982BD3">
            <w:pPr>
              <w:jc w:val="right"/>
              <w:rPr>
                <w:rFonts w:ascii="宋体" w:hAnsi="宋体" w:cs="宋体"/>
                <w:color w:val="000000"/>
                <w:sz w:val="22"/>
                <w:szCs w:val="22"/>
              </w:rPr>
            </w:pPr>
            <w:r>
              <w:rPr>
                <w:rFonts w:hint="eastAsia"/>
                <w:color w:val="000000"/>
                <w:sz w:val="22"/>
                <w:szCs w:val="22"/>
              </w:rPr>
              <w:t>81,372.88</w:t>
            </w:r>
          </w:p>
        </w:tc>
      </w:tr>
      <w:tr w:rsidR="00982BD3" w:rsidRPr="000B1947" w:rsidTr="006032C2">
        <w:trPr>
          <w:jc w:val="center"/>
        </w:trPr>
        <w:tc>
          <w:tcPr>
            <w:tcW w:w="3878" w:type="dxa"/>
            <w:tcBorders>
              <w:top w:val="single" w:sz="4" w:space="0" w:color="auto"/>
              <w:left w:val="single" w:sz="4" w:space="0" w:color="auto"/>
              <w:bottom w:val="single" w:sz="4" w:space="0" w:color="auto"/>
              <w:right w:val="single" w:sz="4" w:space="0" w:color="auto"/>
            </w:tcBorders>
          </w:tcPr>
          <w:p w:rsidR="00982BD3" w:rsidRPr="009362A9" w:rsidRDefault="00982BD3" w:rsidP="006032C2">
            <w:pPr>
              <w:pStyle w:val="a6"/>
              <w:spacing w:beforeAutospacing="0" w:after="0" w:afterAutospacing="0"/>
              <w:rPr>
                <w:color w:val="000000"/>
              </w:rPr>
            </w:pPr>
            <w:r w:rsidRPr="00840B2A">
              <w:rPr>
                <w:rFonts w:hint="eastAsia"/>
                <w:color w:val="000000"/>
              </w:rPr>
              <w:t>所有者权益合计</w:t>
            </w:r>
          </w:p>
        </w:tc>
        <w:tc>
          <w:tcPr>
            <w:tcW w:w="4114" w:type="dxa"/>
            <w:tcBorders>
              <w:top w:val="single" w:sz="4" w:space="0" w:color="auto"/>
              <w:left w:val="single" w:sz="4" w:space="0" w:color="auto"/>
              <w:bottom w:val="single" w:sz="4" w:space="0" w:color="auto"/>
              <w:right w:val="single" w:sz="4" w:space="0" w:color="auto"/>
            </w:tcBorders>
            <w:vAlign w:val="bottom"/>
          </w:tcPr>
          <w:p w:rsidR="00982BD3" w:rsidRDefault="00982BD3">
            <w:pPr>
              <w:jc w:val="right"/>
              <w:rPr>
                <w:rFonts w:ascii="宋体" w:hAnsi="宋体" w:cs="宋体"/>
                <w:color w:val="000000"/>
                <w:sz w:val="22"/>
                <w:szCs w:val="22"/>
              </w:rPr>
            </w:pPr>
            <w:r>
              <w:rPr>
                <w:rFonts w:hint="eastAsia"/>
                <w:color w:val="000000"/>
                <w:sz w:val="22"/>
                <w:szCs w:val="22"/>
              </w:rPr>
              <w:t>3,750,004.86</w:t>
            </w:r>
          </w:p>
        </w:tc>
      </w:tr>
      <w:tr w:rsidR="008D1A13" w:rsidRPr="000B1947" w:rsidTr="006032C2">
        <w:trPr>
          <w:jc w:val="center"/>
        </w:trPr>
        <w:tc>
          <w:tcPr>
            <w:tcW w:w="3878" w:type="dxa"/>
            <w:tcBorders>
              <w:top w:val="single" w:sz="4" w:space="0" w:color="auto"/>
              <w:left w:val="single" w:sz="4" w:space="0" w:color="auto"/>
              <w:bottom w:val="single" w:sz="4" w:space="0" w:color="auto"/>
              <w:right w:val="single" w:sz="4" w:space="0" w:color="auto"/>
            </w:tcBorders>
            <w:vAlign w:val="center"/>
          </w:tcPr>
          <w:p w:rsidR="008D1A13" w:rsidRPr="009362A9" w:rsidRDefault="008D1A13" w:rsidP="006032C2">
            <w:pPr>
              <w:pStyle w:val="a6"/>
              <w:spacing w:beforeAutospacing="0" w:after="0" w:afterAutospacing="0"/>
              <w:rPr>
                <w:color w:val="000000"/>
              </w:rPr>
            </w:pPr>
            <w:r w:rsidRPr="009362A9">
              <w:rPr>
                <w:rFonts w:hint="eastAsia"/>
                <w:color w:val="000000"/>
              </w:rPr>
              <w:t>负债和所有者权益总计</w:t>
            </w:r>
          </w:p>
        </w:tc>
        <w:tc>
          <w:tcPr>
            <w:tcW w:w="4114" w:type="dxa"/>
            <w:tcBorders>
              <w:top w:val="single" w:sz="4" w:space="0" w:color="auto"/>
              <w:left w:val="single" w:sz="4" w:space="0" w:color="auto"/>
              <w:bottom w:val="single" w:sz="4" w:space="0" w:color="auto"/>
              <w:right w:val="single" w:sz="4" w:space="0" w:color="auto"/>
            </w:tcBorders>
            <w:vAlign w:val="bottom"/>
          </w:tcPr>
          <w:p w:rsidR="008D1A13" w:rsidRDefault="00982BD3" w:rsidP="00982BD3">
            <w:pPr>
              <w:jc w:val="right"/>
              <w:rPr>
                <w:rFonts w:ascii="宋体" w:hAnsi="宋体" w:cs="宋体"/>
                <w:color w:val="000000"/>
                <w:sz w:val="22"/>
                <w:szCs w:val="22"/>
              </w:rPr>
            </w:pPr>
            <w:r>
              <w:rPr>
                <w:rFonts w:hint="eastAsia"/>
                <w:color w:val="000000"/>
                <w:sz w:val="22"/>
                <w:szCs w:val="22"/>
              </w:rPr>
              <w:t>4,759,026.89</w:t>
            </w:r>
          </w:p>
        </w:tc>
      </w:tr>
    </w:tbl>
    <w:p w:rsidR="006C6AF2" w:rsidRPr="000C564B" w:rsidRDefault="006C6AF2" w:rsidP="009D163B">
      <w:pPr>
        <w:spacing w:before="100" w:line="360" w:lineRule="auto"/>
        <w:ind w:firstLineChars="200" w:firstLine="480"/>
        <w:rPr>
          <w:rFonts w:ascii="宋体" w:hAnsi="宋体"/>
          <w:color w:val="FF0000"/>
          <w:kern w:val="0"/>
          <w:sz w:val="24"/>
        </w:rPr>
      </w:pPr>
      <w:r w:rsidRPr="009D163B">
        <w:rPr>
          <w:rFonts w:hint="eastAsia"/>
          <w:bCs/>
          <w:color w:val="000000"/>
          <w:sz w:val="24"/>
        </w:rPr>
        <w:t>注：本财务报告已</w:t>
      </w:r>
      <w:r w:rsidR="00686A9A" w:rsidRPr="009D163B">
        <w:rPr>
          <w:bCs/>
          <w:color w:val="000000"/>
          <w:sz w:val="24"/>
        </w:rPr>
        <w:t>经</w:t>
      </w:r>
      <w:r w:rsidR="00686A9A" w:rsidRPr="009D163B">
        <w:rPr>
          <w:rFonts w:hint="eastAsia"/>
          <w:bCs/>
          <w:color w:val="000000"/>
          <w:sz w:val="24"/>
        </w:rPr>
        <w:t>安永华明会计师事务所</w:t>
      </w:r>
      <w:r w:rsidR="00686A9A" w:rsidRPr="009D163B">
        <w:rPr>
          <w:bCs/>
          <w:color w:val="000000"/>
          <w:sz w:val="24"/>
        </w:rPr>
        <w:t>（特殊普通合伙）</w:t>
      </w:r>
      <w:r w:rsidRPr="009D163B">
        <w:rPr>
          <w:rFonts w:hint="eastAsia"/>
          <w:bCs/>
          <w:color w:val="000000"/>
          <w:sz w:val="24"/>
        </w:rPr>
        <w:t>审计，注册会计师</w:t>
      </w:r>
      <w:r w:rsidR="001514D5" w:rsidRPr="009D163B">
        <w:rPr>
          <w:rFonts w:hint="eastAsia"/>
          <w:bCs/>
          <w:color w:val="000000"/>
          <w:sz w:val="24"/>
        </w:rPr>
        <w:t>蒋燕华、</w:t>
      </w:r>
      <w:r w:rsidR="009D163B" w:rsidRPr="009D163B">
        <w:rPr>
          <w:rFonts w:hint="eastAsia"/>
          <w:bCs/>
          <w:color w:val="000000"/>
          <w:sz w:val="24"/>
        </w:rPr>
        <w:t>费泽旭</w:t>
      </w:r>
      <w:r w:rsidRPr="009D163B">
        <w:rPr>
          <w:rFonts w:hint="eastAsia"/>
          <w:bCs/>
          <w:color w:val="000000"/>
          <w:sz w:val="24"/>
        </w:rPr>
        <w:t>签字出具了</w:t>
      </w:r>
      <w:r w:rsidR="00900C03" w:rsidRPr="009D163B">
        <w:rPr>
          <w:rFonts w:hint="eastAsia"/>
          <w:bCs/>
          <w:color w:val="000000"/>
          <w:sz w:val="24"/>
        </w:rPr>
        <w:t>安永华明</w:t>
      </w:r>
      <w:r w:rsidR="00900C03" w:rsidRPr="009D163B">
        <w:rPr>
          <w:rFonts w:hint="eastAsia"/>
          <w:bCs/>
          <w:color w:val="000000"/>
          <w:sz w:val="24"/>
        </w:rPr>
        <w:t>(2018)</w:t>
      </w:r>
      <w:r w:rsidR="001514D5" w:rsidRPr="009D163B">
        <w:rPr>
          <w:rFonts w:hint="eastAsia"/>
          <w:bCs/>
          <w:color w:val="000000"/>
          <w:sz w:val="24"/>
        </w:rPr>
        <w:t>专字第</w:t>
      </w:r>
      <w:r w:rsidR="001514D5" w:rsidRPr="009D163B">
        <w:rPr>
          <w:bCs/>
          <w:color w:val="000000"/>
          <w:sz w:val="24"/>
        </w:rPr>
        <w:t>60</w:t>
      </w:r>
      <w:r w:rsidR="009D163B" w:rsidRPr="009D163B">
        <w:rPr>
          <w:rFonts w:hint="eastAsia"/>
          <w:bCs/>
          <w:color w:val="000000"/>
          <w:sz w:val="24"/>
        </w:rPr>
        <w:t>821717</w:t>
      </w:r>
      <w:r w:rsidR="009D163B" w:rsidRPr="009D163B">
        <w:rPr>
          <w:bCs/>
          <w:color w:val="000000"/>
          <w:sz w:val="24"/>
        </w:rPr>
        <w:t>_B0</w:t>
      </w:r>
      <w:r w:rsidR="009D163B" w:rsidRPr="009D163B">
        <w:rPr>
          <w:rFonts w:hint="eastAsia"/>
          <w:bCs/>
          <w:color w:val="000000"/>
          <w:sz w:val="24"/>
        </w:rPr>
        <w:t>1</w:t>
      </w:r>
      <w:r w:rsidR="001514D5" w:rsidRPr="009D163B">
        <w:rPr>
          <w:rFonts w:hint="eastAsia"/>
          <w:bCs/>
          <w:color w:val="000000"/>
          <w:sz w:val="24"/>
        </w:rPr>
        <w:t>号标准无保留意见的审计报告。</w:t>
      </w:r>
    </w:p>
    <w:p w:rsidR="006949B6" w:rsidRDefault="006949B6"/>
    <w:p w:rsidR="006949B6" w:rsidRDefault="006949B6" w:rsidP="00BC629C">
      <w:pPr>
        <w:autoSpaceDE w:val="0"/>
        <w:autoSpaceDN w:val="0"/>
        <w:adjustRightInd w:val="0"/>
        <w:spacing w:before="29" w:line="360" w:lineRule="auto"/>
        <w:ind w:left="15"/>
        <w:jc w:val="center"/>
        <w:rPr>
          <w:b/>
          <w:color w:val="000000"/>
          <w:kern w:val="0"/>
          <w:sz w:val="24"/>
        </w:rPr>
      </w:pPr>
      <w:r w:rsidRPr="009C28F2">
        <w:rPr>
          <w:b/>
          <w:color w:val="000000"/>
          <w:kern w:val="0"/>
          <w:sz w:val="24"/>
        </w:rPr>
        <w:t>§</w:t>
      </w:r>
      <w:r>
        <w:rPr>
          <w:rFonts w:hint="eastAsia"/>
          <w:b/>
          <w:color w:val="000000"/>
          <w:kern w:val="0"/>
          <w:sz w:val="24"/>
        </w:rPr>
        <w:t>5</w:t>
      </w:r>
      <w:r w:rsidRPr="009C28F2">
        <w:rPr>
          <w:b/>
          <w:color w:val="000000"/>
          <w:kern w:val="0"/>
          <w:sz w:val="24"/>
        </w:rPr>
        <w:t xml:space="preserve">  </w:t>
      </w:r>
      <w:r>
        <w:rPr>
          <w:rFonts w:hint="eastAsia"/>
          <w:b/>
          <w:color w:val="000000"/>
          <w:kern w:val="0"/>
          <w:sz w:val="24"/>
        </w:rPr>
        <w:t>基金财产分配</w:t>
      </w:r>
    </w:p>
    <w:p w:rsidR="00BC629C" w:rsidRDefault="00BC629C" w:rsidP="00BC629C">
      <w:pPr>
        <w:autoSpaceDE w:val="0"/>
        <w:autoSpaceDN w:val="0"/>
        <w:adjustRightInd w:val="0"/>
        <w:spacing w:before="29" w:line="360" w:lineRule="auto"/>
        <w:ind w:left="15"/>
        <w:jc w:val="center"/>
        <w:rPr>
          <w:b/>
          <w:color w:val="000000"/>
          <w:kern w:val="0"/>
          <w:sz w:val="24"/>
        </w:rPr>
      </w:pPr>
    </w:p>
    <w:p w:rsidR="006949B6" w:rsidRPr="00194298" w:rsidRDefault="00BC629C" w:rsidP="00194298">
      <w:pPr>
        <w:spacing w:before="100" w:line="360" w:lineRule="auto"/>
        <w:ind w:firstLineChars="200" w:firstLine="480"/>
        <w:rPr>
          <w:bCs/>
          <w:color w:val="000000"/>
          <w:sz w:val="24"/>
        </w:rPr>
      </w:pPr>
      <w:r w:rsidRPr="00194298">
        <w:rPr>
          <w:rFonts w:hint="eastAsia"/>
          <w:bCs/>
          <w:color w:val="000000"/>
          <w:sz w:val="24"/>
        </w:rPr>
        <w:t>自</w:t>
      </w:r>
      <w:r w:rsidRPr="00194298">
        <w:rPr>
          <w:rFonts w:hint="eastAsia"/>
          <w:bCs/>
          <w:color w:val="000000"/>
          <w:sz w:val="24"/>
        </w:rPr>
        <w:t>201</w:t>
      </w:r>
      <w:r w:rsidR="00D209FF" w:rsidRPr="00194298">
        <w:rPr>
          <w:rFonts w:hint="eastAsia"/>
          <w:bCs/>
          <w:color w:val="000000"/>
          <w:sz w:val="24"/>
        </w:rPr>
        <w:t>8</w:t>
      </w:r>
      <w:r w:rsidRPr="00194298">
        <w:rPr>
          <w:rFonts w:hint="eastAsia"/>
          <w:bCs/>
          <w:color w:val="000000"/>
          <w:sz w:val="24"/>
        </w:rPr>
        <w:t>年</w:t>
      </w:r>
      <w:r w:rsidR="00E41628" w:rsidRPr="00194298">
        <w:rPr>
          <w:rFonts w:hint="eastAsia"/>
          <w:bCs/>
          <w:color w:val="000000"/>
          <w:sz w:val="24"/>
        </w:rPr>
        <w:t>8</w:t>
      </w:r>
      <w:r w:rsidRPr="00194298">
        <w:rPr>
          <w:rFonts w:hint="eastAsia"/>
          <w:bCs/>
          <w:color w:val="000000"/>
          <w:sz w:val="24"/>
        </w:rPr>
        <w:t>月</w:t>
      </w:r>
      <w:r w:rsidR="00E41628" w:rsidRPr="00194298">
        <w:rPr>
          <w:rFonts w:hint="eastAsia"/>
          <w:bCs/>
          <w:color w:val="000000"/>
          <w:sz w:val="24"/>
        </w:rPr>
        <w:t>13</w:t>
      </w:r>
      <w:r w:rsidRPr="00194298">
        <w:rPr>
          <w:rFonts w:hint="eastAsia"/>
          <w:bCs/>
          <w:color w:val="000000"/>
          <w:sz w:val="24"/>
        </w:rPr>
        <w:t>日</w:t>
      </w:r>
      <w:r w:rsidR="00BF5AC9">
        <w:rPr>
          <w:rFonts w:hint="eastAsia"/>
          <w:bCs/>
          <w:color w:val="000000"/>
          <w:sz w:val="24"/>
        </w:rPr>
        <w:t>至</w:t>
      </w:r>
      <w:r w:rsidR="00BF5AC9" w:rsidRPr="00194298">
        <w:rPr>
          <w:rFonts w:hint="eastAsia"/>
          <w:bCs/>
          <w:color w:val="000000"/>
          <w:sz w:val="24"/>
        </w:rPr>
        <w:t>2018</w:t>
      </w:r>
      <w:r w:rsidR="00BF5AC9" w:rsidRPr="00194298">
        <w:rPr>
          <w:rFonts w:hint="eastAsia"/>
          <w:bCs/>
          <w:color w:val="000000"/>
          <w:sz w:val="24"/>
        </w:rPr>
        <w:t>年</w:t>
      </w:r>
      <w:r w:rsidR="00BF5AC9" w:rsidRPr="00194298">
        <w:rPr>
          <w:rFonts w:hint="eastAsia"/>
          <w:bCs/>
          <w:color w:val="000000"/>
          <w:sz w:val="24"/>
        </w:rPr>
        <w:t>8</w:t>
      </w:r>
      <w:r w:rsidR="00BF5AC9" w:rsidRPr="00194298">
        <w:rPr>
          <w:rFonts w:hint="eastAsia"/>
          <w:bCs/>
          <w:color w:val="000000"/>
          <w:sz w:val="24"/>
        </w:rPr>
        <w:t>月</w:t>
      </w:r>
      <w:r w:rsidR="00BF5AC9">
        <w:rPr>
          <w:rFonts w:hint="eastAsia"/>
          <w:bCs/>
          <w:color w:val="000000"/>
          <w:sz w:val="24"/>
        </w:rPr>
        <w:t>21</w:t>
      </w:r>
      <w:r w:rsidR="00BF5AC9" w:rsidRPr="00194298">
        <w:rPr>
          <w:rFonts w:hint="eastAsia"/>
          <w:bCs/>
          <w:color w:val="000000"/>
          <w:sz w:val="24"/>
        </w:rPr>
        <w:t>日</w:t>
      </w:r>
      <w:r w:rsidRPr="00194298">
        <w:rPr>
          <w:rFonts w:hint="eastAsia"/>
          <w:bCs/>
          <w:color w:val="000000"/>
          <w:sz w:val="24"/>
        </w:rPr>
        <w:t>止清算期间，基金财产清算小组对本基金的资产、负债进行清算，全部清算工作按清算原则和清算手续进行。具体清算情况如下：</w:t>
      </w:r>
    </w:p>
    <w:p w:rsidR="00BC629C" w:rsidRDefault="00BC629C" w:rsidP="00BC629C">
      <w:pPr>
        <w:spacing w:line="360" w:lineRule="auto"/>
        <w:rPr>
          <w:rFonts w:ascii="宋体" w:hAnsi="宋体"/>
          <w:b/>
          <w:color w:val="000000"/>
          <w:kern w:val="0"/>
          <w:sz w:val="24"/>
        </w:rPr>
      </w:pPr>
      <w:r w:rsidRPr="00BC629C">
        <w:rPr>
          <w:rFonts w:ascii="宋体" w:hAnsi="宋体" w:hint="eastAsia"/>
          <w:b/>
          <w:color w:val="000000"/>
          <w:kern w:val="0"/>
          <w:sz w:val="24"/>
        </w:rPr>
        <w:t>5.1资产处置情况</w:t>
      </w:r>
    </w:p>
    <w:p w:rsidR="00BD74A9" w:rsidRPr="00BD74A9" w:rsidRDefault="00E94AEB" w:rsidP="00BD74A9">
      <w:pPr>
        <w:spacing w:before="100" w:line="360" w:lineRule="auto"/>
        <w:ind w:firstLineChars="200" w:firstLine="480"/>
        <w:rPr>
          <w:bCs/>
          <w:color w:val="000000"/>
          <w:sz w:val="24"/>
        </w:rPr>
      </w:pPr>
      <w:r>
        <w:rPr>
          <w:rFonts w:hint="eastAsia"/>
          <w:bCs/>
          <w:color w:val="000000"/>
          <w:sz w:val="24"/>
        </w:rPr>
        <w:t>5.1.1</w:t>
      </w:r>
      <w:r w:rsidR="00BD74A9" w:rsidRPr="00BD74A9">
        <w:rPr>
          <w:rFonts w:hint="eastAsia"/>
          <w:bCs/>
          <w:color w:val="000000"/>
          <w:sz w:val="24"/>
        </w:rPr>
        <w:t>本基金最后运作日结算备付金为人民币</w:t>
      </w:r>
      <w:r w:rsidR="00BD74A9">
        <w:rPr>
          <w:rFonts w:hint="eastAsia"/>
          <w:color w:val="000000"/>
          <w:sz w:val="22"/>
          <w:szCs w:val="22"/>
        </w:rPr>
        <w:t>220,454.55</w:t>
      </w:r>
      <w:r w:rsidR="00BD74A9" w:rsidRPr="00BD74A9">
        <w:rPr>
          <w:rFonts w:hint="eastAsia"/>
          <w:bCs/>
          <w:color w:val="000000"/>
          <w:sz w:val="24"/>
        </w:rPr>
        <w:t>元，为存放于上海证券交易所</w:t>
      </w:r>
      <w:r w:rsidR="00B03DF9">
        <w:rPr>
          <w:rFonts w:hint="eastAsia"/>
          <w:bCs/>
          <w:color w:val="000000"/>
          <w:sz w:val="24"/>
        </w:rPr>
        <w:t>(</w:t>
      </w:r>
      <w:r w:rsidR="00B03DF9">
        <w:rPr>
          <w:rFonts w:hint="eastAsia"/>
          <w:bCs/>
          <w:color w:val="000000"/>
          <w:sz w:val="24"/>
        </w:rPr>
        <w:t>以下简称“上交所”</w:t>
      </w:r>
      <w:r w:rsidR="00B03DF9">
        <w:rPr>
          <w:rFonts w:hint="eastAsia"/>
          <w:bCs/>
          <w:color w:val="000000"/>
          <w:sz w:val="24"/>
        </w:rPr>
        <w:t>)</w:t>
      </w:r>
      <w:r w:rsidR="00BD74A9" w:rsidRPr="00BD74A9">
        <w:rPr>
          <w:rFonts w:hint="eastAsia"/>
          <w:bCs/>
          <w:color w:val="000000"/>
          <w:sz w:val="24"/>
        </w:rPr>
        <w:t>的结算备付金。该款项由基金管理人银河基金管理有限公司以自有资金垫付，并已于</w:t>
      </w:r>
      <w:r w:rsidR="00116992">
        <w:rPr>
          <w:rFonts w:ascii="宋体" w:hAnsi="宋体" w:hint="eastAsia"/>
          <w:color w:val="000000"/>
          <w:kern w:val="0"/>
          <w:sz w:val="24"/>
        </w:rPr>
        <w:t>2018年8月20日划</w:t>
      </w:r>
      <w:r w:rsidR="00BD74A9" w:rsidRPr="00BD74A9">
        <w:rPr>
          <w:rFonts w:hint="eastAsia"/>
          <w:bCs/>
          <w:color w:val="000000"/>
          <w:sz w:val="24"/>
        </w:rPr>
        <w:t>入托管账户。基金管理人垫付资金到账日起孳生的利息归基金管理人所有。</w:t>
      </w:r>
    </w:p>
    <w:p w:rsidR="00BD74A9" w:rsidRDefault="00BD74A9" w:rsidP="0087374E">
      <w:pPr>
        <w:spacing w:before="100" w:line="360" w:lineRule="auto"/>
        <w:ind w:firstLineChars="150" w:firstLine="360"/>
        <w:rPr>
          <w:bCs/>
          <w:color w:val="000000"/>
          <w:sz w:val="24"/>
        </w:rPr>
      </w:pPr>
      <w:r w:rsidRPr="00BD74A9">
        <w:rPr>
          <w:rFonts w:hint="eastAsia"/>
          <w:bCs/>
          <w:color w:val="000000"/>
          <w:sz w:val="24"/>
        </w:rPr>
        <w:t>5.1.2</w:t>
      </w:r>
      <w:r w:rsidRPr="00BD74A9">
        <w:rPr>
          <w:rFonts w:hint="eastAsia"/>
          <w:bCs/>
          <w:color w:val="000000"/>
          <w:sz w:val="24"/>
        </w:rPr>
        <w:t>本基金最后运作日存出保证金为人民币</w:t>
      </w:r>
      <w:r w:rsidRPr="00BD74A9">
        <w:rPr>
          <w:bCs/>
          <w:color w:val="000000"/>
          <w:sz w:val="24"/>
        </w:rPr>
        <w:t>1,154.59</w:t>
      </w:r>
      <w:r w:rsidRPr="00BD74A9">
        <w:rPr>
          <w:rFonts w:hint="eastAsia"/>
          <w:bCs/>
          <w:color w:val="000000"/>
          <w:sz w:val="24"/>
        </w:rPr>
        <w:t>元，为存放于中国证券登记结算有限责任公司上海分公司的结算保证金。该款项由基金管理人银河基金管理有限公司以自有资金垫付，并已于</w:t>
      </w:r>
      <w:r w:rsidR="00116992">
        <w:rPr>
          <w:rFonts w:ascii="宋体" w:hAnsi="宋体" w:hint="eastAsia"/>
          <w:color w:val="000000"/>
          <w:kern w:val="0"/>
          <w:sz w:val="24"/>
        </w:rPr>
        <w:t>2018年8月20日</w:t>
      </w:r>
      <w:r w:rsidRPr="00BD74A9">
        <w:rPr>
          <w:rFonts w:hint="eastAsia"/>
          <w:bCs/>
          <w:color w:val="000000"/>
          <w:sz w:val="24"/>
        </w:rPr>
        <w:t>划入托管账户。基金管理人垫付资金到账日起孳生的利息归基金管理人所有。</w:t>
      </w:r>
    </w:p>
    <w:p w:rsidR="00995678" w:rsidRDefault="00BD74A9" w:rsidP="0087374E">
      <w:pPr>
        <w:spacing w:before="100" w:line="360" w:lineRule="auto"/>
        <w:ind w:firstLineChars="150" w:firstLine="360"/>
        <w:rPr>
          <w:bCs/>
          <w:color w:val="000000"/>
          <w:sz w:val="24"/>
        </w:rPr>
      </w:pPr>
      <w:r>
        <w:rPr>
          <w:rFonts w:hint="eastAsia"/>
          <w:bCs/>
          <w:color w:val="000000"/>
          <w:sz w:val="24"/>
        </w:rPr>
        <w:t>5.1.3</w:t>
      </w:r>
      <w:r w:rsidR="0087374E" w:rsidRPr="0087374E">
        <w:rPr>
          <w:rFonts w:hint="eastAsia"/>
          <w:bCs/>
          <w:color w:val="000000"/>
          <w:sz w:val="24"/>
        </w:rPr>
        <w:t>本基金最后运作日交易性金融资产为人民币</w:t>
      </w:r>
      <w:r w:rsidR="0087374E" w:rsidRPr="0087374E">
        <w:rPr>
          <w:bCs/>
          <w:color w:val="000000"/>
          <w:sz w:val="24"/>
        </w:rPr>
        <w:t>2,014,000.00</w:t>
      </w:r>
      <w:r w:rsidR="0087374E" w:rsidRPr="0087374E">
        <w:rPr>
          <w:rFonts w:hint="eastAsia"/>
          <w:bCs/>
          <w:color w:val="000000"/>
          <w:sz w:val="24"/>
        </w:rPr>
        <w:t>元，明细如下：</w:t>
      </w:r>
    </w:p>
    <w:tbl>
      <w:tblPr>
        <w:tblW w:w="7929" w:type="dxa"/>
        <w:tblInd w:w="193" w:type="dxa"/>
        <w:tblLayout w:type="fixed"/>
        <w:tblCellMar>
          <w:left w:w="0" w:type="dxa"/>
          <w:right w:w="0" w:type="dxa"/>
        </w:tblCellMar>
        <w:tblLook w:val="04A0"/>
      </w:tblPr>
      <w:tblGrid>
        <w:gridCol w:w="907"/>
        <w:gridCol w:w="983"/>
        <w:gridCol w:w="868"/>
        <w:gridCol w:w="994"/>
        <w:gridCol w:w="1189"/>
        <w:gridCol w:w="1494"/>
        <w:gridCol w:w="1474"/>
        <w:gridCol w:w="20"/>
      </w:tblGrid>
      <w:tr w:rsidR="00995678" w:rsidRPr="00D55F7C" w:rsidTr="00995678">
        <w:trPr>
          <w:gridAfter w:val="1"/>
          <w:wAfter w:w="20" w:type="dxa"/>
          <w:trHeight w:val="355"/>
        </w:trPr>
        <w:tc>
          <w:tcPr>
            <w:tcW w:w="907" w:type="dxa"/>
            <w:vAlign w:val="bottom"/>
            <w:hideMark/>
          </w:tcPr>
          <w:p w:rsidR="00995678" w:rsidRPr="00D55F7C" w:rsidRDefault="00995678" w:rsidP="001E4BE7">
            <w:pPr>
              <w:jc w:val="left"/>
              <w:rPr>
                <w:rFonts w:ascii="黑体" w:eastAsia="黑体" w:hAnsi="宋体"/>
                <w:b/>
                <w:kern w:val="0"/>
                <w:sz w:val="18"/>
                <w:szCs w:val="18"/>
              </w:rPr>
            </w:pPr>
            <w:r>
              <w:rPr>
                <w:rFonts w:ascii="黑体" w:eastAsia="黑体" w:hAnsi="宋体" w:hint="eastAsia"/>
                <w:b/>
                <w:kern w:val="0"/>
                <w:sz w:val="18"/>
                <w:szCs w:val="18"/>
              </w:rPr>
              <w:t>证券</w:t>
            </w:r>
          </w:p>
          <w:p w:rsidR="00995678" w:rsidRPr="00D55F7C" w:rsidRDefault="00995678" w:rsidP="001E4BE7">
            <w:pPr>
              <w:jc w:val="left"/>
              <w:rPr>
                <w:rFonts w:ascii="黑体" w:eastAsia="黑体" w:hAnsi="宋体"/>
                <w:b/>
                <w:kern w:val="0"/>
                <w:sz w:val="18"/>
                <w:szCs w:val="18"/>
              </w:rPr>
            </w:pPr>
            <w:r w:rsidRPr="00D55F7C">
              <w:rPr>
                <w:rFonts w:ascii="黑体" w:eastAsia="黑体" w:hAnsi="宋体" w:hint="eastAsia"/>
                <w:b/>
                <w:kern w:val="0"/>
                <w:sz w:val="18"/>
                <w:szCs w:val="18"/>
              </w:rPr>
              <w:t>代码</w:t>
            </w:r>
          </w:p>
        </w:tc>
        <w:tc>
          <w:tcPr>
            <w:tcW w:w="983" w:type="dxa"/>
            <w:tcMar>
              <w:top w:w="15" w:type="dxa"/>
              <w:left w:w="15" w:type="dxa"/>
              <w:bottom w:w="0" w:type="dxa"/>
              <w:right w:w="15" w:type="dxa"/>
            </w:tcMar>
            <w:vAlign w:val="bottom"/>
            <w:hideMark/>
          </w:tcPr>
          <w:p w:rsidR="00995678" w:rsidRPr="00D55F7C" w:rsidRDefault="00995678" w:rsidP="001E4BE7">
            <w:pPr>
              <w:jc w:val="right"/>
              <w:rPr>
                <w:rFonts w:ascii="黑体" w:eastAsia="黑体" w:hAnsi="宋体"/>
                <w:b/>
                <w:kern w:val="0"/>
                <w:sz w:val="18"/>
                <w:szCs w:val="18"/>
              </w:rPr>
            </w:pPr>
            <w:r>
              <w:rPr>
                <w:rFonts w:ascii="黑体" w:eastAsia="黑体" w:hAnsi="宋体" w:hint="eastAsia"/>
                <w:b/>
                <w:kern w:val="0"/>
                <w:sz w:val="18"/>
                <w:szCs w:val="18"/>
              </w:rPr>
              <w:t>证券</w:t>
            </w:r>
          </w:p>
          <w:p w:rsidR="00995678" w:rsidRPr="00D55F7C" w:rsidRDefault="00995678" w:rsidP="001E4BE7">
            <w:pPr>
              <w:jc w:val="right"/>
              <w:rPr>
                <w:rFonts w:ascii="黑体" w:eastAsia="黑体" w:hAnsi="宋体"/>
                <w:b/>
                <w:kern w:val="0"/>
                <w:sz w:val="18"/>
                <w:szCs w:val="18"/>
              </w:rPr>
            </w:pPr>
            <w:r w:rsidRPr="00D55F7C">
              <w:rPr>
                <w:rFonts w:ascii="黑体" w:eastAsia="黑体" w:hAnsi="宋体" w:hint="eastAsia"/>
                <w:b/>
                <w:kern w:val="0"/>
                <w:sz w:val="18"/>
                <w:szCs w:val="18"/>
              </w:rPr>
              <w:t>名称</w:t>
            </w:r>
          </w:p>
        </w:tc>
        <w:tc>
          <w:tcPr>
            <w:tcW w:w="868" w:type="dxa"/>
            <w:vAlign w:val="bottom"/>
          </w:tcPr>
          <w:p w:rsidR="00995678" w:rsidRPr="00D55F7C" w:rsidRDefault="00995678" w:rsidP="001E4BE7">
            <w:pPr>
              <w:jc w:val="right"/>
              <w:rPr>
                <w:rFonts w:ascii="黑体" w:eastAsia="黑体" w:hAnsi="宋体"/>
                <w:b/>
                <w:kern w:val="0"/>
                <w:sz w:val="18"/>
                <w:szCs w:val="18"/>
              </w:rPr>
            </w:pPr>
            <w:r>
              <w:rPr>
                <w:rFonts w:ascii="黑体" w:eastAsia="黑体" w:hAnsi="宋体" w:hint="eastAsia"/>
                <w:b/>
                <w:kern w:val="0"/>
                <w:sz w:val="18"/>
                <w:szCs w:val="18"/>
              </w:rPr>
              <w:t>交易</w:t>
            </w:r>
          </w:p>
          <w:p w:rsidR="00995678" w:rsidRPr="00D55F7C" w:rsidRDefault="00995678" w:rsidP="001E4BE7">
            <w:pPr>
              <w:jc w:val="right"/>
              <w:rPr>
                <w:rFonts w:ascii="黑体" w:eastAsia="黑体" w:hAnsi="宋体"/>
                <w:b/>
                <w:kern w:val="0"/>
                <w:sz w:val="18"/>
                <w:szCs w:val="18"/>
              </w:rPr>
            </w:pPr>
            <w:r>
              <w:rPr>
                <w:rFonts w:ascii="黑体" w:eastAsia="黑体" w:hAnsi="宋体" w:hint="eastAsia"/>
                <w:b/>
                <w:kern w:val="0"/>
                <w:sz w:val="18"/>
                <w:szCs w:val="18"/>
              </w:rPr>
              <w:t>市场</w:t>
            </w:r>
          </w:p>
        </w:tc>
        <w:tc>
          <w:tcPr>
            <w:tcW w:w="994" w:type="dxa"/>
            <w:vAlign w:val="bottom"/>
            <w:hideMark/>
          </w:tcPr>
          <w:p w:rsidR="00995678" w:rsidRPr="00D55F7C" w:rsidRDefault="00995678" w:rsidP="001E4BE7">
            <w:pPr>
              <w:jc w:val="right"/>
              <w:rPr>
                <w:rFonts w:ascii="黑体" w:eastAsia="黑体" w:hAnsi="宋体"/>
                <w:b/>
                <w:kern w:val="0"/>
                <w:sz w:val="18"/>
                <w:szCs w:val="18"/>
              </w:rPr>
            </w:pPr>
            <w:r w:rsidRPr="00D55F7C">
              <w:rPr>
                <w:rFonts w:ascii="黑体" w:eastAsia="黑体" w:hAnsi="宋体" w:hint="eastAsia"/>
                <w:b/>
                <w:kern w:val="0"/>
                <w:sz w:val="18"/>
                <w:szCs w:val="18"/>
              </w:rPr>
              <w:t>终止日</w:t>
            </w:r>
          </w:p>
          <w:p w:rsidR="00995678" w:rsidRPr="00D55F7C" w:rsidRDefault="00995678" w:rsidP="001E4BE7">
            <w:pPr>
              <w:jc w:val="right"/>
              <w:rPr>
                <w:rFonts w:ascii="黑体" w:eastAsia="黑体" w:hAnsi="宋体"/>
                <w:b/>
                <w:kern w:val="0"/>
                <w:sz w:val="18"/>
                <w:szCs w:val="18"/>
              </w:rPr>
            </w:pPr>
            <w:r w:rsidRPr="00D55F7C">
              <w:rPr>
                <w:rFonts w:ascii="黑体" w:eastAsia="黑体" w:hAnsi="宋体" w:hint="eastAsia"/>
                <w:b/>
                <w:kern w:val="0"/>
                <w:sz w:val="18"/>
                <w:szCs w:val="18"/>
              </w:rPr>
              <w:t>估值单价</w:t>
            </w:r>
          </w:p>
        </w:tc>
        <w:tc>
          <w:tcPr>
            <w:tcW w:w="1189" w:type="dxa"/>
            <w:tcMar>
              <w:top w:w="15" w:type="dxa"/>
              <w:left w:w="15" w:type="dxa"/>
              <w:bottom w:w="0" w:type="dxa"/>
              <w:right w:w="15" w:type="dxa"/>
            </w:tcMar>
            <w:vAlign w:val="bottom"/>
            <w:hideMark/>
          </w:tcPr>
          <w:p w:rsidR="00995678" w:rsidRPr="00D55F7C" w:rsidRDefault="00995678" w:rsidP="001E4BE7">
            <w:pPr>
              <w:jc w:val="right"/>
              <w:rPr>
                <w:rFonts w:ascii="黑体" w:eastAsia="黑体" w:hAnsi="宋体"/>
                <w:b/>
                <w:kern w:val="0"/>
                <w:sz w:val="18"/>
                <w:szCs w:val="18"/>
              </w:rPr>
            </w:pPr>
            <w:r w:rsidRPr="00D55F7C">
              <w:rPr>
                <w:rFonts w:ascii="黑体" w:eastAsia="黑体" w:hAnsi="宋体" w:hint="eastAsia"/>
                <w:b/>
                <w:kern w:val="0"/>
                <w:sz w:val="18"/>
                <w:szCs w:val="18"/>
              </w:rPr>
              <w:t>数量</w:t>
            </w:r>
          </w:p>
          <w:p w:rsidR="00995678" w:rsidRPr="00D55F7C" w:rsidRDefault="00995678" w:rsidP="001E4BE7">
            <w:pPr>
              <w:ind w:rightChars="-53" w:right="-111"/>
              <w:jc w:val="right"/>
              <w:rPr>
                <w:rFonts w:ascii="黑体" w:eastAsia="黑体" w:hAnsi="宋体"/>
                <w:b/>
                <w:kern w:val="0"/>
                <w:sz w:val="18"/>
                <w:szCs w:val="18"/>
              </w:rPr>
            </w:pPr>
            <w:r w:rsidRPr="00D55F7C">
              <w:rPr>
                <w:rFonts w:ascii="黑体" w:eastAsia="黑体" w:hAnsi="宋体" w:hint="eastAsia"/>
                <w:b/>
                <w:kern w:val="0"/>
                <w:sz w:val="18"/>
                <w:szCs w:val="18"/>
              </w:rPr>
              <w:t>（单位：</w:t>
            </w:r>
            <w:r>
              <w:rPr>
                <w:rFonts w:ascii="黑体" w:eastAsia="黑体" w:hAnsi="宋体" w:hint="eastAsia"/>
                <w:b/>
                <w:kern w:val="0"/>
                <w:sz w:val="18"/>
                <w:szCs w:val="18"/>
              </w:rPr>
              <w:t>张</w:t>
            </w:r>
            <w:r w:rsidRPr="00D55F7C">
              <w:rPr>
                <w:rFonts w:ascii="黑体" w:eastAsia="黑体" w:hAnsi="宋体" w:hint="eastAsia"/>
                <w:b/>
                <w:kern w:val="0"/>
                <w:sz w:val="18"/>
                <w:szCs w:val="18"/>
              </w:rPr>
              <w:t>）</w:t>
            </w:r>
          </w:p>
        </w:tc>
        <w:tc>
          <w:tcPr>
            <w:tcW w:w="1494" w:type="dxa"/>
            <w:vAlign w:val="bottom"/>
            <w:hideMark/>
          </w:tcPr>
          <w:p w:rsidR="00995678" w:rsidRPr="00D55F7C" w:rsidRDefault="00995678" w:rsidP="001E4BE7">
            <w:pPr>
              <w:ind w:right="35"/>
              <w:jc w:val="right"/>
              <w:rPr>
                <w:rFonts w:ascii="黑体" w:eastAsia="黑体" w:hAnsi="宋体"/>
                <w:b/>
                <w:kern w:val="0"/>
                <w:sz w:val="18"/>
                <w:szCs w:val="18"/>
              </w:rPr>
            </w:pPr>
            <w:r w:rsidRPr="00D55F7C">
              <w:rPr>
                <w:rFonts w:ascii="黑体" w:eastAsia="黑体" w:hAnsi="宋体" w:hint="eastAsia"/>
                <w:b/>
                <w:kern w:val="0"/>
                <w:sz w:val="18"/>
                <w:szCs w:val="18"/>
              </w:rPr>
              <w:t>终止日</w:t>
            </w:r>
          </w:p>
          <w:p w:rsidR="00995678" w:rsidRPr="00D55F7C" w:rsidRDefault="00995678" w:rsidP="001E4BE7">
            <w:pPr>
              <w:ind w:right="35"/>
              <w:jc w:val="right"/>
              <w:rPr>
                <w:rFonts w:ascii="黑体" w:eastAsia="黑体" w:hAnsi="宋体"/>
                <w:b/>
                <w:kern w:val="0"/>
                <w:sz w:val="18"/>
                <w:szCs w:val="18"/>
              </w:rPr>
            </w:pPr>
            <w:r w:rsidRPr="00D55F7C">
              <w:rPr>
                <w:rFonts w:ascii="黑体" w:eastAsia="黑体" w:hAnsi="宋体" w:hint="eastAsia"/>
                <w:b/>
                <w:kern w:val="0"/>
                <w:sz w:val="18"/>
                <w:szCs w:val="18"/>
              </w:rPr>
              <w:t>成本总额</w:t>
            </w:r>
          </w:p>
        </w:tc>
        <w:tc>
          <w:tcPr>
            <w:tcW w:w="1474" w:type="dxa"/>
            <w:tcMar>
              <w:top w:w="15" w:type="dxa"/>
              <w:left w:w="15" w:type="dxa"/>
              <w:bottom w:w="0" w:type="dxa"/>
              <w:right w:w="15" w:type="dxa"/>
            </w:tcMar>
            <w:vAlign w:val="bottom"/>
            <w:hideMark/>
          </w:tcPr>
          <w:p w:rsidR="00995678" w:rsidRPr="00D55F7C" w:rsidRDefault="00995678" w:rsidP="001E4BE7">
            <w:pPr>
              <w:ind w:right="35"/>
              <w:jc w:val="right"/>
              <w:rPr>
                <w:rFonts w:ascii="黑体" w:eastAsia="黑体" w:hAnsi="宋体"/>
                <w:b/>
                <w:kern w:val="0"/>
                <w:sz w:val="18"/>
                <w:szCs w:val="18"/>
              </w:rPr>
            </w:pPr>
            <w:r w:rsidRPr="00D55F7C">
              <w:rPr>
                <w:rFonts w:ascii="黑体" w:eastAsia="黑体" w:hAnsi="宋体" w:hint="eastAsia"/>
                <w:b/>
                <w:kern w:val="0"/>
                <w:sz w:val="18"/>
                <w:szCs w:val="18"/>
              </w:rPr>
              <w:t>终止日</w:t>
            </w:r>
          </w:p>
          <w:p w:rsidR="00995678" w:rsidRPr="00D55F7C" w:rsidRDefault="00995678" w:rsidP="001E4BE7">
            <w:pPr>
              <w:ind w:right="35"/>
              <w:jc w:val="right"/>
              <w:rPr>
                <w:rFonts w:ascii="黑体" w:eastAsia="黑体" w:hAnsi="宋体"/>
                <w:b/>
                <w:kern w:val="0"/>
                <w:sz w:val="18"/>
                <w:szCs w:val="18"/>
              </w:rPr>
            </w:pPr>
            <w:r w:rsidRPr="00D55F7C">
              <w:rPr>
                <w:rFonts w:ascii="黑体" w:eastAsia="黑体" w:hAnsi="宋体" w:hint="eastAsia"/>
                <w:b/>
                <w:kern w:val="0"/>
                <w:sz w:val="18"/>
                <w:szCs w:val="18"/>
              </w:rPr>
              <w:t>估值总额</w:t>
            </w:r>
          </w:p>
        </w:tc>
      </w:tr>
      <w:tr w:rsidR="00995678" w:rsidTr="00995678">
        <w:trPr>
          <w:trHeight w:val="355"/>
        </w:trPr>
        <w:tc>
          <w:tcPr>
            <w:tcW w:w="907" w:type="dxa"/>
            <w:tcBorders>
              <w:top w:val="nil"/>
              <w:left w:val="nil"/>
              <w:bottom w:val="nil"/>
              <w:right w:val="nil"/>
            </w:tcBorders>
            <w:shd w:val="clear" w:color="auto" w:fill="auto"/>
            <w:vAlign w:val="center"/>
          </w:tcPr>
          <w:p w:rsidR="00995678" w:rsidRDefault="00995678" w:rsidP="001E4BE7">
            <w:pPr>
              <w:rPr>
                <w:rFonts w:ascii="黑体" w:eastAsia="黑体" w:hAnsi="黑体"/>
                <w:color w:val="000000"/>
                <w:sz w:val="18"/>
                <w:szCs w:val="18"/>
              </w:rPr>
            </w:pPr>
            <w:r w:rsidRPr="00C77BAF">
              <w:rPr>
                <w:rFonts w:ascii="黑体" w:eastAsia="黑体" w:hAnsi="黑体"/>
                <w:color w:val="000000"/>
                <w:sz w:val="18"/>
                <w:szCs w:val="18"/>
              </w:rPr>
              <w:t>018005</w:t>
            </w:r>
          </w:p>
        </w:tc>
        <w:tc>
          <w:tcPr>
            <w:tcW w:w="983" w:type="dxa"/>
            <w:tcBorders>
              <w:top w:val="nil"/>
              <w:left w:val="nil"/>
              <w:bottom w:val="nil"/>
              <w:right w:val="nil"/>
            </w:tcBorders>
            <w:shd w:val="clear" w:color="auto" w:fill="auto"/>
            <w:tcMar>
              <w:top w:w="15" w:type="dxa"/>
              <w:left w:w="15" w:type="dxa"/>
              <w:bottom w:w="0" w:type="dxa"/>
              <w:right w:w="15" w:type="dxa"/>
            </w:tcMar>
            <w:vAlign w:val="center"/>
          </w:tcPr>
          <w:p w:rsidR="00995678" w:rsidRDefault="00995678" w:rsidP="001E4BE7">
            <w:pPr>
              <w:jc w:val="right"/>
              <w:rPr>
                <w:rFonts w:ascii="黑体" w:eastAsia="黑体" w:hAnsi="黑体"/>
                <w:color w:val="000000"/>
                <w:sz w:val="18"/>
                <w:szCs w:val="18"/>
              </w:rPr>
            </w:pPr>
            <w:r w:rsidRPr="00C77BAF">
              <w:rPr>
                <w:rFonts w:ascii="黑体" w:eastAsia="黑体" w:hAnsi="黑体" w:hint="eastAsia"/>
                <w:color w:val="000000"/>
                <w:sz w:val="18"/>
                <w:szCs w:val="18"/>
              </w:rPr>
              <w:t>国开1701</w:t>
            </w:r>
          </w:p>
        </w:tc>
        <w:tc>
          <w:tcPr>
            <w:tcW w:w="868" w:type="dxa"/>
            <w:tcBorders>
              <w:top w:val="nil"/>
              <w:left w:val="nil"/>
              <w:bottom w:val="nil"/>
              <w:right w:val="nil"/>
            </w:tcBorders>
            <w:vAlign w:val="center"/>
          </w:tcPr>
          <w:p w:rsidR="00995678" w:rsidRPr="00C77BAF" w:rsidRDefault="00995678" w:rsidP="001E4BE7">
            <w:pPr>
              <w:jc w:val="right"/>
              <w:rPr>
                <w:rFonts w:ascii="黑体" w:eastAsia="黑体" w:hAnsi="黑体"/>
                <w:color w:val="000000"/>
                <w:sz w:val="18"/>
                <w:szCs w:val="18"/>
              </w:rPr>
            </w:pPr>
            <w:r>
              <w:rPr>
                <w:rFonts w:ascii="黑体" w:eastAsia="黑体" w:hAnsi="黑体" w:hint="eastAsia"/>
                <w:color w:val="000000"/>
                <w:sz w:val="18"/>
                <w:szCs w:val="18"/>
              </w:rPr>
              <w:t>上交所</w:t>
            </w:r>
          </w:p>
        </w:tc>
        <w:tc>
          <w:tcPr>
            <w:tcW w:w="994" w:type="dxa"/>
            <w:tcBorders>
              <w:top w:val="nil"/>
              <w:left w:val="nil"/>
              <w:bottom w:val="nil"/>
              <w:right w:val="nil"/>
            </w:tcBorders>
            <w:shd w:val="clear" w:color="auto" w:fill="auto"/>
            <w:vAlign w:val="center"/>
          </w:tcPr>
          <w:p w:rsidR="00995678" w:rsidRPr="00EE614D" w:rsidRDefault="00995678" w:rsidP="001E4BE7">
            <w:pPr>
              <w:jc w:val="right"/>
              <w:rPr>
                <w:rFonts w:ascii="黑体" w:eastAsia="黑体" w:hAnsi="黑体"/>
                <w:color w:val="000000"/>
                <w:sz w:val="18"/>
                <w:szCs w:val="18"/>
              </w:rPr>
            </w:pPr>
            <w:r w:rsidRPr="00C77BAF">
              <w:rPr>
                <w:rFonts w:ascii="黑体" w:eastAsia="黑体" w:hAnsi="黑体"/>
                <w:color w:val="000000"/>
                <w:sz w:val="18"/>
                <w:szCs w:val="18"/>
              </w:rPr>
              <w:t>100.70</w:t>
            </w:r>
          </w:p>
        </w:tc>
        <w:tc>
          <w:tcPr>
            <w:tcW w:w="1189" w:type="dxa"/>
            <w:tcBorders>
              <w:top w:val="nil"/>
              <w:left w:val="nil"/>
              <w:bottom w:val="nil"/>
              <w:right w:val="nil"/>
            </w:tcBorders>
            <w:shd w:val="clear" w:color="auto" w:fill="auto"/>
            <w:tcMar>
              <w:top w:w="15" w:type="dxa"/>
              <w:left w:w="15" w:type="dxa"/>
              <w:bottom w:w="0" w:type="dxa"/>
              <w:right w:w="15" w:type="dxa"/>
            </w:tcMar>
            <w:vAlign w:val="center"/>
          </w:tcPr>
          <w:p w:rsidR="00995678" w:rsidRDefault="00995678" w:rsidP="001E4BE7">
            <w:pPr>
              <w:jc w:val="right"/>
              <w:rPr>
                <w:rFonts w:ascii="黑体" w:eastAsia="黑体" w:hAnsi="黑体"/>
                <w:color w:val="000000"/>
                <w:sz w:val="18"/>
                <w:szCs w:val="18"/>
              </w:rPr>
            </w:pPr>
            <w:r w:rsidRPr="00C77BAF">
              <w:rPr>
                <w:rFonts w:ascii="黑体" w:eastAsia="黑体" w:hAnsi="黑体"/>
                <w:color w:val="000000"/>
                <w:sz w:val="18"/>
                <w:szCs w:val="18"/>
              </w:rPr>
              <w:t>20,000</w:t>
            </w:r>
          </w:p>
        </w:tc>
        <w:tc>
          <w:tcPr>
            <w:tcW w:w="1494" w:type="dxa"/>
            <w:tcBorders>
              <w:top w:val="nil"/>
              <w:left w:val="nil"/>
              <w:bottom w:val="nil"/>
              <w:right w:val="nil"/>
            </w:tcBorders>
            <w:shd w:val="clear" w:color="auto" w:fill="auto"/>
            <w:vAlign w:val="center"/>
          </w:tcPr>
          <w:p w:rsidR="00995678" w:rsidRPr="00C80F09" w:rsidRDefault="00995678" w:rsidP="001E4BE7">
            <w:pPr>
              <w:jc w:val="right"/>
              <w:rPr>
                <w:rFonts w:ascii="黑体" w:eastAsia="黑体" w:hAnsi="黑体"/>
                <w:color w:val="000000"/>
                <w:sz w:val="18"/>
                <w:szCs w:val="18"/>
              </w:rPr>
            </w:pPr>
            <w:r w:rsidRPr="00C77BAF">
              <w:rPr>
                <w:rFonts w:ascii="黑体" w:eastAsia="黑体" w:hAnsi="黑体"/>
                <w:color w:val="000000"/>
                <w:sz w:val="18"/>
                <w:szCs w:val="18"/>
              </w:rPr>
              <w:t>2,004,663.92</w:t>
            </w:r>
          </w:p>
        </w:tc>
        <w:tc>
          <w:tcPr>
            <w:tcW w:w="1474" w:type="dxa"/>
            <w:tcBorders>
              <w:top w:val="nil"/>
              <w:left w:val="nil"/>
              <w:bottom w:val="nil"/>
              <w:right w:val="nil"/>
            </w:tcBorders>
            <w:shd w:val="clear" w:color="auto" w:fill="auto"/>
            <w:tcMar>
              <w:top w:w="15" w:type="dxa"/>
              <w:left w:w="15" w:type="dxa"/>
              <w:bottom w:w="0" w:type="dxa"/>
              <w:right w:w="15" w:type="dxa"/>
            </w:tcMar>
            <w:vAlign w:val="center"/>
          </w:tcPr>
          <w:p w:rsidR="00995678" w:rsidRPr="00C80F09" w:rsidRDefault="00995678" w:rsidP="001E4BE7">
            <w:pPr>
              <w:jc w:val="right"/>
              <w:rPr>
                <w:rFonts w:ascii="黑体" w:eastAsia="黑体" w:hAnsi="黑体"/>
                <w:color w:val="000000"/>
                <w:sz w:val="18"/>
                <w:szCs w:val="18"/>
              </w:rPr>
            </w:pPr>
            <w:r w:rsidRPr="00C77BAF">
              <w:rPr>
                <w:rFonts w:ascii="黑体" w:eastAsia="黑体" w:hAnsi="黑体"/>
                <w:color w:val="000000"/>
                <w:sz w:val="18"/>
                <w:szCs w:val="18"/>
              </w:rPr>
              <w:t>2,014,000.00</w:t>
            </w:r>
          </w:p>
        </w:tc>
        <w:tc>
          <w:tcPr>
            <w:tcW w:w="20" w:type="dxa"/>
            <w:vAlign w:val="bottom"/>
          </w:tcPr>
          <w:p w:rsidR="00995678" w:rsidRDefault="00995678" w:rsidP="001E4BE7">
            <w:pPr>
              <w:jc w:val="right"/>
              <w:rPr>
                <w:rFonts w:ascii="黑体" w:eastAsia="黑体" w:hAnsi="Arial" w:cs="Arial"/>
                <w:sz w:val="16"/>
                <w:szCs w:val="16"/>
              </w:rPr>
            </w:pPr>
          </w:p>
        </w:tc>
      </w:tr>
    </w:tbl>
    <w:p w:rsidR="00DC56BE" w:rsidRPr="00131651" w:rsidRDefault="009D163B" w:rsidP="0087374E">
      <w:pPr>
        <w:spacing w:before="100" w:line="360" w:lineRule="auto"/>
        <w:rPr>
          <w:bCs/>
          <w:color w:val="000000"/>
          <w:sz w:val="24"/>
        </w:rPr>
      </w:pPr>
      <w:r w:rsidRPr="009D163B">
        <w:rPr>
          <w:rFonts w:hint="eastAsia"/>
          <w:bCs/>
          <w:color w:val="000000"/>
          <w:sz w:val="24"/>
        </w:rPr>
        <w:t>根据《银河量化配置混合型证券投资基金基金合同》第十四部分“基金资产估值”的约定，对在交易所市场上市交易或挂牌转让的固定收益品种（另有规定的除外），选取第三方估值机构提供的相应品种当日的估值净价进行估值。证券国开</w:t>
      </w:r>
      <w:r w:rsidRPr="009D163B">
        <w:rPr>
          <w:rFonts w:hint="eastAsia"/>
          <w:bCs/>
          <w:color w:val="000000"/>
          <w:sz w:val="24"/>
        </w:rPr>
        <w:t>1701</w:t>
      </w:r>
      <w:r w:rsidRPr="009D163B">
        <w:rPr>
          <w:rFonts w:hint="eastAsia"/>
          <w:bCs/>
          <w:color w:val="000000"/>
          <w:sz w:val="24"/>
        </w:rPr>
        <w:t>最后运作日的估值单价为前一交易日中证估值净价。该证券已于</w:t>
      </w:r>
      <w:r w:rsidRPr="009D163B">
        <w:rPr>
          <w:rFonts w:hint="eastAsia"/>
          <w:bCs/>
          <w:color w:val="000000"/>
          <w:sz w:val="24"/>
        </w:rPr>
        <w:t>2018</w:t>
      </w:r>
      <w:r w:rsidRPr="009D163B">
        <w:rPr>
          <w:rFonts w:hint="eastAsia"/>
          <w:bCs/>
          <w:color w:val="000000"/>
          <w:sz w:val="24"/>
        </w:rPr>
        <w:t>年</w:t>
      </w:r>
      <w:r w:rsidRPr="009D163B">
        <w:rPr>
          <w:rFonts w:hint="eastAsia"/>
          <w:bCs/>
          <w:color w:val="000000"/>
          <w:sz w:val="24"/>
        </w:rPr>
        <w:t>8</w:t>
      </w:r>
      <w:r w:rsidRPr="009D163B">
        <w:rPr>
          <w:rFonts w:hint="eastAsia"/>
          <w:bCs/>
          <w:color w:val="000000"/>
          <w:sz w:val="24"/>
        </w:rPr>
        <w:t>月</w:t>
      </w:r>
      <w:r w:rsidRPr="009D163B">
        <w:rPr>
          <w:rFonts w:hint="eastAsia"/>
          <w:bCs/>
          <w:color w:val="000000"/>
          <w:sz w:val="24"/>
        </w:rPr>
        <w:t>13</w:t>
      </w:r>
      <w:r w:rsidRPr="009D163B">
        <w:rPr>
          <w:rFonts w:hint="eastAsia"/>
          <w:bCs/>
          <w:color w:val="000000"/>
          <w:sz w:val="24"/>
        </w:rPr>
        <w:t>日全部出售，成交金额人民币</w:t>
      </w:r>
      <w:r w:rsidRPr="009D163B">
        <w:rPr>
          <w:bCs/>
          <w:color w:val="000000"/>
          <w:sz w:val="24"/>
        </w:rPr>
        <w:t>2,013,606.90</w:t>
      </w:r>
      <w:r w:rsidRPr="009D163B">
        <w:rPr>
          <w:rFonts w:hint="eastAsia"/>
          <w:bCs/>
          <w:color w:val="000000"/>
          <w:sz w:val="24"/>
        </w:rPr>
        <w:t>元，变现款项已于</w:t>
      </w:r>
      <w:r w:rsidRPr="009D163B">
        <w:rPr>
          <w:rFonts w:hint="eastAsia"/>
          <w:bCs/>
          <w:color w:val="000000"/>
          <w:sz w:val="24"/>
        </w:rPr>
        <w:t>2018</w:t>
      </w:r>
      <w:r w:rsidRPr="009D163B">
        <w:rPr>
          <w:rFonts w:hint="eastAsia"/>
          <w:bCs/>
          <w:color w:val="000000"/>
          <w:sz w:val="24"/>
        </w:rPr>
        <w:t>年</w:t>
      </w:r>
      <w:r w:rsidRPr="009D163B">
        <w:rPr>
          <w:rFonts w:hint="eastAsia"/>
          <w:bCs/>
          <w:color w:val="000000"/>
          <w:sz w:val="24"/>
        </w:rPr>
        <w:t>8</w:t>
      </w:r>
      <w:r w:rsidRPr="009D163B">
        <w:rPr>
          <w:rFonts w:hint="eastAsia"/>
          <w:bCs/>
          <w:color w:val="000000"/>
          <w:sz w:val="24"/>
        </w:rPr>
        <w:t>月</w:t>
      </w:r>
      <w:r w:rsidRPr="009D163B">
        <w:rPr>
          <w:rFonts w:hint="eastAsia"/>
          <w:bCs/>
          <w:color w:val="000000"/>
          <w:sz w:val="24"/>
        </w:rPr>
        <w:t>14</w:t>
      </w:r>
      <w:r w:rsidRPr="009D163B">
        <w:rPr>
          <w:rFonts w:hint="eastAsia"/>
          <w:bCs/>
          <w:color w:val="000000"/>
          <w:sz w:val="24"/>
        </w:rPr>
        <w:t>日划入托管账户。</w:t>
      </w:r>
    </w:p>
    <w:p w:rsidR="00995678" w:rsidRDefault="00E94AEB" w:rsidP="00995678">
      <w:pPr>
        <w:spacing w:before="100" w:line="360" w:lineRule="auto"/>
        <w:ind w:firstLineChars="100" w:firstLine="240"/>
        <w:rPr>
          <w:bCs/>
          <w:color w:val="000000"/>
          <w:sz w:val="24"/>
        </w:rPr>
      </w:pPr>
      <w:r>
        <w:rPr>
          <w:rFonts w:hint="eastAsia"/>
          <w:bCs/>
          <w:color w:val="000000"/>
          <w:sz w:val="24"/>
        </w:rPr>
        <w:t>5.1.</w:t>
      </w:r>
      <w:r w:rsidR="00BD74A9">
        <w:rPr>
          <w:rFonts w:hint="eastAsia"/>
          <w:bCs/>
          <w:color w:val="000000"/>
          <w:sz w:val="24"/>
        </w:rPr>
        <w:t>4</w:t>
      </w:r>
      <w:r w:rsidR="0087374E" w:rsidRPr="0087374E">
        <w:rPr>
          <w:rFonts w:hint="eastAsia"/>
          <w:bCs/>
          <w:color w:val="000000"/>
          <w:sz w:val="24"/>
        </w:rPr>
        <w:t>本基金最后运作日买入返售金融资产为人民币</w:t>
      </w:r>
      <w:r w:rsidR="0087374E" w:rsidRPr="0087374E">
        <w:rPr>
          <w:bCs/>
          <w:color w:val="000000"/>
          <w:sz w:val="24"/>
        </w:rPr>
        <w:t>800,000</w:t>
      </w:r>
      <w:r w:rsidR="0087374E" w:rsidRPr="0087374E">
        <w:rPr>
          <w:rFonts w:hint="eastAsia"/>
          <w:bCs/>
          <w:color w:val="000000"/>
          <w:sz w:val="24"/>
        </w:rPr>
        <w:t>.00</w:t>
      </w:r>
      <w:r w:rsidR="0087374E" w:rsidRPr="0087374E">
        <w:rPr>
          <w:rFonts w:hint="eastAsia"/>
          <w:bCs/>
          <w:color w:val="000000"/>
          <w:sz w:val="24"/>
        </w:rPr>
        <w:t>元，明细如下：</w:t>
      </w:r>
    </w:p>
    <w:tbl>
      <w:tblPr>
        <w:tblW w:w="7929" w:type="dxa"/>
        <w:tblLayout w:type="fixed"/>
        <w:tblCellMar>
          <w:left w:w="0" w:type="dxa"/>
          <w:right w:w="0" w:type="dxa"/>
        </w:tblCellMar>
        <w:tblLook w:val="04A0"/>
      </w:tblPr>
      <w:tblGrid>
        <w:gridCol w:w="1050"/>
        <w:gridCol w:w="1106"/>
        <w:gridCol w:w="1302"/>
        <w:gridCol w:w="1610"/>
        <w:gridCol w:w="1610"/>
        <w:gridCol w:w="1231"/>
        <w:gridCol w:w="20"/>
      </w:tblGrid>
      <w:tr w:rsidR="00995678" w:rsidRPr="00D55F7C" w:rsidTr="0087374E">
        <w:trPr>
          <w:gridAfter w:val="1"/>
          <w:wAfter w:w="20" w:type="dxa"/>
          <w:trHeight w:val="355"/>
        </w:trPr>
        <w:tc>
          <w:tcPr>
            <w:tcW w:w="1050" w:type="dxa"/>
            <w:vAlign w:val="bottom"/>
            <w:hideMark/>
          </w:tcPr>
          <w:p w:rsidR="00995678" w:rsidRPr="00D55F7C" w:rsidRDefault="00995678" w:rsidP="001E4BE7">
            <w:pPr>
              <w:jc w:val="left"/>
              <w:rPr>
                <w:rFonts w:ascii="黑体" w:eastAsia="黑体" w:hAnsi="宋体"/>
                <w:b/>
                <w:kern w:val="0"/>
                <w:sz w:val="18"/>
                <w:szCs w:val="18"/>
              </w:rPr>
            </w:pPr>
            <w:r>
              <w:rPr>
                <w:rFonts w:ascii="黑体" w:eastAsia="黑体" w:hAnsi="宋体" w:hint="eastAsia"/>
                <w:b/>
                <w:kern w:val="0"/>
                <w:sz w:val="18"/>
                <w:szCs w:val="18"/>
              </w:rPr>
              <w:t>证券</w:t>
            </w:r>
          </w:p>
          <w:p w:rsidR="00995678" w:rsidRPr="00D55F7C" w:rsidRDefault="00995678" w:rsidP="001E4BE7">
            <w:pPr>
              <w:jc w:val="left"/>
              <w:rPr>
                <w:rFonts w:ascii="黑体" w:eastAsia="黑体" w:hAnsi="宋体"/>
                <w:b/>
                <w:kern w:val="0"/>
                <w:sz w:val="18"/>
                <w:szCs w:val="18"/>
              </w:rPr>
            </w:pPr>
            <w:r w:rsidRPr="00D55F7C">
              <w:rPr>
                <w:rFonts w:ascii="黑体" w:eastAsia="黑体" w:hAnsi="宋体" w:hint="eastAsia"/>
                <w:b/>
                <w:kern w:val="0"/>
                <w:sz w:val="18"/>
                <w:szCs w:val="18"/>
              </w:rPr>
              <w:t>代码</w:t>
            </w:r>
          </w:p>
        </w:tc>
        <w:tc>
          <w:tcPr>
            <w:tcW w:w="1106" w:type="dxa"/>
            <w:tcMar>
              <w:top w:w="15" w:type="dxa"/>
              <w:left w:w="15" w:type="dxa"/>
              <w:bottom w:w="0" w:type="dxa"/>
              <w:right w:w="15" w:type="dxa"/>
            </w:tcMar>
            <w:vAlign w:val="bottom"/>
            <w:hideMark/>
          </w:tcPr>
          <w:p w:rsidR="00995678" w:rsidRPr="00D55F7C" w:rsidRDefault="00995678" w:rsidP="001E4BE7">
            <w:pPr>
              <w:jc w:val="right"/>
              <w:rPr>
                <w:rFonts w:ascii="黑体" w:eastAsia="黑体" w:hAnsi="宋体"/>
                <w:b/>
                <w:kern w:val="0"/>
                <w:sz w:val="18"/>
                <w:szCs w:val="18"/>
              </w:rPr>
            </w:pPr>
            <w:r>
              <w:rPr>
                <w:rFonts w:ascii="黑体" w:eastAsia="黑体" w:hAnsi="宋体" w:hint="eastAsia"/>
                <w:b/>
                <w:kern w:val="0"/>
                <w:sz w:val="18"/>
                <w:szCs w:val="18"/>
              </w:rPr>
              <w:t>证券</w:t>
            </w:r>
          </w:p>
          <w:p w:rsidR="00995678" w:rsidRPr="00D55F7C" w:rsidRDefault="00995678" w:rsidP="001E4BE7">
            <w:pPr>
              <w:jc w:val="right"/>
              <w:rPr>
                <w:rFonts w:ascii="黑体" w:eastAsia="黑体" w:hAnsi="宋体"/>
                <w:b/>
                <w:kern w:val="0"/>
                <w:sz w:val="18"/>
                <w:szCs w:val="18"/>
              </w:rPr>
            </w:pPr>
            <w:r w:rsidRPr="00D55F7C">
              <w:rPr>
                <w:rFonts w:ascii="黑体" w:eastAsia="黑体" w:hAnsi="宋体" w:hint="eastAsia"/>
                <w:b/>
                <w:kern w:val="0"/>
                <w:sz w:val="18"/>
                <w:szCs w:val="18"/>
              </w:rPr>
              <w:t>名称</w:t>
            </w:r>
          </w:p>
        </w:tc>
        <w:tc>
          <w:tcPr>
            <w:tcW w:w="1302" w:type="dxa"/>
            <w:vAlign w:val="bottom"/>
          </w:tcPr>
          <w:p w:rsidR="00995678" w:rsidRPr="00D55F7C" w:rsidRDefault="00995678" w:rsidP="001E4BE7">
            <w:pPr>
              <w:jc w:val="right"/>
              <w:rPr>
                <w:rFonts w:ascii="黑体" w:eastAsia="黑体" w:hAnsi="宋体"/>
                <w:b/>
                <w:kern w:val="0"/>
                <w:sz w:val="18"/>
                <w:szCs w:val="18"/>
              </w:rPr>
            </w:pPr>
            <w:r>
              <w:rPr>
                <w:rFonts w:ascii="黑体" w:eastAsia="黑体" w:hAnsi="宋体" w:hint="eastAsia"/>
                <w:b/>
                <w:kern w:val="0"/>
                <w:sz w:val="18"/>
                <w:szCs w:val="18"/>
              </w:rPr>
              <w:t>交易</w:t>
            </w:r>
          </w:p>
          <w:p w:rsidR="00995678" w:rsidRPr="00D55F7C" w:rsidRDefault="00995678" w:rsidP="001E4BE7">
            <w:pPr>
              <w:jc w:val="right"/>
              <w:rPr>
                <w:rFonts w:ascii="黑体" w:eastAsia="黑体" w:hAnsi="宋体"/>
                <w:b/>
                <w:kern w:val="0"/>
                <w:sz w:val="18"/>
                <w:szCs w:val="18"/>
              </w:rPr>
            </w:pPr>
            <w:r>
              <w:rPr>
                <w:rFonts w:ascii="黑体" w:eastAsia="黑体" w:hAnsi="宋体" w:hint="eastAsia"/>
                <w:b/>
                <w:kern w:val="0"/>
                <w:sz w:val="18"/>
                <w:szCs w:val="18"/>
              </w:rPr>
              <w:t>市场</w:t>
            </w:r>
          </w:p>
        </w:tc>
        <w:tc>
          <w:tcPr>
            <w:tcW w:w="1610" w:type="dxa"/>
            <w:vAlign w:val="bottom"/>
          </w:tcPr>
          <w:p w:rsidR="00995678" w:rsidRPr="00D55F7C" w:rsidRDefault="00995678" w:rsidP="001E4BE7">
            <w:pPr>
              <w:ind w:right="35"/>
              <w:jc w:val="right"/>
              <w:rPr>
                <w:rFonts w:ascii="黑体" w:eastAsia="黑体" w:hAnsi="宋体"/>
                <w:b/>
                <w:kern w:val="0"/>
                <w:sz w:val="18"/>
                <w:szCs w:val="18"/>
              </w:rPr>
            </w:pPr>
            <w:r w:rsidRPr="00D55F7C">
              <w:rPr>
                <w:rFonts w:ascii="黑体" w:eastAsia="黑体" w:hAnsi="宋体" w:hint="eastAsia"/>
                <w:b/>
                <w:kern w:val="0"/>
                <w:sz w:val="18"/>
                <w:szCs w:val="18"/>
              </w:rPr>
              <w:t>成</w:t>
            </w:r>
            <w:r>
              <w:rPr>
                <w:rFonts w:ascii="黑体" w:eastAsia="黑体" w:hAnsi="宋体" w:hint="eastAsia"/>
                <w:b/>
                <w:kern w:val="0"/>
                <w:sz w:val="18"/>
                <w:szCs w:val="18"/>
              </w:rPr>
              <w:t>交数量</w:t>
            </w:r>
          </w:p>
        </w:tc>
        <w:tc>
          <w:tcPr>
            <w:tcW w:w="1610" w:type="dxa"/>
            <w:vAlign w:val="bottom"/>
            <w:hideMark/>
          </w:tcPr>
          <w:p w:rsidR="00995678" w:rsidRPr="00D55F7C" w:rsidRDefault="00995678" w:rsidP="001E4BE7">
            <w:pPr>
              <w:ind w:right="35"/>
              <w:jc w:val="right"/>
              <w:rPr>
                <w:rFonts w:ascii="黑体" w:eastAsia="黑体" w:hAnsi="宋体"/>
                <w:b/>
                <w:kern w:val="0"/>
                <w:sz w:val="18"/>
                <w:szCs w:val="18"/>
              </w:rPr>
            </w:pPr>
            <w:r w:rsidRPr="00D55F7C">
              <w:rPr>
                <w:rFonts w:ascii="黑体" w:eastAsia="黑体" w:hAnsi="宋体" w:hint="eastAsia"/>
                <w:b/>
                <w:kern w:val="0"/>
                <w:sz w:val="18"/>
                <w:szCs w:val="18"/>
              </w:rPr>
              <w:t>成</w:t>
            </w:r>
            <w:r>
              <w:rPr>
                <w:rFonts w:ascii="黑体" w:eastAsia="黑体" w:hAnsi="宋体" w:hint="eastAsia"/>
                <w:b/>
                <w:kern w:val="0"/>
                <w:sz w:val="18"/>
                <w:szCs w:val="18"/>
              </w:rPr>
              <w:t>交金额</w:t>
            </w:r>
          </w:p>
        </w:tc>
        <w:tc>
          <w:tcPr>
            <w:tcW w:w="1231" w:type="dxa"/>
            <w:vAlign w:val="bottom"/>
          </w:tcPr>
          <w:p w:rsidR="00995678" w:rsidRPr="00D55F7C" w:rsidRDefault="00995678" w:rsidP="001E4BE7">
            <w:pPr>
              <w:ind w:right="35"/>
              <w:jc w:val="right"/>
              <w:rPr>
                <w:rFonts w:ascii="黑体" w:eastAsia="黑体" w:hAnsi="宋体"/>
                <w:b/>
                <w:kern w:val="0"/>
                <w:sz w:val="18"/>
                <w:szCs w:val="18"/>
              </w:rPr>
            </w:pPr>
            <w:r>
              <w:rPr>
                <w:rFonts w:ascii="黑体" w:eastAsia="黑体" w:hAnsi="宋体" w:hint="eastAsia"/>
                <w:b/>
                <w:kern w:val="0"/>
                <w:sz w:val="18"/>
                <w:szCs w:val="18"/>
              </w:rPr>
              <w:t>回购收益</w:t>
            </w:r>
          </w:p>
        </w:tc>
      </w:tr>
      <w:tr w:rsidR="00995678" w:rsidTr="0087374E">
        <w:trPr>
          <w:trHeight w:val="355"/>
        </w:trPr>
        <w:tc>
          <w:tcPr>
            <w:tcW w:w="1050" w:type="dxa"/>
            <w:tcBorders>
              <w:top w:val="nil"/>
              <w:left w:val="nil"/>
              <w:bottom w:val="nil"/>
              <w:right w:val="nil"/>
            </w:tcBorders>
            <w:shd w:val="clear" w:color="auto" w:fill="auto"/>
            <w:vAlign w:val="center"/>
          </w:tcPr>
          <w:p w:rsidR="00995678" w:rsidRDefault="00995678" w:rsidP="001E4BE7">
            <w:pPr>
              <w:rPr>
                <w:rFonts w:ascii="黑体" w:eastAsia="黑体" w:hAnsi="黑体"/>
                <w:color w:val="000000"/>
                <w:sz w:val="18"/>
                <w:szCs w:val="18"/>
              </w:rPr>
            </w:pPr>
            <w:r w:rsidRPr="00735AF0">
              <w:rPr>
                <w:rFonts w:ascii="黑体" w:eastAsia="黑体" w:hAnsi="黑体"/>
                <w:color w:val="000000"/>
                <w:sz w:val="18"/>
                <w:szCs w:val="18"/>
              </w:rPr>
              <w:t>204001</w:t>
            </w:r>
          </w:p>
        </w:tc>
        <w:tc>
          <w:tcPr>
            <w:tcW w:w="1106" w:type="dxa"/>
            <w:tcBorders>
              <w:top w:val="nil"/>
              <w:left w:val="nil"/>
              <w:bottom w:val="nil"/>
              <w:right w:val="nil"/>
            </w:tcBorders>
            <w:shd w:val="clear" w:color="auto" w:fill="auto"/>
            <w:tcMar>
              <w:top w:w="15" w:type="dxa"/>
              <w:left w:w="15" w:type="dxa"/>
              <w:bottom w:w="0" w:type="dxa"/>
              <w:right w:w="15" w:type="dxa"/>
            </w:tcMar>
            <w:vAlign w:val="center"/>
          </w:tcPr>
          <w:p w:rsidR="00995678" w:rsidRDefault="00995678" w:rsidP="001E4BE7">
            <w:pPr>
              <w:jc w:val="right"/>
              <w:rPr>
                <w:rFonts w:ascii="黑体" w:eastAsia="黑体" w:hAnsi="黑体"/>
                <w:color w:val="000000"/>
                <w:sz w:val="18"/>
                <w:szCs w:val="18"/>
              </w:rPr>
            </w:pPr>
            <w:r>
              <w:rPr>
                <w:rFonts w:ascii="黑体" w:eastAsia="黑体" w:hAnsi="黑体" w:hint="eastAsia"/>
                <w:color w:val="000000"/>
                <w:sz w:val="18"/>
                <w:szCs w:val="18"/>
              </w:rPr>
              <w:t>GC0</w:t>
            </w:r>
            <w:r w:rsidRPr="00C77BAF">
              <w:rPr>
                <w:rFonts w:ascii="黑体" w:eastAsia="黑体" w:hAnsi="黑体" w:hint="eastAsia"/>
                <w:color w:val="000000"/>
                <w:sz w:val="18"/>
                <w:szCs w:val="18"/>
              </w:rPr>
              <w:t>01</w:t>
            </w:r>
          </w:p>
        </w:tc>
        <w:tc>
          <w:tcPr>
            <w:tcW w:w="1302" w:type="dxa"/>
            <w:tcBorders>
              <w:top w:val="nil"/>
              <w:left w:val="nil"/>
              <w:bottom w:val="nil"/>
              <w:right w:val="nil"/>
            </w:tcBorders>
            <w:vAlign w:val="center"/>
          </w:tcPr>
          <w:p w:rsidR="00995678" w:rsidRPr="004E1B60" w:rsidRDefault="00995678" w:rsidP="001E4BE7">
            <w:pPr>
              <w:jc w:val="right"/>
              <w:rPr>
                <w:rFonts w:ascii="黑体" w:eastAsia="黑体" w:hAnsi="黑体"/>
                <w:color w:val="000000"/>
                <w:sz w:val="18"/>
                <w:szCs w:val="18"/>
              </w:rPr>
            </w:pPr>
            <w:r>
              <w:rPr>
                <w:rFonts w:ascii="黑体" w:eastAsia="黑体" w:hAnsi="黑体" w:hint="eastAsia"/>
                <w:color w:val="000000"/>
                <w:sz w:val="18"/>
                <w:szCs w:val="18"/>
              </w:rPr>
              <w:t>上交所</w:t>
            </w:r>
          </w:p>
        </w:tc>
        <w:tc>
          <w:tcPr>
            <w:tcW w:w="1610" w:type="dxa"/>
            <w:tcBorders>
              <w:top w:val="nil"/>
              <w:left w:val="nil"/>
              <w:bottom w:val="nil"/>
              <w:right w:val="nil"/>
            </w:tcBorders>
            <w:vAlign w:val="center"/>
          </w:tcPr>
          <w:p w:rsidR="00995678" w:rsidRPr="004E1B60" w:rsidRDefault="00995678" w:rsidP="001E4BE7">
            <w:pPr>
              <w:jc w:val="right"/>
              <w:rPr>
                <w:rFonts w:ascii="黑体" w:eastAsia="黑体" w:hAnsi="黑体"/>
                <w:color w:val="000000"/>
                <w:sz w:val="18"/>
                <w:szCs w:val="18"/>
              </w:rPr>
            </w:pPr>
            <w:r w:rsidRPr="004E1B60">
              <w:rPr>
                <w:rFonts w:ascii="黑体" w:eastAsia="黑体" w:hAnsi="黑体"/>
                <w:color w:val="000000"/>
                <w:sz w:val="18"/>
                <w:szCs w:val="18"/>
              </w:rPr>
              <w:t>8</w:t>
            </w:r>
            <w:r>
              <w:rPr>
                <w:rFonts w:ascii="黑体" w:eastAsia="黑体" w:hAnsi="黑体" w:hint="eastAsia"/>
                <w:color w:val="000000"/>
                <w:sz w:val="18"/>
                <w:szCs w:val="18"/>
              </w:rPr>
              <w:t>,0</w:t>
            </w:r>
            <w:r w:rsidRPr="004E1B60">
              <w:rPr>
                <w:rFonts w:ascii="黑体" w:eastAsia="黑体" w:hAnsi="黑体"/>
                <w:color w:val="000000"/>
                <w:sz w:val="18"/>
                <w:szCs w:val="18"/>
              </w:rPr>
              <w:t>00</w:t>
            </w:r>
          </w:p>
        </w:tc>
        <w:tc>
          <w:tcPr>
            <w:tcW w:w="1610" w:type="dxa"/>
            <w:tcBorders>
              <w:top w:val="nil"/>
              <w:left w:val="nil"/>
              <w:bottom w:val="nil"/>
              <w:right w:val="nil"/>
            </w:tcBorders>
            <w:shd w:val="clear" w:color="auto" w:fill="auto"/>
            <w:vAlign w:val="center"/>
          </w:tcPr>
          <w:p w:rsidR="00995678" w:rsidRPr="00C80F09" w:rsidRDefault="00995678" w:rsidP="001E4BE7">
            <w:pPr>
              <w:jc w:val="right"/>
              <w:rPr>
                <w:rFonts w:ascii="黑体" w:eastAsia="黑体" w:hAnsi="黑体"/>
                <w:color w:val="000000"/>
                <w:sz w:val="18"/>
                <w:szCs w:val="18"/>
              </w:rPr>
            </w:pPr>
            <w:r w:rsidRPr="004E1B60">
              <w:rPr>
                <w:rFonts w:ascii="黑体" w:eastAsia="黑体" w:hAnsi="黑体"/>
                <w:color w:val="000000"/>
                <w:sz w:val="18"/>
                <w:szCs w:val="18"/>
              </w:rPr>
              <w:t>800,000.00</w:t>
            </w:r>
          </w:p>
        </w:tc>
        <w:tc>
          <w:tcPr>
            <w:tcW w:w="1231" w:type="dxa"/>
            <w:vAlign w:val="center"/>
          </w:tcPr>
          <w:p w:rsidR="00995678" w:rsidRDefault="00995678" w:rsidP="001E4BE7">
            <w:pPr>
              <w:jc w:val="right"/>
              <w:rPr>
                <w:rFonts w:ascii="黑体" w:eastAsia="黑体" w:hAnsi="Arial" w:cs="Arial"/>
                <w:sz w:val="16"/>
                <w:szCs w:val="16"/>
              </w:rPr>
            </w:pPr>
            <w:r>
              <w:rPr>
                <w:rFonts w:ascii="黑体" w:eastAsia="黑体" w:hAnsi="黑体" w:hint="eastAsia"/>
                <w:color w:val="000000"/>
                <w:sz w:val="18"/>
                <w:szCs w:val="18"/>
              </w:rPr>
              <w:t>50</w:t>
            </w:r>
            <w:r w:rsidRPr="004E1B60">
              <w:rPr>
                <w:rFonts w:ascii="黑体" w:eastAsia="黑体" w:hAnsi="黑体"/>
                <w:color w:val="000000"/>
                <w:sz w:val="18"/>
                <w:szCs w:val="18"/>
              </w:rPr>
              <w:t>.</w:t>
            </w:r>
            <w:r>
              <w:rPr>
                <w:rFonts w:ascii="黑体" w:eastAsia="黑体" w:hAnsi="黑体" w:hint="eastAsia"/>
                <w:color w:val="000000"/>
                <w:sz w:val="18"/>
                <w:szCs w:val="18"/>
              </w:rPr>
              <w:t>19</w:t>
            </w:r>
          </w:p>
        </w:tc>
        <w:tc>
          <w:tcPr>
            <w:tcW w:w="20" w:type="dxa"/>
            <w:vAlign w:val="bottom"/>
          </w:tcPr>
          <w:p w:rsidR="00995678" w:rsidRDefault="00995678" w:rsidP="001E4BE7">
            <w:pPr>
              <w:jc w:val="right"/>
              <w:rPr>
                <w:rFonts w:ascii="黑体" w:eastAsia="黑体" w:hAnsi="Arial" w:cs="Arial"/>
                <w:sz w:val="16"/>
                <w:szCs w:val="16"/>
              </w:rPr>
            </w:pPr>
          </w:p>
        </w:tc>
      </w:tr>
    </w:tbl>
    <w:p w:rsidR="0087374E" w:rsidRPr="0087374E" w:rsidRDefault="0087374E" w:rsidP="0087374E">
      <w:pPr>
        <w:spacing w:before="100" w:line="360" w:lineRule="auto"/>
        <w:rPr>
          <w:bCs/>
          <w:color w:val="000000"/>
          <w:sz w:val="24"/>
        </w:rPr>
      </w:pPr>
      <w:r w:rsidRPr="0087374E">
        <w:rPr>
          <w:rFonts w:hint="eastAsia"/>
          <w:bCs/>
          <w:color w:val="000000"/>
          <w:sz w:val="24"/>
        </w:rPr>
        <w:t>该买入返售金融资产已于</w:t>
      </w:r>
      <w:r w:rsidRPr="0087374E">
        <w:rPr>
          <w:rFonts w:hint="eastAsia"/>
          <w:bCs/>
          <w:color w:val="000000"/>
          <w:sz w:val="24"/>
        </w:rPr>
        <w:t>2018</w:t>
      </w:r>
      <w:r w:rsidRPr="0087374E">
        <w:rPr>
          <w:rFonts w:hint="eastAsia"/>
          <w:bCs/>
          <w:color w:val="000000"/>
          <w:sz w:val="24"/>
        </w:rPr>
        <w:t>年</w:t>
      </w:r>
      <w:r w:rsidRPr="0087374E">
        <w:rPr>
          <w:rFonts w:hint="eastAsia"/>
          <w:bCs/>
          <w:color w:val="000000"/>
          <w:sz w:val="24"/>
        </w:rPr>
        <w:t>8</w:t>
      </w:r>
      <w:r w:rsidRPr="0087374E">
        <w:rPr>
          <w:rFonts w:hint="eastAsia"/>
          <w:bCs/>
          <w:color w:val="000000"/>
          <w:sz w:val="24"/>
        </w:rPr>
        <w:t>月</w:t>
      </w:r>
      <w:r w:rsidRPr="0087374E">
        <w:rPr>
          <w:rFonts w:hint="eastAsia"/>
          <w:bCs/>
          <w:color w:val="000000"/>
          <w:sz w:val="24"/>
        </w:rPr>
        <w:t>13</w:t>
      </w:r>
      <w:r w:rsidRPr="0087374E">
        <w:rPr>
          <w:rFonts w:hint="eastAsia"/>
          <w:bCs/>
          <w:color w:val="000000"/>
          <w:sz w:val="24"/>
        </w:rPr>
        <w:t>日到期，成交金额人民币</w:t>
      </w:r>
      <w:r w:rsidRPr="0087374E">
        <w:rPr>
          <w:bCs/>
          <w:color w:val="000000"/>
          <w:sz w:val="24"/>
        </w:rPr>
        <w:t>800,050.19</w:t>
      </w:r>
      <w:r w:rsidRPr="0087374E">
        <w:rPr>
          <w:rFonts w:hint="eastAsia"/>
          <w:bCs/>
          <w:color w:val="000000"/>
          <w:sz w:val="24"/>
        </w:rPr>
        <w:t>元，变现款项已于</w:t>
      </w:r>
      <w:r w:rsidRPr="0087374E">
        <w:rPr>
          <w:rFonts w:hint="eastAsia"/>
          <w:bCs/>
          <w:color w:val="000000"/>
          <w:sz w:val="24"/>
        </w:rPr>
        <w:t>2018</w:t>
      </w:r>
      <w:r w:rsidRPr="0087374E">
        <w:rPr>
          <w:rFonts w:hint="eastAsia"/>
          <w:bCs/>
          <w:color w:val="000000"/>
          <w:sz w:val="24"/>
        </w:rPr>
        <w:t>年</w:t>
      </w:r>
      <w:r w:rsidRPr="0087374E">
        <w:rPr>
          <w:rFonts w:hint="eastAsia"/>
          <w:bCs/>
          <w:color w:val="000000"/>
          <w:sz w:val="24"/>
        </w:rPr>
        <w:t>8</w:t>
      </w:r>
      <w:r w:rsidRPr="0087374E">
        <w:rPr>
          <w:rFonts w:hint="eastAsia"/>
          <w:bCs/>
          <w:color w:val="000000"/>
          <w:sz w:val="24"/>
        </w:rPr>
        <w:t>月</w:t>
      </w:r>
      <w:r w:rsidRPr="0087374E">
        <w:rPr>
          <w:rFonts w:hint="eastAsia"/>
          <w:bCs/>
          <w:color w:val="000000"/>
          <w:sz w:val="24"/>
        </w:rPr>
        <w:t>14</w:t>
      </w:r>
      <w:r w:rsidRPr="0087374E">
        <w:rPr>
          <w:rFonts w:hint="eastAsia"/>
          <w:bCs/>
          <w:color w:val="000000"/>
          <w:sz w:val="24"/>
        </w:rPr>
        <w:t>日划入托管账户。</w:t>
      </w:r>
    </w:p>
    <w:p w:rsidR="00DC56BE" w:rsidRPr="00131651" w:rsidRDefault="00DC56BE" w:rsidP="00131651">
      <w:pPr>
        <w:spacing w:before="100" w:line="360" w:lineRule="auto"/>
        <w:ind w:firstLineChars="200" w:firstLine="480"/>
        <w:rPr>
          <w:bCs/>
          <w:color w:val="000000"/>
          <w:sz w:val="24"/>
        </w:rPr>
      </w:pPr>
      <w:r w:rsidRPr="00131651">
        <w:rPr>
          <w:rFonts w:hint="eastAsia"/>
          <w:bCs/>
          <w:color w:val="000000"/>
          <w:sz w:val="24"/>
        </w:rPr>
        <w:t>5.1.</w:t>
      </w:r>
      <w:r w:rsidR="00BD74A9">
        <w:rPr>
          <w:rFonts w:hint="eastAsia"/>
          <w:bCs/>
          <w:color w:val="000000"/>
          <w:sz w:val="24"/>
        </w:rPr>
        <w:t>5</w:t>
      </w:r>
      <w:r w:rsidR="00E94AEB">
        <w:rPr>
          <w:rFonts w:hint="eastAsia"/>
          <w:bCs/>
          <w:color w:val="000000"/>
          <w:sz w:val="24"/>
        </w:rPr>
        <w:t xml:space="preserve"> </w:t>
      </w:r>
      <w:r w:rsidRPr="00131651">
        <w:rPr>
          <w:rFonts w:hint="eastAsia"/>
          <w:bCs/>
          <w:color w:val="000000"/>
          <w:sz w:val="24"/>
        </w:rPr>
        <w:t>应收利息：截至本基金最后运作日银行存款利息人民币</w:t>
      </w:r>
      <w:r w:rsidRPr="00131651">
        <w:rPr>
          <w:bCs/>
          <w:color w:val="000000"/>
          <w:sz w:val="24"/>
        </w:rPr>
        <w:t>1</w:t>
      </w:r>
      <w:r w:rsidR="004D0226">
        <w:rPr>
          <w:rFonts w:hint="eastAsia"/>
          <w:bCs/>
          <w:color w:val="000000"/>
          <w:sz w:val="24"/>
        </w:rPr>
        <w:t>,</w:t>
      </w:r>
      <w:r w:rsidRPr="00131651">
        <w:rPr>
          <w:bCs/>
          <w:color w:val="000000"/>
          <w:sz w:val="24"/>
        </w:rPr>
        <w:t>139.86</w:t>
      </w:r>
      <w:r w:rsidRPr="00131651">
        <w:rPr>
          <w:rFonts w:hint="eastAsia"/>
          <w:bCs/>
          <w:color w:val="000000"/>
          <w:sz w:val="24"/>
        </w:rPr>
        <w:t>元，应收备付金利息人民币</w:t>
      </w:r>
      <w:r w:rsidRPr="00131651">
        <w:rPr>
          <w:bCs/>
          <w:color w:val="000000"/>
          <w:sz w:val="24"/>
        </w:rPr>
        <w:t>1</w:t>
      </w:r>
      <w:r w:rsidR="004D0226">
        <w:rPr>
          <w:rFonts w:hint="eastAsia"/>
          <w:bCs/>
          <w:color w:val="000000"/>
          <w:sz w:val="24"/>
        </w:rPr>
        <w:t>,</w:t>
      </w:r>
      <w:r w:rsidRPr="00131651">
        <w:rPr>
          <w:bCs/>
          <w:color w:val="000000"/>
          <w:sz w:val="24"/>
        </w:rPr>
        <w:t>499.2</w:t>
      </w:r>
      <w:r w:rsidRPr="00131651">
        <w:rPr>
          <w:rFonts w:hint="eastAsia"/>
          <w:bCs/>
          <w:color w:val="000000"/>
          <w:sz w:val="24"/>
        </w:rPr>
        <w:t>元，应收保证金利息人民币</w:t>
      </w:r>
      <w:r w:rsidRPr="00131651">
        <w:rPr>
          <w:bCs/>
          <w:color w:val="000000"/>
          <w:sz w:val="24"/>
        </w:rPr>
        <w:t>2.29</w:t>
      </w:r>
      <w:r w:rsidRPr="00131651">
        <w:rPr>
          <w:rFonts w:hint="eastAsia"/>
          <w:bCs/>
          <w:color w:val="000000"/>
          <w:sz w:val="24"/>
        </w:rPr>
        <w:t>元，应收债券利息（暂未变现债券国开</w:t>
      </w:r>
      <w:r w:rsidRPr="00131651">
        <w:rPr>
          <w:rFonts w:hint="eastAsia"/>
          <w:bCs/>
          <w:color w:val="000000"/>
          <w:sz w:val="24"/>
        </w:rPr>
        <w:t>1701</w:t>
      </w:r>
      <w:r w:rsidRPr="00131651">
        <w:rPr>
          <w:rFonts w:hint="eastAsia"/>
          <w:bCs/>
          <w:color w:val="000000"/>
          <w:sz w:val="24"/>
        </w:rPr>
        <w:t>）人民币</w:t>
      </w:r>
      <w:r w:rsidRPr="00131651">
        <w:rPr>
          <w:bCs/>
          <w:color w:val="000000"/>
          <w:sz w:val="24"/>
        </w:rPr>
        <w:t>26</w:t>
      </w:r>
      <w:r w:rsidR="004D0226">
        <w:rPr>
          <w:rFonts w:hint="eastAsia"/>
          <w:bCs/>
          <w:color w:val="000000"/>
          <w:sz w:val="24"/>
        </w:rPr>
        <w:t>,</w:t>
      </w:r>
      <w:r w:rsidRPr="00131651">
        <w:rPr>
          <w:bCs/>
          <w:color w:val="000000"/>
          <w:sz w:val="24"/>
        </w:rPr>
        <w:t>718.9</w:t>
      </w:r>
      <w:r w:rsidRPr="00131651">
        <w:rPr>
          <w:rFonts w:hint="eastAsia"/>
          <w:bCs/>
          <w:color w:val="000000"/>
          <w:sz w:val="24"/>
        </w:rPr>
        <w:t>元且</w:t>
      </w:r>
      <w:r w:rsidR="0087374E" w:rsidRPr="0087374E">
        <w:rPr>
          <w:rFonts w:hint="eastAsia"/>
          <w:bCs/>
          <w:color w:val="000000"/>
          <w:sz w:val="24"/>
        </w:rPr>
        <w:t>已于</w:t>
      </w:r>
      <w:r w:rsidR="0087374E" w:rsidRPr="0087374E">
        <w:rPr>
          <w:rFonts w:hint="eastAsia"/>
          <w:bCs/>
          <w:color w:val="000000"/>
          <w:sz w:val="24"/>
        </w:rPr>
        <w:t>2018</w:t>
      </w:r>
      <w:r w:rsidR="0087374E" w:rsidRPr="0087374E">
        <w:rPr>
          <w:rFonts w:hint="eastAsia"/>
          <w:bCs/>
          <w:color w:val="000000"/>
          <w:sz w:val="24"/>
        </w:rPr>
        <w:t>年</w:t>
      </w:r>
      <w:r w:rsidR="0087374E" w:rsidRPr="0087374E">
        <w:rPr>
          <w:rFonts w:hint="eastAsia"/>
          <w:bCs/>
          <w:color w:val="000000"/>
          <w:sz w:val="24"/>
        </w:rPr>
        <w:t>8</w:t>
      </w:r>
      <w:r w:rsidR="0087374E" w:rsidRPr="0087374E">
        <w:rPr>
          <w:rFonts w:hint="eastAsia"/>
          <w:bCs/>
          <w:color w:val="000000"/>
          <w:sz w:val="24"/>
        </w:rPr>
        <w:t>月</w:t>
      </w:r>
      <w:r w:rsidR="0087374E" w:rsidRPr="0087374E">
        <w:rPr>
          <w:rFonts w:hint="eastAsia"/>
          <w:bCs/>
          <w:color w:val="000000"/>
          <w:sz w:val="24"/>
        </w:rPr>
        <w:t>14</w:t>
      </w:r>
      <w:r w:rsidR="0087374E" w:rsidRPr="0087374E">
        <w:rPr>
          <w:rFonts w:hint="eastAsia"/>
          <w:bCs/>
          <w:color w:val="000000"/>
          <w:sz w:val="24"/>
        </w:rPr>
        <w:t>日划入托管账户</w:t>
      </w:r>
      <w:r w:rsidRPr="00131651">
        <w:rPr>
          <w:rFonts w:hint="eastAsia"/>
          <w:bCs/>
          <w:color w:val="000000"/>
          <w:sz w:val="24"/>
        </w:rPr>
        <w:t>；合计人民币</w:t>
      </w:r>
      <w:r w:rsidRPr="00131651">
        <w:rPr>
          <w:rFonts w:hint="eastAsia"/>
          <w:bCs/>
          <w:color w:val="000000"/>
          <w:sz w:val="24"/>
        </w:rPr>
        <w:t>29,360.25</w:t>
      </w:r>
      <w:r w:rsidR="00B03DF9">
        <w:rPr>
          <w:rFonts w:hint="eastAsia"/>
          <w:bCs/>
          <w:color w:val="000000"/>
          <w:sz w:val="24"/>
        </w:rPr>
        <w:t>元；其中银行存款利息、应收备付金利息、应收保证金利息款项</w:t>
      </w:r>
      <w:r w:rsidRPr="00131651">
        <w:rPr>
          <w:rFonts w:hint="eastAsia"/>
          <w:bCs/>
          <w:color w:val="000000"/>
          <w:sz w:val="24"/>
        </w:rPr>
        <w:t>由基金管理人以自有资金垫付，管理人垫资款项已于</w:t>
      </w:r>
      <w:r w:rsidR="00116992">
        <w:rPr>
          <w:rFonts w:ascii="宋体" w:hAnsi="宋体" w:hint="eastAsia"/>
          <w:color w:val="000000"/>
          <w:kern w:val="0"/>
          <w:sz w:val="24"/>
        </w:rPr>
        <w:t>2018年8月20日</w:t>
      </w:r>
      <w:r w:rsidRPr="00131651">
        <w:rPr>
          <w:rFonts w:hint="eastAsia"/>
          <w:bCs/>
          <w:color w:val="000000"/>
          <w:sz w:val="24"/>
        </w:rPr>
        <w:t>划入托管</w:t>
      </w:r>
      <w:r w:rsidR="00B42EF7">
        <w:rPr>
          <w:rFonts w:hint="eastAsia"/>
          <w:bCs/>
          <w:color w:val="000000"/>
          <w:sz w:val="24"/>
        </w:rPr>
        <w:t>账</w:t>
      </w:r>
      <w:r w:rsidRPr="00131651">
        <w:rPr>
          <w:rFonts w:hint="eastAsia"/>
          <w:bCs/>
          <w:color w:val="000000"/>
          <w:sz w:val="24"/>
        </w:rPr>
        <w:t>户，后期由管理人的垫资款</w:t>
      </w:r>
      <w:r w:rsidRPr="00131651">
        <w:rPr>
          <w:bCs/>
          <w:color w:val="000000"/>
          <w:sz w:val="24"/>
        </w:rPr>
        <w:t>孳生的利息将于清算期后</w:t>
      </w:r>
      <w:r w:rsidRPr="00131651">
        <w:rPr>
          <w:rFonts w:hint="eastAsia"/>
          <w:bCs/>
          <w:color w:val="000000"/>
          <w:sz w:val="24"/>
        </w:rPr>
        <w:t>与垫资款一并</w:t>
      </w:r>
      <w:r w:rsidRPr="00131651">
        <w:rPr>
          <w:bCs/>
          <w:color w:val="000000"/>
          <w:sz w:val="24"/>
        </w:rPr>
        <w:t>返还给基金管理人</w:t>
      </w:r>
      <w:r w:rsidR="00B42EF7">
        <w:rPr>
          <w:rFonts w:hint="eastAsia"/>
          <w:bCs/>
          <w:color w:val="000000"/>
          <w:sz w:val="24"/>
        </w:rPr>
        <w:t>。</w:t>
      </w:r>
    </w:p>
    <w:p w:rsidR="00D64964" w:rsidRPr="00131651" w:rsidRDefault="00D64964" w:rsidP="00131651">
      <w:pPr>
        <w:spacing w:before="100" w:line="360" w:lineRule="auto"/>
        <w:ind w:firstLineChars="200" w:firstLine="480"/>
        <w:rPr>
          <w:bCs/>
          <w:color w:val="000000"/>
          <w:sz w:val="24"/>
        </w:rPr>
      </w:pPr>
    </w:p>
    <w:p w:rsidR="00A872B4" w:rsidRPr="00D64964" w:rsidRDefault="00A872B4" w:rsidP="00BC629C">
      <w:pPr>
        <w:spacing w:line="360" w:lineRule="auto"/>
        <w:rPr>
          <w:rFonts w:ascii="宋体" w:hAnsi="宋体"/>
          <w:color w:val="000000"/>
          <w:kern w:val="0"/>
          <w:sz w:val="24"/>
        </w:rPr>
      </w:pPr>
      <w:r w:rsidRPr="00A872B4">
        <w:rPr>
          <w:rFonts w:ascii="宋体" w:hAnsi="宋体" w:hint="eastAsia"/>
          <w:b/>
          <w:color w:val="000000"/>
          <w:kern w:val="0"/>
          <w:sz w:val="24"/>
        </w:rPr>
        <w:t>5.2</w:t>
      </w:r>
      <w:r w:rsidR="00D64964" w:rsidRPr="00E94AEB">
        <w:rPr>
          <w:rFonts w:ascii="宋体" w:hAnsi="宋体"/>
          <w:b/>
          <w:color w:val="000000"/>
          <w:kern w:val="0"/>
          <w:sz w:val="24"/>
        </w:rPr>
        <w:t>负债清偿情况</w:t>
      </w:r>
    </w:p>
    <w:p w:rsidR="00680D47" w:rsidRPr="00131651" w:rsidRDefault="00DC56BE" w:rsidP="00131651">
      <w:pPr>
        <w:spacing w:before="100" w:line="360" w:lineRule="auto"/>
        <w:ind w:firstLineChars="200" w:firstLine="480"/>
        <w:rPr>
          <w:bCs/>
          <w:color w:val="000000"/>
          <w:sz w:val="24"/>
        </w:rPr>
      </w:pPr>
      <w:r>
        <w:rPr>
          <w:rFonts w:ascii="宋体" w:hAnsi="宋体" w:hint="eastAsia"/>
          <w:color w:val="000000"/>
          <w:kern w:val="0"/>
          <w:sz w:val="24"/>
        </w:rPr>
        <w:t>5</w:t>
      </w:r>
      <w:r w:rsidRPr="00131651">
        <w:rPr>
          <w:rFonts w:hint="eastAsia"/>
          <w:bCs/>
          <w:color w:val="000000"/>
          <w:sz w:val="24"/>
        </w:rPr>
        <w:t>.2.1</w:t>
      </w:r>
      <w:r w:rsidR="00680D47" w:rsidRPr="00131651">
        <w:rPr>
          <w:rFonts w:hint="eastAsia"/>
          <w:bCs/>
          <w:color w:val="000000"/>
          <w:sz w:val="24"/>
        </w:rPr>
        <w:t>应付证券清算款：截至本基金最后运作日应付证券清算款人民币</w:t>
      </w:r>
      <w:r w:rsidR="00680D47" w:rsidRPr="00131651">
        <w:rPr>
          <w:bCs/>
          <w:color w:val="000000"/>
          <w:sz w:val="24"/>
        </w:rPr>
        <w:t>800</w:t>
      </w:r>
      <w:r w:rsidR="004D0226">
        <w:rPr>
          <w:rFonts w:hint="eastAsia"/>
          <w:bCs/>
          <w:color w:val="000000"/>
          <w:sz w:val="24"/>
        </w:rPr>
        <w:t>,</w:t>
      </w:r>
      <w:r w:rsidR="00680D47" w:rsidRPr="00131651">
        <w:rPr>
          <w:bCs/>
          <w:color w:val="000000"/>
          <w:sz w:val="24"/>
        </w:rPr>
        <w:t>000</w:t>
      </w:r>
      <w:r w:rsidR="004D0226">
        <w:rPr>
          <w:rFonts w:hint="eastAsia"/>
          <w:bCs/>
          <w:color w:val="000000"/>
          <w:sz w:val="24"/>
        </w:rPr>
        <w:t>.00</w:t>
      </w:r>
      <w:r w:rsidR="00680D47" w:rsidRPr="00131651">
        <w:rPr>
          <w:rFonts w:hint="eastAsia"/>
          <w:bCs/>
          <w:color w:val="000000"/>
          <w:sz w:val="24"/>
        </w:rPr>
        <w:t>元，该款项已于</w:t>
      </w:r>
      <w:r w:rsidR="00680D47" w:rsidRPr="00131651">
        <w:rPr>
          <w:rFonts w:hint="eastAsia"/>
          <w:bCs/>
          <w:color w:val="000000"/>
          <w:sz w:val="24"/>
        </w:rPr>
        <w:t>2018</w:t>
      </w:r>
      <w:r w:rsidR="00680D47" w:rsidRPr="00131651">
        <w:rPr>
          <w:rFonts w:hint="eastAsia"/>
          <w:bCs/>
          <w:color w:val="000000"/>
          <w:sz w:val="24"/>
        </w:rPr>
        <w:t>年</w:t>
      </w:r>
      <w:r w:rsidR="00680D47" w:rsidRPr="00131651">
        <w:rPr>
          <w:rFonts w:hint="eastAsia"/>
          <w:bCs/>
          <w:color w:val="000000"/>
          <w:sz w:val="24"/>
        </w:rPr>
        <w:t>8</w:t>
      </w:r>
      <w:r w:rsidR="00680D47" w:rsidRPr="00131651">
        <w:rPr>
          <w:rFonts w:hint="eastAsia"/>
          <w:bCs/>
          <w:color w:val="000000"/>
          <w:sz w:val="24"/>
        </w:rPr>
        <w:t>月</w:t>
      </w:r>
      <w:r w:rsidR="00680D47" w:rsidRPr="00131651">
        <w:rPr>
          <w:rFonts w:hint="eastAsia"/>
          <w:bCs/>
          <w:color w:val="000000"/>
          <w:sz w:val="24"/>
        </w:rPr>
        <w:t>13</w:t>
      </w:r>
      <w:r w:rsidR="00680D47" w:rsidRPr="00131651">
        <w:rPr>
          <w:rFonts w:hint="eastAsia"/>
          <w:bCs/>
          <w:color w:val="000000"/>
          <w:sz w:val="24"/>
        </w:rPr>
        <w:t>日</w:t>
      </w:r>
      <w:r w:rsidR="00B42EF7">
        <w:rPr>
          <w:rFonts w:hint="eastAsia"/>
          <w:bCs/>
          <w:color w:val="000000"/>
          <w:sz w:val="24"/>
        </w:rPr>
        <w:t>支付。</w:t>
      </w:r>
    </w:p>
    <w:p w:rsidR="00680D47" w:rsidRPr="00131651" w:rsidRDefault="00680D47" w:rsidP="00131651">
      <w:pPr>
        <w:spacing w:before="100" w:line="360" w:lineRule="auto"/>
        <w:ind w:firstLineChars="200" w:firstLine="480"/>
        <w:rPr>
          <w:bCs/>
          <w:color w:val="000000"/>
          <w:sz w:val="24"/>
        </w:rPr>
      </w:pPr>
      <w:r w:rsidRPr="00131651">
        <w:rPr>
          <w:rFonts w:hint="eastAsia"/>
          <w:bCs/>
          <w:color w:val="000000"/>
          <w:sz w:val="24"/>
        </w:rPr>
        <w:t>5.2.2</w:t>
      </w:r>
      <w:r w:rsidR="00E94AEB">
        <w:rPr>
          <w:rFonts w:hint="eastAsia"/>
          <w:bCs/>
          <w:color w:val="000000"/>
          <w:sz w:val="24"/>
        </w:rPr>
        <w:t xml:space="preserve"> </w:t>
      </w:r>
      <w:r w:rsidRPr="00131651">
        <w:rPr>
          <w:rFonts w:hint="eastAsia"/>
          <w:bCs/>
          <w:color w:val="000000"/>
          <w:sz w:val="24"/>
        </w:rPr>
        <w:t>应付赎回款：截至本基金最后运作日应付赎回款人民币</w:t>
      </w:r>
      <w:r w:rsidRPr="00131651">
        <w:rPr>
          <w:rFonts w:hint="eastAsia"/>
          <w:bCs/>
          <w:color w:val="000000"/>
          <w:sz w:val="24"/>
        </w:rPr>
        <w:t>35,950.22</w:t>
      </w:r>
      <w:r w:rsidRPr="00131651">
        <w:rPr>
          <w:rFonts w:hint="eastAsia"/>
          <w:bCs/>
          <w:color w:val="000000"/>
          <w:sz w:val="24"/>
        </w:rPr>
        <w:t>元，款项已于</w:t>
      </w:r>
      <w:r w:rsidR="00BD74A9" w:rsidRPr="00BD74A9">
        <w:rPr>
          <w:rFonts w:hint="eastAsia"/>
          <w:bCs/>
          <w:color w:val="000000"/>
          <w:sz w:val="24"/>
        </w:rPr>
        <w:t>2018</w:t>
      </w:r>
      <w:r w:rsidR="00BD74A9" w:rsidRPr="00BD74A9">
        <w:rPr>
          <w:rFonts w:hint="eastAsia"/>
          <w:bCs/>
          <w:color w:val="000000"/>
          <w:sz w:val="24"/>
        </w:rPr>
        <w:t>年</w:t>
      </w:r>
      <w:r w:rsidR="00BD74A9" w:rsidRPr="00BD74A9">
        <w:rPr>
          <w:rFonts w:hint="eastAsia"/>
          <w:bCs/>
          <w:color w:val="000000"/>
          <w:sz w:val="24"/>
        </w:rPr>
        <w:t>8</w:t>
      </w:r>
      <w:r w:rsidR="00BD74A9" w:rsidRPr="00BD74A9">
        <w:rPr>
          <w:rFonts w:hint="eastAsia"/>
          <w:bCs/>
          <w:color w:val="000000"/>
          <w:sz w:val="24"/>
        </w:rPr>
        <w:t>月</w:t>
      </w:r>
      <w:r w:rsidR="00BD74A9" w:rsidRPr="00BD74A9">
        <w:rPr>
          <w:rFonts w:hint="eastAsia"/>
          <w:bCs/>
          <w:color w:val="000000"/>
          <w:sz w:val="24"/>
        </w:rPr>
        <w:t>13</w:t>
      </w:r>
      <w:r w:rsidR="00BD74A9" w:rsidRPr="00BD74A9">
        <w:rPr>
          <w:rFonts w:hint="eastAsia"/>
          <w:bCs/>
          <w:color w:val="000000"/>
          <w:sz w:val="24"/>
        </w:rPr>
        <w:t>日及</w:t>
      </w:r>
      <w:r w:rsidRPr="00131651">
        <w:rPr>
          <w:rFonts w:hint="eastAsia"/>
          <w:bCs/>
          <w:color w:val="000000"/>
          <w:sz w:val="24"/>
        </w:rPr>
        <w:t>2018</w:t>
      </w:r>
      <w:r w:rsidRPr="00131651">
        <w:rPr>
          <w:rFonts w:hint="eastAsia"/>
          <w:bCs/>
          <w:color w:val="000000"/>
          <w:sz w:val="24"/>
        </w:rPr>
        <w:t>年</w:t>
      </w:r>
      <w:r w:rsidRPr="00131651">
        <w:rPr>
          <w:rFonts w:hint="eastAsia"/>
          <w:bCs/>
          <w:color w:val="000000"/>
          <w:sz w:val="24"/>
        </w:rPr>
        <w:t>8</w:t>
      </w:r>
      <w:r w:rsidRPr="00131651">
        <w:rPr>
          <w:rFonts w:hint="eastAsia"/>
          <w:bCs/>
          <w:color w:val="000000"/>
          <w:sz w:val="24"/>
        </w:rPr>
        <w:t>月</w:t>
      </w:r>
      <w:r w:rsidRPr="00131651">
        <w:rPr>
          <w:rFonts w:hint="eastAsia"/>
          <w:bCs/>
          <w:color w:val="000000"/>
          <w:sz w:val="24"/>
        </w:rPr>
        <w:t>14</w:t>
      </w:r>
      <w:r w:rsidRPr="00131651">
        <w:rPr>
          <w:rFonts w:hint="eastAsia"/>
          <w:bCs/>
          <w:color w:val="000000"/>
          <w:sz w:val="24"/>
        </w:rPr>
        <w:t>日</w:t>
      </w:r>
      <w:r w:rsidR="00BD74A9">
        <w:rPr>
          <w:rFonts w:hint="eastAsia"/>
          <w:bCs/>
          <w:color w:val="000000"/>
          <w:sz w:val="24"/>
        </w:rPr>
        <w:t>相继</w:t>
      </w:r>
      <w:r w:rsidR="00B42EF7">
        <w:rPr>
          <w:rFonts w:hint="eastAsia"/>
          <w:bCs/>
          <w:color w:val="000000"/>
          <w:sz w:val="24"/>
        </w:rPr>
        <w:t>支付。</w:t>
      </w:r>
    </w:p>
    <w:p w:rsidR="00DC56BE" w:rsidRPr="00131651" w:rsidRDefault="00DC56BE" w:rsidP="00131651">
      <w:pPr>
        <w:spacing w:before="100" w:line="360" w:lineRule="auto"/>
        <w:ind w:firstLineChars="200" w:firstLine="480"/>
        <w:rPr>
          <w:bCs/>
          <w:color w:val="000000"/>
          <w:sz w:val="24"/>
        </w:rPr>
      </w:pPr>
      <w:r w:rsidRPr="00131651">
        <w:rPr>
          <w:rFonts w:hint="eastAsia"/>
          <w:bCs/>
          <w:color w:val="000000"/>
          <w:sz w:val="24"/>
        </w:rPr>
        <w:t>5.2.3</w:t>
      </w:r>
      <w:r w:rsidR="00680D47" w:rsidRPr="00131651">
        <w:rPr>
          <w:rFonts w:hint="eastAsia"/>
          <w:bCs/>
          <w:color w:val="000000"/>
          <w:sz w:val="24"/>
        </w:rPr>
        <w:t>应付管理人报酬：截至本基金最后运作日应付管理人报酬人民币</w:t>
      </w:r>
      <w:r w:rsidR="00680D47" w:rsidRPr="00131651">
        <w:rPr>
          <w:bCs/>
          <w:color w:val="000000"/>
          <w:sz w:val="24"/>
        </w:rPr>
        <w:t>2</w:t>
      </w:r>
      <w:r w:rsidR="004D0226">
        <w:rPr>
          <w:rFonts w:hint="eastAsia"/>
          <w:bCs/>
          <w:color w:val="000000"/>
          <w:sz w:val="24"/>
        </w:rPr>
        <w:t>,</w:t>
      </w:r>
      <w:r w:rsidR="00680D47" w:rsidRPr="00131651">
        <w:rPr>
          <w:bCs/>
          <w:color w:val="000000"/>
          <w:sz w:val="24"/>
        </w:rPr>
        <w:t>993.96</w:t>
      </w:r>
      <w:r w:rsidR="00680D47" w:rsidRPr="00131651">
        <w:rPr>
          <w:rFonts w:hint="eastAsia"/>
          <w:bCs/>
          <w:color w:val="000000"/>
          <w:sz w:val="24"/>
        </w:rPr>
        <w:t>元，款项已于</w:t>
      </w:r>
      <w:r w:rsidR="00680D47" w:rsidRPr="00131651">
        <w:rPr>
          <w:rFonts w:hint="eastAsia"/>
          <w:bCs/>
          <w:color w:val="000000"/>
          <w:sz w:val="24"/>
        </w:rPr>
        <w:t>2018</w:t>
      </w:r>
      <w:r w:rsidR="00680D47" w:rsidRPr="00131651">
        <w:rPr>
          <w:rFonts w:hint="eastAsia"/>
          <w:bCs/>
          <w:color w:val="000000"/>
          <w:sz w:val="24"/>
        </w:rPr>
        <w:t>年</w:t>
      </w:r>
      <w:r w:rsidR="00680D47" w:rsidRPr="00131651">
        <w:rPr>
          <w:rFonts w:hint="eastAsia"/>
          <w:bCs/>
          <w:color w:val="000000"/>
          <w:sz w:val="24"/>
        </w:rPr>
        <w:t>8</w:t>
      </w:r>
      <w:r w:rsidR="00680D47" w:rsidRPr="00131651">
        <w:rPr>
          <w:rFonts w:hint="eastAsia"/>
          <w:bCs/>
          <w:color w:val="000000"/>
          <w:sz w:val="24"/>
        </w:rPr>
        <w:t>月</w:t>
      </w:r>
      <w:r w:rsidR="00680D47" w:rsidRPr="00131651">
        <w:rPr>
          <w:rFonts w:hint="eastAsia"/>
          <w:bCs/>
          <w:color w:val="000000"/>
          <w:sz w:val="24"/>
        </w:rPr>
        <w:t>16</w:t>
      </w:r>
      <w:r w:rsidR="00680D47" w:rsidRPr="00131651">
        <w:rPr>
          <w:rFonts w:hint="eastAsia"/>
          <w:bCs/>
          <w:color w:val="000000"/>
          <w:sz w:val="24"/>
        </w:rPr>
        <w:t>日</w:t>
      </w:r>
      <w:r w:rsidR="00B42EF7">
        <w:rPr>
          <w:rFonts w:hint="eastAsia"/>
          <w:bCs/>
          <w:color w:val="000000"/>
          <w:sz w:val="24"/>
        </w:rPr>
        <w:t>支付。</w:t>
      </w:r>
    </w:p>
    <w:p w:rsidR="00680D47" w:rsidRPr="00131651" w:rsidRDefault="00680D47" w:rsidP="00131651">
      <w:pPr>
        <w:spacing w:before="100" w:line="360" w:lineRule="auto"/>
        <w:ind w:firstLineChars="200" w:firstLine="480"/>
        <w:rPr>
          <w:bCs/>
          <w:color w:val="000000"/>
          <w:sz w:val="24"/>
        </w:rPr>
      </w:pPr>
      <w:r w:rsidRPr="00131651">
        <w:rPr>
          <w:rFonts w:hint="eastAsia"/>
          <w:bCs/>
          <w:color w:val="000000"/>
          <w:sz w:val="24"/>
        </w:rPr>
        <w:t>5.2.4</w:t>
      </w:r>
      <w:r w:rsidR="00E94AEB">
        <w:rPr>
          <w:rFonts w:hint="eastAsia"/>
          <w:bCs/>
          <w:color w:val="000000"/>
          <w:sz w:val="24"/>
        </w:rPr>
        <w:t xml:space="preserve"> </w:t>
      </w:r>
      <w:r w:rsidRPr="00131651">
        <w:rPr>
          <w:rFonts w:hint="eastAsia"/>
          <w:bCs/>
          <w:color w:val="000000"/>
          <w:sz w:val="24"/>
        </w:rPr>
        <w:t>应付托管费：截至本基金最后运作日应付托管费人民币</w:t>
      </w:r>
      <w:r w:rsidRPr="00131651">
        <w:rPr>
          <w:bCs/>
          <w:color w:val="000000"/>
          <w:sz w:val="24"/>
        </w:rPr>
        <w:t>499.01</w:t>
      </w:r>
      <w:r w:rsidRPr="00131651">
        <w:rPr>
          <w:rFonts w:hint="eastAsia"/>
          <w:bCs/>
          <w:color w:val="000000"/>
          <w:sz w:val="24"/>
        </w:rPr>
        <w:t>元，款项已于</w:t>
      </w:r>
      <w:r w:rsidRPr="00131651">
        <w:rPr>
          <w:rFonts w:hint="eastAsia"/>
          <w:bCs/>
          <w:color w:val="000000"/>
          <w:sz w:val="24"/>
        </w:rPr>
        <w:t>2018</w:t>
      </w:r>
      <w:r w:rsidRPr="00131651">
        <w:rPr>
          <w:rFonts w:hint="eastAsia"/>
          <w:bCs/>
          <w:color w:val="000000"/>
          <w:sz w:val="24"/>
        </w:rPr>
        <w:t>年</w:t>
      </w:r>
      <w:r w:rsidRPr="00131651">
        <w:rPr>
          <w:rFonts w:hint="eastAsia"/>
          <w:bCs/>
          <w:color w:val="000000"/>
          <w:sz w:val="24"/>
        </w:rPr>
        <w:t>8</w:t>
      </w:r>
      <w:r w:rsidRPr="00131651">
        <w:rPr>
          <w:rFonts w:hint="eastAsia"/>
          <w:bCs/>
          <w:color w:val="000000"/>
          <w:sz w:val="24"/>
        </w:rPr>
        <w:t>月</w:t>
      </w:r>
      <w:r w:rsidRPr="00131651">
        <w:rPr>
          <w:rFonts w:hint="eastAsia"/>
          <w:bCs/>
          <w:color w:val="000000"/>
          <w:sz w:val="24"/>
        </w:rPr>
        <w:t>16</w:t>
      </w:r>
      <w:r w:rsidRPr="00131651">
        <w:rPr>
          <w:rFonts w:hint="eastAsia"/>
          <w:bCs/>
          <w:color w:val="000000"/>
          <w:sz w:val="24"/>
        </w:rPr>
        <w:t>日</w:t>
      </w:r>
      <w:r w:rsidR="00B42EF7">
        <w:rPr>
          <w:rFonts w:hint="eastAsia"/>
          <w:bCs/>
          <w:color w:val="000000"/>
          <w:sz w:val="24"/>
        </w:rPr>
        <w:t>支付。</w:t>
      </w:r>
    </w:p>
    <w:p w:rsidR="00F92E1E" w:rsidRPr="00131651" w:rsidRDefault="00680D47" w:rsidP="00131651">
      <w:pPr>
        <w:spacing w:before="100" w:line="360" w:lineRule="auto"/>
        <w:ind w:firstLineChars="200" w:firstLine="480"/>
        <w:rPr>
          <w:bCs/>
          <w:color w:val="000000"/>
          <w:sz w:val="24"/>
        </w:rPr>
      </w:pPr>
      <w:r w:rsidRPr="00131651">
        <w:rPr>
          <w:rFonts w:hint="eastAsia"/>
          <w:bCs/>
          <w:color w:val="000000"/>
          <w:sz w:val="24"/>
        </w:rPr>
        <w:t>5.2.5</w:t>
      </w:r>
      <w:r w:rsidR="00E94AEB">
        <w:rPr>
          <w:rFonts w:hint="eastAsia"/>
          <w:bCs/>
          <w:color w:val="000000"/>
          <w:sz w:val="24"/>
        </w:rPr>
        <w:t xml:space="preserve"> </w:t>
      </w:r>
      <w:r w:rsidRPr="00131651">
        <w:rPr>
          <w:rFonts w:hint="eastAsia"/>
          <w:bCs/>
          <w:color w:val="000000"/>
          <w:sz w:val="24"/>
        </w:rPr>
        <w:t>其他负债：截至本基金最后运作日其他负债</w:t>
      </w:r>
      <w:r w:rsidR="00AC6DA7" w:rsidRPr="00131651">
        <w:rPr>
          <w:rFonts w:hint="eastAsia"/>
          <w:bCs/>
          <w:color w:val="000000"/>
          <w:sz w:val="24"/>
        </w:rPr>
        <w:t>合计人民币</w:t>
      </w:r>
      <w:r w:rsidR="00C45E51" w:rsidRPr="00131651">
        <w:rPr>
          <w:rFonts w:hint="eastAsia"/>
          <w:bCs/>
          <w:color w:val="000000"/>
          <w:sz w:val="24"/>
        </w:rPr>
        <w:t>169</w:t>
      </w:r>
      <w:r w:rsidR="004D0226">
        <w:rPr>
          <w:rFonts w:hint="eastAsia"/>
          <w:bCs/>
          <w:color w:val="000000"/>
          <w:sz w:val="24"/>
        </w:rPr>
        <w:t>,</w:t>
      </w:r>
      <w:r w:rsidR="00C45E51" w:rsidRPr="00131651">
        <w:rPr>
          <w:rFonts w:hint="eastAsia"/>
          <w:bCs/>
          <w:color w:val="000000"/>
          <w:sz w:val="24"/>
        </w:rPr>
        <w:t>578.84</w:t>
      </w:r>
      <w:r w:rsidR="00C45E51" w:rsidRPr="00131651">
        <w:rPr>
          <w:rFonts w:hint="eastAsia"/>
          <w:bCs/>
          <w:color w:val="000000"/>
          <w:sz w:val="24"/>
        </w:rPr>
        <w:t>元</w:t>
      </w:r>
      <w:r w:rsidR="00AC6DA7" w:rsidRPr="00131651">
        <w:rPr>
          <w:rFonts w:hint="eastAsia"/>
          <w:bCs/>
          <w:color w:val="000000"/>
          <w:sz w:val="24"/>
        </w:rPr>
        <w:t>，其中</w:t>
      </w:r>
      <w:r w:rsidRPr="00131651">
        <w:rPr>
          <w:rFonts w:hint="eastAsia"/>
          <w:bCs/>
          <w:color w:val="000000"/>
          <w:sz w:val="24"/>
        </w:rPr>
        <w:t>人民币</w:t>
      </w:r>
      <w:r w:rsidRPr="00131651">
        <w:rPr>
          <w:bCs/>
          <w:color w:val="000000"/>
          <w:sz w:val="24"/>
        </w:rPr>
        <w:t>169</w:t>
      </w:r>
      <w:r w:rsidR="004D0226">
        <w:rPr>
          <w:rFonts w:hint="eastAsia"/>
          <w:bCs/>
          <w:color w:val="000000"/>
          <w:sz w:val="24"/>
        </w:rPr>
        <w:t>,</w:t>
      </w:r>
      <w:r w:rsidRPr="00131651">
        <w:rPr>
          <w:bCs/>
          <w:color w:val="000000"/>
          <w:sz w:val="24"/>
        </w:rPr>
        <w:t>443.36</w:t>
      </w:r>
      <w:r w:rsidR="00AC6DA7" w:rsidRPr="00131651">
        <w:rPr>
          <w:rFonts w:hint="eastAsia"/>
          <w:bCs/>
          <w:color w:val="000000"/>
          <w:sz w:val="24"/>
        </w:rPr>
        <w:t>元</w:t>
      </w:r>
      <w:r w:rsidRPr="00131651">
        <w:rPr>
          <w:rFonts w:hint="eastAsia"/>
          <w:bCs/>
          <w:color w:val="000000"/>
          <w:sz w:val="24"/>
        </w:rPr>
        <w:t>，即为预提中国证券报信息披露费、预提上海证券报信息披露费、预提深圳证券时报信息披露费的预提信披费用，</w:t>
      </w:r>
      <w:r w:rsidR="00AC6DA7" w:rsidRPr="00131651">
        <w:rPr>
          <w:rFonts w:hint="eastAsia"/>
          <w:bCs/>
          <w:color w:val="000000"/>
          <w:sz w:val="24"/>
        </w:rPr>
        <w:t>待收到其付费通知书及发票再行支付；</w:t>
      </w:r>
      <w:r w:rsidR="00AC6DA7" w:rsidRPr="00131651">
        <w:rPr>
          <w:bCs/>
          <w:color w:val="000000"/>
          <w:sz w:val="24"/>
        </w:rPr>
        <w:t xml:space="preserve"> </w:t>
      </w:r>
      <w:r w:rsidR="00AC6DA7" w:rsidRPr="00131651">
        <w:rPr>
          <w:rFonts w:hint="eastAsia"/>
          <w:bCs/>
          <w:color w:val="000000"/>
          <w:sz w:val="24"/>
        </w:rPr>
        <w:t>应付赎回费人民币</w:t>
      </w:r>
      <w:r w:rsidR="00AC6DA7" w:rsidRPr="00131651">
        <w:rPr>
          <w:rFonts w:hint="eastAsia"/>
          <w:bCs/>
          <w:color w:val="000000"/>
          <w:sz w:val="24"/>
        </w:rPr>
        <w:t>135.48</w:t>
      </w:r>
      <w:r w:rsidR="00AC6DA7" w:rsidRPr="00131651">
        <w:rPr>
          <w:rFonts w:hint="eastAsia"/>
          <w:bCs/>
          <w:color w:val="000000"/>
          <w:sz w:val="24"/>
        </w:rPr>
        <w:t>元已于</w:t>
      </w:r>
      <w:r w:rsidR="00AC6DA7" w:rsidRPr="00131651">
        <w:rPr>
          <w:rFonts w:hint="eastAsia"/>
          <w:bCs/>
          <w:color w:val="000000"/>
          <w:sz w:val="24"/>
        </w:rPr>
        <w:t>2018</w:t>
      </w:r>
      <w:r w:rsidR="00AC6DA7" w:rsidRPr="00131651">
        <w:rPr>
          <w:rFonts w:hint="eastAsia"/>
          <w:bCs/>
          <w:color w:val="000000"/>
          <w:sz w:val="24"/>
        </w:rPr>
        <w:t>年</w:t>
      </w:r>
      <w:r w:rsidR="00AC6DA7" w:rsidRPr="00131651">
        <w:rPr>
          <w:rFonts w:hint="eastAsia"/>
          <w:bCs/>
          <w:color w:val="000000"/>
          <w:sz w:val="24"/>
        </w:rPr>
        <w:t>8</w:t>
      </w:r>
      <w:r w:rsidR="00AC6DA7" w:rsidRPr="00131651">
        <w:rPr>
          <w:rFonts w:hint="eastAsia"/>
          <w:bCs/>
          <w:color w:val="000000"/>
          <w:sz w:val="24"/>
        </w:rPr>
        <w:t>月</w:t>
      </w:r>
      <w:r w:rsidR="00EF0ED3">
        <w:rPr>
          <w:rFonts w:hint="eastAsia"/>
          <w:bCs/>
          <w:color w:val="000000"/>
          <w:sz w:val="24"/>
        </w:rPr>
        <w:t>13</w:t>
      </w:r>
      <w:r w:rsidR="00EF0ED3">
        <w:rPr>
          <w:rFonts w:hint="eastAsia"/>
          <w:bCs/>
          <w:color w:val="000000"/>
          <w:sz w:val="24"/>
        </w:rPr>
        <w:t>日、</w:t>
      </w:r>
      <w:r w:rsidR="0087374E" w:rsidRPr="00131651">
        <w:rPr>
          <w:rFonts w:hint="eastAsia"/>
          <w:bCs/>
          <w:color w:val="000000"/>
          <w:sz w:val="24"/>
        </w:rPr>
        <w:t>2018</w:t>
      </w:r>
      <w:r w:rsidR="0087374E" w:rsidRPr="00131651">
        <w:rPr>
          <w:rFonts w:hint="eastAsia"/>
          <w:bCs/>
          <w:color w:val="000000"/>
          <w:sz w:val="24"/>
        </w:rPr>
        <w:t>年</w:t>
      </w:r>
      <w:r w:rsidR="0087374E" w:rsidRPr="00131651">
        <w:rPr>
          <w:rFonts w:hint="eastAsia"/>
          <w:bCs/>
          <w:color w:val="000000"/>
          <w:sz w:val="24"/>
        </w:rPr>
        <w:t>8</w:t>
      </w:r>
      <w:r w:rsidR="0087374E" w:rsidRPr="00131651">
        <w:rPr>
          <w:rFonts w:hint="eastAsia"/>
          <w:bCs/>
          <w:color w:val="000000"/>
          <w:sz w:val="24"/>
        </w:rPr>
        <w:t>月</w:t>
      </w:r>
      <w:r w:rsidR="00AC6DA7" w:rsidRPr="00131651">
        <w:rPr>
          <w:rFonts w:hint="eastAsia"/>
          <w:bCs/>
          <w:color w:val="000000"/>
          <w:sz w:val="24"/>
        </w:rPr>
        <w:t>14</w:t>
      </w:r>
      <w:r w:rsidR="00AC6DA7" w:rsidRPr="00131651">
        <w:rPr>
          <w:rFonts w:hint="eastAsia"/>
          <w:bCs/>
          <w:color w:val="000000"/>
          <w:sz w:val="24"/>
        </w:rPr>
        <w:t>日</w:t>
      </w:r>
      <w:r w:rsidR="00B42EF7">
        <w:rPr>
          <w:rFonts w:hint="eastAsia"/>
          <w:bCs/>
          <w:color w:val="000000"/>
          <w:sz w:val="24"/>
        </w:rPr>
        <w:t>支付。</w:t>
      </w:r>
    </w:p>
    <w:p w:rsidR="00D64964" w:rsidRPr="00131651" w:rsidRDefault="00B76CF2" w:rsidP="00131651">
      <w:pPr>
        <w:spacing w:before="100" w:line="360" w:lineRule="auto"/>
        <w:ind w:firstLineChars="200" w:firstLine="480"/>
        <w:rPr>
          <w:bCs/>
          <w:color w:val="000000"/>
          <w:sz w:val="24"/>
        </w:rPr>
      </w:pPr>
      <w:r w:rsidRPr="00131651">
        <w:rPr>
          <w:rFonts w:hint="eastAsia"/>
          <w:bCs/>
          <w:color w:val="000000"/>
          <w:sz w:val="24"/>
        </w:rPr>
        <w:t>5.2.6</w:t>
      </w:r>
      <w:r w:rsidRPr="00131651">
        <w:rPr>
          <w:rFonts w:hint="eastAsia"/>
          <w:bCs/>
          <w:color w:val="000000"/>
          <w:sz w:val="24"/>
        </w:rPr>
        <w:t>其他：</w:t>
      </w:r>
      <w:r w:rsidRPr="00131651">
        <w:rPr>
          <w:bCs/>
          <w:color w:val="000000"/>
          <w:sz w:val="24"/>
        </w:rPr>
        <w:t>按照《</w:t>
      </w:r>
      <w:r w:rsidRPr="00131651">
        <w:rPr>
          <w:rFonts w:hint="eastAsia"/>
          <w:bCs/>
          <w:color w:val="000000"/>
          <w:sz w:val="24"/>
        </w:rPr>
        <w:t>银河量化配置混合型</w:t>
      </w:r>
      <w:r w:rsidRPr="00131651">
        <w:rPr>
          <w:bCs/>
          <w:color w:val="000000"/>
          <w:sz w:val="24"/>
        </w:rPr>
        <w:t>证券投资基金基金合同》第十九部分</w:t>
      </w:r>
      <w:r w:rsidRPr="00131651">
        <w:rPr>
          <w:bCs/>
          <w:color w:val="000000"/>
          <w:sz w:val="24"/>
        </w:rPr>
        <w:t>“</w:t>
      </w:r>
      <w:r w:rsidRPr="00131651">
        <w:rPr>
          <w:bCs/>
          <w:color w:val="000000"/>
          <w:sz w:val="24"/>
        </w:rPr>
        <w:t>基金合同的变更、终止与基金财产的清算</w:t>
      </w:r>
      <w:r w:rsidRPr="00131651">
        <w:rPr>
          <w:bCs/>
          <w:color w:val="000000"/>
          <w:sz w:val="24"/>
        </w:rPr>
        <w:t>”</w:t>
      </w:r>
      <w:r w:rsidRPr="00131651">
        <w:rPr>
          <w:bCs/>
          <w:color w:val="000000"/>
          <w:sz w:val="24"/>
        </w:rPr>
        <w:t>的规定，清算费用是指基金财产清算小组在进行基金清算过程中发生的所有合理费用，清算费用由基金财产清算小组优先从基金财产中支付。</w:t>
      </w:r>
      <w:r w:rsidR="00B8196C" w:rsidRPr="00131651">
        <w:rPr>
          <w:rFonts w:hint="eastAsia"/>
          <w:bCs/>
          <w:color w:val="000000"/>
          <w:sz w:val="24"/>
        </w:rPr>
        <w:t>清算期审计费用人民币</w:t>
      </w:r>
      <w:r w:rsidR="00B8196C" w:rsidRPr="00131651">
        <w:rPr>
          <w:rFonts w:hint="eastAsia"/>
          <w:bCs/>
          <w:color w:val="000000"/>
          <w:sz w:val="24"/>
        </w:rPr>
        <w:t>20</w:t>
      </w:r>
      <w:r w:rsidR="00B8196C">
        <w:rPr>
          <w:rFonts w:hint="eastAsia"/>
          <w:bCs/>
          <w:color w:val="000000"/>
          <w:sz w:val="24"/>
        </w:rPr>
        <w:t>,</w:t>
      </w:r>
      <w:r w:rsidR="00B8196C" w:rsidRPr="00131651">
        <w:rPr>
          <w:rFonts w:hint="eastAsia"/>
          <w:bCs/>
          <w:color w:val="000000"/>
          <w:sz w:val="24"/>
        </w:rPr>
        <w:t>000</w:t>
      </w:r>
      <w:r w:rsidR="00B8196C">
        <w:rPr>
          <w:rFonts w:hint="eastAsia"/>
          <w:bCs/>
          <w:color w:val="000000"/>
          <w:sz w:val="24"/>
        </w:rPr>
        <w:t>.00</w:t>
      </w:r>
      <w:r w:rsidR="00B8196C" w:rsidRPr="00131651">
        <w:rPr>
          <w:rFonts w:hint="eastAsia"/>
          <w:bCs/>
          <w:color w:val="000000"/>
          <w:sz w:val="24"/>
        </w:rPr>
        <w:t>元</w:t>
      </w:r>
      <w:r w:rsidR="00B8196C">
        <w:rPr>
          <w:rFonts w:hint="eastAsia"/>
          <w:bCs/>
          <w:color w:val="000000"/>
          <w:sz w:val="24"/>
        </w:rPr>
        <w:t>待后续收到审计付费通知书再行支付。</w:t>
      </w:r>
      <w:r w:rsidRPr="00131651">
        <w:rPr>
          <w:rFonts w:hint="eastAsia"/>
          <w:bCs/>
          <w:color w:val="000000"/>
          <w:sz w:val="24"/>
        </w:rPr>
        <w:t>依据《</w:t>
      </w:r>
      <w:r w:rsidR="00B42EF7">
        <w:rPr>
          <w:rFonts w:hint="eastAsia"/>
          <w:bCs/>
          <w:color w:val="000000"/>
          <w:sz w:val="24"/>
        </w:rPr>
        <w:t>银河基金管理有限公司</w:t>
      </w:r>
      <w:r w:rsidRPr="00131651">
        <w:rPr>
          <w:rFonts w:hint="eastAsia"/>
          <w:bCs/>
          <w:color w:val="000000"/>
          <w:sz w:val="24"/>
        </w:rPr>
        <w:t>关于银河量化配置混合型证券投资基金基金份额持有人大会表决结果暨决议生效的公告》</w:t>
      </w:r>
      <w:r w:rsidR="00B42EF7">
        <w:rPr>
          <w:rFonts w:hint="eastAsia"/>
          <w:bCs/>
          <w:color w:val="000000"/>
          <w:sz w:val="24"/>
        </w:rPr>
        <w:t>，</w:t>
      </w:r>
      <w:r w:rsidRPr="00131651">
        <w:rPr>
          <w:rFonts w:hint="eastAsia"/>
          <w:bCs/>
          <w:color w:val="000000"/>
          <w:sz w:val="24"/>
        </w:rPr>
        <w:t>此次持有人大会的费用（公证费</w:t>
      </w:r>
      <w:r w:rsidR="0087374E">
        <w:rPr>
          <w:rFonts w:hint="eastAsia"/>
          <w:bCs/>
          <w:color w:val="000000"/>
          <w:sz w:val="24"/>
        </w:rPr>
        <w:t>人民币</w:t>
      </w:r>
      <w:r w:rsidRPr="00131651">
        <w:rPr>
          <w:rFonts w:hint="eastAsia"/>
          <w:bCs/>
          <w:color w:val="000000"/>
          <w:sz w:val="24"/>
        </w:rPr>
        <w:t>15</w:t>
      </w:r>
      <w:r w:rsidR="004D0226">
        <w:rPr>
          <w:rFonts w:hint="eastAsia"/>
          <w:bCs/>
          <w:color w:val="000000"/>
          <w:sz w:val="24"/>
        </w:rPr>
        <w:t>,</w:t>
      </w:r>
      <w:r w:rsidRPr="00131651">
        <w:rPr>
          <w:rFonts w:hint="eastAsia"/>
          <w:bCs/>
          <w:color w:val="000000"/>
          <w:sz w:val="24"/>
        </w:rPr>
        <w:t>000</w:t>
      </w:r>
      <w:r w:rsidR="004D0226">
        <w:rPr>
          <w:rFonts w:hint="eastAsia"/>
          <w:bCs/>
          <w:color w:val="000000"/>
          <w:sz w:val="24"/>
        </w:rPr>
        <w:t>.00</w:t>
      </w:r>
      <w:r w:rsidRPr="00131651">
        <w:rPr>
          <w:rFonts w:hint="eastAsia"/>
          <w:bCs/>
          <w:color w:val="000000"/>
          <w:sz w:val="24"/>
        </w:rPr>
        <w:t>元及律师费</w:t>
      </w:r>
      <w:r w:rsidR="0087374E">
        <w:rPr>
          <w:rFonts w:hint="eastAsia"/>
          <w:bCs/>
          <w:color w:val="000000"/>
          <w:sz w:val="24"/>
        </w:rPr>
        <w:t>人民币</w:t>
      </w:r>
      <w:r w:rsidRPr="00131651">
        <w:rPr>
          <w:rFonts w:hint="eastAsia"/>
          <w:bCs/>
          <w:color w:val="000000"/>
          <w:sz w:val="24"/>
        </w:rPr>
        <w:t>40</w:t>
      </w:r>
      <w:r w:rsidR="004D0226">
        <w:rPr>
          <w:rFonts w:hint="eastAsia"/>
          <w:bCs/>
          <w:color w:val="000000"/>
          <w:sz w:val="24"/>
        </w:rPr>
        <w:t>,</w:t>
      </w:r>
      <w:r w:rsidRPr="00131651">
        <w:rPr>
          <w:rFonts w:hint="eastAsia"/>
          <w:bCs/>
          <w:color w:val="000000"/>
          <w:sz w:val="24"/>
        </w:rPr>
        <w:t>000</w:t>
      </w:r>
      <w:r w:rsidR="004D0226">
        <w:rPr>
          <w:rFonts w:hint="eastAsia"/>
          <w:bCs/>
          <w:color w:val="000000"/>
          <w:sz w:val="24"/>
        </w:rPr>
        <w:t>.00</w:t>
      </w:r>
      <w:r w:rsidR="0087374E">
        <w:rPr>
          <w:rFonts w:hint="eastAsia"/>
          <w:bCs/>
          <w:color w:val="000000"/>
          <w:sz w:val="24"/>
        </w:rPr>
        <w:t>元</w:t>
      </w:r>
      <w:r w:rsidR="00B42EF7">
        <w:rPr>
          <w:rFonts w:hint="eastAsia"/>
          <w:bCs/>
          <w:color w:val="000000"/>
          <w:sz w:val="24"/>
        </w:rPr>
        <w:t>）将由</w:t>
      </w:r>
      <w:r w:rsidRPr="00131651">
        <w:rPr>
          <w:rFonts w:hint="eastAsia"/>
          <w:bCs/>
          <w:color w:val="000000"/>
          <w:sz w:val="24"/>
        </w:rPr>
        <w:t>基金财产支付并于</w:t>
      </w:r>
      <w:r w:rsidRPr="00131651">
        <w:rPr>
          <w:rFonts w:hint="eastAsia"/>
          <w:bCs/>
          <w:color w:val="000000"/>
          <w:sz w:val="24"/>
        </w:rPr>
        <w:t>2018</w:t>
      </w:r>
      <w:r w:rsidRPr="00131651">
        <w:rPr>
          <w:rFonts w:hint="eastAsia"/>
          <w:bCs/>
          <w:color w:val="000000"/>
          <w:sz w:val="24"/>
        </w:rPr>
        <w:t>年</w:t>
      </w:r>
      <w:r w:rsidRPr="00131651">
        <w:rPr>
          <w:rFonts w:hint="eastAsia"/>
          <w:bCs/>
          <w:color w:val="000000"/>
          <w:sz w:val="24"/>
        </w:rPr>
        <w:t>8</w:t>
      </w:r>
      <w:r w:rsidRPr="00131651">
        <w:rPr>
          <w:rFonts w:hint="eastAsia"/>
          <w:bCs/>
          <w:color w:val="000000"/>
          <w:sz w:val="24"/>
        </w:rPr>
        <w:t>月</w:t>
      </w:r>
      <w:r w:rsidRPr="00131651">
        <w:rPr>
          <w:rFonts w:hint="eastAsia"/>
          <w:bCs/>
          <w:color w:val="000000"/>
          <w:sz w:val="24"/>
        </w:rPr>
        <w:t>16</w:t>
      </w:r>
      <w:r w:rsidRPr="00131651">
        <w:rPr>
          <w:rFonts w:hint="eastAsia"/>
          <w:bCs/>
          <w:color w:val="000000"/>
          <w:sz w:val="24"/>
        </w:rPr>
        <w:t>日</w:t>
      </w:r>
      <w:r w:rsidR="00B8196C">
        <w:rPr>
          <w:rFonts w:hint="eastAsia"/>
          <w:bCs/>
          <w:color w:val="000000"/>
          <w:sz w:val="24"/>
        </w:rPr>
        <w:t>已</w:t>
      </w:r>
      <w:r w:rsidRPr="00131651">
        <w:rPr>
          <w:rFonts w:hint="eastAsia"/>
          <w:bCs/>
          <w:color w:val="000000"/>
          <w:sz w:val="24"/>
        </w:rPr>
        <w:t>支付</w:t>
      </w:r>
      <w:r w:rsidR="00B8196C">
        <w:rPr>
          <w:rFonts w:hint="eastAsia"/>
          <w:bCs/>
          <w:color w:val="000000"/>
          <w:sz w:val="24"/>
        </w:rPr>
        <w:t>。</w:t>
      </w:r>
    </w:p>
    <w:p w:rsidR="00900C03" w:rsidRPr="00B8196C" w:rsidRDefault="00900C03" w:rsidP="00900C03">
      <w:pPr>
        <w:spacing w:line="360" w:lineRule="auto"/>
        <w:rPr>
          <w:rFonts w:ascii="宋体" w:hAnsi="宋体"/>
          <w:color w:val="FF0000"/>
          <w:kern w:val="0"/>
          <w:sz w:val="24"/>
        </w:rPr>
      </w:pPr>
    </w:p>
    <w:p w:rsidR="00BF1D38" w:rsidRDefault="00C45E51" w:rsidP="00900C03">
      <w:pPr>
        <w:spacing w:line="360" w:lineRule="auto"/>
        <w:rPr>
          <w:rFonts w:ascii="宋体" w:hAnsi="宋体"/>
          <w:b/>
          <w:color w:val="000000"/>
          <w:kern w:val="0"/>
          <w:sz w:val="24"/>
        </w:rPr>
      </w:pPr>
      <w:r>
        <w:rPr>
          <w:rFonts w:ascii="宋体" w:hAnsi="宋体" w:hint="eastAsia"/>
          <w:b/>
          <w:color w:val="000000"/>
          <w:kern w:val="0"/>
          <w:sz w:val="24"/>
        </w:rPr>
        <w:t>5.</w:t>
      </w:r>
      <w:r w:rsidR="00B76CF2">
        <w:rPr>
          <w:rFonts w:ascii="宋体" w:hAnsi="宋体" w:hint="eastAsia"/>
          <w:b/>
          <w:color w:val="000000"/>
          <w:kern w:val="0"/>
          <w:sz w:val="24"/>
        </w:rPr>
        <w:t>3</w:t>
      </w:r>
      <w:r w:rsidR="00BF1D38" w:rsidRPr="00522998">
        <w:rPr>
          <w:rFonts w:ascii="宋体" w:hAnsi="宋体" w:hint="eastAsia"/>
          <w:b/>
          <w:color w:val="000000"/>
          <w:kern w:val="0"/>
          <w:sz w:val="24"/>
        </w:rPr>
        <w:t>清算期间的清算损益情况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2664"/>
      </w:tblGrid>
      <w:tr w:rsidR="002731BC" w:rsidRPr="00DD59E5" w:rsidTr="002731BC">
        <w:trPr>
          <w:trHeight w:val="80"/>
        </w:trPr>
        <w:tc>
          <w:tcPr>
            <w:tcW w:w="5670" w:type="dxa"/>
            <w:vAlign w:val="bottom"/>
          </w:tcPr>
          <w:p w:rsidR="002731BC" w:rsidRPr="00DD59E5" w:rsidRDefault="002731BC" w:rsidP="00DA50A5">
            <w:pPr>
              <w:overflowPunct w:val="0"/>
              <w:autoSpaceDE w:val="0"/>
              <w:autoSpaceDN w:val="0"/>
              <w:snapToGrid w:val="0"/>
              <w:ind w:left="34"/>
              <w:jc w:val="left"/>
              <w:rPr>
                <w:rFonts w:ascii="黑体" w:eastAsia="黑体" w:hAnsi="黑体" w:cs="Arial"/>
                <w:sz w:val="22"/>
                <w:szCs w:val="22"/>
              </w:rPr>
            </w:pPr>
            <w:r w:rsidRPr="00DD59E5">
              <w:rPr>
                <w:rFonts w:ascii="黑体" w:eastAsia="黑体" w:hAnsi="黑体" w:cs="Arial" w:hint="eastAsia"/>
                <w:sz w:val="22"/>
                <w:szCs w:val="22"/>
              </w:rPr>
              <w:t>项目</w:t>
            </w:r>
          </w:p>
        </w:tc>
        <w:tc>
          <w:tcPr>
            <w:tcW w:w="2664" w:type="dxa"/>
            <w:vAlign w:val="bottom"/>
          </w:tcPr>
          <w:p w:rsidR="002731BC" w:rsidRPr="00DD59E5" w:rsidRDefault="002731BC" w:rsidP="00DA50A5">
            <w:pPr>
              <w:overflowPunct w:val="0"/>
              <w:autoSpaceDE w:val="0"/>
              <w:autoSpaceDN w:val="0"/>
              <w:snapToGrid w:val="0"/>
              <w:ind w:leftChars="-84" w:left="-176"/>
              <w:jc w:val="right"/>
              <w:rPr>
                <w:rFonts w:ascii="黑体" w:eastAsia="黑体" w:hAnsi="黑体" w:cs="Arial"/>
                <w:sz w:val="22"/>
                <w:szCs w:val="22"/>
              </w:rPr>
            </w:pPr>
            <w:r w:rsidRPr="00DD59E5">
              <w:rPr>
                <w:rFonts w:ascii="黑体" w:eastAsia="黑体" w:hAnsi="黑体" w:cs="Arial" w:hint="eastAsia"/>
                <w:sz w:val="22"/>
                <w:szCs w:val="22"/>
              </w:rPr>
              <w:t>自</w:t>
            </w:r>
            <w:r w:rsidRPr="00DD59E5">
              <w:rPr>
                <w:rFonts w:ascii="黑体" w:eastAsia="黑体" w:hAnsi="黑体" w:cs="Arial"/>
                <w:sz w:val="22"/>
                <w:szCs w:val="22"/>
              </w:rPr>
              <w:t>201</w:t>
            </w:r>
            <w:r>
              <w:rPr>
                <w:rFonts w:ascii="黑体" w:eastAsia="黑体" w:hAnsi="黑体" w:cs="Arial"/>
                <w:sz w:val="22"/>
                <w:szCs w:val="22"/>
              </w:rPr>
              <w:t>8</w:t>
            </w:r>
            <w:r w:rsidRPr="00DD59E5">
              <w:rPr>
                <w:rFonts w:ascii="黑体" w:eastAsia="黑体" w:hAnsi="黑体" w:cs="Arial"/>
                <w:sz w:val="22"/>
                <w:szCs w:val="22"/>
              </w:rPr>
              <w:t>年</w:t>
            </w:r>
            <w:r w:rsidR="00B76CF2">
              <w:rPr>
                <w:rFonts w:ascii="黑体" w:eastAsia="黑体" w:hAnsi="黑体" w:cs="Arial" w:hint="eastAsia"/>
                <w:sz w:val="22"/>
                <w:szCs w:val="22"/>
              </w:rPr>
              <w:t>8</w:t>
            </w:r>
            <w:r w:rsidRPr="00DD59E5">
              <w:rPr>
                <w:rFonts w:ascii="黑体" w:eastAsia="黑体" w:hAnsi="黑体" w:cs="Arial"/>
                <w:sz w:val="22"/>
                <w:szCs w:val="22"/>
              </w:rPr>
              <w:t>月</w:t>
            </w:r>
            <w:r w:rsidR="00B76CF2">
              <w:rPr>
                <w:rFonts w:ascii="黑体" w:eastAsia="黑体" w:hAnsi="黑体" w:cs="Arial" w:hint="eastAsia"/>
                <w:sz w:val="22"/>
                <w:szCs w:val="22"/>
              </w:rPr>
              <w:t>13</w:t>
            </w:r>
            <w:r w:rsidRPr="00DD59E5">
              <w:rPr>
                <w:rFonts w:ascii="黑体" w:eastAsia="黑体" w:hAnsi="黑体" w:cs="Arial"/>
                <w:sz w:val="22"/>
                <w:szCs w:val="22"/>
              </w:rPr>
              <w:t>日</w:t>
            </w:r>
          </w:p>
          <w:p w:rsidR="002731BC" w:rsidRPr="00DD59E5" w:rsidRDefault="002731BC" w:rsidP="00DA50A5">
            <w:pPr>
              <w:tabs>
                <w:tab w:val="left" w:pos="2517"/>
              </w:tabs>
              <w:overflowPunct w:val="0"/>
              <w:autoSpaceDE w:val="0"/>
              <w:autoSpaceDN w:val="0"/>
              <w:snapToGrid w:val="0"/>
              <w:jc w:val="right"/>
              <w:rPr>
                <w:rFonts w:ascii="黑体" w:eastAsia="黑体" w:hAnsi="黑体" w:cs="Arial"/>
                <w:sz w:val="22"/>
                <w:szCs w:val="22"/>
              </w:rPr>
            </w:pPr>
            <w:r w:rsidRPr="00DD59E5">
              <w:rPr>
                <w:rFonts w:ascii="黑体" w:eastAsia="黑体" w:hAnsi="黑体" w:cs="Arial" w:hint="eastAsia"/>
                <w:sz w:val="22"/>
                <w:szCs w:val="22"/>
              </w:rPr>
              <w:t>至</w:t>
            </w:r>
            <w:r w:rsidR="00BF5AC9">
              <w:rPr>
                <w:rFonts w:ascii="黑体" w:eastAsia="黑体" w:hAnsi="黑体" w:cs="Arial" w:hint="eastAsia"/>
                <w:sz w:val="22"/>
                <w:szCs w:val="22"/>
              </w:rPr>
              <w:t>2018年8月21日</w:t>
            </w:r>
          </w:p>
          <w:p w:rsidR="002731BC" w:rsidRPr="00DD59E5" w:rsidRDefault="002731BC" w:rsidP="00DA50A5">
            <w:pPr>
              <w:overflowPunct w:val="0"/>
              <w:autoSpaceDE w:val="0"/>
              <w:autoSpaceDN w:val="0"/>
              <w:snapToGrid w:val="0"/>
              <w:jc w:val="right"/>
              <w:rPr>
                <w:rFonts w:ascii="黑体" w:eastAsia="黑体" w:hAnsi="黑体" w:cs="Arial"/>
                <w:sz w:val="22"/>
                <w:szCs w:val="22"/>
              </w:rPr>
            </w:pPr>
            <w:r w:rsidRPr="00DD59E5">
              <w:rPr>
                <w:rFonts w:ascii="黑体" w:eastAsia="黑体" w:hAnsi="黑体" w:cs="Arial" w:hint="eastAsia"/>
                <w:sz w:val="22"/>
                <w:szCs w:val="22"/>
              </w:rPr>
              <w:t>止清算期间</w:t>
            </w:r>
          </w:p>
        </w:tc>
      </w:tr>
      <w:tr w:rsidR="002731BC" w:rsidRPr="00DD59E5" w:rsidTr="002731BC">
        <w:trPr>
          <w:trHeight w:val="271"/>
        </w:trPr>
        <w:tc>
          <w:tcPr>
            <w:tcW w:w="5670" w:type="dxa"/>
            <w:vAlign w:val="bottom"/>
          </w:tcPr>
          <w:p w:rsidR="002731BC" w:rsidRPr="00DD59E5" w:rsidRDefault="002731BC" w:rsidP="00DA50A5">
            <w:pPr>
              <w:overflowPunct w:val="0"/>
              <w:autoSpaceDE w:val="0"/>
              <w:autoSpaceDN w:val="0"/>
              <w:snapToGrid w:val="0"/>
              <w:ind w:left="34"/>
              <w:jc w:val="left"/>
              <w:rPr>
                <w:rFonts w:ascii="黑体" w:eastAsia="黑体" w:hAnsi="黑体" w:cs="Arial"/>
                <w:sz w:val="22"/>
                <w:szCs w:val="22"/>
              </w:rPr>
            </w:pPr>
            <w:r w:rsidRPr="00DD59E5">
              <w:rPr>
                <w:rFonts w:ascii="黑体" w:eastAsia="黑体" w:hAnsi="黑体" w:cs="Arial" w:hint="eastAsia"/>
                <w:sz w:val="22"/>
                <w:szCs w:val="22"/>
              </w:rPr>
              <w:t>一、清算收益</w:t>
            </w:r>
          </w:p>
        </w:tc>
        <w:tc>
          <w:tcPr>
            <w:tcW w:w="2664" w:type="dxa"/>
            <w:vAlign w:val="bottom"/>
          </w:tcPr>
          <w:p w:rsidR="002731BC" w:rsidRPr="00DD59E5" w:rsidRDefault="002731BC" w:rsidP="00DA50A5">
            <w:pPr>
              <w:overflowPunct w:val="0"/>
              <w:autoSpaceDE w:val="0"/>
              <w:autoSpaceDN w:val="0"/>
              <w:snapToGrid w:val="0"/>
              <w:jc w:val="right"/>
              <w:rPr>
                <w:rFonts w:ascii="黑体" w:eastAsia="黑体" w:hAnsi="黑体" w:cs="Arial"/>
                <w:sz w:val="22"/>
                <w:szCs w:val="22"/>
              </w:rPr>
            </w:pPr>
          </w:p>
        </w:tc>
      </w:tr>
      <w:tr w:rsidR="002731BC" w:rsidRPr="00DD59E5" w:rsidTr="002731BC">
        <w:trPr>
          <w:trHeight w:val="80"/>
        </w:trPr>
        <w:tc>
          <w:tcPr>
            <w:tcW w:w="5670" w:type="dxa"/>
            <w:vAlign w:val="bottom"/>
          </w:tcPr>
          <w:p w:rsidR="002731BC" w:rsidRPr="00DD59E5" w:rsidRDefault="002731BC" w:rsidP="00DA50A5">
            <w:pPr>
              <w:overflowPunct w:val="0"/>
              <w:autoSpaceDE w:val="0"/>
              <w:autoSpaceDN w:val="0"/>
              <w:snapToGrid w:val="0"/>
              <w:ind w:left="459"/>
              <w:jc w:val="left"/>
              <w:rPr>
                <w:rFonts w:ascii="黑体" w:eastAsia="黑体" w:hAnsi="黑体" w:cs="Arial"/>
                <w:sz w:val="22"/>
                <w:szCs w:val="22"/>
              </w:rPr>
            </w:pPr>
            <w:r w:rsidRPr="00DD59E5">
              <w:rPr>
                <w:rFonts w:ascii="黑体" w:eastAsia="黑体" w:hAnsi="黑体" w:cs="Arial" w:hint="eastAsia"/>
                <w:sz w:val="22"/>
                <w:szCs w:val="22"/>
              </w:rPr>
              <w:t>1、利息收入（注1）</w:t>
            </w:r>
          </w:p>
        </w:tc>
        <w:tc>
          <w:tcPr>
            <w:tcW w:w="2664" w:type="dxa"/>
            <w:vAlign w:val="bottom"/>
          </w:tcPr>
          <w:p w:rsidR="002731BC" w:rsidRPr="00BF5AC9" w:rsidRDefault="00BF5AC9" w:rsidP="00BF5AC9">
            <w:pPr>
              <w:jc w:val="right"/>
              <w:rPr>
                <w:rFonts w:ascii="黑体" w:eastAsia="黑体" w:hAnsi="宋体" w:cs="宋体"/>
                <w:color w:val="000000"/>
                <w:sz w:val="22"/>
                <w:szCs w:val="22"/>
              </w:rPr>
            </w:pPr>
            <w:r>
              <w:rPr>
                <w:rFonts w:ascii="黑体" w:eastAsia="黑体" w:hint="eastAsia"/>
                <w:color w:val="000000"/>
                <w:sz w:val="22"/>
                <w:szCs w:val="22"/>
              </w:rPr>
              <w:t xml:space="preserve">1,047.35 </w:t>
            </w:r>
          </w:p>
        </w:tc>
      </w:tr>
      <w:tr w:rsidR="00EF0ED3" w:rsidRPr="00DD59E5" w:rsidTr="002731BC">
        <w:trPr>
          <w:trHeight w:val="80"/>
        </w:trPr>
        <w:tc>
          <w:tcPr>
            <w:tcW w:w="5670" w:type="dxa"/>
            <w:vAlign w:val="bottom"/>
          </w:tcPr>
          <w:p w:rsidR="00EF0ED3" w:rsidRPr="00DD59E5" w:rsidRDefault="00EF0ED3" w:rsidP="00EF0ED3">
            <w:pPr>
              <w:overflowPunct w:val="0"/>
              <w:autoSpaceDE w:val="0"/>
              <w:autoSpaceDN w:val="0"/>
              <w:snapToGrid w:val="0"/>
              <w:ind w:firstLineChars="200" w:firstLine="440"/>
              <w:jc w:val="left"/>
              <w:rPr>
                <w:rFonts w:ascii="黑体" w:eastAsia="黑体" w:hAnsi="黑体" w:cs="Arial"/>
                <w:sz w:val="22"/>
                <w:szCs w:val="22"/>
              </w:rPr>
            </w:pPr>
            <w:r>
              <w:rPr>
                <w:rFonts w:ascii="黑体" w:eastAsia="黑体" w:hAnsi="黑体" w:cs="Arial" w:hint="eastAsia"/>
                <w:sz w:val="22"/>
                <w:szCs w:val="22"/>
              </w:rPr>
              <w:t>2</w:t>
            </w:r>
            <w:r w:rsidRPr="00DD59E5">
              <w:rPr>
                <w:rFonts w:ascii="黑体" w:eastAsia="黑体" w:hAnsi="黑体" w:cs="Arial" w:hint="eastAsia"/>
                <w:sz w:val="22"/>
                <w:szCs w:val="22"/>
              </w:rPr>
              <w:t>、</w:t>
            </w:r>
            <w:r>
              <w:rPr>
                <w:rFonts w:ascii="黑体" w:eastAsia="黑体" w:hAnsi="黑体" w:cs="Arial" w:hint="eastAsia"/>
                <w:sz w:val="22"/>
                <w:szCs w:val="22"/>
              </w:rPr>
              <w:t>投资损益</w:t>
            </w:r>
          </w:p>
        </w:tc>
        <w:tc>
          <w:tcPr>
            <w:tcW w:w="2664" w:type="dxa"/>
            <w:vAlign w:val="bottom"/>
          </w:tcPr>
          <w:p w:rsidR="00EF0ED3" w:rsidRDefault="00EF0ED3" w:rsidP="00DA50A5">
            <w:pPr>
              <w:overflowPunct w:val="0"/>
              <w:autoSpaceDE w:val="0"/>
              <w:autoSpaceDN w:val="0"/>
              <w:snapToGrid w:val="0"/>
              <w:ind w:left="1026" w:right="-15"/>
              <w:jc w:val="right"/>
              <w:rPr>
                <w:rFonts w:ascii="黑体" w:eastAsia="黑体" w:hAnsi="黑体" w:cs="Arial"/>
                <w:sz w:val="22"/>
                <w:szCs w:val="22"/>
              </w:rPr>
            </w:pPr>
            <w:r>
              <w:rPr>
                <w:rFonts w:ascii="黑体" w:eastAsia="黑体" w:hAnsi="黑体" w:cs="Arial" w:hint="eastAsia"/>
                <w:sz w:val="22"/>
                <w:szCs w:val="22"/>
              </w:rPr>
              <w:t>8</w:t>
            </w:r>
            <w:r w:rsidR="004D0226">
              <w:rPr>
                <w:rFonts w:ascii="黑体" w:eastAsia="黑体" w:hAnsi="黑体" w:cs="Arial" w:hint="eastAsia"/>
                <w:sz w:val="22"/>
                <w:szCs w:val="22"/>
              </w:rPr>
              <w:t>,</w:t>
            </w:r>
            <w:r>
              <w:rPr>
                <w:rFonts w:ascii="黑体" w:eastAsia="黑体" w:hAnsi="黑体" w:cs="Arial" w:hint="eastAsia"/>
                <w:sz w:val="22"/>
                <w:szCs w:val="22"/>
              </w:rPr>
              <w:t>942.98</w:t>
            </w:r>
          </w:p>
        </w:tc>
      </w:tr>
      <w:tr w:rsidR="00EF0ED3" w:rsidRPr="00DD59E5" w:rsidTr="002731BC">
        <w:trPr>
          <w:trHeight w:val="80"/>
        </w:trPr>
        <w:tc>
          <w:tcPr>
            <w:tcW w:w="5670" w:type="dxa"/>
            <w:vAlign w:val="bottom"/>
          </w:tcPr>
          <w:p w:rsidR="00EF0ED3" w:rsidRPr="00DD59E5" w:rsidRDefault="00EF0ED3" w:rsidP="00DA50A5">
            <w:pPr>
              <w:overflowPunct w:val="0"/>
              <w:autoSpaceDE w:val="0"/>
              <w:autoSpaceDN w:val="0"/>
              <w:snapToGrid w:val="0"/>
              <w:jc w:val="left"/>
              <w:rPr>
                <w:rFonts w:ascii="黑体" w:eastAsia="黑体" w:hAnsi="黑体" w:cs="Arial"/>
                <w:sz w:val="22"/>
                <w:szCs w:val="22"/>
              </w:rPr>
            </w:pPr>
            <w:r>
              <w:rPr>
                <w:rFonts w:ascii="黑体" w:eastAsia="黑体" w:hAnsi="黑体" w:cs="Arial" w:hint="eastAsia"/>
                <w:sz w:val="22"/>
                <w:szCs w:val="22"/>
              </w:rPr>
              <w:t xml:space="preserve">    3、公允价值变动损益</w:t>
            </w:r>
          </w:p>
        </w:tc>
        <w:tc>
          <w:tcPr>
            <w:tcW w:w="2664" w:type="dxa"/>
            <w:vAlign w:val="bottom"/>
          </w:tcPr>
          <w:p w:rsidR="00EF0ED3" w:rsidRDefault="00EF0ED3" w:rsidP="00DA50A5">
            <w:pPr>
              <w:overflowPunct w:val="0"/>
              <w:autoSpaceDE w:val="0"/>
              <w:autoSpaceDN w:val="0"/>
              <w:snapToGrid w:val="0"/>
              <w:ind w:left="1026" w:right="-15"/>
              <w:jc w:val="right"/>
              <w:rPr>
                <w:rFonts w:ascii="黑体" w:eastAsia="黑体" w:hAnsi="黑体" w:cs="Arial"/>
                <w:sz w:val="22"/>
                <w:szCs w:val="22"/>
              </w:rPr>
            </w:pPr>
            <w:r>
              <w:rPr>
                <w:rFonts w:ascii="黑体" w:eastAsia="黑体" w:hAnsi="黑体" w:cs="Arial" w:hint="eastAsia"/>
                <w:sz w:val="22"/>
                <w:szCs w:val="22"/>
              </w:rPr>
              <w:t>-9</w:t>
            </w:r>
            <w:r w:rsidR="004D0226">
              <w:rPr>
                <w:rFonts w:ascii="黑体" w:eastAsia="黑体" w:hAnsi="黑体" w:cs="Arial" w:hint="eastAsia"/>
                <w:sz w:val="22"/>
                <w:szCs w:val="22"/>
              </w:rPr>
              <w:t>,</w:t>
            </w:r>
            <w:r>
              <w:rPr>
                <w:rFonts w:ascii="黑体" w:eastAsia="黑体" w:hAnsi="黑体" w:cs="Arial" w:hint="eastAsia"/>
                <w:sz w:val="22"/>
                <w:szCs w:val="22"/>
              </w:rPr>
              <w:t>336.08</w:t>
            </w:r>
          </w:p>
        </w:tc>
      </w:tr>
      <w:tr w:rsidR="00EF0ED3" w:rsidRPr="00DD59E5" w:rsidTr="002731BC">
        <w:trPr>
          <w:trHeight w:val="80"/>
        </w:trPr>
        <w:tc>
          <w:tcPr>
            <w:tcW w:w="5670" w:type="dxa"/>
            <w:vAlign w:val="bottom"/>
          </w:tcPr>
          <w:p w:rsidR="00EF0ED3" w:rsidRPr="00DD59E5" w:rsidRDefault="00EF0ED3" w:rsidP="00EF0ED3">
            <w:pPr>
              <w:overflowPunct w:val="0"/>
              <w:autoSpaceDE w:val="0"/>
              <w:autoSpaceDN w:val="0"/>
              <w:snapToGrid w:val="0"/>
              <w:ind w:firstLineChars="200" w:firstLine="440"/>
              <w:jc w:val="left"/>
              <w:rPr>
                <w:rFonts w:ascii="黑体" w:eastAsia="黑体" w:hAnsi="黑体" w:cs="Arial"/>
                <w:sz w:val="22"/>
                <w:szCs w:val="22"/>
              </w:rPr>
            </w:pPr>
            <w:r>
              <w:rPr>
                <w:rFonts w:ascii="黑体" w:eastAsia="黑体" w:hAnsi="黑体" w:cs="Arial" w:hint="eastAsia"/>
                <w:sz w:val="22"/>
                <w:szCs w:val="22"/>
              </w:rPr>
              <w:t>4、交易费用</w:t>
            </w:r>
          </w:p>
        </w:tc>
        <w:tc>
          <w:tcPr>
            <w:tcW w:w="2664" w:type="dxa"/>
            <w:vAlign w:val="bottom"/>
          </w:tcPr>
          <w:p w:rsidR="00EF0ED3" w:rsidRDefault="00EF0ED3" w:rsidP="00DA50A5">
            <w:pPr>
              <w:overflowPunct w:val="0"/>
              <w:autoSpaceDE w:val="0"/>
              <w:autoSpaceDN w:val="0"/>
              <w:snapToGrid w:val="0"/>
              <w:ind w:left="1026" w:right="-15"/>
              <w:jc w:val="right"/>
              <w:rPr>
                <w:rFonts w:ascii="黑体" w:eastAsia="黑体" w:hAnsi="黑体" w:cs="Arial"/>
                <w:sz w:val="22"/>
                <w:szCs w:val="22"/>
              </w:rPr>
            </w:pPr>
            <w:r>
              <w:rPr>
                <w:rFonts w:ascii="黑体" w:eastAsia="黑体" w:hAnsi="黑体" w:cs="Arial" w:hint="eastAsia"/>
                <w:sz w:val="22"/>
                <w:szCs w:val="22"/>
              </w:rPr>
              <w:t>-2.04</w:t>
            </w:r>
          </w:p>
        </w:tc>
      </w:tr>
      <w:tr w:rsidR="002731BC" w:rsidRPr="00DD59E5" w:rsidTr="002731BC">
        <w:trPr>
          <w:trHeight w:val="80"/>
        </w:trPr>
        <w:tc>
          <w:tcPr>
            <w:tcW w:w="5670" w:type="dxa"/>
            <w:vAlign w:val="bottom"/>
          </w:tcPr>
          <w:p w:rsidR="002731BC" w:rsidRPr="00DD59E5" w:rsidRDefault="002731BC" w:rsidP="00DA50A5">
            <w:pPr>
              <w:overflowPunct w:val="0"/>
              <w:autoSpaceDE w:val="0"/>
              <w:autoSpaceDN w:val="0"/>
              <w:snapToGrid w:val="0"/>
              <w:jc w:val="left"/>
              <w:rPr>
                <w:rFonts w:ascii="黑体" w:eastAsia="黑体" w:hAnsi="黑体" w:cs="Arial"/>
                <w:sz w:val="22"/>
                <w:szCs w:val="22"/>
              </w:rPr>
            </w:pPr>
            <w:r w:rsidRPr="00DD59E5">
              <w:rPr>
                <w:rFonts w:ascii="黑体" w:eastAsia="黑体" w:hAnsi="黑体" w:cs="Arial" w:hint="eastAsia"/>
                <w:sz w:val="22"/>
                <w:szCs w:val="22"/>
              </w:rPr>
              <w:t>清算收入小计</w:t>
            </w:r>
          </w:p>
        </w:tc>
        <w:tc>
          <w:tcPr>
            <w:tcW w:w="2664" w:type="dxa"/>
            <w:vAlign w:val="bottom"/>
          </w:tcPr>
          <w:p w:rsidR="002731BC" w:rsidRPr="00BF5AC9" w:rsidRDefault="00BF5AC9" w:rsidP="00BF5AC9">
            <w:pPr>
              <w:ind w:firstLineChars="200" w:firstLine="440"/>
              <w:jc w:val="right"/>
              <w:rPr>
                <w:rFonts w:ascii="黑体" w:eastAsia="黑体" w:hAnsi="宋体" w:cs="宋体"/>
                <w:color w:val="000000"/>
                <w:sz w:val="22"/>
                <w:szCs w:val="22"/>
              </w:rPr>
            </w:pPr>
            <w:r>
              <w:rPr>
                <w:rFonts w:ascii="黑体" w:eastAsia="黑体" w:hint="eastAsia"/>
                <w:color w:val="000000"/>
                <w:sz w:val="22"/>
                <w:szCs w:val="22"/>
              </w:rPr>
              <w:t xml:space="preserve">652.21 </w:t>
            </w:r>
          </w:p>
        </w:tc>
      </w:tr>
      <w:tr w:rsidR="002731BC" w:rsidRPr="00DD59E5" w:rsidTr="002731BC">
        <w:trPr>
          <w:trHeight w:val="80"/>
        </w:trPr>
        <w:tc>
          <w:tcPr>
            <w:tcW w:w="5670" w:type="dxa"/>
            <w:vAlign w:val="bottom"/>
          </w:tcPr>
          <w:p w:rsidR="002731BC" w:rsidRPr="00DD59E5" w:rsidRDefault="002731BC" w:rsidP="00DA50A5">
            <w:pPr>
              <w:overflowPunct w:val="0"/>
              <w:autoSpaceDE w:val="0"/>
              <w:autoSpaceDN w:val="0"/>
              <w:snapToGrid w:val="0"/>
              <w:jc w:val="left"/>
              <w:rPr>
                <w:rFonts w:ascii="黑体" w:eastAsia="黑体" w:hAnsi="黑体" w:cs="Arial"/>
                <w:sz w:val="22"/>
                <w:szCs w:val="22"/>
              </w:rPr>
            </w:pPr>
            <w:r w:rsidRPr="00DD59E5">
              <w:rPr>
                <w:rFonts w:ascii="黑体" w:eastAsia="黑体" w:hAnsi="Arial" w:cs="Arial" w:hint="eastAsia"/>
                <w:sz w:val="22"/>
                <w:szCs w:val="22"/>
              </w:rPr>
              <w:t>二、清算费用</w:t>
            </w:r>
          </w:p>
        </w:tc>
        <w:tc>
          <w:tcPr>
            <w:tcW w:w="2664" w:type="dxa"/>
            <w:vAlign w:val="bottom"/>
          </w:tcPr>
          <w:p w:rsidR="002731BC" w:rsidRPr="003200D1" w:rsidRDefault="002731BC" w:rsidP="00DA50A5">
            <w:pPr>
              <w:overflowPunct w:val="0"/>
              <w:autoSpaceDE w:val="0"/>
              <w:autoSpaceDN w:val="0"/>
              <w:snapToGrid w:val="0"/>
              <w:ind w:left="1026" w:right="-15"/>
              <w:jc w:val="right"/>
              <w:rPr>
                <w:rFonts w:ascii="黑体" w:eastAsia="黑体" w:hAnsi="黑体" w:cs="Arial"/>
                <w:sz w:val="22"/>
                <w:szCs w:val="22"/>
              </w:rPr>
            </w:pPr>
          </w:p>
        </w:tc>
      </w:tr>
      <w:tr w:rsidR="002731BC" w:rsidRPr="00DD59E5" w:rsidTr="002731BC">
        <w:trPr>
          <w:trHeight w:val="80"/>
        </w:trPr>
        <w:tc>
          <w:tcPr>
            <w:tcW w:w="5670" w:type="dxa"/>
            <w:vAlign w:val="bottom"/>
          </w:tcPr>
          <w:p w:rsidR="002731BC" w:rsidRPr="00DD59E5" w:rsidRDefault="002731BC">
            <w:pPr>
              <w:overflowPunct w:val="0"/>
              <w:autoSpaceDE w:val="0"/>
              <w:autoSpaceDN w:val="0"/>
              <w:snapToGrid w:val="0"/>
              <w:jc w:val="left"/>
              <w:rPr>
                <w:rFonts w:ascii="黑体" w:eastAsia="黑体" w:hAnsi="黑体" w:cs="Arial"/>
                <w:sz w:val="22"/>
                <w:szCs w:val="22"/>
              </w:rPr>
            </w:pPr>
            <w:r w:rsidRPr="00DD59E5">
              <w:rPr>
                <w:rFonts w:ascii="黑体" w:eastAsia="黑体" w:hAnsi="Arial" w:cs="Arial" w:hint="eastAsia"/>
                <w:sz w:val="22"/>
                <w:szCs w:val="22"/>
              </w:rPr>
              <w:t>清算费用小计（注</w:t>
            </w:r>
            <w:r w:rsidR="00742139">
              <w:rPr>
                <w:rFonts w:ascii="黑体" w:eastAsia="黑体" w:hAnsi="Arial" w:cs="Arial" w:hint="eastAsia"/>
                <w:sz w:val="22"/>
                <w:szCs w:val="22"/>
              </w:rPr>
              <w:t>2</w:t>
            </w:r>
            <w:r w:rsidRPr="00DD59E5">
              <w:rPr>
                <w:rFonts w:ascii="黑体" w:eastAsia="黑体" w:hAnsi="Arial" w:cs="Arial" w:hint="eastAsia"/>
                <w:sz w:val="22"/>
                <w:szCs w:val="22"/>
              </w:rPr>
              <w:t>）</w:t>
            </w:r>
          </w:p>
        </w:tc>
        <w:tc>
          <w:tcPr>
            <w:tcW w:w="2664" w:type="dxa"/>
            <w:vAlign w:val="bottom"/>
          </w:tcPr>
          <w:p w:rsidR="002731BC" w:rsidRPr="003200D1" w:rsidRDefault="008C21D8" w:rsidP="00EF0ED3">
            <w:pPr>
              <w:overflowPunct w:val="0"/>
              <w:autoSpaceDE w:val="0"/>
              <w:autoSpaceDN w:val="0"/>
              <w:snapToGrid w:val="0"/>
              <w:ind w:left="1026" w:right="-15"/>
              <w:jc w:val="right"/>
              <w:rPr>
                <w:rFonts w:ascii="黑体" w:eastAsia="黑体" w:hAnsi="黑体" w:cs="Arial"/>
                <w:sz w:val="22"/>
                <w:szCs w:val="22"/>
              </w:rPr>
            </w:pPr>
            <w:r>
              <w:rPr>
                <w:rFonts w:ascii="黑体" w:eastAsia="黑体" w:hAnsi="黑体" w:cs="Arial" w:hint="eastAsia"/>
                <w:sz w:val="22"/>
                <w:szCs w:val="22"/>
              </w:rPr>
              <w:t>75</w:t>
            </w:r>
            <w:r w:rsidR="004D0226">
              <w:rPr>
                <w:rFonts w:ascii="黑体" w:eastAsia="黑体" w:hAnsi="黑体" w:cs="Arial" w:hint="eastAsia"/>
                <w:sz w:val="22"/>
                <w:szCs w:val="22"/>
              </w:rPr>
              <w:t>,</w:t>
            </w:r>
            <w:r>
              <w:rPr>
                <w:rFonts w:ascii="黑体" w:eastAsia="黑体" w:hAnsi="黑体" w:cs="Arial" w:hint="eastAsia"/>
                <w:sz w:val="22"/>
                <w:szCs w:val="22"/>
              </w:rPr>
              <w:t>000</w:t>
            </w:r>
            <w:r w:rsidR="004D0226">
              <w:rPr>
                <w:rFonts w:ascii="黑体" w:eastAsia="黑体" w:hAnsi="黑体" w:cs="Arial" w:hint="eastAsia"/>
                <w:sz w:val="22"/>
                <w:szCs w:val="22"/>
              </w:rPr>
              <w:t>.00</w:t>
            </w:r>
          </w:p>
        </w:tc>
      </w:tr>
      <w:tr w:rsidR="002731BC" w:rsidRPr="00DD59E5" w:rsidTr="002731BC">
        <w:trPr>
          <w:trHeight w:val="80"/>
        </w:trPr>
        <w:tc>
          <w:tcPr>
            <w:tcW w:w="5670" w:type="dxa"/>
            <w:vAlign w:val="bottom"/>
          </w:tcPr>
          <w:p w:rsidR="002731BC" w:rsidRPr="00DD59E5" w:rsidRDefault="002731BC" w:rsidP="00DA50A5">
            <w:pPr>
              <w:overflowPunct w:val="0"/>
              <w:autoSpaceDE w:val="0"/>
              <w:autoSpaceDN w:val="0"/>
              <w:snapToGrid w:val="0"/>
              <w:jc w:val="left"/>
              <w:rPr>
                <w:rFonts w:ascii="黑体" w:eastAsia="黑体" w:hAnsi="黑体" w:cs="Arial"/>
                <w:sz w:val="22"/>
                <w:szCs w:val="22"/>
              </w:rPr>
            </w:pPr>
            <w:r w:rsidRPr="000324CE">
              <w:rPr>
                <w:rFonts w:ascii="黑体" w:eastAsia="黑体" w:hAnsi="黑体" w:cs="Arial" w:hint="eastAsia"/>
                <w:sz w:val="22"/>
                <w:szCs w:val="22"/>
              </w:rPr>
              <w:t>三、清算净收益</w:t>
            </w:r>
          </w:p>
        </w:tc>
        <w:tc>
          <w:tcPr>
            <w:tcW w:w="2664" w:type="dxa"/>
            <w:vAlign w:val="bottom"/>
          </w:tcPr>
          <w:p w:rsidR="002731BC" w:rsidRPr="00BF5AC9" w:rsidRDefault="00BF5AC9" w:rsidP="00BF5AC9">
            <w:pPr>
              <w:ind w:firstLineChars="200" w:firstLine="440"/>
              <w:jc w:val="right"/>
              <w:rPr>
                <w:rFonts w:ascii="黑体" w:eastAsia="黑体" w:hAnsi="宋体" w:cs="宋体"/>
                <w:color w:val="000000"/>
                <w:sz w:val="22"/>
                <w:szCs w:val="22"/>
              </w:rPr>
            </w:pPr>
            <w:r>
              <w:rPr>
                <w:rFonts w:ascii="黑体" w:eastAsia="黑体" w:hint="eastAsia"/>
                <w:color w:val="000000"/>
                <w:sz w:val="22"/>
                <w:szCs w:val="22"/>
              </w:rPr>
              <w:t xml:space="preserve">-74,347.79 </w:t>
            </w:r>
          </w:p>
        </w:tc>
      </w:tr>
    </w:tbl>
    <w:p w:rsidR="002731BC" w:rsidRPr="004D0226" w:rsidRDefault="002731BC" w:rsidP="0087374E">
      <w:pPr>
        <w:spacing w:before="100" w:line="360" w:lineRule="auto"/>
        <w:rPr>
          <w:bCs/>
          <w:color w:val="000000"/>
          <w:sz w:val="24"/>
        </w:rPr>
      </w:pPr>
      <w:r w:rsidRPr="004D0226">
        <w:rPr>
          <w:rFonts w:hint="eastAsia"/>
          <w:bCs/>
          <w:color w:val="000000"/>
          <w:sz w:val="24"/>
        </w:rPr>
        <w:t>注</w:t>
      </w:r>
      <w:r w:rsidRPr="004D0226">
        <w:rPr>
          <w:rFonts w:hint="eastAsia"/>
          <w:bCs/>
          <w:color w:val="000000"/>
          <w:sz w:val="24"/>
        </w:rPr>
        <w:t>1</w:t>
      </w:r>
      <w:r w:rsidRPr="004D0226">
        <w:rPr>
          <w:rFonts w:hint="eastAsia"/>
          <w:bCs/>
          <w:color w:val="000000"/>
          <w:sz w:val="24"/>
        </w:rPr>
        <w:t>：</w:t>
      </w:r>
      <w:r w:rsidR="00995678" w:rsidRPr="004D0226">
        <w:rPr>
          <w:rFonts w:hint="eastAsia"/>
          <w:bCs/>
          <w:color w:val="000000"/>
          <w:sz w:val="24"/>
        </w:rPr>
        <w:t>利息收入系计提的自</w:t>
      </w:r>
      <w:r w:rsidR="00995678" w:rsidRPr="004D0226">
        <w:rPr>
          <w:bCs/>
          <w:color w:val="000000"/>
          <w:sz w:val="24"/>
        </w:rPr>
        <w:t>2018</w:t>
      </w:r>
      <w:r w:rsidR="00995678" w:rsidRPr="004D0226">
        <w:rPr>
          <w:bCs/>
          <w:color w:val="000000"/>
          <w:sz w:val="24"/>
        </w:rPr>
        <w:t>年</w:t>
      </w:r>
      <w:r w:rsidR="00995678" w:rsidRPr="004D0226">
        <w:rPr>
          <w:bCs/>
          <w:color w:val="000000"/>
          <w:sz w:val="24"/>
        </w:rPr>
        <w:t>8</w:t>
      </w:r>
      <w:r w:rsidR="00995678" w:rsidRPr="004D0226">
        <w:rPr>
          <w:bCs/>
          <w:color w:val="000000"/>
          <w:sz w:val="24"/>
        </w:rPr>
        <w:t>月</w:t>
      </w:r>
      <w:r w:rsidR="00995678" w:rsidRPr="004D0226">
        <w:rPr>
          <w:bCs/>
          <w:color w:val="000000"/>
          <w:sz w:val="24"/>
        </w:rPr>
        <w:t>13</w:t>
      </w:r>
      <w:r w:rsidR="00995678" w:rsidRPr="004D0226">
        <w:rPr>
          <w:bCs/>
          <w:color w:val="000000"/>
          <w:sz w:val="24"/>
        </w:rPr>
        <w:t>日</w:t>
      </w:r>
      <w:r w:rsidR="00BF5AC9">
        <w:rPr>
          <w:rFonts w:hint="eastAsia"/>
          <w:bCs/>
          <w:color w:val="000000"/>
          <w:sz w:val="24"/>
        </w:rPr>
        <w:t>至</w:t>
      </w:r>
      <w:r w:rsidR="00BF5AC9" w:rsidRPr="00194298">
        <w:rPr>
          <w:rFonts w:hint="eastAsia"/>
          <w:bCs/>
          <w:color w:val="000000"/>
          <w:sz w:val="24"/>
        </w:rPr>
        <w:t>2018</w:t>
      </w:r>
      <w:r w:rsidR="00BF5AC9" w:rsidRPr="00194298">
        <w:rPr>
          <w:rFonts w:hint="eastAsia"/>
          <w:bCs/>
          <w:color w:val="000000"/>
          <w:sz w:val="24"/>
        </w:rPr>
        <w:t>年</w:t>
      </w:r>
      <w:r w:rsidR="00BF5AC9" w:rsidRPr="00194298">
        <w:rPr>
          <w:rFonts w:hint="eastAsia"/>
          <w:bCs/>
          <w:color w:val="000000"/>
          <w:sz w:val="24"/>
        </w:rPr>
        <w:t>8</w:t>
      </w:r>
      <w:r w:rsidR="00BF5AC9" w:rsidRPr="00194298">
        <w:rPr>
          <w:rFonts w:hint="eastAsia"/>
          <w:bCs/>
          <w:color w:val="000000"/>
          <w:sz w:val="24"/>
        </w:rPr>
        <w:t>月</w:t>
      </w:r>
      <w:r w:rsidR="00BF5AC9">
        <w:rPr>
          <w:rFonts w:hint="eastAsia"/>
          <w:bCs/>
          <w:color w:val="000000"/>
          <w:sz w:val="24"/>
        </w:rPr>
        <w:t>21</w:t>
      </w:r>
      <w:r w:rsidR="00BF5AC9" w:rsidRPr="00194298">
        <w:rPr>
          <w:rFonts w:hint="eastAsia"/>
          <w:bCs/>
          <w:color w:val="000000"/>
          <w:sz w:val="24"/>
        </w:rPr>
        <w:t>日</w:t>
      </w:r>
      <w:r w:rsidR="00995678" w:rsidRPr="004D0226">
        <w:rPr>
          <w:rFonts w:hint="eastAsia"/>
          <w:bCs/>
          <w:color w:val="000000"/>
          <w:sz w:val="24"/>
        </w:rPr>
        <w:t>止清算期间的银行存款利息、结算备付金利息、存出保证金利息、债券利息与买入返售金融资产收入。</w:t>
      </w:r>
      <w:r w:rsidR="00B0689A" w:rsidRPr="00B0689A">
        <w:rPr>
          <w:rFonts w:hint="eastAsia"/>
          <w:bCs/>
          <w:color w:val="000000"/>
          <w:sz w:val="24"/>
        </w:rPr>
        <w:t>截至</w:t>
      </w:r>
      <w:r w:rsidR="00B0689A" w:rsidRPr="00B0689A">
        <w:rPr>
          <w:rFonts w:hint="eastAsia"/>
          <w:bCs/>
          <w:color w:val="000000"/>
          <w:sz w:val="24"/>
        </w:rPr>
        <w:t>2018</w:t>
      </w:r>
      <w:r w:rsidR="00B0689A" w:rsidRPr="00B0689A">
        <w:rPr>
          <w:rFonts w:hint="eastAsia"/>
          <w:bCs/>
          <w:color w:val="000000"/>
          <w:sz w:val="24"/>
        </w:rPr>
        <w:t>年</w:t>
      </w:r>
      <w:r w:rsidR="00B0689A" w:rsidRPr="00B0689A">
        <w:rPr>
          <w:rFonts w:hint="eastAsia"/>
          <w:bCs/>
          <w:color w:val="000000"/>
          <w:sz w:val="24"/>
        </w:rPr>
        <w:t>8</w:t>
      </w:r>
      <w:r w:rsidR="00B0689A" w:rsidRPr="00B0689A">
        <w:rPr>
          <w:rFonts w:hint="eastAsia"/>
          <w:bCs/>
          <w:color w:val="000000"/>
          <w:sz w:val="24"/>
        </w:rPr>
        <w:t>月</w:t>
      </w:r>
      <w:r w:rsidR="00B0689A" w:rsidRPr="00B0689A">
        <w:rPr>
          <w:rFonts w:hint="eastAsia"/>
          <w:bCs/>
          <w:color w:val="000000"/>
          <w:sz w:val="24"/>
        </w:rPr>
        <w:t>16</w:t>
      </w:r>
      <w:r w:rsidR="00B0689A" w:rsidRPr="00B0689A">
        <w:rPr>
          <w:rFonts w:hint="eastAsia"/>
          <w:bCs/>
          <w:color w:val="000000"/>
          <w:sz w:val="24"/>
        </w:rPr>
        <w:t>日</w:t>
      </w:r>
      <w:r w:rsidR="007D0E8B">
        <w:rPr>
          <w:rFonts w:hint="eastAsia"/>
          <w:bCs/>
          <w:color w:val="000000"/>
          <w:sz w:val="24"/>
        </w:rPr>
        <w:t>止</w:t>
      </w:r>
      <w:r w:rsidR="00B0689A" w:rsidRPr="00B0689A">
        <w:rPr>
          <w:rFonts w:hint="eastAsia"/>
          <w:bCs/>
          <w:color w:val="000000"/>
          <w:sz w:val="24"/>
        </w:rPr>
        <w:t>利息收入中人民币</w:t>
      </w:r>
      <w:r w:rsidR="00B0689A" w:rsidRPr="00B0689A">
        <w:rPr>
          <w:rFonts w:hint="eastAsia"/>
          <w:bCs/>
          <w:color w:val="000000"/>
          <w:sz w:val="24"/>
        </w:rPr>
        <w:t>403.62</w:t>
      </w:r>
      <w:r w:rsidR="00B0689A" w:rsidRPr="00B0689A">
        <w:rPr>
          <w:rFonts w:hint="eastAsia"/>
          <w:bCs/>
          <w:color w:val="000000"/>
          <w:sz w:val="24"/>
        </w:rPr>
        <w:t>元已划入托管账户</w:t>
      </w:r>
      <w:r w:rsidR="00226726" w:rsidRPr="00226726">
        <w:rPr>
          <w:rFonts w:hint="eastAsia"/>
          <w:bCs/>
          <w:color w:val="000000"/>
          <w:sz w:val="24"/>
        </w:rPr>
        <w:t>，</w:t>
      </w:r>
      <w:r w:rsidR="00995678" w:rsidRPr="004D0226">
        <w:rPr>
          <w:rFonts w:hint="eastAsia"/>
          <w:bCs/>
          <w:color w:val="000000"/>
          <w:sz w:val="24"/>
        </w:rPr>
        <w:t>剩余的款项由基金管理人银河基金管理有限公司以自有资金垫付，并已于</w:t>
      </w:r>
      <w:r w:rsidR="00116992" w:rsidRPr="004D0226">
        <w:rPr>
          <w:rFonts w:hint="eastAsia"/>
          <w:bCs/>
          <w:color w:val="000000"/>
          <w:sz w:val="24"/>
        </w:rPr>
        <w:t>2018</w:t>
      </w:r>
      <w:r w:rsidR="00116992" w:rsidRPr="004D0226">
        <w:rPr>
          <w:rFonts w:hint="eastAsia"/>
          <w:bCs/>
          <w:color w:val="000000"/>
          <w:sz w:val="24"/>
        </w:rPr>
        <w:t>年</w:t>
      </w:r>
      <w:r w:rsidR="00116992" w:rsidRPr="004D0226">
        <w:rPr>
          <w:rFonts w:hint="eastAsia"/>
          <w:bCs/>
          <w:color w:val="000000"/>
          <w:sz w:val="24"/>
        </w:rPr>
        <w:t>8</w:t>
      </w:r>
      <w:r w:rsidR="00116992" w:rsidRPr="004D0226">
        <w:rPr>
          <w:rFonts w:hint="eastAsia"/>
          <w:bCs/>
          <w:color w:val="000000"/>
          <w:sz w:val="24"/>
        </w:rPr>
        <w:t>月</w:t>
      </w:r>
      <w:r w:rsidR="00116992" w:rsidRPr="004D0226">
        <w:rPr>
          <w:rFonts w:hint="eastAsia"/>
          <w:bCs/>
          <w:color w:val="000000"/>
          <w:sz w:val="24"/>
        </w:rPr>
        <w:t>20</w:t>
      </w:r>
      <w:r w:rsidR="00116992" w:rsidRPr="004D0226">
        <w:rPr>
          <w:rFonts w:hint="eastAsia"/>
          <w:bCs/>
          <w:color w:val="000000"/>
          <w:sz w:val="24"/>
        </w:rPr>
        <w:t>日</w:t>
      </w:r>
      <w:r w:rsidR="00995678" w:rsidRPr="004D0226">
        <w:rPr>
          <w:rFonts w:hint="eastAsia"/>
          <w:bCs/>
          <w:color w:val="000000"/>
          <w:sz w:val="24"/>
        </w:rPr>
        <w:t>划入托管账户。基金管理人垫付资金到账日起孳生的利息归基金管理人所有。</w:t>
      </w:r>
    </w:p>
    <w:p w:rsidR="002731BC" w:rsidRPr="004D0226" w:rsidRDefault="00180481" w:rsidP="00226726">
      <w:pPr>
        <w:spacing w:before="100" w:line="360" w:lineRule="auto"/>
        <w:rPr>
          <w:bCs/>
          <w:color w:val="000000"/>
          <w:sz w:val="24"/>
        </w:rPr>
      </w:pPr>
      <w:r w:rsidRPr="004D0226">
        <w:rPr>
          <w:rFonts w:hint="eastAsia"/>
          <w:bCs/>
          <w:color w:val="000000"/>
          <w:sz w:val="24"/>
        </w:rPr>
        <w:t>注</w:t>
      </w:r>
      <w:r w:rsidRPr="004D0226">
        <w:rPr>
          <w:rFonts w:hint="eastAsia"/>
          <w:bCs/>
          <w:color w:val="000000"/>
          <w:sz w:val="24"/>
        </w:rPr>
        <w:t>2:</w:t>
      </w:r>
      <w:r w:rsidRPr="004D0226">
        <w:rPr>
          <w:rFonts w:hint="eastAsia"/>
          <w:bCs/>
          <w:color w:val="000000"/>
          <w:sz w:val="24"/>
        </w:rPr>
        <w:t>详见</w:t>
      </w:r>
      <w:r w:rsidRPr="004D0226">
        <w:rPr>
          <w:rFonts w:hint="eastAsia"/>
          <w:bCs/>
          <w:color w:val="000000"/>
          <w:sz w:val="24"/>
        </w:rPr>
        <w:t>5.2.6</w:t>
      </w:r>
      <w:r w:rsidR="00B42EF7" w:rsidRPr="004D0226">
        <w:rPr>
          <w:rFonts w:hint="eastAsia"/>
          <w:bCs/>
          <w:color w:val="000000"/>
          <w:sz w:val="24"/>
        </w:rPr>
        <w:t>。</w:t>
      </w:r>
    </w:p>
    <w:p w:rsidR="009B5E1A" w:rsidRPr="000E112D" w:rsidRDefault="009B5E1A" w:rsidP="009B5E1A">
      <w:pPr>
        <w:spacing w:line="360" w:lineRule="auto"/>
        <w:ind w:firstLineChars="50" w:firstLine="120"/>
        <w:rPr>
          <w:rFonts w:ascii="宋体" w:hAnsi="宋体"/>
          <w:color w:val="000000"/>
          <w:kern w:val="0"/>
          <w:sz w:val="24"/>
        </w:rPr>
      </w:pPr>
    </w:p>
    <w:p w:rsidR="00900C03" w:rsidRPr="00900C03" w:rsidRDefault="009B5E1A" w:rsidP="00900C03">
      <w:pPr>
        <w:autoSpaceDE w:val="0"/>
        <w:autoSpaceDN w:val="0"/>
        <w:adjustRightInd w:val="0"/>
        <w:spacing w:before="29" w:line="288" w:lineRule="auto"/>
        <w:ind w:left="15"/>
        <w:rPr>
          <w:b/>
          <w:color w:val="000000"/>
          <w:kern w:val="0"/>
          <w:sz w:val="24"/>
        </w:rPr>
      </w:pPr>
      <w:r w:rsidRPr="00A51E84">
        <w:rPr>
          <w:rFonts w:ascii="宋体" w:hAnsi="宋体" w:hint="eastAsia"/>
          <w:b/>
          <w:color w:val="000000"/>
          <w:kern w:val="0"/>
          <w:sz w:val="24"/>
        </w:rPr>
        <w:t>5.4</w:t>
      </w:r>
      <w:r w:rsidRPr="00A51E84">
        <w:rPr>
          <w:rFonts w:hint="eastAsia"/>
          <w:b/>
          <w:color w:val="000000"/>
          <w:kern w:val="0"/>
          <w:sz w:val="24"/>
        </w:rPr>
        <w:t>资产处置及负债清偿后的剩余资产分配情况</w:t>
      </w:r>
    </w:p>
    <w:p w:rsidR="00900C03" w:rsidRPr="00007AB5" w:rsidRDefault="00900C03" w:rsidP="00900C03">
      <w:pPr>
        <w:overflowPunct w:val="0"/>
        <w:autoSpaceDE w:val="0"/>
        <w:autoSpaceDN w:val="0"/>
        <w:snapToGrid w:val="0"/>
        <w:ind w:left="6480"/>
        <w:rPr>
          <w:rFonts w:ascii="黑体" w:eastAsia="黑体" w:hAnsi="黑体" w:cs="Arial"/>
          <w:b/>
          <w:sz w:val="22"/>
          <w:szCs w:val="22"/>
        </w:rPr>
      </w:pPr>
      <w:r w:rsidRPr="00007AB5">
        <w:rPr>
          <w:rFonts w:ascii="黑体" w:eastAsia="黑体" w:hAnsi="黑体" w:hint="eastAsia"/>
          <w:sz w:val="22"/>
          <w:szCs w:val="22"/>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3117"/>
      </w:tblGrid>
      <w:tr w:rsidR="00900C03" w:rsidRPr="00007AB5" w:rsidTr="00411A35">
        <w:tc>
          <w:tcPr>
            <w:tcW w:w="5387" w:type="dxa"/>
          </w:tcPr>
          <w:p w:rsidR="00900C03" w:rsidRPr="00194298" w:rsidRDefault="00900C03" w:rsidP="00194298">
            <w:pPr>
              <w:spacing w:line="360" w:lineRule="auto"/>
              <w:ind w:firstLineChars="50" w:firstLine="120"/>
              <w:rPr>
                <w:rFonts w:ascii="宋体" w:hAnsi="宋体"/>
                <w:color w:val="000000"/>
                <w:kern w:val="0"/>
                <w:sz w:val="24"/>
              </w:rPr>
            </w:pPr>
            <w:r w:rsidRPr="00194298">
              <w:rPr>
                <w:rFonts w:ascii="宋体" w:hAnsi="宋体" w:hint="eastAsia"/>
                <w:color w:val="000000"/>
                <w:kern w:val="0"/>
                <w:sz w:val="24"/>
              </w:rPr>
              <w:t>项目</w:t>
            </w:r>
          </w:p>
        </w:tc>
        <w:tc>
          <w:tcPr>
            <w:tcW w:w="3117" w:type="dxa"/>
          </w:tcPr>
          <w:p w:rsidR="00900C03" w:rsidRPr="00007AB5" w:rsidRDefault="00900C03" w:rsidP="00211EF9">
            <w:pPr>
              <w:jc w:val="right"/>
              <w:rPr>
                <w:rFonts w:ascii="黑体" w:eastAsia="黑体" w:hAnsi="黑体" w:cs="Arial"/>
                <w:sz w:val="22"/>
                <w:szCs w:val="22"/>
              </w:rPr>
            </w:pPr>
            <w:r w:rsidRPr="00007AB5">
              <w:rPr>
                <w:rFonts w:ascii="黑体" w:eastAsia="黑体" w:hAnsi="黑体" w:cs="Arial" w:hint="eastAsia"/>
                <w:sz w:val="22"/>
                <w:szCs w:val="22"/>
              </w:rPr>
              <w:t>金额</w:t>
            </w:r>
          </w:p>
        </w:tc>
      </w:tr>
      <w:tr w:rsidR="00900C03" w:rsidRPr="00007AB5" w:rsidTr="00411A35">
        <w:tc>
          <w:tcPr>
            <w:tcW w:w="5387" w:type="dxa"/>
          </w:tcPr>
          <w:p w:rsidR="00900C03" w:rsidRPr="00194298" w:rsidRDefault="00900C03" w:rsidP="00194298">
            <w:pPr>
              <w:spacing w:line="360" w:lineRule="auto"/>
              <w:ind w:firstLineChars="50" w:firstLine="120"/>
              <w:rPr>
                <w:rFonts w:ascii="宋体" w:hAnsi="宋体"/>
                <w:color w:val="000000"/>
                <w:kern w:val="0"/>
                <w:sz w:val="24"/>
              </w:rPr>
            </w:pPr>
            <w:r w:rsidRPr="00194298">
              <w:rPr>
                <w:rFonts w:ascii="宋体" w:hAnsi="宋体" w:hint="eastAsia"/>
                <w:color w:val="000000"/>
                <w:kern w:val="0"/>
                <w:sz w:val="24"/>
              </w:rPr>
              <w:t>一、最后运作日</w:t>
            </w:r>
            <w:r w:rsidR="00C431D2" w:rsidRPr="00194298">
              <w:rPr>
                <w:rFonts w:ascii="宋体" w:hAnsi="宋体" w:hint="eastAsia"/>
                <w:color w:val="000000"/>
                <w:kern w:val="0"/>
                <w:sz w:val="24"/>
              </w:rPr>
              <w:t>2018年8月12日</w:t>
            </w:r>
            <w:r w:rsidRPr="00194298">
              <w:rPr>
                <w:rFonts w:ascii="宋体" w:hAnsi="宋体" w:hint="eastAsia"/>
                <w:color w:val="000000"/>
                <w:kern w:val="0"/>
                <w:sz w:val="24"/>
              </w:rPr>
              <w:t>基金净资产</w:t>
            </w:r>
          </w:p>
        </w:tc>
        <w:tc>
          <w:tcPr>
            <w:tcW w:w="3117" w:type="dxa"/>
            <w:vAlign w:val="center"/>
          </w:tcPr>
          <w:p w:rsidR="00900C03" w:rsidRPr="00B76CF2" w:rsidRDefault="00B76CF2" w:rsidP="00B76CF2">
            <w:pPr>
              <w:jc w:val="right"/>
              <w:rPr>
                <w:rFonts w:ascii="宋体" w:hAnsi="宋体" w:cs="宋体"/>
                <w:color w:val="000000"/>
                <w:sz w:val="22"/>
                <w:szCs w:val="22"/>
              </w:rPr>
            </w:pPr>
            <w:r>
              <w:rPr>
                <w:rFonts w:hint="eastAsia"/>
                <w:color w:val="000000"/>
                <w:sz w:val="22"/>
                <w:szCs w:val="22"/>
              </w:rPr>
              <w:t>3,750,004.86</w:t>
            </w:r>
          </w:p>
        </w:tc>
      </w:tr>
      <w:tr w:rsidR="00900C03" w:rsidRPr="00DD59E5" w:rsidTr="00411A35">
        <w:tc>
          <w:tcPr>
            <w:tcW w:w="5387" w:type="dxa"/>
          </w:tcPr>
          <w:p w:rsidR="00900C03" w:rsidRPr="00194298" w:rsidRDefault="00900C03" w:rsidP="00194298">
            <w:pPr>
              <w:spacing w:line="360" w:lineRule="auto"/>
              <w:ind w:firstLineChars="50" w:firstLine="120"/>
              <w:rPr>
                <w:rFonts w:ascii="宋体" w:hAnsi="宋体"/>
                <w:color w:val="000000"/>
                <w:kern w:val="0"/>
                <w:sz w:val="24"/>
              </w:rPr>
            </w:pPr>
            <w:r w:rsidRPr="00194298">
              <w:rPr>
                <w:rFonts w:ascii="宋体" w:hAnsi="宋体" w:hint="eastAsia"/>
                <w:color w:val="000000"/>
                <w:kern w:val="0"/>
                <w:sz w:val="24"/>
              </w:rPr>
              <w:t>加：清算期间净收益</w:t>
            </w:r>
          </w:p>
        </w:tc>
        <w:tc>
          <w:tcPr>
            <w:tcW w:w="3117" w:type="dxa"/>
            <w:vAlign w:val="center"/>
          </w:tcPr>
          <w:p w:rsidR="00900C03" w:rsidRPr="00BF5AC9" w:rsidRDefault="00BF5AC9" w:rsidP="00BF5AC9">
            <w:pPr>
              <w:ind w:firstLineChars="200" w:firstLine="440"/>
              <w:jc w:val="right"/>
              <w:rPr>
                <w:rFonts w:ascii="黑体" w:eastAsia="黑体" w:hAnsi="宋体" w:cs="宋体"/>
                <w:color w:val="000000"/>
                <w:sz w:val="22"/>
                <w:szCs w:val="22"/>
              </w:rPr>
            </w:pPr>
            <w:r>
              <w:rPr>
                <w:rFonts w:ascii="黑体" w:eastAsia="黑体" w:hint="eastAsia"/>
                <w:color w:val="000000"/>
                <w:sz w:val="22"/>
                <w:szCs w:val="22"/>
              </w:rPr>
              <w:t>-74,347.79</w:t>
            </w:r>
          </w:p>
        </w:tc>
      </w:tr>
      <w:tr w:rsidR="00900C03" w:rsidRPr="00007AB5" w:rsidTr="00411A35">
        <w:tc>
          <w:tcPr>
            <w:tcW w:w="5387" w:type="dxa"/>
          </w:tcPr>
          <w:p w:rsidR="00900C03" w:rsidRPr="00194298" w:rsidRDefault="00900C03" w:rsidP="00B0689A">
            <w:pPr>
              <w:spacing w:line="360" w:lineRule="auto"/>
              <w:ind w:firstLineChars="50" w:firstLine="120"/>
              <w:rPr>
                <w:rFonts w:ascii="宋体" w:hAnsi="宋体"/>
                <w:color w:val="000000"/>
                <w:kern w:val="0"/>
                <w:sz w:val="24"/>
              </w:rPr>
            </w:pPr>
            <w:r w:rsidRPr="00194298">
              <w:rPr>
                <w:rFonts w:ascii="宋体" w:hAnsi="宋体" w:hint="eastAsia"/>
                <w:color w:val="000000"/>
                <w:kern w:val="0"/>
                <w:sz w:val="24"/>
              </w:rPr>
              <w:t>减：基金净赎回转出金额</w:t>
            </w:r>
            <w:r w:rsidR="00B0689A" w:rsidRPr="00B0689A">
              <w:rPr>
                <w:rFonts w:ascii="宋体" w:hAnsi="宋体" w:hint="eastAsia"/>
                <w:color w:val="000000"/>
                <w:kern w:val="0"/>
                <w:sz w:val="24"/>
              </w:rPr>
              <w:t>（于2018年8月13日确认的投资者赎回转出申请）</w:t>
            </w:r>
          </w:p>
        </w:tc>
        <w:tc>
          <w:tcPr>
            <w:tcW w:w="3117" w:type="dxa"/>
            <w:vAlign w:val="center"/>
          </w:tcPr>
          <w:p w:rsidR="00900C03" w:rsidRPr="008C21D8" w:rsidRDefault="008C21D8">
            <w:pPr>
              <w:overflowPunct w:val="0"/>
              <w:autoSpaceDE w:val="0"/>
              <w:autoSpaceDN w:val="0"/>
              <w:snapToGrid w:val="0"/>
              <w:jc w:val="right"/>
              <w:rPr>
                <w:sz w:val="22"/>
                <w:szCs w:val="22"/>
              </w:rPr>
            </w:pPr>
            <w:r>
              <w:rPr>
                <w:rFonts w:hint="eastAsia"/>
                <w:sz w:val="22"/>
                <w:szCs w:val="22"/>
              </w:rPr>
              <w:t>0</w:t>
            </w:r>
            <w:r w:rsidR="00B0689A">
              <w:rPr>
                <w:rFonts w:hint="eastAsia"/>
                <w:sz w:val="22"/>
                <w:szCs w:val="22"/>
              </w:rPr>
              <w:t>.00</w:t>
            </w:r>
          </w:p>
        </w:tc>
      </w:tr>
      <w:tr w:rsidR="00900C03" w:rsidRPr="00007AB5" w:rsidTr="00411A35">
        <w:trPr>
          <w:trHeight w:val="101"/>
        </w:trPr>
        <w:tc>
          <w:tcPr>
            <w:tcW w:w="5387" w:type="dxa"/>
          </w:tcPr>
          <w:p w:rsidR="00900C03" w:rsidRPr="00007AB5" w:rsidRDefault="00900C03" w:rsidP="00B76CF2">
            <w:pPr>
              <w:overflowPunct w:val="0"/>
              <w:autoSpaceDE w:val="0"/>
              <w:autoSpaceDN w:val="0"/>
              <w:snapToGrid w:val="0"/>
              <w:rPr>
                <w:rFonts w:ascii="黑体" w:eastAsia="黑体" w:hAnsi="黑体" w:cs="Arial"/>
                <w:sz w:val="22"/>
                <w:szCs w:val="22"/>
              </w:rPr>
            </w:pPr>
            <w:r w:rsidRPr="00007AB5">
              <w:rPr>
                <w:rFonts w:ascii="黑体" w:eastAsia="黑体" w:hAnsi="黑体" w:cs="Arial" w:hint="eastAsia"/>
                <w:sz w:val="22"/>
                <w:szCs w:val="22"/>
              </w:rPr>
              <w:t>二</w:t>
            </w:r>
            <w:r w:rsidR="00BF5AC9">
              <w:rPr>
                <w:rFonts w:hint="eastAsia"/>
                <w:bCs/>
                <w:color w:val="000000"/>
                <w:sz w:val="24"/>
              </w:rPr>
              <w:t>、</w:t>
            </w:r>
            <w:r w:rsidR="00BF5AC9" w:rsidRPr="00194298">
              <w:rPr>
                <w:rFonts w:hint="eastAsia"/>
                <w:bCs/>
                <w:color w:val="000000"/>
                <w:sz w:val="24"/>
              </w:rPr>
              <w:t>2018</w:t>
            </w:r>
            <w:r w:rsidR="00BF5AC9" w:rsidRPr="00194298">
              <w:rPr>
                <w:rFonts w:hint="eastAsia"/>
                <w:bCs/>
                <w:color w:val="000000"/>
                <w:sz w:val="24"/>
              </w:rPr>
              <w:t>年</w:t>
            </w:r>
            <w:r w:rsidR="00BF5AC9" w:rsidRPr="00194298">
              <w:rPr>
                <w:rFonts w:hint="eastAsia"/>
                <w:bCs/>
                <w:color w:val="000000"/>
                <w:sz w:val="24"/>
              </w:rPr>
              <w:t>8</w:t>
            </w:r>
            <w:r w:rsidR="00BF5AC9" w:rsidRPr="00194298">
              <w:rPr>
                <w:rFonts w:hint="eastAsia"/>
                <w:bCs/>
                <w:color w:val="000000"/>
                <w:sz w:val="24"/>
              </w:rPr>
              <w:t>月</w:t>
            </w:r>
            <w:r w:rsidR="00BF5AC9">
              <w:rPr>
                <w:rFonts w:hint="eastAsia"/>
                <w:bCs/>
                <w:color w:val="000000"/>
                <w:sz w:val="24"/>
              </w:rPr>
              <w:t>21</w:t>
            </w:r>
            <w:r w:rsidR="00BF5AC9" w:rsidRPr="00194298">
              <w:rPr>
                <w:rFonts w:hint="eastAsia"/>
                <w:bCs/>
                <w:color w:val="000000"/>
                <w:sz w:val="24"/>
              </w:rPr>
              <w:t>日</w:t>
            </w:r>
            <w:r w:rsidR="00BF5AC9">
              <w:rPr>
                <w:rFonts w:hint="eastAsia"/>
                <w:bCs/>
                <w:color w:val="000000"/>
                <w:sz w:val="24"/>
              </w:rPr>
              <w:t>基金资产净值</w:t>
            </w:r>
          </w:p>
        </w:tc>
        <w:tc>
          <w:tcPr>
            <w:tcW w:w="3117" w:type="dxa"/>
            <w:vAlign w:val="center"/>
          </w:tcPr>
          <w:p w:rsidR="00900C03" w:rsidRPr="003200D1" w:rsidRDefault="00226726" w:rsidP="00211EF9">
            <w:pPr>
              <w:overflowPunct w:val="0"/>
              <w:autoSpaceDE w:val="0"/>
              <w:autoSpaceDN w:val="0"/>
              <w:snapToGrid w:val="0"/>
              <w:jc w:val="right"/>
              <w:rPr>
                <w:rFonts w:ascii="黑体" w:eastAsia="黑体" w:hAnsi="黑体" w:cs="Arial"/>
                <w:sz w:val="22"/>
                <w:szCs w:val="22"/>
                <w:highlight w:val="yellow"/>
              </w:rPr>
            </w:pPr>
            <w:r>
              <w:rPr>
                <w:rFonts w:ascii="黑体" w:eastAsia="黑体" w:hAnsi="黑体" w:cs="Arial" w:hint="eastAsia"/>
                <w:sz w:val="22"/>
                <w:szCs w:val="22"/>
              </w:rPr>
              <w:t>3,675,6</w:t>
            </w:r>
            <w:r w:rsidR="00BF5AC9" w:rsidRPr="00BF5AC9">
              <w:rPr>
                <w:rFonts w:ascii="黑体" w:eastAsia="黑体" w:hAnsi="黑体" w:cs="Arial" w:hint="eastAsia"/>
                <w:sz w:val="22"/>
                <w:szCs w:val="22"/>
              </w:rPr>
              <w:t>57.07</w:t>
            </w:r>
          </w:p>
        </w:tc>
      </w:tr>
    </w:tbl>
    <w:p w:rsidR="00D14732" w:rsidRPr="004D0226" w:rsidRDefault="001514D5" w:rsidP="00226726">
      <w:pPr>
        <w:spacing w:before="100" w:line="360" w:lineRule="auto"/>
        <w:ind w:firstLineChars="200" w:firstLine="480"/>
        <w:rPr>
          <w:bCs/>
          <w:color w:val="000000"/>
          <w:sz w:val="24"/>
        </w:rPr>
      </w:pPr>
      <w:r w:rsidRPr="004D0226">
        <w:rPr>
          <w:rFonts w:hint="eastAsia"/>
          <w:bCs/>
          <w:color w:val="000000"/>
          <w:sz w:val="24"/>
        </w:rPr>
        <w:t>资产处置及负债清偿后，本基金截</w:t>
      </w:r>
      <w:r w:rsidR="00BF5AC9">
        <w:rPr>
          <w:rFonts w:hint="eastAsia"/>
          <w:bCs/>
          <w:color w:val="000000"/>
          <w:sz w:val="24"/>
        </w:rPr>
        <w:t>至</w:t>
      </w:r>
      <w:r w:rsidR="00BF5AC9" w:rsidRPr="00194298">
        <w:rPr>
          <w:rFonts w:hint="eastAsia"/>
          <w:bCs/>
          <w:color w:val="000000"/>
          <w:sz w:val="24"/>
        </w:rPr>
        <w:t>2018</w:t>
      </w:r>
      <w:r w:rsidR="00BF5AC9" w:rsidRPr="00194298">
        <w:rPr>
          <w:rFonts w:hint="eastAsia"/>
          <w:bCs/>
          <w:color w:val="000000"/>
          <w:sz w:val="24"/>
        </w:rPr>
        <w:t>年</w:t>
      </w:r>
      <w:r w:rsidR="00BF5AC9" w:rsidRPr="00194298">
        <w:rPr>
          <w:rFonts w:hint="eastAsia"/>
          <w:bCs/>
          <w:color w:val="000000"/>
          <w:sz w:val="24"/>
        </w:rPr>
        <w:t>8</w:t>
      </w:r>
      <w:r w:rsidR="00BF5AC9" w:rsidRPr="00194298">
        <w:rPr>
          <w:rFonts w:hint="eastAsia"/>
          <w:bCs/>
          <w:color w:val="000000"/>
          <w:sz w:val="24"/>
        </w:rPr>
        <w:t>月</w:t>
      </w:r>
      <w:r w:rsidR="00BF5AC9">
        <w:rPr>
          <w:rFonts w:hint="eastAsia"/>
          <w:bCs/>
          <w:color w:val="000000"/>
          <w:sz w:val="24"/>
        </w:rPr>
        <w:t>21</w:t>
      </w:r>
      <w:r w:rsidR="00BF5AC9" w:rsidRPr="00194298">
        <w:rPr>
          <w:rFonts w:hint="eastAsia"/>
          <w:bCs/>
          <w:color w:val="000000"/>
          <w:sz w:val="24"/>
        </w:rPr>
        <w:t>日</w:t>
      </w:r>
      <w:r w:rsidRPr="004D0226">
        <w:rPr>
          <w:rFonts w:hint="eastAsia"/>
          <w:bCs/>
          <w:color w:val="000000"/>
          <w:sz w:val="24"/>
        </w:rPr>
        <w:t>止</w:t>
      </w:r>
      <w:r w:rsidR="006A2774" w:rsidRPr="004D0226">
        <w:rPr>
          <w:rFonts w:hint="eastAsia"/>
          <w:bCs/>
          <w:color w:val="000000"/>
          <w:sz w:val="24"/>
        </w:rPr>
        <w:t>属于委托人</w:t>
      </w:r>
      <w:r w:rsidRPr="004D0226">
        <w:rPr>
          <w:rFonts w:hint="eastAsia"/>
          <w:bCs/>
          <w:color w:val="000000"/>
          <w:sz w:val="24"/>
        </w:rPr>
        <w:t>的剩余财产为人民币</w:t>
      </w:r>
      <w:r w:rsidR="00226726">
        <w:rPr>
          <w:rFonts w:ascii="黑体" w:eastAsia="黑体" w:hAnsi="黑体" w:cs="Arial" w:hint="eastAsia"/>
          <w:sz w:val="22"/>
          <w:szCs w:val="22"/>
        </w:rPr>
        <w:t>3,675,6</w:t>
      </w:r>
      <w:r w:rsidR="00226726" w:rsidRPr="00BF5AC9">
        <w:rPr>
          <w:rFonts w:ascii="黑体" w:eastAsia="黑体" w:hAnsi="黑体" w:cs="Arial" w:hint="eastAsia"/>
          <w:sz w:val="22"/>
          <w:szCs w:val="22"/>
        </w:rPr>
        <w:t>57.07</w:t>
      </w:r>
      <w:r w:rsidRPr="004D0226">
        <w:rPr>
          <w:rFonts w:hint="eastAsia"/>
          <w:bCs/>
          <w:color w:val="000000"/>
          <w:sz w:val="24"/>
        </w:rPr>
        <w:t>元。</w:t>
      </w:r>
      <w:r w:rsidR="008C21D8" w:rsidRPr="004D0226">
        <w:rPr>
          <w:rFonts w:hint="eastAsia"/>
          <w:bCs/>
          <w:color w:val="000000"/>
          <w:sz w:val="24"/>
        </w:rPr>
        <w:t>根据本基金的基金合同</w:t>
      </w:r>
      <w:r w:rsidR="00226726" w:rsidRPr="00226726">
        <w:rPr>
          <w:rFonts w:hint="eastAsia"/>
          <w:bCs/>
          <w:color w:val="000000"/>
          <w:sz w:val="24"/>
        </w:rPr>
        <w:t>及《关于银河量化配置混合型证券投资基金基金份额持有人大会表决结果暨决议生效的公告》</w:t>
      </w:r>
      <w:r w:rsidR="00D14732" w:rsidRPr="004D0226">
        <w:rPr>
          <w:bCs/>
          <w:color w:val="000000"/>
          <w:sz w:val="24"/>
        </w:rPr>
        <w:t>，依据基金财产清算的分配方案，将基金财产清算后的全部剩余资产扣除基金财产清算费用、交纳所欠税款并清偿基金债务后，按基金份额持有人持有的基金份额比例进行分配。</w:t>
      </w:r>
    </w:p>
    <w:p w:rsidR="009B5E1A" w:rsidRDefault="002F1FBF" w:rsidP="002F1FBF">
      <w:pPr>
        <w:spacing w:before="100" w:line="360" w:lineRule="auto"/>
        <w:ind w:firstLineChars="200" w:firstLine="480"/>
        <w:rPr>
          <w:rFonts w:ascii="宋体" w:hAnsi="宋体"/>
          <w:color w:val="000000"/>
          <w:kern w:val="0"/>
          <w:sz w:val="24"/>
        </w:rPr>
      </w:pPr>
      <w:bookmarkStart w:id="1" w:name="_GoBack"/>
      <w:bookmarkEnd w:id="1"/>
      <w:r w:rsidRPr="002F1FBF">
        <w:rPr>
          <w:rFonts w:hint="eastAsia"/>
          <w:bCs/>
          <w:color w:val="000000"/>
          <w:sz w:val="24"/>
        </w:rPr>
        <w:t>截至</w:t>
      </w:r>
      <w:r w:rsidRPr="002F1FBF">
        <w:rPr>
          <w:rFonts w:hint="eastAsia"/>
          <w:bCs/>
          <w:color w:val="000000"/>
          <w:sz w:val="24"/>
        </w:rPr>
        <w:t>2018</w:t>
      </w:r>
      <w:r w:rsidRPr="002F1FBF">
        <w:rPr>
          <w:rFonts w:hint="eastAsia"/>
          <w:bCs/>
          <w:color w:val="000000"/>
          <w:sz w:val="24"/>
        </w:rPr>
        <w:t>年</w:t>
      </w:r>
      <w:r w:rsidRPr="002F1FBF">
        <w:rPr>
          <w:rFonts w:hint="eastAsia"/>
          <w:bCs/>
          <w:color w:val="000000"/>
          <w:sz w:val="24"/>
        </w:rPr>
        <w:t>8</w:t>
      </w:r>
      <w:r w:rsidRPr="002F1FBF">
        <w:rPr>
          <w:rFonts w:hint="eastAsia"/>
          <w:bCs/>
          <w:color w:val="000000"/>
          <w:sz w:val="24"/>
        </w:rPr>
        <w:t>月</w:t>
      </w:r>
      <w:r w:rsidRPr="002F1FBF">
        <w:rPr>
          <w:rFonts w:hint="eastAsia"/>
          <w:bCs/>
          <w:color w:val="000000"/>
          <w:sz w:val="24"/>
        </w:rPr>
        <w:t>21</w:t>
      </w:r>
      <w:r w:rsidRPr="002F1FBF">
        <w:rPr>
          <w:rFonts w:hint="eastAsia"/>
          <w:bCs/>
          <w:color w:val="000000"/>
          <w:sz w:val="24"/>
        </w:rPr>
        <w:t>日止，经基金管理人以及基金托管人确认，本基金托管账户银行存款余额共人民币</w:t>
      </w:r>
      <w:r w:rsidRPr="002F1FBF">
        <w:rPr>
          <w:bCs/>
          <w:color w:val="000000"/>
          <w:sz w:val="24"/>
        </w:rPr>
        <w:t>3,890,206.21</w:t>
      </w:r>
      <w:r w:rsidRPr="002F1FBF">
        <w:rPr>
          <w:rFonts w:hint="eastAsia"/>
          <w:bCs/>
          <w:color w:val="000000"/>
          <w:sz w:val="24"/>
        </w:rPr>
        <w:t>元，其中人民币</w:t>
      </w:r>
      <w:r w:rsidRPr="002F1FBF">
        <w:rPr>
          <w:rFonts w:hint="eastAsia"/>
          <w:bCs/>
          <w:color w:val="000000"/>
          <w:sz w:val="24"/>
        </w:rPr>
        <w:t>250</w:t>
      </w:r>
      <w:r w:rsidRPr="002F1FBF">
        <w:rPr>
          <w:bCs/>
          <w:color w:val="000000"/>
          <w:sz w:val="24"/>
        </w:rPr>
        <w:t>,</w:t>
      </w:r>
      <w:r w:rsidRPr="002F1FBF">
        <w:rPr>
          <w:rFonts w:hint="eastAsia"/>
          <w:bCs/>
          <w:color w:val="000000"/>
          <w:sz w:val="24"/>
        </w:rPr>
        <w:t>000</w:t>
      </w:r>
      <w:r w:rsidRPr="002F1FBF">
        <w:rPr>
          <w:bCs/>
          <w:color w:val="000000"/>
          <w:sz w:val="24"/>
        </w:rPr>
        <w:t>.00</w:t>
      </w:r>
      <w:r w:rsidRPr="002F1FBF">
        <w:rPr>
          <w:rFonts w:hint="eastAsia"/>
          <w:bCs/>
          <w:color w:val="000000"/>
          <w:sz w:val="24"/>
        </w:rPr>
        <w:t>元系基金管理人代垫的结算备付金、存出保证金以及以当前适用的利率预估的银行存款利息、结算备付金利息、存出保证金利息。</w:t>
      </w:r>
    </w:p>
    <w:p w:rsidR="00C73374" w:rsidRPr="003F1729" w:rsidRDefault="00C73374" w:rsidP="00C73374">
      <w:pPr>
        <w:autoSpaceDE w:val="0"/>
        <w:autoSpaceDN w:val="0"/>
        <w:adjustRightInd w:val="0"/>
        <w:spacing w:before="29" w:line="288" w:lineRule="auto"/>
        <w:ind w:left="15"/>
        <w:rPr>
          <w:b/>
          <w:color w:val="000000"/>
          <w:kern w:val="0"/>
          <w:sz w:val="24"/>
        </w:rPr>
      </w:pPr>
      <w:r w:rsidRPr="00347A76">
        <w:rPr>
          <w:rFonts w:hint="eastAsia"/>
          <w:b/>
          <w:color w:val="000000"/>
          <w:kern w:val="0"/>
          <w:sz w:val="24"/>
        </w:rPr>
        <w:t>5.</w:t>
      </w:r>
      <w:r>
        <w:rPr>
          <w:rFonts w:hint="eastAsia"/>
          <w:b/>
          <w:color w:val="000000"/>
          <w:kern w:val="0"/>
          <w:sz w:val="24"/>
        </w:rPr>
        <w:t xml:space="preserve">5 </w:t>
      </w:r>
      <w:r w:rsidRPr="003F1729">
        <w:rPr>
          <w:rFonts w:hint="eastAsia"/>
          <w:b/>
          <w:color w:val="000000"/>
          <w:kern w:val="0"/>
          <w:sz w:val="24"/>
        </w:rPr>
        <w:t>基金财产清算报告的告知安排</w:t>
      </w:r>
    </w:p>
    <w:p w:rsidR="00C73374" w:rsidRDefault="00C73374" w:rsidP="006834C4">
      <w:pPr>
        <w:spacing w:before="100" w:line="360" w:lineRule="auto"/>
        <w:ind w:firstLineChars="200" w:firstLine="480"/>
        <w:rPr>
          <w:bCs/>
          <w:color w:val="000000"/>
          <w:sz w:val="24"/>
        </w:rPr>
      </w:pPr>
      <w:r w:rsidRPr="003F1729">
        <w:rPr>
          <w:rFonts w:hint="eastAsia"/>
          <w:bCs/>
          <w:color w:val="000000"/>
          <w:sz w:val="24"/>
        </w:rPr>
        <w:t>本清算报告已经基金托管人复核，在经会计师事务所审计、律师事务所出具法律意见书后，报中国证监会备案并向基金份额持有人公告。</w:t>
      </w:r>
    </w:p>
    <w:p w:rsidR="000162F7" w:rsidRDefault="000162F7" w:rsidP="0027546F">
      <w:pPr>
        <w:spacing w:before="100"/>
        <w:rPr>
          <w:bCs/>
          <w:color w:val="000000"/>
          <w:sz w:val="24"/>
        </w:rPr>
      </w:pPr>
    </w:p>
    <w:p w:rsidR="00C73374" w:rsidRPr="009C28F2" w:rsidRDefault="00C73374" w:rsidP="00C73374">
      <w:pPr>
        <w:autoSpaceDE w:val="0"/>
        <w:autoSpaceDN w:val="0"/>
        <w:adjustRightInd w:val="0"/>
        <w:spacing w:before="29" w:line="288" w:lineRule="auto"/>
        <w:ind w:left="15"/>
        <w:jc w:val="center"/>
        <w:rPr>
          <w:b/>
          <w:color w:val="000000"/>
          <w:kern w:val="0"/>
          <w:sz w:val="24"/>
        </w:rPr>
      </w:pPr>
      <w:r w:rsidRPr="009C28F2">
        <w:rPr>
          <w:b/>
          <w:color w:val="000000"/>
          <w:kern w:val="0"/>
          <w:sz w:val="24"/>
        </w:rPr>
        <w:t>§</w:t>
      </w:r>
      <w:r>
        <w:rPr>
          <w:rFonts w:hint="eastAsia"/>
          <w:b/>
          <w:color w:val="000000"/>
          <w:kern w:val="0"/>
          <w:sz w:val="24"/>
        </w:rPr>
        <w:t xml:space="preserve">6  </w:t>
      </w:r>
      <w:r>
        <w:rPr>
          <w:rFonts w:hint="eastAsia"/>
          <w:b/>
          <w:color w:val="000000"/>
          <w:kern w:val="0"/>
          <w:sz w:val="24"/>
        </w:rPr>
        <w:t>备查文件</w:t>
      </w:r>
    </w:p>
    <w:p w:rsidR="00C73374" w:rsidRPr="009C28F2" w:rsidRDefault="00C73374" w:rsidP="00C73374">
      <w:pPr>
        <w:autoSpaceDE w:val="0"/>
        <w:autoSpaceDN w:val="0"/>
        <w:adjustRightInd w:val="0"/>
        <w:spacing w:before="29" w:line="288" w:lineRule="auto"/>
        <w:jc w:val="left"/>
        <w:rPr>
          <w:color w:val="000000"/>
        </w:rPr>
      </w:pPr>
    </w:p>
    <w:p w:rsidR="00C73374" w:rsidRPr="009C28F2" w:rsidRDefault="00C73374" w:rsidP="00C73374">
      <w:pPr>
        <w:spacing w:line="288" w:lineRule="auto"/>
        <w:rPr>
          <w:b/>
          <w:color w:val="0000FF"/>
          <w:kern w:val="0"/>
          <w:sz w:val="18"/>
          <w:szCs w:val="18"/>
        </w:rPr>
      </w:pPr>
      <w:r>
        <w:rPr>
          <w:rFonts w:hint="eastAsia"/>
          <w:b/>
          <w:sz w:val="24"/>
        </w:rPr>
        <w:t xml:space="preserve">6.1 </w:t>
      </w:r>
      <w:r>
        <w:rPr>
          <w:rFonts w:hint="eastAsia"/>
          <w:b/>
          <w:sz w:val="24"/>
        </w:rPr>
        <w:t>备查文件目录</w:t>
      </w:r>
    </w:p>
    <w:p w:rsidR="00FA2DBB" w:rsidRDefault="00C73374" w:rsidP="0084071A">
      <w:pPr>
        <w:spacing w:before="100"/>
        <w:ind w:firstLineChars="200" w:firstLine="480"/>
        <w:rPr>
          <w:bCs/>
          <w:color w:val="000000"/>
          <w:sz w:val="24"/>
        </w:rPr>
      </w:pPr>
      <w:r w:rsidRPr="000D40F1">
        <w:rPr>
          <w:rFonts w:hint="eastAsia"/>
          <w:bCs/>
          <w:color w:val="000000"/>
          <w:sz w:val="24"/>
        </w:rPr>
        <w:t>1</w:t>
      </w:r>
      <w:r w:rsidRPr="000D40F1">
        <w:rPr>
          <w:rFonts w:hint="eastAsia"/>
          <w:bCs/>
          <w:color w:val="000000"/>
          <w:sz w:val="24"/>
        </w:rPr>
        <w:t>、</w:t>
      </w:r>
      <w:r w:rsidR="00662082">
        <w:rPr>
          <w:rFonts w:hint="eastAsia"/>
          <w:bCs/>
          <w:color w:val="000000"/>
          <w:sz w:val="24"/>
        </w:rPr>
        <w:t>银河量化配置</w:t>
      </w:r>
      <w:r w:rsidR="00F9053C" w:rsidRPr="001F35C4">
        <w:rPr>
          <w:rFonts w:hint="eastAsia"/>
          <w:bCs/>
          <w:color w:val="000000"/>
          <w:sz w:val="24"/>
        </w:rPr>
        <w:t>混合型证券投资基金</w:t>
      </w:r>
      <w:r w:rsidR="00C431D2">
        <w:rPr>
          <w:rFonts w:hint="eastAsia"/>
          <w:bCs/>
          <w:color w:val="000000"/>
          <w:sz w:val="24"/>
        </w:rPr>
        <w:t>2018</w:t>
      </w:r>
      <w:r w:rsidR="00C431D2">
        <w:rPr>
          <w:rFonts w:hint="eastAsia"/>
          <w:bCs/>
          <w:color w:val="000000"/>
          <w:sz w:val="24"/>
        </w:rPr>
        <w:t>年</w:t>
      </w:r>
      <w:r w:rsidR="00C431D2">
        <w:rPr>
          <w:rFonts w:hint="eastAsia"/>
          <w:bCs/>
          <w:color w:val="000000"/>
          <w:sz w:val="24"/>
        </w:rPr>
        <w:t>8</w:t>
      </w:r>
      <w:r w:rsidR="00C431D2">
        <w:rPr>
          <w:rFonts w:hint="eastAsia"/>
          <w:bCs/>
          <w:color w:val="000000"/>
          <w:sz w:val="24"/>
        </w:rPr>
        <w:t>月</w:t>
      </w:r>
      <w:r w:rsidR="00C431D2">
        <w:rPr>
          <w:rFonts w:hint="eastAsia"/>
          <w:bCs/>
          <w:color w:val="000000"/>
          <w:sz w:val="24"/>
        </w:rPr>
        <w:t>12</w:t>
      </w:r>
      <w:r w:rsidR="00C431D2">
        <w:rPr>
          <w:rFonts w:hint="eastAsia"/>
          <w:bCs/>
          <w:color w:val="000000"/>
          <w:sz w:val="24"/>
        </w:rPr>
        <w:t>日</w:t>
      </w:r>
      <w:r w:rsidRPr="000D40F1">
        <w:rPr>
          <w:rFonts w:hint="eastAsia"/>
          <w:bCs/>
          <w:color w:val="000000"/>
          <w:sz w:val="24"/>
        </w:rPr>
        <w:t>资产负债表及审计报告</w:t>
      </w:r>
    </w:p>
    <w:p w:rsidR="00C73374" w:rsidRPr="000D40F1" w:rsidRDefault="00C73374" w:rsidP="00C73374">
      <w:pPr>
        <w:spacing w:before="100"/>
        <w:ind w:firstLineChars="200" w:firstLine="480"/>
        <w:rPr>
          <w:bCs/>
          <w:color w:val="000000"/>
          <w:sz w:val="24"/>
        </w:rPr>
      </w:pPr>
      <w:r w:rsidRPr="000D40F1">
        <w:rPr>
          <w:rFonts w:hint="eastAsia"/>
          <w:bCs/>
          <w:color w:val="000000"/>
          <w:sz w:val="24"/>
        </w:rPr>
        <w:t>2</w:t>
      </w:r>
      <w:r w:rsidRPr="000D40F1">
        <w:rPr>
          <w:rFonts w:hint="eastAsia"/>
          <w:bCs/>
          <w:color w:val="000000"/>
          <w:sz w:val="24"/>
        </w:rPr>
        <w:t>、《</w:t>
      </w:r>
      <w:r w:rsidR="00662082">
        <w:rPr>
          <w:rFonts w:hint="eastAsia"/>
          <w:bCs/>
          <w:color w:val="000000"/>
          <w:sz w:val="24"/>
        </w:rPr>
        <w:t>银河量化配置</w:t>
      </w:r>
      <w:r w:rsidR="00F9053C" w:rsidRPr="001F35C4">
        <w:rPr>
          <w:rFonts w:hint="eastAsia"/>
          <w:bCs/>
          <w:color w:val="000000"/>
          <w:sz w:val="24"/>
        </w:rPr>
        <w:t>混合型证券投资基金</w:t>
      </w:r>
      <w:r w:rsidRPr="000D40F1">
        <w:rPr>
          <w:rFonts w:hint="eastAsia"/>
          <w:bCs/>
          <w:color w:val="000000"/>
          <w:sz w:val="24"/>
        </w:rPr>
        <w:t>清算报告》的法律意见</w:t>
      </w:r>
    </w:p>
    <w:p w:rsidR="00C73374" w:rsidRPr="009C28F2" w:rsidRDefault="00C73374" w:rsidP="00C73374">
      <w:pPr>
        <w:spacing w:line="288" w:lineRule="auto"/>
        <w:ind w:firstLineChars="200" w:firstLine="480"/>
        <w:rPr>
          <w:color w:val="000000"/>
          <w:sz w:val="24"/>
        </w:rPr>
      </w:pPr>
    </w:p>
    <w:p w:rsidR="00C73374" w:rsidRPr="009C28F2" w:rsidRDefault="00C73374" w:rsidP="00C73374">
      <w:pPr>
        <w:spacing w:line="288" w:lineRule="auto"/>
        <w:rPr>
          <w:b/>
          <w:color w:val="000000"/>
          <w:sz w:val="24"/>
        </w:rPr>
      </w:pPr>
      <w:r>
        <w:rPr>
          <w:rFonts w:hint="eastAsia"/>
          <w:b/>
          <w:sz w:val="24"/>
        </w:rPr>
        <w:t xml:space="preserve">6.2 </w:t>
      </w:r>
      <w:r>
        <w:rPr>
          <w:rFonts w:hint="eastAsia"/>
          <w:b/>
          <w:sz w:val="24"/>
        </w:rPr>
        <w:t>存放地点</w:t>
      </w:r>
    </w:p>
    <w:p w:rsidR="00C73374" w:rsidRPr="000D40F1" w:rsidRDefault="00C73374" w:rsidP="00C73374">
      <w:pPr>
        <w:spacing w:before="100"/>
        <w:ind w:firstLineChars="200" w:firstLine="480"/>
        <w:rPr>
          <w:bCs/>
          <w:color w:val="000000"/>
          <w:sz w:val="24"/>
        </w:rPr>
      </w:pPr>
      <w:r w:rsidRPr="000D40F1">
        <w:rPr>
          <w:rFonts w:hint="eastAsia"/>
          <w:bCs/>
          <w:color w:val="000000"/>
          <w:sz w:val="24"/>
        </w:rPr>
        <w:t>基金管理人和基金托管人的办公场所，并登载于基金管理人互联网站</w:t>
      </w:r>
      <w:r w:rsidR="00131651">
        <w:rPr>
          <w:rFonts w:ascii="宋体" w:cs="宋体" w:hint="eastAsia"/>
          <w:color w:val="000000"/>
          <w:kern w:val="0"/>
        </w:rPr>
        <w:t>http://www.galaxyasset.com</w:t>
      </w:r>
      <w:r w:rsidRPr="000D40F1">
        <w:rPr>
          <w:rFonts w:hint="eastAsia"/>
          <w:bCs/>
          <w:color w:val="000000"/>
          <w:sz w:val="24"/>
        </w:rPr>
        <w:t>。</w:t>
      </w:r>
    </w:p>
    <w:p w:rsidR="00C73374" w:rsidRPr="009C28F2" w:rsidRDefault="00C73374" w:rsidP="00C73374">
      <w:pPr>
        <w:spacing w:line="288" w:lineRule="auto"/>
        <w:ind w:firstLineChars="200" w:firstLine="480"/>
        <w:rPr>
          <w:color w:val="000000"/>
          <w:sz w:val="24"/>
        </w:rPr>
      </w:pPr>
    </w:p>
    <w:p w:rsidR="00C73374" w:rsidRPr="009C28F2" w:rsidRDefault="00C73374" w:rsidP="00C73374">
      <w:pPr>
        <w:spacing w:line="288" w:lineRule="auto"/>
        <w:rPr>
          <w:b/>
          <w:sz w:val="24"/>
        </w:rPr>
      </w:pPr>
      <w:r>
        <w:rPr>
          <w:rFonts w:hint="eastAsia"/>
          <w:b/>
          <w:sz w:val="24"/>
        </w:rPr>
        <w:t xml:space="preserve">6.3 </w:t>
      </w:r>
      <w:r>
        <w:rPr>
          <w:rFonts w:hint="eastAsia"/>
          <w:b/>
          <w:sz w:val="24"/>
        </w:rPr>
        <w:t>查阅方式</w:t>
      </w:r>
    </w:p>
    <w:p w:rsidR="00C73374" w:rsidRPr="000D40F1" w:rsidRDefault="00C73374" w:rsidP="00C73374">
      <w:pPr>
        <w:spacing w:before="100"/>
        <w:ind w:firstLineChars="200" w:firstLine="480"/>
        <w:rPr>
          <w:bCs/>
          <w:color w:val="000000"/>
          <w:sz w:val="24"/>
        </w:rPr>
      </w:pPr>
      <w:r w:rsidRPr="000D40F1">
        <w:rPr>
          <w:rFonts w:hint="eastAsia"/>
          <w:bCs/>
          <w:color w:val="000000"/>
          <w:sz w:val="24"/>
        </w:rPr>
        <w:t>投资者可登录基金管理人互联网站查阅，或在营业时间内至基金管理人或基金托管人的办公场所免费查阅。</w:t>
      </w:r>
    </w:p>
    <w:p w:rsidR="00C73374" w:rsidRDefault="00C73374" w:rsidP="00C73374">
      <w:pPr>
        <w:spacing w:line="360" w:lineRule="auto"/>
        <w:ind w:left="840"/>
        <w:jc w:val="right"/>
        <w:rPr>
          <w:color w:val="000000"/>
          <w:sz w:val="24"/>
        </w:rPr>
      </w:pPr>
    </w:p>
    <w:p w:rsidR="00A61F59" w:rsidRDefault="00A61F59" w:rsidP="00C73374">
      <w:pPr>
        <w:spacing w:line="360" w:lineRule="auto"/>
        <w:ind w:left="840"/>
        <w:jc w:val="right"/>
        <w:rPr>
          <w:color w:val="000000"/>
          <w:sz w:val="24"/>
        </w:rPr>
      </w:pPr>
    </w:p>
    <w:p w:rsidR="00A61F59" w:rsidRDefault="00A61F59" w:rsidP="00C73374">
      <w:pPr>
        <w:spacing w:line="360" w:lineRule="auto"/>
        <w:ind w:left="840"/>
        <w:jc w:val="right"/>
        <w:rPr>
          <w:color w:val="000000"/>
          <w:sz w:val="24"/>
        </w:rPr>
      </w:pPr>
    </w:p>
    <w:p w:rsidR="00C73374" w:rsidRDefault="00C73374" w:rsidP="00C73374">
      <w:pPr>
        <w:spacing w:line="360" w:lineRule="auto"/>
        <w:ind w:left="840"/>
        <w:jc w:val="right"/>
        <w:rPr>
          <w:color w:val="000000"/>
          <w:sz w:val="24"/>
        </w:rPr>
      </w:pPr>
    </w:p>
    <w:p w:rsidR="00C73374" w:rsidRDefault="00C73374" w:rsidP="00C73374">
      <w:pPr>
        <w:jc w:val="right"/>
        <w:rPr>
          <w:b/>
          <w:color w:val="000000"/>
          <w:sz w:val="24"/>
        </w:rPr>
      </w:pPr>
      <w:r>
        <w:rPr>
          <w:b/>
          <w:color w:val="000000"/>
          <w:sz w:val="24"/>
        </w:rPr>
        <w:t xml:space="preserve">                </w:t>
      </w:r>
      <w:r w:rsidR="00662082">
        <w:rPr>
          <w:rFonts w:hint="eastAsia"/>
          <w:b/>
          <w:color w:val="000000"/>
          <w:sz w:val="24"/>
        </w:rPr>
        <w:t>银河量化配置</w:t>
      </w:r>
      <w:r w:rsidR="00F9053C" w:rsidRPr="00F9053C">
        <w:rPr>
          <w:rFonts w:hint="eastAsia"/>
          <w:b/>
          <w:color w:val="000000"/>
          <w:sz w:val="24"/>
        </w:rPr>
        <w:t>混合型证券投资基金</w:t>
      </w:r>
    </w:p>
    <w:p w:rsidR="00C73374" w:rsidRPr="003F1729" w:rsidRDefault="00C73374" w:rsidP="00C73374">
      <w:pPr>
        <w:jc w:val="right"/>
        <w:rPr>
          <w:b/>
          <w:color w:val="000000"/>
          <w:sz w:val="24"/>
        </w:rPr>
      </w:pPr>
      <w:r w:rsidRPr="003F1729">
        <w:rPr>
          <w:rFonts w:hint="eastAsia"/>
          <w:b/>
          <w:color w:val="000000"/>
          <w:sz w:val="24"/>
        </w:rPr>
        <w:t>基金财产清算小组</w:t>
      </w:r>
    </w:p>
    <w:p w:rsidR="00C73374" w:rsidRPr="00C73374" w:rsidRDefault="00C73374" w:rsidP="00C73374">
      <w:pPr>
        <w:spacing w:line="360" w:lineRule="auto"/>
        <w:ind w:left="840"/>
        <w:jc w:val="right"/>
        <w:rPr>
          <w:b/>
          <w:color w:val="000000"/>
          <w:sz w:val="24"/>
        </w:rPr>
      </w:pPr>
    </w:p>
    <w:p w:rsidR="00AA0E7C" w:rsidRPr="003D7C03" w:rsidRDefault="00C73374" w:rsidP="003D7C03">
      <w:pPr>
        <w:spacing w:before="100"/>
        <w:ind w:firstLine="482"/>
        <w:rPr>
          <w:b/>
          <w:color w:val="000000"/>
          <w:sz w:val="24"/>
        </w:rPr>
      </w:pPr>
      <w:r>
        <w:rPr>
          <w:b/>
          <w:color w:val="000000"/>
          <w:sz w:val="24"/>
        </w:rPr>
        <w:t xml:space="preserve">                </w:t>
      </w:r>
      <w:r w:rsidR="003D7C03">
        <w:rPr>
          <w:rFonts w:hint="eastAsia"/>
          <w:b/>
          <w:color w:val="000000"/>
          <w:sz w:val="24"/>
        </w:rPr>
        <w:t xml:space="preserve">                 </w:t>
      </w:r>
      <w:r w:rsidR="006A2774">
        <w:rPr>
          <w:rFonts w:hint="eastAsia"/>
          <w:b/>
          <w:color w:val="000000"/>
          <w:sz w:val="24"/>
        </w:rPr>
        <w:t>2018</w:t>
      </w:r>
      <w:r w:rsidR="006A2774">
        <w:rPr>
          <w:rFonts w:hint="eastAsia"/>
          <w:b/>
          <w:color w:val="000000"/>
          <w:sz w:val="24"/>
        </w:rPr>
        <w:t>年</w:t>
      </w:r>
      <w:r w:rsidR="006A2774">
        <w:rPr>
          <w:rFonts w:hint="eastAsia"/>
          <w:b/>
          <w:color w:val="000000"/>
          <w:sz w:val="24"/>
        </w:rPr>
        <w:t>8</w:t>
      </w:r>
      <w:r w:rsidR="006A2774">
        <w:rPr>
          <w:rFonts w:hint="eastAsia"/>
          <w:b/>
          <w:color w:val="000000"/>
          <w:sz w:val="24"/>
        </w:rPr>
        <w:t>月</w:t>
      </w:r>
      <w:r w:rsidR="006A2774">
        <w:rPr>
          <w:rFonts w:hint="eastAsia"/>
          <w:b/>
          <w:color w:val="000000"/>
          <w:sz w:val="24"/>
        </w:rPr>
        <w:t>21</w:t>
      </w:r>
      <w:r w:rsidR="006A2774">
        <w:rPr>
          <w:rFonts w:hint="eastAsia"/>
          <w:b/>
          <w:color w:val="000000"/>
          <w:sz w:val="24"/>
        </w:rPr>
        <w:t>日</w:t>
      </w:r>
      <w:r w:rsidR="003D7C03">
        <w:rPr>
          <w:rFonts w:hint="eastAsia"/>
          <w:b/>
          <w:color w:val="000000"/>
          <w:sz w:val="24"/>
        </w:rPr>
        <w:t>(</w:t>
      </w:r>
      <w:r w:rsidR="003D7C03">
        <w:rPr>
          <w:rFonts w:hint="eastAsia"/>
          <w:b/>
          <w:color w:val="000000"/>
          <w:sz w:val="24"/>
        </w:rPr>
        <w:t>清算报告出具日期</w:t>
      </w:r>
      <w:r w:rsidR="003D7C03">
        <w:rPr>
          <w:rFonts w:hint="eastAsia"/>
          <w:b/>
          <w:color w:val="000000"/>
          <w:sz w:val="24"/>
        </w:rPr>
        <w:t>)</w:t>
      </w:r>
    </w:p>
    <w:sectPr w:rsidR="00AA0E7C" w:rsidRPr="003D7C03" w:rsidSect="00E363CD">
      <w:headerReference w:type="default" r:id="rId8"/>
      <w:footerReference w:type="default" r:id="rId9"/>
      <w:pgSz w:w="11906" w:h="16838"/>
      <w:pgMar w:top="1440" w:right="1800" w:bottom="1440" w:left="1800" w:header="851" w:footer="964"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AA7" w:rsidRDefault="00E10AA7" w:rsidP="007E7926">
      <w:r>
        <w:separator/>
      </w:r>
    </w:p>
  </w:endnote>
  <w:endnote w:type="continuationSeparator" w:id="1">
    <w:p w:rsidR="00E10AA7" w:rsidRDefault="00E10AA7" w:rsidP="007E792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5F" w:rsidRPr="001D0DB0" w:rsidRDefault="005E7E5F" w:rsidP="00E363CD">
    <w:pPr>
      <w:pStyle w:val="a4"/>
      <w:jc w:val="center"/>
    </w:pPr>
    <w:r>
      <w:rPr>
        <w:rFonts w:hint="eastAsia"/>
        <w:kern w:val="0"/>
        <w:szCs w:val="21"/>
      </w:rPr>
      <w:t>第</w:t>
    </w:r>
    <w:r>
      <w:rPr>
        <w:rFonts w:hint="eastAsia"/>
        <w:kern w:val="0"/>
        <w:szCs w:val="21"/>
      </w:rPr>
      <w:t xml:space="preserve"> </w:t>
    </w:r>
    <w:r w:rsidR="00E53E97">
      <w:rPr>
        <w:kern w:val="0"/>
        <w:szCs w:val="21"/>
      </w:rPr>
      <w:fldChar w:fldCharType="begin"/>
    </w:r>
    <w:r>
      <w:rPr>
        <w:kern w:val="0"/>
        <w:szCs w:val="21"/>
      </w:rPr>
      <w:instrText xml:space="preserve"> PAGE </w:instrText>
    </w:r>
    <w:r w:rsidR="00E53E97">
      <w:rPr>
        <w:kern w:val="0"/>
        <w:szCs w:val="21"/>
      </w:rPr>
      <w:fldChar w:fldCharType="separate"/>
    </w:r>
    <w:r w:rsidR="00D91DC6">
      <w:rPr>
        <w:noProof/>
        <w:kern w:val="0"/>
        <w:szCs w:val="21"/>
      </w:rPr>
      <w:t>2</w:t>
    </w:r>
    <w:r w:rsidR="00E53E97">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E53E97">
      <w:rPr>
        <w:kern w:val="0"/>
        <w:szCs w:val="21"/>
      </w:rPr>
      <w:fldChar w:fldCharType="begin"/>
    </w:r>
    <w:r>
      <w:rPr>
        <w:kern w:val="0"/>
        <w:szCs w:val="21"/>
      </w:rPr>
      <w:instrText xml:space="preserve"> NUMPAGES </w:instrText>
    </w:r>
    <w:r w:rsidR="00E53E97">
      <w:rPr>
        <w:kern w:val="0"/>
        <w:szCs w:val="21"/>
      </w:rPr>
      <w:fldChar w:fldCharType="separate"/>
    </w:r>
    <w:r w:rsidR="00D91DC6">
      <w:rPr>
        <w:noProof/>
        <w:kern w:val="0"/>
        <w:szCs w:val="21"/>
      </w:rPr>
      <w:t>4</w:t>
    </w:r>
    <w:r w:rsidR="00E53E97">
      <w:rPr>
        <w:kern w:val="0"/>
        <w:szCs w:val="21"/>
      </w:rPr>
      <w:fldChar w:fldCharType="end"/>
    </w:r>
    <w:r>
      <w:rPr>
        <w:rFonts w:hint="eastAsia"/>
        <w:kern w:val="0"/>
        <w:szCs w:val="21"/>
      </w:rPr>
      <w:t xml:space="preserve"> </w:t>
    </w:r>
    <w:r>
      <w:rPr>
        <w:rFonts w:hint="eastAsia"/>
        <w:kern w:val="0"/>
        <w:szCs w:val="21"/>
      </w:rPr>
      <w:t>页</w:t>
    </w:r>
  </w:p>
  <w:p w:rsidR="005E7E5F" w:rsidRDefault="005E7E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AA7" w:rsidRDefault="00E10AA7" w:rsidP="007E7926">
      <w:r>
        <w:separator/>
      </w:r>
    </w:p>
  </w:footnote>
  <w:footnote w:type="continuationSeparator" w:id="1">
    <w:p w:rsidR="00E10AA7" w:rsidRDefault="00E10AA7" w:rsidP="007E7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E5F" w:rsidRPr="007E7926" w:rsidRDefault="005E7E5F" w:rsidP="00CE171C">
    <w:pPr>
      <w:pStyle w:val="a3"/>
    </w:pPr>
    <w:r>
      <w:ptab w:relativeTo="margin" w:alignment="right" w:leader="none"/>
    </w:r>
    <w:r w:rsidR="00CE171C">
      <w:rPr>
        <w:rFonts w:hint="eastAsia"/>
      </w:rPr>
      <w:t>银河量化</w:t>
    </w:r>
    <w:r w:rsidR="009E4DD3" w:rsidRPr="009E4DD3">
      <w:rPr>
        <w:rFonts w:hint="eastAsia"/>
      </w:rPr>
      <w:t>配置混合型证券投资基金</w:t>
    </w:r>
    <w:r>
      <w:rPr>
        <w:rFonts w:hint="eastAsia"/>
      </w:rPr>
      <w:t>清算报告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D30A5"/>
    <w:multiLevelType w:val="multilevel"/>
    <w:tmpl w:val="66BD30A5"/>
    <w:lvl w:ilvl="0">
      <w:start w:val="1"/>
      <w:numFmt w:val="decimal"/>
      <w:lvlText w:val="(%1)"/>
      <w:lvlJc w:val="left"/>
      <w:pPr>
        <w:ind w:left="1353" w:hanging="360"/>
      </w:pPr>
      <w:rPr>
        <w:rFonts w:ascii="Arial"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7926"/>
    <w:rsid w:val="0000053E"/>
    <w:rsid w:val="00000AEB"/>
    <w:rsid w:val="00005407"/>
    <w:rsid w:val="000162F7"/>
    <w:rsid w:val="000247F4"/>
    <w:rsid w:val="00026071"/>
    <w:rsid w:val="000264E9"/>
    <w:rsid w:val="00026DE6"/>
    <w:rsid w:val="000534B1"/>
    <w:rsid w:val="00054195"/>
    <w:rsid w:val="0006142B"/>
    <w:rsid w:val="000809A6"/>
    <w:rsid w:val="0009616D"/>
    <w:rsid w:val="000B1947"/>
    <w:rsid w:val="000C2D0B"/>
    <w:rsid w:val="000C564B"/>
    <w:rsid w:val="000E112D"/>
    <w:rsid w:val="000F4AE8"/>
    <w:rsid w:val="00116992"/>
    <w:rsid w:val="00131651"/>
    <w:rsid w:val="001514D5"/>
    <w:rsid w:val="00153A28"/>
    <w:rsid w:val="001742C9"/>
    <w:rsid w:val="00180481"/>
    <w:rsid w:val="00194298"/>
    <w:rsid w:val="00196131"/>
    <w:rsid w:val="001A4F9E"/>
    <w:rsid w:val="001A74D4"/>
    <w:rsid w:val="001B7367"/>
    <w:rsid w:val="001B776F"/>
    <w:rsid w:val="001C74CF"/>
    <w:rsid w:val="001D0AEB"/>
    <w:rsid w:val="001D7A2C"/>
    <w:rsid w:val="001E139A"/>
    <w:rsid w:val="001E1F5D"/>
    <w:rsid w:val="001E1F7B"/>
    <w:rsid w:val="001F35C4"/>
    <w:rsid w:val="001F3E69"/>
    <w:rsid w:val="00214918"/>
    <w:rsid w:val="00226726"/>
    <w:rsid w:val="00235CC6"/>
    <w:rsid w:val="002476D1"/>
    <w:rsid w:val="00264F64"/>
    <w:rsid w:val="002731BC"/>
    <w:rsid w:val="0027546F"/>
    <w:rsid w:val="00275875"/>
    <w:rsid w:val="00281AA6"/>
    <w:rsid w:val="00283794"/>
    <w:rsid w:val="0029129B"/>
    <w:rsid w:val="00292EFF"/>
    <w:rsid w:val="002A58EB"/>
    <w:rsid w:val="002B7663"/>
    <w:rsid w:val="002C6CD8"/>
    <w:rsid w:val="002D5B8E"/>
    <w:rsid w:val="002F13AD"/>
    <w:rsid w:val="002F1FBF"/>
    <w:rsid w:val="003059C4"/>
    <w:rsid w:val="00312D7A"/>
    <w:rsid w:val="003153D1"/>
    <w:rsid w:val="0031727F"/>
    <w:rsid w:val="003200D1"/>
    <w:rsid w:val="0033276F"/>
    <w:rsid w:val="0033632D"/>
    <w:rsid w:val="00350D14"/>
    <w:rsid w:val="00353799"/>
    <w:rsid w:val="003710EB"/>
    <w:rsid w:val="00372E60"/>
    <w:rsid w:val="00377B3A"/>
    <w:rsid w:val="003C7871"/>
    <w:rsid w:val="003D7C03"/>
    <w:rsid w:val="003F0CBC"/>
    <w:rsid w:val="00405E08"/>
    <w:rsid w:val="00411A35"/>
    <w:rsid w:val="004123FE"/>
    <w:rsid w:val="00421915"/>
    <w:rsid w:val="00423915"/>
    <w:rsid w:val="00433F9F"/>
    <w:rsid w:val="0045132A"/>
    <w:rsid w:val="0045519A"/>
    <w:rsid w:val="00463524"/>
    <w:rsid w:val="00472A19"/>
    <w:rsid w:val="00474599"/>
    <w:rsid w:val="004756C9"/>
    <w:rsid w:val="0047639D"/>
    <w:rsid w:val="004A1DED"/>
    <w:rsid w:val="004A2223"/>
    <w:rsid w:val="004A2630"/>
    <w:rsid w:val="004C264C"/>
    <w:rsid w:val="004D0226"/>
    <w:rsid w:val="004D4BE5"/>
    <w:rsid w:val="004F72A8"/>
    <w:rsid w:val="005015AF"/>
    <w:rsid w:val="005200EA"/>
    <w:rsid w:val="00522998"/>
    <w:rsid w:val="005263C5"/>
    <w:rsid w:val="0054069E"/>
    <w:rsid w:val="005424B2"/>
    <w:rsid w:val="00542B6E"/>
    <w:rsid w:val="00563FD7"/>
    <w:rsid w:val="005716FD"/>
    <w:rsid w:val="0058427A"/>
    <w:rsid w:val="0058771D"/>
    <w:rsid w:val="005A4317"/>
    <w:rsid w:val="005B4F60"/>
    <w:rsid w:val="005B593A"/>
    <w:rsid w:val="005C2CA0"/>
    <w:rsid w:val="005E4B2B"/>
    <w:rsid w:val="005E7E23"/>
    <w:rsid w:val="005E7E5F"/>
    <w:rsid w:val="005F5C9B"/>
    <w:rsid w:val="0060046B"/>
    <w:rsid w:val="00601F9A"/>
    <w:rsid w:val="006032C2"/>
    <w:rsid w:val="006069F9"/>
    <w:rsid w:val="00607F30"/>
    <w:rsid w:val="0061052E"/>
    <w:rsid w:val="00614D22"/>
    <w:rsid w:val="00615AF5"/>
    <w:rsid w:val="006315B4"/>
    <w:rsid w:val="00632912"/>
    <w:rsid w:val="00637FC3"/>
    <w:rsid w:val="006479ED"/>
    <w:rsid w:val="00653A35"/>
    <w:rsid w:val="006552F5"/>
    <w:rsid w:val="00662082"/>
    <w:rsid w:val="00670D2A"/>
    <w:rsid w:val="00675A83"/>
    <w:rsid w:val="00680D47"/>
    <w:rsid w:val="006834C4"/>
    <w:rsid w:val="00686A9A"/>
    <w:rsid w:val="006922EE"/>
    <w:rsid w:val="00692E78"/>
    <w:rsid w:val="006949B6"/>
    <w:rsid w:val="0069546E"/>
    <w:rsid w:val="006A2774"/>
    <w:rsid w:val="006A743E"/>
    <w:rsid w:val="006B77E0"/>
    <w:rsid w:val="006C3F44"/>
    <w:rsid w:val="006C5F6E"/>
    <w:rsid w:val="006C6AF2"/>
    <w:rsid w:val="006E0F06"/>
    <w:rsid w:val="006E4F83"/>
    <w:rsid w:val="006F10F2"/>
    <w:rsid w:val="006F16F3"/>
    <w:rsid w:val="0071403B"/>
    <w:rsid w:val="0071419C"/>
    <w:rsid w:val="007154B5"/>
    <w:rsid w:val="00727B8F"/>
    <w:rsid w:val="00727F5F"/>
    <w:rsid w:val="007321CF"/>
    <w:rsid w:val="00733C0F"/>
    <w:rsid w:val="00742139"/>
    <w:rsid w:val="00773C76"/>
    <w:rsid w:val="00775346"/>
    <w:rsid w:val="00780161"/>
    <w:rsid w:val="0078378B"/>
    <w:rsid w:val="007908FB"/>
    <w:rsid w:val="007A335F"/>
    <w:rsid w:val="007C5AA7"/>
    <w:rsid w:val="007D0E8B"/>
    <w:rsid w:val="007D39B2"/>
    <w:rsid w:val="007D4405"/>
    <w:rsid w:val="007D5B3C"/>
    <w:rsid w:val="007D6BA0"/>
    <w:rsid w:val="007E7926"/>
    <w:rsid w:val="0081536C"/>
    <w:rsid w:val="00815F0D"/>
    <w:rsid w:val="0084071A"/>
    <w:rsid w:val="00840B2A"/>
    <w:rsid w:val="00843E04"/>
    <w:rsid w:val="00850D40"/>
    <w:rsid w:val="008565A7"/>
    <w:rsid w:val="00866060"/>
    <w:rsid w:val="00866C91"/>
    <w:rsid w:val="0087374E"/>
    <w:rsid w:val="00876F93"/>
    <w:rsid w:val="00885420"/>
    <w:rsid w:val="00890390"/>
    <w:rsid w:val="00896C42"/>
    <w:rsid w:val="008A063D"/>
    <w:rsid w:val="008B5223"/>
    <w:rsid w:val="008C21D8"/>
    <w:rsid w:val="008C2F70"/>
    <w:rsid w:val="008D0C96"/>
    <w:rsid w:val="008D1A13"/>
    <w:rsid w:val="008E0170"/>
    <w:rsid w:val="008E2DEE"/>
    <w:rsid w:val="008F59F9"/>
    <w:rsid w:val="00900C03"/>
    <w:rsid w:val="0091192C"/>
    <w:rsid w:val="00917CC4"/>
    <w:rsid w:val="00922E33"/>
    <w:rsid w:val="00925647"/>
    <w:rsid w:val="0093347D"/>
    <w:rsid w:val="009362A9"/>
    <w:rsid w:val="0096147F"/>
    <w:rsid w:val="00981FC5"/>
    <w:rsid w:val="00982BD3"/>
    <w:rsid w:val="00995678"/>
    <w:rsid w:val="009A6750"/>
    <w:rsid w:val="009B4B67"/>
    <w:rsid w:val="009B5E1A"/>
    <w:rsid w:val="009B6E48"/>
    <w:rsid w:val="009D163B"/>
    <w:rsid w:val="009D5935"/>
    <w:rsid w:val="009E4DD3"/>
    <w:rsid w:val="009E5E32"/>
    <w:rsid w:val="00A27FE0"/>
    <w:rsid w:val="00A35819"/>
    <w:rsid w:val="00A51E84"/>
    <w:rsid w:val="00A61F59"/>
    <w:rsid w:val="00A62F51"/>
    <w:rsid w:val="00A872B4"/>
    <w:rsid w:val="00AA0E7C"/>
    <w:rsid w:val="00AB00D3"/>
    <w:rsid w:val="00AB02AE"/>
    <w:rsid w:val="00AB2F0F"/>
    <w:rsid w:val="00AB4E57"/>
    <w:rsid w:val="00AC40D5"/>
    <w:rsid w:val="00AC6DA7"/>
    <w:rsid w:val="00AD32D1"/>
    <w:rsid w:val="00AF4BBD"/>
    <w:rsid w:val="00B01405"/>
    <w:rsid w:val="00B0150B"/>
    <w:rsid w:val="00B03DF9"/>
    <w:rsid w:val="00B0689A"/>
    <w:rsid w:val="00B10B4F"/>
    <w:rsid w:val="00B12B28"/>
    <w:rsid w:val="00B1360A"/>
    <w:rsid w:val="00B27CC2"/>
    <w:rsid w:val="00B365A4"/>
    <w:rsid w:val="00B42EF7"/>
    <w:rsid w:val="00B53E31"/>
    <w:rsid w:val="00B71CA0"/>
    <w:rsid w:val="00B73CDA"/>
    <w:rsid w:val="00B76CF2"/>
    <w:rsid w:val="00B8196C"/>
    <w:rsid w:val="00B81ED0"/>
    <w:rsid w:val="00B874E6"/>
    <w:rsid w:val="00BA0493"/>
    <w:rsid w:val="00BA1242"/>
    <w:rsid w:val="00BA33C4"/>
    <w:rsid w:val="00BA6CA9"/>
    <w:rsid w:val="00BB191D"/>
    <w:rsid w:val="00BB48A9"/>
    <w:rsid w:val="00BC629C"/>
    <w:rsid w:val="00BC7C05"/>
    <w:rsid w:val="00BD7344"/>
    <w:rsid w:val="00BD74A9"/>
    <w:rsid w:val="00BE5BB5"/>
    <w:rsid w:val="00BF1D38"/>
    <w:rsid w:val="00BF5AC9"/>
    <w:rsid w:val="00C031B9"/>
    <w:rsid w:val="00C03524"/>
    <w:rsid w:val="00C065EE"/>
    <w:rsid w:val="00C14664"/>
    <w:rsid w:val="00C24DFE"/>
    <w:rsid w:val="00C431D2"/>
    <w:rsid w:val="00C45E51"/>
    <w:rsid w:val="00C46497"/>
    <w:rsid w:val="00C50616"/>
    <w:rsid w:val="00C512E6"/>
    <w:rsid w:val="00C57880"/>
    <w:rsid w:val="00C61B90"/>
    <w:rsid w:val="00C70EFC"/>
    <w:rsid w:val="00C71CFD"/>
    <w:rsid w:val="00C7222A"/>
    <w:rsid w:val="00C73374"/>
    <w:rsid w:val="00C76C5C"/>
    <w:rsid w:val="00C81C3D"/>
    <w:rsid w:val="00C845AC"/>
    <w:rsid w:val="00C91776"/>
    <w:rsid w:val="00C92FAD"/>
    <w:rsid w:val="00CA54B8"/>
    <w:rsid w:val="00CB0010"/>
    <w:rsid w:val="00CE171C"/>
    <w:rsid w:val="00D0015A"/>
    <w:rsid w:val="00D0101C"/>
    <w:rsid w:val="00D02CB0"/>
    <w:rsid w:val="00D0625D"/>
    <w:rsid w:val="00D07B67"/>
    <w:rsid w:val="00D14732"/>
    <w:rsid w:val="00D14D91"/>
    <w:rsid w:val="00D14F73"/>
    <w:rsid w:val="00D1720E"/>
    <w:rsid w:val="00D209FF"/>
    <w:rsid w:val="00D2412A"/>
    <w:rsid w:val="00D433AB"/>
    <w:rsid w:val="00D4419D"/>
    <w:rsid w:val="00D50EEA"/>
    <w:rsid w:val="00D64964"/>
    <w:rsid w:val="00D65357"/>
    <w:rsid w:val="00D80658"/>
    <w:rsid w:val="00D835AB"/>
    <w:rsid w:val="00D84792"/>
    <w:rsid w:val="00D90926"/>
    <w:rsid w:val="00D91DC6"/>
    <w:rsid w:val="00D921F7"/>
    <w:rsid w:val="00DA60B8"/>
    <w:rsid w:val="00DB04F4"/>
    <w:rsid w:val="00DC4D0E"/>
    <w:rsid w:val="00DC56BE"/>
    <w:rsid w:val="00DC7456"/>
    <w:rsid w:val="00DE0EEF"/>
    <w:rsid w:val="00DE3D70"/>
    <w:rsid w:val="00DE5D33"/>
    <w:rsid w:val="00DE6F5A"/>
    <w:rsid w:val="00E10AA7"/>
    <w:rsid w:val="00E2403D"/>
    <w:rsid w:val="00E35728"/>
    <w:rsid w:val="00E363CD"/>
    <w:rsid w:val="00E41628"/>
    <w:rsid w:val="00E53E97"/>
    <w:rsid w:val="00E628E3"/>
    <w:rsid w:val="00E62D65"/>
    <w:rsid w:val="00E71BCF"/>
    <w:rsid w:val="00E8342A"/>
    <w:rsid w:val="00E94AEB"/>
    <w:rsid w:val="00EB4DDE"/>
    <w:rsid w:val="00ED40FD"/>
    <w:rsid w:val="00EE2C32"/>
    <w:rsid w:val="00EE312F"/>
    <w:rsid w:val="00EE4F50"/>
    <w:rsid w:val="00EF0ED3"/>
    <w:rsid w:val="00F06AC3"/>
    <w:rsid w:val="00F11218"/>
    <w:rsid w:val="00F14F20"/>
    <w:rsid w:val="00F176A1"/>
    <w:rsid w:val="00F20154"/>
    <w:rsid w:val="00F2681B"/>
    <w:rsid w:val="00F27EAF"/>
    <w:rsid w:val="00F306A5"/>
    <w:rsid w:val="00F30A96"/>
    <w:rsid w:val="00F41372"/>
    <w:rsid w:val="00F657AD"/>
    <w:rsid w:val="00F735E5"/>
    <w:rsid w:val="00F76D88"/>
    <w:rsid w:val="00F8332E"/>
    <w:rsid w:val="00F8525F"/>
    <w:rsid w:val="00F9053C"/>
    <w:rsid w:val="00F920B7"/>
    <w:rsid w:val="00F92E1E"/>
    <w:rsid w:val="00F962B9"/>
    <w:rsid w:val="00FA2DBB"/>
    <w:rsid w:val="00FB01AF"/>
    <w:rsid w:val="00FB133C"/>
    <w:rsid w:val="00FB52D5"/>
    <w:rsid w:val="00FE7C25"/>
    <w:rsid w:val="00FF24AC"/>
    <w:rsid w:val="00FF7F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9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7926"/>
    <w:rPr>
      <w:sz w:val="18"/>
      <w:szCs w:val="18"/>
    </w:rPr>
  </w:style>
  <w:style w:type="paragraph" w:styleId="a4">
    <w:name w:val="footer"/>
    <w:basedOn w:val="a"/>
    <w:link w:val="Char0"/>
    <w:unhideWhenUsed/>
    <w:rsid w:val="007E79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7926"/>
    <w:rPr>
      <w:sz w:val="18"/>
      <w:szCs w:val="18"/>
    </w:rPr>
  </w:style>
  <w:style w:type="paragraph" w:styleId="a5">
    <w:name w:val="Balloon Text"/>
    <w:basedOn w:val="a"/>
    <w:link w:val="Char1"/>
    <w:uiPriority w:val="99"/>
    <w:semiHidden/>
    <w:unhideWhenUsed/>
    <w:rsid w:val="007E7926"/>
    <w:rPr>
      <w:sz w:val="18"/>
      <w:szCs w:val="18"/>
    </w:rPr>
  </w:style>
  <w:style w:type="character" w:customStyle="1" w:styleId="Char1">
    <w:name w:val="批注框文本 Char"/>
    <w:basedOn w:val="a0"/>
    <w:link w:val="a5"/>
    <w:uiPriority w:val="99"/>
    <w:semiHidden/>
    <w:rsid w:val="007E7926"/>
    <w:rPr>
      <w:rFonts w:ascii="Times New Roman" w:eastAsia="宋体" w:hAnsi="Times New Roman" w:cs="Times New Roman"/>
      <w:sz w:val="18"/>
      <w:szCs w:val="18"/>
    </w:rPr>
  </w:style>
  <w:style w:type="paragraph" w:styleId="a6">
    <w:name w:val="Normal (Web)"/>
    <w:basedOn w:val="a"/>
    <w:rsid w:val="006C6AF2"/>
    <w:pPr>
      <w:widowControl/>
      <w:spacing w:before="100" w:beforeAutospacing="1" w:after="100" w:afterAutospacing="1"/>
      <w:jc w:val="left"/>
    </w:pPr>
    <w:rPr>
      <w:rFonts w:ascii="宋体" w:hAnsi="宋体"/>
      <w:kern w:val="0"/>
      <w:sz w:val="24"/>
    </w:rPr>
  </w:style>
  <w:style w:type="paragraph" w:styleId="a7">
    <w:name w:val="Document Map"/>
    <w:basedOn w:val="a"/>
    <w:link w:val="Char2"/>
    <w:uiPriority w:val="99"/>
    <w:semiHidden/>
    <w:unhideWhenUsed/>
    <w:rsid w:val="007D39B2"/>
    <w:rPr>
      <w:rFonts w:ascii="宋体"/>
      <w:sz w:val="18"/>
      <w:szCs w:val="18"/>
    </w:rPr>
  </w:style>
  <w:style w:type="character" w:customStyle="1" w:styleId="Char2">
    <w:name w:val="文档结构图 Char"/>
    <w:basedOn w:val="a0"/>
    <w:link w:val="a7"/>
    <w:uiPriority w:val="99"/>
    <w:semiHidden/>
    <w:rsid w:val="007D39B2"/>
    <w:rPr>
      <w:rFonts w:ascii="宋体" w:eastAsia="宋体" w:hAnsi="Times New Roman" w:cs="Times New Roman"/>
      <w:sz w:val="18"/>
      <w:szCs w:val="18"/>
    </w:rPr>
  </w:style>
  <w:style w:type="paragraph" w:styleId="a8">
    <w:name w:val="Date"/>
    <w:basedOn w:val="a"/>
    <w:next w:val="a"/>
    <w:link w:val="Char3"/>
    <w:uiPriority w:val="99"/>
    <w:semiHidden/>
    <w:unhideWhenUsed/>
    <w:rsid w:val="00D64964"/>
    <w:pPr>
      <w:ind w:leftChars="2500" w:left="100"/>
    </w:pPr>
  </w:style>
  <w:style w:type="character" w:customStyle="1" w:styleId="Char3">
    <w:name w:val="日期 Char"/>
    <w:basedOn w:val="a0"/>
    <w:link w:val="a8"/>
    <w:uiPriority w:val="99"/>
    <w:semiHidden/>
    <w:rsid w:val="00D6496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11118">
      <w:bodyDiv w:val="1"/>
      <w:marLeft w:val="0"/>
      <w:marRight w:val="0"/>
      <w:marTop w:val="0"/>
      <w:marBottom w:val="0"/>
      <w:divBdr>
        <w:top w:val="none" w:sz="0" w:space="0" w:color="auto"/>
        <w:left w:val="none" w:sz="0" w:space="0" w:color="auto"/>
        <w:bottom w:val="none" w:sz="0" w:space="0" w:color="auto"/>
        <w:right w:val="none" w:sz="0" w:space="0" w:color="auto"/>
      </w:divBdr>
    </w:div>
    <w:div w:id="126513192">
      <w:bodyDiv w:val="1"/>
      <w:marLeft w:val="0"/>
      <w:marRight w:val="0"/>
      <w:marTop w:val="0"/>
      <w:marBottom w:val="0"/>
      <w:divBdr>
        <w:top w:val="none" w:sz="0" w:space="0" w:color="auto"/>
        <w:left w:val="none" w:sz="0" w:space="0" w:color="auto"/>
        <w:bottom w:val="none" w:sz="0" w:space="0" w:color="auto"/>
        <w:right w:val="none" w:sz="0" w:space="0" w:color="auto"/>
      </w:divBdr>
    </w:div>
    <w:div w:id="149368299">
      <w:bodyDiv w:val="1"/>
      <w:marLeft w:val="0"/>
      <w:marRight w:val="0"/>
      <w:marTop w:val="0"/>
      <w:marBottom w:val="0"/>
      <w:divBdr>
        <w:top w:val="none" w:sz="0" w:space="0" w:color="auto"/>
        <w:left w:val="none" w:sz="0" w:space="0" w:color="auto"/>
        <w:bottom w:val="none" w:sz="0" w:space="0" w:color="auto"/>
        <w:right w:val="none" w:sz="0" w:space="0" w:color="auto"/>
      </w:divBdr>
    </w:div>
    <w:div w:id="165483406">
      <w:bodyDiv w:val="1"/>
      <w:marLeft w:val="0"/>
      <w:marRight w:val="0"/>
      <w:marTop w:val="0"/>
      <w:marBottom w:val="0"/>
      <w:divBdr>
        <w:top w:val="none" w:sz="0" w:space="0" w:color="auto"/>
        <w:left w:val="none" w:sz="0" w:space="0" w:color="auto"/>
        <w:bottom w:val="none" w:sz="0" w:space="0" w:color="auto"/>
        <w:right w:val="none" w:sz="0" w:space="0" w:color="auto"/>
      </w:divBdr>
    </w:div>
    <w:div w:id="201745941">
      <w:bodyDiv w:val="1"/>
      <w:marLeft w:val="0"/>
      <w:marRight w:val="0"/>
      <w:marTop w:val="0"/>
      <w:marBottom w:val="0"/>
      <w:divBdr>
        <w:top w:val="none" w:sz="0" w:space="0" w:color="auto"/>
        <w:left w:val="none" w:sz="0" w:space="0" w:color="auto"/>
        <w:bottom w:val="none" w:sz="0" w:space="0" w:color="auto"/>
        <w:right w:val="none" w:sz="0" w:space="0" w:color="auto"/>
      </w:divBdr>
    </w:div>
    <w:div w:id="282424586">
      <w:bodyDiv w:val="1"/>
      <w:marLeft w:val="0"/>
      <w:marRight w:val="0"/>
      <w:marTop w:val="0"/>
      <w:marBottom w:val="0"/>
      <w:divBdr>
        <w:top w:val="none" w:sz="0" w:space="0" w:color="auto"/>
        <w:left w:val="none" w:sz="0" w:space="0" w:color="auto"/>
        <w:bottom w:val="none" w:sz="0" w:space="0" w:color="auto"/>
        <w:right w:val="none" w:sz="0" w:space="0" w:color="auto"/>
      </w:divBdr>
    </w:div>
    <w:div w:id="341782662">
      <w:bodyDiv w:val="1"/>
      <w:marLeft w:val="0"/>
      <w:marRight w:val="0"/>
      <w:marTop w:val="0"/>
      <w:marBottom w:val="0"/>
      <w:divBdr>
        <w:top w:val="none" w:sz="0" w:space="0" w:color="auto"/>
        <w:left w:val="none" w:sz="0" w:space="0" w:color="auto"/>
        <w:bottom w:val="none" w:sz="0" w:space="0" w:color="auto"/>
        <w:right w:val="none" w:sz="0" w:space="0" w:color="auto"/>
      </w:divBdr>
    </w:div>
    <w:div w:id="411509451">
      <w:bodyDiv w:val="1"/>
      <w:marLeft w:val="0"/>
      <w:marRight w:val="0"/>
      <w:marTop w:val="0"/>
      <w:marBottom w:val="0"/>
      <w:divBdr>
        <w:top w:val="none" w:sz="0" w:space="0" w:color="auto"/>
        <w:left w:val="none" w:sz="0" w:space="0" w:color="auto"/>
        <w:bottom w:val="none" w:sz="0" w:space="0" w:color="auto"/>
        <w:right w:val="none" w:sz="0" w:space="0" w:color="auto"/>
      </w:divBdr>
    </w:div>
    <w:div w:id="415246883">
      <w:bodyDiv w:val="1"/>
      <w:marLeft w:val="0"/>
      <w:marRight w:val="0"/>
      <w:marTop w:val="0"/>
      <w:marBottom w:val="0"/>
      <w:divBdr>
        <w:top w:val="none" w:sz="0" w:space="0" w:color="auto"/>
        <w:left w:val="none" w:sz="0" w:space="0" w:color="auto"/>
        <w:bottom w:val="none" w:sz="0" w:space="0" w:color="auto"/>
        <w:right w:val="none" w:sz="0" w:space="0" w:color="auto"/>
      </w:divBdr>
    </w:div>
    <w:div w:id="417337251">
      <w:bodyDiv w:val="1"/>
      <w:marLeft w:val="0"/>
      <w:marRight w:val="0"/>
      <w:marTop w:val="0"/>
      <w:marBottom w:val="0"/>
      <w:divBdr>
        <w:top w:val="none" w:sz="0" w:space="0" w:color="auto"/>
        <w:left w:val="none" w:sz="0" w:space="0" w:color="auto"/>
        <w:bottom w:val="none" w:sz="0" w:space="0" w:color="auto"/>
        <w:right w:val="none" w:sz="0" w:space="0" w:color="auto"/>
      </w:divBdr>
    </w:div>
    <w:div w:id="472254678">
      <w:bodyDiv w:val="1"/>
      <w:marLeft w:val="0"/>
      <w:marRight w:val="0"/>
      <w:marTop w:val="0"/>
      <w:marBottom w:val="0"/>
      <w:divBdr>
        <w:top w:val="none" w:sz="0" w:space="0" w:color="auto"/>
        <w:left w:val="none" w:sz="0" w:space="0" w:color="auto"/>
        <w:bottom w:val="none" w:sz="0" w:space="0" w:color="auto"/>
        <w:right w:val="none" w:sz="0" w:space="0" w:color="auto"/>
      </w:divBdr>
    </w:div>
    <w:div w:id="513810965">
      <w:bodyDiv w:val="1"/>
      <w:marLeft w:val="0"/>
      <w:marRight w:val="0"/>
      <w:marTop w:val="0"/>
      <w:marBottom w:val="0"/>
      <w:divBdr>
        <w:top w:val="none" w:sz="0" w:space="0" w:color="auto"/>
        <w:left w:val="none" w:sz="0" w:space="0" w:color="auto"/>
        <w:bottom w:val="none" w:sz="0" w:space="0" w:color="auto"/>
        <w:right w:val="none" w:sz="0" w:space="0" w:color="auto"/>
      </w:divBdr>
    </w:div>
    <w:div w:id="652174686">
      <w:bodyDiv w:val="1"/>
      <w:marLeft w:val="0"/>
      <w:marRight w:val="0"/>
      <w:marTop w:val="0"/>
      <w:marBottom w:val="0"/>
      <w:divBdr>
        <w:top w:val="none" w:sz="0" w:space="0" w:color="auto"/>
        <w:left w:val="none" w:sz="0" w:space="0" w:color="auto"/>
        <w:bottom w:val="none" w:sz="0" w:space="0" w:color="auto"/>
        <w:right w:val="none" w:sz="0" w:space="0" w:color="auto"/>
      </w:divBdr>
    </w:div>
    <w:div w:id="882181102">
      <w:bodyDiv w:val="1"/>
      <w:marLeft w:val="0"/>
      <w:marRight w:val="0"/>
      <w:marTop w:val="0"/>
      <w:marBottom w:val="0"/>
      <w:divBdr>
        <w:top w:val="none" w:sz="0" w:space="0" w:color="auto"/>
        <w:left w:val="none" w:sz="0" w:space="0" w:color="auto"/>
        <w:bottom w:val="none" w:sz="0" w:space="0" w:color="auto"/>
        <w:right w:val="none" w:sz="0" w:space="0" w:color="auto"/>
      </w:divBdr>
    </w:div>
    <w:div w:id="893740244">
      <w:bodyDiv w:val="1"/>
      <w:marLeft w:val="0"/>
      <w:marRight w:val="0"/>
      <w:marTop w:val="0"/>
      <w:marBottom w:val="0"/>
      <w:divBdr>
        <w:top w:val="none" w:sz="0" w:space="0" w:color="auto"/>
        <w:left w:val="none" w:sz="0" w:space="0" w:color="auto"/>
        <w:bottom w:val="none" w:sz="0" w:space="0" w:color="auto"/>
        <w:right w:val="none" w:sz="0" w:space="0" w:color="auto"/>
      </w:divBdr>
    </w:div>
    <w:div w:id="924925289">
      <w:bodyDiv w:val="1"/>
      <w:marLeft w:val="0"/>
      <w:marRight w:val="0"/>
      <w:marTop w:val="0"/>
      <w:marBottom w:val="0"/>
      <w:divBdr>
        <w:top w:val="none" w:sz="0" w:space="0" w:color="auto"/>
        <w:left w:val="none" w:sz="0" w:space="0" w:color="auto"/>
        <w:bottom w:val="none" w:sz="0" w:space="0" w:color="auto"/>
        <w:right w:val="none" w:sz="0" w:space="0" w:color="auto"/>
      </w:divBdr>
    </w:div>
    <w:div w:id="1052576038">
      <w:bodyDiv w:val="1"/>
      <w:marLeft w:val="0"/>
      <w:marRight w:val="0"/>
      <w:marTop w:val="0"/>
      <w:marBottom w:val="0"/>
      <w:divBdr>
        <w:top w:val="none" w:sz="0" w:space="0" w:color="auto"/>
        <w:left w:val="none" w:sz="0" w:space="0" w:color="auto"/>
        <w:bottom w:val="none" w:sz="0" w:space="0" w:color="auto"/>
        <w:right w:val="none" w:sz="0" w:space="0" w:color="auto"/>
      </w:divBdr>
    </w:div>
    <w:div w:id="1071317805">
      <w:bodyDiv w:val="1"/>
      <w:marLeft w:val="0"/>
      <w:marRight w:val="0"/>
      <w:marTop w:val="0"/>
      <w:marBottom w:val="0"/>
      <w:divBdr>
        <w:top w:val="none" w:sz="0" w:space="0" w:color="auto"/>
        <w:left w:val="none" w:sz="0" w:space="0" w:color="auto"/>
        <w:bottom w:val="none" w:sz="0" w:space="0" w:color="auto"/>
        <w:right w:val="none" w:sz="0" w:space="0" w:color="auto"/>
      </w:divBdr>
    </w:div>
    <w:div w:id="1096242787">
      <w:bodyDiv w:val="1"/>
      <w:marLeft w:val="0"/>
      <w:marRight w:val="0"/>
      <w:marTop w:val="0"/>
      <w:marBottom w:val="0"/>
      <w:divBdr>
        <w:top w:val="none" w:sz="0" w:space="0" w:color="auto"/>
        <w:left w:val="none" w:sz="0" w:space="0" w:color="auto"/>
        <w:bottom w:val="none" w:sz="0" w:space="0" w:color="auto"/>
        <w:right w:val="none" w:sz="0" w:space="0" w:color="auto"/>
      </w:divBdr>
    </w:div>
    <w:div w:id="1268197065">
      <w:bodyDiv w:val="1"/>
      <w:marLeft w:val="0"/>
      <w:marRight w:val="0"/>
      <w:marTop w:val="0"/>
      <w:marBottom w:val="0"/>
      <w:divBdr>
        <w:top w:val="none" w:sz="0" w:space="0" w:color="auto"/>
        <w:left w:val="none" w:sz="0" w:space="0" w:color="auto"/>
        <w:bottom w:val="none" w:sz="0" w:space="0" w:color="auto"/>
        <w:right w:val="none" w:sz="0" w:space="0" w:color="auto"/>
      </w:divBdr>
    </w:div>
    <w:div w:id="1292134740">
      <w:bodyDiv w:val="1"/>
      <w:marLeft w:val="0"/>
      <w:marRight w:val="0"/>
      <w:marTop w:val="0"/>
      <w:marBottom w:val="0"/>
      <w:divBdr>
        <w:top w:val="none" w:sz="0" w:space="0" w:color="auto"/>
        <w:left w:val="none" w:sz="0" w:space="0" w:color="auto"/>
        <w:bottom w:val="none" w:sz="0" w:space="0" w:color="auto"/>
        <w:right w:val="none" w:sz="0" w:space="0" w:color="auto"/>
      </w:divBdr>
    </w:div>
    <w:div w:id="1379351474">
      <w:bodyDiv w:val="1"/>
      <w:marLeft w:val="0"/>
      <w:marRight w:val="0"/>
      <w:marTop w:val="0"/>
      <w:marBottom w:val="0"/>
      <w:divBdr>
        <w:top w:val="none" w:sz="0" w:space="0" w:color="auto"/>
        <w:left w:val="none" w:sz="0" w:space="0" w:color="auto"/>
        <w:bottom w:val="none" w:sz="0" w:space="0" w:color="auto"/>
        <w:right w:val="none" w:sz="0" w:space="0" w:color="auto"/>
      </w:divBdr>
    </w:div>
    <w:div w:id="1384989883">
      <w:bodyDiv w:val="1"/>
      <w:marLeft w:val="0"/>
      <w:marRight w:val="0"/>
      <w:marTop w:val="0"/>
      <w:marBottom w:val="0"/>
      <w:divBdr>
        <w:top w:val="none" w:sz="0" w:space="0" w:color="auto"/>
        <w:left w:val="none" w:sz="0" w:space="0" w:color="auto"/>
        <w:bottom w:val="none" w:sz="0" w:space="0" w:color="auto"/>
        <w:right w:val="none" w:sz="0" w:space="0" w:color="auto"/>
      </w:divBdr>
    </w:div>
    <w:div w:id="1421415301">
      <w:bodyDiv w:val="1"/>
      <w:marLeft w:val="0"/>
      <w:marRight w:val="0"/>
      <w:marTop w:val="0"/>
      <w:marBottom w:val="0"/>
      <w:divBdr>
        <w:top w:val="none" w:sz="0" w:space="0" w:color="auto"/>
        <w:left w:val="none" w:sz="0" w:space="0" w:color="auto"/>
        <w:bottom w:val="none" w:sz="0" w:space="0" w:color="auto"/>
        <w:right w:val="none" w:sz="0" w:space="0" w:color="auto"/>
      </w:divBdr>
    </w:div>
    <w:div w:id="1493718849">
      <w:bodyDiv w:val="1"/>
      <w:marLeft w:val="0"/>
      <w:marRight w:val="0"/>
      <w:marTop w:val="0"/>
      <w:marBottom w:val="0"/>
      <w:divBdr>
        <w:top w:val="none" w:sz="0" w:space="0" w:color="auto"/>
        <w:left w:val="none" w:sz="0" w:space="0" w:color="auto"/>
        <w:bottom w:val="none" w:sz="0" w:space="0" w:color="auto"/>
        <w:right w:val="none" w:sz="0" w:space="0" w:color="auto"/>
      </w:divBdr>
    </w:div>
    <w:div w:id="1563904431">
      <w:bodyDiv w:val="1"/>
      <w:marLeft w:val="0"/>
      <w:marRight w:val="0"/>
      <w:marTop w:val="0"/>
      <w:marBottom w:val="0"/>
      <w:divBdr>
        <w:top w:val="none" w:sz="0" w:space="0" w:color="auto"/>
        <w:left w:val="none" w:sz="0" w:space="0" w:color="auto"/>
        <w:bottom w:val="none" w:sz="0" w:space="0" w:color="auto"/>
        <w:right w:val="none" w:sz="0" w:space="0" w:color="auto"/>
      </w:divBdr>
    </w:div>
    <w:div w:id="1601180021">
      <w:bodyDiv w:val="1"/>
      <w:marLeft w:val="0"/>
      <w:marRight w:val="0"/>
      <w:marTop w:val="0"/>
      <w:marBottom w:val="0"/>
      <w:divBdr>
        <w:top w:val="none" w:sz="0" w:space="0" w:color="auto"/>
        <w:left w:val="none" w:sz="0" w:space="0" w:color="auto"/>
        <w:bottom w:val="none" w:sz="0" w:space="0" w:color="auto"/>
        <w:right w:val="none" w:sz="0" w:space="0" w:color="auto"/>
      </w:divBdr>
    </w:div>
    <w:div w:id="1656303600">
      <w:bodyDiv w:val="1"/>
      <w:marLeft w:val="0"/>
      <w:marRight w:val="0"/>
      <w:marTop w:val="0"/>
      <w:marBottom w:val="0"/>
      <w:divBdr>
        <w:top w:val="none" w:sz="0" w:space="0" w:color="auto"/>
        <w:left w:val="none" w:sz="0" w:space="0" w:color="auto"/>
        <w:bottom w:val="none" w:sz="0" w:space="0" w:color="auto"/>
        <w:right w:val="none" w:sz="0" w:space="0" w:color="auto"/>
      </w:divBdr>
    </w:div>
    <w:div w:id="1696151239">
      <w:bodyDiv w:val="1"/>
      <w:marLeft w:val="0"/>
      <w:marRight w:val="0"/>
      <w:marTop w:val="0"/>
      <w:marBottom w:val="0"/>
      <w:divBdr>
        <w:top w:val="none" w:sz="0" w:space="0" w:color="auto"/>
        <w:left w:val="none" w:sz="0" w:space="0" w:color="auto"/>
        <w:bottom w:val="none" w:sz="0" w:space="0" w:color="auto"/>
        <w:right w:val="none" w:sz="0" w:space="0" w:color="auto"/>
      </w:divBdr>
    </w:div>
    <w:div w:id="1750737857">
      <w:bodyDiv w:val="1"/>
      <w:marLeft w:val="0"/>
      <w:marRight w:val="0"/>
      <w:marTop w:val="0"/>
      <w:marBottom w:val="0"/>
      <w:divBdr>
        <w:top w:val="none" w:sz="0" w:space="0" w:color="auto"/>
        <w:left w:val="none" w:sz="0" w:space="0" w:color="auto"/>
        <w:bottom w:val="none" w:sz="0" w:space="0" w:color="auto"/>
        <w:right w:val="none" w:sz="0" w:space="0" w:color="auto"/>
      </w:divBdr>
    </w:div>
    <w:div w:id="1776753111">
      <w:bodyDiv w:val="1"/>
      <w:marLeft w:val="0"/>
      <w:marRight w:val="0"/>
      <w:marTop w:val="0"/>
      <w:marBottom w:val="0"/>
      <w:divBdr>
        <w:top w:val="none" w:sz="0" w:space="0" w:color="auto"/>
        <w:left w:val="none" w:sz="0" w:space="0" w:color="auto"/>
        <w:bottom w:val="none" w:sz="0" w:space="0" w:color="auto"/>
        <w:right w:val="none" w:sz="0" w:space="0" w:color="auto"/>
      </w:divBdr>
    </w:div>
    <w:div w:id="1779983800">
      <w:bodyDiv w:val="1"/>
      <w:marLeft w:val="0"/>
      <w:marRight w:val="0"/>
      <w:marTop w:val="0"/>
      <w:marBottom w:val="0"/>
      <w:divBdr>
        <w:top w:val="none" w:sz="0" w:space="0" w:color="auto"/>
        <w:left w:val="none" w:sz="0" w:space="0" w:color="auto"/>
        <w:bottom w:val="none" w:sz="0" w:space="0" w:color="auto"/>
        <w:right w:val="none" w:sz="0" w:space="0" w:color="auto"/>
      </w:divBdr>
    </w:div>
    <w:div w:id="1786345277">
      <w:bodyDiv w:val="1"/>
      <w:marLeft w:val="0"/>
      <w:marRight w:val="0"/>
      <w:marTop w:val="0"/>
      <w:marBottom w:val="0"/>
      <w:divBdr>
        <w:top w:val="none" w:sz="0" w:space="0" w:color="auto"/>
        <w:left w:val="none" w:sz="0" w:space="0" w:color="auto"/>
        <w:bottom w:val="none" w:sz="0" w:space="0" w:color="auto"/>
        <w:right w:val="none" w:sz="0" w:space="0" w:color="auto"/>
      </w:divBdr>
    </w:div>
    <w:div w:id="1797411410">
      <w:bodyDiv w:val="1"/>
      <w:marLeft w:val="0"/>
      <w:marRight w:val="0"/>
      <w:marTop w:val="0"/>
      <w:marBottom w:val="0"/>
      <w:divBdr>
        <w:top w:val="none" w:sz="0" w:space="0" w:color="auto"/>
        <w:left w:val="none" w:sz="0" w:space="0" w:color="auto"/>
        <w:bottom w:val="none" w:sz="0" w:space="0" w:color="auto"/>
        <w:right w:val="none" w:sz="0" w:space="0" w:color="auto"/>
      </w:divBdr>
    </w:div>
    <w:div w:id="1802381649">
      <w:bodyDiv w:val="1"/>
      <w:marLeft w:val="0"/>
      <w:marRight w:val="0"/>
      <w:marTop w:val="0"/>
      <w:marBottom w:val="0"/>
      <w:divBdr>
        <w:top w:val="none" w:sz="0" w:space="0" w:color="auto"/>
        <w:left w:val="none" w:sz="0" w:space="0" w:color="auto"/>
        <w:bottom w:val="none" w:sz="0" w:space="0" w:color="auto"/>
        <w:right w:val="none" w:sz="0" w:space="0" w:color="auto"/>
      </w:divBdr>
    </w:div>
    <w:div w:id="1819416108">
      <w:bodyDiv w:val="1"/>
      <w:marLeft w:val="0"/>
      <w:marRight w:val="0"/>
      <w:marTop w:val="0"/>
      <w:marBottom w:val="0"/>
      <w:divBdr>
        <w:top w:val="none" w:sz="0" w:space="0" w:color="auto"/>
        <w:left w:val="none" w:sz="0" w:space="0" w:color="auto"/>
        <w:bottom w:val="none" w:sz="0" w:space="0" w:color="auto"/>
        <w:right w:val="none" w:sz="0" w:space="0" w:color="auto"/>
      </w:divBdr>
    </w:div>
    <w:div w:id="1869873671">
      <w:bodyDiv w:val="1"/>
      <w:marLeft w:val="0"/>
      <w:marRight w:val="0"/>
      <w:marTop w:val="0"/>
      <w:marBottom w:val="0"/>
      <w:divBdr>
        <w:top w:val="none" w:sz="0" w:space="0" w:color="auto"/>
        <w:left w:val="none" w:sz="0" w:space="0" w:color="auto"/>
        <w:bottom w:val="none" w:sz="0" w:space="0" w:color="auto"/>
        <w:right w:val="none" w:sz="0" w:space="0" w:color="auto"/>
      </w:divBdr>
    </w:div>
    <w:div w:id="2000696844">
      <w:bodyDiv w:val="1"/>
      <w:marLeft w:val="0"/>
      <w:marRight w:val="0"/>
      <w:marTop w:val="0"/>
      <w:marBottom w:val="0"/>
      <w:divBdr>
        <w:top w:val="none" w:sz="0" w:space="0" w:color="auto"/>
        <w:left w:val="none" w:sz="0" w:space="0" w:color="auto"/>
        <w:bottom w:val="none" w:sz="0" w:space="0" w:color="auto"/>
        <w:right w:val="none" w:sz="0" w:space="0" w:color="auto"/>
      </w:divBdr>
    </w:div>
    <w:div w:id="2026011056">
      <w:bodyDiv w:val="1"/>
      <w:marLeft w:val="0"/>
      <w:marRight w:val="0"/>
      <w:marTop w:val="0"/>
      <w:marBottom w:val="0"/>
      <w:divBdr>
        <w:top w:val="none" w:sz="0" w:space="0" w:color="auto"/>
        <w:left w:val="none" w:sz="0" w:space="0" w:color="auto"/>
        <w:bottom w:val="none" w:sz="0" w:space="0" w:color="auto"/>
        <w:right w:val="none" w:sz="0" w:space="0" w:color="auto"/>
      </w:divBdr>
    </w:div>
    <w:div w:id="2051224950">
      <w:bodyDiv w:val="1"/>
      <w:marLeft w:val="0"/>
      <w:marRight w:val="0"/>
      <w:marTop w:val="0"/>
      <w:marBottom w:val="0"/>
      <w:divBdr>
        <w:top w:val="none" w:sz="0" w:space="0" w:color="auto"/>
        <w:left w:val="none" w:sz="0" w:space="0" w:color="auto"/>
        <w:bottom w:val="none" w:sz="0" w:space="0" w:color="auto"/>
        <w:right w:val="none" w:sz="0" w:space="0" w:color="auto"/>
      </w:divBdr>
    </w:div>
    <w:div w:id="2092921093">
      <w:bodyDiv w:val="1"/>
      <w:marLeft w:val="0"/>
      <w:marRight w:val="0"/>
      <w:marTop w:val="0"/>
      <w:marBottom w:val="0"/>
      <w:divBdr>
        <w:top w:val="none" w:sz="0" w:space="0" w:color="auto"/>
        <w:left w:val="none" w:sz="0" w:space="0" w:color="auto"/>
        <w:bottom w:val="none" w:sz="0" w:space="0" w:color="auto"/>
        <w:right w:val="none" w:sz="0" w:space="0" w:color="auto"/>
      </w:divBdr>
    </w:div>
    <w:div w:id="2100056496">
      <w:bodyDiv w:val="1"/>
      <w:marLeft w:val="0"/>
      <w:marRight w:val="0"/>
      <w:marTop w:val="0"/>
      <w:marBottom w:val="0"/>
      <w:divBdr>
        <w:top w:val="none" w:sz="0" w:space="0" w:color="auto"/>
        <w:left w:val="none" w:sz="0" w:space="0" w:color="auto"/>
        <w:bottom w:val="none" w:sz="0" w:space="0" w:color="auto"/>
        <w:right w:val="none" w:sz="0" w:space="0" w:color="auto"/>
      </w:divBdr>
    </w:div>
    <w:div w:id="2103990577">
      <w:bodyDiv w:val="1"/>
      <w:marLeft w:val="0"/>
      <w:marRight w:val="0"/>
      <w:marTop w:val="0"/>
      <w:marBottom w:val="0"/>
      <w:divBdr>
        <w:top w:val="none" w:sz="0" w:space="0" w:color="auto"/>
        <w:left w:val="none" w:sz="0" w:space="0" w:color="auto"/>
        <w:bottom w:val="none" w:sz="0" w:space="0" w:color="auto"/>
        <w:right w:val="none" w:sz="0" w:space="0" w:color="auto"/>
      </w:divBdr>
      <w:divsChild>
        <w:div w:id="2076052270">
          <w:marLeft w:val="0"/>
          <w:marRight w:val="0"/>
          <w:marTop w:val="135"/>
          <w:marBottom w:val="0"/>
          <w:divBdr>
            <w:top w:val="none" w:sz="0" w:space="0" w:color="auto"/>
            <w:left w:val="none" w:sz="0" w:space="0" w:color="auto"/>
            <w:bottom w:val="none" w:sz="0" w:space="0" w:color="auto"/>
            <w:right w:val="none" w:sz="0" w:space="0" w:color="auto"/>
          </w:divBdr>
          <w:divsChild>
            <w:div w:id="1278754093">
              <w:marLeft w:val="0"/>
              <w:marRight w:val="0"/>
              <w:marTop w:val="0"/>
              <w:marBottom w:val="0"/>
              <w:divBdr>
                <w:top w:val="single" w:sz="6" w:space="0" w:color="C7C7C7"/>
                <w:left w:val="single" w:sz="6" w:space="0" w:color="C7C7C7"/>
                <w:bottom w:val="single" w:sz="6" w:space="0" w:color="C7C7C7"/>
                <w:right w:val="single" w:sz="6" w:space="0" w:color="C7C7C7"/>
              </w:divBdr>
              <w:divsChild>
                <w:div w:id="16146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FBCD5-14A0-4BDA-9BD3-77973685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5482</Characters>
  <Application>Microsoft Office Word</Application>
  <DocSecurity>4</DocSecurity>
  <Lines>45</Lines>
  <Paragraphs>12</Paragraphs>
  <ScaleCrop>false</ScaleCrop>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H00814</dc:creator>
  <cp:lastModifiedBy>ZHONGM</cp:lastModifiedBy>
  <cp:revision>2</cp:revision>
  <cp:lastPrinted>2018-09-27T02:22:00Z</cp:lastPrinted>
  <dcterms:created xsi:type="dcterms:W3CDTF">2018-09-27T16:34:00Z</dcterms:created>
  <dcterms:modified xsi:type="dcterms:W3CDTF">2018-09-27T16:34:00Z</dcterms:modified>
</cp:coreProperties>
</file>