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7A" w:rsidRDefault="006E3837">
      <w:pPr>
        <w:autoSpaceDE w:val="0"/>
        <w:autoSpaceDN w:val="0"/>
        <w:adjustRightInd w:val="0"/>
        <w:spacing w:line="598" w:lineRule="exact"/>
        <w:ind w:left="49" w:right="34"/>
        <w:jc w:val="center"/>
        <w:rPr>
          <w:rFonts w:ascii="微软雅黑" w:eastAsia="微软雅黑" w:hAnsi="Times New Roman" w:cs="微软雅黑"/>
          <w:kern w:val="0"/>
          <w:sz w:val="48"/>
          <w:szCs w:val="48"/>
        </w:rPr>
      </w:pPr>
      <w:r>
        <w:rPr>
          <w:rFonts w:ascii="微软雅黑" w:eastAsia="微软雅黑" w:hAnsi="Times New Roman" w:cs="微软雅黑" w:hint="eastAsia"/>
          <w:spacing w:val="2"/>
          <w:kern w:val="0"/>
          <w:position w:val="1"/>
          <w:sz w:val="48"/>
          <w:szCs w:val="48"/>
        </w:rPr>
        <w:t>永赢量化</w:t>
      </w:r>
      <w:r>
        <w:rPr>
          <w:rFonts w:ascii="微软雅黑" w:eastAsia="微软雅黑" w:hAnsi="Times New Roman" w:cs="微软雅黑"/>
          <w:spacing w:val="2"/>
          <w:kern w:val="0"/>
          <w:position w:val="1"/>
          <w:sz w:val="48"/>
          <w:szCs w:val="48"/>
        </w:rPr>
        <w:t>混合</w:t>
      </w:r>
      <w:r>
        <w:rPr>
          <w:rFonts w:ascii="微软雅黑" w:eastAsia="微软雅黑" w:hAnsi="Times New Roman" w:cs="微软雅黑" w:hint="eastAsia"/>
          <w:spacing w:val="2"/>
          <w:kern w:val="0"/>
          <w:position w:val="1"/>
          <w:sz w:val="48"/>
          <w:szCs w:val="48"/>
        </w:rPr>
        <w:t>型</w:t>
      </w:r>
      <w:r>
        <w:rPr>
          <w:rFonts w:ascii="微软雅黑" w:eastAsia="微软雅黑" w:hAnsi="Times New Roman" w:cs="微软雅黑"/>
          <w:spacing w:val="2"/>
          <w:kern w:val="0"/>
          <w:position w:val="1"/>
          <w:sz w:val="48"/>
          <w:szCs w:val="48"/>
        </w:rPr>
        <w:t>发起式</w:t>
      </w:r>
      <w:r>
        <w:rPr>
          <w:rFonts w:ascii="微软雅黑" w:eastAsia="微软雅黑" w:hAnsi="Times New Roman" w:cs="微软雅黑" w:hint="eastAsia"/>
          <w:kern w:val="0"/>
          <w:position w:val="1"/>
          <w:sz w:val="48"/>
          <w:szCs w:val="48"/>
        </w:rPr>
        <w:t>证</w:t>
      </w:r>
      <w:r>
        <w:rPr>
          <w:rFonts w:ascii="微软雅黑" w:eastAsia="微软雅黑" w:hAnsi="Times New Roman" w:cs="微软雅黑" w:hint="eastAsia"/>
          <w:spacing w:val="2"/>
          <w:kern w:val="0"/>
          <w:position w:val="1"/>
          <w:sz w:val="48"/>
          <w:szCs w:val="48"/>
        </w:rPr>
        <w:t>券</w:t>
      </w:r>
      <w:r>
        <w:rPr>
          <w:rFonts w:ascii="微软雅黑" w:eastAsia="微软雅黑" w:hAnsi="Times New Roman" w:cs="微软雅黑" w:hint="eastAsia"/>
          <w:kern w:val="0"/>
          <w:position w:val="1"/>
          <w:sz w:val="48"/>
          <w:szCs w:val="48"/>
        </w:rPr>
        <w:t>投</w:t>
      </w:r>
      <w:r>
        <w:rPr>
          <w:rFonts w:ascii="微软雅黑" w:eastAsia="微软雅黑" w:hAnsi="Times New Roman" w:cs="微软雅黑" w:hint="eastAsia"/>
          <w:spacing w:val="2"/>
          <w:kern w:val="0"/>
          <w:sz w:val="48"/>
          <w:szCs w:val="48"/>
        </w:rPr>
        <w:t>资基</w:t>
      </w:r>
      <w:r>
        <w:rPr>
          <w:rFonts w:ascii="微软雅黑" w:eastAsia="微软雅黑" w:hAnsi="Times New Roman" w:cs="微软雅黑" w:hint="eastAsia"/>
          <w:kern w:val="0"/>
          <w:sz w:val="48"/>
          <w:szCs w:val="48"/>
        </w:rPr>
        <w:t>金</w:t>
      </w:r>
    </w:p>
    <w:p w:rsidR="00F56D7A" w:rsidRDefault="006E3837">
      <w:pPr>
        <w:autoSpaceDE w:val="0"/>
        <w:autoSpaceDN w:val="0"/>
        <w:adjustRightInd w:val="0"/>
        <w:spacing w:line="598" w:lineRule="exact"/>
        <w:ind w:left="49" w:right="34"/>
        <w:jc w:val="center"/>
        <w:rPr>
          <w:rFonts w:ascii="微软雅黑" w:eastAsia="微软雅黑" w:hAnsi="Times New Roman" w:cs="微软雅黑"/>
          <w:kern w:val="0"/>
          <w:sz w:val="48"/>
          <w:szCs w:val="48"/>
        </w:rPr>
      </w:pPr>
      <w:r>
        <w:rPr>
          <w:rFonts w:ascii="微软雅黑" w:eastAsia="微软雅黑" w:hAnsi="Times New Roman" w:cs="微软雅黑" w:hint="eastAsia"/>
          <w:spacing w:val="2"/>
          <w:kern w:val="0"/>
          <w:sz w:val="48"/>
          <w:szCs w:val="48"/>
        </w:rPr>
        <w:t>清算报</w:t>
      </w:r>
      <w:r>
        <w:rPr>
          <w:rFonts w:ascii="微软雅黑" w:eastAsia="微软雅黑" w:hAnsi="Times New Roman" w:cs="微软雅黑" w:hint="eastAsia"/>
          <w:kern w:val="0"/>
          <w:sz w:val="48"/>
          <w:szCs w:val="48"/>
        </w:rPr>
        <w:t>告</w:t>
      </w: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before="8" w:line="240" w:lineRule="exact"/>
        <w:jc w:val="left"/>
        <w:rPr>
          <w:rFonts w:ascii="微软雅黑" w:eastAsia="微软雅黑" w:hAnsi="Times New Roman" w:cs="微软雅黑"/>
          <w:kern w:val="0"/>
          <w:sz w:val="24"/>
          <w:szCs w:val="24"/>
        </w:rPr>
      </w:pPr>
    </w:p>
    <w:p w:rsidR="00F56D7A" w:rsidRDefault="00F56D7A">
      <w:pPr>
        <w:autoSpaceDE w:val="0"/>
        <w:autoSpaceDN w:val="0"/>
        <w:adjustRightInd w:val="0"/>
        <w:ind w:right="3373"/>
        <w:jc w:val="center"/>
        <w:rPr>
          <w:rFonts w:ascii="微软雅黑" w:eastAsia="微软雅黑" w:hAnsi="Times New Roman" w:cs="微软雅黑"/>
          <w:kern w:val="0"/>
          <w:sz w:val="28"/>
          <w:szCs w:val="28"/>
        </w:rPr>
      </w:pPr>
    </w:p>
    <w:p w:rsidR="00F56D7A" w:rsidRDefault="00F56D7A">
      <w:pPr>
        <w:autoSpaceDE w:val="0"/>
        <w:autoSpaceDN w:val="0"/>
        <w:adjustRightInd w:val="0"/>
        <w:spacing w:before="6" w:line="180" w:lineRule="exact"/>
        <w:jc w:val="left"/>
        <w:rPr>
          <w:rFonts w:ascii="微软雅黑" w:eastAsia="微软雅黑" w:hAnsi="Times New Roman" w:cs="微软雅黑"/>
          <w:kern w:val="0"/>
          <w:sz w:val="18"/>
          <w:szCs w:val="18"/>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F56D7A" w:rsidRDefault="00F56D7A">
      <w:pPr>
        <w:autoSpaceDE w:val="0"/>
        <w:autoSpaceDN w:val="0"/>
        <w:adjustRightInd w:val="0"/>
        <w:spacing w:line="200" w:lineRule="exact"/>
        <w:jc w:val="left"/>
        <w:rPr>
          <w:rFonts w:ascii="微软雅黑" w:eastAsia="微软雅黑" w:hAnsi="Times New Roman" w:cs="微软雅黑"/>
          <w:kern w:val="0"/>
          <w:sz w:val="20"/>
          <w:szCs w:val="20"/>
        </w:rPr>
      </w:pPr>
    </w:p>
    <w:p w:rsidR="001D72F7" w:rsidRDefault="006E3837">
      <w:pPr>
        <w:autoSpaceDE w:val="0"/>
        <w:autoSpaceDN w:val="0"/>
        <w:adjustRightInd w:val="0"/>
        <w:spacing w:line="313" w:lineRule="auto"/>
        <w:ind w:left="1691" w:right="2608"/>
        <w:rPr>
          <w:rFonts w:ascii="微软雅黑" w:eastAsia="微软雅黑" w:hAnsi="Times New Roman" w:cs="微软雅黑"/>
          <w:kern w:val="0"/>
          <w:sz w:val="28"/>
          <w:szCs w:val="28"/>
        </w:rPr>
      </w:pPr>
      <w:r>
        <w:rPr>
          <w:rFonts w:ascii="微软雅黑" w:eastAsia="微软雅黑" w:hAnsi="Times New Roman" w:cs="微软雅黑" w:hint="eastAsia"/>
          <w:kern w:val="0"/>
          <w:sz w:val="28"/>
          <w:szCs w:val="28"/>
        </w:rPr>
        <w:t>基金管理</w:t>
      </w:r>
      <w:r>
        <w:rPr>
          <w:rFonts w:ascii="微软雅黑" w:eastAsia="微软雅黑" w:hAnsi="Times New Roman" w:cs="微软雅黑" w:hint="eastAsia"/>
          <w:spacing w:val="2"/>
          <w:kern w:val="0"/>
          <w:sz w:val="28"/>
          <w:szCs w:val="28"/>
        </w:rPr>
        <w:t>人</w:t>
      </w:r>
      <w:r>
        <w:rPr>
          <w:rFonts w:ascii="微软雅黑" w:eastAsia="微软雅黑" w:hAnsi="Times New Roman" w:cs="微软雅黑" w:hint="eastAsia"/>
          <w:spacing w:val="-3"/>
          <w:kern w:val="0"/>
          <w:sz w:val="28"/>
          <w:szCs w:val="28"/>
        </w:rPr>
        <w:t>：</w:t>
      </w:r>
      <w:r>
        <w:rPr>
          <w:rFonts w:ascii="微软雅黑" w:eastAsia="微软雅黑" w:hAnsi="Times New Roman" w:cs="微软雅黑" w:hint="eastAsia"/>
          <w:kern w:val="0"/>
          <w:sz w:val="28"/>
          <w:szCs w:val="28"/>
        </w:rPr>
        <w:t>永赢基金</w:t>
      </w:r>
      <w:r>
        <w:rPr>
          <w:rFonts w:ascii="微软雅黑" w:eastAsia="微软雅黑" w:hAnsi="Times New Roman" w:cs="微软雅黑" w:hint="eastAsia"/>
          <w:spacing w:val="2"/>
          <w:kern w:val="0"/>
          <w:sz w:val="28"/>
          <w:szCs w:val="28"/>
        </w:rPr>
        <w:t>管</w:t>
      </w:r>
      <w:r>
        <w:rPr>
          <w:rFonts w:ascii="微软雅黑" w:eastAsia="微软雅黑" w:hAnsi="Times New Roman" w:cs="微软雅黑" w:hint="eastAsia"/>
          <w:kern w:val="0"/>
          <w:sz w:val="28"/>
          <w:szCs w:val="28"/>
        </w:rPr>
        <w:t>理有限公司</w:t>
      </w:r>
    </w:p>
    <w:p w:rsidR="001D72F7" w:rsidRDefault="006E3837">
      <w:pPr>
        <w:autoSpaceDE w:val="0"/>
        <w:autoSpaceDN w:val="0"/>
        <w:adjustRightInd w:val="0"/>
        <w:spacing w:line="313" w:lineRule="auto"/>
        <w:ind w:left="1691" w:right="2608"/>
        <w:rPr>
          <w:rFonts w:ascii="微软雅黑" w:eastAsia="微软雅黑" w:hAnsi="Times New Roman" w:cs="微软雅黑"/>
          <w:kern w:val="0"/>
          <w:sz w:val="28"/>
          <w:szCs w:val="28"/>
        </w:rPr>
      </w:pPr>
      <w:r>
        <w:rPr>
          <w:rFonts w:ascii="微软雅黑" w:eastAsia="微软雅黑" w:hAnsi="Times New Roman" w:cs="微软雅黑" w:hint="eastAsia"/>
          <w:kern w:val="0"/>
          <w:sz w:val="28"/>
          <w:szCs w:val="28"/>
        </w:rPr>
        <w:t>基金托管</w:t>
      </w:r>
      <w:r>
        <w:rPr>
          <w:rFonts w:ascii="微软雅黑" w:eastAsia="微软雅黑" w:hAnsi="Times New Roman" w:cs="微软雅黑" w:hint="eastAsia"/>
          <w:spacing w:val="2"/>
          <w:kern w:val="0"/>
          <w:sz w:val="28"/>
          <w:szCs w:val="28"/>
        </w:rPr>
        <w:t>人</w:t>
      </w:r>
      <w:r>
        <w:rPr>
          <w:rFonts w:ascii="微软雅黑" w:eastAsia="微软雅黑" w:hAnsi="Times New Roman" w:cs="微软雅黑" w:hint="eastAsia"/>
          <w:spacing w:val="-3"/>
          <w:kern w:val="0"/>
          <w:sz w:val="28"/>
          <w:szCs w:val="28"/>
        </w:rPr>
        <w:t>：</w:t>
      </w:r>
      <w:r>
        <w:rPr>
          <w:rFonts w:ascii="微软雅黑" w:eastAsia="微软雅黑" w:hAnsi="Times New Roman" w:cs="微软雅黑" w:hint="eastAsia"/>
          <w:kern w:val="0"/>
          <w:sz w:val="28"/>
          <w:szCs w:val="28"/>
        </w:rPr>
        <w:t>中信证券</w:t>
      </w:r>
      <w:r>
        <w:rPr>
          <w:rFonts w:ascii="微软雅黑" w:eastAsia="微软雅黑" w:hAnsi="Times New Roman" w:cs="微软雅黑" w:hint="eastAsia"/>
          <w:spacing w:val="2"/>
          <w:kern w:val="0"/>
          <w:sz w:val="28"/>
          <w:szCs w:val="28"/>
        </w:rPr>
        <w:t>股</w:t>
      </w:r>
      <w:r>
        <w:rPr>
          <w:rFonts w:ascii="微软雅黑" w:eastAsia="微软雅黑" w:hAnsi="Times New Roman" w:cs="微软雅黑" w:hint="eastAsia"/>
          <w:kern w:val="0"/>
          <w:sz w:val="28"/>
          <w:szCs w:val="28"/>
        </w:rPr>
        <w:t>份有限公司</w:t>
      </w:r>
    </w:p>
    <w:p w:rsidR="00F56D7A" w:rsidRDefault="006E3837">
      <w:pPr>
        <w:autoSpaceDE w:val="0"/>
        <w:autoSpaceDN w:val="0"/>
        <w:adjustRightInd w:val="0"/>
        <w:spacing w:line="313" w:lineRule="auto"/>
        <w:ind w:left="1691" w:right="2608"/>
        <w:rPr>
          <w:rFonts w:ascii="微软雅黑" w:eastAsia="微软雅黑" w:hAnsi="Times New Roman" w:cs="微软雅黑"/>
          <w:kern w:val="0"/>
          <w:sz w:val="28"/>
          <w:szCs w:val="28"/>
        </w:rPr>
      </w:pPr>
      <w:r>
        <w:rPr>
          <w:rFonts w:ascii="微软雅黑" w:eastAsia="微软雅黑" w:hAnsi="Times New Roman" w:cs="微软雅黑" w:hint="eastAsia"/>
          <w:w w:val="95"/>
          <w:kern w:val="0"/>
          <w:sz w:val="28"/>
          <w:szCs w:val="28"/>
        </w:rPr>
        <w:t>公告日期：</w:t>
      </w:r>
      <w:r>
        <w:rPr>
          <w:rFonts w:ascii="微软雅黑" w:eastAsia="微软雅黑" w:hAnsi="Times New Roman" w:cs="微软雅黑"/>
          <w:spacing w:val="1"/>
          <w:w w:val="95"/>
          <w:kern w:val="0"/>
          <w:sz w:val="28"/>
          <w:szCs w:val="28"/>
        </w:rPr>
        <w:t>201</w:t>
      </w:r>
      <w:r>
        <w:rPr>
          <w:rFonts w:ascii="微软雅黑" w:eastAsia="微软雅黑" w:hAnsi="Times New Roman" w:cs="微软雅黑"/>
          <w:w w:val="95"/>
          <w:kern w:val="0"/>
          <w:sz w:val="28"/>
          <w:szCs w:val="28"/>
        </w:rPr>
        <w:t>8</w:t>
      </w:r>
      <w:r>
        <w:rPr>
          <w:rFonts w:ascii="微软雅黑" w:eastAsia="微软雅黑" w:hAnsi="Times New Roman" w:cs="微软雅黑" w:hint="eastAsia"/>
          <w:kern w:val="0"/>
          <w:sz w:val="28"/>
          <w:szCs w:val="28"/>
        </w:rPr>
        <w:t>年</w:t>
      </w:r>
      <w:r w:rsidR="008A0B11">
        <w:rPr>
          <w:rFonts w:ascii="微软雅黑" w:eastAsia="微软雅黑" w:hAnsi="Times New Roman" w:cs="微软雅黑" w:hint="eastAsia"/>
          <w:spacing w:val="-11"/>
          <w:kern w:val="0"/>
          <w:sz w:val="28"/>
          <w:szCs w:val="28"/>
        </w:rPr>
        <w:t xml:space="preserve">9 </w:t>
      </w:r>
      <w:r>
        <w:rPr>
          <w:rFonts w:ascii="微软雅黑" w:eastAsia="微软雅黑" w:hAnsi="Times New Roman" w:cs="微软雅黑" w:hint="eastAsia"/>
          <w:kern w:val="0"/>
          <w:sz w:val="28"/>
          <w:szCs w:val="28"/>
        </w:rPr>
        <w:t>月</w:t>
      </w:r>
      <w:r w:rsidR="008A0B11">
        <w:rPr>
          <w:rFonts w:ascii="微软雅黑" w:eastAsia="微软雅黑" w:hAnsi="Times New Roman" w:cs="微软雅黑" w:hint="eastAsia"/>
          <w:spacing w:val="1"/>
          <w:w w:val="85"/>
          <w:kern w:val="0"/>
          <w:sz w:val="28"/>
          <w:szCs w:val="28"/>
        </w:rPr>
        <w:t>27</w:t>
      </w:r>
      <w:r>
        <w:rPr>
          <w:rFonts w:ascii="微软雅黑" w:eastAsia="微软雅黑" w:hAnsi="Times New Roman" w:cs="微软雅黑" w:hint="eastAsia"/>
          <w:kern w:val="0"/>
          <w:sz w:val="28"/>
          <w:szCs w:val="28"/>
        </w:rPr>
        <w:t>日</w:t>
      </w:r>
    </w:p>
    <w:p w:rsidR="00F56D7A" w:rsidRDefault="00F56D7A">
      <w:pPr>
        <w:autoSpaceDE w:val="0"/>
        <w:autoSpaceDN w:val="0"/>
        <w:adjustRightInd w:val="0"/>
        <w:spacing w:line="313" w:lineRule="auto"/>
        <w:ind w:left="1691" w:right="2608"/>
        <w:rPr>
          <w:rFonts w:ascii="微软雅黑" w:eastAsia="微软雅黑" w:hAnsi="Times New Roman" w:cs="微软雅黑"/>
          <w:kern w:val="0"/>
          <w:sz w:val="28"/>
          <w:szCs w:val="28"/>
        </w:rPr>
      </w:pPr>
    </w:p>
    <w:p w:rsidR="001C575F" w:rsidRDefault="001C575F">
      <w:pPr>
        <w:autoSpaceDE w:val="0"/>
        <w:autoSpaceDN w:val="0"/>
        <w:adjustRightInd w:val="0"/>
        <w:spacing w:line="313" w:lineRule="auto"/>
        <w:ind w:left="1691" w:right="2608"/>
        <w:rPr>
          <w:rFonts w:ascii="微软雅黑" w:eastAsia="微软雅黑" w:hAnsi="Times New Roman" w:cs="微软雅黑"/>
          <w:kern w:val="0"/>
          <w:sz w:val="28"/>
          <w:szCs w:val="28"/>
        </w:rPr>
      </w:pPr>
    </w:p>
    <w:p w:rsidR="007C7CD1" w:rsidRDefault="007C7CD1">
      <w:pPr>
        <w:widowControl/>
        <w:jc w:val="left"/>
        <w:rPr>
          <w:rFonts w:ascii="微软雅黑" w:eastAsia="微软雅黑" w:hAnsi="Times New Roman" w:cs="微软雅黑"/>
          <w:kern w:val="0"/>
          <w:sz w:val="28"/>
          <w:szCs w:val="28"/>
        </w:rPr>
      </w:pPr>
      <w:r>
        <w:rPr>
          <w:rFonts w:ascii="微软雅黑" w:eastAsia="微软雅黑" w:hAnsi="Times New Roman" w:cs="微软雅黑"/>
          <w:kern w:val="0"/>
          <w:sz w:val="28"/>
          <w:szCs w:val="28"/>
        </w:rPr>
        <w:br w:type="page"/>
      </w:r>
    </w:p>
    <w:p w:rsidR="00F56D7A" w:rsidRDefault="006E3837">
      <w:pPr>
        <w:pStyle w:val="a9"/>
        <w:spacing w:before="0" w:after="0" w:line="360" w:lineRule="auto"/>
        <w:ind w:firstLineChars="200" w:firstLine="562"/>
        <w:jc w:val="both"/>
        <w:rPr>
          <w:rFonts w:ascii="Times New Roman" w:hAnsi="宋体"/>
          <w:sz w:val="28"/>
          <w:szCs w:val="28"/>
        </w:rPr>
      </w:pPr>
      <w:r>
        <w:rPr>
          <w:rFonts w:ascii="Times New Roman" w:hAnsi="宋体" w:hint="eastAsia"/>
          <w:sz w:val="28"/>
          <w:szCs w:val="28"/>
        </w:rPr>
        <w:lastRenderedPageBreak/>
        <w:t>一</w:t>
      </w:r>
      <w:r>
        <w:rPr>
          <w:rFonts w:ascii="Times New Roman" w:hAnsi="宋体"/>
          <w:sz w:val="28"/>
          <w:szCs w:val="28"/>
        </w:rPr>
        <w:t>、重要提示及目录</w:t>
      </w:r>
    </w:p>
    <w:p w:rsidR="00F56D7A" w:rsidRDefault="00F56D7A">
      <w:pPr>
        <w:pStyle w:val="a9"/>
        <w:spacing w:before="0" w:after="0" w:line="360" w:lineRule="auto"/>
        <w:ind w:firstLineChars="200" w:firstLine="480"/>
        <w:jc w:val="both"/>
        <w:rPr>
          <w:rFonts w:ascii="Times New Roman" w:hAnsi="宋体"/>
          <w:b w:val="0"/>
          <w:sz w:val="24"/>
          <w:szCs w:val="24"/>
        </w:rPr>
      </w:pP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永赢量化混合型发起式证券投资基金（以下简称“本基金</w:t>
      </w:r>
      <w:r>
        <w:rPr>
          <w:rFonts w:ascii="Times New Roman" w:hAnsi="宋体"/>
          <w:b w:val="0"/>
          <w:sz w:val="24"/>
          <w:szCs w:val="24"/>
        </w:rPr>
        <w:t>”</w:t>
      </w:r>
      <w:r>
        <w:rPr>
          <w:rFonts w:ascii="Times New Roman" w:hAnsi="宋体"/>
          <w:b w:val="0"/>
          <w:sz w:val="24"/>
          <w:szCs w:val="24"/>
        </w:rPr>
        <w:t>)</w:t>
      </w:r>
      <w:r>
        <w:rPr>
          <w:rFonts w:ascii="Times New Roman" w:hAnsi="宋体" w:hint="eastAsia"/>
          <w:b w:val="0"/>
          <w:sz w:val="24"/>
          <w:szCs w:val="24"/>
        </w:rPr>
        <w:t>经中国证券监督管理委员会（以下简称“中国证监会”）证监许可</w:t>
      </w:r>
      <w:r>
        <w:rPr>
          <w:rFonts w:ascii="Times New Roman" w:hAnsi="宋体"/>
          <w:b w:val="0"/>
          <w:sz w:val="24"/>
          <w:szCs w:val="24"/>
        </w:rPr>
        <w:t>[2015]1273</w:t>
      </w:r>
      <w:r>
        <w:rPr>
          <w:rFonts w:ascii="Times New Roman" w:hAnsi="宋体" w:hint="eastAsia"/>
          <w:b w:val="0"/>
          <w:sz w:val="24"/>
          <w:szCs w:val="24"/>
        </w:rPr>
        <w:t>号文《关于准予永赢量化混合型发起式证券投资基金注册的批复》核准注册，由永赢基金管理有限公司作为基金管理人自</w:t>
      </w:r>
      <w:r>
        <w:rPr>
          <w:rFonts w:ascii="Times New Roman" w:hAnsi="宋体"/>
          <w:b w:val="0"/>
          <w:sz w:val="24"/>
          <w:szCs w:val="24"/>
        </w:rPr>
        <w:t>2015</w:t>
      </w:r>
      <w:r>
        <w:rPr>
          <w:rFonts w:ascii="Times New Roman" w:hAnsi="宋体" w:hint="eastAsia"/>
          <w:b w:val="0"/>
          <w:sz w:val="24"/>
          <w:szCs w:val="24"/>
        </w:rPr>
        <w:t>年</w:t>
      </w:r>
      <w:r>
        <w:rPr>
          <w:rFonts w:ascii="Times New Roman" w:hAnsi="宋体"/>
          <w:b w:val="0"/>
          <w:sz w:val="24"/>
          <w:szCs w:val="24"/>
        </w:rPr>
        <w:t>7</w:t>
      </w:r>
      <w:r>
        <w:rPr>
          <w:rFonts w:ascii="Times New Roman" w:hAnsi="宋体" w:hint="eastAsia"/>
          <w:b w:val="0"/>
          <w:sz w:val="24"/>
          <w:szCs w:val="24"/>
        </w:rPr>
        <w:t>月</w:t>
      </w:r>
      <w:r>
        <w:rPr>
          <w:rFonts w:ascii="Times New Roman" w:hAnsi="宋体"/>
          <w:b w:val="0"/>
          <w:sz w:val="24"/>
          <w:szCs w:val="24"/>
        </w:rPr>
        <w:t>27</w:t>
      </w:r>
      <w:r>
        <w:rPr>
          <w:rFonts w:ascii="Times New Roman" w:hAnsi="宋体" w:hint="eastAsia"/>
          <w:b w:val="0"/>
          <w:sz w:val="24"/>
          <w:szCs w:val="24"/>
        </w:rPr>
        <w:t>日至</w:t>
      </w:r>
      <w:r>
        <w:rPr>
          <w:rFonts w:ascii="Times New Roman" w:hAnsi="宋体"/>
          <w:b w:val="0"/>
          <w:sz w:val="24"/>
          <w:szCs w:val="24"/>
        </w:rPr>
        <w:t>2015</w:t>
      </w:r>
      <w:r>
        <w:rPr>
          <w:rFonts w:ascii="Times New Roman" w:hAnsi="宋体" w:hint="eastAsia"/>
          <w:b w:val="0"/>
          <w:sz w:val="24"/>
          <w:szCs w:val="24"/>
        </w:rPr>
        <w:t>年</w:t>
      </w:r>
      <w:r>
        <w:rPr>
          <w:rFonts w:ascii="Times New Roman" w:hAnsi="宋体"/>
          <w:b w:val="0"/>
          <w:sz w:val="24"/>
          <w:szCs w:val="24"/>
        </w:rPr>
        <w:t>8</w:t>
      </w:r>
      <w:r>
        <w:rPr>
          <w:rFonts w:ascii="Times New Roman" w:hAnsi="宋体" w:hint="eastAsia"/>
          <w:b w:val="0"/>
          <w:sz w:val="24"/>
          <w:szCs w:val="24"/>
        </w:rPr>
        <w:t>月</w:t>
      </w:r>
      <w:r>
        <w:rPr>
          <w:rFonts w:ascii="Times New Roman" w:hAnsi="宋体"/>
          <w:b w:val="0"/>
          <w:sz w:val="24"/>
          <w:szCs w:val="24"/>
        </w:rPr>
        <w:t>3</w:t>
      </w:r>
      <w:r>
        <w:rPr>
          <w:rFonts w:ascii="Times New Roman" w:hAnsi="宋体" w:hint="eastAsia"/>
          <w:b w:val="0"/>
          <w:sz w:val="24"/>
          <w:szCs w:val="24"/>
        </w:rPr>
        <w:t>日止期间向社会公开发行募集，募集期结束后经安永华明会计师事务所（特殊普通合伙）验证并出具了安永华明（</w:t>
      </w:r>
      <w:r>
        <w:rPr>
          <w:rFonts w:ascii="Times New Roman" w:hAnsi="宋体"/>
          <w:b w:val="0"/>
          <w:sz w:val="24"/>
          <w:szCs w:val="24"/>
        </w:rPr>
        <w:t>2015</w:t>
      </w:r>
      <w:r>
        <w:rPr>
          <w:rFonts w:ascii="Times New Roman" w:hAnsi="宋体" w:hint="eastAsia"/>
          <w:b w:val="0"/>
          <w:sz w:val="24"/>
          <w:szCs w:val="24"/>
        </w:rPr>
        <w:t>）验字第</w:t>
      </w:r>
      <w:r>
        <w:rPr>
          <w:rFonts w:ascii="Times New Roman" w:hAnsi="宋体"/>
          <w:b w:val="0"/>
          <w:sz w:val="24"/>
          <w:szCs w:val="24"/>
        </w:rPr>
        <w:t>61090672_B10</w:t>
      </w:r>
      <w:r>
        <w:rPr>
          <w:rFonts w:ascii="Times New Roman" w:hAnsi="宋体" w:hint="eastAsia"/>
          <w:b w:val="0"/>
          <w:sz w:val="24"/>
          <w:szCs w:val="24"/>
        </w:rPr>
        <w:t>号验资报告，并向中国证监会报送了基金备案材料。基金合同于</w:t>
      </w:r>
      <w:r>
        <w:rPr>
          <w:rFonts w:ascii="Times New Roman" w:hAnsi="宋体"/>
          <w:b w:val="0"/>
          <w:sz w:val="24"/>
          <w:szCs w:val="24"/>
        </w:rPr>
        <w:t>2015</w:t>
      </w:r>
      <w:r>
        <w:rPr>
          <w:rFonts w:ascii="Times New Roman" w:hAnsi="宋体" w:hint="eastAsia"/>
          <w:b w:val="0"/>
          <w:sz w:val="24"/>
          <w:szCs w:val="24"/>
        </w:rPr>
        <w:t>年</w:t>
      </w:r>
      <w:r>
        <w:rPr>
          <w:rFonts w:ascii="Times New Roman" w:hAnsi="宋体"/>
          <w:b w:val="0"/>
          <w:sz w:val="24"/>
          <w:szCs w:val="24"/>
        </w:rPr>
        <w:t>8</w:t>
      </w:r>
      <w:r>
        <w:rPr>
          <w:rFonts w:ascii="Times New Roman" w:hAnsi="宋体" w:hint="eastAsia"/>
          <w:b w:val="0"/>
          <w:sz w:val="24"/>
          <w:szCs w:val="24"/>
        </w:rPr>
        <w:t>月</w:t>
      </w:r>
      <w:r>
        <w:rPr>
          <w:rFonts w:ascii="Times New Roman" w:hAnsi="宋体"/>
          <w:b w:val="0"/>
          <w:sz w:val="24"/>
          <w:szCs w:val="24"/>
        </w:rPr>
        <w:t>6</w:t>
      </w:r>
      <w:r>
        <w:rPr>
          <w:rFonts w:ascii="Times New Roman" w:hAnsi="宋体" w:hint="eastAsia"/>
          <w:b w:val="0"/>
          <w:sz w:val="24"/>
          <w:szCs w:val="24"/>
        </w:rPr>
        <w:t>日正式生效。本基金的运作方式为契约型开放式，存续期限不定。本基金设立时募集的扣除认购费后的实收基金</w:t>
      </w:r>
      <w:r>
        <w:rPr>
          <w:rFonts w:ascii="Times New Roman" w:hAnsi="宋体"/>
          <w:b w:val="0"/>
          <w:sz w:val="24"/>
          <w:szCs w:val="24"/>
        </w:rPr>
        <w:t>(</w:t>
      </w:r>
      <w:r>
        <w:rPr>
          <w:rFonts w:ascii="Times New Roman" w:hAnsi="宋体" w:hint="eastAsia"/>
          <w:b w:val="0"/>
          <w:sz w:val="24"/>
          <w:szCs w:val="24"/>
        </w:rPr>
        <w:t>本金</w:t>
      </w:r>
      <w:r>
        <w:rPr>
          <w:rFonts w:ascii="Times New Roman" w:hAnsi="宋体"/>
          <w:b w:val="0"/>
          <w:sz w:val="24"/>
          <w:szCs w:val="24"/>
        </w:rPr>
        <w:t>)</w:t>
      </w:r>
      <w:r>
        <w:rPr>
          <w:rFonts w:ascii="Times New Roman" w:hAnsi="宋体" w:hint="eastAsia"/>
          <w:b w:val="0"/>
          <w:sz w:val="24"/>
          <w:szCs w:val="24"/>
        </w:rPr>
        <w:t>为人民币</w:t>
      </w:r>
      <w:r>
        <w:rPr>
          <w:rFonts w:ascii="Times New Roman" w:hAnsi="宋体"/>
          <w:b w:val="0"/>
          <w:sz w:val="24"/>
          <w:szCs w:val="24"/>
        </w:rPr>
        <w:t>2,997,476,514.14</w:t>
      </w:r>
      <w:r>
        <w:rPr>
          <w:rFonts w:ascii="Times New Roman" w:hAnsi="宋体" w:hint="eastAsia"/>
          <w:b w:val="0"/>
          <w:sz w:val="24"/>
          <w:szCs w:val="24"/>
        </w:rPr>
        <w:t>元，募集资金在募集期间产生的利息为人民币</w:t>
      </w:r>
      <w:r>
        <w:rPr>
          <w:rFonts w:ascii="Times New Roman" w:hAnsi="宋体"/>
          <w:b w:val="0"/>
          <w:sz w:val="24"/>
          <w:szCs w:val="24"/>
        </w:rPr>
        <w:t>361,313.35</w:t>
      </w:r>
      <w:r>
        <w:rPr>
          <w:rFonts w:ascii="Times New Roman" w:hAnsi="宋体" w:hint="eastAsia"/>
          <w:b w:val="0"/>
          <w:sz w:val="24"/>
          <w:szCs w:val="24"/>
        </w:rPr>
        <w:t>元，以上收到的实收基金（本息）共计人民币</w:t>
      </w:r>
      <w:r>
        <w:rPr>
          <w:rFonts w:ascii="Times New Roman" w:hAnsi="宋体"/>
          <w:b w:val="0"/>
          <w:sz w:val="24"/>
          <w:szCs w:val="24"/>
        </w:rPr>
        <w:t>2,997,837,827.49</w:t>
      </w:r>
      <w:r>
        <w:rPr>
          <w:rFonts w:ascii="Times New Roman" w:hAnsi="宋体" w:hint="eastAsia"/>
          <w:b w:val="0"/>
          <w:sz w:val="24"/>
          <w:szCs w:val="24"/>
        </w:rPr>
        <w:t>元，折合</w:t>
      </w:r>
      <w:r>
        <w:rPr>
          <w:rFonts w:ascii="Times New Roman" w:hAnsi="宋体"/>
          <w:b w:val="0"/>
          <w:sz w:val="24"/>
          <w:szCs w:val="24"/>
        </w:rPr>
        <w:t>2,997,837,827.49</w:t>
      </w:r>
      <w:r>
        <w:rPr>
          <w:rFonts w:ascii="Times New Roman" w:hAnsi="宋体" w:hint="eastAsia"/>
          <w:b w:val="0"/>
          <w:sz w:val="24"/>
          <w:szCs w:val="24"/>
        </w:rPr>
        <w:t>份基金份额。本基金的基金管理人及注册登记机构为永赢基金管理有限公司，基金托管人为中信证券股份有限公司。</w:t>
      </w:r>
    </w:p>
    <w:p w:rsidR="00F56D7A" w:rsidRDefault="00F56D7A">
      <w:pPr>
        <w:autoSpaceDE w:val="0"/>
        <w:autoSpaceDN w:val="0"/>
        <w:adjustRightInd w:val="0"/>
        <w:jc w:val="left"/>
        <w:rPr>
          <w:rFonts w:ascii="Times New Roman" w:eastAsia="宋体" w:hAnsi="宋体" w:cs="Times New Roman"/>
          <w:bCs/>
          <w:sz w:val="24"/>
          <w:szCs w:val="24"/>
        </w:rPr>
      </w:pP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根据《永赢量化混合型发起式证券投资基金基金合同》（以下简称“《基金合同》”）第五部分“基金备案”第三条约定：“基金合同生效满</w:t>
      </w:r>
      <w:r>
        <w:rPr>
          <w:rFonts w:ascii="Times New Roman" w:hAnsi="宋体"/>
          <w:b w:val="0"/>
          <w:sz w:val="24"/>
          <w:szCs w:val="24"/>
        </w:rPr>
        <w:t>3</w:t>
      </w:r>
      <w:r>
        <w:rPr>
          <w:rFonts w:ascii="Times New Roman" w:hAnsi="宋体" w:hint="eastAsia"/>
          <w:b w:val="0"/>
          <w:sz w:val="24"/>
          <w:szCs w:val="24"/>
        </w:rPr>
        <w:t>年之日（自基金合同生效之日起</w:t>
      </w:r>
      <w:r>
        <w:rPr>
          <w:rFonts w:ascii="Times New Roman" w:hAnsi="宋体"/>
          <w:b w:val="0"/>
          <w:sz w:val="24"/>
          <w:szCs w:val="24"/>
        </w:rPr>
        <w:t xml:space="preserve"> 3</w:t>
      </w:r>
      <w:r>
        <w:rPr>
          <w:rFonts w:ascii="Times New Roman" w:hAnsi="宋体" w:hint="eastAsia"/>
          <w:b w:val="0"/>
          <w:sz w:val="24"/>
          <w:szCs w:val="24"/>
        </w:rPr>
        <w:t>年后的对应日，若该日为非工作日则顺延至下一工作日），若基金资产净值低于</w:t>
      </w:r>
      <w:r>
        <w:rPr>
          <w:rFonts w:ascii="Times New Roman" w:hAnsi="宋体"/>
          <w:b w:val="0"/>
          <w:sz w:val="24"/>
          <w:szCs w:val="24"/>
        </w:rPr>
        <w:t>2</w:t>
      </w:r>
      <w:r>
        <w:rPr>
          <w:rFonts w:ascii="Times New Roman" w:hAnsi="宋体" w:hint="eastAsia"/>
          <w:b w:val="0"/>
          <w:sz w:val="24"/>
          <w:szCs w:val="24"/>
        </w:rPr>
        <w:t>亿元，本基金合同自动终止，且不得通过召开基金份额持有人大会延续基金合同期限。”</w:t>
      </w:r>
    </w:p>
    <w:p w:rsidR="00F56D7A" w:rsidRDefault="00F56D7A">
      <w:pPr>
        <w:pStyle w:val="a9"/>
        <w:spacing w:before="0" w:after="0" w:line="360" w:lineRule="auto"/>
        <w:ind w:firstLineChars="200" w:firstLine="480"/>
        <w:jc w:val="both"/>
        <w:rPr>
          <w:rFonts w:ascii="Times New Roman" w:hAnsi="宋体"/>
          <w:b w:val="0"/>
          <w:sz w:val="24"/>
          <w:szCs w:val="24"/>
        </w:rPr>
      </w:pP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本基金基金合同生效日为</w:t>
      </w:r>
      <w:r>
        <w:rPr>
          <w:rFonts w:ascii="Times New Roman" w:hAnsi="宋体" w:hint="eastAsia"/>
          <w:b w:val="0"/>
          <w:sz w:val="24"/>
          <w:szCs w:val="24"/>
        </w:rPr>
        <w:t>2015</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hint="eastAsia"/>
          <w:b w:val="0"/>
          <w:sz w:val="24"/>
          <w:szCs w:val="24"/>
        </w:rPr>
        <w:t>6</w:t>
      </w:r>
      <w:r>
        <w:rPr>
          <w:rFonts w:ascii="Times New Roman" w:hAnsi="宋体" w:hint="eastAsia"/>
          <w:b w:val="0"/>
          <w:sz w:val="24"/>
          <w:szCs w:val="24"/>
        </w:rPr>
        <w:t>日，基金合同生效满</w:t>
      </w:r>
      <w:r>
        <w:rPr>
          <w:rFonts w:ascii="Times New Roman" w:hAnsi="宋体" w:hint="eastAsia"/>
          <w:b w:val="0"/>
          <w:sz w:val="24"/>
          <w:szCs w:val="24"/>
        </w:rPr>
        <w:t>3</w:t>
      </w:r>
      <w:r>
        <w:rPr>
          <w:rFonts w:ascii="Times New Roman" w:hAnsi="宋体" w:hint="eastAsia"/>
          <w:b w:val="0"/>
          <w:sz w:val="24"/>
          <w:szCs w:val="24"/>
        </w:rPr>
        <w:t>年</w:t>
      </w:r>
      <w:r>
        <w:rPr>
          <w:rFonts w:ascii="Times New Roman" w:hAnsi="宋体"/>
          <w:b w:val="0"/>
          <w:sz w:val="24"/>
          <w:szCs w:val="24"/>
        </w:rPr>
        <w:t>之日</w:t>
      </w:r>
      <w:r>
        <w:rPr>
          <w:rFonts w:ascii="Times New Roman" w:hAnsi="宋体" w:hint="eastAsia"/>
          <w:b w:val="0"/>
          <w:sz w:val="24"/>
          <w:szCs w:val="24"/>
        </w:rPr>
        <w:t>为</w:t>
      </w:r>
      <w:r>
        <w:rPr>
          <w:rFonts w:ascii="Times New Roman" w:hAnsi="宋体" w:hint="eastAsia"/>
          <w:b w:val="0"/>
          <w:sz w:val="24"/>
          <w:szCs w:val="24"/>
        </w:rPr>
        <w:t>2018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hint="eastAsia"/>
          <w:b w:val="0"/>
          <w:sz w:val="24"/>
          <w:szCs w:val="24"/>
        </w:rPr>
        <w:t>6</w:t>
      </w:r>
      <w:r>
        <w:rPr>
          <w:rFonts w:ascii="Times New Roman" w:hAnsi="宋体" w:hint="eastAsia"/>
          <w:b w:val="0"/>
          <w:sz w:val="24"/>
          <w:szCs w:val="24"/>
        </w:rPr>
        <w:t>日。截至</w:t>
      </w:r>
      <w:r>
        <w:rPr>
          <w:rFonts w:ascii="Times New Roman" w:hAnsi="宋体" w:hint="eastAsia"/>
          <w:b w:val="0"/>
          <w:sz w:val="24"/>
          <w:szCs w:val="24"/>
        </w:rPr>
        <w:t>2018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hint="eastAsia"/>
          <w:b w:val="0"/>
          <w:sz w:val="24"/>
          <w:szCs w:val="24"/>
        </w:rPr>
        <w:t>6</w:t>
      </w:r>
      <w:r>
        <w:rPr>
          <w:rFonts w:ascii="Times New Roman" w:hAnsi="宋体" w:hint="eastAsia"/>
          <w:b w:val="0"/>
          <w:sz w:val="24"/>
          <w:szCs w:val="24"/>
        </w:rPr>
        <w:t>日日终，本基金基金资产净值低于人民币</w:t>
      </w:r>
      <w:r>
        <w:rPr>
          <w:rFonts w:ascii="Times New Roman" w:hAnsi="宋体" w:hint="eastAsia"/>
          <w:b w:val="0"/>
          <w:sz w:val="24"/>
          <w:szCs w:val="24"/>
        </w:rPr>
        <w:t>2</w:t>
      </w:r>
      <w:r>
        <w:rPr>
          <w:rFonts w:ascii="Times New Roman" w:hAnsi="宋体" w:hint="eastAsia"/>
          <w:b w:val="0"/>
          <w:sz w:val="24"/>
          <w:szCs w:val="24"/>
        </w:rPr>
        <w:t>亿元。根据本基金基金合同的约定，本基金管理人决定本基金最后运作日为</w:t>
      </w:r>
      <w:r>
        <w:rPr>
          <w:rFonts w:ascii="Times New Roman" w:hAnsi="宋体" w:hint="eastAsia"/>
          <w:b w:val="0"/>
          <w:sz w:val="24"/>
          <w:szCs w:val="24"/>
        </w:rPr>
        <w:t>2018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hint="eastAsia"/>
          <w:b w:val="0"/>
          <w:sz w:val="24"/>
          <w:szCs w:val="24"/>
        </w:rPr>
        <w:t>6</w:t>
      </w:r>
      <w:r>
        <w:rPr>
          <w:rFonts w:ascii="Times New Roman" w:hAnsi="宋体" w:hint="eastAsia"/>
          <w:b w:val="0"/>
          <w:sz w:val="24"/>
          <w:szCs w:val="24"/>
        </w:rPr>
        <w:t>日，自</w:t>
      </w:r>
      <w:r>
        <w:rPr>
          <w:rFonts w:ascii="Times New Roman" w:hAnsi="宋体" w:hint="eastAsia"/>
          <w:b w:val="0"/>
          <w:sz w:val="24"/>
          <w:szCs w:val="24"/>
        </w:rPr>
        <w:t>2018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hint="eastAsia"/>
          <w:b w:val="0"/>
          <w:sz w:val="24"/>
          <w:szCs w:val="24"/>
        </w:rPr>
        <w:t>7</w:t>
      </w:r>
      <w:r>
        <w:rPr>
          <w:rFonts w:ascii="Times New Roman" w:hAnsi="宋体" w:hint="eastAsia"/>
          <w:b w:val="0"/>
          <w:sz w:val="24"/>
          <w:szCs w:val="24"/>
        </w:rPr>
        <w:t>日进入清算期，无需召开基金份额持有人大会。</w:t>
      </w:r>
    </w:p>
    <w:p w:rsidR="00F56D7A" w:rsidRDefault="00F56D7A">
      <w:pPr>
        <w:pStyle w:val="a9"/>
        <w:spacing w:before="0" w:after="0" w:line="360" w:lineRule="auto"/>
        <w:ind w:firstLineChars="200" w:firstLine="480"/>
        <w:jc w:val="both"/>
        <w:rPr>
          <w:rFonts w:ascii="Times New Roman" w:hAnsi="宋体"/>
          <w:b w:val="0"/>
          <w:sz w:val="24"/>
          <w:szCs w:val="24"/>
        </w:rPr>
      </w:pPr>
    </w:p>
    <w:p w:rsidR="00F56D7A" w:rsidRDefault="00F56D7A">
      <w:pPr>
        <w:pStyle w:val="a9"/>
        <w:spacing w:before="0" w:after="0" w:line="360" w:lineRule="auto"/>
        <w:ind w:firstLineChars="200" w:firstLine="480"/>
        <w:jc w:val="both"/>
        <w:rPr>
          <w:rFonts w:ascii="Times New Roman" w:hAnsi="宋体"/>
          <w:b w:val="0"/>
          <w:sz w:val="24"/>
          <w:szCs w:val="24"/>
        </w:rPr>
      </w:pPr>
    </w:p>
    <w:p w:rsidR="00F56D7A" w:rsidRDefault="00F56D7A">
      <w:pPr>
        <w:pStyle w:val="a9"/>
        <w:spacing w:before="0" w:after="0" w:line="360" w:lineRule="auto"/>
        <w:ind w:firstLineChars="200" w:firstLine="480"/>
        <w:jc w:val="both"/>
        <w:rPr>
          <w:rFonts w:ascii="Times New Roman" w:hAnsi="宋体"/>
          <w:b w:val="0"/>
          <w:sz w:val="24"/>
          <w:szCs w:val="24"/>
        </w:rPr>
      </w:pPr>
    </w:p>
    <w:p w:rsidR="00F56D7A" w:rsidRDefault="00F56D7A">
      <w:pPr>
        <w:pStyle w:val="a9"/>
        <w:spacing w:before="0" w:after="0" w:line="360" w:lineRule="auto"/>
        <w:ind w:firstLineChars="200" w:firstLine="480"/>
        <w:jc w:val="both"/>
        <w:rPr>
          <w:rFonts w:ascii="Times New Roman" w:hAnsi="宋体"/>
          <w:b w:val="0"/>
          <w:sz w:val="24"/>
          <w:szCs w:val="24"/>
        </w:rPr>
      </w:pPr>
    </w:p>
    <w:p w:rsidR="00F56D7A" w:rsidRDefault="00F56D7A">
      <w:pPr>
        <w:rPr>
          <w:rFonts w:ascii="Times New Roman" w:eastAsia="宋体" w:hAnsi="宋体" w:cs="Times New Roman"/>
          <w:bCs/>
          <w:sz w:val="24"/>
          <w:szCs w:val="24"/>
        </w:rPr>
      </w:pPr>
    </w:p>
    <w:p w:rsidR="001C575F" w:rsidRDefault="001C575F">
      <w:pPr>
        <w:rPr>
          <w:rFonts w:ascii="Times New Roman" w:eastAsia="宋体" w:hAnsi="宋体" w:cs="Times New Roman"/>
          <w:bCs/>
          <w:sz w:val="24"/>
          <w:szCs w:val="24"/>
        </w:rPr>
      </w:pPr>
      <w:bookmarkStart w:id="0" w:name="_GoBack"/>
      <w:bookmarkEnd w:id="0"/>
    </w:p>
    <w:p w:rsidR="001C575F" w:rsidRDefault="001C575F">
      <w:pPr>
        <w:rPr>
          <w:rFonts w:ascii="Times New Roman" w:eastAsia="宋体" w:hAnsi="宋体" w:cs="Times New Roman"/>
          <w:bCs/>
          <w:sz w:val="24"/>
          <w:szCs w:val="24"/>
        </w:rPr>
      </w:pPr>
    </w:p>
    <w:p w:rsidR="001C575F" w:rsidRDefault="001C575F">
      <w:pPr>
        <w:rPr>
          <w:rFonts w:ascii="Times New Roman" w:eastAsia="宋体" w:hAnsi="宋体" w:cs="Times New Roman"/>
          <w:bCs/>
          <w:sz w:val="24"/>
          <w:szCs w:val="24"/>
        </w:rPr>
      </w:pPr>
    </w:p>
    <w:p w:rsidR="001C575F" w:rsidRDefault="001C575F">
      <w:pPr>
        <w:rPr>
          <w:rFonts w:ascii="Times New Roman" w:eastAsia="宋体" w:hAnsi="宋体" w:cs="Times New Roman"/>
          <w:bCs/>
          <w:sz w:val="24"/>
          <w:szCs w:val="24"/>
        </w:rPr>
      </w:pPr>
    </w:p>
    <w:p w:rsidR="001C575F" w:rsidRDefault="001C575F">
      <w:pPr>
        <w:rPr>
          <w:rFonts w:ascii="Times New Roman" w:eastAsia="宋体" w:hAnsi="宋体" w:cs="Times New Roman"/>
          <w:bCs/>
          <w:sz w:val="24"/>
          <w:szCs w:val="24"/>
        </w:rPr>
      </w:pPr>
    </w:p>
    <w:p w:rsidR="001C575F" w:rsidRDefault="001C575F">
      <w:pPr>
        <w:rPr>
          <w:rFonts w:ascii="Times New Roman" w:eastAsia="宋体" w:hAnsi="宋体" w:cs="Times New Roman"/>
          <w:bCs/>
          <w:sz w:val="24"/>
          <w:szCs w:val="24"/>
        </w:rPr>
      </w:pPr>
    </w:p>
    <w:p w:rsidR="00F56D7A" w:rsidRDefault="00F56D7A"/>
    <w:p w:rsidR="00F56D7A" w:rsidRDefault="006E3837">
      <w:pPr>
        <w:pStyle w:val="a9"/>
        <w:spacing w:before="0" w:after="0" w:line="360" w:lineRule="auto"/>
        <w:ind w:firstLineChars="200" w:firstLine="562"/>
        <w:jc w:val="both"/>
        <w:rPr>
          <w:rFonts w:ascii="Times New Roman" w:hAnsi="宋体"/>
          <w:sz w:val="28"/>
          <w:szCs w:val="28"/>
        </w:rPr>
      </w:pPr>
      <w:r>
        <w:rPr>
          <w:rFonts w:ascii="Times New Roman" w:hAnsi="宋体" w:hint="eastAsia"/>
          <w:sz w:val="28"/>
          <w:szCs w:val="28"/>
        </w:rPr>
        <w:t>二、基金</w:t>
      </w:r>
      <w:r>
        <w:rPr>
          <w:rFonts w:ascii="Times New Roman" w:hAnsi="宋体"/>
          <w:sz w:val="28"/>
          <w:szCs w:val="28"/>
        </w:rPr>
        <w:t>概况</w:t>
      </w:r>
    </w:p>
    <w:p w:rsidR="00F56D7A" w:rsidRDefault="00F56D7A">
      <w:pPr>
        <w:pStyle w:val="a9"/>
        <w:spacing w:before="0" w:after="0" w:line="360" w:lineRule="auto"/>
        <w:ind w:firstLineChars="200" w:firstLine="480"/>
        <w:jc w:val="both"/>
        <w:rPr>
          <w:rFonts w:ascii="Times New Roman" w:hAnsi="宋体"/>
          <w:b w:val="0"/>
          <w:sz w:val="24"/>
          <w:szCs w:val="24"/>
        </w:rPr>
      </w:pP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b w:val="0"/>
          <w:sz w:val="24"/>
          <w:szCs w:val="24"/>
        </w:rPr>
        <w:t>1</w:t>
      </w:r>
      <w:r>
        <w:rPr>
          <w:rFonts w:ascii="Times New Roman" w:hAnsi="宋体" w:hint="eastAsia"/>
          <w:b w:val="0"/>
          <w:sz w:val="24"/>
          <w:szCs w:val="24"/>
        </w:rPr>
        <w:t>、基金名称：永赢量化混合型发起式证券投资基金。基金简称：永赢量化混合发起式。基金代码：</w:t>
      </w:r>
      <w:r>
        <w:rPr>
          <w:rFonts w:ascii="Times New Roman" w:hAnsi="宋体" w:hint="eastAsia"/>
          <w:b w:val="0"/>
          <w:sz w:val="24"/>
          <w:szCs w:val="24"/>
        </w:rPr>
        <w:t>001565</w:t>
      </w: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b w:val="0"/>
          <w:sz w:val="24"/>
          <w:szCs w:val="24"/>
        </w:rPr>
        <w:t>2</w:t>
      </w:r>
      <w:r>
        <w:rPr>
          <w:rFonts w:ascii="Times New Roman" w:hAnsi="宋体" w:hint="eastAsia"/>
          <w:b w:val="0"/>
          <w:sz w:val="24"/>
          <w:szCs w:val="24"/>
        </w:rPr>
        <w:t>、基金运作方式：契约型开放式</w:t>
      </w: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b w:val="0"/>
          <w:sz w:val="24"/>
          <w:szCs w:val="24"/>
        </w:rPr>
        <w:t>3</w:t>
      </w:r>
      <w:r>
        <w:rPr>
          <w:rFonts w:ascii="Times New Roman" w:hAnsi="宋体" w:hint="eastAsia"/>
          <w:b w:val="0"/>
          <w:sz w:val="24"/>
          <w:szCs w:val="24"/>
        </w:rPr>
        <w:t>、基金合同生效日：</w:t>
      </w:r>
      <w:r>
        <w:rPr>
          <w:rFonts w:ascii="Times New Roman" w:hAnsi="宋体"/>
          <w:b w:val="0"/>
          <w:sz w:val="24"/>
          <w:szCs w:val="24"/>
        </w:rPr>
        <w:t>2015</w:t>
      </w:r>
      <w:r>
        <w:rPr>
          <w:rFonts w:ascii="Times New Roman" w:hAnsi="宋体" w:hint="eastAsia"/>
          <w:b w:val="0"/>
          <w:sz w:val="24"/>
          <w:szCs w:val="24"/>
        </w:rPr>
        <w:t>年</w:t>
      </w:r>
      <w:r>
        <w:rPr>
          <w:rFonts w:ascii="Times New Roman" w:hAnsi="宋体"/>
          <w:b w:val="0"/>
          <w:sz w:val="24"/>
          <w:szCs w:val="24"/>
        </w:rPr>
        <w:t>8</w:t>
      </w:r>
      <w:r>
        <w:rPr>
          <w:rFonts w:ascii="Times New Roman" w:hAnsi="宋体" w:hint="eastAsia"/>
          <w:b w:val="0"/>
          <w:sz w:val="24"/>
          <w:szCs w:val="24"/>
        </w:rPr>
        <w:t>月</w:t>
      </w:r>
      <w:r>
        <w:rPr>
          <w:rFonts w:ascii="Times New Roman" w:hAnsi="宋体"/>
          <w:b w:val="0"/>
          <w:sz w:val="24"/>
          <w:szCs w:val="24"/>
        </w:rPr>
        <w:t>6</w:t>
      </w:r>
      <w:r>
        <w:rPr>
          <w:rFonts w:ascii="Times New Roman" w:hAnsi="宋体" w:hint="eastAsia"/>
          <w:b w:val="0"/>
          <w:sz w:val="24"/>
          <w:szCs w:val="24"/>
        </w:rPr>
        <w:t>日</w:t>
      </w: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b w:val="0"/>
          <w:sz w:val="24"/>
          <w:szCs w:val="24"/>
        </w:rPr>
        <w:t>4</w:t>
      </w:r>
      <w:r>
        <w:rPr>
          <w:rFonts w:ascii="Times New Roman" w:hAnsi="宋体" w:hint="eastAsia"/>
          <w:b w:val="0"/>
          <w:sz w:val="24"/>
          <w:szCs w:val="24"/>
        </w:rPr>
        <w:t>、基金运作终止日：</w:t>
      </w:r>
      <w:r>
        <w:rPr>
          <w:rFonts w:ascii="Times New Roman" w:hAnsi="宋体"/>
          <w:b w:val="0"/>
          <w:sz w:val="24"/>
          <w:szCs w:val="24"/>
        </w:rPr>
        <w:t xml:space="preserve">2018 </w:t>
      </w:r>
      <w:r>
        <w:rPr>
          <w:rFonts w:ascii="Times New Roman" w:hAnsi="宋体" w:hint="eastAsia"/>
          <w:b w:val="0"/>
          <w:sz w:val="24"/>
          <w:szCs w:val="24"/>
        </w:rPr>
        <w:t>年</w:t>
      </w:r>
      <w:r>
        <w:rPr>
          <w:rFonts w:ascii="Times New Roman" w:hAnsi="宋体"/>
          <w:b w:val="0"/>
          <w:sz w:val="24"/>
          <w:szCs w:val="24"/>
        </w:rPr>
        <w:t>8</w:t>
      </w:r>
      <w:r>
        <w:rPr>
          <w:rFonts w:ascii="Times New Roman" w:hAnsi="宋体" w:hint="eastAsia"/>
          <w:b w:val="0"/>
          <w:sz w:val="24"/>
          <w:szCs w:val="24"/>
        </w:rPr>
        <w:t>月</w:t>
      </w:r>
      <w:r>
        <w:rPr>
          <w:rFonts w:ascii="Times New Roman" w:hAnsi="宋体"/>
          <w:b w:val="0"/>
          <w:sz w:val="24"/>
          <w:szCs w:val="24"/>
        </w:rPr>
        <w:t>6</w:t>
      </w:r>
      <w:r>
        <w:rPr>
          <w:rFonts w:ascii="Times New Roman" w:hAnsi="宋体" w:hint="eastAsia"/>
          <w:b w:val="0"/>
          <w:sz w:val="24"/>
          <w:szCs w:val="24"/>
        </w:rPr>
        <w:t>日。基金份额总额：</w:t>
      </w:r>
      <w:r>
        <w:rPr>
          <w:rFonts w:ascii="Times New Roman" w:hAnsi="宋体" w:hint="eastAsia"/>
          <w:b w:val="0"/>
          <w:sz w:val="24"/>
          <w:szCs w:val="24"/>
        </w:rPr>
        <w:t>19,950,671.22</w:t>
      </w:r>
      <w:r>
        <w:rPr>
          <w:rFonts w:ascii="Times New Roman" w:hAnsi="宋体" w:hint="eastAsia"/>
          <w:b w:val="0"/>
          <w:sz w:val="24"/>
          <w:szCs w:val="24"/>
        </w:rPr>
        <w:t>份，基金单位净值为人民币</w:t>
      </w:r>
      <w:r>
        <w:rPr>
          <w:rFonts w:ascii="Times New Roman" w:hAnsi="宋体" w:hint="eastAsia"/>
          <w:b w:val="0"/>
          <w:sz w:val="24"/>
          <w:szCs w:val="24"/>
        </w:rPr>
        <w:t>0.7794</w:t>
      </w:r>
      <w:r>
        <w:rPr>
          <w:rFonts w:ascii="Times New Roman" w:hAnsi="宋体" w:hint="eastAsia"/>
          <w:b w:val="0"/>
          <w:sz w:val="24"/>
          <w:szCs w:val="24"/>
        </w:rPr>
        <w:t>元。</w:t>
      </w: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b w:val="0"/>
          <w:sz w:val="24"/>
          <w:szCs w:val="24"/>
        </w:rPr>
        <w:t>5</w:t>
      </w:r>
      <w:r>
        <w:rPr>
          <w:rFonts w:ascii="Times New Roman" w:hAnsi="宋体" w:hint="eastAsia"/>
          <w:b w:val="0"/>
          <w:sz w:val="24"/>
          <w:szCs w:val="24"/>
        </w:rPr>
        <w:t>、投资目标：本基金通过灵活应用多种绝对收益策略，对冲市场系统性风险，在充分控制基金财产风险和保证基金财产流动性的基础上，追求超越业绩比较基准的投资回报，力争实现基金财产的长期稳健增值。</w:t>
      </w: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b w:val="0"/>
          <w:sz w:val="24"/>
          <w:szCs w:val="24"/>
        </w:rPr>
        <w:t>6</w:t>
      </w:r>
      <w:r>
        <w:rPr>
          <w:rFonts w:ascii="Times New Roman" w:hAnsi="宋体" w:hint="eastAsia"/>
          <w:b w:val="0"/>
          <w:sz w:val="24"/>
          <w:szCs w:val="24"/>
        </w:rPr>
        <w:t>、投资策略：</w:t>
      </w: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本基金采用多因子选股策略为主，辅以事件驱动以及宏观择时等其他绝对收益策略，对冲系统性风险，力争实现稳定的绝对回报。</w:t>
      </w:r>
      <w:r>
        <w:rPr>
          <w:rFonts w:ascii="Times New Roman" w:hAnsi="宋体" w:hint="eastAsia"/>
          <w:b w:val="0"/>
          <w:sz w:val="24"/>
          <w:szCs w:val="24"/>
        </w:rPr>
        <w:br/>
      </w:r>
      <w:r>
        <w:rPr>
          <w:rFonts w:ascii="Times New Roman" w:hAnsi="宋体" w:hint="eastAsia"/>
          <w:b w:val="0"/>
          <w:sz w:val="24"/>
          <w:szCs w:val="24"/>
        </w:rPr>
        <w:t>（</w:t>
      </w:r>
      <w:r>
        <w:rPr>
          <w:rFonts w:ascii="Times New Roman" w:hAnsi="宋体" w:hint="eastAsia"/>
          <w:b w:val="0"/>
          <w:sz w:val="24"/>
          <w:szCs w:val="24"/>
        </w:rPr>
        <w:t>1</w:t>
      </w:r>
      <w:r>
        <w:rPr>
          <w:rFonts w:ascii="Times New Roman" w:hAnsi="宋体" w:hint="eastAsia"/>
          <w:b w:val="0"/>
          <w:sz w:val="24"/>
          <w:szCs w:val="24"/>
        </w:rPr>
        <w:t>）多因子选股策略</w:t>
      </w:r>
      <w:r>
        <w:rPr>
          <w:rFonts w:ascii="Times New Roman" w:hAnsi="宋体" w:hint="eastAsia"/>
          <w:b w:val="0"/>
          <w:sz w:val="24"/>
          <w:szCs w:val="24"/>
        </w:rPr>
        <w:br/>
      </w:r>
      <w:r>
        <w:rPr>
          <w:rFonts w:ascii="Times New Roman" w:hAnsi="宋体" w:hint="eastAsia"/>
          <w:b w:val="0"/>
          <w:sz w:val="24"/>
          <w:szCs w:val="24"/>
        </w:rPr>
        <w:t>  该策略以对中国股票市场较长期的回测研究为基础，运用量化多因子模型框架，结合定性指标和定量指标，综合考虑上市公司基本经营状况和市场对股票的反应两大因素，通过计算市场上所有股票的管理质量、价值、成长变化、市场情绪以及行业特殊因素等量化因子，将计算结果组合成</w:t>
      </w:r>
      <w:r>
        <w:rPr>
          <w:rFonts w:ascii="Times New Roman" w:hAnsi="宋体" w:hint="eastAsia"/>
          <w:b w:val="0"/>
          <w:sz w:val="24"/>
          <w:szCs w:val="24"/>
        </w:rPr>
        <w:t>alpha</w:t>
      </w:r>
      <w:r>
        <w:rPr>
          <w:rFonts w:ascii="Times New Roman" w:hAnsi="宋体" w:hint="eastAsia"/>
          <w:b w:val="0"/>
          <w:sz w:val="24"/>
          <w:szCs w:val="24"/>
        </w:rPr>
        <w:t>模型，同时结合风险模型构建股票现货组合。基金经理根据市场状况及变化对各类信息的重要性做出具有一定前瞻性的判断，适时调整各因子类别的具体组成及权重。</w:t>
      </w:r>
      <w:r>
        <w:rPr>
          <w:rFonts w:ascii="Times New Roman" w:hAnsi="宋体" w:hint="eastAsia"/>
          <w:b w:val="0"/>
          <w:sz w:val="24"/>
          <w:szCs w:val="24"/>
        </w:rPr>
        <w:br/>
      </w:r>
      <w:r>
        <w:rPr>
          <w:rFonts w:ascii="Times New Roman" w:hAnsi="宋体" w:hint="eastAsia"/>
          <w:b w:val="0"/>
          <w:sz w:val="24"/>
          <w:szCs w:val="24"/>
        </w:rPr>
        <w:t>  ①基本面因子</w:t>
      </w:r>
      <w:r>
        <w:rPr>
          <w:rFonts w:ascii="Times New Roman" w:hAnsi="宋体" w:hint="eastAsia"/>
          <w:b w:val="0"/>
          <w:sz w:val="24"/>
          <w:szCs w:val="24"/>
        </w:rPr>
        <w:br/>
      </w:r>
      <w:r>
        <w:rPr>
          <w:rFonts w:ascii="Times New Roman" w:hAnsi="宋体" w:hint="eastAsia"/>
          <w:b w:val="0"/>
          <w:sz w:val="24"/>
          <w:szCs w:val="24"/>
        </w:rPr>
        <w:t>  管理质量：利用计算横截面多种比率来判断上市公司的报表质量以及管理能力，例如衡量报表质量的应收应付因子，衡量管理能力的周转率、偿债能力、</w:t>
      </w:r>
      <w:r>
        <w:rPr>
          <w:rFonts w:ascii="Times New Roman" w:hAnsi="宋体" w:hint="eastAsia"/>
          <w:b w:val="0"/>
          <w:sz w:val="24"/>
          <w:szCs w:val="24"/>
        </w:rPr>
        <w:t>ROA</w:t>
      </w:r>
      <w:r>
        <w:rPr>
          <w:rFonts w:ascii="Times New Roman" w:hAnsi="宋体" w:hint="eastAsia"/>
          <w:b w:val="0"/>
          <w:sz w:val="24"/>
          <w:szCs w:val="24"/>
        </w:rPr>
        <w:t>和</w:t>
      </w:r>
      <w:r>
        <w:rPr>
          <w:rFonts w:ascii="Times New Roman" w:hAnsi="宋体" w:hint="eastAsia"/>
          <w:b w:val="0"/>
          <w:sz w:val="24"/>
          <w:szCs w:val="24"/>
        </w:rPr>
        <w:t>ROE</w:t>
      </w:r>
      <w:r>
        <w:rPr>
          <w:rFonts w:ascii="Times New Roman" w:hAnsi="宋体" w:hint="eastAsia"/>
          <w:b w:val="0"/>
          <w:sz w:val="24"/>
          <w:szCs w:val="24"/>
        </w:rPr>
        <w:t>等因子；</w:t>
      </w:r>
      <w:r>
        <w:rPr>
          <w:rFonts w:ascii="Times New Roman" w:hAnsi="宋体" w:hint="eastAsia"/>
          <w:b w:val="0"/>
          <w:sz w:val="24"/>
          <w:szCs w:val="24"/>
        </w:rPr>
        <w:br/>
      </w:r>
      <w:r>
        <w:rPr>
          <w:rFonts w:ascii="Times New Roman" w:hAnsi="宋体" w:hint="eastAsia"/>
          <w:b w:val="0"/>
          <w:sz w:val="24"/>
          <w:szCs w:val="24"/>
        </w:rPr>
        <w:t>  成长变化：通过计算时间序列上各种比率的变化来衡量公司基本面的成长性；</w:t>
      </w:r>
      <w:r>
        <w:rPr>
          <w:rFonts w:ascii="Times New Roman" w:hAnsi="宋体" w:hint="eastAsia"/>
          <w:b w:val="0"/>
          <w:sz w:val="24"/>
          <w:szCs w:val="24"/>
        </w:rPr>
        <w:br/>
      </w:r>
      <w:r>
        <w:rPr>
          <w:rFonts w:ascii="Times New Roman" w:hAnsi="宋体" w:hint="eastAsia"/>
          <w:b w:val="0"/>
          <w:sz w:val="24"/>
          <w:szCs w:val="24"/>
        </w:rPr>
        <w:t>  价值：判断公司的股票价格相对于它的内在价值是否合理。由于内在价值无法直接计算，我们通过计算全市场所有公司的利润、销售量、总资产等多种指标来综合间接反映公司的内在价值。</w:t>
      </w:r>
      <w:r>
        <w:rPr>
          <w:rFonts w:ascii="Times New Roman" w:hAnsi="宋体" w:hint="eastAsia"/>
          <w:b w:val="0"/>
          <w:sz w:val="24"/>
          <w:szCs w:val="24"/>
        </w:rPr>
        <w:br/>
      </w:r>
      <w:r>
        <w:rPr>
          <w:rFonts w:ascii="Times New Roman" w:hAnsi="宋体" w:hint="eastAsia"/>
          <w:b w:val="0"/>
          <w:sz w:val="24"/>
          <w:szCs w:val="24"/>
        </w:rPr>
        <w:t>  ②市场因子</w:t>
      </w:r>
      <w:r>
        <w:rPr>
          <w:rFonts w:ascii="Times New Roman" w:hAnsi="宋体" w:hint="eastAsia"/>
          <w:b w:val="0"/>
          <w:sz w:val="24"/>
          <w:szCs w:val="24"/>
        </w:rPr>
        <w:br/>
      </w:r>
      <w:r>
        <w:rPr>
          <w:rFonts w:ascii="Times New Roman" w:hAnsi="宋体" w:hint="eastAsia"/>
          <w:b w:val="0"/>
          <w:sz w:val="24"/>
          <w:szCs w:val="24"/>
        </w:rPr>
        <w:t>  市场情绪：从技术面的动量、反转、枢轴突破等指标来衡量投资者情绪；</w:t>
      </w: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分析师预测：通过扫描市场上分析师观点的变化来预测市场反应。</w:t>
      </w:r>
      <w:r>
        <w:rPr>
          <w:rFonts w:ascii="Times New Roman" w:hAnsi="宋体" w:hint="eastAsia"/>
          <w:b w:val="0"/>
          <w:sz w:val="24"/>
          <w:szCs w:val="24"/>
        </w:rPr>
        <w:br/>
      </w:r>
      <w:r>
        <w:rPr>
          <w:rFonts w:ascii="Times New Roman" w:hAnsi="宋体" w:hint="eastAsia"/>
          <w:b w:val="0"/>
          <w:sz w:val="24"/>
          <w:szCs w:val="24"/>
        </w:rPr>
        <w:t>（</w:t>
      </w:r>
      <w:r>
        <w:rPr>
          <w:rFonts w:ascii="Times New Roman" w:hAnsi="宋体" w:hint="eastAsia"/>
          <w:b w:val="0"/>
          <w:sz w:val="24"/>
          <w:szCs w:val="24"/>
        </w:rPr>
        <w:t>2</w:t>
      </w:r>
      <w:r>
        <w:rPr>
          <w:rFonts w:ascii="Times New Roman" w:hAnsi="宋体" w:hint="eastAsia"/>
          <w:b w:val="0"/>
          <w:sz w:val="24"/>
          <w:szCs w:val="24"/>
        </w:rPr>
        <w:t>）事件驱动策略</w:t>
      </w:r>
      <w:r>
        <w:rPr>
          <w:rFonts w:ascii="Times New Roman" w:hAnsi="宋体" w:hint="eastAsia"/>
          <w:b w:val="0"/>
          <w:sz w:val="24"/>
          <w:szCs w:val="24"/>
        </w:rPr>
        <w:br/>
      </w:r>
      <w:r>
        <w:rPr>
          <w:rFonts w:ascii="Times New Roman" w:hAnsi="宋体" w:hint="eastAsia"/>
          <w:b w:val="0"/>
          <w:sz w:val="24"/>
          <w:szCs w:val="24"/>
        </w:rPr>
        <w:t>  该策略通过对某些公司事件和市场事件的研究，分析事件对股价造成波动的方向，以赚取超额收益。此外，该策略还利用市场上存在的金融产品定价非有效性，实现套利收益。</w:t>
      </w:r>
      <w:r>
        <w:rPr>
          <w:rFonts w:ascii="Times New Roman" w:hAnsi="宋体" w:hint="eastAsia"/>
          <w:b w:val="0"/>
          <w:sz w:val="24"/>
          <w:szCs w:val="24"/>
        </w:rPr>
        <w:br/>
      </w:r>
      <w:r>
        <w:rPr>
          <w:rFonts w:ascii="Times New Roman" w:hAnsi="宋体" w:hint="eastAsia"/>
          <w:b w:val="0"/>
          <w:sz w:val="24"/>
          <w:szCs w:val="24"/>
        </w:rPr>
        <w:t>（</w:t>
      </w:r>
      <w:r>
        <w:rPr>
          <w:rFonts w:ascii="Times New Roman" w:hAnsi="宋体" w:hint="eastAsia"/>
          <w:b w:val="0"/>
          <w:sz w:val="24"/>
          <w:szCs w:val="24"/>
        </w:rPr>
        <w:t>3</w:t>
      </w:r>
      <w:r>
        <w:rPr>
          <w:rFonts w:ascii="Times New Roman" w:hAnsi="宋体" w:hint="eastAsia"/>
          <w:b w:val="0"/>
          <w:sz w:val="24"/>
          <w:szCs w:val="24"/>
        </w:rPr>
        <w:t>）宏观择时策略</w:t>
      </w:r>
      <w:r>
        <w:rPr>
          <w:rFonts w:ascii="Times New Roman" w:hAnsi="宋体" w:hint="eastAsia"/>
          <w:b w:val="0"/>
          <w:sz w:val="24"/>
          <w:szCs w:val="24"/>
        </w:rPr>
        <w:br/>
      </w:r>
      <w:r>
        <w:rPr>
          <w:rFonts w:ascii="Times New Roman" w:hAnsi="宋体" w:hint="eastAsia"/>
          <w:b w:val="0"/>
          <w:sz w:val="24"/>
          <w:szCs w:val="24"/>
        </w:rPr>
        <w:t>  该策略通过计算和跟踪多种宏观经济变量和市场变量，运用计量经济学方法对未来大盘走势进行预测，为对冲窗口的调节提供参考。</w:t>
      </w:r>
      <w:r>
        <w:rPr>
          <w:rFonts w:ascii="Times New Roman" w:hAnsi="宋体" w:hint="eastAsia"/>
          <w:b w:val="0"/>
          <w:sz w:val="24"/>
          <w:szCs w:val="24"/>
        </w:rPr>
        <w:br/>
      </w:r>
      <w:r>
        <w:rPr>
          <w:rFonts w:ascii="Times New Roman" w:hAnsi="宋体" w:hint="eastAsia"/>
          <w:b w:val="0"/>
          <w:sz w:val="24"/>
          <w:szCs w:val="24"/>
        </w:rPr>
        <w:t>（</w:t>
      </w:r>
      <w:r>
        <w:rPr>
          <w:rFonts w:ascii="Times New Roman" w:hAnsi="宋体" w:hint="eastAsia"/>
          <w:b w:val="0"/>
          <w:sz w:val="24"/>
          <w:szCs w:val="24"/>
        </w:rPr>
        <w:t>4</w:t>
      </w:r>
      <w:r>
        <w:rPr>
          <w:rFonts w:ascii="Times New Roman" w:hAnsi="宋体" w:hint="eastAsia"/>
          <w:b w:val="0"/>
          <w:sz w:val="24"/>
          <w:szCs w:val="24"/>
        </w:rPr>
        <w:t>）市场中性投资策略</w:t>
      </w:r>
      <w:r>
        <w:rPr>
          <w:rFonts w:ascii="Times New Roman" w:hAnsi="宋体" w:hint="eastAsia"/>
          <w:b w:val="0"/>
          <w:sz w:val="24"/>
          <w:szCs w:val="24"/>
        </w:rPr>
        <w:br/>
      </w:r>
      <w:r>
        <w:rPr>
          <w:rFonts w:ascii="Times New Roman" w:hAnsi="宋体" w:hint="eastAsia"/>
          <w:b w:val="0"/>
          <w:sz w:val="24"/>
          <w:szCs w:val="24"/>
        </w:rPr>
        <w:t>该策略主要运用股指期货合约与股票构建投资组合，规避市场系统性风险。在行业中性、市场中性的理念下，本基金根据股票多头组合的市值计算估值期货合约卖单量，并根据市场变化对股指期货合约卖单量进行动态跟踪并适时调整。同时，综合考虑定价关系、套利机会、流动性以及保证金要求等因素，在不同股指期货合约之间进行动态配置，以求取得与市场波动相关性较低的绝对收益。</w:t>
      </w:r>
      <w:r>
        <w:rPr>
          <w:rFonts w:ascii="Times New Roman" w:hAnsi="宋体" w:hint="eastAsia"/>
          <w:b w:val="0"/>
          <w:sz w:val="24"/>
          <w:szCs w:val="24"/>
        </w:rPr>
        <w:br/>
      </w:r>
      <w:r>
        <w:rPr>
          <w:rFonts w:ascii="Times New Roman" w:hAnsi="宋体" w:hint="eastAsia"/>
          <w:b w:val="0"/>
          <w:sz w:val="24"/>
          <w:szCs w:val="24"/>
        </w:rPr>
        <w:t>（</w:t>
      </w:r>
      <w:r>
        <w:rPr>
          <w:rFonts w:ascii="Times New Roman" w:hAnsi="宋体" w:hint="eastAsia"/>
          <w:b w:val="0"/>
          <w:sz w:val="24"/>
          <w:szCs w:val="24"/>
        </w:rPr>
        <w:t>5</w:t>
      </w:r>
      <w:r>
        <w:rPr>
          <w:rFonts w:ascii="Times New Roman" w:hAnsi="宋体" w:hint="eastAsia"/>
          <w:b w:val="0"/>
          <w:sz w:val="24"/>
          <w:szCs w:val="24"/>
        </w:rPr>
        <w:t>）其他投资策略</w:t>
      </w:r>
      <w:r>
        <w:rPr>
          <w:rFonts w:ascii="Times New Roman" w:hAnsi="宋体" w:hint="eastAsia"/>
          <w:b w:val="0"/>
          <w:sz w:val="24"/>
          <w:szCs w:val="24"/>
        </w:rPr>
        <w:br/>
      </w:r>
      <w:r>
        <w:rPr>
          <w:rFonts w:ascii="Times New Roman" w:hAnsi="宋体" w:hint="eastAsia"/>
          <w:b w:val="0"/>
          <w:sz w:val="24"/>
          <w:szCs w:val="24"/>
        </w:rPr>
        <w:t>  ①债券投资策略</w:t>
      </w:r>
      <w:r>
        <w:rPr>
          <w:rFonts w:ascii="Times New Roman" w:hAnsi="宋体" w:hint="eastAsia"/>
          <w:b w:val="0"/>
          <w:sz w:val="24"/>
          <w:szCs w:val="24"/>
        </w:rPr>
        <w:br/>
      </w:r>
      <w:r>
        <w:rPr>
          <w:rFonts w:ascii="Times New Roman" w:hAnsi="宋体" w:hint="eastAsia"/>
          <w:b w:val="0"/>
          <w:sz w:val="24"/>
          <w:szCs w:val="24"/>
        </w:rPr>
        <w:t>  出于对流动性、有效利用基金财产的考虑，本基金适时对债券进行投资。通过深入分析宏观经济数据、货币政策和利率变化趋势等因素，制定久期控制下的投资策略，构造能够提供稳定收益的债券和货币市场工具组合。</w:t>
      </w:r>
      <w:r>
        <w:rPr>
          <w:rFonts w:ascii="Times New Roman" w:hAnsi="宋体" w:hint="eastAsia"/>
          <w:b w:val="0"/>
          <w:sz w:val="24"/>
          <w:szCs w:val="24"/>
        </w:rPr>
        <w:br/>
      </w:r>
      <w:r>
        <w:rPr>
          <w:rFonts w:ascii="Times New Roman" w:hAnsi="宋体" w:hint="eastAsia"/>
          <w:b w:val="0"/>
          <w:sz w:val="24"/>
          <w:szCs w:val="24"/>
        </w:rPr>
        <w:t>  ②金融衍生工具投资策略</w:t>
      </w:r>
      <w:r>
        <w:rPr>
          <w:rFonts w:ascii="Times New Roman" w:hAnsi="宋体" w:hint="eastAsia"/>
          <w:b w:val="0"/>
          <w:sz w:val="24"/>
          <w:szCs w:val="24"/>
        </w:rPr>
        <w:br/>
      </w:r>
      <w:r>
        <w:rPr>
          <w:rFonts w:ascii="Times New Roman" w:hAnsi="宋体" w:hint="eastAsia"/>
          <w:b w:val="0"/>
          <w:sz w:val="24"/>
          <w:szCs w:val="24"/>
        </w:rPr>
        <w:t>  在法律法规允许的范围内，本基金可基于谨慎原则运用权证、股票指数期货等相关金融衍生工具对基金投资组合进行管理，以控制投资组合风险、提高投资效率，从而更好地实现本基金的投资目标。</w:t>
      </w: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7</w:t>
      </w:r>
      <w:r>
        <w:rPr>
          <w:rFonts w:ascii="Times New Roman" w:hAnsi="宋体" w:hint="eastAsia"/>
          <w:b w:val="0"/>
          <w:sz w:val="24"/>
          <w:szCs w:val="24"/>
        </w:rPr>
        <w:t>、</w:t>
      </w:r>
      <w:r>
        <w:rPr>
          <w:rFonts w:ascii="Times New Roman" w:hAnsi="宋体"/>
          <w:b w:val="0"/>
          <w:sz w:val="24"/>
          <w:szCs w:val="24"/>
        </w:rPr>
        <w:t>业绩比较基准</w:t>
      </w:r>
      <w:r>
        <w:rPr>
          <w:rFonts w:ascii="Times New Roman" w:hAnsi="宋体" w:hint="eastAsia"/>
          <w:b w:val="0"/>
          <w:sz w:val="24"/>
          <w:szCs w:val="24"/>
        </w:rPr>
        <w:t>：一年期银行定期存款税后收益率。</w:t>
      </w: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8</w:t>
      </w:r>
      <w:r>
        <w:rPr>
          <w:rFonts w:ascii="Times New Roman" w:hAnsi="宋体" w:hint="eastAsia"/>
          <w:b w:val="0"/>
          <w:sz w:val="24"/>
          <w:szCs w:val="24"/>
        </w:rPr>
        <w:t>、风险收益特征：本基金属于特殊的混合型证券投资基金，预期风险和预期收益水平高于货币市场基金、债券型基金，低于股票型基金和一般的混合型基金。</w:t>
      </w: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9</w:t>
      </w:r>
      <w:r>
        <w:rPr>
          <w:rFonts w:ascii="Times New Roman" w:hAnsi="宋体" w:hint="eastAsia"/>
          <w:b w:val="0"/>
          <w:sz w:val="24"/>
          <w:szCs w:val="24"/>
        </w:rPr>
        <w:t>、基金管理人：永赢基金管理有限公司</w:t>
      </w: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10</w:t>
      </w:r>
      <w:r>
        <w:rPr>
          <w:rFonts w:ascii="Times New Roman" w:hAnsi="宋体" w:hint="eastAsia"/>
          <w:b w:val="0"/>
          <w:sz w:val="24"/>
          <w:szCs w:val="24"/>
        </w:rPr>
        <w:t>、基金托管人：中信证券股份有限公司</w:t>
      </w:r>
    </w:p>
    <w:p w:rsidR="00F56D7A" w:rsidRDefault="00F56D7A">
      <w:pPr>
        <w:pStyle w:val="a9"/>
        <w:spacing w:before="0" w:after="0" w:line="360" w:lineRule="auto"/>
        <w:ind w:firstLineChars="200" w:firstLine="480"/>
        <w:jc w:val="both"/>
        <w:rPr>
          <w:rFonts w:ascii="Times New Roman" w:hAnsi="宋体"/>
          <w:b w:val="0"/>
          <w:sz w:val="24"/>
          <w:szCs w:val="24"/>
        </w:rPr>
      </w:pPr>
    </w:p>
    <w:p w:rsidR="00F56D7A" w:rsidRDefault="00F56D7A"/>
    <w:p w:rsidR="00F56D7A" w:rsidRDefault="00F56D7A"/>
    <w:p w:rsidR="00F56D7A" w:rsidRDefault="00F56D7A"/>
    <w:p w:rsidR="00F56D7A" w:rsidRDefault="006E3837">
      <w:pPr>
        <w:rPr>
          <w:rFonts w:ascii="Times New Roman" w:eastAsia="宋体" w:hAnsi="宋体" w:cs="Times New Roman"/>
          <w:b/>
          <w:bCs/>
          <w:sz w:val="28"/>
          <w:szCs w:val="28"/>
        </w:rPr>
      </w:pPr>
      <w:r>
        <w:rPr>
          <w:rFonts w:ascii="Times New Roman" w:eastAsia="宋体" w:hAnsi="宋体" w:cs="Times New Roman" w:hint="eastAsia"/>
          <w:b/>
          <w:bCs/>
          <w:sz w:val="28"/>
          <w:szCs w:val="28"/>
        </w:rPr>
        <w:t>三、</w:t>
      </w:r>
      <w:r>
        <w:rPr>
          <w:rFonts w:ascii="Times New Roman" w:eastAsia="宋体" w:hAnsi="宋体" w:cs="Times New Roman"/>
          <w:b/>
          <w:bCs/>
          <w:sz w:val="28"/>
          <w:szCs w:val="28"/>
        </w:rPr>
        <w:t>财务会计报告</w:t>
      </w:r>
    </w:p>
    <w:p w:rsidR="00F56D7A" w:rsidRDefault="00F56D7A">
      <w:pPr>
        <w:rPr>
          <w:rFonts w:ascii="Times New Roman" w:eastAsia="宋体" w:hAnsi="宋体" w:cs="Times New Roman"/>
          <w:bCs/>
          <w:sz w:val="24"/>
          <w:szCs w:val="24"/>
        </w:rPr>
      </w:pPr>
    </w:p>
    <w:p w:rsidR="00F56D7A" w:rsidRDefault="006E3837">
      <w:pPr>
        <w:rPr>
          <w:rFonts w:ascii="Times New Roman" w:eastAsia="宋体" w:hAnsi="宋体" w:cs="Times New Roman"/>
          <w:bCs/>
          <w:sz w:val="24"/>
          <w:szCs w:val="24"/>
        </w:rPr>
      </w:pPr>
      <w:r>
        <w:rPr>
          <w:rFonts w:ascii="Times New Roman" w:eastAsia="宋体" w:hAnsi="宋体" w:cs="Times New Roman" w:hint="eastAsia"/>
          <w:bCs/>
          <w:sz w:val="24"/>
          <w:szCs w:val="24"/>
        </w:rPr>
        <w:t>资产</w:t>
      </w:r>
      <w:r>
        <w:rPr>
          <w:rFonts w:ascii="Times New Roman" w:eastAsia="宋体" w:hAnsi="宋体" w:cs="Times New Roman"/>
          <w:bCs/>
          <w:sz w:val="24"/>
          <w:szCs w:val="24"/>
        </w:rPr>
        <w:t>负债表（</w:t>
      </w:r>
      <w:r>
        <w:rPr>
          <w:rFonts w:ascii="Times New Roman" w:eastAsia="宋体" w:hAnsi="宋体" w:cs="Times New Roman" w:hint="eastAsia"/>
          <w:bCs/>
          <w:sz w:val="24"/>
          <w:szCs w:val="24"/>
        </w:rPr>
        <w:t>经</w:t>
      </w:r>
      <w:r>
        <w:rPr>
          <w:rFonts w:ascii="Times New Roman" w:eastAsia="宋体" w:hAnsi="宋体" w:cs="Times New Roman"/>
          <w:bCs/>
          <w:sz w:val="24"/>
          <w:szCs w:val="24"/>
        </w:rPr>
        <w:t>审计）</w:t>
      </w:r>
    </w:p>
    <w:p w:rsidR="00F56D7A" w:rsidRDefault="006E3837">
      <w:pPr>
        <w:rPr>
          <w:rFonts w:ascii="Times New Roman" w:eastAsia="宋体" w:hAnsi="宋体" w:cs="Times New Roman"/>
          <w:bCs/>
          <w:sz w:val="24"/>
          <w:szCs w:val="24"/>
        </w:rPr>
      </w:pPr>
      <w:r>
        <w:rPr>
          <w:rFonts w:ascii="Times New Roman" w:eastAsia="宋体" w:hAnsi="宋体" w:cs="Times New Roman" w:hint="eastAsia"/>
          <w:bCs/>
          <w:sz w:val="24"/>
          <w:szCs w:val="24"/>
        </w:rPr>
        <w:t>会计</w:t>
      </w:r>
      <w:r>
        <w:rPr>
          <w:rFonts w:ascii="Times New Roman" w:eastAsia="宋体" w:hAnsi="宋体" w:cs="Times New Roman"/>
          <w:bCs/>
          <w:sz w:val="24"/>
          <w:szCs w:val="24"/>
        </w:rPr>
        <w:t>主体：</w:t>
      </w:r>
      <w:r>
        <w:rPr>
          <w:rFonts w:ascii="Times New Roman" w:eastAsia="宋体" w:hAnsi="宋体" w:cs="Times New Roman" w:hint="eastAsia"/>
          <w:bCs/>
          <w:sz w:val="24"/>
          <w:szCs w:val="24"/>
        </w:rPr>
        <w:t>永赢量化混合型发起式证券投资基金</w:t>
      </w:r>
    </w:p>
    <w:p w:rsidR="00F56D7A" w:rsidRDefault="00F56D7A">
      <w:pPr>
        <w:rPr>
          <w:rFonts w:ascii="Times New Roman" w:eastAsia="宋体" w:hAnsi="宋体" w:cs="Times New Roman"/>
          <w:bCs/>
          <w:sz w:val="24"/>
          <w:szCs w:val="24"/>
        </w:rPr>
      </w:pPr>
    </w:p>
    <w:tbl>
      <w:tblPr>
        <w:tblW w:w="7967" w:type="dxa"/>
        <w:tblInd w:w="118" w:type="dxa"/>
        <w:tblLayout w:type="fixed"/>
        <w:tblCellMar>
          <w:left w:w="0" w:type="dxa"/>
          <w:right w:w="0" w:type="dxa"/>
        </w:tblCellMar>
        <w:tblLook w:val="04A0"/>
      </w:tblPr>
      <w:tblGrid>
        <w:gridCol w:w="3431"/>
        <w:gridCol w:w="4536"/>
      </w:tblGrid>
      <w:tr w:rsidR="00F56D7A">
        <w:trPr>
          <w:trHeight w:hRule="exact" w:val="644"/>
        </w:trPr>
        <w:tc>
          <w:tcPr>
            <w:tcW w:w="3431" w:type="dxa"/>
            <w:tcBorders>
              <w:top w:val="single" w:sz="4" w:space="0" w:color="000000"/>
              <w:left w:val="single" w:sz="4" w:space="0" w:color="000000"/>
              <w:bottom w:val="single" w:sz="4" w:space="0" w:color="000000"/>
              <w:right w:val="single" w:sz="4" w:space="0" w:color="000000"/>
            </w:tcBorders>
          </w:tcPr>
          <w:p w:rsidR="00F56D7A" w:rsidRDefault="00F56D7A">
            <w:pPr>
              <w:autoSpaceDE w:val="0"/>
              <w:autoSpaceDN w:val="0"/>
              <w:adjustRightInd w:val="0"/>
              <w:jc w:val="left"/>
              <w:rPr>
                <w:rFonts w:ascii="Times New Roman" w:hAnsi="Times New Roman" w:cs="Times New Roman"/>
                <w:kern w:val="0"/>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56D7A" w:rsidRDefault="006E3837">
            <w:pPr>
              <w:ind w:right="110"/>
              <w:jc w:val="right"/>
              <w:rPr>
                <w:rFonts w:ascii="黑体" w:eastAsia="黑体" w:hAnsi="黑体" w:cs="宋体"/>
                <w:color w:val="000000"/>
                <w:kern w:val="0"/>
                <w:sz w:val="22"/>
              </w:rPr>
            </w:pPr>
            <w:r>
              <w:rPr>
                <w:rFonts w:ascii="黑体" w:eastAsia="黑体" w:hAnsi="黑体" w:cs="宋体" w:hint="eastAsia"/>
                <w:color w:val="000000"/>
                <w:kern w:val="0"/>
                <w:sz w:val="22"/>
              </w:rPr>
              <w:t>最后运作日</w:t>
            </w:r>
          </w:p>
          <w:p w:rsidR="00F56D7A" w:rsidRDefault="006E3837">
            <w:pPr>
              <w:ind w:right="110"/>
              <w:jc w:val="right"/>
              <w:rPr>
                <w:rFonts w:ascii="Times New Roman" w:hAnsi="Times New Roman" w:cs="Times New Roman"/>
                <w:kern w:val="0"/>
                <w:sz w:val="24"/>
                <w:szCs w:val="24"/>
              </w:rPr>
            </w:pPr>
            <w:r>
              <w:rPr>
                <w:rFonts w:ascii="黑体" w:eastAsia="黑体" w:hAnsi="黑体" w:cs="宋体"/>
                <w:color w:val="000000"/>
                <w:kern w:val="0"/>
                <w:sz w:val="22"/>
              </w:rPr>
              <w:t xml:space="preserve">2018 </w:t>
            </w:r>
            <w:r>
              <w:rPr>
                <w:rFonts w:ascii="黑体" w:eastAsia="黑体" w:hAnsi="黑体" w:cs="宋体" w:hint="eastAsia"/>
                <w:color w:val="000000"/>
                <w:kern w:val="0"/>
                <w:sz w:val="22"/>
              </w:rPr>
              <w:t xml:space="preserve">年 </w:t>
            </w:r>
            <w:r>
              <w:rPr>
                <w:rFonts w:ascii="黑体" w:eastAsia="黑体" w:hAnsi="黑体" w:cs="宋体"/>
                <w:color w:val="000000"/>
                <w:kern w:val="0"/>
                <w:sz w:val="22"/>
              </w:rPr>
              <w:t xml:space="preserve">8 </w:t>
            </w:r>
            <w:r>
              <w:rPr>
                <w:rFonts w:ascii="黑体" w:eastAsia="黑体" w:hAnsi="黑体" w:cs="宋体" w:hint="eastAsia"/>
                <w:color w:val="000000"/>
                <w:kern w:val="0"/>
                <w:sz w:val="22"/>
              </w:rPr>
              <w:t>月</w:t>
            </w:r>
            <w:r>
              <w:rPr>
                <w:rFonts w:ascii="黑体" w:eastAsia="黑体" w:hAnsi="黑体" w:cs="宋体"/>
                <w:color w:val="000000"/>
                <w:kern w:val="0"/>
                <w:sz w:val="22"/>
              </w:rPr>
              <w:t>6</w:t>
            </w:r>
            <w:r>
              <w:rPr>
                <w:rFonts w:ascii="黑体" w:eastAsia="黑体" w:hAnsi="黑体" w:cs="宋体" w:hint="eastAsia"/>
                <w:color w:val="000000"/>
                <w:kern w:val="0"/>
                <w:sz w:val="22"/>
              </w:rPr>
              <w:t>日</w:t>
            </w:r>
          </w:p>
        </w:tc>
      </w:tr>
      <w:tr w:rsidR="00F56D7A">
        <w:trPr>
          <w:trHeight w:hRule="exact" w:val="322"/>
        </w:trPr>
        <w:tc>
          <w:tcPr>
            <w:tcW w:w="3431" w:type="dxa"/>
            <w:tcBorders>
              <w:top w:val="single" w:sz="4" w:space="0" w:color="000000"/>
              <w:left w:val="single" w:sz="4" w:space="0" w:color="000000"/>
              <w:bottom w:val="single" w:sz="4" w:space="0" w:color="000000"/>
              <w:right w:val="single" w:sz="4" w:space="0" w:color="000000"/>
            </w:tcBorders>
            <w:vAlign w:val="center"/>
          </w:tcPr>
          <w:p w:rsidR="00F56D7A" w:rsidRDefault="006E3837">
            <w:pPr>
              <w:pStyle w:val="a8"/>
              <w:rPr>
                <w:rFonts w:ascii="黑体" w:eastAsia="黑体" w:hAnsi="黑体"/>
                <w:b/>
                <w:sz w:val="22"/>
                <w:szCs w:val="22"/>
              </w:rPr>
            </w:pPr>
            <w:r>
              <w:rPr>
                <w:rFonts w:ascii="黑体" w:eastAsia="黑体" w:hAnsi="黑体" w:hint="eastAsia"/>
                <w:b/>
                <w:sz w:val="22"/>
                <w:szCs w:val="22"/>
              </w:rPr>
              <w:t>资 产：</w:t>
            </w:r>
          </w:p>
        </w:tc>
        <w:tc>
          <w:tcPr>
            <w:tcW w:w="4536" w:type="dxa"/>
            <w:tcBorders>
              <w:top w:val="single" w:sz="4" w:space="0" w:color="000000"/>
              <w:left w:val="single" w:sz="4" w:space="0" w:color="000000"/>
              <w:bottom w:val="single" w:sz="4" w:space="0" w:color="000000"/>
              <w:right w:val="single" w:sz="4" w:space="0" w:color="000000"/>
            </w:tcBorders>
            <w:vAlign w:val="bottom"/>
          </w:tcPr>
          <w:p w:rsidR="00F56D7A" w:rsidRDefault="00F56D7A">
            <w:pPr>
              <w:pStyle w:val="a8"/>
              <w:jc w:val="right"/>
              <w:rPr>
                <w:rFonts w:ascii="黑体" w:eastAsia="黑体" w:hAnsi="黑体"/>
                <w:sz w:val="22"/>
                <w:szCs w:val="22"/>
              </w:rPr>
            </w:pPr>
          </w:p>
        </w:tc>
      </w:tr>
      <w:tr w:rsidR="00F56D7A">
        <w:trPr>
          <w:trHeight w:hRule="exact" w:val="322"/>
        </w:trPr>
        <w:tc>
          <w:tcPr>
            <w:tcW w:w="3431" w:type="dxa"/>
            <w:tcBorders>
              <w:top w:val="single" w:sz="4" w:space="0" w:color="000000"/>
              <w:left w:val="single" w:sz="4" w:space="0" w:color="000000"/>
              <w:bottom w:val="single" w:sz="4" w:space="0" w:color="000000"/>
              <w:right w:val="single" w:sz="4" w:space="0" w:color="000000"/>
            </w:tcBorders>
            <w:vAlign w:val="center"/>
          </w:tcPr>
          <w:p w:rsidR="00F56D7A" w:rsidRDefault="006E3837">
            <w:pPr>
              <w:pStyle w:val="a8"/>
              <w:rPr>
                <w:rFonts w:ascii="黑体" w:eastAsia="黑体" w:hAnsi="黑体"/>
                <w:sz w:val="22"/>
                <w:szCs w:val="22"/>
              </w:rPr>
            </w:pPr>
            <w:r>
              <w:rPr>
                <w:rFonts w:ascii="黑体" w:eastAsia="黑体" w:hAnsi="黑体" w:hint="eastAsia"/>
                <w:sz w:val="22"/>
                <w:szCs w:val="22"/>
              </w:rPr>
              <w:t>银行存款</w:t>
            </w:r>
          </w:p>
        </w:tc>
        <w:tc>
          <w:tcPr>
            <w:tcW w:w="4536" w:type="dxa"/>
            <w:tcBorders>
              <w:top w:val="single" w:sz="4" w:space="0" w:color="000000"/>
              <w:left w:val="single" w:sz="4" w:space="0" w:color="000000"/>
              <w:bottom w:val="single" w:sz="4" w:space="0" w:color="000000"/>
              <w:right w:val="single" w:sz="4" w:space="0" w:color="000000"/>
            </w:tcBorders>
            <w:vAlign w:val="bottom"/>
          </w:tcPr>
          <w:p w:rsidR="00F56D7A" w:rsidRDefault="006E3837">
            <w:pPr>
              <w:ind w:right="110"/>
              <w:jc w:val="right"/>
              <w:rPr>
                <w:rFonts w:ascii="黑体" w:eastAsia="黑体" w:hAnsi="黑体" w:cs="宋体"/>
                <w:color w:val="000000"/>
                <w:kern w:val="0"/>
                <w:sz w:val="22"/>
              </w:rPr>
            </w:pPr>
            <w:r>
              <w:rPr>
                <w:rFonts w:ascii="黑体" w:eastAsia="黑体" w:hAnsi="黑体" w:cs="宋体"/>
                <w:color w:val="000000"/>
                <w:kern w:val="0"/>
                <w:sz w:val="22"/>
              </w:rPr>
              <w:t>9,667,672.08</w:t>
            </w:r>
          </w:p>
        </w:tc>
      </w:tr>
      <w:tr w:rsidR="00F56D7A">
        <w:trPr>
          <w:trHeight w:hRule="exact" w:val="322"/>
        </w:trPr>
        <w:tc>
          <w:tcPr>
            <w:tcW w:w="3431" w:type="dxa"/>
            <w:tcBorders>
              <w:top w:val="single" w:sz="4" w:space="0" w:color="000000"/>
              <w:left w:val="single" w:sz="4" w:space="0" w:color="000000"/>
              <w:bottom w:val="single" w:sz="4" w:space="0" w:color="000000"/>
              <w:right w:val="single" w:sz="4" w:space="0" w:color="000000"/>
            </w:tcBorders>
            <w:vAlign w:val="center"/>
          </w:tcPr>
          <w:p w:rsidR="00F56D7A" w:rsidRDefault="006E3837">
            <w:pPr>
              <w:pStyle w:val="a8"/>
              <w:rPr>
                <w:rFonts w:ascii="黑体" w:eastAsia="黑体" w:hAnsi="黑体"/>
                <w:sz w:val="22"/>
                <w:szCs w:val="22"/>
              </w:rPr>
            </w:pPr>
            <w:r>
              <w:rPr>
                <w:rFonts w:ascii="黑体" w:eastAsia="黑体" w:hAnsi="黑体" w:hint="eastAsia"/>
                <w:sz w:val="22"/>
                <w:szCs w:val="22"/>
              </w:rPr>
              <w:t>结算备付金</w:t>
            </w:r>
          </w:p>
        </w:tc>
        <w:tc>
          <w:tcPr>
            <w:tcW w:w="4536" w:type="dxa"/>
            <w:tcBorders>
              <w:top w:val="single" w:sz="4" w:space="0" w:color="000000"/>
              <w:left w:val="single" w:sz="4" w:space="0" w:color="000000"/>
              <w:bottom w:val="single" w:sz="4" w:space="0" w:color="000000"/>
              <w:right w:val="single" w:sz="4" w:space="0" w:color="000000"/>
            </w:tcBorders>
          </w:tcPr>
          <w:p w:rsidR="00F56D7A" w:rsidRDefault="006E3837">
            <w:pPr>
              <w:ind w:right="110"/>
              <w:jc w:val="right"/>
              <w:rPr>
                <w:rFonts w:ascii="黑体" w:eastAsia="黑体" w:hAnsi="黑体" w:cs="宋体"/>
                <w:color w:val="000000"/>
                <w:kern w:val="0"/>
                <w:sz w:val="22"/>
              </w:rPr>
            </w:pPr>
            <w:r>
              <w:rPr>
                <w:rFonts w:ascii="黑体" w:eastAsia="黑体" w:hAnsi="黑体" w:cs="宋体"/>
                <w:color w:val="000000"/>
                <w:kern w:val="0"/>
                <w:sz w:val="22"/>
              </w:rPr>
              <w:t>5,534,402.10</w:t>
            </w:r>
          </w:p>
        </w:tc>
      </w:tr>
      <w:tr w:rsidR="00F56D7A">
        <w:trPr>
          <w:trHeight w:hRule="exact" w:val="322"/>
        </w:trPr>
        <w:tc>
          <w:tcPr>
            <w:tcW w:w="3431" w:type="dxa"/>
            <w:tcBorders>
              <w:top w:val="single" w:sz="4" w:space="0" w:color="000000"/>
              <w:left w:val="single" w:sz="4" w:space="0" w:color="000000"/>
              <w:bottom w:val="single" w:sz="4" w:space="0" w:color="000000"/>
              <w:right w:val="single" w:sz="4" w:space="0" w:color="000000"/>
            </w:tcBorders>
            <w:vAlign w:val="center"/>
          </w:tcPr>
          <w:p w:rsidR="00F56D7A" w:rsidRDefault="006E3837">
            <w:pPr>
              <w:pStyle w:val="a8"/>
              <w:rPr>
                <w:rFonts w:ascii="黑体" w:eastAsia="黑体" w:hAnsi="黑体"/>
                <w:color w:val="000000"/>
                <w:sz w:val="22"/>
                <w:szCs w:val="22"/>
              </w:rPr>
            </w:pPr>
            <w:r>
              <w:rPr>
                <w:rFonts w:ascii="黑体" w:eastAsia="黑体" w:hAnsi="黑体" w:hint="eastAsia"/>
                <w:color w:val="000000"/>
                <w:sz w:val="22"/>
                <w:szCs w:val="22"/>
              </w:rPr>
              <w:t>存出保证金</w:t>
            </w:r>
          </w:p>
        </w:tc>
        <w:tc>
          <w:tcPr>
            <w:tcW w:w="4536" w:type="dxa"/>
            <w:tcBorders>
              <w:top w:val="single" w:sz="4" w:space="0" w:color="000000"/>
              <w:left w:val="single" w:sz="4" w:space="0" w:color="000000"/>
              <w:bottom w:val="single" w:sz="4" w:space="0" w:color="000000"/>
              <w:right w:val="single" w:sz="4" w:space="0" w:color="000000"/>
            </w:tcBorders>
          </w:tcPr>
          <w:p w:rsidR="00F56D7A" w:rsidRDefault="006E3837">
            <w:pPr>
              <w:ind w:right="110"/>
              <w:jc w:val="right"/>
              <w:rPr>
                <w:rFonts w:ascii="黑体" w:eastAsia="黑体" w:hAnsi="黑体" w:cs="宋体"/>
                <w:color w:val="000000"/>
                <w:kern w:val="0"/>
                <w:sz w:val="22"/>
              </w:rPr>
            </w:pPr>
            <w:r>
              <w:rPr>
                <w:rFonts w:ascii="黑体" w:eastAsia="黑体" w:hAnsi="黑体" w:cs="宋体"/>
                <w:color w:val="000000"/>
                <w:kern w:val="0"/>
                <w:sz w:val="22"/>
              </w:rPr>
              <w:t>313,705.91</w:t>
            </w:r>
          </w:p>
        </w:tc>
      </w:tr>
      <w:tr w:rsidR="00F56D7A">
        <w:trPr>
          <w:trHeight w:hRule="exact" w:val="322"/>
        </w:trPr>
        <w:tc>
          <w:tcPr>
            <w:tcW w:w="3431" w:type="dxa"/>
            <w:tcBorders>
              <w:top w:val="single" w:sz="4" w:space="0" w:color="000000"/>
              <w:left w:val="single" w:sz="4" w:space="0" w:color="000000"/>
              <w:bottom w:val="single" w:sz="4" w:space="0" w:color="000000"/>
              <w:right w:val="single" w:sz="4" w:space="0" w:color="000000"/>
            </w:tcBorders>
            <w:vAlign w:val="center"/>
          </w:tcPr>
          <w:p w:rsidR="00F56D7A" w:rsidRDefault="006E3837">
            <w:pPr>
              <w:pStyle w:val="a8"/>
              <w:rPr>
                <w:rFonts w:ascii="黑体" w:eastAsia="黑体" w:hAnsi="黑体"/>
                <w:sz w:val="22"/>
                <w:szCs w:val="22"/>
              </w:rPr>
            </w:pPr>
            <w:r>
              <w:rPr>
                <w:rFonts w:ascii="黑体" w:eastAsia="黑体" w:hAnsi="黑体" w:hint="eastAsia"/>
                <w:sz w:val="22"/>
                <w:szCs w:val="22"/>
              </w:rPr>
              <w:t>交易性金融资产</w:t>
            </w:r>
          </w:p>
        </w:tc>
        <w:tc>
          <w:tcPr>
            <w:tcW w:w="4536" w:type="dxa"/>
            <w:tcBorders>
              <w:top w:val="single" w:sz="4" w:space="0" w:color="000000"/>
              <w:left w:val="single" w:sz="4" w:space="0" w:color="000000"/>
              <w:bottom w:val="single" w:sz="4" w:space="0" w:color="000000"/>
              <w:right w:val="single" w:sz="4" w:space="0" w:color="000000"/>
            </w:tcBorders>
          </w:tcPr>
          <w:p w:rsidR="00F56D7A" w:rsidRDefault="006E3837">
            <w:pPr>
              <w:ind w:right="110"/>
              <w:jc w:val="right"/>
              <w:rPr>
                <w:rFonts w:ascii="黑体" w:eastAsia="黑体" w:hAnsi="黑体" w:cs="宋体"/>
                <w:color w:val="000000"/>
                <w:kern w:val="0"/>
                <w:sz w:val="22"/>
              </w:rPr>
            </w:pPr>
            <w:r>
              <w:rPr>
                <w:rFonts w:ascii="黑体" w:eastAsia="黑体" w:hAnsi="黑体" w:cs="宋体"/>
                <w:color w:val="000000"/>
                <w:kern w:val="0"/>
                <w:sz w:val="22"/>
              </w:rPr>
              <w:t>2,254,993.12</w:t>
            </w:r>
          </w:p>
        </w:tc>
      </w:tr>
      <w:tr w:rsidR="00F56D7A">
        <w:trPr>
          <w:trHeight w:hRule="exact" w:val="322"/>
        </w:trPr>
        <w:tc>
          <w:tcPr>
            <w:tcW w:w="3431" w:type="dxa"/>
            <w:tcBorders>
              <w:top w:val="single" w:sz="4" w:space="0" w:color="000000"/>
              <w:left w:val="single" w:sz="4" w:space="0" w:color="000000"/>
              <w:bottom w:val="single" w:sz="4" w:space="0" w:color="000000"/>
              <w:right w:val="single" w:sz="4" w:space="0" w:color="000000"/>
            </w:tcBorders>
            <w:vAlign w:val="center"/>
          </w:tcPr>
          <w:p w:rsidR="00F56D7A" w:rsidRDefault="006E3837">
            <w:pPr>
              <w:pStyle w:val="a8"/>
              <w:rPr>
                <w:rFonts w:ascii="黑体" w:eastAsia="黑体" w:hAnsi="黑体"/>
                <w:sz w:val="22"/>
                <w:szCs w:val="22"/>
              </w:rPr>
            </w:pPr>
            <w:r>
              <w:rPr>
                <w:rFonts w:ascii="黑体" w:eastAsia="黑体" w:hAnsi="黑体" w:hint="eastAsia"/>
                <w:sz w:val="22"/>
                <w:szCs w:val="22"/>
              </w:rPr>
              <w:t>应收利息</w:t>
            </w:r>
          </w:p>
        </w:tc>
        <w:tc>
          <w:tcPr>
            <w:tcW w:w="4536" w:type="dxa"/>
            <w:tcBorders>
              <w:top w:val="single" w:sz="4" w:space="0" w:color="000000"/>
              <w:left w:val="single" w:sz="4" w:space="0" w:color="000000"/>
              <w:bottom w:val="single" w:sz="4" w:space="0" w:color="000000"/>
              <w:right w:val="single" w:sz="4" w:space="0" w:color="000000"/>
            </w:tcBorders>
            <w:vAlign w:val="bottom"/>
          </w:tcPr>
          <w:p w:rsidR="00F56D7A" w:rsidRDefault="006E3837">
            <w:pPr>
              <w:pStyle w:val="a8"/>
              <w:ind w:right="110"/>
              <w:jc w:val="right"/>
              <w:rPr>
                <w:rFonts w:ascii="黑体" w:eastAsia="黑体" w:hAnsi="黑体"/>
                <w:sz w:val="22"/>
                <w:szCs w:val="22"/>
                <w:highlight w:val="yellow"/>
              </w:rPr>
            </w:pPr>
            <w:r>
              <w:rPr>
                <w:rFonts w:ascii="黑体" w:eastAsia="黑体" w:hAnsi="黑体"/>
                <w:color w:val="000000"/>
                <w:sz w:val="22"/>
                <w:szCs w:val="22"/>
              </w:rPr>
              <w:t>14,971.39</w:t>
            </w:r>
          </w:p>
        </w:tc>
      </w:tr>
      <w:tr w:rsidR="00F56D7A">
        <w:trPr>
          <w:trHeight w:hRule="exact" w:val="322"/>
        </w:trPr>
        <w:tc>
          <w:tcPr>
            <w:tcW w:w="3431" w:type="dxa"/>
            <w:tcBorders>
              <w:top w:val="single" w:sz="4" w:space="0" w:color="000000"/>
              <w:left w:val="single" w:sz="4" w:space="0" w:color="000000"/>
              <w:bottom w:val="single" w:sz="4" w:space="0" w:color="000000"/>
              <w:right w:val="single" w:sz="4" w:space="0" w:color="000000"/>
            </w:tcBorders>
            <w:vAlign w:val="center"/>
          </w:tcPr>
          <w:p w:rsidR="00F56D7A" w:rsidRDefault="006E3837">
            <w:pPr>
              <w:pStyle w:val="a8"/>
              <w:rPr>
                <w:rFonts w:ascii="黑体" w:eastAsia="黑体" w:hAnsi="黑体"/>
                <w:sz w:val="22"/>
                <w:szCs w:val="22"/>
              </w:rPr>
            </w:pPr>
            <w:r>
              <w:rPr>
                <w:rFonts w:ascii="黑体" w:eastAsia="黑体" w:hAnsi="黑体" w:hint="eastAsia"/>
                <w:sz w:val="22"/>
                <w:szCs w:val="22"/>
              </w:rPr>
              <w:t>资产总计</w:t>
            </w:r>
          </w:p>
        </w:tc>
        <w:tc>
          <w:tcPr>
            <w:tcW w:w="4536" w:type="dxa"/>
            <w:tcBorders>
              <w:top w:val="single" w:sz="4" w:space="0" w:color="000000"/>
              <w:left w:val="single" w:sz="4" w:space="0" w:color="000000"/>
              <w:bottom w:val="single" w:sz="4" w:space="0" w:color="000000"/>
              <w:right w:val="single" w:sz="4" w:space="0" w:color="000000"/>
            </w:tcBorders>
            <w:vAlign w:val="bottom"/>
          </w:tcPr>
          <w:p w:rsidR="00F56D7A" w:rsidRDefault="006E3837">
            <w:pPr>
              <w:pStyle w:val="a8"/>
              <w:ind w:right="110"/>
              <w:jc w:val="right"/>
              <w:rPr>
                <w:rFonts w:ascii="黑体" w:eastAsia="黑体" w:hAnsi="黑体"/>
                <w:sz w:val="22"/>
                <w:szCs w:val="22"/>
                <w:highlight w:val="yellow"/>
              </w:rPr>
            </w:pPr>
            <w:r>
              <w:rPr>
                <w:rFonts w:ascii="黑体" w:eastAsia="黑体" w:hAnsi="黑体"/>
                <w:color w:val="000000"/>
                <w:sz w:val="22"/>
                <w:szCs w:val="22"/>
              </w:rPr>
              <w:t>1</w:t>
            </w:r>
            <w:r>
              <w:rPr>
                <w:rFonts w:ascii="黑体" w:eastAsia="黑体" w:hAnsi="黑体" w:hint="eastAsia"/>
                <w:color w:val="000000"/>
                <w:sz w:val="22"/>
                <w:szCs w:val="22"/>
              </w:rPr>
              <w:t>7</w:t>
            </w:r>
            <w:r>
              <w:rPr>
                <w:rFonts w:ascii="黑体" w:eastAsia="黑体" w:hAnsi="黑体"/>
                <w:color w:val="000000"/>
                <w:sz w:val="22"/>
                <w:szCs w:val="22"/>
              </w:rPr>
              <w:t>,</w:t>
            </w:r>
            <w:r>
              <w:rPr>
                <w:rFonts w:ascii="黑体" w:eastAsia="黑体" w:hAnsi="黑体" w:hint="eastAsia"/>
                <w:color w:val="000000"/>
                <w:sz w:val="22"/>
                <w:szCs w:val="22"/>
              </w:rPr>
              <w:t>785</w:t>
            </w:r>
            <w:r>
              <w:rPr>
                <w:rFonts w:ascii="黑体" w:eastAsia="黑体" w:hAnsi="黑体"/>
                <w:color w:val="000000"/>
                <w:sz w:val="22"/>
                <w:szCs w:val="22"/>
              </w:rPr>
              <w:t>,</w:t>
            </w:r>
            <w:r>
              <w:rPr>
                <w:rFonts w:ascii="黑体" w:eastAsia="黑体" w:hAnsi="黑体" w:hint="eastAsia"/>
                <w:color w:val="000000"/>
                <w:sz w:val="22"/>
                <w:szCs w:val="22"/>
              </w:rPr>
              <w:t>744</w:t>
            </w:r>
            <w:r>
              <w:rPr>
                <w:rFonts w:ascii="黑体" w:eastAsia="黑体" w:hAnsi="黑体"/>
                <w:color w:val="000000"/>
                <w:sz w:val="22"/>
                <w:szCs w:val="22"/>
              </w:rPr>
              <w:t>.6</w:t>
            </w:r>
            <w:r>
              <w:rPr>
                <w:rFonts w:ascii="黑体" w:eastAsia="黑体" w:hAnsi="黑体" w:hint="eastAsia"/>
                <w:color w:val="000000"/>
                <w:sz w:val="22"/>
                <w:szCs w:val="22"/>
              </w:rPr>
              <w:t>0</w:t>
            </w:r>
          </w:p>
        </w:tc>
      </w:tr>
      <w:tr w:rsidR="00F56D7A">
        <w:trPr>
          <w:trHeight w:hRule="exact" w:val="322"/>
        </w:trPr>
        <w:tc>
          <w:tcPr>
            <w:tcW w:w="3431" w:type="dxa"/>
            <w:tcBorders>
              <w:top w:val="single" w:sz="4" w:space="0" w:color="000000"/>
              <w:left w:val="single" w:sz="4" w:space="0" w:color="000000"/>
              <w:bottom w:val="single" w:sz="4" w:space="0" w:color="000000"/>
              <w:right w:val="single" w:sz="4" w:space="0" w:color="000000"/>
            </w:tcBorders>
            <w:vAlign w:val="center"/>
          </w:tcPr>
          <w:p w:rsidR="00F56D7A" w:rsidRDefault="006E3837">
            <w:pPr>
              <w:pStyle w:val="a8"/>
              <w:rPr>
                <w:rFonts w:ascii="黑体" w:eastAsia="黑体" w:hAnsi="黑体"/>
                <w:sz w:val="22"/>
                <w:szCs w:val="22"/>
              </w:rPr>
            </w:pPr>
            <w:r>
              <w:rPr>
                <w:rFonts w:ascii="黑体" w:eastAsia="黑体" w:hAnsi="黑体" w:hint="eastAsia"/>
                <w:b/>
                <w:sz w:val="22"/>
                <w:szCs w:val="22"/>
              </w:rPr>
              <w:t>负 债：</w:t>
            </w:r>
          </w:p>
        </w:tc>
        <w:tc>
          <w:tcPr>
            <w:tcW w:w="4536" w:type="dxa"/>
            <w:tcBorders>
              <w:top w:val="single" w:sz="4" w:space="0" w:color="000000"/>
              <w:left w:val="single" w:sz="4" w:space="0" w:color="000000"/>
              <w:bottom w:val="single" w:sz="4" w:space="0" w:color="000000"/>
              <w:right w:val="single" w:sz="4" w:space="0" w:color="000000"/>
            </w:tcBorders>
            <w:vAlign w:val="bottom"/>
          </w:tcPr>
          <w:p w:rsidR="00F56D7A" w:rsidRDefault="00F56D7A">
            <w:pPr>
              <w:pStyle w:val="a8"/>
              <w:jc w:val="right"/>
              <w:rPr>
                <w:rFonts w:ascii="黑体" w:eastAsia="黑体" w:hAnsi="黑体"/>
                <w:sz w:val="22"/>
                <w:szCs w:val="22"/>
                <w:highlight w:val="yellow"/>
              </w:rPr>
            </w:pPr>
          </w:p>
        </w:tc>
      </w:tr>
      <w:tr w:rsidR="00F56D7A">
        <w:trPr>
          <w:trHeight w:hRule="exact" w:val="322"/>
        </w:trPr>
        <w:tc>
          <w:tcPr>
            <w:tcW w:w="3431" w:type="dxa"/>
            <w:tcBorders>
              <w:top w:val="single" w:sz="4" w:space="0" w:color="000000"/>
              <w:left w:val="single" w:sz="4" w:space="0" w:color="000000"/>
              <w:bottom w:val="single" w:sz="4" w:space="0" w:color="000000"/>
              <w:right w:val="single" w:sz="4" w:space="0" w:color="000000"/>
            </w:tcBorders>
          </w:tcPr>
          <w:p w:rsidR="00F56D7A" w:rsidRDefault="006E3837">
            <w:pPr>
              <w:pStyle w:val="a8"/>
              <w:rPr>
                <w:rFonts w:ascii="黑体" w:eastAsia="黑体" w:hAnsi="黑体"/>
                <w:sz w:val="22"/>
                <w:szCs w:val="22"/>
              </w:rPr>
            </w:pPr>
            <w:r>
              <w:rPr>
                <w:rFonts w:ascii="黑体" w:eastAsia="黑体" w:hAnsi="黑体" w:hint="eastAsia"/>
                <w:sz w:val="22"/>
                <w:szCs w:val="22"/>
              </w:rPr>
              <w:t>应付赎回款</w:t>
            </w:r>
          </w:p>
        </w:tc>
        <w:tc>
          <w:tcPr>
            <w:tcW w:w="4536" w:type="dxa"/>
            <w:tcBorders>
              <w:top w:val="single" w:sz="4" w:space="0" w:color="000000"/>
              <w:left w:val="single" w:sz="4" w:space="0" w:color="000000"/>
              <w:bottom w:val="single" w:sz="4" w:space="0" w:color="000000"/>
              <w:right w:val="single" w:sz="4" w:space="0" w:color="000000"/>
            </w:tcBorders>
          </w:tcPr>
          <w:p w:rsidR="00F56D7A" w:rsidRDefault="006E3837">
            <w:pPr>
              <w:pStyle w:val="a8"/>
              <w:ind w:right="110"/>
              <w:jc w:val="right"/>
              <w:rPr>
                <w:rFonts w:ascii="黑体" w:eastAsia="黑体" w:hAnsi="黑体"/>
                <w:color w:val="000000"/>
                <w:sz w:val="22"/>
                <w:szCs w:val="22"/>
              </w:rPr>
            </w:pPr>
            <w:r>
              <w:rPr>
                <w:rFonts w:ascii="黑体" w:eastAsia="黑体" w:hAnsi="黑体"/>
                <w:color w:val="000000"/>
                <w:sz w:val="22"/>
                <w:szCs w:val="22"/>
              </w:rPr>
              <w:t>1,768,389.</w:t>
            </w:r>
            <w:r>
              <w:rPr>
                <w:rFonts w:ascii="黑体" w:eastAsia="黑体" w:hAnsi="黑体" w:hint="eastAsia"/>
                <w:color w:val="000000"/>
                <w:sz w:val="22"/>
                <w:szCs w:val="22"/>
              </w:rPr>
              <w:t>85</w:t>
            </w:r>
          </w:p>
        </w:tc>
      </w:tr>
      <w:tr w:rsidR="00F56D7A">
        <w:trPr>
          <w:trHeight w:hRule="exact" w:val="322"/>
        </w:trPr>
        <w:tc>
          <w:tcPr>
            <w:tcW w:w="3431" w:type="dxa"/>
            <w:tcBorders>
              <w:top w:val="single" w:sz="4" w:space="0" w:color="000000"/>
              <w:left w:val="single" w:sz="4" w:space="0" w:color="000000"/>
              <w:bottom w:val="single" w:sz="4" w:space="0" w:color="000000"/>
              <w:right w:val="single" w:sz="4" w:space="0" w:color="000000"/>
            </w:tcBorders>
          </w:tcPr>
          <w:p w:rsidR="00F56D7A" w:rsidRDefault="006E3837">
            <w:pPr>
              <w:pStyle w:val="a8"/>
              <w:rPr>
                <w:rFonts w:ascii="黑体" w:eastAsia="黑体" w:hAnsi="黑体"/>
                <w:sz w:val="22"/>
                <w:szCs w:val="22"/>
              </w:rPr>
            </w:pPr>
            <w:r>
              <w:rPr>
                <w:rFonts w:ascii="黑体" w:eastAsia="黑体" w:hAnsi="黑体" w:hint="eastAsia"/>
                <w:sz w:val="22"/>
                <w:szCs w:val="22"/>
              </w:rPr>
              <w:t>应付管理人报酬</w:t>
            </w:r>
          </w:p>
        </w:tc>
        <w:tc>
          <w:tcPr>
            <w:tcW w:w="4536" w:type="dxa"/>
            <w:tcBorders>
              <w:top w:val="single" w:sz="4" w:space="0" w:color="000000"/>
              <w:left w:val="single" w:sz="4" w:space="0" w:color="000000"/>
              <w:bottom w:val="single" w:sz="4" w:space="0" w:color="000000"/>
              <w:right w:val="single" w:sz="4" w:space="0" w:color="000000"/>
            </w:tcBorders>
          </w:tcPr>
          <w:p w:rsidR="00F56D7A" w:rsidRDefault="006E3837">
            <w:pPr>
              <w:pStyle w:val="a8"/>
              <w:ind w:right="110"/>
              <w:jc w:val="right"/>
              <w:rPr>
                <w:rFonts w:ascii="黑体" w:eastAsia="黑体" w:hAnsi="黑体"/>
                <w:color w:val="000000"/>
                <w:sz w:val="22"/>
                <w:szCs w:val="22"/>
              </w:rPr>
            </w:pPr>
            <w:r>
              <w:rPr>
                <w:rFonts w:ascii="黑体" w:eastAsia="黑体" w:hAnsi="黑体"/>
                <w:color w:val="000000"/>
                <w:sz w:val="22"/>
                <w:szCs w:val="22"/>
              </w:rPr>
              <w:t>4,190.55</w:t>
            </w:r>
          </w:p>
        </w:tc>
      </w:tr>
      <w:tr w:rsidR="00F56D7A">
        <w:trPr>
          <w:trHeight w:hRule="exact" w:val="322"/>
        </w:trPr>
        <w:tc>
          <w:tcPr>
            <w:tcW w:w="3431" w:type="dxa"/>
            <w:tcBorders>
              <w:top w:val="single" w:sz="4" w:space="0" w:color="000000"/>
              <w:left w:val="single" w:sz="4" w:space="0" w:color="000000"/>
              <w:bottom w:val="single" w:sz="4" w:space="0" w:color="000000"/>
              <w:right w:val="single" w:sz="4" w:space="0" w:color="000000"/>
            </w:tcBorders>
          </w:tcPr>
          <w:p w:rsidR="00F56D7A" w:rsidRDefault="006E3837">
            <w:pPr>
              <w:pStyle w:val="a8"/>
              <w:rPr>
                <w:rFonts w:ascii="黑体" w:eastAsia="黑体" w:hAnsi="黑体"/>
                <w:sz w:val="22"/>
                <w:szCs w:val="22"/>
              </w:rPr>
            </w:pPr>
            <w:r>
              <w:rPr>
                <w:rFonts w:ascii="黑体" w:eastAsia="黑体" w:hAnsi="黑体" w:hint="eastAsia"/>
                <w:sz w:val="22"/>
                <w:szCs w:val="22"/>
              </w:rPr>
              <w:t>应付托管费</w:t>
            </w:r>
          </w:p>
        </w:tc>
        <w:tc>
          <w:tcPr>
            <w:tcW w:w="4536" w:type="dxa"/>
            <w:tcBorders>
              <w:top w:val="single" w:sz="4" w:space="0" w:color="000000"/>
              <w:left w:val="single" w:sz="4" w:space="0" w:color="000000"/>
              <w:bottom w:val="single" w:sz="4" w:space="0" w:color="000000"/>
              <w:right w:val="single" w:sz="4" w:space="0" w:color="000000"/>
            </w:tcBorders>
          </w:tcPr>
          <w:p w:rsidR="00F56D7A" w:rsidRDefault="006E3837">
            <w:pPr>
              <w:pStyle w:val="a8"/>
              <w:ind w:right="110"/>
              <w:jc w:val="right"/>
              <w:rPr>
                <w:rFonts w:ascii="黑体" w:eastAsia="黑体" w:hAnsi="黑体"/>
                <w:color w:val="000000"/>
                <w:sz w:val="22"/>
                <w:szCs w:val="22"/>
              </w:rPr>
            </w:pPr>
            <w:r>
              <w:rPr>
                <w:rFonts w:ascii="黑体" w:eastAsia="黑体" w:hAnsi="黑体"/>
                <w:color w:val="000000"/>
                <w:sz w:val="22"/>
                <w:szCs w:val="22"/>
              </w:rPr>
              <w:t>873.03</w:t>
            </w:r>
          </w:p>
        </w:tc>
      </w:tr>
      <w:tr w:rsidR="00F56D7A">
        <w:trPr>
          <w:trHeight w:hRule="exact" w:val="322"/>
        </w:trPr>
        <w:tc>
          <w:tcPr>
            <w:tcW w:w="3431" w:type="dxa"/>
            <w:tcBorders>
              <w:top w:val="single" w:sz="4" w:space="0" w:color="000000"/>
              <w:left w:val="single" w:sz="4" w:space="0" w:color="000000"/>
              <w:bottom w:val="single" w:sz="4" w:space="0" w:color="000000"/>
              <w:right w:val="single" w:sz="4" w:space="0" w:color="000000"/>
            </w:tcBorders>
          </w:tcPr>
          <w:p w:rsidR="00F56D7A" w:rsidRDefault="006E3837">
            <w:pPr>
              <w:pStyle w:val="a8"/>
              <w:rPr>
                <w:rFonts w:ascii="黑体" w:eastAsia="黑体" w:hAnsi="黑体"/>
                <w:sz w:val="22"/>
                <w:szCs w:val="22"/>
              </w:rPr>
            </w:pPr>
            <w:r>
              <w:rPr>
                <w:rFonts w:ascii="黑体" w:eastAsia="黑体" w:hAnsi="黑体" w:hint="eastAsia"/>
                <w:sz w:val="22"/>
                <w:szCs w:val="22"/>
              </w:rPr>
              <w:t>应付交易费用</w:t>
            </w:r>
          </w:p>
        </w:tc>
        <w:tc>
          <w:tcPr>
            <w:tcW w:w="4536" w:type="dxa"/>
            <w:tcBorders>
              <w:top w:val="single" w:sz="4" w:space="0" w:color="000000"/>
              <w:left w:val="single" w:sz="4" w:space="0" w:color="000000"/>
              <w:bottom w:val="single" w:sz="4" w:space="0" w:color="000000"/>
              <w:right w:val="single" w:sz="4" w:space="0" w:color="000000"/>
            </w:tcBorders>
          </w:tcPr>
          <w:p w:rsidR="00F56D7A" w:rsidRDefault="006E3837">
            <w:pPr>
              <w:pStyle w:val="a8"/>
              <w:ind w:right="110"/>
              <w:jc w:val="right"/>
              <w:rPr>
                <w:rFonts w:ascii="黑体" w:eastAsia="黑体" w:hAnsi="黑体"/>
                <w:color w:val="000000"/>
                <w:sz w:val="22"/>
                <w:szCs w:val="22"/>
              </w:rPr>
            </w:pPr>
            <w:r>
              <w:rPr>
                <w:rFonts w:ascii="黑体" w:eastAsia="黑体" w:hAnsi="黑体"/>
                <w:color w:val="000000"/>
                <w:sz w:val="22"/>
                <w:szCs w:val="22"/>
              </w:rPr>
              <w:t>2,704.45</w:t>
            </w:r>
          </w:p>
        </w:tc>
      </w:tr>
      <w:tr w:rsidR="00F56D7A">
        <w:trPr>
          <w:trHeight w:hRule="exact" w:val="322"/>
        </w:trPr>
        <w:tc>
          <w:tcPr>
            <w:tcW w:w="3431" w:type="dxa"/>
            <w:tcBorders>
              <w:top w:val="single" w:sz="4" w:space="0" w:color="000000"/>
              <w:left w:val="single" w:sz="4" w:space="0" w:color="000000"/>
              <w:bottom w:val="single" w:sz="4" w:space="0" w:color="000000"/>
              <w:right w:val="single" w:sz="4" w:space="0" w:color="000000"/>
            </w:tcBorders>
          </w:tcPr>
          <w:p w:rsidR="00F56D7A" w:rsidRDefault="006E3837">
            <w:pPr>
              <w:pStyle w:val="a8"/>
              <w:rPr>
                <w:rFonts w:ascii="黑体" w:eastAsia="黑体" w:hAnsi="黑体"/>
                <w:sz w:val="22"/>
                <w:szCs w:val="22"/>
              </w:rPr>
            </w:pPr>
            <w:r>
              <w:rPr>
                <w:rFonts w:ascii="黑体" w:eastAsia="黑体" w:hAnsi="黑体" w:hint="eastAsia"/>
                <w:sz w:val="22"/>
                <w:szCs w:val="22"/>
              </w:rPr>
              <w:t>其他负债</w:t>
            </w:r>
          </w:p>
        </w:tc>
        <w:tc>
          <w:tcPr>
            <w:tcW w:w="4536" w:type="dxa"/>
            <w:tcBorders>
              <w:top w:val="single" w:sz="4" w:space="0" w:color="000000"/>
              <w:left w:val="single" w:sz="4" w:space="0" w:color="000000"/>
              <w:bottom w:val="single" w:sz="4" w:space="0" w:color="000000"/>
              <w:right w:val="single" w:sz="4" w:space="0" w:color="000000"/>
            </w:tcBorders>
            <w:vAlign w:val="bottom"/>
          </w:tcPr>
          <w:p w:rsidR="00F56D7A" w:rsidRDefault="006E3837">
            <w:pPr>
              <w:pStyle w:val="a8"/>
              <w:ind w:right="110"/>
              <w:jc w:val="right"/>
              <w:rPr>
                <w:rFonts w:ascii="黑体" w:eastAsia="黑体" w:hAnsi="黑体"/>
                <w:color w:val="000000"/>
                <w:sz w:val="22"/>
                <w:szCs w:val="22"/>
              </w:rPr>
            </w:pPr>
            <w:r>
              <w:rPr>
                <w:rFonts w:ascii="黑体" w:eastAsia="黑体" w:hAnsi="黑体"/>
                <w:color w:val="000000"/>
                <w:sz w:val="22"/>
                <w:szCs w:val="22"/>
              </w:rPr>
              <w:t>461,000.0</w:t>
            </w:r>
            <w:r>
              <w:rPr>
                <w:rFonts w:ascii="黑体" w:eastAsia="黑体" w:hAnsi="黑体" w:hint="eastAsia"/>
                <w:color w:val="000000"/>
                <w:sz w:val="22"/>
                <w:szCs w:val="22"/>
              </w:rPr>
              <w:t>4</w:t>
            </w:r>
          </w:p>
        </w:tc>
      </w:tr>
      <w:tr w:rsidR="00F56D7A">
        <w:trPr>
          <w:trHeight w:hRule="exact" w:val="322"/>
        </w:trPr>
        <w:tc>
          <w:tcPr>
            <w:tcW w:w="3431" w:type="dxa"/>
            <w:tcBorders>
              <w:top w:val="single" w:sz="4" w:space="0" w:color="000000"/>
              <w:left w:val="single" w:sz="4" w:space="0" w:color="000000"/>
              <w:bottom w:val="single" w:sz="4" w:space="0" w:color="000000"/>
              <w:right w:val="single" w:sz="4" w:space="0" w:color="000000"/>
            </w:tcBorders>
            <w:vAlign w:val="center"/>
          </w:tcPr>
          <w:p w:rsidR="00F56D7A" w:rsidRDefault="006E3837">
            <w:pPr>
              <w:pStyle w:val="a8"/>
              <w:rPr>
                <w:rFonts w:ascii="黑体" w:eastAsia="黑体" w:hAnsi="黑体"/>
                <w:sz w:val="22"/>
                <w:szCs w:val="22"/>
              </w:rPr>
            </w:pPr>
            <w:r>
              <w:rPr>
                <w:rFonts w:ascii="黑体" w:eastAsia="黑体" w:hAnsi="黑体" w:hint="eastAsia"/>
                <w:sz w:val="22"/>
                <w:szCs w:val="22"/>
              </w:rPr>
              <w:t>负债合计</w:t>
            </w:r>
          </w:p>
        </w:tc>
        <w:tc>
          <w:tcPr>
            <w:tcW w:w="4536" w:type="dxa"/>
            <w:tcBorders>
              <w:top w:val="single" w:sz="4" w:space="0" w:color="000000"/>
              <w:left w:val="single" w:sz="4" w:space="0" w:color="000000"/>
              <w:bottom w:val="single" w:sz="4" w:space="0" w:color="000000"/>
              <w:right w:val="single" w:sz="4" w:space="0" w:color="000000"/>
            </w:tcBorders>
            <w:vAlign w:val="bottom"/>
          </w:tcPr>
          <w:p w:rsidR="00F56D7A" w:rsidRDefault="006E3837">
            <w:pPr>
              <w:pStyle w:val="a8"/>
              <w:ind w:right="110"/>
              <w:jc w:val="right"/>
              <w:rPr>
                <w:rFonts w:ascii="黑体" w:eastAsia="黑体" w:hAnsi="黑体"/>
                <w:color w:val="000000"/>
                <w:sz w:val="22"/>
                <w:szCs w:val="22"/>
              </w:rPr>
            </w:pPr>
            <w:r>
              <w:rPr>
                <w:rFonts w:ascii="黑体" w:eastAsia="黑体" w:hAnsi="黑体" w:hint="eastAsia"/>
                <w:color w:val="000000"/>
                <w:sz w:val="22"/>
                <w:szCs w:val="22"/>
              </w:rPr>
              <w:t>2</w:t>
            </w:r>
            <w:r>
              <w:rPr>
                <w:rFonts w:ascii="黑体" w:eastAsia="黑体" w:hAnsi="黑体"/>
                <w:color w:val="000000"/>
                <w:sz w:val="22"/>
                <w:szCs w:val="22"/>
              </w:rPr>
              <w:t>,</w:t>
            </w:r>
            <w:r>
              <w:rPr>
                <w:rFonts w:ascii="黑体" w:eastAsia="黑体" w:hAnsi="黑体" w:hint="eastAsia"/>
                <w:color w:val="000000"/>
                <w:sz w:val="22"/>
                <w:szCs w:val="22"/>
              </w:rPr>
              <w:t>237</w:t>
            </w:r>
            <w:r>
              <w:rPr>
                <w:rFonts w:ascii="黑体" w:eastAsia="黑体" w:hAnsi="黑体"/>
                <w:color w:val="000000"/>
                <w:sz w:val="22"/>
                <w:szCs w:val="22"/>
              </w:rPr>
              <w:t>,</w:t>
            </w:r>
            <w:r>
              <w:rPr>
                <w:rFonts w:ascii="黑体" w:eastAsia="黑体" w:hAnsi="黑体" w:hint="eastAsia"/>
                <w:color w:val="000000"/>
                <w:sz w:val="22"/>
                <w:szCs w:val="22"/>
              </w:rPr>
              <w:t>157</w:t>
            </w:r>
            <w:r>
              <w:rPr>
                <w:rFonts w:ascii="黑体" w:eastAsia="黑体" w:hAnsi="黑体"/>
                <w:color w:val="000000"/>
                <w:sz w:val="22"/>
                <w:szCs w:val="22"/>
              </w:rPr>
              <w:t>.</w:t>
            </w:r>
            <w:r>
              <w:rPr>
                <w:rFonts w:ascii="黑体" w:eastAsia="黑体" w:hAnsi="黑体" w:hint="eastAsia"/>
                <w:color w:val="000000"/>
                <w:sz w:val="22"/>
                <w:szCs w:val="22"/>
              </w:rPr>
              <w:t>92</w:t>
            </w:r>
          </w:p>
        </w:tc>
      </w:tr>
      <w:tr w:rsidR="00F56D7A">
        <w:trPr>
          <w:trHeight w:hRule="exact" w:val="322"/>
        </w:trPr>
        <w:tc>
          <w:tcPr>
            <w:tcW w:w="3431" w:type="dxa"/>
            <w:tcBorders>
              <w:top w:val="single" w:sz="4" w:space="0" w:color="000000"/>
              <w:left w:val="single" w:sz="4" w:space="0" w:color="000000"/>
              <w:bottom w:val="single" w:sz="4" w:space="0" w:color="000000"/>
              <w:right w:val="single" w:sz="4" w:space="0" w:color="000000"/>
            </w:tcBorders>
            <w:vAlign w:val="center"/>
          </w:tcPr>
          <w:p w:rsidR="00F56D7A" w:rsidRDefault="006E3837">
            <w:pPr>
              <w:pStyle w:val="a8"/>
              <w:rPr>
                <w:rFonts w:ascii="黑体" w:eastAsia="黑体" w:hAnsi="黑体"/>
                <w:sz w:val="22"/>
                <w:szCs w:val="22"/>
              </w:rPr>
            </w:pPr>
            <w:r>
              <w:rPr>
                <w:rFonts w:ascii="黑体" w:eastAsia="黑体" w:hAnsi="黑体" w:hint="eastAsia"/>
                <w:b/>
                <w:sz w:val="22"/>
                <w:szCs w:val="22"/>
              </w:rPr>
              <w:t>所有者权益：</w:t>
            </w:r>
          </w:p>
        </w:tc>
        <w:tc>
          <w:tcPr>
            <w:tcW w:w="4536" w:type="dxa"/>
            <w:tcBorders>
              <w:top w:val="single" w:sz="4" w:space="0" w:color="000000"/>
              <w:left w:val="single" w:sz="4" w:space="0" w:color="000000"/>
              <w:bottom w:val="single" w:sz="4" w:space="0" w:color="000000"/>
              <w:right w:val="single" w:sz="4" w:space="0" w:color="000000"/>
            </w:tcBorders>
            <w:vAlign w:val="bottom"/>
          </w:tcPr>
          <w:p w:rsidR="00F56D7A" w:rsidRDefault="00F56D7A">
            <w:pPr>
              <w:jc w:val="right"/>
              <w:rPr>
                <w:rFonts w:ascii="黑体" w:eastAsia="黑体" w:hAnsi="黑体" w:cs="宋体"/>
                <w:color w:val="000000"/>
                <w:kern w:val="0"/>
                <w:sz w:val="22"/>
              </w:rPr>
            </w:pPr>
          </w:p>
        </w:tc>
      </w:tr>
      <w:tr w:rsidR="00F56D7A">
        <w:trPr>
          <w:trHeight w:hRule="exact" w:val="322"/>
        </w:trPr>
        <w:tc>
          <w:tcPr>
            <w:tcW w:w="3431" w:type="dxa"/>
            <w:tcBorders>
              <w:top w:val="single" w:sz="4" w:space="0" w:color="000000"/>
              <w:left w:val="single" w:sz="4" w:space="0" w:color="000000"/>
              <w:bottom w:val="single" w:sz="4" w:space="0" w:color="000000"/>
              <w:right w:val="single" w:sz="4" w:space="0" w:color="000000"/>
            </w:tcBorders>
            <w:vAlign w:val="center"/>
          </w:tcPr>
          <w:p w:rsidR="00F56D7A" w:rsidRDefault="006E3837">
            <w:pPr>
              <w:pStyle w:val="a8"/>
              <w:rPr>
                <w:rFonts w:ascii="黑体" w:eastAsia="黑体" w:hAnsi="黑体"/>
                <w:b/>
                <w:sz w:val="22"/>
                <w:szCs w:val="22"/>
              </w:rPr>
            </w:pPr>
            <w:r>
              <w:rPr>
                <w:rFonts w:ascii="黑体" w:eastAsia="黑体" w:hAnsi="黑体" w:hint="eastAsia"/>
                <w:sz w:val="22"/>
                <w:szCs w:val="22"/>
              </w:rPr>
              <w:t>实收基金</w:t>
            </w:r>
          </w:p>
        </w:tc>
        <w:tc>
          <w:tcPr>
            <w:tcW w:w="4536" w:type="dxa"/>
            <w:tcBorders>
              <w:top w:val="single" w:sz="4" w:space="0" w:color="000000"/>
              <w:left w:val="single" w:sz="4" w:space="0" w:color="000000"/>
              <w:bottom w:val="single" w:sz="4" w:space="0" w:color="000000"/>
              <w:right w:val="single" w:sz="4" w:space="0" w:color="000000"/>
            </w:tcBorders>
          </w:tcPr>
          <w:p w:rsidR="00F56D7A" w:rsidRDefault="006E3837">
            <w:pPr>
              <w:pStyle w:val="a8"/>
              <w:ind w:right="110"/>
              <w:jc w:val="right"/>
              <w:rPr>
                <w:rFonts w:ascii="黑体" w:eastAsia="黑体" w:hAnsi="黑体"/>
                <w:color w:val="000000"/>
                <w:sz w:val="22"/>
                <w:szCs w:val="22"/>
              </w:rPr>
            </w:pPr>
            <w:r>
              <w:rPr>
                <w:rFonts w:ascii="黑体" w:eastAsia="黑体" w:hAnsi="黑体"/>
                <w:color w:val="000000"/>
                <w:sz w:val="22"/>
                <w:szCs w:val="22"/>
              </w:rPr>
              <w:t>19,950,671.22</w:t>
            </w:r>
          </w:p>
        </w:tc>
      </w:tr>
      <w:tr w:rsidR="00F56D7A">
        <w:trPr>
          <w:trHeight w:hRule="exact" w:val="322"/>
        </w:trPr>
        <w:tc>
          <w:tcPr>
            <w:tcW w:w="3431" w:type="dxa"/>
            <w:tcBorders>
              <w:top w:val="single" w:sz="4" w:space="0" w:color="000000"/>
              <w:left w:val="single" w:sz="4" w:space="0" w:color="000000"/>
              <w:bottom w:val="single" w:sz="4" w:space="0" w:color="000000"/>
              <w:right w:val="single" w:sz="4" w:space="0" w:color="000000"/>
            </w:tcBorders>
            <w:vAlign w:val="center"/>
          </w:tcPr>
          <w:p w:rsidR="00F56D7A" w:rsidRDefault="006E3837">
            <w:pPr>
              <w:pStyle w:val="a8"/>
              <w:rPr>
                <w:rFonts w:ascii="黑体" w:eastAsia="黑体" w:hAnsi="黑体"/>
                <w:sz w:val="22"/>
                <w:szCs w:val="22"/>
              </w:rPr>
            </w:pPr>
            <w:r>
              <w:rPr>
                <w:rFonts w:ascii="黑体" w:eastAsia="黑体" w:hAnsi="黑体" w:hint="eastAsia"/>
                <w:sz w:val="22"/>
                <w:szCs w:val="22"/>
              </w:rPr>
              <w:t>未分配利润</w:t>
            </w:r>
          </w:p>
        </w:tc>
        <w:tc>
          <w:tcPr>
            <w:tcW w:w="4536" w:type="dxa"/>
            <w:tcBorders>
              <w:top w:val="single" w:sz="4" w:space="0" w:color="000000"/>
              <w:left w:val="single" w:sz="4" w:space="0" w:color="000000"/>
              <w:bottom w:val="single" w:sz="4" w:space="0" w:color="000000"/>
              <w:right w:val="single" w:sz="4" w:space="0" w:color="000000"/>
            </w:tcBorders>
          </w:tcPr>
          <w:p w:rsidR="00F56D7A" w:rsidRDefault="006E3837">
            <w:pPr>
              <w:pStyle w:val="a8"/>
              <w:ind w:right="110"/>
              <w:jc w:val="right"/>
              <w:rPr>
                <w:rFonts w:ascii="黑体" w:eastAsia="黑体" w:hAnsi="黑体"/>
                <w:color w:val="000000"/>
                <w:sz w:val="22"/>
                <w:szCs w:val="22"/>
              </w:rPr>
            </w:pPr>
            <w:r>
              <w:rPr>
                <w:rFonts w:ascii="黑体" w:eastAsia="黑体" w:hAnsi="黑体"/>
                <w:color w:val="000000"/>
                <w:sz w:val="22"/>
                <w:szCs w:val="22"/>
              </w:rPr>
              <w:t>-4,402,084.54</w:t>
            </w:r>
          </w:p>
        </w:tc>
      </w:tr>
      <w:tr w:rsidR="00F56D7A">
        <w:trPr>
          <w:trHeight w:hRule="exact" w:val="322"/>
        </w:trPr>
        <w:tc>
          <w:tcPr>
            <w:tcW w:w="3431" w:type="dxa"/>
            <w:tcBorders>
              <w:top w:val="single" w:sz="4" w:space="0" w:color="000000"/>
              <w:left w:val="single" w:sz="4" w:space="0" w:color="000000"/>
              <w:bottom w:val="single" w:sz="4" w:space="0" w:color="000000"/>
              <w:right w:val="single" w:sz="4" w:space="0" w:color="000000"/>
            </w:tcBorders>
            <w:vAlign w:val="center"/>
          </w:tcPr>
          <w:p w:rsidR="00F56D7A" w:rsidRDefault="006E3837">
            <w:pPr>
              <w:pStyle w:val="a8"/>
              <w:rPr>
                <w:rFonts w:ascii="黑体" w:eastAsia="黑体" w:hAnsi="黑体"/>
                <w:sz w:val="22"/>
                <w:szCs w:val="22"/>
              </w:rPr>
            </w:pPr>
            <w:r>
              <w:rPr>
                <w:rFonts w:ascii="黑体" w:eastAsia="黑体" w:hAnsi="黑体" w:hint="eastAsia"/>
                <w:sz w:val="22"/>
                <w:szCs w:val="22"/>
              </w:rPr>
              <w:t>所有者权益合计</w:t>
            </w:r>
          </w:p>
        </w:tc>
        <w:tc>
          <w:tcPr>
            <w:tcW w:w="4536" w:type="dxa"/>
            <w:tcBorders>
              <w:top w:val="single" w:sz="4" w:space="0" w:color="000000"/>
              <w:left w:val="single" w:sz="4" w:space="0" w:color="000000"/>
              <w:bottom w:val="single" w:sz="4" w:space="0" w:color="000000"/>
              <w:right w:val="single" w:sz="4" w:space="0" w:color="000000"/>
            </w:tcBorders>
            <w:vAlign w:val="bottom"/>
          </w:tcPr>
          <w:p w:rsidR="00F56D7A" w:rsidRDefault="006E3837">
            <w:pPr>
              <w:pStyle w:val="a8"/>
              <w:ind w:right="110"/>
              <w:jc w:val="right"/>
              <w:rPr>
                <w:rFonts w:ascii="黑体" w:eastAsia="黑体" w:hAnsi="黑体"/>
                <w:color w:val="000000"/>
                <w:sz w:val="22"/>
                <w:szCs w:val="22"/>
              </w:rPr>
            </w:pPr>
            <w:r>
              <w:rPr>
                <w:rFonts w:ascii="黑体" w:eastAsia="黑体" w:hAnsi="黑体"/>
                <w:color w:val="000000"/>
                <w:sz w:val="22"/>
                <w:szCs w:val="22"/>
              </w:rPr>
              <w:t>15,548,586.68</w:t>
            </w:r>
          </w:p>
        </w:tc>
      </w:tr>
      <w:tr w:rsidR="00F56D7A">
        <w:trPr>
          <w:trHeight w:hRule="exact" w:val="322"/>
        </w:trPr>
        <w:tc>
          <w:tcPr>
            <w:tcW w:w="3431" w:type="dxa"/>
            <w:tcBorders>
              <w:top w:val="single" w:sz="4" w:space="0" w:color="000000"/>
              <w:left w:val="single" w:sz="4" w:space="0" w:color="000000"/>
              <w:bottom w:val="single" w:sz="4" w:space="0" w:color="000000"/>
              <w:right w:val="single" w:sz="4" w:space="0" w:color="000000"/>
            </w:tcBorders>
            <w:vAlign w:val="center"/>
          </w:tcPr>
          <w:p w:rsidR="00F56D7A" w:rsidRDefault="006E3837">
            <w:pPr>
              <w:pStyle w:val="a8"/>
              <w:rPr>
                <w:rFonts w:ascii="黑体" w:eastAsia="黑体" w:hAnsi="黑体"/>
                <w:sz w:val="22"/>
                <w:szCs w:val="22"/>
              </w:rPr>
            </w:pPr>
            <w:r>
              <w:rPr>
                <w:rFonts w:ascii="黑体" w:eastAsia="黑体" w:hAnsi="黑体" w:hint="eastAsia"/>
                <w:sz w:val="22"/>
                <w:szCs w:val="22"/>
              </w:rPr>
              <w:t>负债和所有者权益总计</w:t>
            </w:r>
          </w:p>
        </w:tc>
        <w:tc>
          <w:tcPr>
            <w:tcW w:w="4536" w:type="dxa"/>
            <w:tcBorders>
              <w:top w:val="single" w:sz="4" w:space="0" w:color="000000"/>
              <w:left w:val="single" w:sz="4" w:space="0" w:color="000000"/>
              <w:bottom w:val="single" w:sz="4" w:space="0" w:color="000000"/>
              <w:right w:val="single" w:sz="4" w:space="0" w:color="000000"/>
            </w:tcBorders>
            <w:vAlign w:val="bottom"/>
          </w:tcPr>
          <w:p w:rsidR="00F56D7A" w:rsidRDefault="006E3837">
            <w:pPr>
              <w:ind w:right="110"/>
              <w:jc w:val="right"/>
              <w:rPr>
                <w:rFonts w:ascii="黑体" w:eastAsia="黑体" w:hAnsi="黑体" w:cs="宋体"/>
                <w:color w:val="000000"/>
                <w:kern w:val="0"/>
                <w:sz w:val="22"/>
              </w:rPr>
            </w:pPr>
            <w:r>
              <w:rPr>
                <w:rFonts w:ascii="黑体" w:eastAsia="黑体" w:hAnsi="黑体"/>
                <w:color w:val="000000"/>
                <w:sz w:val="22"/>
              </w:rPr>
              <w:t>17,785,744.60</w:t>
            </w:r>
          </w:p>
        </w:tc>
      </w:tr>
    </w:tbl>
    <w:p w:rsidR="00F56D7A" w:rsidRDefault="006E3837">
      <w:pPr>
        <w:pStyle w:val="a8"/>
        <w:rPr>
          <w:rFonts w:ascii="黑体" w:eastAsia="黑体" w:hAnsi="黑体"/>
          <w:sz w:val="22"/>
          <w:szCs w:val="22"/>
        </w:rPr>
      </w:pPr>
      <w:r>
        <w:rPr>
          <w:rFonts w:ascii="黑体" w:eastAsia="黑体" w:hAnsi="黑体" w:hint="eastAsia"/>
          <w:sz w:val="22"/>
          <w:szCs w:val="22"/>
        </w:rPr>
        <w:t>注</w:t>
      </w:r>
      <w:r>
        <w:rPr>
          <w:rFonts w:ascii="黑体" w:eastAsia="黑体" w:hAnsi="黑体"/>
          <w:sz w:val="22"/>
          <w:szCs w:val="22"/>
        </w:rPr>
        <w:t>：</w:t>
      </w:r>
      <w:r>
        <w:rPr>
          <w:rFonts w:ascii="黑体" w:eastAsia="黑体" w:hAnsi="黑体" w:hint="eastAsia"/>
          <w:sz w:val="22"/>
          <w:szCs w:val="22"/>
        </w:rPr>
        <w:t>于最后运作日 2018 年</w:t>
      </w:r>
      <w:r>
        <w:rPr>
          <w:rFonts w:ascii="黑体" w:eastAsia="黑体" w:hAnsi="黑体"/>
          <w:sz w:val="22"/>
          <w:szCs w:val="22"/>
        </w:rPr>
        <w:t>8</w:t>
      </w:r>
      <w:r>
        <w:rPr>
          <w:rFonts w:ascii="黑体" w:eastAsia="黑体" w:hAnsi="黑体" w:hint="eastAsia"/>
          <w:sz w:val="22"/>
          <w:szCs w:val="22"/>
        </w:rPr>
        <w:t xml:space="preserve"> 月</w:t>
      </w:r>
      <w:r>
        <w:rPr>
          <w:rFonts w:ascii="黑体" w:eastAsia="黑体" w:hAnsi="黑体"/>
          <w:sz w:val="22"/>
          <w:szCs w:val="22"/>
        </w:rPr>
        <w:t>6</w:t>
      </w:r>
      <w:r>
        <w:rPr>
          <w:rFonts w:ascii="黑体" w:eastAsia="黑体" w:hAnsi="黑体" w:hint="eastAsia"/>
          <w:sz w:val="22"/>
          <w:szCs w:val="22"/>
        </w:rPr>
        <w:t xml:space="preserve">日，永赢量化混合型发起式证券投资基金单位净值为 </w:t>
      </w:r>
      <w:r>
        <w:rPr>
          <w:rFonts w:ascii="黑体" w:eastAsia="黑体" w:hAnsi="黑体"/>
          <w:sz w:val="22"/>
          <w:szCs w:val="22"/>
        </w:rPr>
        <w:t>0.7794</w:t>
      </w:r>
      <w:r>
        <w:rPr>
          <w:rFonts w:ascii="黑体" w:eastAsia="黑体" w:hAnsi="黑体" w:hint="eastAsia"/>
          <w:sz w:val="22"/>
          <w:szCs w:val="22"/>
        </w:rPr>
        <w:t>元，份额为19,950,671.22份，资产净值为15,548,586.68元。</w:t>
      </w:r>
    </w:p>
    <w:p w:rsidR="00F56D7A" w:rsidRDefault="00F56D7A">
      <w:pPr>
        <w:widowControl/>
        <w:rPr>
          <w:rFonts w:ascii="Times New Roman" w:eastAsia="宋体" w:hAnsi="宋体" w:cs="Times New Roman"/>
          <w:bCs/>
          <w:sz w:val="24"/>
          <w:szCs w:val="24"/>
        </w:rPr>
      </w:pPr>
    </w:p>
    <w:p w:rsidR="00F56D7A" w:rsidRDefault="00F56D7A">
      <w:pPr>
        <w:widowControl/>
        <w:rPr>
          <w:rFonts w:ascii="Times New Roman" w:eastAsia="宋体" w:hAnsi="宋体" w:cs="Times New Roman"/>
          <w:bCs/>
          <w:sz w:val="24"/>
          <w:szCs w:val="24"/>
        </w:rPr>
      </w:pPr>
    </w:p>
    <w:p w:rsidR="00F56D7A" w:rsidRDefault="00F56D7A">
      <w:pPr>
        <w:widowControl/>
        <w:rPr>
          <w:rFonts w:ascii="Times New Roman" w:eastAsia="宋体" w:hAnsi="宋体" w:cs="Times New Roman"/>
          <w:bCs/>
          <w:sz w:val="24"/>
          <w:szCs w:val="24"/>
        </w:rPr>
      </w:pPr>
    </w:p>
    <w:p w:rsidR="00F56D7A" w:rsidRDefault="00F56D7A">
      <w:pPr>
        <w:widowControl/>
        <w:rPr>
          <w:rFonts w:ascii="Times New Roman" w:eastAsia="宋体" w:hAnsi="宋体" w:cs="Times New Roman"/>
          <w:bCs/>
          <w:sz w:val="24"/>
          <w:szCs w:val="24"/>
        </w:rPr>
      </w:pPr>
    </w:p>
    <w:p w:rsidR="00F56D7A" w:rsidRDefault="00F56D7A">
      <w:pPr>
        <w:widowControl/>
        <w:rPr>
          <w:rFonts w:ascii="Times New Roman" w:eastAsia="宋体" w:hAnsi="宋体" w:cs="Times New Roman"/>
          <w:bCs/>
          <w:sz w:val="24"/>
          <w:szCs w:val="24"/>
        </w:rPr>
      </w:pPr>
    </w:p>
    <w:p w:rsidR="00F56D7A" w:rsidRDefault="00F56D7A">
      <w:pPr>
        <w:widowControl/>
        <w:rPr>
          <w:rFonts w:ascii="Times New Roman" w:eastAsia="宋体" w:hAnsi="宋体" w:cs="Times New Roman"/>
          <w:bCs/>
          <w:sz w:val="24"/>
          <w:szCs w:val="24"/>
        </w:rPr>
      </w:pPr>
    </w:p>
    <w:p w:rsidR="00F56D7A" w:rsidRDefault="00F56D7A">
      <w:pPr>
        <w:widowControl/>
        <w:rPr>
          <w:rFonts w:ascii="Times New Roman" w:eastAsia="宋体" w:hAnsi="宋体" w:cs="Times New Roman"/>
          <w:bCs/>
          <w:sz w:val="24"/>
          <w:szCs w:val="24"/>
        </w:rPr>
      </w:pPr>
    </w:p>
    <w:p w:rsidR="00F56D7A" w:rsidRDefault="00F56D7A">
      <w:pPr>
        <w:widowControl/>
        <w:rPr>
          <w:rFonts w:ascii="Times New Roman" w:eastAsia="宋体" w:hAnsi="宋体" w:cs="Times New Roman"/>
          <w:bCs/>
          <w:sz w:val="24"/>
          <w:szCs w:val="24"/>
        </w:rPr>
      </w:pPr>
    </w:p>
    <w:p w:rsidR="00835040" w:rsidRDefault="00835040">
      <w:pPr>
        <w:widowControl/>
        <w:rPr>
          <w:rFonts w:ascii="Times New Roman" w:eastAsia="宋体" w:hAnsi="宋体" w:cs="Times New Roman"/>
          <w:bCs/>
          <w:sz w:val="24"/>
          <w:szCs w:val="24"/>
        </w:rPr>
      </w:pPr>
    </w:p>
    <w:p w:rsidR="00835040" w:rsidRDefault="00835040">
      <w:pPr>
        <w:widowControl/>
        <w:rPr>
          <w:rFonts w:ascii="Times New Roman" w:eastAsia="宋体" w:hAnsi="宋体" w:cs="Times New Roman"/>
          <w:bCs/>
          <w:sz w:val="24"/>
          <w:szCs w:val="24"/>
        </w:rPr>
      </w:pPr>
    </w:p>
    <w:p w:rsidR="00835040" w:rsidRDefault="00835040">
      <w:pPr>
        <w:widowControl/>
        <w:rPr>
          <w:rFonts w:ascii="Times New Roman" w:eastAsia="宋体" w:hAnsi="宋体" w:cs="Times New Roman"/>
          <w:bCs/>
          <w:sz w:val="24"/>
          <w:szCs w:val="24"/>
        </w:rPr>
      </w:pPr>
    </w:p>
    <w:p w:rsidR="00835040" w:rsidRDefault="00835040">
      <w:pPr>
        <w:widowControl/>
        <w:rPr>
          <w:rFonts w:ascii="Times New Roman" w:eastAsia="宋体" w:hAnsi="宋体" w:cs="Times New Roman"/>
          <w:bCs/>
          <w:sz w:val="24"/>
          <w:szCs w:val="24"/>
        </w:rPr>
      </w:pPr>
    </w:p>
    <w:p w:rsidR="00835040" w:rsidRDefault="00835040">
      <w:pPr>
        <w:widowControl/>
        <w:rPr>
          <w:rFonts w:ascii="Times New Roman" w:eastAsia="宋体" w:hAnsi="宋体" w:cs="Times New Roman"/>
          <w:bCs/>
          <w:sz w:val="24"/>
          <w:szCs w:val="24"/>
        </w:rPr>
      </w:pPr>
    </w:p>
    <w:p w:rsidR="00835040" w:rsidRDefault="00835040">
      <w:pPr>
        <w:widowControl/>
        <w:rPr>
          <w:rFonts w:ascii="Times New Roman" w:eastAsia="宋体" w:hAnsi="宋体" w:cs="Times New Roman"/>
          <w:bCs/>
          <w:sz w:val="24"/>
          <w:szCs w:val="24"/>
        </w:rPr>
      </w:pPr>
    </w:p>
    <w:p w:rsidR="00F56D7A" w:rsidRDefault="00F56D7A">
      <w:pPr>
        <w:widowControl/>
        <w:rPr>
          <w:rFonts w:ascii="Times New Roman" w:eastAsia="宋体" w:hAnsi="宋体" w:cs="Times New Roman"/>
          <w:bCs/>
          <w:sz w:val="24"/>
          <w:szCs w:val="24"/>
        </w:rPr>
      </w:pPr>
    </w:p>
    <w:p w:rsidR="00F56D7A" w:rsidRDefault="00F56D7A">
      <w:pPr>
        <w:widowControl/>
        <w:rPr>
          <w:rFonts w:ascii="Times New Roman" w:eastAsia="宋体" w:hAnsi="宋体" w:cs="Times New Roman"/>
          <w:bCs/>
          <w:sz w:val="24"/>
          <w:szCs w:val="24"/>
        </w:rPr>
      </w:pPr>
    </w:p>
    <w:p w:rsidR="00F56D7A" w:rsidRDefault="00F56D7A">
      <w:pPr>
        <w:widowControl/>
        <w:rPr>
          <w:rFonts w:ascii="Times New Roman" w:eastAsia="宋体" w:hAnsi="宋体" w:cs="Times New Roman"/>
          <w:bCs/>
          <w:sz w:val="24"/>
          <w:szCs w:val="24"/>
        </w:rPr>
      </w:pPr>
    </w:p>
    <w:p w:rsidR="00F56D7A" w:rsidRDefault="00F56D7A">
      <w:pPr>
        <w:widowControl/>
        <w:rPr>
          <w:rFonts w:ascii="Times New Roman" w:eastAsia="宋体" w:hAnsi="宋体" w:cs="Times New Roman"/>
          <w:bCs/>
          <w:sz w:val="24"/>
          <w:szCs w:val="24"/>
        </w:rPr>
      </w:pPr>
    </w:p>
    <w:p w:rsidR="00F56D7A" w:rsidRDefault="00F56D7A">
      <w:pPr>
        <w:widowControl/>
        <w:rPr>
          <w:rFonts w:ascii="Times New Roman" w:eastAsia="宋体" w:hAnsi="宋体" w:cs="Times New Roman"/>
          <w:bCs/>
          <w:sz w:val="24"/>
          <w:szCs w:val="24"/>
        </w:rPr>
      </w:pPr>
    </w:p>
    <w:p w:rsidR="00F56D7A" w:rsidRDefault="006E3837">
      <w:pPr>
        <w:widowControl/>
        <w:rPr>
          <w:rFonts w:ascii="Times New Roman" w:eastAsia="宋体" w:hAnsi="宋体" w:cs="Times New Roman"/>
          <w:b/>
          <w:bCs/>
          <w:sz w:val="28"/>
          <w:szCs w:val="28"/>
        </w:rPr>
      </w:pPr>
      <w:r>
        <w:rPr>
          <w:rFonts w:ascii="Times New Roman" w:eastAsia="宋体" w:hAnsi="宋体" w:cs="Times New Roman" w:hint="eastAsia"/>
          <w:b/>
          <w:bCs/>
          <w:sz w:val="28"/>
          <w:szCs w:val="28"/>
        </w:rPr>
        <w:t>四</w:t>
      </w:r>
      <w:r>
        <w:rPr>
          <w:rFonts w:ascii="Times New Roman" w:eastAsia="宋体" w:hAnsi="宋体" w:cs="Times New Roman"/>
          <w:b/>
          <w:bCs/>
          <w:sz w:val="28"/>
          <w:szCs w:val="28"/>
        </w:rPr>
        <w:t>、清盘事项说明</w:t>
      </w:r>
    </w:p>
    <w:p w:rsidR="00F56D7A" w:rsidRDefault="00F56D7A">
      <w:pPr>
        <w:widowControl/>
        <w:rPr>
          <w:rFonts w:ascii="Times New Roman" w:eastAsia="宋体" w:hAnsi="宋体" w:cs="Times New Roman"/>
          <w:bCs/>
          <w:sz w:val="24"/>
          <w:szCs w:val="24"/>
        </w:rPr>
      </w:pPr>
    </w:p>
    <w:p w:rsidR="00F56D7A" w:rsidRDefault="006E3837">
      <w:pPr>
        <w:pStyle w:val="ab"/>
        <w:widowControl/>
        <w:numPr>
          <w:ilvl w:val="0"/>
          <w:numId w:val="1"/>
        </w:numPr>
        <w:ind w:firstLineChars="0"/>
        <w:rPr>
          <w:rFonts w:ascii="Times New Roman" w:eastAsia="宋体" w:hAnsi="宋体" w:cs="Times New Roman"/>
          <w:bCs/>
          <w:sz w:val="24"/>
          <w:szCs w:val="24"/>
        </w:rPr>
      </w:pPr>
      <w:r>
        <w:rPr>
          <w:rFonts w:ascii="Times New Roman" w:eastAsia="宋体" w:hAnsi="宋体" w:cs="Times New Roman"/>
          <w:bCs/>
          <w:sz w:val="24"/>
          <w:szCs w:val="24"/>
        </w:rPr>
        <w:t>清</w:t>
      </w:r>
      <w:r>
        <w:rPr>
          <w:rFonts w:ascii="Times New Roman" w:eastAsia="宋体" w:hAnsi="宋体" w:cs="Times New Roman" w:hint="eastAsia"/>
          <w:bCs/>
          <w:sz w:val="24"/>
          <w:szCs w:val="24"/>
        </w:rPr>
        <w:t>算</w:t>
      </w:r>
      <w:r>
        <w:rPr>
          <w:rFonts w:ascii="Times New Roman" w:eastAsia="宋体" w:hAnsi="宋体" w:cs="Times New Roman"/>
          <w:bCs/>
          <w:sz w:val="24"/>
          <w:szCs w:val="24"/>
        </w:rPr>
        <w:t>原因</w:t>
      </w:r>
    </w:p>
    <w:p w:rsidR="00F56D7A" w:rsidRDefault="00F56D7A">
      <w:pPr>
        <w:pStyle w:val="a9"/>
        <w:spacing w:before="0" w:after="0" w:line="360" w:lineRule="auto"/>
        <w:ind w:firstLineChars="200" w:firstLine="480"/>
        <w:jc w:val="both"/>
        <w:rPr>
          <w:rFonts w:ascii="Times New Roman" w:hAnsi="宋体"/>
          <w:b w:val="0"/>
          <w:sz w:val="24"/>
          <w:szCs w:val="24"/>
        </w:rPr>
      </w:pP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根据《基金合同》</w:t>
      </w:r>
      <w:r>
        <w:rPr>
          <w:rFonts w:ascii="Times New Roman" w:hAnsi="宋体"/>
          <w:b w:val="0"/>
          <w:sz w:val="24"/>
          <w:szCs w:val="24"/>
        </w:rPr>
        <w:t>第五部分“基金备案”第三条约定：“基金合同生效满</w:t>
      </w:r>
      <w:r>
        <w:rPr>
          <w:rFonts w:ascii="Times New Roman" w:hAnsi="宋体"/>
          <w:b w:val="0"/>
          <w:sz w:val="24"/>
          <w:szCs w:val="24"/>
        </w:rPr>
        <w:t>3</w:t>
      </w:r>
      <w:r>
        <w:rPr>
          <w:rFonts w:ascii="Times New Roman" w:hAnsi="宋体"/>
          <w:b w:val="0"/>
          <w:sz w:val="24"/>
          <w:szCs w:val="24"/>
        </w:rPr>
        <w:t>年之日（自基金合同生效之日起</w:t>
      </w:r>
      <w:r>
        <w:rPr>
          <w:rFonts w:ascii="Times New Roman" w:hAnsi="宋体"/>
          <w:b w:val="0"/>
          <w:sz w:val="24"/>
          <w:szCs w:val="24"/>
        </w:rPr>
        <w:t xml:space="preserve"> 3</w:t>
      </w:r>
      <w:r>
        <w:rPr>
          <w:rFonts w:ascii="Times New Roman" w:hAnsi="宋体"/>
          <w:b w:val="0"/>
          <w:sz w:val="24"/>
          <w:szCs w:val="24"/>
        </w:rPr>
        <w:t>年后的对应日，若该日为非工作日则顺延至下一工作日），若基金资产净值低于</w:t>
      </w:r>
      <w:r>
        <w:rPr>
          <w:rFonts w:ascii="Times New Roman" w:hAnsi="宋体"/>
          <w:b w:val="0"/>
          <w:sz w:val="24"/>
          <w:szCs w:val="24"/>
        </w:rPr>
        <w:t>2</w:t>
      </w:r>
      <w:r>
        <w:rPr>
          <w:rFonts w:ascii="Times New Roman" w:hAnsi="宋体"/>
          <w:b w:val="0"/>
          <w:sz w:val="24"/>
          <w:szCs w:val="24"/>
        </w:rPr>
        <w:t>亿元，本基金合同自动终止，且不得通过召开基金份额持有人大会延续基金合同期限。”</w:t>
      </w:r>
    </w:p>
    <w:p w:rsidR="00F56D7A" w:rsidRDefault="00F56D7A">
      <w:pPr>
        <w:pStyle w:val="a9"/>
        <w:spacing w:before="0" w:after="0" w:line="360" w:lineRule="auto"/>
        <w:ind w:firstLineChars="200" w:firstLine="480"/>
        <w:jc w:val="both"/>
        <w:rPr>
          <w:rFonts w:ascii="Times New Roman" w:hAnsi="宋体"/>
          <w:b w:val="0"/>
          <w:sz w:val="24"/>
          <w:szCs w:val="24"/>
        </w:rPr>
      </w:pP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本基金基金合同生效日为</w:t>
      </w:r>
      <w:r>
        <w:rPr>
          <w:rFonts w:ascii="Times New Roman" w:hAnsi="宋体" w:hint="eastAsia"/>
          <w:b w:val="0"/>
          <w:sz w:val="24"/>
          <w:szCs w:val="24"/>
        </w:rPr>
        <w:t>2015</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hint="eastAsia"/>
          <w:b w:val="0"/>
          <w:sz w:val="24"/>
          <w:szCs w:val="24"/>
        </w:rPr>
        <w:t>6</w:t>
      </w:r>
      <w:r>
        <w:rPr>
          <w:rFonts w:ascii="Times New Roman" w:hAnsi="宋体" w:hint="eastAsia"/>
          <w:b w:val="0"/>
          <w:sz w:val="24"/>
          <w:szCs w:val="24"/>
        </w:rPr>
        <w:t>日，基金合同生效满</w:t>
      </w:r>
      <w:r>
        <w:rPr>
          <w:rFonts w:ascii="Times New Roman" w:hAnsi="宋体" w:hint="eastAsia"/>
          <w:b w:val="0"/>
          <w:sz w:val="24"/>
          <w:szCs w:val="24"/>
        </w:rPr>
        <w:t>3</w:t>
      </w:r>
      <w:r>
        <w:rPr>
          <w:rFonts w:ascii="Times New Roman" w:hAnsi="宋体" w:hint="eastAsia"/>
          <w:b w:val="0"/>
          <w:sz w:val="24"/>
          <w:szCs w:val="24"/>
        </w:rPr>
        <w:t>年</w:t>
      </w:r>
      <w:r>
        <w:rPr>
          <w:rFonts w:ascii="Times New Roman" w:hAnsi="宋体"/>
          <w:b w:val="0"/>
          <w:sz w:val="24"/>
          <w:szCs w:val="24"/>
        </w:rPr>
        <w:t>之日</w:t>
      </w:r>
      <w:r>
        <w:rPr>
          <w:rFonts w:ascii="Times New Roman" w:hAnsi="宋体" w:hint="eastAsia"/>
          <w:b w:val="0"/>
          <w:sz w:val="24"/>
          <w:szCs w:val="24"/>
        </w:rPr>
        <w:t>为</w:t>
      </w:r>
      <w:r>
        <w:rPr>
          <w:rFonts w:ascii="Times New Roman" w:hAnsi="宋体" w:hint="eastAsia"/>
          <w:b w:val="0"/>
          <w:sz w:val="24"/>
          <w:szCs w:val="24"/>
        </w:rPr>
        <w:t>2018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hint="eastAsia"/>
          <w:b w:val="0"/>
          <w:sz w:val="24"/>
          <w:szCs w:val="24"/>
        </w:rPr>
        <w:t>6</w:t>
      </w:r>
      <w:r>
        <w:rPr>
          <w:rFonts w:ascii="Times New Roman" w:hAnsi="宋体" w:hint="eastAsia"/>
          <w:b w:val="0"/>
          <w:sz w:val="24"/>
          <w:szCs w:val="24"/>
        </w:rPr>
        <w:t>日。截至</w:t>
      </w:r>
      <w:r>
        <w:rPr>
          <w:rFonts w:ascii="Times New Roman" w:hAnsi="宋体" w:hint="eastAsia"/>
          <w:b w:val="0"/>
          <w:sz w:val="24"/>
          <w:szCs w:val="24"/>
        </w:rPr>
        <w:t>2018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hint="eastAsia"/>
          <w:b w:val="0"/>
          <w:sz w:val="24"/>
          <w:szCs w:val="24"/>
        </w:rPr>
        <w:t>6</w:t>
      </w:r>
      <w:r>
        <w:rPr>
          <w:rFonts w:ascii="Times New Roman" w:hAnsi="宋体" w:hint="eastAsia"/>
          <w:b w:val="0"/>
          <w:sz w:val="24"/>
          <w:szCs w:val="24"/>
        </w:rPr>
        <w:t>日日终，本基金基金资产净值低于人民币</w:t>
      </w:r>
      <w:r>
        <w:rPr>
          <w:rFonts w:ascii="Times New Roman" w:hAnsi="宋体" w:hint="eastAsia"/>
          <w:b w:val="0"/>
          <w:sz w:val="24"/>
          <w:szCs w:val="24"/>
        </w:rPr>
        <w:t>2</w:t>
      </w:r>
      <w:r>
        <w:rPr>
          <w:rFonts w:ascii="Times New Roman" w:hAnsi="宋体" w:hint="eastAsia"/>
          <w:b w:val="0"/>
          <w:sz w:val="24"/>
          <w:szCs w:val="24"/>
        </w:rPr>
        <w:t>亿元。根据本基金基金合同的约定，本基金管理人决定本基金最后运作日为</w:t>
      </w:r>
      <w:r>
        <w:rPr>
          <w:rFonts w:ascii="Times New Roman" w:hAnsi="宋体" w:hint="eastAsia"/>
          <w:b w:val="0"/>
          <w:sz w:val="24"/>
          <w:szCs w:val="24"/>
        </w:rPr>
        <w:t>2018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hint="eastAsia"/>
          <w:b w:val="0"/>
          <w:sz w:val="24"/>
          <w:szCs w:val="24"/>
        </w:rPr>
        <w:t>6</w:t>
      </w:r>
      <w:r>
        <w:rPr>
          <w:rFonts w:ascii="Times New Roman" w:hAnsi="宋体" w:hint="eastAsia"/>
          <w:b w:val="0"/>
          <w:sz w:val="24"/>
          <w:szCs w:val="24"/>
        </w:rPr>
        <w:t>日，自</w:t>
      </w:r>
      <w:r>
        <w:rPr>
          <w:rFonts w:ascii="Times New Roman" w:hAnsi="宋体" w:hint="eastAsia"/>
          <w:b w:val="0"/>
          <w:sz w:val="24"/>
          <w:szCs w:val="24"/>
        </w:rPr>
        <w:t>2018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hint="eastAsia"/>
          <w:b w:val="0"/>
          <w:sz w:val="24"/>
          <w:szCs w:val="24"/>
        </w:rPr>
        <w:t>7</w:t>
      </w:r>
      <w:r>
        <w:rPr>
          <w:rFonts w:ascii="Times New Roman" w:hAnsi="宋体" w:hint="eastAsia"/>
          <w:b w:val="0"/>
          <w:sz w:val="24"/>
          <w:szCs w:val="24"/>
        </w:rPr>
        <w:t>日进入清算期，无需召开基金份额持有人大会。</w:t>
      </w:r>
    </w:p>
    <w:p w:rsidR="00F56D7A" w:rsidRDefault="00F56D7A"/>
    <w:p w:rsidR="00F56D7A" w:rsidRDefault="006E3837">
      <w:pPr>
        <w:pStyle w:val="ab"/>
        <w:widowControl/>
        <w:numPr>
          <w:ilvl w:val="0"/>
          <w:numId w:val="1"/>
        </w:numPr>
        <w:ind w:firstLineChars="0"/>
        <w:rPr>
          <w:rFonts w:ascii="Times New Roman" w:eastAsia="宋体" w:hAnsi="宋体" w:cs="Times New Roman"/>
          <w:bCs/>
          <w:sz w:val="24"/>
          <w:szCs w:val="24"/>
        </w:rPr>
      </w:pPr>
      <w:r>
        <w:rPr>
          <w:rFonts w:ascii="Times New Roman" w:eastAsia="宋体" w:hAnsi="宋体" w:cs="Times New Roman"/>
          <w:bCs/>
          <w:sz w:val="24"/>
          <w:szCs w:val="24"/>
        </w:rPr>
        <w:t>清算起始日</w:t>
      </w:r>
    </w:p>
    <w:p w:rsidR="00F56D7A" w:rsidRDefault="00F56D7A">
      <w:pPr>
        <w:pStyle w:val="ab"/>
        <w:ind w:left="360" w:firstLineChars="0" w:firstLine="0"/>
      </w:pP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根据《永赢基金管理有限公司关于永赢量化混合型发起式证券投资基金基金合同终止及基金财产清算的公告》，本基金自</w:t>
      </w:r>
      <w:r>
        <w:rPr>
          <w:rFonts w:ascii="Times New Roman" w:hAnsi="宋体" w:hint="eastAsia"/>
          <w:b w:val="0"/>
          <w:sz w:val="24"/>
          <w:szCs w:val="24"/>
        </w:rPr>
        <w:t>2018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hint="eastAsia"/>
          <w:b w:val="0"/>
          <w:sz w:val="24"/>
          <w:szCs w:val="24"/>
        </w:rPr>
        <w:t>7</w:t>
      </w:r>
      <w:r>
        <w:rPr>
          <w:rFonts w:ascii="Times New Roman" w:hAnsi="宋体" w:hint="eastAsia"/>
          <w:b w:val="0"/>
          <w:sz w:val="24"/>
          <w:szCs w:val="24"/>
        </w:rPr>
        <w:t>日起进入清算程序，故本基金清算起始日为</w:t>
      </w:r>
      <w:r>
        <w:rPr>
          <w:rFonts w:ascii="Times New Roman" w:hAnsi="宋体" w:hint="eastAsia"/>
          <w:b w:val="0"/>
          <w:sz w:val="24"/>
          <w:szCs w:val="24"/>
        </w:rPr>
        <w:t>2018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hint="eastAsia"/>
          <w:b w:val="0"/>
          <w:sz w:val="24"/>
          <w:szCs w:val="24"/>
        </w:rPr>
        <w:t>7</w:t>
      </w:r>
      <w:r>
        <w:rPr>
          <w:rFonts w:ascii="Times New Roman" w:hAnsi="宋体" w:hint="eastAsia"/>
          <w:b w:val="0"/>
          <w:sz w:val="24"/>
          <w:szCs w:val="24"/>
        </w:rPr>
        <w:t>日。</w:t>
      </w:r>
    </w:p>
    <w:p w:rsidR="00F56D7A" w:rsidRDefault="00F56D7A">
      <w:pPr>
        <w:pStyle w:val="a9"/>
        <w:spacing w:before="0" w:after="0" w:line="360" w:lineRule="auto"/>
        <w:ind w:firstLineChars="200" w:firstLine="480"/>
        <w:jc w:val="both"/>
        <w:rPr>
          <w:rFonts w:ascii="Times New Roman" w:hAnsi="宋体"/>
          <w:b w:val="0"/>
          <w:sz w:val="24"/>
          <w:szCs w:val="24"/>
        </w:rPr>
      </w:pP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由于本基金持有的流通受限股票无法确定变现时间，本基金将进行两次清算，其中第一次清算期间为</w:t>
      </w:r>
      <w:r>
        <w:rPr>
          <w:rFonts w:ascii="Times New Roman" w:hAnsi="宋体" w:hint="eastAsia"/>
          <w:b w:val="0"/>
          <w:sz w:val="24"/>
          <w:szCs w:val="24"/>
        </w:rPr>
        <w:t>2018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hint="eastAsia"/>
          <w:b w:val="0"/>
          <w:sz w:val="24"/>
          <w:szCs w:val="24"/>
        </w:rPr>
        <w:t>7</w:t>
      </w:r>
      <w:r>
        <w:rPr>
          <w:rFonts w:ascii="Times New Roman" w:hAnsi="宋体" w:hint="eastAsia"/>
          <w:b w:val="0"/>
          <w:sz w:val="24"/>
          <w:szCs w:val="24"/>
        </w:rPr>
        <w:t>日至</w:t>
      </w:r>
      <w:r>
        <w:rPr>
          <w:rFonts w:ascii="Times New Roman" w:hAnsi="宋体" w:hint="eastAsia"/>
          <w:b w:val="0"/>
          <w:sz w:val="24"/>
          <w:szCs w:val="24"/>
        </w:rPr>
        <w:t>2018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hint="eastAsia"/>
          <w:b w:val="0"/>
          <w:sz w:val="24"/>
          <w:szCs w:val="24"/>
        </w:rPr>
        <w:t>15</w:t>
      </w:r>
      <w:r>
        <w:rPr>
          <w:rFonts w:ascii="Times New Roman" w:hAnsi="宋体" w:hint="eastAsia"/>
          <w:b w:val="0"/>
          <w:sz w:val="24"/>
          <w:szCs w:val="24"/>
        </w:rPr>
        <w:t>日，本基金将于前述未变现资产全部变现后进入二次清算程序，并将清算后的全部剩余财产扣除基金财产清算费用并清偿债务后，按基金份额持有人持有的基金份额比例进行二次分配。</w:t>
      </w:r>
    </w:p>
    <w:p w:rsidR="00F56D7A" w:rsidRDefault="00F56D7A"/>
    <w:p w:rsidR="00F56D7A" w:rsidRDefault="006E3837">
      <w:pPr>
        <w:pStyle w:val="a9"/>
        <w:numPr>
          <w:ilvl w:val="0"/>
          <w:numId w:val="1"/>
        </w:numPr>
        <w:spacing w:before="0" w:after="0" w:line="360" w:lineRule="auto"/>
        <w:jc w:val="both"/>
        <w:rPr>
          <w:rFonts w:ascii="Times New Roman" w:hAnsi="宋体"/>
          <w:b w:val="0"/>
          <w:sz w:val="24"/>
          <w:szCs w:val="24"/>
        </w:rPr>
      </w:pPr>
      <w:r>
        <w:rPr>
          <w:rFonts w:ascii="Times New Roman" w:hAnsi="宋体" w:hint="eastAsia"/>
          <w:b w:val="0"/>
          <w:sz w:val="24"/>
          <w:szCs w:val="24"/>
        </w:rPr>
        <w:t>清算报表编制基础</w:t>
      </w:r>
    </w:p>
    <w:p w:rsidR="00F56D7A" w:rsidRDefault="00F56D7A">
      <w:pPr>
        <w:pStyle w:val="a9"/>
        <w:spacing w:before="0" w:after="0" w:line="360" w:lineRule="auto"/>
        <w:jc w:val="both"/>
        <w:rPr>
          <w:rFonts w:ascii="Times New Roman" w:hAnsi="宋体"/>
          <w:b w:val="0"/>
          <w:sz w:val="24"/>
          <w:szCs w:val="24"/>
        </w:rPr>
      </w:pP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本基金的清算报表是在非持续经营的前提下参考《企业会计准则》及《证券投资基金会计核算业务指引》的有关规定编制的。自本基金最后运作日起，资产负债按清算价格计价。由于报告性质所致，本清算报表并无比较期间的相关数据列示。</w:t>
      </w:r>
    </w:p>
    <w:p w:rsidR="00F56D7A" w:rsidRDefault="00F56D7A">
      <w:pPr>
        <w:pStyle w:val="a9"/>
        <w:spacing w:before="0" w:after="0" w:line="360" w:lineRule="auto"/>
        <w:ind w:firstLineChars="200" w:firstLine="480"/>
        <w:jc w:val="both"/>
        <w:rPr>
          <w:rFonts w:ascii="Times New Roman" w:hAnsi="宋体"/>
          <w:b w:val="0"/>
          <w:sz w:val="24"/>
          <w:szCs w:val="24"/>
        </w:rPr>
        <w:sectPr w:rsidR="00F56D7A">
          <w:footerReference w:type="default" r:id="rId9"/>
          <w:pgSz w:w="11920" w:h="16840"/>
          <w:pgMar w:top="1100" w:right="1300" w:bottom="1180" w:left="1420" w:header="878" w:footer="997" w:gutter="0"/>
          <w:cols w:space="720" w:equalWidth="0">
            <w:col w:w="9200"/>
          </w:cols>
        </w:sectPr>
      </w:pPr>
    </w:p>
    <w:p w:rsidR="00F56D7A" w:rsidRPr="001C575F" w:rsidRDefault="006E3837">
      <w:pPr>
        <w:widowControl/>
        <w:rPr>
          <w:rFonts w:ascii="Times New Roman" w:eastAsia="宋体" w:hAnsi="宋体" w:cs="Times New Roman"/>
          <w:b/>
          <w:bCs/>
          <w:sz w:val="28"/>
          <w:szCs w:val="28"/>
        </w:rPr>
      </w:pPr>
      <w:r w:rsidRPr="001C575F">
        <w:rPr>
          <w:rFonts w:ascii="Times New Roman" w:eastAsia="宋体" w:hAnsi="宋体" w:cs="Times New Roman" w:hint="eastAsia"/>
          <w:b/>
          <w:bCs/>
          <w:sz w:val="28"/>
          <w:szCs w:val="28"/>
        </w:rPr>
        <w:t>五</w:t>
      </w:r>
      <w:r w:rsidRPr="001C575F">
        <w:rPr>
          <w:rFonts w:ascii="Times New Roman" w:eastAsia="宋体" w:hAnsi="宋体" w:cs="Times New Roman"/>
          <w:b/>
          <w:bCs/>
          <w:sz w:val="28"/>
          <w:szCs w:val="28"/>
        </w:rPr>
        <w:t>、清算情况</w:t>
      </w:r>
    </w:p>
    <w:p w:rsidR="00F56D7A" w:rsidRDefault="00F56D7A"/>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自</w:t>
      </w:r>
      <w:r>
        <w:rPr>
          <w:rFonts w:ascii="Times New Roman" w:hAnsi="宋体" w:hint="eastAsia"/>
          <w:b w:val="0"/>
          <w:sz w:val="24"/>
          <w:szCs w:val="24"/>
        </w:rPr>
        <w:t>2018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hint="eastAsia"/>
          <w:b w:val="0"/>
          <w:sz w:val="24"/>
          <w:szCs w:val="24"/>
        </w:rPr>
        <w:t>7</w:t>
      </w:r>
      <w:r>
        <w:rPr>
          <w:rFonts w:ascii="Times New Roman" w:hAnsi="宋体" w:hint="eastAsia"/>
          <w:b w:val="0"/>
          <w:sz w:val="24"/>
          <w:szCs w:val="24"/>
        </w:rPr>
        <w:t>日至</w:t>
      </w:r>
      <w:r>
        <w:rPr>
          <w:rFonts w:ascii="Times New Roman" w:hAnsi="宋体"/>
          <w:b w:val="0"/>
          <w:sz w:val="24"/>
          <w:szCs w:val="24"/>
        </w:rPr>
        <w:t>2018</w:t>
      </w:r>
      <w:r>
        <w:rPr>
          <w:rFonts w:ascii="Times New Roman" w:hAnsi="宋体"/>
          <w:b w:val="0"/>
          <w:sz w:val="24"/>
          <w:szCs w:val="24"/>
        </w:rPr>
        <w:t>年</w:t>
      </w:r>
      <w:r>
        <w:rPr>
          <w:rFonts w:ascii="Times New Roman" w:hAnsi="宋体"/>
          <w:b w:val="0"/>
          <w:sz w:val="24"/>
          <w:szCs w:val="24"/>
        </w:rPr>
        <w:t>8</w:t>
      </w:r>
      <w:r>
        <w:rPr>
          <w:rFonts w:ascii="Times New Roman" w:hAnsi="宋体"/>
          <w:b w:val="0"/>
          <w:sz w:val="24"/>
          <w:szCs w:val="24"/>
        </w:rPr>
        <w:t>月</w:t>
      </w:r>
      <w:r>
        <w:rPr>
          <w:rFonts w:ascii="Times New Roman" w:hAnsi="宋体"/>
          <w:b w:val="0"/>
          <w:sz w:val="24"/>
          <w:szCs w:val="24"/>
        </w:rPr>
        <w:t>15</w:t>
      </w:r>
      <w:r>
        <w:rPr>
          <w:rFonts w:ascii="Times New Roman" w:hAnsi="宋体"/>
          <w:b w:val="0"/>
          <w:sz w:val="24"/>
          <w:szCs w:val="24"/>
        </w:rPr>
        <w:t>日</w:t>
      </w:r>
      <w:r>
        <w:rPr>
          <w:rFonts w:ascii="Times New Roman" w:hAnsi="宋体" w:hint="eastAsia"/>
          <w:b w:val="0"/>
          <w:sz w:val="24"/>
          <w:szCs w:val="24"/>
        </w:rPr>
        <w:t>止清算期间，基金财产清算小组对本基金的资产、负债进行清算，全部清算工作按清算原则和清算手续进行。具体清算情况如下：</w:t>
      </w:r>
    </w:p>
    <w:p w:rsidR="00F56D7A" w:rsidRDefault="00F56D7A">
      <w:pPr>
        <w:pStyle w:val="a9"/>
        <w:spacing w:before="0" w:after="0" w:line="360" w:lineRule="auto"/>
        <w:ind w:firstLineChars="200" w:firstLine="480"/>
        <w:jc w:val="both"/>
        <w:rPr>
          <w:rFonts w:ascii="Times New Roman" w:hAnsi="宋体"/>
          <w:b w:val="0"/>
          <w:sz w:val="24"/>
          <w:szCs w:val="24"/>
        </w:rPr>
      </w:pPr>
    </w:p>
    <w:p w:rsidR="00F56D7A" w:rsidRDefault="006E3837">
      <w:pPr>
        <w:pStyle w:val="a9"/>
        <w:numPr>
          <w:ilvl w:val="0"/>
          <w:numId w:val="2"/>
        </w:numPr>
        <w:spacing w:before="0" w:after="0" w:line="360" w:lineRule="auto"/>
        <w:jc w:val="both"/>
        <w:rPr>
          <w:rFonts w:ascii="Times New Roman" w:hAnsi="宋体"/>
          <w:b w:val="0"/>
          <w:sz w:val="24"/>
          <w:szCs w:val="24"/>
        </w:rPr>
      </w:pPr>
      <w:bookmarkStart w:id="1" w:name="OLE_LINK9"/>
      <w:bookmarkStart w:id="2" w:name="OLE_LINK8"/>
      <w:r>
        <w:rPr>
          <w:rFonts w:ascii="Times New Roman" w:hAnsi="宋体" w:hint="eastAsia"/>
          <w:b w:val="0"/>
          <w:sz w:val="24"/>
          <w:szCs w:val="24"/>
        </w:rPr>
        <w:t>资产处置情况</w:t>
      </w:r>
    </w:p>
    <w:bookmarkEnd w:id="1"/>
    <w:bookmarkEnd w:id="2"/>
    <w:p w:rsidR="00F56D7A" w:rsidRDefault="00F56D7A">
      <w:pPr>
        <w:pStyle w:val="a9"/>
        <w:spacing w:before="0" w:after="0" w:line="360" w:lineRule="auto"/>
        <w:ind w:firstLineChars="200" w:firstLine="480"/>
        <w:jc w:val="both"/>
        <w:rPr>
          <w:rFonts w:ascii="Times New Roman" w:hAnsi="宋体"/>
          <w:b w:val="0"/>
          <w:sz w:val="24"/>
          <w:szCs w:val="24"/>
        </w:rPr>
      </w:pP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w:t>
      </w:r>
      <w:r>
        <w:rPr>
          <w:rFonts w:ascii="Times New Roman" w:hAnsi="宋体" w:hint="eastAsia"/>
          <w:b w:val="0"/>
          <w:sz w:val="24"/>
          <w:szCs w:val="24"/>
        </w:rPr>
        <w:t>1</w:t>
      </w:r>
      <w:r>
        <w:rPr>
          <w:rFonts w:ascii="Times New Roman" w:hAnsi="宋体" w:hint="eastAsia"/>
          <w:b w:val="0"/>
          <w:sz w:val="24"/>
          <w:szCs w:val="24"/>
        </w:rPr>
        <w:t>）本基金最后运作日结算备付金为人民币</w:t>
      </w:r>
      <w:r>
        <w:rPr>
          <w:rFonts w:ascii="Times New Roman" w:hAnsi="宋体"/>
          <w:b w:val="0"/>
          <w:sz w:val="24"/>
          <w:szCs w:val="24"/>
        </w:rPr>
        <w:t>5,534,402.10</w:t>
      </w:r>
      <w:r>
        <w:rPr>
          <w:rFonts w:ascii="Times New Roman" w:hAnsi="宋体" w:hint="eastAsia"/>
          <w:b w:val="0"/>
          <w:sz w:val="24"/>
          <w:szCs w:val="24"/>
        </w:rPr>
        <w:t>元，其中存放于中国证券登记结算有限责任公司上海分公司的结算备付金为人民币</w:t>
      </w:r>
      <w:r>
        <w:rPr>
          <w:rFonts w:ascii="Times New Roman" w:hAnsi="宋体"/>
          <w:b w:val="0"/>
          <w:sz w:val="24"/>
          <w:szCs w:val="24"/>
        </w:rPr>
        <w:t>863,636.38</w:t>
      </w:r>
      <w:r>
        <w:rPr>
          <w:rFonts w:ascii="Times New Roman" w:hAnsi="宋体" w:hint="eastAsia"/>
          <w:b w:val="0"/>
          <w:sz w:val="24"/>
          <w:szCs w:val="24"/>
        </w:rPr>
        <w:t>元，该款项将于第二次清算时再向基金份额持有人分配；其中存放于中信期货有限公司的结算备付金为人民币</w:t>
      </w:r>
      <w:r>
        <w:rPr>
          <w:rFonts w:ascii="Times New Roman" w:hAnsi="宋体"/>
          <w:b w:val="0"/>
          <w:sz w:val="24"/>
          <w:szCs w:val="24"/>
        </w:rPr>
        <w:t>4,670,765.72</w:t>
      </w:r>
      <w:r>
        <w:rPr>
          <w:rFonts w:ascii="Times New Roman" w:hAnsi="宋体" w:hint="eastAsia"/>
          <w:b w:val="0"/>
          <w:sz w:val="24"/>
          <w:szCs w:val="24"/>
        </w:rPr>
        <w:t>元，清算期间，存放于中信期货有限公司的结算备付金因处置证券资产，于</w:t>
      </w:r>
      <w:r>
        <w:rPr>
          <w:rFonts w:ascii="Times New Roman" w:hAnsi="宋体" w:hint="eastAsia"/>
          <w:b w:val="0"/>
          <w:sz w:val="24"/>
          <w:szCs w:val="24"/>
        </w:rPr>
        <w:t>2018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hint="eastAsia"/>
          <w:b w:val="0"/>
          <w:sz w:val="24"/>
          <w:szCs w:val="24"/>
        </w:rPr>
        <w:t>7</w:t>
      </w:r>
      <w:r>
        <w:rPr>
          <w:rFonts w:ascii="Times New Roman" w:hAnsi="宋体" w:hint="eastAsia"/>
          <w:b w:val="0"/>
          <w:sz w:val="24"/>
          <w:szCs w:val="24"/>
        </w:rPr>
        <w:t>日调整为人民币</w:t>
      </w:r>
      <w:r>
        <w:rPr>
          <w:rFonts w:ascii="Times New Roman" w:hAnsi="宋体" w:hint="eastAsia"/>
          <w:b w:val="0"/>
          <w:sz w:val="24"/>
          <w:szCs w:val="24"/>
        </w:rPr>
        <w:t>4,639,806.40</w:t>
      </w:r>
      <w:r>
        <w:rPr>
          <w:rFonts w:ascii="Times New Roman" w:hAnsi="宋体" w:hint="eastAsia"/>
          <w:b w:val="0"/>
          <w:sz w:val="24"/>
          <w:szCs w:val="24"/>
        </w:rPr>
        <w:t>元，该款项已于</w:t>
      </w:r>
      <w:r>
        <w:rPr>
          <w:rFonts w:ascii="Times New Roman" w:hAnsi="宋体" w:hint="eastAsia"/>
          <w:b w:val="0"/>
          <w:sz w:val="24"/>
          <w:szCs w:val="24"/>
        </w:rPr>
        <w:t>2018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hint="eastAsia"/>
          <w:b w:val="0"/>
          <w:sz w:val="24"/>
          <w:szCs w:val="24"/>
        </w:rPr>
        <w:t>10</w:t>
      </w:r>
      <w:r>
        <w:rPr>
          <w:rFonts w:ascii="Times New Roman" w:hAnsi="宋体" w:hint="eastAsia"/>
          <w:b w:val="0"/>
          <w:sz w:val="24"/>
          <w:szCs w:val="24"/>
        </w:rPr>
        <w:t>日划入托管账户。</w:t>
      </w: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w:t>
      </w:r>
      <w:r>
        <w:rPr>
          <w:rFonts w:ascii="Times New Roman" w:hAnsi="宋体" w:hint="eastAsia"/>
          <w:b w:val="0"/>
          <w:sz w:val="24"/>
          <w:szCs w:val="24"/>
        </w:rPr>
        <w:t>2</w:t>
      </w:r>
      <w:r>
        <w:rPr>
          <w:rFonts w:ascii="Times New Roman" w:hAnsi="宋体" w:hint="eastAsia"/>
          <w:b w:val="0"/>
          <w:sz w:val="24"/>
          <w:szCs w:val="24"/>
        </w:rPr>
        <w:t>）本基金最后运作日存出保证金为人民币</w:t>
      </w:r>
      <w:r>
        <w:rPr>
          <w:rFonts w:ascii="Times New Roman" w:hAnsi="宋体"/>
          <w:b w:val="0"/>
          <w:sz w:val="24"/>
          <w:szCs w:val="24"/>
        </w:rPr>
        <w:t>313,705.91</w:t>
      </w:r>
      <w:r>
        <w:rPr>
          <w:rFonts w:ascii="Times New Roman" w:hAnsi="宋体" w:hint="eastAsia"/>
          <w:b w:val="0"/>
          <w:sz w:val="24"/>
          <w:szCs w:val="24"/>
        </w:rPr>
        <w:t>元，其中存放于中国证券登记结算有限责任公司上海分公司和深圳分公司的结算保证金为人民币</w:t>
      </w:r>
      <w:r>
        <w:rPr>
          <w:rFonts w:ascii="Times New Roman" w:hAnsi="宋体"/>
          <w:b w:val="0"/>
          <w:sz w:val="24"/>
          <w:szCs w:val="24"/>
        </w:rPr>
        <w:t>21</w:t>
      </w:r>
      <w:r>
        <w:rPr>
          <w:rFonts w:ascii="Times New Roman" w:hAnsi="宋体" w:hint="eastAsia"/>
          <w:b w:val="0"/>
          <w:sz w:val="24"/>
          <w:szCs w:val="24"/>
        </w:rPr>
        <w:t>,</w:t>
      </w:r>
      <w:r>
        <w:rPr>
          <w:rFonts w:ascii="Times New Roman" w:hAnsi="宋体"/>
          <w:b w:val="0"/>
          <w:sz w:val="24"/>
          <w:szCs w:val="24"/>
        </w:rPr>
        <w:t>997.91</w:t>
      </w:r>
      <w:r>
        <w:rPr>
          <w:rFonts w:ascii="Times New Roman" w:hAnsi="宋体" w:hint="eastAsia"/>
          <w:b w:val="0"/>
          <w:sz w:val="24"/>
          <w:szCs w:val="24"/>
        </w:rPr>
        <w:t>元，该款项将于第二次清算时再向基金份额持有人分配；其中存放于中信期货有限公司的结算保证金人民币为</w:t>
      </w:r>
      <w:r>
        <w:rPr>
          <w:rFonts w:ascii="Times New Roman" w:hAnsi="宋体" w:hint="eastAsia"/>
          <w:b w:val="0"/>
          <w:sz w:val="24"/>
          <w:szCs w:val="24"/>
        </w:rPr>
        <w:t>291,708.00</w:t>
      </w:r>
      <w:r>
        <w:rPr>
          <w:rFonts w:ascii="Times New Roman" w:hAnsi="宋体" w:hint="eastAsia"/>
          <w:b w:val="0"/>
          <w:sz w:val="24"/>
          <w:szCs w:val="24"/>
        </w:rPr>
        <w:t>元，该款项已于</w:t>
      </w:r>
      <w:r>
        <w:rPr>
          <w:rFonts w:ascii="Times New Roman" w:hAnsi="宋体" w:hint="eastAsia"/>
          <w:b w:val="0"/>
          <w:sz w:val="24"/>
          <w:szCs w:val="24"/>
        </w:rPr>
        <w:t>2018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hint="eastAsia"/>
          <w:b w:val="0"/>
          <w:sz w:val="24"/>
          <w:szCs w:val="24"/>
        </w:rPr>
        <w:t>10</w:t>
      </w:r>
      <w:r>
        <w:rPr>
          <w:rFonts w:ascii="Times New Roman" w:hAnsi="宋体" w:hint="eastAsia"/>
          <w:b w:val="0"/>
          <w:sz w:val="24"/>
          <w:szCs w:val="24"/>
        </w:rPr>
        <w:t>日划入托管账户。</w:t>
      </w: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w:t>
      </w:r>
      <w:r>
        <w:rPr>
          <w:rFonts w:ascii="Times New Roman" w:hAnsi="宋体"/>
          <w:b w:val="0"/>
          <w:sz w:val="24"/>
          <w:szCs w:val="24"/>
        </w:rPr>
        <w:t>3</w:t>
      </w:r>
      <w:r>
        <w:rPr>
          <w:rFonts w:ascii="Times New Roman" w:hAnsi="宋体" w:hint="eastAsia"/>
          <w:b w:val="0"/>
          <w:sz w:val="24"/>
          <w:szCs w:val="24"/>
        </w:rPr>
        <w:t>）本基金最后运作日交易性金融资产为人民币</w:t>
      </w:r>
      <w:r>
        <w:rPr>
          <w:rFonts w:ascii="Times New Roman" w:hAnsi="宋体"/>
          <w:b w:val="0"/>
          <w:sz w:val="24"/>
          <w:szCs w:val="24"/>
        </w:rPr>
        <w:t>2,254,993.12</w:t>
      </w:r>
      <w:r>
        <w:rPr>
          <w:rFonts w:ascii="Times New Roman" w:hAnsi="宋体" w:hint="eastAsia"/>
          <w:b w:val="0"/>
          <w:sz w:val="24"/>
          <w:szCs w:val="24"/>
        </w:rPr>
        <w:t>元，其中人民币</w:t>
      </w:r>
      <w:r>
        <w:rPr>
          <w:rFonts w:ascii="Times New Roman" w:hAnsi="宋体"/>
          <w:b w:val="0"/>
          <w:sz w:val="24"/>
          <w:szCs w:val="24"/>
        </w:rPr>
        <w:t>2</w:t>
      </w:r>
      <w:r>
        <w:rPr>
          <w:rFonts w:ascii="Times New Roman" w:hAnsi="宋体" w:hint="eastAsia"/>
          <w:b w:val="0"/>
          <w:sz w:val="24"/>
          <w:szCs w:val="24"/>
        </w:rPr>
        <w:t>,</w:t>
      </w:r>
      <w:r>
        <w:rPr>
          <w:rFonts w:ascii="Times New Roman" w:hAnsi="宋体"/>
          <w:b w:val="0"/>
          <w:sz w:val="24"/>
          <w:szCs w:val="24"/>
        </w:rPr>
        <w:t>249</w:t>
      </w:r>
      <w:r>
        <w:rPr>
          <w:rFonts w:ascii="Times New Roman" w:hAnsi="宋体" w:hint="eastAsia"/>
          <w:b w:val="0"/>
          <w:sz w:val="24"/>
          <w:szCs w:val="24"/>
        </w:rPr>
        <w:t>,</w:t>
      </w:r>
      <w:r>
        <w:rPr>
          <w:rFonts w:ascii="Times New Roman" w:hAnsi="宋体"/>
          <w:b w:val="0"/>
          <w:sz w:val="24"/>
          <w:szCs w:val="24"/>
        </w:rPr>
        <w:t>482.12</w:t>
      </w:r>
      <w:r>
        <w:rPr>
          <w:rFonts w:ascii="Times New Roman" w:hAnsi="宋体"/>
          <w:b w:val="0"/>
          <w:sz w:val="24"/>
          <w:szCs w:val="24"/>
        </w:rPr>
        <w:t>元已于清算期间处置</w:t>
      </w:r>
      <w:r>
        <w:rPr>
          <w:rFonts w:ascii="Times New Roman" w:hAnsi="宋体" w:hint="eastAsia"/>
          <w:b w:val="0"/>
          <w:sz w:val="24"/>
          <w:szCs w:val="24"/>
        </w:rPr>
        <w:t>，剩余交易性金融资产为人民币</w:t>
      </w:r>
      <w:r>
        <w:rPr>
          <w:rFonts w:ascii="Times New Roman" w:hAnsi="宋体" w:hint="eastAsia"/>
          <w:b w:val="0"/>
          <w:sz w:val="24"/>
          <w:szCs w:val="24"/>
        </w:rPr>
        <w:t>5</w:t>
      </w:r>
      <w:r>
        <w:rPr>
          <w:rFonts w:ascii="Times New Roman" w:hAnsi="宋体"/>
          <w:b w:val="0"/>
          <w:sz w:val="24"/>
          <w:szCs w:val="24"/>
        </w:rPr>
        <w:t>,</w:t>
      </w:r>
      <w:r>
        <w:rPr>
          <w:rFonts w:ascii="Times New Roman" w:hAnsi="宋体" w:hint="eastAsia"/>
          <w:b w:val="0"/>
          <w:sz w:val="24"/>
          <w:szCs w:val="24"/>
        </w:rPr>
        <w:t>511</w:t>
      </w:r>
      <w:r>
        <w:rPr>
          <w:rFonts w:ascii="Times New Roman" w:hAnsi="宋体"/>
          <w:b w:val="0"/>
          <w:sz w:val="24"/>
          <w:szCs w:val="24"/>
        </w:rPr>
        <w:t>.00</w:t>
      </w:r>
      <w:r>
        <w:rPr>
          <w:rFonts w:ascii="Times New Roman" w:hAnsi="宋体"/>
          <w:b w:val="0"/>
          <w:sz w:val="24"/>
          <w:szCs w:val="24"/>
        </w:rPr>
        <w:t>元</w:t>
      </w:r>
      <w:r>
        <w:rPr>
          <w:rFonts w:ascii="Times New Roman" w:hAnsi="宋体" w:hint="eastAsia"/>
          <w:b w:val="0"/>
          <w:sz w:val="24"/>
          <w:szCs w:val="24"/>
        </w:rPr>
        <w:t>，系因重大事项停牌而未能变现的流通受限股票，明细如下：</w:t>
      </w:r>
    </w:p>
    <w:tbl>
      <w:tblPr>
        <w:tblW w:w="8675" w:type="dxa"/>
        <w:tblInd w:w="426" w:type="dxa"/>
        <w:tblLayout w:type="fixed"/>
        <w:tblCellMar>
          <w:left w:w="0" w:type="dxa"/>
          <w:right w:w="0" w:type="dxa"/>
        </w:tblCellMar>
        <w:tblLook w:val="04A0"/>
      </w:tblPr>
      <w:tblGrid>
        <w:gridCol w:w="850"/>
        <w:gridCol w:w="992"/>
        <w:gridCol w:w="851"/>
        <w:gridCol w:w="1459"/>
        <w:gridCol w:w="812"/>
        <w:gridCol w:w="139"/>
        <w:gridCol w:w="882"/>
        <w:gridCol w:w="393"/>
        <w:gridCol w:w="1134"/>
        <w:gridCol w:w="1119"/>
        <w:gridCol w:w="44"/>
      </w:tblGrid>
      <w:tr w:rsidR="00F56D7A">
        <w:trPr>
          <w:gridAfter w:val="1"/>
          <w:wAfter w:w="44" w:type="dxa"/>
          <w:trHeight w:val="355"/>
        </w:trPr>
        <w:tc>
          <w:tcPr>
            <w:tcW w:w="850" w:type="dxa"/>
            <w:vAlign w:val="bottom"/>
          </w:tcPr>
          <w:p w:rsidR="00F56D7A" w:rsidRDefault="006E3837">
            <w:pPr>
              <w:jc w:val="left"/>
              <w:rPr>
                <w:rFonts w:asciiTheme="minorEastAsia" w:hAnsiTheme="minorEastAsia" w:cs="Arial"/>
                <w:sz w:val="18"/>
                <w:szCs w:val="18"/>
              </w:rPr>
            </w:pPr>
            <w:r>
              <w:rPr>
                <w:rFonts w:asciiTheme="minorEastAsia" w:hAnsiTheme="minorEastAsia" w:cs="Arial" w:hint="eastAsia"/>
                <w:sz w:val="18"/>
                <w:szCs w:val="18"/>
              </w:rPr>
              <w:t>股票</w:t>
            </w:r>
          </w:p>
          <w:p w:rsidR="00F56D7A" w:rsidRDefault="006E3837">
            <w:pPr>
              <w:jc w:val="left"/>
              <w:rPr>
                <w:rFonts w:asciiTheme="minorEastAsia" w:hAnsiTheme="minorEastAsia"/>
                <w:b/>
                <w:kern w:val="0"/>
                <w:sz w:val="18"/>
                <w:szCs w:val="18"/>
              </w:rPr>
            </w:pPr>
            <w:r>
              <w:rPr>
                <w:rFonts w:asciiTheme="minorEastAsia" w:hAnsiTheme="minorEastAsia" w:cs="Arial" w:hint="eastAsia"/>
                <w:sz w:val="18"/>
                <w:szCs w:val="18"/>
              </w:rPr>
              <w:t>代码</w:t>
            </w:r>
          </w:p>
        </w:tc>
        <w:tc>
          <w:tcPr>
            <w:tcW w:w="992" w:type="dxa"/>
            <w:tcMar>
              <w:top w:w="15" w:type="dxa"/>
              <w:left w:w="15" w:type="dxa"/>
              <w:bottom w:w="0" w:type="dxa"/>
              <w:right w:w="15" w:type="dxa"/>
            </w:tcMar>
            <w:vAlign w:val="bottom"/>
          </w:tcPr>
          <w:p w:rsidR="00F56D7A" w:rsidRDefault="006E3837">
            <w:pPr>
              <w:jc w:val="left"/>
              <w:rPr>
                <w:rFonts w:asciiTheme="minorEastAsia" w:hAnsiTheme="minorEastAsia" w:cs="Arial"/>
                <w:sz w:val="18"/>
                <w:szCs w:val="18"/>
              </w:rPr>
            </w:pPr>
            <w:r>
              <w:rPr>
                <w:rFonts w:asciiTheme="minorEastAsia" w:hAnsiTheme="minorEastAsia" w:cs="Arial" w:hint="eastAsia"/>
                <w:sz w:val="18"/>
                <w:szCs w:val="18"/>
              </w:rPr>
              <w:t>股票</w:t>
            </w:r>
          </w:p>
          <w:p w:rsidR="00F56D7A" w:rsidRDefault="006E3837">
            <w:pPr>
              <w:jc w:val="left"/>
              <w:rPr>
                <w:rFonts w:asciiTheme="minorEastAsia" w:hAnsiTheme="minorEastAsia" w:cs="Arial"/>
                <w:sz w:val="18"/>
                <w:szCs w:val="18"/>
              </w:rPr>
            </w:pPr>
            <w:r>
              <w:rPr>
                <w:rFonts w:asciiTheme="minorEastAsia" w:hAnsiTheme="minorEastAsia" w:cs="Arial" w:hint="eastAsia"/>
                <w:sz w:val="18"/>
                <w:szCs w:val="18"/>
              </w:rPr>
              <w:t>名称</w:t>
            </w:r>
          </w:p>
        </w:tc>
        <w:tc>
          <w:tcPr>
            <w:tcW w:w="851" w:type="dxa"/>
            <w:tcMar>
              <w:top w:w="15" w:type="dxa"/>
              <w:left w:w="15" w:type="dxa"/>
              <w:bottom w:w="0" w:type="dxa"/>
              <w:right w:w="15" w:type="dxa"/>
            </w:tcMar>
            <w:vAlign w:val="bottom"/>
          </w:tcPr>
          <w:p w:rsidR="00F56D7A" w:rsidRDefault="006E3837">
            <w:pPr>
              <w:jc w:val="left"/>
              <w:rPr>
                <w:rFonts w:asciiTheme="minorEastAsia" w:hAnsiTheme="minorEastAsia" w:cs="Arial"/>
                <w:sz w:val="18"/>
                <w:szCs w:val="18"/>
              </w:rPr>
            </w:pPr>
            <w:r>
              <w:rPr>
                <w:rFonts w:asciiTheme="minorEastAsia" w:hAnsiTheme="minorEastAsia" w:cs="Arial" w:hint="eastAsia"/>
                <w:sz w:val="18"/>
                <w:szCs w:val="18"/>
              </w:rPr>
              <w:t>停牌</w:t>
            </w:r>
          </w:p>
          <w:p w:rsidR="00F56D7A" w:rsidRDefault="006E3837">
            <w:pPr>
              <w:jc w:val="left"/>
              <w:rPr>
                <w:rFonts w:asciiTheme="minorEastAsia" w:hAnsiTheme="minorEastAsia" w:cs="Arial"/>
                <w:sz w:val="18"/>
                <w:szCs w:val="18"/>
              </w:rPr>
            </w:pPr>
            <w:r>
              <w:rPr>
                <w:rFonts w:asciiTheme="minorEastAsia" w:hAnsiTheme="minorEastAsia" w:cs="Arial" w:hint="eastAsia"/>
                <w:sz w:val="18"/>
                <w:szCs w:val="18"/>
              </w:rPr>
              <w:t>日期</w:t>
            </w:r>
          </w:p>
        </w:tc>
        <w:tc>
          <w:tcPr>
            <w:tcW w:w="1459" w:type="dxa"/>
            <w:vAlign w:val="bottom"/>
          </w:tcPr>
          <w:p w:rsidR="00F56D7A" w:rsidRDefault="006E3837">
            <w:pPr>
              <w:jc w:val="left"/>
              <w:rPr>
                <w:rFonts w:asciiTheme="minorEastAsia" w:hAnsiTheme="minorEastAsia"/>
                <w:b/>
                <w:kern w:val="0"/>
                <w:sz w:val="18"/>
                <w:szCs w:val="18"/>
              </w:rPr>
            </w:pPr>
            <w:r>
              <w:rPr>
                <w:rFonts w:asciiTheme="minorEastAsia" w:hAnsiTheme="minorEastAsia" w:cs="Arial" w:hint="eastAsia"/>
                <w:sz w:val="18"/>
                <w:szCs w:val="18"/>
              </w:rPr>
              <w:t>停牌原因</w:t>
            </w:r>
          </w:p>
        </w:tc>
        <w:tc>
          <w:tcPr>
            <w:tcW w:w="951" w:type="dxa"/>
            <w:gridSpan w:val="2"/>
            <w:vAlign w:val="bottom"/>
          </w:tcPr>
          <w:p w:rsidR="00F56D7A" w:rsidRDefault="006E3837">
            <w:pPr>
              <w:jc w:val="left"/>
              <w:rPr>
                <w:rFonts w:asciiTheme="minorEastAsia" w:hAnsiTheme="minorEastAsia" w:cs="Arial"/>
                <w:sz w:val="18"/>
                <w:szCs w:val="18"/>
              </w:rPr>
            </w:pPr>
            <w:r>
              <w:rPr>
                <w:rFonts w:asciiTheme="minorEastAsia" w:hAnsiTheme="minorEastAsia" w:cs="Arial" w:hint="eastAsia"/>
                <w:sz w:val="18"/>
                <w:szCs w:val="18"/>
              </w:rPr>
              <w:t>终止日</w:t>
            </w:r>
          </w:p>
          <w:p w:rsidR="00F56D7A" w:rsidRDefault="006E3837">
            <w:pPr>
              <w:jc w:val="left"/>
              <w:rPr>
                <w:rFonts w:asciiTheme="minorEastAsia" w:hAnsiTheme="minorEastAsia" w:cs="Arial"/>
                <w:sz w:val="18"/>
                <w:szCs w:val="18"/>
              </w:rPr>
            </w:pPr>
            <w:r>
              <w:rPr>
                <w:rFonts w:asciiTheme="minorEastAsia" w:hAnsiTheme="minorEastAsia" w:cs="Arial" w:hint="eastAsia"/>
                <w:sz w:val="18"/>
                <w:szCs w:val="18"/>
              </w:rPr>
              <w:t>估值单价</w:t>
            </w:r>
          </w:p>
        </w:tc>
        <w:tc>
          <w:tcPr>
            <w:tcW w:w="1275" w:type="dxa"/>
            <w:gridSpan w:val="2"/>
            <w:tcMar>
              <w:top w:w="15" w:type="dxa"/>
              <w:left w:w="15" w:type="dxa"/>
              <w:bottom w:w="0" w:type="dxa"/>
              <w:right w:w="15" w:type="dxa"/>
            </w:tcMar>
            <w:vAlign w:val="bottom"/>
          </w:tcPr>
          <w:p w:rsidR="00F56D7A" w:rsidRDefault="006E3837">
            <w:pPr>
              <w:jc w:val="left"/>
              <w:rPr>
                <w:rFonts w:asciiTheme="minorEastAsia" w:hAnsiTheme="minorEastAsia" w:cs="Arial"/>
                <w:sz w:val="18"/>
                <w:szCs w:val="18"/>
              </w:rPr>
            </w:pPr>
            <w:r>
              <w:rPr>
                <w:rFonts w:asciiTheme="minorEastAsia" w:hAnsiTheme="minorEastAsia" w:cs="Arial" w:hint="eastAsia"/>
                <w:sz w:val="18"/>
                <w:szCs w:val="18"/>
              </w:rPr>
              <w:t>数量</w:t>
            </w:r>
          </w:p>
          <w:p w:rsidR="00F56D7A" w:rsidRDefault="006E3837">
            <w:pPr>
              <w:ind w:rightChars="-53" w:right="-111"/>
              <w:jc w:val="left"/>
              <w:rPr>
                <w:rFonts w:asciiTheme="minorEastAsia" w:hAnsiTheme="minorEastAsia" w:cs="Arial"/>
                <w:sz w:val="18"/>
                <w:szCs w:val="18"/>
              </w:rPr>
            </w:pPr>
            <w:r>
              <w:rPr>
                <w:rFonts w:asciiTheme="minorEastAsia" w:hAnsiTheme="minorEastAsia" w:cs="Arial" w:hint="eastAsia"/>
                <w:sz w:val="18"/>
                <w:szCs w:val="18"/>
              </w:rPr>
              <w:t>（单位：股）</w:t>
            </w:r>
          </w:p>
        </w:tc>
        <w:tc>
          <w:tcPr>
            <w:tcW w:w="1134" w:type="dxa"/>
            <w:vAlign w:val="bottom"/>
          </w:tcPr>
          <w:p w:rsidR="00F56D7A" w:rsidRDefault="006E3837">
            <w:pPr>
              <w:jc w:val="left"/>
              <w:rPr>
                <w:rFonts w:asciiTheme="minorEastAsia" w:hAnsiTheme="minorEastAsia" w:cs="Arial"/>
                <w:sz w:val="18"/>
                <w:szCs w:val="18"/>
              </w:rPr>
            </w:pPr>
            <w:r>
              <w:rPr>
                <w:rFonts w:asciiTheme="minorEastAsia" w:hAnsiTheme="minorEastAsia" w:cs="Arial" w:hint="eastAsia"/>
                <w:sz w:val="18"/>
                <w:szCs w:val="18"/>
              </w:rPr>
              <w:t>终止日</w:t>
            </w:r>
          </w:p>
          <w:p w:rsidR="00F56D7A" w:rsidRDefault="006E3837">
            <w:pPr>
              <w:jc w:val="left"/>
              <w:rPr>
                <w:rFonts w:asciiTheme="minorEastAsia" w:hAnsiTheme="minorEastAsia" w:cs="Arial"/>
                <w:sz w:val="18"/>
                <w:szCs w:val="18"/>
              </w:rPr>
            </w:pPr>
            <w:r>
              <w:rPr>
                <w:rFonts w:asciiTheme="minorEastAsia" w:hAnsiTheme="minorEastAsia" w:cs="Arial" w:hint="eastAsia"/>
                <w:sz w:val="18"/>
                <w:szCs w:val="18"/>
              </w:rPr>
              <w:t>成本总额</w:t>
            </w:r>
          </w:p>
        </w:tc>
        <w:tc>
          <w:tcPr>
            <w:tcW w:w="1119" w:type="dxa"/>
            <w:tcMar>
              <w:top w:w="15" w:type="dxa"/>
              <w:left w:w="15" w:type="dxa"/>
              <w:bottom w:w="0" w:type="dxa"/>
              <w:right w:w="15" w:type="dxa"/>
            </w:tcMar>
            <w:vAlign w:val="bottom"/>
          </w:tcPr>
          <w:p w:rsidR="00F56D7A" w:rsidRDefault="006E3837">
            <w:pPr>
              <w:jc w:val="left"/>
              <w:rPr>
                <w:rFonts w:asciiTheme="minorEastAsia" w:hAnsiTheme="minorEastAsia" w:cs="Arial"/>
                <w:sz w:val="18"/>
                <w:szCs w:val="18"/>
              </w:rPr>
            </w:pPr>
            <w:r>
              <w:rPr>
                <w:rFonts w:asciiTheme="minorEastAsia" w:hAnsiTheme="minorEastAsia" w:cs="Arial" w:hint="eastAsia"/>
                <w:sz w:val="18"/>
                <w:szCs w:val="18"/>
              </w:rPr>
              <w:t>终止日</w:t>
            </w:r>
          </w:p>
          <w:p w:rsidR="00F56D7A" w:rsidRDefault="006E3837">
            <w:pPr>
              <w:jc w:val="left"/>
              <w:rPr>
                <w:rFonts w:asciiTheme="minorEastAsia" w:hAnsiTheme="minorEastAsia" w:cs="Arial"/>
                <w:sz w:val="18"/>
                <w:szCs w:val="18"/>
              </w:rPr>
            </w:pPr>
            <w:r>
              <w:rPr>
                <w:rFonts w:asciiTheme="minorEastAsia" w:hAnsiTheme="minorEastAsia" w:cs="Arial" w:hint="eastAsia"/>
                <w:sz w:val="18"/>
                <w:szCs w:val="18"/>
              </w:rPr>
              <w:t>估值总额</w:t>
            </w:r>
          </w:p>
        </w:tc>
      </w:tr>
      <w:tr w:rsidR="00F56D7A">
        <w:trPr>
          <w:trHeight w:val="355"/>
        </w:trPr>
        <w:tc>
          <w:tcPr>
            <w:tcW w:w="850" w:type="dxa"/>
            <w:tcBorders>
              <w:top w:val="nil"/>
              <w:left w:val="nil"/>
              <w:bottom w:val="nil"/>
              <w:right w:val="nil"/>
            </w:tcBorders>
            <w:shd w:val="clear" w:color="auto" w:fill="auto"/>
            <w:vAlign w:val="center"/>
          </w:tcPr>
          <w:p w:rsidR="00F56D7A" w:rsidRDefault="006E3837">
            <w:pPr>
              <w:rPr>
                <w:rFonts w:asciiTheme="minorEastAsia" w:hAnsiTheme="minorEastAsia"/>
                <w:color w:val="000000"/>
                <w:sz w:val="18"/>
                <w:szCs w:val="18"/>
              </w:rPr>
            </w:pPr>
            <w:r>
              <w:rPr>
                <w:rFonts w:asciiTheme="minorEastAsia" w:hAnsiTheme="minorEastAsia"/>
                <w:color w:val="000000"/>
                <w:sz w:val="18"/>
                <w:szCs w:val="18"/>
              </w:rPr>
              <w:t>600157</w:t>
            </w:r>
          </w:p>
        </w:tc>
        <w:tc>
          <w:tcPr>
            <w:tcW w:w="992" w:type="dxa"/>
            <w:tcBorders>
              <w:top w:val="nil"/>
              <w:left w:val="nil"/>
              <w:bottom w:val="nil"/>
              <w:right w:val="nil"/>
            </w:tcBorders>
            <w:shd w:val="clear" w:color="auto" w:fill="auto"/>
            <w:tcMar>
              <w:top w:w="15" w:type="dxa"/>
              <w:left w:w="15" w:type="dxa"/>
              <w:bottom w:w="0" w:type="dxa"/>
              <w:right w:w="15" w:type="dxa"/>
            </w:tcMar>
            <w:vAlign w:val="center"/>
          </w:tcPr>
          <w:p w:rsidR="00F56D7A" w:rsidRDefault="006E3837">
            <w:pPr>
              <w:ind w:right="180"/>
              <w:jc w:val="right"/>
              <w:rPr>
                <w:rFonts w:asciiTheme="minorEastAsia" w:hAnsiTheme="minorEastAsia"/>
                <w:color w:val="000000"/>
                <w:sz w:val="18"/>
                <w:szCs w:val="18"/>
              </w:rPr>
            </w:pPr>
            <w:r>
              <w:rPr>
                <w:rFonts w:asciiTheme="minorEastAsia" w:hAnsiTheme="minorEastAsia" w:hint="eastAsia"/>
                <w:color w:val="000000"/>
                <w:sz w:val="18"/>
                <w:szCs w:val="18"/>
              </w:rPr>
              <w:t>永泰能源</w:t>
            </w:r>
          </w:p>
        </w:tc>
        <w:tc>
          <w:tcPr>
            <w:tcW w:w="851" w:type="dxa"/>
            <w:tcBorders>
              <w:top w:val="nil"/>
              <w:left w:val="nil"/>
              <w:bottom w:val="nil"/>
              <w:right w:val="nil"/>
            </w:tcBorders>
            <w:shd w:val="clear" w:color="auto" w:fill="auto"/>
            <w:tcMar>
              <w:top w:w="15" w:type="dxa"/>
              <w:left w:w="15" w:type="dxa"/>
              <w:bottom w:w="0" w:type="dxa"/>
              <w:right w:w="15" w:type="dxa"/>
            </w:tcMar>
            <w:vAlign w:val="center"/>
          </w:tcPr>
          <w:p w:rsidR="00F56D7A" w:rsidRDefault="006E3837">
            <w:pPr>
              <w:jc w:val="right"/>
              <w:rPr>
                <w:rFonts w:asciiTheme="minorEastAsia" w:hAnsiTheme="minorEastAsia"/>
                <w:color w:val="000000"/>
                <w:sz w:val="18"/>
                <w:szCs w:val="18"/>
              </w:rPr>
            </w:pPr>
            <w:r>
              <w:rPr>
                <w:rFonts w:asciiTheme="minorEastAsia" w:hAnsiTheme="minorEastAsia" w:hint="eastAsia"/>
                <w:color w:val="000000"/>
                <w:sz w:val="18"/>
                <w:szCs w:val="18"/>
              </w:rPr>
              <w:t>2018/7/6</w:t>
            </w:r>
          </w:p>
        </w:tc>
        <w:tc>
          <w:tcPr>
            <w:tcW w:w="1459" w:type="dxa"/>
            <w:tcBorders>
              <w:top w:val="nil"/>
              <w:left w:val="nil"/>
              <w:bottom w:val="nil"/>
              <w:right w:val="nil"/>
            </w:tcBorders>
            <w:shd w:val="clear" w:color="auto" w:fill="auto"/>
            <w:vAlign w:val="center"/>
          </w:tcPr>
          <w:p w:rsidR="00F56D7A" w:rsidRDefault="006E3837">
            <w:pPr>
              <w:ind w:right="270"/>
              <w:jc w:val="right"/>
              <w:rPr>
                <w:rFonts w:asciiTheme="minorEastAsia" w:hAnsiTheme="minorEastAsia"/>
                <w:color w:val="000000"/>
                <w:sz w:val="18"/>
                <w:szCs w:val="18"/>
              </w:rPr>
            </w:pPr>
            <w:r>
              <w:rPr>
                <w:rFonts w:asciiTheme="minorEastAsia" w:hAnsiTheme="minorEastAsia" w:hint="eastAsia"/>
                <w:color w:val="000000"/>
                <w:sz w:val="18"/>
                <w:szCs w:val="18"/>
              </w:rPr>
              <w:t>重大事项停牌</w:t>
            </w:r>
          </w:p>
        </w:tc>
        <w:tc>
          <w:tcPr>
            <w:tcW w:w="812" w:type="dxa"/>
            <w:tcBorders>
              <w:top w:val="nil"/>
              <w:left w:val="nil"/>
              <w:bottom w:val="nil"/>
              <w:right w:val="nil"/>
            </w:tcBorders>
            <w:shd w:val="clear" w:color="auto" w:fill="auto"/>
            <w:vAlign w:val="center"/>
          </w:tcPr>
          <w:p w:rsidR="00F56D7A" w:rsidRDefault="006E3837">
            <w:pPr>
              <w:ind w:right="270"/>
              <w:jc w:val="right"/>
              <w:rPr>
                <w:rFonts w:asciiTheme="minorEastAsia" w:hAnsiTheme="minorEastAsia"/>
                <w:color w:val="000000"/>
                <w:sz w:val="18"/>
                <w:szCs w:val="18"/>
              </w:rPr>
            </w:pPr>
            <w:r>
              <w:rPr>
                <w:rFonts w:asciiTheme="minorEastAsia" w:hAnsiTheme="minorEastAsia" w:hint="eastAsia"/>
                <w:color w:val="000000"/>
                <w:sz w:val="18"/>
                <w:szCs w:val="18"/>
              </w:rPr>
              <w:t>1.67</w:t>
            </w:r>
          </w:p>
        </w:tc>
        <w:tc>
          <w:tcPr>
            <w:tcW w:w="1021" w:type="dxa"/>
            <w:gridSpan w:val="2"/>
            <w:tcBorders>
              <w:top w:val="nil"/>
              <w:left w:val="nil"/>
              <w:bottom w:val="nil"/>
              <w:right w:val="nil"/>
            </w:tcBorders>
            <w:shd w:val="clear" w:color="auto" w:fill="auto"/>
            <w:tcMar>
              <w:top w:w="15" w:type="dxa"/>
              <w:left w:w="15" w:type="dxa"/>
              <w:bottom w:w="0" w:type="dxa"/>
              <w:right w:w="15" w:type="dxa"/>
            </w:tcMar>
            <w:vAlign w:val="center"/>
          </w:tcPr>
          <w:p w:rsidR="00F56D7A" w:rsidRDefault="006E3837">
            <w:pPr>
              <w:ind w:right="270"/>
              <w:jc w:val="right"/>
              <w:rPr>
                <w:rFonts w:asciiTheme="minorEastAsia" w:hAnsiTheme="minorEastAsia"/>
                <w:color w:val="000000"/>
                <w:sz w:val="18"/>
                <w:szCs w:val="18"/>
              </w:rPr>
            </w:pPr>
            <w:r>
              <w:rPr>
                <w:rFonts w:asciiTheme="minorEastAsia" w:hAnsiTheme="minorEastAsia" w:hint="eastAsia"/>
                <w:color w:val="000000"/>
                <w:sz w:val="18"/>
                <w:szCs w:val="18"/>
              </w:rPr>
              <w:t>3,300</w:t>
            </w:r>
          </w:p>
        </w:tc>
        <w:tc>
          <w:tcPr>
            <w:tcW w:w="1527" w:type="dxa"/>
            <w:gridSpan w:val="2"/>
            <w:tcBorders>
              <w:top w:val="nil"/>
              <w:left w:val="nil"/>
              <w:bottom w:val="nil"/>
              <w:right w:val="nil"/>
            </w:tcBorders>
            <w:shd w:val="clear" w:color="auto" w:fill="auto"/>
            <w:vAlign w:val="center"/>
          </w:tcPr>
          <w:p w:rsidR="00F56D7A" w:rsidRDefault="006E3837">
            <w:pPr>
              <w:ind w:right="360"/>
              <w:jc w:val="right"/>
              <w:rPr>
                <w:rFonts w:asciiTheme="minorEastAsia" w:hAnsiTheme="minorEastAsia"/>
                <w:color w:val="000000"/>
                <w:sz w:val="18"/>
                <w:szCs w:val="18"/>
              </w:rPr>
            </w:pPr>
            <w:r>
              <w:rPr>
                <w:rFonts w:asciiTheme="minorEastAsia" w:hAnsiTheme="minorEastAsia"/>
                <w:color w:val="000000"/>
                <w:sz w:val="18"/>
                <w:szCs w:val="18"/>
              </w:rPr>
              <w:t>6,262.00</w:t>
            </w:r>
          </w:p>
        </w:tc>
        <w:tc>
          <w:tcPr>
            <w:tcW w:w="1119" w:type="dxa"/>
            <w:tcBorders>
              <w:top w:val="nil"/>
              <w:left w:val="nil"/>
              <w:bottom w:val="nil"/>
              <w:right w:val="nil"/>
            </w:tcBorders>
            <w:shd w:val="clear" w:color="auto" w:fill="auto"/>
            <w:tcMar>
              <w:top w:w="15" w:type="dxa"/>
              <w:left w:w="15" w:type="dxa"/>
              <w:bottom w:w="0" w:type="dxa"/>
              <w:right w:w="15" w:type="dxa"/>
            </w:tcMar>
            <w:vAlign w:val="center"/>
          </w:tcPr>
          <w:p w:rsidR="00F56D7A" w:rsidRDefault="006E3837">
            <w:pPr>
              <w:ind w:right="360"/>
              <w:jc w:val="right"/>
              <w:rPr>
                <w:rFonts w:asciiTheme="minorEastAsia" w:hAnsiTheme="minorEastAsia"/>
                <w:color w:val="000000"/>
                <w:sz w:val="18"/>
                <w:szCs w:val="18"/>
              </w:rPr>
            </w:pPr>
            <w:r>
              <w:rPr>
                <w:rFonts w:asciiTheme="minorEastAsia" w:hAnsiTheme="minorEastAsia" w:hint="eastAsia"/>
                <w:color w:val="000000"/>
                <w:sz w:val="18"/>
                <w:szCs w:val="18"/>
              </w:rPr>
              <w:t>5,511.00</w:t>
            </w:r>
          </w:p>
        </w:tc>
        <w:tc>
          <w:tcPr>
            <w:tcW w:w="44" w:type="dxa"/>
            <w:vAlign w:val="bottom"/>
          </w:tcPr>
          <w:p w:rsidR="00F56D7A" w:rsidRDefault="00F56D7A">
            <w:pPr>
              <w:jc w:val="right"/>
              <w:rPr>
                <w:rFonts w:asciiTheme="minorEastAsia" w:hAnsiTheme="minorEastAsia" w:cs="Arial"/>
                <w:sz w:val="18"/>
                <w:szCs w:val="18"/>
              </w:rPr>
            </w:pPr>
          </w:p>
        </w:tc>
      </w:tr>
    </w:tbl>
    <w:p w:rsidR="00F56D7A" w:rsidRDefault="00F56D7A">
      <w:pPr>
        <w:pStyle w:val="a9"/>
        <w:spacing w:before="0" w:after="0" w:line="360" w:lineRule="auto"/>
        <w:ind w:firstLineChars="200" w:firstLine="480"/>
        <w:jc w:val="both"/>
        <w:rPr>
          <w:rFonts w:ascii="Times New Roman" w:hAnsi="宋体"/>
          <w:b w:val="0"/>
          <w:sz w:val="24"/>
          <w:szCs w:val="24"/>
        </w:rPr>
      </w:pP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根据《永赢量化混合型发起式证券投资基金基金合同》第十四部分“基金资产估值”的约定，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流通受限证券永泰能源最后运作日的估值单价为停牌前一交易日的收盘价。</w:t>
      </w:r>
    </w:p>
    <w:p w:rsidR="00F56D7A" w:rsidRDefault="00F56D7A">
      <w:pPr>
        <w:pStyle w:val="a9"/>
        <w:spacing w:before="0" w:after="0" w:line="360" w:lineRule="auto"/>
        <w:ind w:firstLineChars="200" w:firstLine="480"/>
        <w:jc w:val="both"/>
        <w:rPr>
          <w:rFonts w:ascii="Times New Roman" w:hAnsi="宋体"/>
          <w:b w:val="0"/>
          <w:sz w:val="24"/>
          <w:szCs w:val="24"/>
        </w:rPr>
      </w:pPr>
    </w:p>
    <w:p w:rsidR="00F56D7A" w:rsidRDefault="006E3837">
      <w:pPr>
        <w:pStyle w:val="a9"/>
        <w:spacing w:before="0" w:after="0" w:line="360" w:lineRule="auto"/>
        <w:ind w:firstLineChars="250" w:firstLine="600"/>
        <w:jc w:val="both"/>
        <w:rPr>
          <w:rFonts w:ascii="Times New Roman" w:hAnsi="宋体"/>
          <w:b w:val="0"/>
          <w:sz w:val="24"/>
          <w:szCs w:val="24"/>
        </w:rPr>
      </w:pPr>
      <w:r>
        <w:rPr>
          <w:rFonts w:ascii="Times New Roman" w:hAnsi="宋体" w:hint="eastAsia"/>
          <w:b w:val="0"/>
          <w:sz w:val="24"/>
          <w:szCs w:val="24"/>
        </w:rPr>
        <w:t>待停牌股票复牌后，基金管理人将及时变现停牌股票，本基金将进入二次清算程序，并将清算后的全部剩余资产扣除基金财产清算费用、交纳所欠税款并清偿基金债务后，按基金份额持有人持有的基金份额比例进行二次分配。截至</w:t>
      </w:r>
      <w:r>
        <w:rPr>
          <w:rFonts w:ascii="Times New Roman" w:hAnsi="宋体" w:hint="eastAsia"/>
          <w:b w:val="0"/>
          <w:sz w:val="24"/>
          <w:szCs w:val="24"/>
        </w:rPr>
        <w:t>2018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hint="eastAsia"/>
          <w:b w:val="0"/>
          <w:sz w:val="24"/>
          <w:szCs w:val="24"/>
        </w:rPr>
        <w:t>15</w:t>
      </w:r>
      <w:r>
        <w:rPr>
          <w:rFonts w:ascii="Times New Roman" w:hAnsi="宋体" w:hint="eastAsia"/>
          <w:b w:val="0"/>
          <w:sz w:val="24"/>
          <w:szCs w:val="24"/>
        </w:rPr>
        <w:t>日，本基金持有停牌股票尚未复牌。</w:t>
      </w:r>
    </w:p>
    <w:p w:rsidR="00F56D7A" w:rsidRDefault="00F56D7A"/>
    <w:p w:rsidR="00F56D7A" w:rsidRDefault="006E3837">
      <w:pPr>
        <w:pStyle w:val="a9"/>
        <w:spacing w:before="0" w:after="0" w:line="360" w:lineRule="auto"/>
        <w:ind w:firstLineChars="250" w:firstLine="600"/>
        <w:jc w:val="both"/>
        <w:rPr>
          <w:rFonts w:ascii="Times New Roman" w:hAnsi="宋体"/>
          <w:b w:val="0"/>
          <w:sz w:val="24"/>
          <w:szCs w:val="24"/>
        </w:rPr>
      </w:pPr>
      <w:r>
        <w:rPr>
          <w:rFonts w:ascii="Times New Roman" w:hAnsi="宋体" w:hint="eastAsia"/>
          <w:b w:val="0"/>
          <w:sz w:val="24"/>
          <w:szCs w:val="24"/>
        </w:rPr>
        <w:t>本基金最后运作日应收利息为人民币</w:t>
      </w:r>
      <w:r>
        <w:rPr>
          <w:rFonts w:ascii="Times New Roman" w:hAnsi="宋体"/>
          <w:b w:val="0"/>
          <w:sz w:val="24"/>
          <w:szCs w:val="24"/>
        </w:rPr>
        <w:t>14,971.39</w:t>
      </w:r>
      <w:r>
        <w:rPr>
          <w:rFonts w:ascii="Times New Roman" w:hAnsi="宋体" w:hint="eastAsia"/>
          <w:b w:val="0"/>
          <w:sz w:val="24"/>
          <w:szCs w:val="24"/>
        </w:rPr>
        <w:t>元。其中应收银行存款利息人民币</w:t>
      </w:r>
      <w:r>
        <w:rPr>
          <w:rFonts w:ascii="Times New Roman" w:hAnsi="宋体"/>
          <w:b w:val="0"/>
          <w:sz w:val="24"/>
          <w:szCs w:val="24"/>
        </w:rPr>
        <w:t>8,977.96</w:t>
      </w:r>
      <w:r>
        <w:rPr>
          <w:rFonts w:ascii="Times New Roman" w:hAnsi="宋体" w:hint="eastAsia"/>
          <w:b w:val="0"/>
          <w:sz w:val="24"/>
          <w:szCs w:val="24"/>
        </w:rPr>
        <w:t>元，应收</w:t>
      </w:r>
      <w:r>
        <w:rPr>
          <w:rFonts w:ascii="Times New Roman" w:hAnsi="宋体"/>
          <w:b w:val="0"/>
          <w:sz w:val="24"/>
          <w:szCs w:val="24"/>
        </w:rPr>
        <w:t>结</w:t>
      </w:r>
      <w:r>
        <w:rPr>
          <w:rFonts w:ascii="Times New Roman" w:hAnsi="宋体" w:hint="eastAsia"/>
          <w:b w:val="0"/>
          <w:sz w:val="24"/>
          <w:szCs w:val="24"/>
        </w:rPr>
        <w:t>算备付金利息人民币</w:t>
      </w:r>
      <w:r>
        <w:rPr>
          <w:rFonts w:ascii="Times New Roman" w:hAnsi="宋体"/>
          <w:b w:val="0"/>
          <w:sz w:val="24"/>
          <w:szCs w:val="24"/>
        </w:rPr>
        <w:t>5,950.68</w:t>
      </w:r>
      <w:r>
        <w:rPr>
          <w:rFonts w:ascii="Times New Roman" w:hAnsi="宋体" w:hint="eastAsia"/>
          <w:b w:val="0"/>
          <w:sz w:val="24"/>
          <w:szCs w:val="24"/>
        </w:rPr>
        <w:t>元，应收</w:t>
      </w:r>
      <w:r>
        <w:rPr>
          <w:rFonts w:ascii="Times New Roman" w:hAnsi="宋体"/>
          <w:b w:val="0"/>
          <w:sz w:val="24"/>
          <w:szCs w:val="24"/>
        </w:rPr>
        <w:t>存出</w:t>
      </w:r>
      <w:r>
        <w:rPr>
          <w:rFonts w:ascii="Times New Roman" w:hAnsi="宋体" w:hint="eastAsia"/>
          <w:b w:val="0"/>
          <w:sz w:val="24"/>
          <w:szCs w:val="24"/>
        </w:rPr>
        <w:t>保证金利息人民币</w:t>
      </w:r>
      <w:r>
        <w:rPr>
          <w:rFonts w:ascii="Times New Roman" w:hAnsi="宋体"/>
          <w:b w:val="0"/>
          <w:sz w:val="24"/>
          <w:szCs w:val="24"/>
        </w:rPr>
        <w:t>42.75</w:t>
      </w:r>
      <w:r>
        <w:rPr>
          <w:rFonts w:ascii="Times New Roman" w:hAnsi="宋体" w:hint="eastAsia"/>
          <w:b w:val="0"/>
          <w:sz w:val="24"/>
          <w:szCs w:val="24"/>
        </w:rPr>
        <w:t>元。截至</w:t>
      </w:r>
      <w:r>
        <w:rPr>
          <w:rFonts w:ascii="Times New Roman" w:hAnsi="宋体" w:hint="eastAsia"/>
          <w:b w:val="0"/>
          <w:sz w:val="24"/>
          <w:szCs w:val="24"/>
        </w:rPr>
        <w:t>2018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hint="eastAsia"/>
          <w:b w:val="0"/>
          <w:sz w:val="24"/>
          <w:szCs w:val="24"/>
        </w:rPr>
        <w:t>15</w:t>
      </w:r>
      <w:r>
        <w:rPr>
          <w:rFonts w:ascii="Times New Roman" w:hAnsi="宋体" w:hint="eastAsia"/>
          <w:b w:val="0"/>
          <w:sz w:val="24"/>
          <w:szCs w:val="24"/>
        </w:rPr>
        <w:t>日应收利息余额为人民币</w:t>
      </w:r>
      <w:r>
        <w:rPr>
          <w:rFonts w:ascii="Times New Roman" w:hAnsi="宋体"/>
          <w:b w:val="0"/>
          <w:sz w:val="24"/>
          <w:szCs w:val="24"/>
        </w:rPr>
        <w:t>17,927.83</w:t>
      </w:r>
      <w:r>
        <w:rPr>
          <w:rFonts w:ascii="Times New Roman" w:hAnsi="宋体" w:hint="eastAsia"/>
          <w:b w:val="0"/>
          <w:sz w:val="24"/>
          <w:szCs w:val="24"/>
        </w:rPr>
        <w:t>元，其中应收银行存款利息人民币</w:t>
      </w:r>
      <w:r>
        <w:rPr>
          <w:rFonts w:ascii="Times New Roman" w:hAnsi="宋体"/>
          <w:b w:val="0"/>
          <w:sz w:val="24"/>
          <w:szCs w:val="24"/>
        </w:rPr>
        <w:t>11,279.86</w:t>
      </w:r>
      <w:r>
        <w:rPr>
          <w:rFonts w:ascii="Times New Roman" w:hAnsi="宋体" w:hint="eastAsia"/>
          <w:b w:val="0"/>
          <w:sz w:val="24"/>
          <w:szCs w:val="24"/>
        </w:rPr>
        <w:t>元，应收结算备付金利息人民币</w:t>
      </w:r>
      <w:r>
        <w:rPr>
          <w:rFonts w:ascii="Times New Roman" w:hAnsi="宋体"/>
          <w:b w:val="0"/>
          <w:sz w:val="24"/>
          <w:szCs w:val="24"/>
        </w:rPr>
        <w:t>6,596.31</w:t>
      </w:r>
      <w:r>
        <w:rPr>
          <w:rFonts w:ascii="Times New Roman" w:hAnsi="宋体" w:hint="eastAsia"/>
          <w:b w:val="0"/>
          <w:sz w:val="24"/>
          <w:szCs w:val="24"/>
        </w:rPr>
        <w:t>元，应收存出保证金利息人民币</w:t>
      </w:r>
      <w:r>
        <w:rPr>
          <w:rFonts w:ascii="Times New Roman" w:hAnsi="宋体"/>
          <w:b w:val="0"/>
          <w:sz w:val="24"/>
          <w:szCs w:val="24"/>
        </w:rPr>
        <w:t>51.66</w:t>
      </w:r>
      <w:r>
        <w:rPr>
          <w:rFonts w:ascii="Times New Roman" w:hAnsi="宋体" w:hint="eastAsia"/>
          <w:b w:val="0"/>
          <w:sz w:val="24"/>
          <w:szCs w:val="24"/>
        </w:rPr>
        <w:t>元，该款项将于第二次清算时再向基金份额持有人分配。</w:t>
      </w:r>
    </w:p>
    <w:p w:rsidR="00F56D7A" w:rsidRDefault="00F56D7A">
      <w:pPr>
        <w:pStyle w:val="a9"/>
        <w:spacing w:before="0" w:after="0" w:line="360" w:lineRule="auto"/>
        <w:ind w:firstLineChars="250" w:firstLine="600"/>
        <w:jc w:val="both"/>
        <w:rPr>
          <w:rFonts w:ascii="Times New Roman" w:hAnsi="宋体"/>
          <w:b w:val="0"/>
          <w:sz w:val="24"/>
          <w:szCs w:val="24"/>
        </w:rPr>
      </w:pP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b w:val="0"/>
          <w:sz w:val="24"/>
          <w:szCs w:val="24"/>
        </w:rPr>
        <w:t>2</w:t>
      </w:r>
      <w:r>
        <w:rPr>
          <w:rFonts w:ascii="Times New Roman" w:hAnsi="宋体" w:hint="eastAsia"/>
          <w:b w:val="0"/>
          <w:sz w:val="24"/>
          <w:szCs w:val="24"/>
        </w:rPr>
        <w:t>、</w:t>
      </w:r>
      <w:r>
        <w:rPr>
          <w:rFonts w:ascii="Times New Roman" w:hAnsi="宋体"/>
          <w:b w:val="0"/>
          <w:sz w:val="24"/>
          <w:szCs w:val="24"/>
        </w:rPr>
        <w:tab/>
      </w:r>
      <w:r>
        <w:rPr>
          <w:rFonts w:ascii="Times New Roman" w:hAnsi="宋体" w:hint="eastAsia"/>
          <w:b w:val="0"/>
          <w:sz w:val="24"/>
          <w:szCs w:val="24"/>
        </w:rPr>
        <w:t>负债清偿情况</w:t>
      </w:r>
    </w:p>
    <w:p w:rsidR="00F56D7A" w:rsidRDefault="00F56D7A">
      <w:pPr>
        <w:pStyle w:val="a9"/>
        <w:spacing w:before="0" w:after="0" w:line="360" w:lineRule="auto"/>
        <w:ind w:firstLineChars="200" w:firstLine="480"/>
        <w:jc w:val="both"/>
        <w:rPr>
          <w:rFonts w:ascii="Times New Roman" w:hAnsi="宋体"/>
          <w:b w:val="0"/>
          <w:sz w:val="24"/>
          <w:szCs w:val="24"/>
        </w:rPr>
      </w:pP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w:t>
      </w:r>
      <w:r>
        <w:rPr>
          <w:rFonts w:ascii="Times New Roman" w:hAnsi="宋体" w:hint="eastAsia"/>
          <w:b w:val="0"/>
          <w:sz w:val="24"/>
          <w:szCs w:val="24"/>
        </w:rPr>
        <w:t>1</w:t>
      </w:r>
      <w:r>
        <w:rPr>
          <w:rFonts w:ascii="Times New Roman" w:hAnsi="宋体" w:hint="eastAsia"/>
          <w:b w:val="0"/>
          <w:sz w:val="24"/>
          <w:szCs w:val="24"/>
        </w:rPr>
        <w:t>）本基金最后运作日应付赎回款为人民币</w:t>
      </w:r>
      <w:r>
        <w:rPr>
          <w:rFonts w:ascii="Times New Roman" w:hAnsi="宋体"/>
          <w:b w:val="0"/>
          <w:sz w:val="24"/>
          <w:szCs w:val="24"/>
        </w:rPr>
        <w:t>1,768,389.8</w:t>
      </w:r>
      <w:r>
        <w:rPr>
          <w:rFonts w:ascii="Times New Roman" w:hAnsi="宋体" w:hint="eastAsia"/>
          <w:b w:val="0"/>
          <w:sz w:val="24"/>
          <w:szCs w:val="24"/>
        </w:rPr>
        <w:t>5</w:t>
      </w:r>
      <w:r>
        <w:rPr>
          <w:rFonts w:ascii="Times New Roman" w:hAnsi="宋体" w:hint="eastAsia"/>
          <w:b w:val="0"/>
          <w:sz w:val="24"/>
          <w:szCs w:val="24"/>
        </w:rPr>
        <w:t>元，该款项已于</w:t>
      </w:r>
      <w:r>
        <w:rPr>
          <w:rFonts w:ascii="Times New Roman" w:hAnsi="宋体" w:hint="eastAsia"/>
          <w:b w:val="0"/>
          <w:sz w:val="24"/>
          <w:szCs w:val="24"/>
        </w:rPr>
        <w:t>2018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hint="eastAsia"/>
          <w:b w:val="0"/>
          <w:sz w:val="24"/>
          <w:szCs w:val="24"/>
        </w:rPr>
        <w:t>7</w:t>
      </w:r>
      <w:r>
        <w:rPr>
          <w:rFonts w:ascii="Times New Roman" w:hAnsi="宋体" w:hint="eastAsia"/>
          <w:b w:val="0"/>
          <w:sz w:val="24"/>
          <w:szCs w:val="24"/>
        </w:rPr>
        <w:t>日及</w:t>
      </w:r>
      <w:r>
        <w:rPr>
          <w:rFonts w:ascii="Times New Roman" w:hAnsi="宋体" w:hint="eastAsia"/>
          <w:b w:val="0"/>
          <w:sz w:val="24"/>
          <w:szCs w:val="24"/>
        </w:rPr>
        <w:t>2018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hint="eastAsia"/>
          <w:b w:val="0"/>
          <w:sz w:val="24"/>
          <w:szCs w:val="24"/>
        </w:rPr>
        <w:t>8</w:t>
      </w:r>
      <w:r>
        <w:rPr>
          <w:rFonts w:ascii="Times New Roman" w:hAnsi="宋体" w:hint="eastAsia"/>
          <w:b w:val="0"/>
          <w:sz w:val="24"/>
          <w:szCs w:val="24"/>
        </w:rPr>
        <w:t>日支付。</w:t>
      </w: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w:t>
      </w:r>
      <w:r>
        <w:rPr>
          <w:rFonts w:ascii="Times New Roman" w:hAnsi="宋体" w:hint="eastAsia"/>
          <w:b w:val="0"/>
          <w:sz w:val="24"/>
          <w:szCs w:val="24"/>
        </w:rPr>
        <w:t>2</w:t>
      </w:r>
      <w:r>
        <w:rPr>
          <w:rFonts w:ascii="Times New Roman" w:hAnsi="宋体" w:hint="eastAsia"/>
          <w:b w:val="0"/>
          <w:sz w:val="24"/>
          <w:szCs w:val="24"/>
        </w:rPr>
        <w:t>）本基金最后运作日应付管理人报酬为人民币</w:t>
      </w:r>
      <w:r>
        <w:rPr>
          <w:rFonts w:ascii="Times New Roman" w:hAnsi="宋体"/>
          <w:b w:val="0"/>
          <w:sz w:val="24"/>
          <w:szCs w:val="24"/>
        </w:rPr>
        <w:t>4,190.55</w:t>
      </w:r>
      <w:r>
        <w:rPr>
          <w:rFonts w:ascii="Times New Roman" w:hAnsi="宋体" w:hint="eastAsia"/>
          <w:b w:val="0"/>
          <w:sz w:val="24"/>
          <w:szCs w:val="24"/>
        </w:rPr>
        <w:t>元，该款项已于</w:t>
      </w:r>
      <w:r>
        <w:rPr>
          <w:rFonts w:ascii="Times New Roman" w:hAnsi="宋体" w:hint="eastAsia"/>
          <w:b w:val="0"/>
          <w:sz w:val="24"/>
          <w:szCs w:val="24"/>
        </w:rPr>
        <w:t>201</w:t>
      </w:r>
      <w:r>
        <w:rPr>
          <w:rFonts w:ascii="Times New Roman" w:hAnsi="宋体"/>
          <w:b w:val="0"/>
          <w:sz w:val="24"/>
          <w:szCs w:val="24"/>
        </w:rPr>
        <w:t>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b w:val="0"/>
          <w:sz w:val="24"/>
          <w:szCs w:val="24"/>
        </w:rPr>
        <w:t>14</w:t>
      </w:r>
      <w:r>
        <w:rPr>
          <w:rFonts w:ascii="Times New Roman" w:hAnsi="宋体" w:hint="eastAsia"/>
          <w:b w:val="0"/>
          <w:sz w:val="24"/>
          <w:szCs w:val="24"/>
        </w:rPr>
        <w:t>日支付。</w:t>
      </w: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w:t>
      </w:r>
      <w:r>
        <w:rPr>
          <w:rFonts w:ascii="Times New Roman" w:hAnsi="宋体" w:hint="eastAsia"/>
          <w:b w:val="0"/>
          <w:sz w:val="24"/>
          <w:szCs w:val="24"/>
        </w:rPr>
        <w:t>3</w:t>
      </w:r>
      <w:r>
        <w:rPr>
          <w:rFonts w:ascii="Times New Roman" w:hAnsi="宋体" w:hint="eastAsia"/>
          <w:b w:val="0"/>
          <w:sz w:val="24"/>
          <w:szCs w:val="24"/>
        </w:rPr>
        <w:t>）本基金最后运作日应付托管费为人民币</w:t>
      </w:r>
      <w:r>
        <w:rPr>
          <w:rFonts w:ascii="Times New Roman" w:hAnsi="宋体"/>
          <w:b w:val="0"/>
          <w:sz w:val="24"/>
          <w:szCs w:val="24"/>
        </w:rPr>
        <w:t>873.03</w:t>
      </w:r>
      <w:r>
        <w:rPr>
          <w:rFonts w:ascii="Times New Roman" w:hAnsi="宋体" w:hint="eastAsia"/>
          <w:b w:val="0"/>
          <w:sz w:val="24"/>
          <w:szCs w:val="24"/>
        </w:rPr>
        <w:t>元，该款项已于</w:t>
      </w:r>
      <w:r>
        <w:rPr>
          <w:rFonts w:ascii="Times New Roman" w:hAnsi="宋体" w:hint="eastAsia"/>
          <w:b w:val="0"/>
          <w:sz w:val="24"/>
          <w:szCs w:val="24"/>
        </w:rPr>
        <w:t>201</w:t>
      </w:r>
      <w:r>
        <w:rPr>
          <w:rFonts w:ascii="Times New Roman" w:hAnsi="宋体"/>
          <w:b w:val="0"/>
          <w:sz w:val="24"/>
          <w:szCs w:val="24"/>
        </w:rPr>
        <w:t>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b w:val="0"/>
          <w:sz w:val="24"/>
          <w:szCs w:val="24"/>
        </w:rPr>
        <w:t>14</w:t>
      </w:r>
      <w:r>
        <w:rPr>
          <w:rFonts w:ascii="Times New Roman" w:hAnsi="宋体" w:hint="eastAsia"/>
          <w:b w:val="0"/>
          <w:sz w:val="24"/>
          <w:szCs w:val="24"/>
        </w:rPr>
        <w:t>日支付。</w:t>
      </w: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w:t>
      </w:r>
      <w:r>
        <w:rPr>
          <w:rFonts w:ascii="Times New Roman" w:hAnsi="宋体" w:hint="eastAsia"/>
          <w:b w:val="0"/>
          <w:sz w:val="24"/>
          <w:szCs w:val="24"/>
        </w:rPr>
        <w:t>4</w:t>
      </w:r>
      <w:r>
        <w:rPr>
          <w:rFonts w:ascii="Times New Roman" w:hAnsi="宋体" w:hint="eastAsia"/>
          <w:b w:val="0"/>
          <w:sz w:val="24"/>
          <w:szCs w:val="24"/>
        </w:rPr>
        <w:t>）本基金最后运作日应付交易费用为人民币</w:t>
      </w:r>
      <w:r>
        <w:rPr>
          <w:rFonts w:ascii="Times New Roman" w:hAnsi="宋体"/>
          <w:b w:val="0"/>
          <w:sz w:val="24"/>
          <w:szCs w:val="24"/>
        </w:rPr>
        <w:t>2,704.45</w:t>
      </w:r>
      <w:r>
        <w:rPr>
          <w:rFonts w:ascii="Times New Roman" w:hAnsi="宋体" w:hint="eastAsia"/>
          <w:b w:val="0"/>
          <w:sz w:val="24"/>
          <w:szCs w:val="24"/>
        </w:rPr>
        <w:t>元，为应付席位佣金，该款项已于</w:t>
      </w:r>
      <w:r>
        <w:rPr>
          <w:rFonts w:ascii="Times New Roman" w:hAnsi="宋体" w:hint="eastAsia"/>
          <w:b w:val="0"/>
          <w:sz w:val="24"/>
          <w:szCs w:val="24"/>
        </w:rPr>
        <w:t>201</w:t>
      </w:r>
      <w:r>
        <w:rPr>
          <w:rFonts w:ascii="Times New Roman" w:hAnsi="宋体"/>
          <w:b w:val="0"/>
          <w:sz w:val="24"/>
          <w:szCs w:val="24"/>
        </w:rPr>
        <w:t>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b w:val="0"/>
          <w:sz w:val="24"/>
          <w:szCs w:val="24"/>
        </w:rPr>
        <w:t>14</w:t>
      </w:r>
      <w:r>
        <w:rPr>
          <w:rFonts w:ascii="Times New Roman" w:hAnsi="宋体" w:hint="eastAsia"/>
          <w:b w:val="0"/>
          <w:sz w:val="24"/>
          <w:szCs w:val="24"/>
        </w:rPr>
        <w:t>日支付。</w:t>
      </w: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w:t>
      </w:r>
      <w:r>
        <w:rPr>
          <w:rFonts w:ascii="Times New Roman" w:hAnsi="宋体" w:hint="eastAsia"/>
          <w:b w:val="0"/>
          <w:sz w:val="24"/>
          <w:szCs w:val="24"/>
        </w:rPr>
        <w:t>5</w:t>
      </w:r>
      <w:r>
        <w:rPr>
          <w:rFonts w:ascii="Times New Roman" w:hAnsi="宋体" w:hint="eastAsia"/>
          <w:b w:val="0"/>
          <w:sz w:val="24"/>
          <w:szCs w:val="24"/>
        </w:rPr>
        <w:t>）本基金最后运作日其他负债为人民币</w:t>
      </w:r>
      <w:r>
        <w:rPr>
          <w:rFonts w:ascii="Times New Roman" w:hAnsi="宋体" w:hint="eastAsia"/>
          <w:b w:val="0"/>
          <w:sz w:val="24"/>
          <w:szCs w:val="24"/>
        </w:rPr>
        <w:t>461,000.04</w:t>
      </w:r>
      <w:r>
        <w:rPr>
          <w:rFonts w:ascii="Times New Roman" w:hAnsi="宋体" w:hint="eastAsia"/>
          <w:b w:val="0"/>
          <w:sz w:val="24"/>
          <w:szCs w:val="24"/>
        </w:rPr>
        <w:t>元，其中预提</w:t>
      </w:r>
      <w:r>
        <w:rPr>
          <w:rFonts w:ascii="Times New Roman" w:hAnsi="宋体" w:hint="eastAsia"/>
          <w:b w:val="0"/>
          <w:sz w:val="24"/>
          <w:szCs w:val="24"/>
        </w:rPr>
        <w:t>2015</w:t>
      </w:r>
      <w:r>
        <w:rPr>
          <w:rFonts w:ascii="Times New Roman" w:hAnsi="宋体" w:hint="eastAsia"/>
          <w:b w:val="0"/>
          <w:sz w:val="24"/>
          <w:szCs w:val="24"/>
        </w:rPr>
        <w:t>年信息披露费为人民币</w:t>
      </w:r>
      <w:r>
        <w:rPr>
          <w:rFonts w:ascii="Times New Roman" w:hAnsi="宋体" w:hint="eastAsia"/>
          <w:b w:val="0"/>
          <w:sz w:val="24"/>
          <w:szCs w:val="24"/>
        </w:rPr>
        <w:t>34,552.08</w:t>
      </w:r>
      <w:r>
        <w:rPr>
          <w:rFonts w:ascii="Times New Roman" w:hAnsi="宋体" w:hint="eastAsia"/>
          <w:b w:val="0"/>
          <w:sz w:val="24"/>
          <w:szCs w:val="24"/>
        </w:rPr>
        <w:t>元，预提</w:t>
      </w:r>
      <w:r>
        <w:rPr>
          <w:rFonts w:ascii="Times New Roman" w:hAnsi="宋体" w:hint="eastAsia"/>
          <w:b w:val="0"/>
          <w:sz w:val="24"/>
          <w:szCs w:val="24"/>
        </w:rPr>
        <w:t>2016</w:t>
      </w:r>
      <w:r>
        <w:rPr>
          <w:rFonts w:ascii="Times New Roman" w:hAnsi="宋体" w:hint="eastAsia"/>
          <w:b w:val="0"/>
          <w:sz w:val="24"/>
          <w:szCs w:val="24"/>
        </w:rPr>
        <w:t>年信息披露费为人民币</w:t>
      </w:r>
      <w:r>
        <w:rPr>
          <w:rFonts w:ascii="Times New Roman" w:hAnsi="宋体" w:hint="eastAsia"/>
          <w:b w:val="0"/>
          <w:sz w:val="24"/>
          <w:szCs w:val="24"/>
        </w:rPr>
        <w:t>85,447.92</w:t>
      </w:r>
      <w:r>
        <w:rPr>
          <w:rFonts w:ascii="Times New Roman" w:hAnsi="宋体" w:hint="eastAsia"/>
          <w:b w:val="0"/>
          <w:sz w:val="24"/>
          <w:szCs w:val="24"/>
        </w:rPr>
        <w:t>元，预提</w:t>
      </w:r>
      <w:r>
        <w:rPr>
          <w:rFonts w:ascii="Times New Roman" w:hAnsi="宋体" w:hint="eastAsia"/>
          <w:b w:val="0"/>
          <w:sz w:val="24"/>
          <w:szCs w:val="24"/>
        </w:rPr>
        <w:t>2017</w:t>
      </w:r>
      <w:r>
        <w:rPr>
          <w:rFonts w:ascii="Times New Roman" w:hAnsi="宋体" w:hint="eastAsia"/>
          <w:b w:val="0"/>
          <w:sz w:val="24"/>
          <w:szCs w:val="24"/>
        </w:rPr>
        <w:t>年信息披露费为人民币</w:t>
      </w:r>
      <w:r w:rsidR="00835040">
        <w:rPr>
          <w:rFonts w:ascii="Times New Roman" w:hAnsi="宋体" w:hint="eastAsia"/>
          <w:b w:val="0"/>
          <w:sz w:val="24"/>
          <w:szCs w:val="24"/>
        </w:rPr>
        <w:t>2</w:t>
      </w:r>
      <w:r>
        <w:rPr>
          <w:rFonts w:ascii="Times New Roman" w:hAnsi="宋体"/>
          <w:b w:val="0"/>
          <w:sz w:val="24"/>
          <w:szCs w:val="24"/>
        </w:rPr>
        <w:t>2</w:t>
      </w:r>
      <w:r>
        <w:rPr>
          <w:rFonts w:ascii="Times New Roman" w:hAnsi="宋体" w:hint="eastAsia"/>
          <w:b w:val="0"/>
          <w:sz w:val="24"/>
          <w:szCs w:val="24"/>
        </w:rPr>
        <w:t>0,000.00</w:t>
      </w:r>
      <w:r>
        <w:rPr>
          <w:rFonts w:ascii="Times New Roman" w:hAnsi="宋体" w:hint="eastAsia"/>
          <w:b w:val="0"/>
          <w:sz w:val="24"/>
          <w:szCs w:val="24"/>
        </w:rPr>
        <w:t>元，预提</w:t>
      </w:r>
      <w:r>
        <w:rPr>
          <w:rFonts w:ascii="Times New Roman" w:hAnsi="宋体" w:hint="eastAsia"/>
          <w:b w:val="0"/>
          <w:sz w:val="24"/>
          <w:szCs w:val="24"/>
        </w:rPr>
        <w:t>2018</w:t>
      </w:r>
      <w:r>
        <w:rPr>
          <w:rFonts w:ascii="Times New Roman" w:hAnsi="宋体" w:hint="eastAsia"/>
          <w:b w:val="0"/>
          <w:sz w:val="24"/>
          <w:szCs w:val="24"/>
        </w:rPr>
        <w:t>年信息披露费为人民币</w:t>
      </w:r>
      <w:r>
        <w:rPr>
          <w:rFonts w:ascii="Times New Roman" w:hAnsi="宋体"/>
          <w:b w:val="0"/>
          <w:sz w:val="24"/>
          <w:szCs w:val="24"/>
        </w:rPr>
        <w:t>118</w:t>
      </w:r>
      <w:r>
        <w:rPr>
          <w:rFonts w:ascii="Times New Roman" w:hAnsi="宋体" w:hint="eastAsia"/>
          <w:b w:val="0"/>
          <w:sz w:val="24"/>
          <w:szCs w:val="24"/>
        </w:rPr>
        <w:t>,</w:t>
      </w:r>
      <w:r>
        <w:rPr>
          <w:rFonts w:ascii="Times New Roman" w:hAnsi="宋体"/>
          <w:b w:val="0"/>
          <w:sz w:val="24"/>
          <w:szCs w:val="24"/>
        </w:rPr>
        <w:t>000</w:t>
      </w:r>
      <w:r>
        <w:rPr>
          <w:rFonts w:ascii="Times New Roman" w:hAnsi="宋体" w:hint="eastAsia"/>
          <w:b w:val="0"/>
          <w:sz w:val="24"/>
          <w:szCs w:val="24"/>
        </w:rPr>
        <w:t>.00</w:t>
      </w:r>
      <w:r>
        <w:rPr>
          <w:rFonts w:ascii="Times New Roman" w:hAnsi="宋体" w:hint="eastAsia"/>
          <w:b w:val="0"/>
          <w:sz w:val="24"/>
          <w:szCs w:val="24"/>
        </w:rPr>
        <w:t>元，预提账户维护费为人民币</w:t>
      </w:r>
      <w:r>
        <w:rPr>
          <w:rFonts w:ascii="Times New Roman" w:hAnsi="宋体" w:hint="eastAsia"/>
          <w:b w:val="0"/>
          <w:sz w:val="24"/>
          <w:szCs w:val="24"/>
        </w:rPr>
        <w:t>3,000.00</w:t>
      </w:r>
      <w:r>
        <w:rPr>
          <w:rFonts w:ascii="Times New Roman" w:hAnsi="宋体" w:hint="eastAsia"/>
          <w:b w:val="0"/>
          <w:sz w:val="24"/>
          <w:szCs w:val="24"/>
        </w:rPr>
        <w:t>元，应付赎回费为人民币</w:t>
      </w:r>
      <w:r>
        <w:rPr>
          <w:rFonts w:ascii="Times New Roman" w:hAnsi="宋体" w:hint="eastAsia"/>
          <w:b w:val="0"/>
          <w:sz w:val="24"/>
          <w:szCs w:val="24"/>
        </w:rPr>
        <w:t>0.04</w:t>
      </w:r>
      <w:r>
        <w:rPr>
          <w:rFonts w:ascii="Times New Roman" w:hAnsi="宋体" w:hint="eastAsia"/>
          <w:b w:val="0"/>
          <w:sz w:val="24"/>
          <w:szCs w:val="24"/>
        </w:rPr>
        <w:t>元。其中账户维护费人民币</w:t>
      </w:r>
      <w:r>
        <w:rPr>
          <w:rFonts w:ascii="Times New Roman" w:hAnsi="宋体" w:hint="eastAsia"/>
          <w:b w:val="0"/>
          <w:sz w:val="24"/>
          <w:szCs w:val="24"/>
        </w:rPr>
        <w:t>3,000.00</w:t>
      </w:r>
      <w:r>
        <w:rPr>
          <w:rFonts w:ascii="Times New Roman" w:hAnsi="宋体" w:hint="eastAsia"/>
          <w:b w:val="0"/>
          <w:sz w:val="24"/>
          <w:szCs w:val="24"/>
        </w:rPr>
        <w:t>元已于</w:t>
      </w:r>
      <w:r>
        <w:rPr>
          <w:rFonts w:ascii="Times New Roman" w:hAnsi="宋体" w:hint="eastAsia"/>
          <w:b w:val="0"/>
          <w:sz w:val="24"/>
          <w:szCs w:val="24"/>
        </w:rPr>
        <w:t>2018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b w:val="0"/>
          <w:sz w:val="24"/>
          <w:szCs w:val="24"/>
        </w:rPr>
        <w:t>14</w:t>
      </w:r>
      <w:r>
        <w:rPr>
          <w:rFonts w:ascii="Times New Roman" w:hAnsi="宋体" w:hint="eastAsia"/>
          <w:b w:val="0"/>
          <w:sz w:val="24"/>
          <w:szCs w:val="24"/>
        </w:rPr>
        <w:t>日支付，应付赎回费人民币</w:t>
      </w:r>
      <w:r>
        <w:rPr>
          <w:rFonts w:ascii="Times New Roman" w:hAnsi="宋体" w:hint="eastAsia"/>
          <w:b w:val="0"/>
          <w:sz w:val="24"/>
          <w:szCs w:val="24"/>
        </w:rPr>
        <w:t>0.04</w:t>
      </w:r>
      <w:r>
        <w:rPr>
          <w:rFonts w:ascii="Times New Roman" w:hAnsi="宋体" w:hint="eastAsia"/>
          <w:b w:val="0"/>
          <w:sz w:val="24"/>
          <w:szCs w:val="24"/>
        </w:rPr>
        <w:t>元已于</w:t>
      </w:r>
      <w:r>
        <w:rPr>
          <w:rFonts w:ascii="Times New Roman" w:hAnsi="宋体" w:hint="eastAsia"/>
          <w:b w:val="0"/>
          <w:sz w:val="24"/>
          <w:szCs w:val="24"/>
        </w:rPr>
        <w:t>2018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hint="eastAsia"/>
          <w:b w:val="0"/>
          <w:sz w:val="24"/>
          <w:szCs w:val="24"/>
        </w:rPr>
        <w:t>7</w:t>
      </w:r>
      <w:r>
        <w:rPr>
          <w:rFonts w:ascii="Times New Roman" w:hAnsi="宋体" w:hint="eastAsia"/>
          <w:b w:val="0"/>
          <w:sz w:val="24"/>
          <w:szCs w:val="24"/>
        </w:rPr>
        <w:t>日支付，剩余的信息披露费因尚未获取发票预计将于二次清算时从基金资产中支付。</w:t>
      </w:r>
    </w:p>
    <w:p w:rsidR="00F56D7A" w:rsidRDefault="00F56D7A"/>
    <w:p w:rsidR="00F56D7A" w:rsidRDefault="00F56D7A">
      <w:pPr>
        <w:pStyle w:val="a9"/>
        <w:spacing w:before="0" w:after="0" w:line="360" w:lineRule="auto"/>
        <w:ind w:firstLineChars="200" w:firstLine="480"/>
        <w:jc w:val="both"/>
        <w:rPr>
          <w:rFonts w:ascii="Times New Roman" w:hAnsi="宋体"/>
          <w:b w:val="0"/>
          <w:sz w:val="24"/>
          <w:szCs w:val="24"/>
        </w:rPr>
      </w:pPr>
    </w:p>
    <w:p w:rsidR="00F56D7A" w:rsidRDefault="00F56D7A">
      <w:pPr>
        <w:pStyle w:val="a9"/>
        <w:spacing w:before="0" w:after="0" w:line="360" w:lineRule="auto"/>
        <w:ind w:firstLineChars="200" w:firstLine="480"/>
        <w:jc w:val="both"/>
        <w:rPr>
          <w:rFonts w:ascii="Times New Roman" w:hAnsi="宋体"/>
          <w:b w:val="0"/>
          <w:sz w:val="24"/>
          <w:szCs w:val="24"/>
        </w:rPr>
      </w:pPr>
    </w:p>
    <w:p w:rsidR="00F56D7A" w:rsidRDefault="00F56D7A">
      <w:pPr>
        <w:pStyle w:val="a9"/>
        <w:spacing w:before="0" w:after="0" w:line="360" w:lineRule="auto"/>
        <w:ind w:firstLineChars="200" w:firstLine="480"/>
        <w:jc w:val="both"/>
        <w:rPr>
          <w:rFonts w:ascii="Times New Roman" w:hAnsi="宋体"/>
          <w:b w:val="0"/>
          <w:sz w:val="24"/>
          <w:szCs w:val="24"/>
        </w:rPr>
      </w:pPr>
    </w:p>
    <w:p w:rsidR="00F56D7A" w:rsidRDefault="00F56D7A">
      <w:pPr>
        <w:pStyle w:val="a9"/>
        <w:spacing w:before="0" w:after="0" w:line="360" w:lineRule="auto"/>
        <w:ind w:firstLineChars="200" w:firstLine="480"/>
        <w:jc w:val="both"/>
        <w:rPr>
          <w:rFonts w:ascii="Times New Roman" w:hAnsi="宋体"/>
          <w:b w:val="0"/>
          <w:sz w:val="24"/>
          <w:szCs w:val="24"/>
        </w:rPr>
      </w:pP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,3</w:t>
      </w:r>
      <w:r>
        <w:rPr>
          <w:rFonts w:ascii="Times New Roman" w:hAnsi="宋体" w:hint="eastAsia"/>
          <w:b w:val="0"/>
          <w:sz w:val="24"/>
          <w:szCs w:val="24"/>
        </w:rPr>
        <w:t>、</w:t>
      </w:r>
      <w:r>
        <w:rPr>
          <w:rFonts w:ascii="Times New Roman" w:hAnsi="宋体"/>
          <w:b w:val="0"/>
          <w:sz w:val="24"/>
          <w:szCs w:val="24"/>
        </w:rPr>
        <w:tab/>
      </w:r>
      <w:r>
        <w:rPr>
          <w:rFonts w:ascii="Times New Roman" w:hAnsi="宋体" w:hint="eastAsia"/>
          <w:b w:val="0"/>
          <w:sz w:val="24"/>
          <w:szCs w:val="24"/>
        </w:rPr>
        <w:t>清算期间的清算损益情况</w:t>
      </w:r>
    </w:p>
    <w:p w:rsidR="00F56D7A" w:rsidRDefault="00F56D7A">
      <w:pPr>
        <w:overflowPunct w:val="0"/>
        <w:autoSpaceDE w:val="0"/>
        <w:autoSpaceDN w:val="0"/>
        <w:snapToGrid w:val="0"/>
        <w:jc w:val="left"/>
        <w:rPr>
          <w:rFonts w:ascii="黑体" w:eastAsia="黑体" w:hAnsi="黑体" w:cs="Arial"/>
          <w:sz w:val="22"/>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3261"/>
      </w:tblGrid>
      <w:tr w:rsidR="00F56D7A">
        <w:trPr>
          <w:trHeight w:val="80"/>
        </w:trPr>
        <w:tc>
          <w:tcPr>
            <w:tcW w:w="5103" w:type="dxa"/>
            <w:vAlign w:val="bottom"/>
          </w:tcPr>
          <w:p w:rsidR="00F56D7A" w:rsidRDefault="006E3837">
            <w:pPr>
              <w:overflowPunct w:val="0"/>
              <w:autoSpaceDE w:val="0"/>
              <w:autoSpaceDN w:val="0"/>
              <w:snapToGrid w:val="0"/>
              <w:ind w:left="34"/>
              <w:jc w:val="left"/>
              <w:rPr>
                <w:rFonts w:ascii="Times New Roman" w:eastAsia="宋体" w:hAnsi="宋体" w:cs="Times New Roman"/>
                <w:bCs/>
                <w:sz w:val="24"/>
                <w:szCs w:val="24"/>
              </w:rPr>
            </w:pPr>
            <w:r>
              <w:rPr>
                <w:rFonts w:ascii="Times New Roman" w:eastAsia="宋体" w:hAnsi="宋体" w:cs="Times New Roman" w:hint="eastAsia"/>
                <w:bCs/>
                <w:sz w:val="24"/>
                <w:szCs w:val="24"/>
              </w:rPr>
              <w:t>项目</w:t>
            </w:r>
          </w:p>
        </w:tc>
        <w:tc>
          <w:tcPr>
            <w:tcW w:w="3261" w:type="dxa"/>
            <w:vAlign w:val="bottom"/>
          </w:tcPr>
          <w:p w:rsidR="00F56D7A" w:rsidRDefault="006E3837">
            <w:pPr>
              <w:overflowPunct w:val="0"/>
              <w:autoSpaceDE w:val="0"/>
              <w:autoSpaceDN w:val="0"/>
              <w:snapToGrid w:val="0"/>
              <w:ind w:leftChars="-84" w:left="-176"/>
              <w:jc w:val="right"/>
              <w:rPr>
                <w:rFonts w:ascii="Times New Roman" w:eastAsia="宋体" w:hAnsi="宋体" w:cs="Times New Roman"/>
                <w:bCs/>
                <w:sz w:val="24"/>
                <w:szCs w:val="24"/>
              </w:rPr>
            </w:pPr>
            <w:r>
              <w:rPr>
                <w:rFonts w:ascii="Times New Roman" w:eastAsia="宋体" w:hAnsi="宋体" w:cs="Times New Roman" w:hint="eastAsia"/>
                <w:bCs/>
                <w:sz w:val="24"/>
                <w:szCs w:val="24"/>
              </w:rPr>
              <w:t>自</w:t>
            </w:r>
            <w:r>
              <w:rPr>
                <w:rFonts w:ascii="Times New Roman" w:eastAsia="宋体" w:hAnsi="宋体" w:cs="Times New Roman"/>
                <w:bCs/>
                <w:sz w:val="24"/>
                <w:szCs w:val="24"/>
              </w:rPr>
              <w:t>2018</w:t>
            </w:r>
            <w:r>
              <w:rPr>
                <w:rFonts w:ascii="Times New Roman" w:eastAsia="宋体" w:hAnsi="宋体" w:cs="Times New Roman"/>
                <w:bCs/>
                <w:sz w:val="24"/>
                <w:szCs w:val="24"/>
              </w:rPr>
              <w:t>年</w:t>
            </w:r>
            <w:r>
              <w:rPr>
                <w:rFonts w:ascii="Times New Roman" w:eastAsia="宋体" w:hAnsi="宋体" w:cs="Times New Roman"/>
                <w:bCs/>
                <w:sz w:val="24"/>
                <w:szCs w:val="24"/>
              </w:rPr>
              <w:t>8</w:t>
            </w:r>
            <w:r>
              <w:rPr>
                <w:rFonts w:ascii="Times New Roman" w:eastAsia="宋体" w:hAnsi="宋体" w:cs="Times New Roman"/>
                <w:bCs/>
                <w:sz w:val="24"/>
                <w:szCs w:val="24"/>
              </w:rPr>
              <w:t>月</w:t>
            </w:r>
            <w:r>
              <w:rPr>
                <w:rFonts w:ascii="Times New Roman" w:eastAsia="宋体" w:hAnsi="宋体" w:cs="Times New Roman"/>
                <w:bCs/>
                <w:sz w:val="24"/>
                <w:szCs w:val="24"/>
              </w:rPr>
              <w:t>7</w:t>
            </w:r>
            <w:r>
              <w:rPr>
                <w:rFonts w:ascii="Times New Roman" w:eastAsia="宋体" w:hAnsi="宋体" w:cs="Times New Roman"/>
                <w:bCs/>
                <w:sz w:val="24"/>
                <w:szCs w:val="24"/>
              </w:rPr>
              <w:t>日</w:t>
            </w:r>
          </w:p>
          <w:p w:rsidR="00F56D7A" w:rsidRDefault="006E3837">
            <w:pPr>
              <w:tabs>
                <w:tab w:val="left" w:pos="2517"/>
              </w:tabs>
              <w:overflowPunct w:val="0"/>
              <w:autoSpaceDE w:val="0"/>
              <w:autoSpaceDN w:val="0"/>
              <w:snapToGrid w:val="0"/>
              <w:jc w:val="right"/>
              <w:rPr>
                <w:rFonts w:ascii="Times New Roman" w:eastAsia="宋体" w:hAnsi="宋体" w:cs="Times New Roman"/>
                <w:bCs/>
                <w:sz w:val="24"/>
                <w:szCs w:val="24"/>
              </w:rPr>
            </w:pPr>
            <w:r>
              <w:rPr>
                <w:rFonts w:ascii="Times New Roman" w:eastAsia="宋体" w:hAnsi="宋体" w:cs="Times New Roman" w:hint="eastAsia"/>
                <w:bCs/>
                <w:sz w:val="24"/>
                <w:szCs w:val="24"/>
              </w:rPr>
              <w:t>至</w:t>
            </w:r>
            <w:r>
              <w:rPr>
                <w:rFonts w:ascii="Times New Roman" w:eastAsia="宋体" w:hAnsi="宋体" w:cs="Times New Roman" w:hint="eastAsia"/>
                <w:bCs/>
                <w:sz w:val="24"/>
                <w:szCs w:val="24"/>
              </w:rPr>
              <w:t>2018</w:t>
            </w:r>
            <w:r>
              <w:rPr>
                <w:rFonts w:ascii="Times New Roman" w:eastAsia="宋体" w:hAnsi="宋体" w:cs="Times New Roman" w:hint="eastAsia"/>
                <w:bCs/>
                <w:sz w:val="24"/>
                <w:szCs w:val="24"/>
              </w:rPr>
              <w:t>年</w:t>
            </w:r>
            <w:r>
              <w:rPr>
                <w:rFonts w:ascii="Times New Roman" w:eastAsia="宋体" w:hAnsi="宋体" w:cs="Times New Roman" w:hint="eastAsia"/>
                <w:bCs/>
                <w:sz w:val="24"/>
                <w:szCs w:val="24"/>
              </w:rPr>
              <w:t>8</w:t>
            </w:r>
            <w:r>
              <w:rPr>
                <w:rFonts w:ascii="Times New Roman" w:eastAsia="宋体" w:hAnsi="宋体" w:cs="Times New Roman" w:hint="eastAsia"/>
                <w:bCs/>
                <w:sz w:val="24"/>
                <w:szCs w:val="24"/>
              </w:rPr>
              <w:t>月</w:t>
            </w:r>
            <w:r>
              <w:rPr>
                <w:rFonts w:ascii="Times New Roman" w:eastAsia="宋体" w:hAnsi="宋体" w:cs="Times New Roman"/>
                <w:bCs/>
                <w:sz w:val="24"/>
                <w:szCs w:val="24"/>
              </w:rPr>
              <w:t>1</w:t>
            </w:r>
            <w:r>
              <w:rPr>
                <w:rFonts w:ascii="Times New Roman" w:eastAsia="宋体" w:hAnsi="宋体" w:cs="Times New Roman" w:hint="eastAsia"/>
                <w:bCs/>
                <w:sz w:val="24"/>
                <w:szCs w:val="24"/>
              </w:rPr>
              <w:t>5</w:t>
            </w:r>
            <w:r>
              <w:rPr>
                <w:rFonts w:ascii="Times New Roman" w:eastAsia="宋体" w:hAnsi="宋体" w:cs="Times New Roman" w:hint="eastAsia"/>
                <w:bCs/>
                <w:sz w:val="24"/>
                <w:szCs w:val="24"/>
              </w:rPr>
              <w:t>日</w:t>
            </w:r>
          </w:p>
          <w:p w:rsidR="00F56D7A" w:rsidRDefault="006E3837">
            <w:pPr>
              <w:overflowPunct w:val="0"/>
              <w:autoSpaceDE w:val="0"/>
              <w:autoSpaceDN w:val="0"/>
              <w:snapToGrid w:val="0"/>
              <w:jc w:val="right"/>
              <w:rPr>
                <w:rFonts w:ascii="Times New Roman" w:eastAsia="宋体" w:hAnsi="宋体" w:cs="Times New Roman"/>
                <w:bCs/>
                <w:sz w:val="24"/>
                <w:szCs w:val="24"/>
              </w:rPr>
            </w:pPr>
            <w:r>
              <w:rPr>
                <w:rFonts w:ascii="Times New Roman" w:eastAsia="宋体" w:hAnsi="宋体" w:cs="Times New Roman" w:hint="eastAsia"/>
                <w:bCs/>
                <w:sz w:val="24"/>
                <w:szCs w:val="24"/>
              </w:rPr>
              <w:t>止清算期间</w:t>
            </w:r>
          </w:p>
        </w:tc>
      </w:tr>
      <w:tr w:rsidR="00F56D7A">
        <w:trPr>
          <w:trHeight w:val="271"/>
        </w:trPr>
        <w:tc>
          <w:tcPr>
            <w:tcW w:w="5103" w:type="dxa"/>
            <w:vAlign w:val="bottom"/>
          </w:tcPr>
          <w:p w:rsidR="00F56D7A" w:rsidRDefault="006E3837">
            <w:pPr>
              <w:pStyle w:val="a8"/>
              <w:rPr>
                <w:rFonts w:ascii="Times New Roman" w:cs="Times New Roman"/>
                <w:bCs/>
                <w:kern w:val="2"/>
              </w:rPr>
            </w:pPr>
            <w:r>
              <w:rPr>
                <w:rFonts w:ascii="Times New Roman" w:cs="Times New Roman" w:hint="eastAsia"/>
                <w:bCs/>
                <w:kern w:val="2"/>
              </w:rPr>
              <w:t>一、清算收益</w:t>
            </w:r>
          </w:p>
        </w:tc>
        <w:tc>
          <w:tcPr>
            <w:tcW w:w="3261" w:type="dxa"/>
            <w:vAlign w:val="bottom"/>
          </w:tcPr>
          <w:p w:rsidR="00F56D7A" w:rsidRDefault="00F56D7A">
            <w:pPr>
              <w:ind w:right="110"/>
              <w:jc w:val="right"/>
              <w:rPr>
                <w:rFonts w:ascii="Times New Roman" w:eastAsia="宋体" w:hAnsi="宋体" w:cs="Times New Roman"/>
                <w:bCs/>
                <w:sz w:val="24"/>
                <w:szCs w:val="24"/>
              </w:rPr>
            </w:pPr>
          </w:p>
        </w:tc>
      </w:tr>
      <w:tr w:rsidR="00F56D7A">
        <w:trPr>
          <w:trHeight w:val="135"/>
        </w:trPr>
        <w:tc>
          <w:tcPr>
            <w:tcW w:w="5103" w:type="dxa"/>
            <w:vAlign w:val="bottom"/>
          </w:tcPr>
          <w:p w:rsidR="00F56D7A" w:rsidRDefault="006E3837">
            <w:pPr>
              <w:pStyle w:val="a8"/>
              <w:rPr>
                <w:rFonts w:ascii="Times New Roman" w:cs="Times New Roman"/>
                <w:bCs/>
                <w:kern w:val="2"/>
              </w:rPr>
            </w:pPr>
            <w:r>
              <w:rPr>
                <w:rFonts w:ascii="Times New Roman" w:cs="Times New Roman" w:hint="eastAsia"/>
                <w:bCs/>
                <w:kern w:val="2"/>
              </w:rPr>
              <w:t>1</w:t>
            </w:r>
            <w:r>
              <w:rPr>
                <w:rFonts w:ascii="Times New Roman" w:cs="Times New Roman" w:hint="eastAsia"/>
                <w:bCs/>
                <w:kern w:val="2"/>
              </w:rPr>
              <w:t>、赎回费收入</w:t>
            </w:r>
          </w:p>
        </w:tc>
        <w:tc>
          <w:tcPr>
            <w:tcW w:w="3261" w:type="dxa"/>
            <w:vAlign w:val="bottom"/>
          </w:tcPr>
          <w:p w:rsidR="00F56D7A" w:rsidRDefault="006E3837">
            <w:pPr>
              <w:ind w:right="110"/>
              <w:jc w:val="right"/>
              <w:rPr>
                <w:rFonts w:ascii="Times New Roman" w:eastAsia="宋体" w:hAnsi="宋体" w:cs="Times New Roman"/>
                <w:bCs/>
                <w:sz w:val="24"/>
                <w:szCs w:val="24"/>
              </w:rPr>
            </w:pPr>
            <w:r>
              <w:rPr>
                <w:rFonts w:ascii="Times New Roman" w:eastAsia="宋体" w:hAnsi="宋体" w:cs="Times New Roman" w:hint="eastAsia"/>
                <w:bCs/>
                <w:sz w:val="24"/>
                <w:szCs w:val="24"/>
              </w:rPr>
              <w:t>8.01</w:t>
            </w:r>
          </w:p>
        </w:tc>
      </w:tr>
      <w:tr w:rsidR="00F56D7A">
        <w:trPr>
          <w:trHeight w:val="165"/>
        </w:trPr>
        <w:tc>
          <w:tcPr>
            <w:tcW w:w="5103" w:type="dxa"/>
            <w:vAlign w:val="bottom"/>
          </w:tcPr>
          <w:p w:rsidR="00F56D7A" w:rsidRDefault="006E3837">
            <w:pPr>
              <w:pStyle w:val="a8"/>
              <w:rPr>
                <w:rFonts w:ascii="Times New Roman" w:cs="Times New Roman"/>
                <w:bCs/>
                <w:kern w:val="2"/>
              </w:rPr>
            </w:pPr>
            <w:r>
              <w:rPr>
                <w:rFonts w:ascii="Times New Roman" w:cs="Times New Roman" w:hint="eastAsia"/>
                <w:bCs/>
                <w:kern w:val="2"/>
              </w:rPr>
              <w:t>2</w:t>
            </w:r>
            <w:r>
              <w:rPr>
                <w:rFonts w:ascii="Times New Roman" w:cs="Times New Roman" w:hint="eastAsia"/>
                <w:bCs/>
                <w:kern w:val="2"/>
              </w:rPr>
              <w:t>、利息收入</w:t>
            </w:r>
          </w:p>
        </w:tc>
        <w:tc>
          <w:tcPr>
            <w:tcW w:w="3261" w:type="dxa"/>
            <w:vAlign w:val="bottom"/>
          </w:tcPr>
          <w:p w:rsidR="00F56D7A" w:rsidRDefault="006E3837">
            <w:pPr>
              <w:ind w:right="110"/>
              <w:jc w:val="right"/>
              <w:rPr>
                <w:rFonts w:ascii="Times New Roman" w:eastAsia="宋体" w:hAnsi="宋体" w:cs="Times New Roman"/>
                <w:bCs/>
                <w:sz w:val="24"/>
                <w:szCs w:val="24"/>
              </w:rPr>
            </w:pPr>
            <w:r>
              <w:rPr>
                <w:rFonts w:ascii="Times New Roman" w:eastAsia="宋体" w:hAnsi="宋体" w:cs="Times New Roman"/>
                <w:bCs/>
                <w:sz w:val="24"/>
                <w:szCs w:val="24"/>
              </w:rPr>
              <w:t>2</w:t>
            </w:r>
            <w:r>
              <w:rPr>
                <w:rFonts w:ascii="Times New Roman" w:eastAsia="宋体" w:hAnsi="宋体" w:cs="Times New Roman" w:hint="eastAsia"/>
                <w:bCs/>
                <w:sz w:val="24"/>
                <w:szCs w:val="24"/>
              </w:rPr>
              <w:t>,</w:t>
            </w:r>
            <w:r>
              <w:rPr>
                <w:rFonts w:ascii="Times New Roman" w:eastAsia="宋体" w:hAnsi="宋体" w:cs="Times New Roman"/>
                <w:bCs/>
                <w:sz w:val="24"/>
                <w:szCs w:val="24"/>
              </w:rPr>
              <w:t>956.44</w:t>
            </w:r>
          </w:p>
        </w:tc>
      </w:tr>
      <w:tr w:rsidR="00F56D7A">
        <w:trPr>
          <w:trHeight w:val="137"/>
        </w:trPr>
        <w:tc>
          <w:tcPr>
            <w:tcW w:w="5103" w:type="dxa"/>
            <w:vAlign w:val="bottom"/>
          </w:tcPr>
          <w:p w:rsidR="00F56D7A" w:rsidRDefault="006E3837">
            <w:pPr>
              <w:pStyle w:val="a8"/>
              <w:rPr>
                <w:rFonts w:ascii="Times New Roman" w:cs="Times New Roman"/>
                <w:bCs/>
                <w:kern w:val="2"/>
              </w:rPr>
            </w:pPr>
            <w:r>
              <w:rPr>
                <w:rFonts w:ascii="Times New Roman" w:cs="Times New Roman" w:hint="eastAsia"/>
                <w:bCs/>
                <w:kern w:val="2"/>
              </w:rPr>
              <w:t>其中：存款利息收入</w:t>
            </w:r>
          </w:p>
        </w:tc>
        <w:tc>
          <w:tcPr>
            <w:tcW w:w="3261" w:type="dxa"/>
            <w:vAlign w:val="bottom"/>
          </w:tcPr>
          <w:p w:rsidR="00F56D7A" w:rsidRDefault="006E3837">
            <w:pPr>
              <w:ind w:right="110"/>
              <w:jc w:val="right"/>
              <w:rPr>
                <w:rFonts w:ascii="Times New Roman" w:eastAsia="宋体" w:hAnsi="宋体" w:cs="Times New Roman"/>
                <w:bCs/>
                <w:sz w:val="24"/>
                <w:szCs w:val="24"/>
              </w:rPr>
            </w:pPr>
            <w:r>
              <w:rPr>
                <w:rFonts w:ascii="Times New Roman" w:eastAsia="宋体" w:hAnsi="宋体" w:cs="Times New Roman" w:hint="eastAsia"/>
                <w:bCs/>
                <w:sz w:val="24"/>
                <w:szCs w:val="24"/>
              </w:rPr>
              <w:t>2,301.90</w:t>
            </w:r>
          </w:p>
        </w:tc>
      </w:tr>
      <w:tr w:rsidR="00F56D7A">
        <w:trPr>
          <w:trHeight w:val="135"/>
        </w:trPr>
        <w:tc>
          <w:tcPr>
            <w:tcW w:w="5103" w:type="dxa"/>
            <w:vAlign w:val="bottom"/>
          </w:tcPr>
          <w:p w:rsidR="00F56D7A" w:rsidRDefault="006E3837">
            <w:pPr>
              <w:pStyle w:val="a8"/>
              <w:ind w:firstLineChars="300" w:firstLine="720"/>
              <w:rPr>
                <w:rFonts w:ascii="Times New Roman" w:cs="Times New Roman"/>
                <w:bCs/>
                <w:kern w:val="2"/>
              </w:rPr>
            </w:pPr>
            <w:r>
              <w:rPr>
                <w:rFonts w:ascii="Times New Roman" w:cs="Times New Roman" w:hint="eastAsia"/>
                <w:bCs/>
                <w:kern w:val="2"/>
              </w:rPr>
              <w:t>结算备付金利息收入</w:t>
            </w:r>
          </w:p>
        </w:tc>
        <w:tc>
          <w:tcPr>
            <w:tcW w:w="3261" w:type="dxa"/>
            <w:vAlign w:val="bottom"/>
          </w:tcPr>
          <w:p w:rsidR="00F56D7A" w:rsidRDefault="006E3837">
            <w:pPr>
              <w:ind w:right="110"/>
              <w:jc w:val="right"/>
              <w:rPr>
                <w:rFonts w:ascii="Times New Roman" w:eastAsia="宋体" w:hAnsi="宋体" w:cs="Times New Roman"/>
                <w:bCs/>
                <w:sz w:val="24"/>
                <w:szCs w:val="24"/>
              </w:rPr>
            </w:pPr>
            <w:r>
              <w:rPr>
                <w:rFonts w:ascii="Times New Roman" w:eastAsia="宋体" w:hAnsi="宋体" w:cs="Times New Roman" w:hint="eastAsia"/>
                <w:bCs/>
                <w:sz w:val="24"/>
                <w:szCs w:val="24"/>
              </w:rPr>
              <w:t>645.63</w:t>
            </w:r>
          </w:p>
        </w:tc>
      </w:tr>
      <w:tr w:rsidR="00F56D7A">
        <w:trPr>
          <w:trHeight w:val="110"/>
        </w:trPr>
        <w:tc>
          <w:tcPr>
            <w:tcW w:w="5103" w:type="dxa"/>
            <w:vAlign w:val="bottom"/>
          </w:tcPr>
          <w:p w:rsidR="00F56D7A" w:rsidRDefault="006E3837">
            <w:pPr>
              <w:pStyle w:val="a8"/>
              <w:ind w:firstLineChars="300" w:firstLine="720"/>
              <w:rPr>
                <w:rFonts w:ascii="Times New Roman" w:cs="Times New Roman"/>
                <w:bCs/>
                <w:kern w:val="2"/>
              </w:rPr>
            </w:pPr>
            <w:r>
              <w:rPr>
                <w:rFonts w:ascii="Times New Roman" w:cs="Times New Roman" w:hint="eastAsia"/>
                <w:bCs/>
                <w:kern w:val="2"/>
              </w:rPr>
              <w:t>结算保证金利息收入</w:t>
            </w:r>
          </w:p>
        </w:tc>
        <w:tc>
          <w:tcPr>
            <w:tcW w:w="3261" w:type="dxa"/>
            <w:vAlign w:val="bottom"/>
          </w:tcPr>
          <w:p w:rsidR="00F56D7A" w:rsidRDefault="006E3837">
            <w:pPr>
              <w:ind w:right="110"/>
              <w:jc w:val="right"/>
              <w:rPr>
                <w:rFonts w:ascii="Times New Roman" w:eastAsia="宋体" w:hAnsi="宋体" w:cs="Times New Roman"/>
                <w:bCs/>
                <w:sz w:val="24"/>
                <w:szCs w:val="24"/>
              </w:rPr>
            </w:pPr>
            <w:r>
              <w:rPr>
                <w:rFonts w:ascii="Times New Roman" w:eastAsia="宋体" w:hAnsi="宋体" w:cs="Times New Roman" w:hint="eastAsia"/>
                <w:bCs/>
                <w:sz w:val="24"/>
                <w:szCs w:val="24"/>
              </w:rPr>
              <w:t>8.91</w:t>
            </w:r>
          </w:p>
        </w:tc>
      </w:tr>
      <w:tr w:rsidR="00F56D7A">
        <w:trPr>
          <w:trHeight w:val="80"/>
        </w:trPr>
        <w:tc>
          <w:tcPr>
            <w:tcW w:w="5103" w:type="dxa"/>
            <w:vAlign w:val="bottom"/>
          </w:tcPr>
          <w:p w:rsidR="00F56D7A" w:rsidRDefault="006E3837">
            <w:pPr>
              <w:pStyle w:val="a8"/>
              <w:rPr>
                <w:rFonts w:ascii="Times New Roman" w:cs="Times New Roman"/>
                <w:bCs/>
                <w:kern w:val="2"/>
              </w:rPr>
            </w:pPr>
            <w:r>
              <w:rPr>
                <w:rFonts w:ascii="Times New Roman" w:cs="Times New Roman" w:hint="eastAsia"/>
                <w:bCs/>
                <w:kern w:val="2"/>
              </w:rPr>
              <w:t>3</w:t>
            </w:r>
            <w:r>
              <w:rPr>
                <w:rFonts w:ascii="Times New Roman" w:cs="Times New Roman" w:hint="eastAsia"/>
                <w:bCs/>
                <w:kern w:val="2"/>
              </w:rPr>
              <w:t>、投资损益（损失以“</w:t>
            </w:r>
            <w:r>
              <w:rPr>
                <w:rFonts w:ascii="Times New Roman" w:cs="Times New Roman" w:hint="eastAsia"/>
                <w:bCs/>
                <w:kern w:val="2"/>
              </w:rPr>
              <w:t>-</w:t>
            </w:r>
            <w:r>
              <w:rPr>
                <w:rFonts w:ascii="Times New Roman" w:cs="Times New Roman" w:hint="eastAsia"/>
                <w:bCs/>
                <w:kern w:val="2"/>
              </w:rPr>
              <w:t>”号填列）</w:t>
            </w:r>
          </w:p>
        </w:tc>
        <w:tc>
          <w:tcPr>
            <w:tcW w:w="3261" w:type="dxa"/>
            <w:vAlign w:val="bottom"/>
          </w:tcPr>
          <w:p w:rsidR="00F56D7A" w:rsidRDefault="006E3837">
            <w:pPr>
              <w:ind w:right="110"/>
              <w:jc w:val="right"/>
              <w:rPr>
                <w:rFonts w:ascii="Times New Roman" w:eastAsia="宋体" w:hAnsi="宋体" w:cs="Times New Roman"/>
                <w:bCs/>
                <w:sz w:val="24"/>
                <w:szCs w:val="24"/>
              </w:rPr>
            </w:pPr>
            <w:r>
              <w:rPr>
                <w:rFonts w:ascii="Times New Roman" w:eastAsia="宋体" w:hAnsi="宋体" w:cs="Times New Roman"/>
                <w:bCs/>
                <w:sz w:val="24"/>
                <w:szCs w:val="24"/>
              </w:rPr>
              <w:t>-</w:t>
            </w:r>
            <w:r>
              <w:rPr>
                <w:rFonts w:ascii="Times New Roman" w:eastAsia="宋体" w:hAnsi="宋体" w:cs="Times New Roman" w:hint="eastAsia"/>
                <w:bCs/>
                <w:sz w:val="24"/>
                <w:szCs w:val="24"/>
              </w:rPr>
              <w:t>56</w:t>
            </w:r>
            <w:r>
              <w:rPr>
                <w:rFonts w:ascii="Times New Roman" w:eastAsia="宋体" w:hAnsi="宋体" w:cs="Times New Roman"/>
                <w:bCs/>
                <w:sz w:val="24"/>
                <w:szCs w:val="24"/>
              </w:rPr>
              <w:t>,</w:t>
            </w:r>
            <w:r>
              <w:rPr>
                <w:rFonts w:ascii="Times New Roman" w:eastAsia="宋体" w:hAnsi="宋体" w:cs="Times New Roman" w:hint="eastAsia"/>
                <w:bCs/>
                <w:sz w:val="24"/>
                <w:szCs w:val="24"/>
              </w:rPr>
              <w:t>129</w:t>
            </w:r>
            <w:r>
              <w:rPr>
                <w:rFonts w:ascii="Times New Roman" w:eastAsia="宋体" w:hAnsi="宋体" w:cs="Times New Roman"/>
                <w:bCs/>
                <w:sz w:val="24"/>
                <w:szCs w:val="24"/>
              </w:rPr>
              <w:t>.</w:t>
            </w:r>
            <w:r>
              <w:rPr>
                <w:rFonts w:ascii="Times New Roman" w:eastAsia="宋体" w:hAnsi="宋体" w:cs="Times New Roman" w:hint="eastAsia"/>
                <w:bCs/>
                <w:sz w:val="24"/>
                <w:szCs w:val="24"/>
              </w:rPr>
              <w:t>30</w:t>
            </w:r>
          </w:p>
        </w:tc>
      </w:tr>
      <w:tr w:rsidR="00F56D7A">
        <w:trPr>
          <w:trHeight w:val="80"/>
        </w:trPr>
        <w:tc>
          <w:tcPr>
            <w:tcW w:w="5103" w:type="dxa"/>
            <w:vAlign w:val="bottom"/>
          </w:tcPr>
          <w:p w:rsidR="00F56D7A" w:rsidRDefault="006E3837">
            <w:pPr>
              <w:pStyle w:val="a8"/>
              <w:rPr>
                <w:rFonts w:ascii="Times New Roman" w:cs="Times New Roman"/>
                <w:bCs/>
                <w:kern w:val="2"/>
              </w:rPr>
            </w:pPr>
            <w:r>
              <w:rPr>
                <w:rFonts w:ascii="Times New Roman" w:cs="Times New Roman" w:hint="eastAsia"/>
                <w:bCs/>
                <w:kern w:val="2"/>
              </w:rPr>
              <w:t>4</w:t>
            </w:r>
            <w:r>
              <w:rPr>
                <w:rFonts w:ascii="Times New Roman" w:cs="Times New Roman" w:hint="eastAsia"/>
                <w:bCs/>
                <w:kern w:val="2"/>
              </w:rPr>
              <w:t>、公允价值变动损益（损失以“</w:t>
            </w:r>
            <w:r>
              <w:rPr>
                <w:rFonts w:ascii="Times New Roman" w:cs="Times New Roman" w:hint="eastAsia"/>
                <w:bCs/>
                <w:kern w:val="2"/>
              </w:rPr>
              <w:t>-</w:t>
            </w:r>
            <w:r>
              <w:rPr>
                <w:rFonts w:ascii="Times New Roman" w:cs="Times New Roman" w:hint="eastAsia"/>
                <w:bCs/>
                <w:kern w:val="2"/>
              </w:rPr>
              <w:t>”号填列）</w:t>
            </w:r>
          </w:p>
        </w:tc>
        <w:tc>
          <w:tcPr>
            <w:tcW w:w="3261" w:type="dxa"/>
            <w:vAlign w:val="bottom"/>
          </w:tcPr>
          <w:p w:rsidR="00F56D7A" w:rsidRDefault="006E3837">
            <w:pPr>
              <w:ind w:right="110"/>
              <w:jc w:val="right"/>
              <w:rPr>
                <w:rFonts w:ascii="Times New Roman" w:eastAsia="宋体" w:hAnsi="宋体" w:cs="Times New Roman"/>
                <w:bCs/>
                <w:sz w:val="24"/>
                <w:szCs w:val="24"/>
              </w:rPr>
            </w:pPr>
            <w:r>
              <w:rPr>
                <w:rFonts w:ascii="Times New Roman" w:eastAsia="宋体" w:hAnsi="宋体" w:cs="Times New Roman"/>
                <w:bCs/>
                <w:sz w:val="24"/>
                <w:szCs w:val="24"/>
              </w:rPr>
              <w:t>40,496.82</w:t>
            </w:r>
          </w:p>
        </w:tc>
      </w:tr>
      <w:tr w:rsidR="00F56D7A">
        <w:trPr>
          <w:trHeight w:val="80"/>
        </w:trPr>
        <w:tc>
          <w:tcPr>
            <w:tcW w:w="5103" w:type="dxa"/>
            <w:vAlign w:val="bottom"/>
          </w:tcPr>
          <w:p w:rsidR="00F56D7A" w:rsidRDefault="006E3837">
            <w:pPr>
              <w:pStyle w:val="a8"/>
              <w:rPr>
                <w:rFonts w:ascii="Times New Roman" w:cs="Times New Roman"/>
                <w:bCs/>
                <w:kern w:val="2"/>
              </w:rPr>
            </w:pPr>
            <w:r>
              <w:rPr>
                <w:rFonts w:ascii="Times New Roman" w:cs="Times New Roman" w:hint="eastAsia"/>
                <w:bCs/>
                <w:kern w:val="2"/>
              </w:rPr>
              <w:t>5</w:t>
            </w:r>
            <w:r>
              <w:rPr>
                <w:rFonts w:ascii="Times New Roman" w:cs="Times New Roman" w:hint="eastAsia"/>
                <w:bCs/>
                <w:kern w:val="2"/>
              </w:rPr>
              <w:t>、</w:t>
            </w:r>
            <w:r>
              <w:rPr>
                <w:rFonts w:ascii="Times New Roman" w:cs="Times New Roman"/>
                <w:bCs/>
                <w:kern w:val="2"/>
              </w:rPr>
              <w:t>交易费用</w:t>
            </w:r>
          </w:p>
        </w:tc>
        <w:tc>
          <w:tcPr>
            <w:tcW w:w="3261" w:type="dxa"/>
            <w:vAlign w:val="bottom"/>
          </w:tcPr>
          <w:p w:rsidR="00F56D7A" w:rsidRDefault="006E3837">
            <w:pPr>
              <w:ind w:right="110"/>
              <w:jc w:val="right"/>
              <w:rPr>
                <w:rFonts w:ascii="Times New Roman" w:eastAsia="宋体" w:hAnsi="宋体" w:cs="Times New Roman"/>
                <w:bCs/>
                <w:sz w:val="24"/>
                <w:szCs w:val="24"/>
              </w:rPr>
            </w:pPr>
            <w:r>
              <w:rPr>
                <w:rFonts w:ascii="Times New Roman" w:eastAsia="宋体" w:hAnsi="宋体" w:cs="Times New Roman" w:hint="eastAsia"/>
                <w:bCs/>
                <w:sz w:val="24"/>
                <w:szCs w:val="24"/>
              </w:rPr>
              <w:t>-3,293.98</w:t>
            </w:r>
          </w:p>
        </w:tc>
      </w:tr>
      <w:tr w:rsidR="00F56D7A">
        <w:trPr>
          <w:trHeight w:val="80"/>
        </w:trPr>
        <w:tc>
          <w:tcPr>
            <w:tcW w:w="5103" w:type="dxa"/>
            <w:vAlign w:val="bottom"/>
          </w:tcPr>
          <w:p w:rsidR="00F56D7A" w:rsidRDefault="006E3837">
            <w:pPr>
              <w:pStyle w:val="a8"/>
              <w:rPr>
                <w:rFonts w:ascii="Times New Roman" w:cs="Times New Roman"/>
                <w:bCs/>
                <w:kern w:val="2"/>
              </w:rPr>
            </w:pPr>
            <w:r>
              <w:rPr>
                <w:rFonts w:ascii="Times New Roman" w:cs="Times New Roman" w:hint="eastAsia"/>
                <w:bCs/>
                <w:kern w:val="2"/>
              </w:rPr>
              <w:t>清算收益小计（损失以“</w:t>
            </w:r>
            <w:r>
              <w:rPr>
                <w:rFonts w:ascii="Times New Roman" w:cs="Times New Roman" w:hint="eastAsia"/>
                <w:bCs/>
                <w:kern w:val="2"/>
              </w:rPr>
              <w:t>-</w:t>
            </w:r>
            <w:r>
              <w:rPr>
                <w:rFonts w:ascii="Times New Roman" w:cs="Times New Roman" w:hint="eastAsia"/>
                <w:bCs/>
                <w:kern w:val="2"/>
              </w:rPr>
              <w:t>”号填列）</w:t>
            </w:r>
          </w:p>
        </w:tc>
        <w:tc>
          <w:tcPr>
            <w:tcW w:w="3261" w:type="dxa"/>
            <w:vAlign w:val="bottom"/>
          </w:tcPr>
          <w:p w:rsidR="00F56D7A" w:rsidRDefault="006E3837">
            <w:pPr>
              <w:ind w:right="110"/>
              <w:jc w:val="right"/>
              <w:rPr>
                <w:rFonts w:ascii="Times New Roman" w:eastAsia="宋体" w:hAnsi="宋体" w:cs="Times New Roman"/>
                <w:bCs/>
                <w:sz w:val="24"/>
                <w:szCs w:val="24"/>
              </w:rPr>
            </w:pPr>
            <w:r>
              <w:rPr>
                <w:rFonts w:ascii="Times New Roman" w:eastAsia="宋体" w:hAnsi="宋体" w:cs="Times New Roman" w:hint="eastAsia"/>
                <w:bCs/>
                <w:sz w:val="24"/>
                <w:szCs w:val="24"/>
              </w:rPr>
              <w:t>-1</w:t>
            </w:r>
            <w:r>
              <w:rPr>
                <w:rFonts w:ascii="Times New Roman" w:eastAsia="宋体" w:hAnsi="宋体" w:cs="Times New Roman"/>
                <w:bCs/>
                <w:sz w:val="24"/>
                <w:szCs w:val="24"/>
              </w:rPr>
              <w:t>5</w:t>
            </w:r>
            <w:r>
              <w:rPr>
                <w:rFonts w:ascii="Times New Roman" w:eastAsia="宋体" w:hAnsi="宋体" w:cs="Times New Roman" w:hint="eastAsia"/>
                <w:bCs/>
                <w:sz w:val="24"/>
                <w:szCs w:val="24"/>
              </w:rPr>
              <w:t>,96</w:t>
            </w:r>
            <w:r>
              <w:rPr>
                <w:rFonts w:ascii="Times New Roman" w:eastAsia="宋体" w:hAnsi="宋体" w:cs="Times New Roman"/>
                <w:bCs/>
                <w:sz w:val="24"/>
                <w:szCs w:val="24"/>
              </w:rPr>
              <w:t>2</w:t>
            </w:r>
            <w:r>
              <w:rPr>
                <w:rFonts w:ascii="Times New Roman" w:eastAsia="宋体" w:hAnsi="宋体" w:cs="Times New Roman" w:hint="eastAsia"/>
                <w:bCs/>
                <w:sz w:val="24"/>
                <w:szCs w:val="24"/>
              </w:rPr>
              <w:t>.0</w:t>
            </w:r>
            <w:r>
              <w:rPr>
                <w:rFonts w:ascii="Times New Roman" w:eastAsia="宋体" w:hAnsi="宋体" w:cs="Times New Roman"/>
                <w:bCs/>
                <w:sz w:val="24"/>
                <w:szCs w:val="24"/>
              </w:rPr>
              <w:t>1</w:t>
            </w:r>
          </w:p>
        </w:tc>
      </w:tr>
      <w:tr w:rsidR="00F56D7A">
        <w:trPr>
          <w:trHeight w:val="82"/>
        </w:trPr>
        <w:tc>
          <w:tcPr>
            <w:tcW w:w="5103" w:type="dxa"/>
            <w:vAlign w:val="bottom"/>
          </w:tcPr>
          <w:p w:rsidR="00F56D7A" w:rsidRDefault="006E3837">
            <w:pPr>
              <w:pStyle w:val="a8"/>
              <w:rPr>
                <w:rFonts w:ascii="Times New Roman" w:cs="Times New Roman"/>
                <w:bCs/>
                <w:kern w:val="2"/>
              </w:rPr>
            </w:pPr>
            <w:r>
              <w:rPr>
                <w:rFonts w:ascii="Times New Roman" w:cs="Times New Roman" w:hint="eastAsia"/>
                <w:bCs/>
                <w:kern w:val="2"/>
              </w:rPr>
              <w:t>二、清算费用</w:t>
            </w:r>
          </w:p>
        </w:tc>
        <w:tc>
          <w:tcPr>
            <w:tcW w:w="3261" w:type="dxa"/>
            <w:vAlign w:val="bottom"/>
          </w:tcPr>
          <w:p w:rsidR="00F56D7A" w:rsidRDefault="00F56D7A">
            <w:pPr>
              <w:ind w:right="110"/>
              <w:jc w:val="right"/>
              <w:rPr>
                <w:rFonts w:ascii="Times New Roman" w:eastAsia="宋体" w:hAnsi="宋体" w:cs="Times New Roman"/>
                <w:bCs/>
                <w:sz w:val="24"/>
                <w:szCs w:val="24"/>
              </w:rPr>
            </w:pPr>
          </w:p>
        </w:tc>
      </w:tr>
      <w:tr w:rsidR="00F56D7A">
        <w:trPr>
          <w:trHeight w:val="175"/>
        </w:trPr>
        <w:tc>
          <w:tcPr>
            <w:tcW w:w="5103" w:type="dxa"/>
            <w:vAlign w:val="bottom"/>
          </w:tcPr>
          <w:p w:rsidR="00F56D7A" w:rsidRDefault="006E3837">
            <w:pPr>
              <w:pStyle w:val="a8"/>
              <w:rPr>
                <w:rFonts w:ascii="Times New Roman" w:cs="Times New Roman"/>
                <w:bCs/>
                <w:kern w:val="2"/>
              </w:rPr>
            </w:pPr>
            <w:r>
              <w:rPr>
                <w:rFonts w:ascii="Times New Roman" w:cs="Times New Roman" w:hint="eastAsia"/>
                <w:bCs/>
                <w:kern w:val="2"/>
              </w:rPr>
              <w:t>1</w:t>
            </w:r>
            <w:r>
              <w:rPr>
                <w:rFonts w:ascii="Times New Roman" w:cs="Times New Roman" w:hint="eastAsia"/>
                <w:bCs/>
                <w:kern w:val="2"/>
              </w:rPr>
              <w:t>、税金及附加</w:t>
            </w:r>
          </w:p>
        </w:tc>
        <w:tc>
          <w:tcPr>
            <w:tcW w:w="3261" w:type="dxa"/>
            <w:vAlign w:val="bottom"/>
          </w:tcPr>
          <w:p w:rsidR="00F56D7A" w:rsidRDefault="006E3837">
            <w:pPr>
              <w:ind w:right="110"/>
              <w:jc w:val="right"/>
              <w:rPr>
                <w:rFonts w:ascii="Times New Roman" w:eastAsia="宋体" w:hAnsi="宋体" w:cs="Times New Roman"/>
                <w:bCs/>
                <w:sz w:val="24"/>
                <w:szCs w:val="24"/>
              </w:rPr>
            </w:pPr>
            <w:r>
              <w:rPr>
                <w:rFonts w:ascii="Times New Roman" w:eastAsia="宋体" w:hAnsi="宋体" w:cs="Times New Roman" w:hint="eastAsia"/>
                <w:bCs/>
                <w:sz w:val="24"/>
                <w:szCs w:val="24"/>
              </w:rPr>
              <w:t>958.91</w:t>
            </w:r>
          </w:p>
        </w:tc>
      </w:tr>
      <w:tr w:rsidR="00F56D7A">
        <w:trPr>
          <w:trHeight w:val="279"/>
        </w:trPr>
        <w:tc>
          <w:tcPr>
            <w:tcW w:w="5103" w:type="dxa"/>
            <w:vAlign w:val="bottom"/>
          </w:tcPr>
          <w:p w:rsidR="00F56D7A" w:rsidRDefault="006E3837">
            <w:pPr>
              <w:pStyle w:val="a8"/>
              <w:rPr>
                <w:rFonts w:ascii="Times New Roman" w:cs="Times New Roman"/>
                <w:bCs/>
                <w:kern w:val="2"/>
              </w:rPr>
            </w:pPr>
            <w:r>
              <w:rPr>
                <w:rFonts w:ascii="Times New Roman" w:cs="Times New Roman" w:hint="eastAsia"/>
                <w:bCs/>
                <w:kern w:val="2"/>
              </w:rPr>
              <w:t>2</w:t>
            </w:r>
            <w:r>
              <w:rPr>
                <w:rFonts w:ascii="Times New Roman" w:cs="Times New Roman" w:hint="eastAsia"/>
                <w:bCs/>
                <w:kern w:val="2"/>
              </w:rPr>
              <w:t>、其他费用（注</w:t>
            </w:r>
            <w:r>
              <w:rPr>
                <w:rFonts w:ascii="Times New Roman" w:cs="Times New Roman" w:hint="eastAsia"/>
                <w:bCs/>
                <w:kern w:val="2"/>
              </w:rPr>
              <w:t>2</w:t>
            </w:r>
            <w:r>
              <w:rPr>
                <w:rFonts w:ascii="Times New Roman" w:cs="Times New Roman" w:hint="eastAsia"/>
                <w:bCs/>
                <w:kern w:val="2"/>
              </w:rPr>
              <w:t>）</w:t>
            </w:r>
          </w:p>
        </w:tc>
        <w:tc>
          <w:tcPr>
            <w:tcW w:w="3261" w:type="dxa"/>
            <w:vAlign w:val="bottom"/>
          </w:tcPr>
          <w:p w:rsidR="00F56D7A" w:rsidRDefault="006E3837">
            <w:pPr>
              <w:ind w:right="110"/>
              <w:jc w:val="right"/>
              <w:rPr>
                <w:rFonts w:ascii="Times New Roman" w:eastAsia="宋体" w:hAnsi="宋体" w:cs="Times New Roman"/>
                <w:bCs/>
                <w:sz w:val="24"/>
                <w:szCs w:val="24"/>
              </w:rPr>
            </w:pPr>
            <w:r>
              <w:rPr>
                <w:rFonts w:ascii="Times New Roman" w:eastAsia="宋体" w:hAnsi="宋体" w:cs="Times New Roman"/>
                <w:bCs/>
                <w:sz w:val="24"/>
                <w:szCs w:val="24"/>
              </w:rPr>
              <w:t>25,000.00</w:t>
            </w:r>
          </w:p>
        </w:tc>
      </w:tr>
      <w:tr w:rsidR="00F56D7A">
        <w:trPr>
          <w:trHeight w:val="376"/>
        </w:trPr>
        <w:tc>
          <w:tcPr>
            <w:tcW w:w="5103" w:type="dxa"/>
            <w:vAlign w:val="bottom"/>
          </w:tcPr>
          <w:p w:rsidR="00F56D7A" w:rsidRDefault="006E3837">
            <w:pPr>
              <w:pStyle w:val="a8"/>
              <w:rPr>
                <w:rFonts w:ascii="Times New Roman" w:cs="Times New Roman"/>
                <w:bCs/>
                <w:kern w:val="2"/>
              </w:rPr>
            </w:pPr>
            <w:r>
              <w:rPr>
                <w:rFonts w:ascii="Times New Roman" w:cs="Times New Roman" w:hint="eastAsia"/>
                <w:bCs/>
                <w:kern w:val="2"/>
              </w:rPr>
              <w:t>清算费用小计（注</w:t>
            </w:r>
            <w:r>
              <w:rPr>
                <w:rFonts w:ascii="Times New Roman" w:cs="Times New Roman" w:hint="eastAsia"/>
                <w:bCs/>
                <w:kern w:val="2"/>
              </w:rPr>
              <w:t>1</w:t>
            </w:r>
            <w:r>
              <w:rPr>
                <w:rFonts w:ascii="Times New Roman" w:cs="Times New Roman" w:hint="eastAsia"/>
                <w:bCs/>
                <w:kern w:val="2"/>
              </w:rPr>
              <w:t>）</w:t>
            </w:r>
          </w:p>
        </w:tc>
        <w:tc>
          <w:tcPr>
            <w:tcW w:w="3261" w:type="dxa"/>
            <w:vAlign w:val="bottom"/>
          </w:tcPr>
          <w:p w:rsidR="00F56D7A" w:rsidRDefault="006E3837">
            <w:pPr>
              <w:ind w:right="110"/>
              <w:jc w:val="right"/>
              <w:rPr>
                <w:rFonts w:ascii="Times New Roman" w:eastAsia="宋体" w:hAnsi="宋体" w:cs="Times New Roman"/>
                <w:bCs/>
                <w:sz w:val="24"/>
                <w:szCs w:val="24"/>
              </w:rPr>
            </w:pPr>
            <w:r>
              <w:rPr>
                <w:rFonts w:ascii="Times New Roman" w:eastAsia="宋体" w:hAnsi="宋体" w:cs="Times New Roman"/>
                <w:bCs/>
                <w:sz w:val="24"/>
                <w:szCs w:val="24"/>
              </w:rPr>
              <w:t>25,958.91</w:t>
            </w:r>
          </w:p>
        </w:tc>
      </w:tr>
      <w:tr w:rsidR="00F56D7A">
        <w:trPr>
          <w:trHeight w:val="107"/>
        </w:trPr>
        <w:tc>
          <w:tcPr>
            <w:tcW w:w="5103" w:type="dxa"/>
            <w:tcBorders>
              <w:bottom w:val="single" w:sz="4" w:space="0" w:color="auto"/>
            </w:tcBorders>
            <w:vAlign w:val="bottom"/>
          </w:tcPr>
          <w:p w:rsidR="00F56D7A" w:rsidRDefault="006E3837">
            <w:pPr>
              <w:pStyle w:val="a8"/>
              <w:rPr>
                <w:rFonts w:ascii="Times New Roman" w:cs="Times New Roman"/>
                <w:bCs/>
                <w:kern w:val="2"/>
              </w:rPr>
            </w:pPr>
            <w:r>
              <w:rPr>
                <w:rFonts w:ascii="Times New Roman" w:cs="Times New Roman" w:hint="eastAsia"/>
                <w:bCs/>
                <w:kern w:val="2"/>
              </w:rPr>
              <w:t>三、清算净收益（亏损以“</w:t>
            </w:r>
            <w:r>
              <w:rPr>
                <w:rFonts w:ascii="Times New Roman" w:cs="Times New Roman" w:hint="eastAsia"/>
                <w:bCs/>
                <w:kern w:val="2"/>
              </w:rPr>
              <w:t>-</w:t>
            </w:r>
            <w:r>
              <w:rPr>
                <w:rFonts w:ascii="Times New Roman" w:cs="Times New Roman" w:hint="eastAsia"/>
                <w:bCs/>
                <w:kern w:val="2"/>
              </w:rPr>
              <w:t>”号填列）</w:t>
            </w:r>
          </w:p>
        </w:tc>
        <w:tc>
          <w:tcPr>
            <w:tcW w:w="3261" w:type="dxa"/>
            <w:vAlign w:val="bottom"/>
          </w:tcPr>
          <w:p w:rsidR="00F56D7A" w:rsidRDefault="006E3837">
            <w:pPr>
              <w:ind w:right="110"/>
              <w:jc w:val="right"/>
              <w:rPr>
                <w:rFonts w:ascii="Times New Roman" w:eastAsia="宋体" w:hAnsi="宋体" w:cs="Times New Roman"/>
                <w:bCs/>
                <w:sz w:val="24"/>
                <w:szCs w:val="24"/>
              </w:rPr>
            </w:pPr>
            <w:r>
              <w:rPr>
                <w:rFonts w:ascii="Times New Roman" w:eastAsia="宋体" w:hAnsi="宋体" w:cs="Times New Roman"/>
                <w:bCs/>
                <w:sz w:val="24"/>
                <w:szCs w:val="24"/>
              </w:rPr>
              <w:t>-4</w:t>
            </w:r>
            <w:r>
              <w:rPr>
                <w:rFonts w:ascii="Times New Roman" w:eastAsia="宋体" w:hAnsi="宋体" w:cs="Times New Roman" w:hint="eastAsia"/>
                <w:bCs/>
                <w:sz w:val="24"/>
                <w:szCs w:val="24"/>
              </w:rPr>
              <w:t>1</w:t>
            </w:r>
            <w:r>
              <w:rPr>
                <w:rFonts w:ascii="Times New Roman" w:eastAsia="宋体" w:hAnsi="宋体" w:cs="Times New Roman"/>
                <w:bCs/>
                <w:sz w:val="24"/>
                <w:szCs w:val="24"/>
              </w:rPr>
              <w:t>,</w:t>
            </w:r>
            <w:r>
              <w:rPr>
                <w:rFonts w:ascii="Times New Roman" w:eastAsia="宋体" w:hAnsi="宋体" w:cs="Times New Roman" w:hint="eastAsia"/>
                <w:bCs/>
                <w:sz w:val="24"/>
                <w:szCs w:val="24"/>
              </w:rPr>
              <w:t>920</w:t>
            </w:r>
            <w:r>
              <w:rPr>
                <w:rFonts w:ascii="Times New Roman" w:eastAsia="宋体" w:hAnsi="宋体" w:cs="Times New Roman"/>
                <w:bCs/>
                <w:sz w:val="24"/>
                <w:szCs w:val="24"/>
              </w:rPr>
              <w:t>.</w:t>
            </w:r>
            <w:r>
              <w:rPr>
                <w:rFonts w:ascii="Times New Roman" w:eastAsia="宋体" w:hAnsi="宋体" w:cs="Times New Roman" w:hint="eastAsia"/>
                <w:bCs/>
                <w:sz w:val="24"/>
                <w:szCs w:val="24"/>
              </w:rPr>
              <w:t>92</w:t>
            </w:r>
          </w:p>
        </w:tc>
      </w:tr>
    </w:tbl>
    <w:p w:rsidR="00F56D7A" w:rsidRDefault="00F56D7A">
      <w:pPr>
        <w:tabs>
          <w:tab w:val="left" w:pos="709"/>
        </w:tabs>
        <w:overflowPunct w:val="0"/>
        <w:autoSpaceDE w:val="0"/>
        <w:autoSpaceDN w:val="0"/>
        <w:snapToGrid w:val="0"/>
        <w:jc w:val="left"/>
        <w:rPr>
          <w:rFonts w:ascii="Times New Roman" w:eastAsia="宋体" w:hAnsi="宋体" w:cs="Times New Roman"/>
          <w:bCs/>
          <w:sz w:val="24"/>
          <w:szCs w:val="24"/>
        </w:rPr>
      </w:pPr>
    </w:p>
    <w:p w:rsidR="00F56D7A" w:rsidRDefault="006E3837">
      <w:pPr>
        <w:overflowPunct w:val="0"/>
        <w:autoSpaceDE w:val="0"/>
        <w:autoSpaceDN w:val="0"/>
        <w:snapToGrid w:val="0"/>
        <w:ind w:leftChars="320" w:left="1325" w:hangingChars="272" w:hanging="653"/>
        <w:rPr>
          <w:rFonts w:ascii="Times New Roman" w:eastAsia="宋体" w:hAnsi="宋体" w:cs="Times New Roman"/>
          <w:bCs/>
          <w:sz w:val="24"/>
          <w:szCs w:val="24"/>
        </w:rPr>
      </w:pPr>
      <w:r>
        <w:rPr>
          <w:rFonts w:ascii="Times New Roman" w:eastAsia="宋体" w:hAnsi="宋体" w:cs="Times New Roman" w:hint="eastAsia"/>
          <w:bCs/>
          <w:sz w:val="24"/>
          <w:szCs w:val="24"/>
        </w:rPr>
        <w:t>注</w:t>
      </w:r>
      <w:r>
        <w:rPr>
          <w:rFonts w:ascii="Times New Roman" w:eastAsia="宋体" w:hAnsi="宋体" w:cs="Times New Roman" w:hint="eastAsia"/>
          <w:bCs/>
          <w:sz w:val="24"/>
          <w:szCs w:val="24"/>
        </w:rPr>
        <w:t>1</w:t>
      </w:r>
      <w:r>
        <w:rPr>
          <w:rFonts w:ascii="Times New Roman" w:eastAsia="宋体" w:hAnsi="宋体" w:cs="Times New Roman" w:hint="eastAsia"/>
          <w:bCs/>
          <w:sz w:val="24"/>
          <w:szCs w:val="24"/>
        </w:rPr>
        <w:t>：按照《永赢量化混合发起式证券投资基金基金合同》第十九部分“基金合同的变更、终止与基金财产的清算”的约定，清算费用是指基金财产清算小组在进行基金清算过程中发生的所有合理费用，清算费用由基金财产清算小组优先从基金财产中支付。</w:t>
      </w:r>
    </w:p>
    <w:p w:rsidR="00F56D7A" w:rsidRDefault="006E3837">
      <w:pPr>
        <w:overflowPunct w:val="0"/>
        <w:autoSpaceDE w:val="0"/>
        <w:autoSpaceDN w:val="0"/>
        <w:snapToGrid w:val="0"/>
        <w:ind w:leftChars="320" w:left="1325" w:hangingChars="272" w:hanging="653"/>
        <w:rPr>
          <w:rFonts w:ascii="Times New Roman" w:eastAsia="宋体" w:hAnsi="宋体" w:cs="Times New Roman"/>
          <w:bCs/>
          <w:sz w:val="24"/>
          <w:szCs w:val="24"/>
        </w:rPr>
      </w:pPr>
      <w:r>
        <w:rPr>
          <w:rFonts w:ascii="Times New Roman" w:eastAsia="宋体" w:hAnsi="宋体" w:cs="Times New Roman" w:hint="eastAsia"/>
          <w:bCs/>
          <w:sz w:val="24"/>
          <w:szCs w:val="24"/>
        </w:rPr>
        <w:t>注</w:t>
      </w:r>
      <w:r>
        <w:rPr>
          <w:rFonts w:ascii="Times New Roman" w:eastAsia="宋体" w:hAnsi="宋体" w:cs="Times New Roman" w:hint="eastAsia"/>
          <w:bCs/>
          <w:sz w:val="24"/>
          <w:szCs w:val="24"/>
        </w:rPr>
        <w:t>2</w:t>
      </w:r>
      <w:r>
        <w:rPr>
          <w:rFonts w:ascii="Times New Roman" w:eastAsia="宋体" w:hAnsi="宋体" w:cs="Times New Roman" w:hint="eastAsia"/>
          <w:bCs/>
          <w:sz w:val="24"/>
          <w:szCs w:val="24"/>
        </w:rPr>
        <w:t>：截至</w:t>
      </w:r>
      <w:r>
        <w:rPr>
          <w:rFonts w:ascii="Times New Roman" w:eastAsia="宋体" w:hAnsi="宋体" w:cs="Times New Roman" w:hint="eastAsia"/>
          <w:bCs/>
          <w:sz w:val="24"/>
          <w:szCs w:val="24"/>
        </w:rPr>
        <w:t>2018</w:t>
      </w:r>
      <w:r>
        <w:rPr>
          <w:rFonts w:ascii="Times New Roman" w:eastAsia="宋体" w:hAnsi="宋体" w:cs="Times New Roman" w:hint="eastAsia"/>
          <w:bCs/>
          <w:sz w:val="24"/>
          <w:szCs w:val="24"/>
        </w:rPr>
        <w:t>年</w:t>
      </w:r>
      <w:r>
        <w:rPr>
          <w:rFonts w:ascii="Times New Roman" w:eastAsia="宋体" w:hAnsi="宋体" w:cs="Times New Roman" w:hint="eastAsia"/>
          <w:bCs/>
          <w:sz w:val="24"/>
          <w:szCs w:val="24"/>
        </w:rPr>
        <w:t>8</w:t>
      </w:r>
      <w:r>
        <w:rPr>
          <w:rFonts w:ascii="Times New Roman" w:eastAsia="宋体" w:hAnsi="宋体" w:cs="Times New Roman" w:hint="eastAsia"/>
          <w:bCs/>
          <w:sz w:val="24"/>
          <w:szCs w:val="24"/>
        </w:rPr>
        <w:t>月</w:t>
      </w:r>
      <w:r>
        <w:rPr>
          <w:rFonts w:ascii="Times New Roman" w:eastAsia="宋体" w:hAnsi="宋体" w:cs="Times New Roman" w:hint="eastAsia"/>
          <w:bCs/>
          <w:sz w:val="24"/>
          <w:szCs w:val="24"/>
        </w:rPr>
        <w:t>15</w:t>
      </w:r>
      <w:r>
        <w:rPr>
          <w:rFonts w:ascii="Times New Roman" w:eastAsia="宋体" w:hAnsi="宋体" w:cs="Times New Roman" w:hint="eastAsia"/>
          <w:bCs/>
          <w:sz w:val="24"/>
          <w:szCs w:val="24"/>
        </w:rPr>
        <w:t>日止，其他费用包含尚未支付的清算审计费人民币</w:t>
      </w:r>
      <w:r>
        <w:rPr>
          <w:rFonts w:ascii="Times New Roman" w:eastAsia="宋体" w:hAnsi="宋体" w:cs="Times New Roman" w:hint="eastAsia"/>
          <w:bCs/>
          <w:sz w:val="24"/>
          <w:szCs w:val="24"/>
        </w:rPr>
        <w:t>15,000.00</w:t>
      </w:r>
      <w:r>
        <w:rPr>
          <w:rFonts w:ascii="Times New Roman" w:eastAsia="宋体" w:hAnsi="宋体" w:cs="Times New Roman" w:hint="eastAsia"/>
          <w:bCs/>
          <w:sz w:val="24"/>
          <w:szCs w:val="24"/>
        </w:rPr>
        <w:t>元，以及清算律师费人民币</w:t>
      </w:r>
      <w:r>
        <w:rPr>
          <w:rFonts w:ascii="Times New Roman" w:eastAsia="宋体" w:hAnsi="宋体" w:cs="Times New Roman" w:hint="eastAsia"/>
          <w:bCs/>
          <w:sz w:val="24"/>
          <w:szCs w:val="24"/>
        </w:rPr>
        <w:t>10,000.00</w:t>
      </w:r>
      <w:r>
        <w:rPr>
          <w:rFonts w:ascii="Times New Roman" w:eastAsia="宋体" w:hAnsi="宋体" w:cs="Times New Roman" w:hint="eastAsia"/>
          <w:bCs/>
          <w:sz w:val="24"/>
          <w:szCs w:val="24"/>
        </w:rPr>
        <w:t>元。</w:t>
      </w:r>
    </w:p>
    <w:p w:rsidR="00F56D7A" w:rsidRDefault="00F56D7A">
      <w:pPr>
        <w:rPr>
          <w:rFonts w:ascii="黑体" w:eastAsia="黑体" w:hAnsi="黑体" w:cs="宋体"/>
          <w:kern w:val="0"/>
          <w:sz w:val="22"/>
        </w:rPr>
        <w:sectPr w:rsidR="00F56D7A">
          <w:headerReference w:type="default" r:id="rId10"/>
          <w:footerReference w:type="default" r:id="rId11"/>
          <w:pgSz w:w="11906" w:h="16838"/>
          <w:pgMar w:top="1247" w:right="1435" w:bottom="1247" w:left="1418" w:header="1134" w:footer="851" w:gutter="0"/>
          <w:cols w:space="720"/>
          <w:docGrid w:linePitch="360"/>
        </w:sectPr>
      </w:pP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4</w:t>
      </w:r>
      <w:r>
        <w:rPr>
          <w:rFonts w:ascii="Times New Roman" w:hAnsi="宋体"/>
          <w:b w:val="0"/>
          <w:sz w:val="24"/>
          <w:szCs w:val="24"/>
        </w:rPr>
        <w:t>、</w:t>
      </w:r>
      <w:r>
        <w:rPr>
          <w:rFonts w:ascii="Times New Roman" w:hAnsi="宋体" w:hint="eastAsia"/>
          <w:b w:val="0"/>
          <w:sz w:val="24"/>
          <w:szCs w:val="24"/>
        </w:rPr>
        <w:t>资产处置及负债清偿后的剩余资产分配情况</w:t>
      </w:r>
    </w:p>
    <w:p w:rsidR="00F56D7A" w:rsidRDefault="00F56D7A">
      <w:pPr>
        <w:overflowPunct w:val="0"/>
        <w:autoSpaceDE w:val="0"/>
        <w:autoSpaceDN w:val="0"/>
        <w:snapToGrid w:val="0"/>
        <w:rPr>
          <w:rFonts w:asciiTheme="minorEastAsia" w:hAnsiTheme="minorEastAsia" w:cs="Arial"/>
          <w:b/>
          <w:sz w:val="22"/>
        </w:rPr>
      </w:pPr>
    </w:p>
    <w:p w:rsidR="00F56D7A" w:rsidRDefault="006E3837">
      <w:pPr>
        <w:overflowPunct w:val="0"/>
        <w:autoSpaceDE w:val="0"/>
        <w:autoSpaceDN w:val="0"/>
        <w:snapToGrid w:val="0"/>
        <w:ind w:left="6480" w:rightChars="-9" w:right="-19"/>
        <w:rPr>
          <w:rFonts w:asciiTheme="minorEastAsia" w:hAnsiTheme="minorEastAsia" w:cs="Arial"/>
          <w:b/>
          <w:sz w:val="22"/>
        </w:rPr>
      </w:pPr>
      <w:r>
        <w:rPr>
          <w:rFonts w:asciiTheme="minorEastAsia" w:hAnsiTheme="minorEastAsia" w:hint="eastAsia"/>
          <w:sz w:val="22"/>
        </w:rPr>
        <w:t>单位：人民币元</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3"/>
        <w:gridCol w:w="2297"/>
      </w:tblGrid>
      <w:tr w:rsidR="00F56D7A">
        <w:tc>
          <w:tcPr>
            <w:tcW w:w="5783" w:type="dxa"/>
          </w:tcPr>
          <w:p w:rsidR="00F56D7A" w:rsidRDefault="006E3837">
            <w:pPr>
              <w:rPr>
                <w:rFonts w:asciiTheme="minorEastAsia" w:hAnsiTheme="minorEastAsia" w:cs="Arial"/>
                <w:sz w:val="22"/>
              </w:rPr>
            </w:pPr>
            <w:r>
              <w:rPr>
                <w:rFonts w:asciiTheme="minorEastAsia" w:hAnsiTheme="minorEastAsia" w:cs="Arial" w:hint="eastAsia"/>
                <w:sz w:val="22"/>
              </w:rPr>
              <w:t>项目</w:t>
            </w:r>
          </w:p>
        </w:tc>
        <w:tc>
          <w:tcPr>
            <w:tcW w:w="2297" w:type="dxa"/>
          </w:tcPr>
          <w:p w:rsidR="00F56D7A" w:rsidRDefault="006E3837">
            <w:pPr>
              <w:jc w:val="right"/>
              <w:rPr>
                <w:rFonts w:asciiTheme="minorEastAsia" w:hAnsiTheme="minorEastAsia" w:cs="Arial"/>
                <w:sz w:val="22"/>
              </w:rPr>
            </w:pPr>
            <w:r>
              <w:rPr>
                <w:rFonts w:asciiTheme="minorEastAsia" w:hAnsiTheme="minorEastAsia" w:cs="Arial" w:hint="eastAsia"/>
                <w:sz w:val="22"/>
              </w:rPr>
              <w:t>金额</w:t>
            </w:r>
          </w:p>
        </w:tc>
      </w:tr>
      <w:tr w:rsidR="00F56D7A">
        <w:tc>
          <w:tcPr>
            <w:tcW w:w="5783" w:type="dxa"/>
          </w:tcPr>
          <w:p w:rsidR="00F56D7A" w:rsidRDefault="006E3837">
            <w:pPr>
              <w:overflowPunct w:val="0"/>
              <w:autoSpaceDE w:val="0"/>
              <w:autoSpaceDN w:val="0"/>
              <w:snapToGrid w:val="0"/>
              <w:rPr>
                <w:rFonts w:asciiTheme="minorEastAsia" w:hAnsiTheme="minorEastAsia" w:cs="Arial"/>
                <w:sz w:val="22"/>
              </w:rPr>
            </w:pPr>
            <w:r>
              <w:rPr>
                <w:rFonts w:asciiTheme="minorEastAsia" w:hAnsiTheme="minorEastAsia" w:cs="Arial" w:hint="eastAsia"/>
                <w:sz w:val="22"/>
              </w:rPr>
              <w:t>一、最后运作日2018年8月6日基金净资产</w:t>
            </w:r>
          </w:p>
        </w:tc>
        <w:tc>
          <w:tcPr>
            <w:tcW w:w="2297" w:type="dxa"/>
            <w:vAlign w:val="center"/>
          </w:tcPr>
          <w:p w:rsidR="00F56D7A" w:rsidRDefault="006E3837">
            <w:pPr>
              <w:overflowPunct w:val="0"/>
              <w:autoSpaceDE w:val="0"/>
              <w:autoSpaceDN w:val="0"/>
              <w:snapToGrid w:val="0"/>
              <w:jc w:val="right"/>
              <w:rPr>
                <w:rFonts w:asciiTheme="minorEastAsia" w:hAnsiTheme="minorEastAsia" w:cs="Arial"/>
                <w:sz w:val="22"/>
                <w:highlight w:val="yellow"/>
              </w:rPr>
            </w:pPr>
            <w:r>
              <w:rPr>
                <w:rFonts w:asciiTheme="minorEastAsia" w:hAnsiTheme="minorEastAsia" w:cs="Arial"/>
                <w:sz w:val="22"/>
              </w:rPr>
              <w:t>15,548,586.68</w:t>
            </w:r>
          </w:p>
        </w:tc>
      </w:tr>
      <w:tr w:rsidR="00F56D7A">
        <w:tc>
          <w:tcPr>
            <w:tcW w:w="5783" w:type="dxa"/>
          </w:tcPr>
          <w:p w:rsidR="00F56D7A" w:rsidRDefault="006E3837">
            <w:pPr>
              <w:overflowPunct w:val="0"/>
              <w:autoSpaceDE w:val="0"/>
              <w:autoSpaceDN w:val="0"/>
              <w:snapToGrid w:val="0"/>
              <w:rPr>
                <w:rFonts w:asciiTheme="minorEastAsia" w:hAnsiTheme="minorEastAsia" w:cs="Arial"/>
                <w:sz w:val="22"/>
              </w:rPr>
            </w:pPr>
            <w:r>
              <w:rPr>
                <w:rFonts w:asciiTheme="minorEastAsia" w:hAnsiTheme="minorEastAsia" w:cs="Arial" w:hint="eastAsia"/>
                <w:sz w:val="22"/>
              </w:rPr>
              <w:t>加：清算期间净收益（亏损以“-”号填列）</w:t>
            </w:r>
          </w:p>
        </w:tc>
        <w:tc>
          <w:tcPr>
            <w:tcW w:w="2297" w:type="dxa"/>
            <w:vAlign w:val="bottom"/>
          </w:tcPr>
          <w:p w:rsidR="00F56D7A" w:rsidRDefault="006E3837">
            <w:pPr>
              <w:wordWrap w:val="0"/>
              <w:overflowPunct w:val="0"/>
              <w:autoSpaceDE w:val="0"/>
              <w:autoSpaceDN w:val="0"/>
              <w:snapToGrid w:val="0"/>
              <w:jc w:val="right"/>
              <w:rPr>
                <w:rFonts w:asciiTheme="minorEastAsia" w:hAnsiTheme="minorEastAsia" w:cs="Arial"/>
                <w:sz w:val="22"/>
              </w:rPr>
            </w:pPr>
            <w:r>
              <w:rPr>
                <w:rFonts w:asciiTheme="minorEastAsia" w:hAnsiTheme="minorEastAsia" w:cs="Arial"/>
                <w:sz w:val="22"/>
              </w:rPr>
              <w:t>-4</w:t>
            </w:r>
            <w:r>
              <w:rPr>
                <w:rFonts w:asciiTheme="minorEastAsia" w:hAnsiTheme="minorEastAsia" w:cs="Arial" w:hint="eastAsia"/>
                <w:sz w:val="22"/>
              </w:rPr>
              <w:t>1</w:t>
            </w:r>
            <w:r>
              <w:rPr>
                <w:rFonts w:asciiTheme="minorEastAsia" w:hAnsiTheme="minorEastAsia" w:cs="Arial"/>
                <w:sz w:val="22"/>
              </w:rPr>
              <w:t>,</w:t>
            </w:r>
            <w:r>
              <w:rPr>
                <w:rFonts w:asciiTheme="minorEastAsia" w:hAnsiTheme="minorEastAsia" w:cs="Arial" w:hint="eastAsia"/>
                <w:sz w:val="22"/>
              </w:rPr>
              <w:t>920</w:t>
            </w:r>
            <w:r>
              <w:rPr>
                <w:rFonts w:asciiTheme="minorEastAsia" w:hAnsiTheme="minorEastAsia" w:cs="Arial"/>
                <w:sz w:val="22"/>
              </w:rPr>
              <w:t>.</w:t>
            </w:r>
            <w:r>
              <w:rPr>
                <w:rFonts w:asciiTheme="minorEastAsia" w:hAnsiTheme="minorEastAsia" w:cs="Arial" w:hint="eastAsia"/>
                <w:sz w:val="22"/>
              </w:rPr>
              <w:t>92</w:t>
            </w:r>
          </w:p>
        </w:tc>
      </w:tr>
      <w:tr w:rsidR="00F56D7A">
        <w:tc>
          <w:tcPr>
            <w:tcW w:w="5783" w:type="dxa"/>
          </w:tcPr>
          <w:p w:rsidR="00F56D7A" w:rsidRDefault="006E3837">
            <w:pPr>
              <w:overflowPunct w:val="0"/>
              <w:autoSpaceDE w:val="0"/>
              <w:autoSpaceDN w:val="0"/>
              <w:snapToGrid w:val="0"/>
              <w:rPr>
                <w:rFonts w:asciiTheme="minorEastAsia" w:hAnsiTheme="minorEastAsia" w:cs="Arial"/>
                <w:sz w:val="22"/>
                <w:highlight w:val="cyan"/>
              </w:rPr>
            </w:pPr>
            <w:r>
              <w:rPr>
                <w:rFonts w:asciiTheme="minorEastAsia" w:hAnsiTheme="minorEastAsia" w:cs="Arial" w:hint="eastAsia"/>
                <w:sz w:val="22"/>
              </w:rPr>
              <w:t>减：基金净赎回转出金额（于2018年8月7日确认的投资者赎回转出申请）</w:t>
            </w:r>
          </w:p>
        </w:tc>
        <w:tc>
          <w:tcPr>
            <w:tcW w:w="2297" w:type="dxa"/>
            <w:vAlign w:val="center"/>
          </w:tcPr>
          <w:p w:rsidR="00F56D7A" w:rsidRDefault="006E3837">
            <w:pPr>
              <w:overflowPunct w:val="0"/>
              <w:autoSpaceDE w:val="0"/>
              <w:autoSpaceDN w:val="0"/>
              <w:snapToGrid w:val="0"/>
              <w:jc w:val="right"/>
              <w:rPr>
                <w:rFonts w:asciiTheme="minorEastAsia" w:hAnsiTheme="minorEastAsia" w:cs="Arial"/>
                <w:sz w:val="22"/>
              </w:rPr>
            </w:pPr>
            <w:r>
              <w:rPr>
                <w:rFonts w:asciiTheme="minorEastAsia" w:hAnsiTheme="minorEastAsia" w:cs="Arial"/>
                <w:sz w:val="22"/>
              </w:rPr>
              <w:t>646,</w:t>
            </w:r>
            <w:r>
              <w:rPr>
                <w:rFonts w:asciiTheme="minorEastAsia" w:hAnsiTheme="minorEastAsia" w:cs="Arial" w:hint="eastAsia"/>
                <w:sz w:val="22"/>
              </w:rPr>
              <w:t>143.38</w:t>
            </w:r>
          </w:p>
        </w:tc>
      </w:tr>
      <w:tr w:rsidR="00F56D7A">
        <w:trPr>
          <w:trHeight w:val="101"/>
        </w:trPr>
        <w:tc>
          <w:tcPr>
            <w:tcW w:w="5783" w:type="dxa"/>
          </w:tcPr>
          <w:p w:rsidR="00F56D7A" w:rsidRDefault="006E3837">
            <w:pPr>
              <w:overflowPunct w:val="0"/>
              <w:autoSpaceDE w:val="0"/>
              <w:autoSpaceDN w:val="0"/>
              <w:snapToGrid w:val="0"/>
              <w:rPr>
                <w:rFonts w:asciiTheme="minorEastAsia" w:hAnsiTheme="minorEastAsia" w:cs="Arial"/>
                <w:sz w:val="22"/>
              </w:rPr>
            </w:pPr>
            <w:r>
              <w:rPr>
                <w:rFonts w:asciiTheme="minorEastAsia" w:hAnsiTheme="minorEastAsia" w:cs="Arial" w:hint="eastAsia"/>
                <w:sz w:val="22"/>
              </w:rPr>
              <w:t>二、2018年8月15日基金净资产</w:t>
            </w:r>
          </w:p>
        </w:tc>
        <w:tc>
          <w:tcPr>
            <w:tcW w:w="2297" w:type="dxa"/>
            <w:vAlign w:val="center"/>
          </w:tcPr>
          <w:p w:rsidR="00F56D7A" w:rsidRDefault="006E3837">
            <w:pPr>
              <w:overflowPunct w:val="0"/>
              <w:autoSpaceDE w:val="0"/>
              <w:autoSpaceDN w:val="0"/>
              <w:snapToGrid w:val="0"/>
              <w:jc w:val="right"/>
              <w:rPr>
                <w:rFonts w:asciiTheme="minorEastAsia" w:hAnsiTheme="minorEastAsia" w:cs="Arial"/>
                <w:sz w:val="22"/>
              </w:rPr>
            </w:pPr>
            <w:r>
              <w:rPr>
                <w:rFonts w:asciiTheme="minorEastAsia" w:hAnsiTheme="minorEastAsia" w:cs="Arial"/>
                <w:sz w:val="22"/>
              </w:rPr>
              <w:t>14</w:t>
            </w:r>
            <w:r>
              <w:rPr>
                <w:rFonts w:asciiTheme="minorEastAsia" w:hAnsiTheme="minorEastAsia" w:cs="Arial" w:hint="eastAsia"/>
                <w:sz w:val="22"/>
              </w:rPr>
              <w:t>,</w:t>
            </w:r>
            <w:r>
              <w:rPr>
                <w:rFonts w:asciiTheme="minorEastAsia" w:hAnsiTheme="minorEastAsia" w:cs="Arial"/>
                <w:sz w:val="22"/>
              </w:rPr>
              <w:t>860</w:t>
            </w:r>
            <w:r>
              <w:rPr>
                <w:rFonts w:asciiTheme="minorEastAsia" w:hAnsiTheme="minorEastAsia" w:cs="Arial" w:hint="eastAsia"/>
                <w:sz w:val="22"/>
              </w:rPr>
              <w:t>,</w:t>
            </w:r>
            <w:r>
              <w:rPr>
                <w:rFonts w:asciiTheme="minorEastAsia" w:hAnsiTheme="minorEastAsia" w:cs="Arial"/>
                <w:sz w:val="22"/>
              </w:rPr>
              <w:t>522.38</w:t>
            </w:r>
          </w:p>
        </w:tc>
      </w:tr>
    </w:tbl>
    <w:p w:rsidR="00F56D7A" w:rsidRDefault="00F56D7A">
      <w:pPr>
        <w:overflowPunct w:val="0"/>
        <w:autoSpaceDE w:val="0"/>
        <w:autoSpaceDN w:val="0"/>
        <w:snapToGrid w:val="0"/>
        <w:rPr>
          <w:rFonts w:ascii="黑体" w:eastAsia="黑体" w:hAnsi="黑体" w:cs="Arial"/>
          <w:b/>
          <w:sz w:val="22"/>
        </w:rPr>
      </w:pP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根据《永赢量化混合型发起式证券投资基金基金合同》，将基金财产清算后的全部剩余资产扣除基金财产清算费用、交纳所欠税款并清偿基金债务后，按基金份额持有人持有的基金份额比例进行分配。</w:t>
      </w: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2018</w:t>
      </w:r>
      <w:r>
        <w:rPr>
          <w:rFonts w:ascii="Times New Roman" w:hAnsi="宋体" w:hint="eastAsia"/>
          <w:b w:val="0"/>
          <w:sz w:val="24"/>
          <w:szCs w:val="24"/>
        </w:rPr>
        <w:t>年</w:t>
      </w:r>
      <w:r>
        <w:rPr>
          <w:rFonts w:ascii="Times New Roman" w:hAnsi="宋体" w:hint="eastAsia"/>
          <w:b w:val="0"/>
          <w:sz w:val="24"/>
          <w:szCs w:val="24"/>
        </w:rPr>
        <w:t>8</w:t>
      </w:r>
      <w:r>
        <w:rPr>
          <w:rFonts w:ascii="Times New Roman" w:hAnsi="宋体" w:hint="eastAsia"/>
          <w:b w:val="0"/>
          <w:sz w:val="24"/>
          <w:szCs w:val="24"/>
        </w:rPr>
        <w:t>月</w:t>
      </w:r>
      <w:r>
        <w:rPr>
          <w:rFonts w:ascii="Times New Roman" w:hAnsi="宋体" w:hint="eastAsia"/>
          <w:b w:val="0"/>
          <w:sz w:val="24"/>
          <w:szCs w:val="24"/>
        </w:rPr>
        <w:t>15</w:t>
      </w:r>
      <w:r>
        <w:rPr>
          <w:rFonts w:ascii="Times New Roman" w:hAnsi="宋体" w:hint="eastAsia"/>
          <w:b w:val="0"/>
          <w:sz w:val="24"/>
          <w:szCs w:val="24"/>
        </w:rPr>
        <w:t>日本基金剩余财产为人民币</w:t>
      </w:r>
      <w:r>
        <w:rPr>
          <w:rFonts w:ascii="Times New Roman" w:hAnsi="宋体"/>
          <w:b w:val="0"/>
          <w:sz w:val="24"/>
          <w:szCs w:val="24"/>
        </w:rPr>
        <w:t>14,860,522.38</w:t>
      </w:r>
      <w:r>
        <w:rPr>
          <w:rFonts w:ascii="Times New Roman" w:hAnsi="宋体" w:hint="eastAsia"/>
          <w:b w:val="0"/>
          <w:sz w:val="24"/>
          <w:szCs w:val="24"/>
        </w:rPr>
        <w:t>元，其中包括交易性金融资产人民币</w:t>
      </w:r>
      <w:r>
        <w:rPr>
          <w:rFonts w:ascii="Times New Roman" w:hAnsi="宋体" w:hint="eastAsia"/>
          <w:b w:val="0"/>
          <w:sz w:val="24"/>
          <w:szCs w:val="24"/>
        </w:rPr>
        <w:t>5,511.00</w:t>
      </w:r>
      <w:r>
        <w:rPr>
          <w:rFonts w:ascii="Times New Roman" w:hAnsi="宋体" w:hint="eastAsia"/>
          <w:b w:val="0"/>
          <w:sz w:val="24"/>
          <w:szCs w:val="24"/>
        </w:rPr>
        <w:t>元（该金额为停牌股票最后运作日估值金额，与停牌股票资产复牌后实际变现金额可能存在差异），结算备付金及存出保证金人民币</w:t>
      </w:r>
      <w:r>
        <w:rPr>
          <w:rFonts w:ascii="Times New Roman" w:hAnsi="宋体" w:hint="eastAsia"/>
          <w:b w:val="0"/>
          <w:sz w:val="24"/>
          <w:szCs w:val="24"/>
        </w:rPr>
        <w:t>885,634.29</w:t>
      </w:r>
      <w:r>
        <w:rPr>
          <w:rFonts w:ascii="Times New Roman" w:hAnsi="宋体" w:hint="eastAsia"/>
          <w:b w:val="0"/>
          <w:sz w:val="24"/>
          <w:szCs w:val="24"/>
        </w:rPr>
        <w:t>元，应收银行存款、结算备付金及结算保证金产生的利息人民币</w:t>
      </w:r>
      <w:r>
        <w:rPr>
          <w:rFonts w:ascii="Times New Roman" w:hAnsi="宋体"/>
          <w:b w:val="0"/>
          <w:sz w:val="24"/>
          <w:szCs w:val="24"/>
        </w:rPr>
        <w:t>17,927.83</w:t>
      </w:r>
      <w:r>
        <w:rPr>
          <w:rFonts w:ascii="Times New Roman" w:hAnsi="宋体" w:hint="eastAsia"/>
          <w:b w:val="0"/>
          <w:sz w:val="24"/>
          <w:szCs w:val="24"/>
        </w:rPr>
        <w:t>元。上述剩余未变现的资产将根据变现情况在第二次清算期间按基金份额持有人持有的基金份额比例进行分配。</w:t>
      </w: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清算结束日至清算款划出日前一日银行存款产生的利息，亦属全体份额持有人所有，该部分利息将在二次清算时一并清算。</w:t>
      </w:r>
    </w:p>
    <w:p w:rsidR="00F56D7A" w:rsidRDefault="00F56D7A">
      <w:pPr>
        <w:pStyle w:val="a9"/>
        <w:spacing w:before="0" w:after="0" w:line="360" w:lineRule="auto"/>
        <w:ind w:firstLineChars="200" w:firstLine="480"/>
        <w:jc w:val="both"/>
        <w:rPr>
          <w:rFonts w:ascii="Times New Roman" w:hAnsi="宋体"/>
          <w:b w:val="0"/>
          <w:sz w:val="24"/>
          <w:szCs w:val="24"/>
        </w:rPr>
      </w:pPr>
    </w:p>
    <w:p w:rsidR="00F56D7A" w:rsidRDefault="003D1AA9">
      <w:pPr>
        <w:autoSpaceDE w:val="0"/>
        <w:autoSpaceDN w:val="0"/>
        <w:adjustRightInd w:val="0"/>
        <w:spacing w:line="319" w:lineRule="auto"/>
        <w:ind w:left="711" w:right="109" w:hanging="480"/>
        <w:jc w:val="left"/>
        <w:rPr>
          <w:rFonts w:ascii="Times New Roman" w:eastAsia="宋体" w:hAnsi="宋体" w:cs="Times New Roman"/>
          <w:bCs/>
          <w:sz w:val="24"/>
          <w:szCs w:val="24"/>
        </w:rPr>
      </w:pPr>
      <w:r>
        <w:rPr>
          <w:rFonts w:ascii="Times New Roman" w:eastAsia="宋体" w:hAnsi="宋体" w:cs="Times New Roman"/>
          <w:bCs/>
          <w:sz w:val="24"/>
          <w:szCs w:val="24"/>
        </w:rPr>
        <w:t>5</w:t>
      </w:r>
      <w:r w:rsidR="006E3837">
        <w:rPr>
          <w:rFonts w:ascii="Times New Roman" w:eastAsia="宋体" w:hAnsi="宋体" w:cs="Times New Roman" w:hint="eastAsia"/>
          <w:bCs/>
          <w:sz w:val="24"/>
          <w:szCs w:val="24"/>
        </w:rPr>
        <w:t>、基金财产清算报告的告知安排</w:t>
      </w:r>
    </w:p>
    <w:p w:rsidR="00F56D7A" w:rsidRDefault="00F56D7A">
      <w:pPr>
        <w:pStyle w:val="a9"/>
        <w:spacing w:before="0" w:after="0" w:line="360" w:lineRule="auto"/>
        <w:ind w:firstLineChars="200" w:firstLine="480"/>
        <w:jc w:val="both"/>
        <w:rPr>
          <w:rFonts w:ascii="Times New Roman" w:hAnsi="宋体"/>
          <w:b w:val="0"/>
          <w:sz w:val="24"/>
          <w:szCs w:val="24"/>
        </w:rPr>
      </w:pP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本清算报告已经基金托管人复核，在经会计师事务所审计、律师事务所出具法律意见</w:t>
      </w:r>
      <w:r>
        <w:rPr>
          <w:rFonts w:ascii="Times New Roman" w:hAnsi="宋体"/>
          <w:b w:val="0"/>
          <w:sz w:val="24"/>
          <w:szCs w:val="24"/>
        </w:rPr>
        <w:t>书后，</w:t>
      </w:r>
      <w:r>
        <w:rPr>
          <w:rFonts w:ascii="Times New Roman" w:hAnsi="宋体" w:hint="eastAsia"/>
          <w:b w:val="0"/>
          <w:sz w:val="24"/>
          <w:szCs w:val="24"/>
        </w:rPr>
        <w:t>报中国证监会备案并向基金份额持有人公告。</w:t>
      </w:r>
    </w:p>
    <w:p w:rsidR="00F56D7A" w:rsidRDefault="00F56D7A"/>
    <w:p w:rsidR="00F56D7A" w:rsidRDefault="00F56D7A"/>
    <w:p w:rsidR="001C575F" w:rsidRDefault="001C575F"/>
    <w:p w:rsidR="001C575F" w:rsidRDefault="001C575F"/>
    <w:p w:rsidR="001C575F" w:rsidRDefault="001C575F"/>
    <w:p w:rsidR="001C575F" w:rsidRDefault="001C575F"/>
    <w:p w:rsidR="001C575F" w:rsidRDefault="001C575F"/>
    <w:p w:rsidR="001C575F" w:rsidRDefault="001C575F"/>
    <w:p w:rsidR="001C575F" w:rsidRDefault="001C575F"/>
    <w:p w:rsidR="001C575F" w:rsidRDefault="001C575F"/>
    <w:p w:rsidR="00F56D7A" w:rsidRPr="001C575F" w:rsidRDefault="006E3837">
      <w:pPr>
        <w:widowControl/>
        <w:rPr>
          <w:rFonts w:ascii="Times New Roman" w:eastAsia="宋体" w:hAnsi="宋体" w:cs="Times New Roman"/>
          <w:b/>
          <w:bCs/>
          <w:sz w:val="28"/>
          <w:szCs w:val="28"/>
        </w:rPr>
      </w:pPr>
      <w:r w:rsidRPr="001C575F">
        <w:rPr>
          <w:rFonts w:ascii="Times New Roman" w:eastAsia="宋体" w:hAnsi="宋体" w:cs="Times New Roman" w:hint="eastAsia"/>
          <w:b/>
          <w:bCs/>
          <w:sz w:val="28"/>
          <w:szCs w:val="28"/>
        </w:rPr>
        <w:t>六、备查文件目录</w:t>
      </w:r>
    </w:p>
    <w:p w:rsidR="00F56D7A" w:rsidRDefault="00F56D7A">
      <w:pPr>
        <w:widowControl/>
        <w:rPr>
          <w:rFonts w:ascii="Times New Roman" w:eastAsia="宋体" w:hAnsi="宋体" w:cs="Times New Roman"/>
          <w:bCs/>
          <w:sz w:val="24"/>
          <w:szCs w:val="24"/>
        </w:rPr>
      </w:pPr>
    </w:p>
    <w:p w:rsidR="00F56D7A" w:rsidRDefault="00F56D7A">
      <w:pPr>
        <w:autoSpaceDE w:val="0"/>
        <w:autoSpaceDN w:val="0"/>
        <w:adjustRightInd w:val="0"/>
        <w:spacing w:before="10" w:line="180" w:lineRule="exact"/>
        <w:jc w:val="left"/>
        <w:rPr>
          <w:rFonts w:ascii="微软雅黑" w:eastAsia="微软雅黑" w:hAnsi="Cambria" w:cs="微软雅黑"/>
          <w:kern w:val="0"/>
          <w:sz w:val="18"/>
          <w:szCs w:val="18"/>
        </w:rPr>
      </w:pP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b w:val="0"/>
          <w:sz w:val="24"/>
          <w:szCs w:val="24"/>
        </w:rPr>
        <w:t>1</w:t>
      </w:r>
      <w:r>
        <w:rPr>
          <w:rFonts w:ascii="Times New Roman" w:hAnsi="宋体" w:hint="eastAsia"/>
          <w:b w:val="0"/>
          <w:sz w:val="24"/>
          <w:szCs w:val="24"/>
        </w:rPr>
        <w:t>、备查文件目录</w:t>
      </w: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w:t>
      </w:r>
      <w:r>
        <w:rPr>
          <w:rFonts w:ascii="Times New Roman" w:hAnsi="宋体"/>
          <w:b w:val="0"/>
          <w:sz w:val="24"/>
          <w:szCs w:val="24"/>
        </w:rPr>
        <w:t>1</w:t>
      </w:r>
      <w:r>
        <w:rPr>
          <w:rFonts w:ascii="Times New Roman" w:hAnsi="宋体" w:hint="eastAsia"/>
          <w:b w:val="0"/>
          <w:sz w:val="24"/>
          <w:szCs w:val="24"/>
        </w:rPr>
        <w:t>）永赢量化混合型发起式证券投资基金资产负债表及审计报告；</w:t>
      </w: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w:t>
      </w:r>
      <w:r>
        <w:rPr>
          <w:rFonts w:ascii="Times New Roman" w:hAnsi="宋体"/>
          <w:b w:val="0"/>
          <w:sz w:val="24"/>
          <w:szCs w:val="24"/>
        </w:rPr>
        <w:t>2</w:t>
      </w:r>
      <w:r>
        <w:rPr>
          <w:rFonts w:ascii="Times New Roman" w:hAnsi="宋体" w:hint="eastAsia"/>
          <w:b w:val="0"/>
          <w:sz w:val="24"/>
          <w:szCs w:val="24"/>
        </w:rPr>
        <w:t>）《永赢量化混合型发起式证券投资基金清算报告》的法律意见。</w:t>
      </w:r>
    </w:p>
    <w:p w:rsidR="00F56D7A" w:rsidRDefault="00F56D7A"/>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b w:val="0"/>
          <w:sz w:val="24"/>
          <w:szCs w:val="24"/>
        </w:rPr>
        <w:t>2</w:t>
      </w:r>
      <w:r>
        <w:rPr>
          <w:rFonts w:ascii="Times New Roman" w:hAnsi="宋体" w:hint="eastAsia"/>
          <w:b w:val="0"/>
          <w:sz w:val="24"/>
          <w:szCs w:val="24"/>
        </w:rPr>
        <w:t>、存放地点</w:t>
      </w: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基金管理人的办公场所。</w:t>
      </w:r>
    </w:p>
    <w:p w:rsidR="001C575F" w:rsidRDefault="001C575F" w:rsidP="001C575F">
      <w:pPr>
        <w:pStyle w:val="a9"/>
        <w:spacing w:before="0" w:after="0" w:line="360" w:lineRule="auto"/>
        <w:jc w:val="both"/>
        <w:rPr>
          <w:rFonts w:ascii="Times New Roman" w:hAnsi="宋体"/>
          <w:b w:val="0"/>
          <w:sz w:val="24"/>
          <w:szCs w:val="24"/>
        </w:rPr>
      </w:pPr>
    </w:p>
    <w:p w:rsidR="00F56D7A" w:rsidRDefault="001C575F" w:rsidP="001C575F">
      <w:pPr>
        <w:pStyle w:val="a9"/>
        <w:spacing w:before="0" w:after="0" w:line="360" w:lineRule="auto"/>
        <w:ind w:firstLineChars="200" w:firstLine="480"/>
        <w:jc w:val="both"/>
        <w:rPr>
          <w:rFonts w:ascii="Times New Roman" w:hAnsi="宋体"/>
          <w:b w:val="0"/>
          <w:sz w:val="24"/>
          <w:szCs w:val="24"/>
        </w:rPr>
      </w:pPr>
      <w:r w:rsidRPr="001C575F">
        <w:rPr>
          <w:rFonts w:ascii="Times New Roman" w:hAnsi="宋体" w:hint="eastAsia"/>
          <w:b w:val="0"/>
          <w:sz w:val="24"/>
          <w:szCs w:val="24"/>
        </w:rPr>
        <w:t>3</w:t>
      </w:r>
      <w:r>
        <w:rPr>
          <w:rFonts w:ascii="Times New Roman" w:hAnsi="宋体" w:hint="eastAsia"/>
          <w:b w:val="0"/>
          <w:sz w:val="24"/>
          <w:szCs w:val="24"/>
        </w:rPr>
        <w:t>、</w:t>
      </w:r>
      <w:r w:rsidR="006E3837">
        <w:rPr>
          <w:rFonts w:ascii="Times New Roman" w:hAnsi="宋体" w:hint="eastAsia"/>
          <w:b w:val="0"/>
          <w:sz w:val="24"/>
          <w:szCs w:val="24"/>
        </w:rPr>
        <w:t>查阅方式</w:t>
      </w:r>
    </w:p>
    <w:p w:rsidR="00F56D7A" w:rsidRDefault="006E3837">
      <w:pPr>
        <w:pStyle w:val="a9"/>
        <w:spacing w:before="0" w:after="0" w:line="360" w:lineRule="auto"/>
        <w:ind w:firstLineChars="200" w:firstLine="480"/>
        <w:jc w:val="both"/>
        <w:rPr>
          <w:rFonts w:ascii="Times New Roman" w:hAnsi="宋体"/>
          <w:b w:val="0"/>
          <w:sz w:val="24"/>
          <w:szCs w:val="24"/>
        </w:rPr>
      </w:pPr>
      <w:r>
        <w:rPr>
          <w:rFonts w:ascii="Times New Roman" w:hAnsi="宋体" w:hint="eastAsia"/>
          <w:b w:val="0"/>
          <w:sz w:val="24"/>
          <w:szCs w:val="24"/>
        </w:rPr>
        <w:t>投资者可通过登录基金管理人网站查阅清算报告，基金管理人在网站登载清算报告视为履行了告知义务。基金管理人网站：</w:t>
      </w:r>
      <w:r>
        <w:rPr>
          <w:rFonts w:ascii="Times New Roman" w:hAnsi="宋体" w:hint="eastAsia"/>
          <w:b w:val="0"/>
          <w:sz w:val="24"/>
          <w:szCs w:val="24"/>
        </w:rPr>
        <w:t>www.maxwealthfund.com</w:t>
      </w:r>
    </w:p>
    <w:p w:rsidR="00F56D7A" w:rsidRDefault="00F56D7A">
      <w:pPr>
        <w:pStyle w:val="a9"/>
        <w:spacing w:before="0" w:after="0" w:line="360" w:lineRule="auto"/>
        <w:ind w:firstLineChars="200" w:firstLine="480"/>
        <w:jc w:val="both"/>
        <w:rPr>
          <w:rFonts w:ascii="Times New Roman" w:hAnsi="宋体"/>
          <w:b w:val="0"/>
          <w:sz w:val="24"/>
          <w:szCs w:val="24"/>
        </w:rPr>
      </w:pPr>
    </w:p>
    <w:p w:rsidR="00F56D7A" w:rsidRDefault="00F56D7A">
      <w:pPr>
        <w:pStyle w:val="a9"/>
        <w:spacing w:before="0" w:after="0" w:line="360" w:lineRule="auto"/>
        <w:ind w:firstLineChars="200" w:firstLine="480"/>
        <w:jc w:val="both"/>
        <w:rPr>
          <w:rFonts w:ascii="Times New Roman" w:hAnsi="宋体"/>
          <w:b w:val="0"/>
          <w:sz w:val="24"/>
          <w:szCs w:val="24"/>
        </w:rPr>
      </w:pPr>
    </w:p>
    <w:p w:rsidR="00F56D7A" w:rsidRDefault="00F56D7A"/>
    <w:p w:rsidR="00F56D7A" w:rsidRDefault="00F56D7A"/>
    <w:p w:rsidR="00F56D7A" w:rsidRDefault="00F56D7A"/>
    <w:p w:rsidR="00F56D7A" w:rsidRDefault="00F56D7A"/>
    <w:p w:rsidR="00F56D7A" w:rsidRDefault="00F56D7A"/>
    <w:p w:rsidR="00F56D7A" w:rsidRDefault="00F56D7A"/>
    <w:p w:rsidR="00F56D7A" w:rsidRDefault="00F56D7A"/>
    <w:p w:rsidR="00F56D7A" w:rsidRDefault="00F56D7A"/>
    <w:p w:rsidR="00F56D7A" w:rsidRDefault="00F56D7A"/>
    <w:p w:rsidR="00F56D7A" w:rsidRDefault="00F56D7A"/>
    <w:p w:rsidR="00F56D7A" w:rsidRDefault="00F56D7A"/>
    <w:p w:rsidR="00F56D7A" w:rsidRDefault="006E3837" w:rsidP="00E321FE">
      <w:pPr>
        <w:pStyle w:val="a9"/>
        <w:spacing w:before="0" w:after="0" w:line="360" w:lineRule="auto"/>
        <w:ind w:left="360" w:firstLineChars="550" w:firstLine="1320"/>
        <w:jc w:val="right"/>
        <w:rPr>
          <w:rFonts w:ascii="Times New Roman" w:hAnsi="宋体"/>
          <w:b w:val="0"/>
          <w:sz w:val="24"/>
          <w:szCs w:val="24"/>
        </w:rPr>
      </w:pPr>
      <w:r>
        <w:rPr>
          <w:rFonts w:ascii="Times New Roman" w:hAnsi="宋体" w:hint="eastAsia"/>
          <w:b w:val="0"/>
          <w:sz w:val="24"/>
          <w:szCs w:val="24"/>
        </w:rPr>
        <w:t>永赢量化混合型发起式证券投资基金财产</w:t>
      </w:r>
      <w:r>
        <w:rPr>
          <w:rFonts w:ascii="Times New Roman" w:hAnsi="宋体"/>
          <w:b w:val="0"/>
          <w:sz w:val="24"/>
          <w:szCs w:val="24"/>
        </w:rPr>
        <w:t>清算小组</w:t>
      </w:r>
    </w:p>
    <w:p w:rsidR="00F56D7A" w:rsidRDefault="006E3837">
      <w:pPr>
        <w:jc w:val="right"/>
      </w:pPr>
      <w:r>
        <w:rPr>
          <w:rFonts w:hint="eastAsia"/>
        </w:rPr>
        <w:t>2018</w:t>
      </w:r>
      <w:r>
        <w:rPr>
          <w:rFonts w:hint="eastAsia"/>
        </w:rPr>
        <w:t>年</w:t>
      </w:r>
      <w:r w:rsidR="008A0B11">
        <w:rPr>
          <w:rFonts w:hint="eastAsia"/>
        </w:rPr>
        <w:t>9</w:t>
      </w:r>
      <w:r>
        <w:rPr>
          <w:rFonts w:hint="eastAsia"/>
        </w:rPr>
        <w:t>月</w:t>
      </w:r>
      <w:r w:rsidR="008A0B11">
        <w:rPr>
          <w:rFonts w:hint="eastAsia"/>
        </w:rPr>
        <w:t>27</w:t>
      </w:r>
      <w:r>
        <w:rPr>
          <w:rFonts w:hint="eastAsia"/>
        </w:rPr>
        <w:t>日</w:t>
      </w:r>
    </w:p>
    <w:p w:rsidR="00E65452" w:rsidRDefault="00E65452">
      <w:pPr>
        <w:pStyle w:val="a9"/>
      </w:pPr>
    </w:p>
    <w:p w:rsidR="00E65452" w:rsidRDefault="00E65452">
      <w:pPr>
        <w:pStyle w:val="a9"/>
      </w:pPr>
    </w:p>
    <w:p w:rsidR="00E65452" w:rsidRDefault="00E65452">
      <w:pPr>
        <w:pStyle w:val="a9"/>
      </w:pPr>
    </w:p>
    <w:p w:rsidR="00F56D7A" w:rsidRDefault="00F56D7A" w:rsidP="008A0B11">
      <w:pPr>
        <w:pStyle w:val="a9"/>
        <w:jc w:val="both"/>
        <w:rPr>
          <w:rFonts w:ascii="Times New Roman" w:hAnsi="宋体"/>
          <w:sz w:val="24"/>
          <w:szCs w:val="24"/>
        </w:rPr>
      </w:pPr>
    </w:p>
    <w:sectPr w:rsidR="00F56D7A" w:rsidSect="00EB3834">
      <w:pgSz w:w="11906" w:h="16838" w:code="9"/>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647265" w16cid:durableId="1F2944C1"/>
  <w16cid:commentId w16cid:paraId="5E5457C0" w16cid:durableId="1F2944C2"/>
  <w16cid:commentId w16cid:paraId="6B1A3292" w16cid:durableId="1F2944C3"/>
  <w16cid:commentId w16cid:paraId="59BE1A28" w16cid:durableId="1F2944C4"/>
  <w16cid:commentId w16cid:paraId="36EA70B0" w16cid:durableId="1F2944C5"/>
  <w16cid:commentId w16cid:paraId="10D2481A" w16cid:durableId="1F2944C7"/>
  <w16cid:commentId w16cid:paraId="72571E90" w16cid:durableId="1F2944C8"/>
  <w16cid:commentId w16cid:paraId="6C8021F1" w16cid:durableId="1F2944C9"/>
  <w16cid:commentId w16cid:paraId="1CD8322A" w16cid:durableId="1F2944CA"/>
  <w16cid:commentId w16cid:paraId="746866BF" w16cid:durableId="1F2944CB"/>
  <w16cid:commentId w16cid:paraId="2D642DC2" w16cid:durableId="1F2944CC"/>
  <w16cid:commentId w16cid:paraId="3B13735A" w16cid:durableId="1F2944CD"/>
  <w16cid:commentId w16cid:paraId="6DFF1E87" w16cid:durableId="1F2944CE"/>
  <w16cid:commentId w16cid:paraId="03B947A4" w16cid:durableId="1F2944D0"/>
  <w16cid:commentId w16cid:paraId="5B1310F0" w16cid:durableId="1F2944D1"/>
  <w16cid:commentId w16cid:paraId="172544C1" w16cid:durableId="1F2944D2"/>
  <w16cid:commentId w16cid:paraId="610D35CC" w16cid:durableId="1F2944D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FAE" w:rsidRDefault="00032FAE">
      <w:r>
        <w:separator/>
      </w:r>
    </w:p>
  </w:endnote>
  <w:endnote w:type="continuationSeparator" w:id="1">
    <w:p w:rsidR="00032FAE" w:rsidRDefault="00032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75730"/>
      <w:docPartObj>
        <w:docPartGallery w:val="Page Numbers (Bottom of Page)"/>
        <w:docPartUnique/>
      </w:docPartObj>
    </w:sdtPr>
    <w:sdtContent>
      <w:sdt>
        <w:sdtPr>
          <w:id w:val="1728636285"/>
          <w:docPartObj>
            <w:docPartGallery w:val="Page Numbers (Top of Page)"/>
            <w:docPartUnique/>
          </w:docPartObj>
        </w:sdtPr>
        <w:sdtContent>
          <w:p w:rsidR="00C57044" w:rsidRDefault="00193294">
            <w:pPr>
              <w:pStyle w:val="a6"/>
              <w:jc w:val="center"/>
            </w:pPr>
            <w:r>
              <w:rPr>
                <w:b/>
                <w:bCs/>
                <w:sz w:val="24"/>
                <w:szCs w:val="24"/>
              </w:rPr>
              <w:fldChar w:fldCharType="begin"/>
            </w:r>
            <w:r w:rsidR="00C57044">
              <w:rPr>
                <w:b/>
                <w:bCs/>
              </w:rPr>
              <w:instrText>PAGE</w:instrText>
            </w:r>
            <w:r>
              <w:rPr>
                <w:b/>
                <w:bCs/>
                <w:sz w:val="24"/>
                <w:szCs w:val="24"/>
              </w:rPr>
              <w:fldChar w:fldCharType="separate"/>
            </w:r>
            <w:r w:rsidR="00E321FE">
              <w:rPr>
                <w:b/>
                <w:bCs/>
                <w:noProof/>
              </w:rPr>
              <w:t>1</w:t>
            </w:r>
            <w:r>
              <w:rPr>
                <w:b/>
                <w:bCs/>
                <w:sz w:val="24"/>
                <w:szCs w:val="24"/>
              </w:rPr>
              <w:fldChar w:fldCharType="end"/>
            </w:r>
            <w:r w:rsidR="00C57044">
              <w:rPr>
                <w:lang w:val="zh-CN"/>
              </w:rPr>
              <w:t xml:space="preserve"> / </w:t>
            </w:r>
            <w:r>
              <w:rPr>
                <w:b/>
                <w:bCs/>
                <w:sz w:val="24"/>
                <w:szCs w:val="24"/>
              </w:rPr>
              <w:fldChar w:fldCharType="begin"/>
            </w:r>
            <w:r w:rsidR="00C57044">
              <w:rPr>
                <w:b/>
                <w:bCs/>
              </w:rPr>
              <w:instrText>NUMPAGES</w:instrText>
            </w:r>
            <w:r>
              <w:rPr>
                <w:b/>
                <w:bCs/>
                <w:sz w:val="24"/>
                <w:szCs w:val="24"/>
              </w:rPr>
              <w:fldChar w:fldCharType="separate"/>
            </w:r>
            <w:r w:rsidR="00E321FE">
              <w:rPr>
                <w:b/>
                <w:bCs/>
                <w:noProof/>
              </w:rPr>
              <w:t>3</w:t>
            </w:r>
            <w:r>
              <w:rPr>
                <w:b/>
                <w:bCs/>
                <w:sz w:val="24"/>
                <w:szCs w:val="24"/>
              </w:rPr>
              <w:fldChar w:fldCharType="end"/>
            </w:r>
          </w:p>
        </w:sdtContent>
      </w:sdt>
    </w:sdtContent>
  </w:sdt>
  <w:p w:rsidR="00C57044" w:rsidRDefault="00C5704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7A" w:rsidRDefault="00F56D7A">
    <w:pPr>
      <w:pStyle w:val="a6"/>
      <w:tabs>
        <w:tab w:val="left" w:pos="4395"/>
        <w:tab w:val="center" w:pos="4526"/>
      </w:tabs>
      <w:jc w:val="left"/>
      <w:rPr>
        <w:rFonts w:ascii="黑体" w:eastAsia="黑体" w:hAnsi="黑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FAE" w:rsidRDefault="00032FAE">
      <w:r>
        <w:separator/>
      </w:r>
    </w:p>
  </w:footnote>
  <w:footnote w:type="continuationSeparator" w:id="1">
    <w:p w:rsidR="00032FAE" w:rsidRDefault="00032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7A" w:rsidRDefault="00F56D7A">
    <w:pPr>
      <w:pStyle w:val="a7"/>
      <w:rPr>
        <w:rFonts w:ascii="Arial" w:eastAsia="黑体"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46D17"/>
    <w:multiLevelType w:val="multilevel"/>
    <w:tmpl w:val="3AA46D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1564C0D"/>
    <w:multiLevelType w:val="multilevel"/>
    <w:tmpl w:val="41564C0D"/>
    <w:lvl w:ilvl="0">
      <w:start w:val="1"/>
      <w:numFmt w:val="decimal"/>
      <w:lvlText w:val="%1、"/>
      <w:lvlJc w:val="left"/>
      <w:pPr>
        <w:ind w:left="1260" w:hanging="7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6DE2"/>
    <w:rsid w:val="00032FAE"/>
    <w:rsid w:val="000574EE"/>
    <w:rsid w:val="000866EB"/>
    <w:rsid w:val="00124411"/>
    <w:rsid w:val="001261B3"/>
    <w:rsid w:val="00130CFE"/>
    <w:rsid w:val="0013300D"/>
    <w:rsid w:val="00156790"/>
    <w:rsid w:val="00193294"/>
    <w:rsid w:val="00194A76"/>
    <w:rsid w:val="001B0AF8"/>
    <w:rsid w:val="001C575F"/>
    <w:rsid w:val="001D72F7"/>
    <w:rsid w:val="00231929"/>
    <w:rsid w:val="00242E20"/>
    <w:rsid w:val="002460C2"/>
    <w:rsid w:val="002639F3"/>
    <w:rsid w:val="00273006"/>
    <w:rsid w:val="00297AAB"/>
    <w:rsid w:val="002A5766"/>
    <w:rsid w:val="002B3133"/>
    <w:rsid w:val="002C2AA7"/>
    <w:rsid w:val="002D39D4"/>
    <w:rsid w:val="003045EB"/>
    <w:rsid w:val="003276ED"/>
    <w:rsid w:val="0033435C"/>
    <w:rsid w:val="00371A72"/>
    <w:rsid w:val="0038261B"/>
    <w:rsid w:val="003B4EEB"/>
    <w:rsid w:val="003B6EF2"/>
    <w:rsid w:val="003C6CED"/>
    <w:rsid w:val="003D1AA9"/>
    <w:rsid w:val="003E71EC"/>
    <w:rsid w:val="003F03E7"/>
    <w:rsid w:val="003F2D71"/>
    <w:rsid w:val="004116F8"/>
    <w:rsid w:val="004259B4"/>
    <w:rsid w:val="00430C2A"/>
    <w:rsid w:val="0046079A"/>
    <w:rsid w:val="00463501"/>
    <w:rsid w:val="0048795A"/>
    <w:rsid w:val="004B0CA9"/>
    <w:rsid w:val="004B228F"/>
    <w:rsid w:val="004B73C2"/>
    <w:rsid w:val="004C0D6F"/>
    <w:rsid w:val="004D0FB5"/>
    <w:rsid w:val="004D1E78"/>
    <w:rsid w:val="004F74EE"/>
    <w:rsid w:val="005264F3"/>
    <w:rsid w:val="005416F6"/>
    <w:rsid w:val="00561D16"/>
    <w:rsid w:val="00570E2C"/>
    <w:rsid w:val="00585A38"/>
    <w:rsid w:val="005B2DA3"/>
    <w:rsid w:val="0060416E"/>
    <w:rsid w:val="00624525"/>
    <w:rsid w:val="00625D94"/>
    <w:rsid w:val="00656369"/>
    <w:rsid w:val="00676ABF"/>
    <w:rsid w:val="006B3C02"/>
    <w:rsid w:val="006E3837"/>
    <w:rsid w:val="007132AD"/>
    <w:rsid w:val="00723F27"/>
    <w:rsid w:val="007518A9"/>
    <w:rsid w:val="00763D06"/>
    <w:rsid w:val="00781792"/>
    <w:rsid w:val="0078342A"/>
    <w:rsid w:val="00787C60"/>
    <w:rsid w:val="007A5479"/>
    <w:rsid w:val="007B3B1D"/>
    <w:rsid w:val="007B55E6"/>
    <w:rsid w:val="007C02B8"/>
    <w:rsid w:val="007C4859"/>
    <w:rsid w:val="007C7CD1"/>
    <w:rsid w:val="007C7D97"/>
    <w:rsid w:val="007F337F"/>
    <w:rsid w:val="00814115"/>
    <w:rsid w:val="008340FF"/>
    <w:rsid w:val="00835040"/>
    <w:rsid w:val="008403D9"/>
    <w:rsid w:val="00846464"/>
    <w:rsid w:val="008466F3"/>
    <w:rsid w:val="0085658D"/>
    <w:rsid w:val="008679EB"/>
    <w:rsid w:val="0087595D"/>
    <w:rsid w:val="00895E62"/>
    <w:rsid w:val="00896525"/>
    <w:rsid w:val="008A0B11"/>
    <w:rsid w:val="008A6FE3"/>
    <w:rsid w:val="008F7E7F"/>
    <w:rsid w:val="009275A7"/>
    <w:rsid w:val="00956508"/>
    <w:rsid w:val="009860E2"/>
    <w:rsid w:val="00992144"/>
    <w:rsid w:val="009C60A5"/>
    <w:rsid w:val="009E660E"/>
    <w:rsid w:val="00A219BD"/>
    <w:rsid w:val="00A2347C"/>
    <w:rsid w:val="00A265E0"/>
    <w:rsid w:val="00A6751E"/>
    <w:rsid w:val="00A75BE7"/>
    <w:rsid w:val="00A969BA"/>
    <w:rsid w:val="00B050BF"/>
    <w:rsid w:val="00B13470"/>
    <w:rsid w:val="00B218B6"/>
    <w:rsid w:val="00B34E51"/>
    <w:rsid w:val="00B44BE1"/>
    <w:rsid w:val="00B779E3"/>
    <w:rsid w:val="00B84229"/>
    <w:rsid w:val="00B84B5E"/>
    <w:rsid w:val="00BB61A2"/>
    <w:rsid w:val="00BB7C53"/>
    <w:rsid w:val="00BC5BA0"/>
    <w:rsid w:val="00C0247F"/>
    <w:rsid w:val="00C20FCE"/>
    <w:rsid w:val="00C36DE2"/>
    <w:rsid w:val="00C469D7"/>
    <w:rsid w:val="00C57044"/>
    <w:rsid w:val="00C62CC5"/>
    <w:rsid w:val="00C84DCE"/>
    <w:rsid w:val="00C920BC"/>
    <w:rsid w:val="00D23A8C"/>
    <w:rsid w:val="00D27823"/>
    <w:rsid w:val="00D31DB8"/>
    <w:rsid w:val="00D44F6A"/>
    <w:rsid w:val="00D45DC8"/>
    <w:rsid w:val="00D56BB1"/>
    <w:rsid w:val="00D72DF6"/>
    <w:rsid w:val="00D72E9D"/>
    <w:rsid w:val="00D80E44"/>
    <w:rsid w:val="00D958FE"/>
    <w:rsid w:val="00DA45EE"/>
    <w:rsid w:val="00DA594C"/>
    <w:rsid w:val="00DB0655"/>
    <w:rsid w:val="00DB7B44"/>
    <w:rsid w:val="00DC2900"/>
    <w:rsid w:val="00DC7D7E"/>
    <w:rsid w:val="00DF4C84"/>
    <w:rsid w:val="00E01D60"/>
    <w:rsid w:val="00E05A8E"/>
    <w:rsid w:val="00E321FE"/>
    <w:rsid w:val="00E65452"/>
    <w:rsid w:val="00EB3834"/>
    <w:rsid w:val="00ED7C4A"/>
    <w:rsid w:val="00EE11F2"/>
    <w:rsid w:val="00F56D7A"/>
    <w:rsid w:val="00F8261D"/>
    <w:rsid w:val="00FC6E25"/>
    <w:rsid w:val="00FD10F7"/>
    <w:rsid w:val="00FD1687"/>
    <w:rsid w:val="00FD7F8F"/>
    <w:rsid w:val="09F4363D"/>
    <w:rsid w:val="0B4F4533"/>
    <w:rsid w:val="79EF66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nhideWhenUsed="0"/>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E7F"/>
    <w:pPr>
      <w:widowControl w:val="0"/>
      <w:jc w:val="both"/>
    </w:pPr>
    <w:rPr>
      <w:kern w:val="2"/>
      <w:sz w:val="21"/>
      <w:szCs w:val="22"/>
    </w:rPr>
  </w:style>
  <w:style w:type="paragraph" w:styleId="1">
    <w:name w:val="heading 1"/>
    <w:basedOn w:val="a"/>
    <w:next w:val="a"/>
    <w:link w:val="1Char"/>
    <w:uiPriority w:val="9"/>
    <w:qFormat/>
    <w:rsid w:val="001C575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8F7E7F"/>
    <w:rPr>
      <w:rFonts w:eastAsiaTheme="minorEastAsia" w:cstheme="minorBidi"/>
      <w:b/>
      <w:bCs/>
      <w:sz w:val="21"/>
      <w:szCs w:val="22"/>
    </w:rPr>
  </w:style>
  <w:style w:type="paragraph" w:styleId="a4">
    <w:name w:val="annotation text"/>
    <w:basedOn w:val="a"/>
    <w:link w:val="Char0"/>
    <w:uiPriority w:val="99"/>
    <w:rsid w:val="008F7E7F"/>
    <w:pPr>
      <w:jc w:val="left"/>
    </w:pPr>
    <w:rPr>
      <w:rFonts w:eastAsia="宋体" w:cs="Times New Roman"/>
      <w:sz w:val="24"/>
      <w:szCs w:val="24"/>
    </w:rPr>
  </w:style>
  <w:style w:type="paragraph" w:styleId="a5">
    <w:name w:val="Balloon Text"/>
    <w:basedOn w:val="a"/>
    <w:link w:val="Char1"/>
    <w:uiPriority w:val="99"/>
    <w:semiHidden/>
    <w:unhideWhenUsed/>
    <w:rsid w:val="008F7E7F"/>
    <w:rPr>
      <w:sz w:val="18"/>
      <w:szCs w:val="18"/>
    </w:rPr>
  </w:style>
  <w:style w:type="paragraph" w:styleId="a6">
    <w:name w:val="footer"/>
    <w:basedOn w:val="a"/>
    <w:link w:val="Char2"/>
    <w:uiPriority w:val="99"/>
    <w:rsid w:val="008F7E7F"/>
    <w:pPr>
      <w:tabs>
        <w:tab w:val="center" w:pos="4320"/>
        <w:tab w:val="right" w:pos="8640"/>
      </w:tabs>
    </w:pPr>
    <w:rPr>
      <w:rFonts w:eastAsia="宋体"/>
      <w:sz w:val="18"/>
      <w:szCs w:val="18"/>
    </w:rPr>
  </w:style>
  <w:style w:type="paragraph" w:styleId="a7">
    <w:name w:val="header"/>
    <w:basedOn w:val="a"/>
    <w:link w:val="Char3"/>
    <w:uiPriority w:val="99"/>
    <w:rsid w:val="008F7E7F"/>
    <w:pPr>
      <w:tabs>
        <w:tab w:val="center" w:pos="4320"/>
        <w:tab w:val="right" w:pos="8640"/>
      </w:tabs>
    </w:pPr>
    <w:rPr>
      <w:rFonts w:eastAsia="宋体" w:cs="Times New Roman"/>
      <w:sz w:val="24"/>
      <w:szCs w:val="24"/>
    </w:rPr>
  </w:style>
  <w:style w:type="paragraph" w:styleId="a8">
    <w:name w:val="Normal (Web)"/>
    <w:basedOn w:val="a"/>
    <w:rsid w:val="008F7E7F"/>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uiPriority w:val="10"/>
    <w:qFormat/>
    <w:rsid w:val="008F7E7F"/>
    <w:pPr>
      <w:spacing w:before="240" w:after="60"/>
      <w:jc w:val="center"/>
      <w:outlineLvl w:val="0"/>
    </w:pPr>
    <w:rPr>
      <w:rFonts w:ascii="Cambria" w:eastAsia="宋体" w:hAnsi="Cambria" w:cs="Times New Roman"/>
      <w:b/>
      <w:bCs/>
      <w:sz w:val="32"/>
      <w:szCs w:val="32"/>
    </w:rPr>
  </w:style>
  <w:style w:type="character" w:styleId="aa">
    <w:name w:val="annotation reference"/>
    <w:uiPriority w:val="99"/>
    <w:rsid w:val="008F7E7F"/>
    <w:rPr>
      <w:rFonts w:cs="Times New Roman"/>
      <w:sz w:val="21"/>
      <w:szCs w:val="21"/>
    </w:rPr>
  </w:style>
  <w:style w:type="paragraph" w:customStyle="1" w:styleId="neirong">
    <w:name w:val="neirong"/>
    <w:basedOn w:val="a"/>
    <w:link w:val="neirongChar"/>
    <w:rsid w:val="008F7E7F"/>
    <w:pPr>
      <w:widowControl/>
      <w:autoSpaceDE w:val="0"/>
      <w:autoSpaceDN w:val="0"/>
      <w:adjustRightInd w:val="0"/>
      <w:spacing w:before="29" w:line="288" w:lineRule="auto"/>
      <w:ind w:left="15"/>
      <w:jc w:val="left"/>
    </w:pPr>
    <w:rPr>
      <w:rFonts w:ascii="宋体" w:eastAsia="宋体" w:hAnsi="宋体" w:cs="Times New Roman"/>
      <w:kern w:val="0"/>
      <w:sz w:val="24"/>
      <w:szCs w:val="24"/>
    </w:rPr>
  </w:style>
  <w:style w:type="character" w:customStyle="1" w:styleId="neirongChar">
    <w:name w:val="neirong Char"/>
    <w:link w:val="neirong"/>
    <w:rsid w:val="008F7E7F"/>
    <w:rPr>
      <w:rFonts w:ascii="宋体" w:eastAsia="宋体" w:hAnsi="宋体" w:cs="Times New Roman"/>
      <w:kern w:val="0"/>
      <w:sz w:val="24"/>
      <w:szCs w:val="24"/>
    </w:rPr>
  </w:style>
  <w:style w:type="character" w:customStyle="1" w:styleId="Char4">
    <w:name w:val="标题 Char"/>
    <w:basedOn w:val="a0"/>
    <w:link w:val="a9"/>
    <w:uiPriority w:val="10"/>
    <w:rsid w:val="008F7E7F"/>
    <w:rPr>
      <w:rFonts w:ascii="Cambria" w:eastAsia="宋体" w:hAnsi="Cambria" w:cs="Times New Roman"/>
      <w:b/>
      <w:bCs/>
      <w:sz w:val="32"/>
      <w:szCs w:val="32"/>
    </w:rPr>
  </w:style>
  <w:style w:type="paragraph" w:styleId="ab">
    <w:name w:val="List Paragraph"/>
    <w:basedOn w:val="a"/>
    <w:uiPriority w:val="34"/>
    <w:qFormat/>
    <w:rsid w:val="008F7E7F"/>
    <w:pPr>
      <w:ind w:firstLineChars="200" w:firstLine="420"/>
    </w:pPr>
  </w:style>
  <w:style w:type="character" w:customStyle="1" w:styleId="Char3">
    <w:name w:val="页眉 Char"/>
    <w:link w:val="a7"/>
    <w:uiPriority w:val="99"/>
    <w:locked/>
    <w:rsid w:val="008F7E7F"/>
    <w:rPr>
      <w:rFonts w:eastAsia="宋体" w:cs="Times New Roman"/>
      <w:sz w:val="24"/>
      <w:szCs w:val="24"/>
    </w:rPr>
  </w:style>
  <w:style w:type="character" w:customStyle="1" w:styleId="Char2">
    <w:name w:val="页脚 Char"/>
    <w:link w:val="a6"/>
    <w:uiPriority w:val="99"/>
    <w:rsid w:val="008F7E7F"/>
    <w:rPr>
      <w:rFonts w:eastAsia="宋体"/>
      <w:sz w:val="18"/>
      <w:szCs w:val="18"/>
    </w:rPr>
  </w:style>
  <w:style w:type="character" w:customStyle="1" w:styleId="Char0">
    <w:name w:val="批注文字 Char"/>
    <w:link w:val="a4"/>
    <w:uiPriority w:val="99"/>
    <w:locked/>
    <w:rsid w:val="008F7E7F"/>
    <w:rPr>
      <w:rFonts w:eastAsia="宋体" w:cs="Times New Roman"/>
      <w:sz w:val="24"/>
      <w:szCs w:val="24"/>
    </w:rPr>
  </w:style>
  <w:style w:type="character" w:customStyle="1" w:styleId="Char10">
    <w:name w:val="批注文字 Char1"/>
    <w:basedOn w:val="a0"/>
    <w:uiPriority w:val="99"/>
    <w:semiHidden/>
    <w:rsid w:val="008F7E7F"/>
  </w:style>
  <w:style w:type="character" w:customStyle="1" w:styleId="Char11">
    <w:name w:val="页眉 Char1"/>
    <w:basedOn w:val="a0"/>
    <w:uiPriority w:val="99"/>
    <w:semiHidden/>
    <w:rsid w:val="008F7E7F"/>
    <w:rPr>
      <w:sz w:val="18"/>
      <w:szCs w:val="18"/>
    </w:rPr>
  </w:style>
  <w:style w:type="character" w:customStyle="1" w:styleId="Char12">
    <w:name w:val="页脚 Char1"/>
    <w:basedOn w:val="a0"/>
    <w:uiPriority w:val="99"/>
    <w:semiHidden/>
    <w:rsid w:val="008F7E7F"/>
    <w:rPr>
      <w:sz w:val="18"/>
      <w:szCs w:val="18"/>
    </w:rPr>
  </w:style>
  <w:style w:type="character" w:customStyle="1" w:styleId="Char1">
    <w:name w:val="批注框文本 Char"/>
    <w:basedOn w:val="a0"/>
    <w:link w:val="a5"/>
    <w:uiPriority w:val="99"/>
    <w:semiHidden/>
    <w:rsid w:val="008F7E7F"/>
    <w:rPr>
      <w:sz w:val="18"/>
      <w:szCs w:val="18"/>
    </w:rPr>
  </w:style>
  <w:style w:type="character" w:customStyle="1" w:styleId="Char">
    <w:name w:val="批注主题 Char"/>
    <w:basedOn w:val="Char0"/>
    <w:link w:val="a3"/>
    <w:uiPriority w:val="99"/>
    <w:semiHidden/>
    <w:rsid w:val="008F7E7F"/>
    <w:rPr>
      <w:rFonts w:eastAsia="宋体" w:cs="Times New Roman"/>
      <w:b/>
      <w:bCs/>
      <w:sz w:val="24"/>
      <w:szCs w:val="24"/>
    </w:rPr>
  </w:style>
  <w:style w:type="paragraph" w:customStyle="1" w:styleId="10">
    <w:name w:val="修订1"/>
    <w:hidden/>
    <w:uiPriority w:val="99"/>
    <w:semiHidden/>
    <w:rsid w:val="008F7E7F"/>
    <w:rPr>
      <w:kern w:val="2"/>
      <w:sz w:val="21"/>
      <w:szCs w:val="22"/>
    </w:rPr>
  </w:style>
  <w:style w:type="character" w:customStyle="1" w:styleId="1Char">
    <w:name w:val="标题 1 Char"/>
    <w:basedOn w:val="a0"/>
    <w:link w:val="1"/>
    <w:uiPriority w:val="9"/>
    <w:rsid w:val="001C575F"/>
    <w:rPr>
      <w:b/>
      <w:bCs/>
      <w:kern w:val="44"/>
      <w:sz w:val="44"/>
      <w:szCs w:val="44"/>
    </w:rPr>
  </w:style>
  <w:style w:type="paragraph" w:styleId="TOC">
    <w:name w:val="TOC Heading"/>
    <w:basedOn w:val="1"/>
    <w:next w:val="a"/>
    <w:uiPriority w:val="39"/>
    <w:unhideWhenUsed/>
    <w:qFormat/>
    <w:rsid w:val="001C575F"/>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
    <w:name w:val="toc 2"/>
    <w:basedOn w:val="a"/>
    <w:next w:val="a"/>
    <w:autoRedefine/>
    <w:uiPriority w:val="39"/>
    <w:unhideWhenUsed/>
    <w:rsid w:val="001C575F"/>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1C575F"/>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1C575F"/>
    <w:pPr>
      <w:widowControl/>
      <w:spacing w:after="100" w:line="259" w:lineRule="auto"/>
      <w:ind w:left="440"/>
      <w:jc w:val="left"/>
    </w:pPr>
    <w:rPr>
      <w:rFonts w:cs="Times New Roman"/>
      <w:kern w:val="0"/>
      <w:sz w:val="22"/>
    </w:rPr>
  </w:style>
  <w:style w:type="character" w:styleId="ac">
    <w:name w:val="Hyperlink"/>
    <w:basedOn w:val="a0"/>
    <w:uiPriority w:val="99"/>
    <w:unhideWhenUsed/>
    <w:rsid w:val="001C575F"/>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68D89DF0-1F7C-4F6D-BD4F-FDFB8DAEF47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5809</Characters>
  <Application>Microsoft Office Word</Application>
  <DocSecurity>4</DocSecurity>
  <Lines>48</Lines>
  <Paragraphs>13</Paragraphs>
  <ScaleCrop>false</ScaleCrop>
  <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SenLin (王森林)</dc:creator>
  <cp:lastModifiedBy>ZHONGM</cp:lastModifiedBy>
  <cp:revision>2</cp:revision>
  <dcterms:created xsi:type="dcterms:W3CDTF">2018-09-26T16:39:00Z</dcterms:created>
  <dcterms:modified xsi:type="dcterms:W3CDTF">2018-09-26T16:39:00Z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