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E02" w:rsidRDefault="00127E02">
      <w:pPr>
        <w:autoSpaceDE w:val="0"/>
        <w:autoSpaceDN w:val="0"/>
        <w:adjustRightInd w:val="0"/>
        <w:spacing w:line="360" w:lineRule="auto"/>
        <w:jc w:val="left"/>
        <w:rPr>
          <w:rFonts w:ascii="宋体" w:hAnsi="宋体" w:cs="宋体"/>
          <w:color w:val="000000"/>
          <w:kern w:val="0"/>
          <w:sz w:val="24"/>
          <w:szCs w:val="24"/>
        </w:rPr>
      </w:pPr>
    </w:p>
    <w:p w:rsidR="008A4FF0" w:rsidRDefault="008A4FF0">
      <w:pPr>
        <w:autoSpaceDE w:val="0"/>
        <w:autoSpaceDN w:val="0"/>
        <w:adjustRightInd w:val="0"/>
        <w:spacing w:line="360" w:lineRule="auto"/>
        <w:jc w:val="left"/>
        <w:rPr>
          <w:rFonts w:ascii="宋体" w:hAnsi="宋体" w:cs="宋体"/>
          <w:color w:val="000000"/>
          <w:kern w:val="0"/>
          <w:sz w:val="24"/>
          <w:szCs w:val="24"/>
        </w:rPr>
      </w:pPr>
    </w:p>
    <w:p w:rsidR="00C61044" w:rsidRDefault="00C61044" w:rsidP="00C61044">
      <w:pPr>
        <w:pStyle w:val="21"/>
        <w:kinsoku w:val="0"/>
        <w:overflowPunct w:val="0"/>
        <w:adjustRightInd/>
        <w:spacing w:line="360" w:lineRule="auto"/>
        <w:jc w:val="center"/>
        <w:outlineLvl w:val="9"/>
        <w:rPr>
          <w:rFonts w:ascii="宋体" w:eastAsiaTheme="minorEastAsia" w:hAnsi="宋体" w:cs="宋体"/>
          <w:bCs w:val="0"/>
          <w:color w:val="323232"/>
          <w:sz w:val="36"/>
          <w:szCs w:val="36"/>
        </w:rPr>
      </w:pPr>
      <w:r>
        <w:rPr>
          <w:rFonts w:ascii="宋体" w:eastAsiaTheme="minorEastAsia" w:hAnsi="宋体" w:cs="宋体" w:hint="eastAsia"/>
          <w:bCs w:val="0"/>
          <w:color w:val="323232"/>
          <w:sz w:val="36"/>
          <w:szCs w:val="36"/>
        </w:rPr>
        <w:t>国投瑞银顺益纯债债券</w:t>
      </w:r>
      <w:r w:rsidRPr="009212A7">
        <w:rPr>
          <w:rFonts w:ascii="宋体" w:eastAsiaTheme="minorEastAsia" w:hAnsi="宋体" w:cs="宋体" w:hint="eastAsia"/>
          <w:bCs w:val="0"/>
          <w:color w:val="323232"/>
          <w:sz w:val="36"/>
          <w:szCs w:val="36"/>
        </w:rPr>
        <w:t>型</w:t>
      </w:r>
      <w:r>
        <w:rPr>
          <w:rFonts w:ascii="宋体" w:eastAsiaTheme="minorEastAsia" w:hAnsi="宋体" w:cs="宋体" w:hint="eastAsia"/>
          <w:bCs w:val="0"/>
          <w:color w:val="323232"/>
          <w:sz w:val="36"/>
          <w:szCs w:val="36"/>
        </w:rPr>
        <w:t>证券投资基金</w:t>
      </w:r>
    </w:p>
    <w:p w:rsidR="00C61044" w:rsidRDefault="00C61044" w:rsidP="00C61044">
      <w:pPr>
        <w:pStyle w:val="21"/>
        <w:kinsoku w:val="0"/>
        <w:overflowPunct w:val="0"/>
        <w:adjustRightInd/>
        <w:spacing w:line="360" w:lineRule="auto"/>
        <w:jc w:val="center"/>
        <w:outlineLvl w:val="9"/>
        <w:rPr>
          <w:rFonts w:ascii="宋体" w:eastAsia="宋体" w:hAnsi="宋体"/>
        </w:rPr>
      </w:pPr>
      <w:r>
        <w:rPr>
          <w:rFonts w:ascii="宋体" w:eastAsiaTheme="minorEastAsia" w:hAnsi="宋体" w:cs="宋体"/>
          <w:bCs w:val="0"/>
          <w:color w:val="323232"/>
          <w:sz w:val="36"/>
          <w:szCs w:val="36"/>
        </w:rPr>
        <w:t>清算报告</w:t>
      </w:r>
    </w:p>
    <w:p w:rsidR="00127E02" w:rsidRDefault="00127E02">
      <w:pPr>
        <w:pStyle w:val="21"/>
        <w:kinsoku w:val="0"/>
        <w:overflowPunct w:val="0"/>
        <w:adjustRightInd/>
        <w:spacing w:line="360" w:lineRule="auto"/>
        <w:jc w:val="center"/>
        <w:outlineLvl w:val="9"/>
        <w:rPr>
          <w:rFonts w:ascii="宋体" w:eastAsiaTheme="minorEastAsia" w:hAnsi="宋体" w:cs="宋体"/>
          <w:b w:val="0"/>
          <w:bCs w:val="0"/>
          <w:color w:val="323232"/>
          <w:sz w:val="36"/>
          <w:szCs w:val="36"/>
        </w:rPr>
      </w:pPr>
    </w:p>
    <w:p w:rsidR="00127E02" w:rsidRDefault="00127E02">
      <w:pPr>
        <w:pStyle w:val="21"/>
        <w:kinsoku w:val="0"/>
        <w:overflowPunct w:val="0"/>
        <w:adjustRightInd/>
        <w:spacing w:line="360" w:lineRule="auto"/>
        <w:jc w:val="center"/>
        <w:outlineLvl w:val="9"/>
        <w:rPr>
          <w:rFonts w:ascii="宋体" w:eastAsiaTheme="minorEastAsia" w:hAnsi="宋体" w:cs="宋体"/>
          <w:b w:val="0"/>
          <w:bCs w:val="0"/>
          <w:color w:val="323232"/>
          <w:sz w:val="36"/>
          <w:szCs w:val="36"/>
        </w:rPr>
      </w:pPr>
    </w:p>
    <w:p w:rsidR="00127E02" w:rsidRDefault="00127E02">
      <w:pPr>
        <w:pStyle w:val="21"/>
        <w:kinsoku w:val="0"/>
        <w:overflowPunct w:val="0"/>
        <w:adjustRightInd/>
        <w:spacing w:line="360" w:lineRule="auto"/>
        <w:jc w:val="center"/>
        <w:outlineLvl w:val="9"/>
        <w:rPr>
          <w:rFonts w:ascii="宋体" w:eastAsiaTheme="minorEastAsia" w:hAnsi="宋体" w:cs="宋体"/>
          <w:b w:val="0"/>
          <w:bCs w:val="0"/>
          <w:color w:val="323232"/>
          <w:sz w:val="36"/>
          <w:szCs w:val="36"/>
        </w:rPr>
      </w:pPr>
    </w:p>
    <w:p w:rsidR="00127E02" w:rsidRDefault="00127E02" w:rsidP="00871BC2">
      <w:pPr>
        <w:pStyle w:val="21"/>
        <w:kinsoku w:val="0"/>
        <w:overflowPunct w:val="0"/>
        <w:adjustRightInd/>
        <w:spacing w:beforeLines="100" w:line="360" w:lineRule="auto"/>
        <w:ind w:left="153"/>
        <w:outlineLvl w:val="9"/>
        <w:rPr>
          <w:rFonts w:ascii="宋体" w:eastAsia="宋体" w:cs="宋体"/>
          <w:b w:val="0"/>
          <w:bCs w:val="0"/>
          <w:sz w:val="24"/>
          <w:szCs w:val="24"/>
        </w:rPr>
      </w:pPr>
    </w:p>
    <w:p w:rsidR="00127E02" w:rsidRDefault="00127E02" w:rsidP="00871BC2">
      <w:pPr>
        <w:pStyle w:val="21"/>
        <w:kinsoku w:val="0"/>
        <w:overflowPunct w:val="0"/>
        <w:adjustRightInd/>
        <w:spacing w:beforeLines="100" w:line="360" w:lineRule="auto"/>
        <w:ind w:left="153"/>
        <w:outlineLvl w:val="9"/>
        <w:rPr>
          <w:rFonts w:ascii="宋体" w:eastAsia="宋体" w:cs="宋体"/>
          <w:b w:val="0"/>
          <w:bCs w:val="0"/>
          <w:sz w:val="24"/>
          <w:szCs w:val="24"/>
        </w:rPr>
      </w:pPr>
    </w:p>
    <w:p w:rsidR="00127E02" w:rsidRDefault="00127E02" w:rsidP="00871BC2">
      <w:pPr>
        <w:pStyle w:val="21"/>
        <w:kinsoku w:val="0"/>
        <w:overflowPunct w:val="0"/>
        <w:adjustRightInd/>
        <w:spacing w:beforeLines="100" w:line="360" w:lineRule="auto"/>
        <w:ind w:left="153"/>
        <w:outlineLvl w:val="9"/>
        <w:rPr>
          <w:rFonts w:ascii="宋体" w:eastAsia="宋体" w:cs="宋体"/>
          <w:b w:val="0"/>
          <w:bCs w:val="0"/>
          <w:sz w:val="24"/>
          <w:szCs w:val="24"/>
        </w:rPr>
      </w:pPr>
    </w:p>
    <w:p w:rsidR="00127E02" w:rsidRDefault="00127E02" w:rsidP="00871BC2">
      <w:pPr>
        <w:pStyle w:val="21"/>
        <w:kinsoku w:val="0"/>
        <w:overflowPunct w:val="0"/>
        <w:adjustRightInd/>
        <w:spacing w:beforeLines="100" w:line="360" w:lineRule="auto"/>
        <w:ind w:left="153"/>
        <w:outlineLvl w:val="9"/>
        <w:rPr>
          <w:rFonts w:ascii="宋体" w:eastAsia="宋体" w:cs="宋体"/>
          <w:b w:val="0"/>
          <w:bCs w:val="0"/>
          <w:sz w:val="24"/>
          <w:szCs w:val="24"/>
        </w:rPr>
      </w:pPr>
    </w:p>
    <w:p w:rsidR="00127E02" w:rsidRDefault="00127E02" w:rsidP="00871BC2">
      <w:pPr>
        <w:pStyle w:val="21"/>
        <w:kinsoku w:val="0"/>
        <w:overflowPunct w:val="0"/>
        <w:adjustRightInd/>
        <w:spacing w:beforeLines="100" w:line="360" w:lineRule="auto"/>
        <w:ind w:left="153"/>
        <w:outlineLvl w:val="9"/>
        <w:rPr>
          <w:rFonts w:ascii="宋体" w:eastAsia="宋体" w:cs="宋体"/>
          <w:b w:val="0"/>
          <w:bCs w:val="0"/>
          <w:sz w:val="24"/>
          <w:szCs w:val="24"/>
        </w:rPr>
      </w:pPr>
    </w:p>
    <w:p w:rsidR="00127E02" w:rsidRDefault="00127E02" w:rsidP="00871BC2">
      <w:pPr>
        <w:pStyle w:val="21"/>
        <w:kinsoku w:val="0"/>
        <w:overflowPunct w:val="0"/>
        <w:adjustRightInd/>
        <w:spacing w:beforeLines="100" w:line="360" w:lineRule="auto"/>
        <w:ind w:left="153"/>
        <w:outlineLvl w:val="9"/>
        <w:rPr>
          <w:rFonts w:ascii="宋体" w:eastAsia="宋体" w:cs="宋体"/>
          <w:b w:val="0"/>
          <w:bCs w:val="0"/>
          <w:sz w:val="24"/>
          <w:szCs w:val="24"/>
        </w:rPr>
      </w:pPr>
    </w:p>
    <w:p w:rsidR="008A4FF0" w:rsidRDefault="008A4FF0" w:rsidP="00871BC2">
      <w:pPr>
        <w:pStyle w:val="21"/>
        <w:kinsoku w:val="0"/>
        <w:overflowPunct w:val="0"/>
        <w:adjustRightInd/>
        <w:spacing w:beforeLines="100" w:line="360" w:lineRule="auto"/>
        <w:ind w:left="153"/>
        <w:outlineLvl w:val="9"/>
        <w:rPr>
          <w:rFonts w:ascii="宋体" w:eastAsia="宋体" w:cs="宋体"/>
          <w:b w:val="0"/>
          <w:bCs w:val="0"/>
          <w:sz w:val="24"/>
          <w:szCs w:val="24"/>
        </w:rPr>
      </w:pPr>
    </w:p>
    <w:p w:rsidR="008A4FF0" w:rsidRDefault="008A4FF0" w:rsidP="00871BC2">
      <w:pPr>
        <w:pStyle w:val="21"/>
        <w:kinsoku w:val="0"/>
        <w:overflowPunct w:val="0"/>
        <w:adjustRightInd/>
        <w:spacing w:beforeLines="100" w:line="360" w:lineRule="auto"/>
        <w:ind w:left="153"/>
        <w:outlineLvl w:val="9"/>
        <w:rPr>
          <w:rFonts w:ascii="宋体" w:eastAsia="宋体" w:cs="宋体"/>
          <w:b w:val="0"/>
          <w:bCs w:val="0"/>
          <w:sz w:val="24"/>
          <w:szCs w:val="24"/>
        </w:rPr>
      </w:pPr>
    </w:p>
    <w:p w:rsidR="00127E02" w:rsidRDefault="009D17C5" w:rsidP="00871BC2">
      <w:pPr>
        <w:pStyle w:val="21"/>
        <w:kinsoku w:val="0"/>
        <w:overflowPunct w:val="0"/>
        <w:adjustRightInd/>
        <w:spacing w:beforeLines="100" w:line="360" w:lineRule="auto"/>
        <w:ind w:left="153"/>
        <w:jc w:val="center"/>
        <w:outlineLvl w:val="9"/>
        <w:rPr>
          <w:rFonts w:ascii="宋体" w:eastAsia="宋体" w:cs="宋体"/>
          <w:b w:val="0"/>
          <w:bCs w:val="0"/>
          <w:sz w:val="24"/>
          <w:szCs w:val="24"/>
        </w:rPr>
      </w:pPr>
      <w:r>
        <w:rPr>
          <w:rFonts w:ascii="宋体" w:eastAsia="宋体" w:cs="宋体" w:hint="eastAsia"/>
          <w:b w:val="0"/>
          <w:bCs w:val="0"/>
          <w:sz w:val="24"/>
          <w:szCs w:val="24"/>
        </w:rPr>
        <w:t>基金管理人：国投瑞银基金管理有限公司</w:t>
      </w:r>
    </w:p>
    <w:p w:rsidR="00127E02" w:rsidRDefault="009D17C5">
      <w:pPr>
        <w:pStyle w:val="21"/>
        <w:kinsoku w:val="0"/>
        <w:overflowPunct w:val="0"/>
        <w:adjustRightInd/>
        <w:spacing w:line="360" w:lineRule="auto"/>
        <w:jc w:val="center"/>
        <w:outlineLvl w:val="9"/>
        <w:rPr>
          <w:rFonts w:ascii="宋体" w:eastAsia="宋体" w:cs="宋体"/>
          <w:b w:val="0"/>
          <w:bCs w:val="0"/>
          <w:sz w:val="24"/>
          <w:szCs w:val="24"/>
        </w:rPr>
      </w:pPr>
      <w:r>
        <w:rPr>
          <w:rFonts w:ascii="宋体" w:eastAsia="宋体" w:cs="宋体" w:hint="eastAsia"/>
          <w:b w:val="0"/>
          <w:bCs w:val="0"/>
          <w:sz w:val="24"/>
          <w:szCs w:val="24"/>
        </w:rPr>
        <w:t>基金托管人：</w:t>
      </w:r>
      <w:r w:rsidR="000A5252">
        <w:rPr>
          <w:rFonts w:ascii="宋体" w:eastAsia="宋体" w:cs="宋体" w:hint="eastAsia"/>
          <w:b w:val="0"/>
          <w:bCs w:val="0"/>
          <w:sz w:val="24"/>
          <w:szCs w:val="24"/>
        </w:rPr>
        <w:t>交通银行股份有限公司</w:t>
      </w:r>
    </w:p>
    <w:p w:rsidR="00127E02" w:rsidRDefault="009D17C5">
      <w:pPr>
        <w:pStyle w:val="21"/>
        <w:kinsoku w:val="0"/>
        <w:overflowPunct w:val="0"/>
        <w:adjustRightInd/>
        <w:spacing w:line="360" w:lineRule="auto"/>
        <w:jc w:val="center"/>
        <w:outlineLvl w:val="9"/>
        <w:rPr>
          <w:rFonts w:ascii="宋体" w:eastAsia="宋体" w:cs="宋体"/>
          <w:b w:val="0"/>
          <w:bCs w:val="0"/>
          <w:sz w:val="24"/>
          <w:szCs w:val="24"/>
        </w:rPr>
      </w:pPr>
      <w:r>
        <w:rPr>
          <w:rFonts w:ascii="宋体" w:eastAsia="宋体" w:cs="宋体" w:hint="eastAsia"/>
          <w:b w:val="0"/>
          <w:bCs w:val="0"/>
          <w:sz w:val="24"/>
          <w:szCs w:val="24"/>
        </w:rPr>
        <w:t>清算报告出具日：</w:t>
      </w:r>
      <w:r w:rsidR="000A5252">
        <w:rPr>
          <w:rFonts w:ascii="宋体" w:eastAsia="宋体" w:cs="宋体" w:hint="eastAsia"/>
          <w:b w:val="0"/>
          <w:bCs w:val="0"/>
          <w:sz w:val="24"/>
          <w:szCs w:val="24"/>
        </w:rPr>
        <w:t>2018年8</w:t>
      </w:r>
      <w:r>
        <w:rPr>
          <w:rFonts w:ascii="宋体" w:eastAsia="宋体" w:cs="宋体" w:hint="eastAsia"/>
          <w:b w:val="0"/>
          <w:bCs w:val="0"/>
          <w:sz w:val="24"/>
          <w:szCs w:val="24"/>
        </w:rPr>
        <w:t>月</w:t>
      </w:r>
      <w:r w:rsidR="000A5252">
        <w:rPr>
          <w:rFonts w:ascii="宋体" w:eastAsia="宋体" w:cs="宋体" w:hint="eastAsia"/>
          <w:b w:val="0"/>
          <w:bCs w:val="0"/>
          <w:sz w:val="24"/>
          <w:szCs w:val="24"/>
        </w:rPr>
        <w:t>29</w:t>
      </w:r>
      <w:r>
        <w:rPr>
          <w:rFonts w:ascii="宋体" w:eastAsia="宋体" w:cs="宋体" w:hint="eastAsia"/>
          <w:b w:val="0"/>
          <w:bCs w:val="0"/>
          <w:sz w:val="24"/>
          <w:szCs w:val="24"/>
        </w:rPr>
        <w:t>日</w:t>
      </w:r>
    </w:p>
    <w:p w:rsidR="00127E02" w:rsidRDefault="009D17C5">
      <w:pPr>
        <w:pStyle w:val="21"/>
        <w:kinsoku w:val="0"/>
        <w:overflowPunct w:val="0"/>
        <w:adjustRightInd/>
        <w:spacing w:line="360" w:lineRule="auto"/>
        <w:jc w:val="center"/>
        <w:outlineLvl w:val="9"/>
        <w:rPr>
          <w:rFonts w:ascii="宋体" w:eastAsia="宋体" w:cs="宋体"/>
          <w:b w:val="0"/>
          <w:bCs w:val="0"/>
          <w:sz w:val="24"/>
          <w:szCs w:val="24"/>
        </w:rPr>
      </w:pPr>
      <w:r>
        <w:rPr>
          <w:rFonts w:ascii="宋体" w:eastAsia="宋体" w:cs="宋体" w:hint="eastAsia"/>
          <w:b w:val="0"/>
          <w:bCs w:val="0"/>
          <w:sz w:val="24"/>
          <w:szCs w:val="24"/>
        </w:rPr>
        <w:t>清算报告公告日：2018年</w:t>
      </w:r>
      <w:r w:rsidR="005448AE">
        <w:rPr>
          <w:rFonts w:ascii="宋体" w:eastAsia="宋体" w:cs="宋体" w:hint="eastAsia"/>
          <w:b w:val="0"/>
          <w:bCs w:val="0"/>
          <w:sz w:val="24"/>
          <w:szCs w:val="24"/>
        </w:rPr>
        <w:t>9</w:t>
      </w:r>
      <w:r>
        <w:rPr>
          <w:rFonts w:ascii="宋体" w:eastAsia="宋体" w:cs="宋体" w:hint="eastAsia"/>
          <w:b w:val="0"/>
          <w:bCs w:val="0"/>
          <w:sz w:val="24"/>
          <w:szCs w:val="24"/>
        </w:rPr>
        <w:t>月</w:t>
      </w:r>
      <w:r w:rsidR="005448AE">
        <w:rPr>
          <w:rFonts w:ascii="宋体" w:eastAsia="宋体" w:cs="宋体" w:hint="eastAsia"/>
          <w:b w:val="0"/>
          <w:bCs w:val="0"/>
          <w:sz w:val="24"/>
          <w:szCs w:val="24"/>
        </w:rPr>
        <w:t>27</w:t>
      </w:r>
      <w:r>
        <w:rPr>
          <w:rFonts w:ascii="宋体" w:eastAsia="宋体" w:cs="宋体" w:hint="eastAsia"/>
          <w:b w:val="0"/>
          <w:bCs w:val="0"/>
          <w:sz w:val="24"/>
          <w:szCs w:val="24"/>
        </w:rPr>
        <w:t>日</w:t>
      </w:r>
      <w:bookmarkStart w:id="0" w:name="_GoBack"/>
      <w:bookmarkEnd w:id="0"/>
    </w:p>
    <w:p w:rsidR="00127E02" w:rsidRDefault="00127E02">
      <w:pPr>
        <w:pStyle w:val="21"/>
        <w:kinsoku w:val="0"/>
        <w:overflowPunct w:val="0"/>
        <w:adjustRightInd/>
        <w:spacing w:line="360" w:lineRule="auto"/>
        <w:outlineLvl w:val="9"/>
        <w:rPr>
          <w:rFonts w:ascii="宋体" w:eastAsia="宋体" w:cs="宋体"/>
          <w:b w:val="0"/>
          <w:bCs w:val="0"/>
          <w:sz w:val="24"/>
          <w:szCs w:val="24"/>
        </w:rPr>
      </w:pPr>
    </w:p>
    <w:p w:rsidR="00127E02" w:rsidRDefault="009D17C5">
      <w:pPr>
        <w:widowControl/>
        <w:spacing w:line="360" w:lineRule="auto"/>
        <w:jc w:val="left"/>
        <w:rPr>
          <w:rFonts w:ascii="宋体" w:eastAsia="宋体" w:hAnsi="宋体" w:cs="Microsoft JhengHei"/>
          <w:b/>
          <w:bCs/>
          <w:kern w:val="0"/>
          <w:sz w:val="28"/>
          <w:szCs w:val="28"/>
        </w:rPr>
      </w:pPr>
      <w:r>
        <w:rPr>
          <w:rFonts w:ascii="宋体" w:eastAsia="宋体" w:hAnsi="宋体"/>
        </w:rPr>
        <w:br w:type="page"/>
      </w:r>
    </w:p>
    <w:p w:rsidR="00127E02" w:rsidRDefault="009D17C5">
      <w:pPr>
        <w:pStyle w:val="21"/>
        <w:numPr>
          <w:ilvl w:val="0"/>
          <w:numId w:val="1"/>
        </w:numPr>
        <w:kinsoku w:val="0"/>
        <w:overflowPunct w:val="0"/>
        <w:adjustRightInd/>
        <w:spacing w:line="360" w:lineRule="auto"/>
        <w:outlineLvl w:val="9"/>
        <w:rPr>
          <w:rFonts w:ascii="宋体" w:eastAsia="宋体" w:hAnsi="宋体"/>
        </w:rPr>
      </w:pPr>
      <w:r>
        <w:rPr>
          <w:rFonts w:ascii="宋体" w:eastAsia="宋体" w:hAnsi="宋体" w:hint="eastAsia"/>
        </w:rPr>
        <w:lastRenderedPageBreak/>
        <w:t>重要提示</w:t>
      </w:r>
    </w:p>
    <w:p w:rsidR="00127E02" w:rsidRDefault="009D17C5">
      <w:pPr>
        <w:pStyle w:val="a5"/>
        <w:kinsoku w:val="0"/>
        <w:overflowPunct w:val="0"/>
        <w:spacing w:line="360" w:lineRule="auto"/>
        <w:ind w:left="0" w:firstLineChars="200" w:firstLine="480"/>
        <w:rPr>
          <w:rFonts w:hAnsi="宋体"/>
        </w:rPr>
      </w:pPr>
      <w:r>
        <w:rPr>
          <w:rFonts w:hAnsi="宋体" w:hint="eastAsia"/>
        </w:rPr>
        <w:t>国投瑞银</w:t>
      </w:r>
      <w:r w:rsidR="000A5252">
        <w:rPr>
          <w:rFonts w:hAnsi="宋体" w:hint="eastAsia"/>
        </w:rPr>
        <w:t>顺益纯债债券</w:t>
      </w:r>
      <w:r>
        <w:rPr>
          <w:rFonts w:hAnsi="宋体" w:hint="eastAsia"/>
        </w:rPr>
        <w:t>型证券投资基金(以下简称"本基金")经中国证监会证监许可[2016]</w:t>
      </w:r>
      <w:r w:rsidR="000A5252">
        <w:rPr>
          <w:rFonts w:hAnsi="宋体" w:hint="eastAsia"/>
        </w:rPr>
        <w:t>2798</w:t>
      </w:r>
      <w:r>
        <w:rPr>
          <w:rFonts w:hAnsi="宋体" w:hint="eastAsia"/>
        </w:rPr>
        <w:t>号文注册募集，于201</w:t>
      </w:r>
      <w:r w:rsidR="000A5252">
        <w:rPr>
          <w:rFonts w:hAnsi="宋体" w:hint="eastAsia"/>
        </w:rPr>
        <w:t>7</w:t>
      </w:r>
      <w:r>
        <w:rPr>
          <w:rFonts w:hAnsi="宋体" w:hint="eastAsia"/>
        </w:rPr>
        <w:t>年</w:t>
      </w:r>
      <w:r w:rsidR="000A5252">
        <w:rPr>
          <w:rFonts w:hAnsi="宋体" w:hint="eastAsia"/>
        </w:rPr>
        <w:t>3</w:t>
      </w:r>
      <w:r>
        <w:rPr>
          <w:rFonts w:hAnsi="宋体" w:hint="eastAsia"/>
        </w:rPr>
        <w:t>月</w:t>
      </w:r>
      <w:r w:rsidR="000A5252">
        <w:rPr>
          <w:rFonts w:hAnsi="宋体" w:hint="eastAsia"/>
        </w:rPr>
        <w:t>10</w:t>
      </w:r>
      <w:r>
        <w:rPr>
          <w:rFonts w:hAnsi="宋体" w:hint="eastAsia"/>
        </w:rPr>
        <w:t>日成立并正式运作，</w:t>
      </w:r>
      <w:r>
        <w:rPr>
          <w:rFonts w:hint="eastAsia"/>
        </w:rPr>
        <w:t>基金管理人为国投瑞银基金管理有限公司（以下简称“基金管理人”），</w:t>
      </w:r>
      <w:r>
        <w:rPr>
          <w:rFonts w:hAnsi="宋体" w:hint="eastAsia"/>
        </w:rPr>
        <w:t>基金托管人为</w:t>
      </w:r>
      <w:r w:rsidR="000A5252">
        <w:rPr>
          <w:rFonts w:hAnsi="宋体" w:hint="eastAsia"/>
        </w:rPr>
        <w:t>交通</w:t>
      </w:r>
      <w:r>
        <w:rPr>
          <w:rFonts w:hAnsi="宋体" w:hint="eastAsia"/>
        </w:rPr>
        <w:t>银行股份有限公司（以下简称“基金托管人”）。</w:t>
      </w:r>
    </w:p>
    <w:p w:rsidR="00127E02" w:rsidRDefault="009D17C5">
      <w:pPr>
        <w:pStyle w:val="a5"/>
        <w:kinsoku w:val="0"/>
        <w:overflowPunct w:val="0"/>
        <w:spacing w:line="360" w:lineRule="auto"/>
        <w:ind w:left="0" w:firstLineChars="200" w:firstLine="480"/>
      </w:pPr>
      <w:r>
        <w:rPr>
          <w:rFonts w:hint="eastAsia"/>
        </w:rPr>
        <w:t>根据《中华人民共和国证券投资基金法》、《公开募集证券投资基金运作管理办法》、《国投瑞银</w:t>
      </w:r>
      <w:r w:rsidR="003F6D8C">
        <w:rPr>
          <w:rFonts w:hint="eastAsia"/>
        </w:rPr>
        <w:t>顺益纯债债券型</w:t>
      </w:r>
      <w:r>
        <w:rPr>
          <w:rFonts w:hint="eastAsia"/>
        </w:rPr>
        <w:t>证券投资基金基金合同》（以下简称“《基金合同》”）的有关规定，《基金合同》生效后，连续20个工作日出现基金份额持有人数量不满200人或者基金资产净值低于5000万元情形的，基金管理人应当在定期报告中予以披露；连续60个工作日出现前述情形的，本基金合同将终止并进行基金财产清算，且无需召开持有人大会。根据《关于国投瑞银</w:t>
      </w:r>
      <w:r w:rsidR="003F6D8C">
        <w:rPr>
          <w:rFonts w:hint="eastAsia"/>
        </w:rPr>
        <w:t>顺益纯债债券型</w:t>
      </w:r>
      <w:r>
        <w:rPr>
          <w:rFonts w:hint="eastAsia"/>
        </w:rPr>
        <w:t>证券投资基金基金财产清算及基金合同终止的公告》及《基金合同》，本基金最后运作日为2018年</w:t>
      </w:r>
      <w:r w:rsidR="000A5252">
        <w:rPr>
          <w:rFonts w:hint="eastAsia"/>
        </w:rPr>
        <w:t>8</w:t>
      </w:r>
      <w:r>
        <w:rPr>
          <w:rFonts w:hint="eastAsia"/>
        </w:rPr>
        <w:t>月</w:t>
      </w:r>
      <w:r w:rsidR="000A5252">
        <w:rPr>
          <w:rFonts w:hint="eastAsia"/>
        </w:rPr>
        <w:t>15</w:t>
      </w:r>
      <w:r>
        <w:rPr>
          <w:rFonts w:hint="eastAsia"/>
        </w:rPr>
        <w:t>日，于2018年</w:t>
      </w:r>
      <w:r w:rsidR="000A5252">
        <w:rPr>
          <w:rFonts w:hint="eastAsia"/>
        </w:rPr>
        <w:t>8</w:t>
      </w:r>
      <w:r>
        <w:rPr>
          <w:rFonts w:hint="eastAsia"/>
        </w:rPr>
        <w:t>月</w:t>
      </w:r>
      <w:r w:rsidR="000A5252">
        <w:rPr>
          <w:rFonts w:hint="eastAsia"/>
        </w:rPr>
        <w:t>16</w:t>
      </w:r>
      <w:r>
        <w:rPr>
          <w:rFonts w:hint="eastAsia"/>
        </w:rPr>
        <w:t>日起进入清算期。</w:t>
      </w:r>
    </w:p>
    <w:p w:rsidR="00DE74F3" w:rsidRDefault="009D17C5" w:rsidP="009212A7">
      <w:pPr>
        <w:pStyle w:val="21"/>
        <w:kinsoku w:val="0"/>
        <w:overflowPunct w:val="0"/>
        <w:spacing w:line="360" w:lineRule="auto"/>
        <w:ind w:left="0" w:right="75" w:firstLineChars="200" w:firstLine="480"/>
        <w:outlineLvl w:val="9"/>
        <w:rPr>
          <w:rFonts w:ascii="宋体" w:eastAsia="宋体" w:hAnsi="宋体" w:cs="宋体"/>
          <w:b w:val="0"/>
          <w:bCs w:val="0"/>
          <w:sz w:val="24"/>
          <w:szCs w:val="24"/>
        </w:rPr>
      </w:pPr>
      <w:r w:rsidRPr="009212A7">
        <w:rPr>
          <w:rFonts w:ascii="宋体" w:eastAsia="宋体" w:hAnsi="宋体" w:cs="宋体" w:hint="eastAsia"/>
          <w:b w:val="0"/>
          <w:bCs w:val="0"/>
          <w:sz w:val="24"/>
          <w:szCs w:val="24"/>
        </w:rPr>
        <w:t>基金管理人、基金托管人、安永华明会计师事务所（特殊普通合伙）和上海源泰律师事务所于2018年</w:t>
      </w:r>
      <w:r w:rsidR="009D63D7">
        <w:rPr>
          <w:rFonts w:ascii="宋体" w:eastAsia="宋体" w:hAnsi="宋体" w:cs="宋体" w:hint="eastAsia"/>
          <w:b w:val="0"/>
          <w:bCs w:val="0"/>
          <w:sz w:val="24"/>
          <w:szCs w:val="24"/>
        </w:rPr>
        <w:t>8</w:t>
      </w:r>
      <w:r w:rsidRPr="009212A7">
        <w:rPr>
          <w:rFonts w:ascii="宋体" w:eastAsia="宋体" w:hAnsi="宋体" w:cs="宋体" w:hint="eastAsia"/>
          <w:b w:val="0"/>
          <w:bCs w:val="0"/>
          <w:sz w:val="24"/>
          <w:szCs w:val="24"/>
        </w:rPr>
        <w:t>月</w:t>
      </w:r>
      <w:r w:rsidR="009D63D7">
        <w:rPr>
          <w:rFonts w:ascii="宋体" w:eastAsia="宋体" w:hAnsi="宋体" w:cs="宋体" w:hint="eastAsia"/>
          <w:b w:val="0"/>
          <w:bCs w:val="0"/>
          <w:sz w:val="24"/>
          <w:szCs w:val="24"/>
        </w:rPr>
        <w:t>16</w:t>
      </w:r>
      <w:r w:rsidRPr="009212A7">
        <w:rPr>
          <w:rFonts w:ascii="宋体" w:eastAsia="宋体" w:hAnsi="宋体" w:cs="宋体" w:hint="eastAsia"/>
          <w:b w:val="0"/>
          <w:bCs w:val="0"/>
          <w:sz w:val="24"/>
          <w:szCs w:val="24"/>
        </w:rPr>
        <w:t xml:space="preserve">日组成基金财产清算小组履行基金财产清算程序，并由安永华明会计师事务所（特殊普通合伙）对本基金进行清算审计，上海源泰律师事务所对清算报告出具法律意见。 </w:t>
      </w:r>
      <w:bookmarkStart w:id="1" w:name="bookmark3"/>
      <w:bookmarkStart w:id="2" w:name="bookmark2"/>
      <w:bookmarkEnd w:id="1"/>
      <w:bookmarkEnd w:id="2"/>
    </w:p>
    <w:p w:rsidR="009212A7" w:rsidRPr="009212A7" w:rsidRDefault="009212A7" w:rsidP="009212A7">
      <w:pPr>
        <w:pStyle w:val="21"/>
        <w:kinsoku w:val="0"/>
        <w:overflowPunct w:val="0"/>
        <w:spacing w:line="360" w:lineRule="auto"/>
        <w:ind w:left="0" w:right="75" w:firstLineChars="200" w:firstLine="480"/>
        <w:outlineLvl w:val="9"/>
        <w:rPr>
          <w:rFonts w:ascii="宋体" w:eastAsia="宋体" w:hAnsi="宋体" w:cs="宋体"/>
          <w:b w:val="0"/>
          <w:bCs w:val="0"/>
          <w:sz w:val="24"/>
          <w:szCs w:val="24"/>
        </w:rPr>
      </w:pPr>
    </w:p>
    <w:p w:rsidR="00127E02" w:rsidRDefault="009D17C5">
      <w:pPr>
        <w:pStyle w:val="21"/>
        <w:numPr>
          <w:ilvl w:val="0"/>
          <w:numId w:val="1"/>
        </w:numPr>
        <w:kinsoku w:val="0"/>
        <w:overflowPunct w:val="0"/>
        <w:spacing w:line="360" w:lineRule="auto"/>
        <w:ind w:right="75"/>
        <w:outlineLvl w:val="9"/>
        <w:rPr>
          <w:rFonts w:ascii="宋体" w:eastAsia="宋体" w:hAnsi="宋体"/>
          <w:b w:val="0"/>
          <w:bCs w:val="0"/>
        </w:rPr>
      </w:pPr>
      <w:r>
        <w:rPr>
          <w:rFonts w:ascii="宋体" w:eastAsia="宋体" w:hAnsi="宋体" w:hint="eastAsia"/>
        </w:rPr>
        <w:t>基金概况</w:t>
      </w:r>
    </w:p>
    <w:p w:rsidR="00127E02" w:rsidRPr="009D63D7" w:rsidRDefault="00127E02">
      <w:pPr>
        <w:pStyle w:val="a5"/>
        <w:kinsoku w:val="0"/>
        <w:overflowPunct w:val="0"/>
        <w:adjustRightInd/>
        <w:spacing w:line="360" w:lineRule="auto"/>
        <w:ind w:left="0" w:firstLine="420"/>
        <w:jc w:val="both"/>
        <w:rPr>
          <w:rFonts w:hAnsi="宋体"/>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2"/>
        <w:gridCol w:w="5595"/>
      </w:tblGrid>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spacing w:line="360" w:lineRule="auto"/>
              <w:ind w:left="0"/>
              <w:jc w:val="both"/>
            </w:pPr>
            <w:r w:rsidRPr="00E43068">
              <w:rPr>
                <w:rFonts w:hint="eastAsia"/>
              </w:rPr>
              <w:t>基金名称</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9D63D7">
            <w:pPr>
              <w:pStyle w:val="a5"/>
              <w:kinsoku w:val="0"/>
              <w:overflowPunct w:val="0"/>
              <w:adjustRightInd/>
              <w:spacing w:line="360" w:lineRule="auto"/>
              <w:ind w:left="0"/>
              <w:jc w:val="both"/>
            </w:pPr>
            <w:r>
              <w:rPr>
                <w:rFonts w:hint="eastAsia"/>
              </w:rPr>
              <w:t>国投瑞银</w:t>
            </w:r>
            <w:r w:rsidR="009D63D7">
              <w:rPr>
                <w:rFonts w:hint="eastAsia"/>
              </w:rPr>
              <w:t>顺益纯债债券型</w:t>
            </w:r>
            <w:r>
              <w:rPr>
                <w:rFonts w:hint="eastAsia"/>
              </w:rPr>
              <w:t>证券投资基金</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spacing w:line="360" w:lineRule="auto"/>
              <w:ind w:left="0"/>
              <w:jc w:val="both"/>
            </w:pPr>
            <w:r w:rsidRPr="00E43068">
              <w:rPr>
                <w:rFonts w:hint="eastAsia"/>
              </w:rPr>
              <w:t>基金简称</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E43068" w:rsidRDefault="009D63D7" w:rsidP="00E43068">
            <w:pPr>
              <w:pStyle w:val="a5"/>
              <w:kinsoku w:val="0"/>
              <w:overflowPunct w:val="0"/>
              <w:adjustRightInd/>
              <w:spacing w:line="360" w:lineRule="auto"/>
              <w:ind w:left="0"/>
              <w:jc w:val="both"/>
            </w:pPr>
            <w:r w:rsidRPr="00E74406">
              <w:rPr>
                <w:rFonts w:eastAsiaTheme="minorEastAsia"/>
                <w:color w:val="000000" w:themeColor="text1"/>
              </w:rPr>
              <w:t>国投瑞银顺益纯债债券</w:t>
            </w:r>
          </w:p>
        </w:tc>
      </w:tr>
      <w:tr w:rsidR="009D63D7"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9D63D7" w:rsidRDefault="0002169B" w:rsidP="00E43068">
            <w:pPr>
              <w:pStyle w:val="a5"/>
              <w:kinsoku w:val="0"/>
              <w:overflowPunct w:val="0"/>
              <w:adjustRightInd/>
              <w:spacing w:line="360" w:lineRule="auto"/>
              <w:ind w:left="0"/>
              <w:jc w:val="both"/>
            </w:pPr>
            <w:r>
              <w:rPr>
                <w:rFonts w:hint="eastAsia"/>
              </w:rPr>
              <w:t>基金</w:t>
            </w:r>
            <w:r w:rsidR="009D63D7" w:rsidRPr="00E43068">
              <w:rPr>
                <w:rFonts w:hint="eastAsia"/>
              </w:rPr>
              <w:t>代码</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9D63D7" w:rsidRPr="009D63D7" w:rsidRDefault="009D63D7" w:rsidP="005019CF">
            <w:pPr>
              <w:rPr>
                <w:rFonts w:ascii="宋体" w:eastAsia="宋体" w:hAnsi="Times New Roman" w:cs="宋体"/>
                <w:kern w:val="0"/>
                <w:sz w:val="24"/>
                <w:szCs w:val="24"/>
              </w:rPr>
            </w:pPr>
            <w:r w:rsidRPr="009D63D7">
              <w:rPr>
                <w:rFonts w:ascii="宋体" w:eastAsia="宋体" w:hAnsi="Times New Roman" w:cs="宋体"/>
                <w:kern w:val="0"/>
                <w:sz w:val="24"/>
                <w:szCs w:val="24"/>
              </w:rPr>
              <w:t>003982</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spacing w:line="360" w:lineRule="auto"/>
              <w:ind w:left="0"/>
              <w:jc w:val="both"/>
            </w:pPr>
            <w:r w:rsidRPr="00E43068">
              <w:rPr>
                <w:rFonts w:hint="eastAsia"/>
              </w:rPr>
              <w:t>基金运作方式</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spacing w:line="360" w:lineRule="auto"/>
              <w:ind w:left="0"/>
              <w:jc w:val="both"/>
            </w:pPr>
            <w:r>
              <w:rPr>
                <w:rFonts w:hint="eastAsia"/>
              </w:rPr>
              <w:t>契约型开放式</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spacing w:line="360" w:lineRule="auto"/>
              <w:ind w:left="0"/>
              <w:jc w:val="both"/>
            </w:pPr>
            <w:r w:rsidRPr="00E43068">
              <w:rPr>
                <w:rFonts w:hint="eastAsia"/>
              </w:rPr>
              <w:t>基金合同生效日</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E43068" w:rsidRDefault="009D63D7" w:rsidP="00E43068">
            <w:pPr>
              <w:pStyle w:val="a5"/>
              <w:kinsoku w:val="0"/>
              <w:overflowPunct w:val="0"/>
              <w:adjustRightInd/>
              <w:spacing w:line="360" w:lineRule="auto"/>
              <w:ind w:left="0"/>
              <w:jc w:val="both"/>
            </w:pPr>
            <w:r w:rsidRPr="00E74406">
              <w:rPr>
                <w:rFonts w:eastAsiaTheme="minorEastAsia"/>
                <w:color w:val="000000" w:themeColor="text1"/>
              </w:rPr>
              <w:t>2017年3月10日</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9D63D7">
            <w:pPr>
              <w:pStyle w:val="a5"/>
              <w:kinsoku w:val="0"/>
              <w:overflowPunct w:val="0"/>
              <w:adjustRightInd/>
              <w:spacing w:line="360" w:lineRule="auto"/>
              <w:ind w:left="0"/>
              <w:jc w:val="both"/>
            </w:pPr>
            <w:r w:rsidRPr="00E43068">
              <w:rPr>
                <w:rFonts w:hint="eastAsia"/>
              </w:rPr>
              <w:t>最后运作日（201</w:t>
            </w:r>
            <w:r>
              <w:rPr>
                <w:rFonts w:hint="eastAsia"/>
              </w:rPr>
              <w:t>8</w:t>
            </w:r>
            <w:r w:rsidRPr="00E43068">
              <w:rPr>
                <w:rFonts w:hint="eastAsia"/>
              </w:rPr>
              <w:t>年</w:t>
            </w:r>
            <w:r w:rsidR="009D63D7">
              <w:rPr>
                <w:rFonts w:hint="eastAsia"/>
              </w:rPr>
              <w:t>8</w:t>
            </w:r>
            <w:r w:rsidRPr="00E43068">
              <w:rPr>
                <w:rFonts w:hint="eastAsia"/>
              </w:rPr>
              <w:t>月</w:t>
            </w:r>
            <w:r w:rsidR="009D63D7">
              <w:rPr>
                <w:rFonts w:hint="eastAsia"/>
              </w:rPr>
              <w:t>15</w:t>
            </w:r>
            <w:r w:rsidRPr="00E43068">
              <w:rPr>
                <w:rFonts w:hint="eastAsia"/>
              </w:rPr>
              <w:t>日）基金份额总额</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E43068" w:rsidRDefault="009D63D7" w:rsidP="00E43068">
            <w:pPr>
              <w:pStyle w:val="a5"/>
              <w:kinsoku w:val="0"/>
              <w:overflowPunct w:val="0"/>
              <w:adjustRightInd/>
              <w:spacing w:line="360" w:lineRule="auto"/>
              <w:ind w:left="0"/>
              <w:jc w:val="both"/>
            </w:pPr>
            <w:r>
              <w:rPr>
                <w:rFonts w:hint="eastAsia"/>
              </w:rPr>
              <w:t>8,092,575.67</w:t>
            </w:r>
            <w:r w:rsidR="00E43068">
              <w:rPr>
                <w:rFonts w:hint="eastAsia"/>
              </w:rPr>
              <w:t>份</w:t>
            </w:r>
          </w:p>
        </w:tc>
      </w:tr>
      <w:tr w:rsidR="00E43068" w:rsidTr="00E43068">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Pr="00E43068" w:rsidRDefault="00E43068" w:rsidP="00E43068">
            <w:pPr>
              <w:pStyle w:val="a5"/>
              <w:kinsoku w:val="0"/>
              <w:overflowPunct w:val="0"/>
              <w:adjustRightInd/>
              <w:spacing w:line="360" w:lineRule="auto"/>
              <w:ind w:left="0"/>
              <w:jc w:val="both"/>
            </w:pPr>
            <w:r>
              <w:rPr>
                <w:rFonts w:hint="eastAsia"/>
              </w:rPr>
              <w:t>投资目标</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E43068" w:rsidRDefault="009D63D7" w:rsidP="00E43068">
            <w:pPr>
              <w:pStyle w:val="a5"/>
              <w:kinsoku w:val="0"/>
              <w:overflowPunct w:val="0"/>
              <w:adjustRightInd/>
              <w:spacing w:line="360" w:lineRule="auto"/>
              <w:ind w:left="0"/>
              <w:jc w:val="both"/>
            </w:pPr>
            <w:r w:rsidRPr="00E74406">
              <w:rPr>
                <w:rFonts w:eastAsiaTheme="minorEastAsia"/>
                <w:color w:val="000000" w:themeColor="text1"/>
              </w:rPr>
              <w:t>本基金在严格控制风险的基础上，通过积极主动的投资管理，力争为投资人实现超越业绩比较基准的</w:t>
            </w:r>
            <w:r w:rsidRPr="00E74406">
              <w:rPr>
                <w:rFonts w:eastAsiaTheme="minorEastAsia"/>
                <w:color w:val="000000" w:themeColor="text1"/>
              </w:rPr>
              <w:lastRenderedPageBreak/>
              <w:t>投资业绩。</w:t>
            </w:r>
          </w:p>
        </w:tc>
      </w:tr>
      <w:tr w:rsidR="009D63D7" w:rsidTr="00045919">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9D63D7" w:rsidRPr="00E43068" w:rsidRDefault="009D63D7" w:rsidP="00E43068">
            <w:pPr>
              <w:pStyle w:val="a5"/>
              <w:kinsoku w:val="0"/>
              <w:overflowPunct w:val="0"/>
              <w:adjustRightInd/>
              <w:spacing w:line="360" w:lineRule="auto"/>
              <w:ind w:left="0"/>
              <w:jc w:val="both"/>
            </w:pPr>
            <w:r>
              <w:rPr>
                <w:rFonts w:hint="eastAsia"/>
              </w:rPr>
              <w:lastRenderedPageBreak/>
              <w:t>投资策略</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本基金采取</w:t>
            </w:r>
            <w:r>
              <w:rPr>
                <w:color w:val="000000" w:themeColor="text1"/>
                <w:kern w:val="0"/>
                <w:sz w:val="24"/>
                <w:szCs w:val="24"/>
              </w:rPr>
              <w:t>“</w:t>
            </w:r>
            <w:r>
              <w:rPr>
                <w:color w:val="000000" w:themeColor="text1"/>
                <w:kern w:val="0"/>
                <w:sz w:val="24"/>
                <w:szCs w:val="24"/>
              </w:rPr>
              <w:t>自上而下</w:t>
            </w:r>
            <w:r>
              <w:rPr>
                <w:color w:val="000000" w:themeColor="text1"/>
                <w:kern w:val="0"/>
                <w:sz w:val="24"/>
                <w:szCs w:val="24"/>
              </w:rPr>
              <w:t>”</w:t>
            </w:r>
            <w:r>
              <w:rPr>
                <w:color w:val="000000" w:themeColor="text1"/>
                <w:kern w:val="0"/>
                <w:sz w:val="24"/>
                <w:szCs w:val="24"/>
              </w:rPr>
              <w:t>的债券分析方法，确定债券投资组合，并管理组合风险。</w:t>
            </w:r>
          </w:p>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（一）基本价值评估</w:t>
            </w:r>
          </w:p>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本基金基于均衡收益率曲线，计算不同资产类别、不同剩余期限债券品种的预期超额回报，并对预期超额回报进行排序，得到投资评级。在此基础上，卖出内部收益率低于均衡收益率的债券，买入内部收益率高于均衡收益率的债券。</w:t>
            </w:r>
          </w:p>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（二）债券投资策略</w:t>
            </w:r>
          </w:p>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债券投资策略主要包括：久期策略、收益率曲线策略、类别选择策略和个券选择策略。在不同的时期，采用以上策略对组合收益和风险的贡献不尽相同，具体采用何种策略取决于债券组合允许的风险程度。</w:t>
            </w:r>
          </w:p>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（三）中小企业私募债券投资策略</w:t>
            </w:r>
          </w:p>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本基金将在严格控制信用风险的基础上投资于中小企业私募债券，并通过组合管理、分散化投资、合理谨慎地评估、预测和控制相关风险，实现投资收益的最大化。</w:t>
            </w:r>
          </w:p>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（四）资产支持证券投资策略</w:t>
            </w:r>
          </w:p>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资产支持证券的定价受市场利率、发行条款、标的资产的构成及质量、提前偿还率等多种因素影响。本基金将在基本面分析和债券市场宏观分析的基础上，以数量化模型确定其内在价值。</w:t>
            </w:r>
          </w:p>
          <w:p w:rsidR="009D63D7" w:rsidRDefault="009D63D7" w:rsidP="00531CFC">
            <w:pPr>
              <w:adjustRightInd w:val="0"/>
              <w:spacing w:before="29" w:line="360" w:lineRule="auto"/>
              <w:ind w:left="17"/>
              <w:rPr>
                <w:color w:val="000000" w:themeColor="text1"/>
                <w:sz w:val="24"/>
                <w:szCs w:val="24"/>
              </w:rPr>
            </w:pPr>
            <w:r>
              <w:rPr>
                <w:color w:val="000000" w:themeColor="text1"/>
                <w:kern w:val="0"/>
                <w:sz w:val="24"/>
                <w:szCs w:val="24"/>
              </w:rPr>
              <w:t>（五）组合构建及调整</w:t>
            </w:r>
          </w:p>
          <w:p w:rsidR="009D63D7" w:rsidRPr="00E74406" w:rsidRDefault="009D63D7" w:rsidP="00531CFC">
            <w:pPr>
              <w:adjustRightInd w:val="0"/>
              <w:spacing w:before="29" w:line="360" w:lineRule="auto"/>
              <w:ind w:left="17"/>
              <w:rPr>
                <w:color w:val="000000" w:themeColor="text1"/>
                <w:sz w:val="24"/>
                <w:szCs w:val="24"/>
              </w:rPr>
            </w:pPr>
            <w:r w:rsidRPr="00E74406">
              <w:rPr>
                <w:color w:val="000000" w:themeColor="text1"/>
                <w:kern w:val="0"/>
                <w:sz w:val="24"/>
                <w:szCs w:val="24"/>
              </w:rPr>
              <w:t>管理人结合债券研究管理团队的债券研究和投资管理经验，评估债券价格与内在价值偏离幅度是否可靠，据此构建债券投资组合。</w:t>
            </w:r>
          </w:p>
        </w:tc>
      </w:tr>
      <w:tr w:rsidR="009D63D7" w:rsidTr="00045919">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9D63D7" w:rsidRPr="00E43068" w:rsidRDefault="009D63D7" w:rsidP="00E43068">
            <w:pPr>
              <w:pStyle w:val="a5"/>
              <w:kinsoku w:val="0"/>
              <w:overflowPunct w:val="0"/>
              <w:adjustRightInd/>
              <w:spacing w:line="360" w:lineRule="auto"/>
              <w:ind w:left="0"/>
              <w:jc w:val="both"/>
            </w:pPr>
            <w:r>
              <w:rPr>
                <w:rFonts w:hint="eastAsia"/>
              </w:rPr>
              <w:t>业绩比较基准</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9D63D7" w:rsidRPr="00E74406" w:rsidRDefault="009D63D7" w:rsidP="00531CFC">
            <w:pPr>
              <w:adjustRightInd w:val="0"/>
              <w:spacing w:before="29" w:line="360" w:lineRule="auto"/>
              <w:ind w:left="17"/>
              <w:rPr>
                <w:color w:val="000000" w:themeColor="text1"/>
                <w:sz w:val="24"/>
                <w:szCs w:val="24"/>
              </w:rPr>
            </w:pPr>
            <w:r w:rsidRPr="00E74406">
              <w:rPr>
                <w:color w:val="000000" w:themeColor="text1"/>
                <w:kern w:val="0"/>
                <w:sz w:val="24"/>
                <w:szCs w:val="24"/>
              </w:rPr>
              <w:t>中债综合指数收益率</w:t>
            </w:r>
          </w:p>
        </w:tc>
      </w:tr>
      <w:tr w:rsidR="009D63D7" w:rsidTr="00045919">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9D63D7" w:rsidRPr="00E43068" w:rsidRDefault="009D63D7" w:rsidP="00E43068">
            <w:pPr>
              <w:pStyle w:val="a5"/>
              <w:kinsoku w:val="0"/>
              <w:overflowPunct w:val="0"/>
              <w:adjustRightInd/>
              <w:spacing w:line="360" w:lineRule="auto"/>
              <w:ind w:left="0"/>
              <w:jc w:val="both"/>
            </w:pPr>
            <w:r>
              <w:rPr>
                <w:rFonts w:hint="eastAsia"/>
              </w:rPr>
              <w:t>风险收益特征</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9D63D7" w:rsidRPr="00E74406" w:rsidRDefault="009D63D7" w:rsidP="00531CFC">
            <w:pPr>
              <w:adjustRightInd w:val="0"/>
              <w:spacing w:before="29" w:line="360" w:lineRule="auto"/>
              <w:ind w:left="17"/>
              <w:rPr>
                <w:color w:val="000000" w:themeColor="text1"/>
                <w:sz w:val="24"/>
                <w:szCs w:val="24"/>
              </w:rPr>
            </w:pPr>
            <w:r w:rsidRPr="00E74406">
              <w:rPr>
                <w:color w:val="000000" w:themeColor="text1"/>
                <w:kern w:val="0"/>
                <w:sz w:val="24"/>
                <w:szCs w:val="24"/>
              </w:rPr>
              <w:t>本基金为债券型基金，属证券投资基金中的较低风险品种，风险与预期收益高于货币市场基金，低于混合型基金和股票型基金。</w:t>
            </w:r>
          </w:p>
        </w:tc>
      </w:tr>
      <w:tr w:rsidR="009D63D7" w:rsidTr="00045919">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9D63D7" w:rsidRPr="00E43068" w:rsidRDefault="009D63D7" w:rsidP="00E43068">
            <w:pPr>
              <w:pStyle w:val="a5"/>
              <w:kinsoku w:val="0"/>
              <w:overflowPunct w:val="0"/>
              <w:adjustRightInd/>
              <w:spacing w:line="360" w:lineRule="auto"/>
              <w:ind w:left="0"/>
              <w:jc w:val="both"/>
            </w:pPr>
            <w:r>
              <w:rPr>
                <w:rFonts w:hint="eastAsia"/>
              </w:rPr>
              <w:t>基金管理人</w:t>
            </w:r>
          </w:p>
        </w:tc>
        <w:tc>
          <w:tcPr>
            <w:tcW w:w="5595" w:type="dxa"/>
            <w:tcBorders>
              <w:top w:val="single" w:sz="4" w:space="0" w:color="auto"/>
              <w:left w:val="single" w:sz="4" w:space="0" w:color="auto"/>
              <w:bottom w:val="single" w:sz="4" w:space="0" w:color="auto"/>
              <w:right w:val="single" w:sz="4" w:space="0" w:color="auto"/>
            </w:tcBorders>
            <w:shd w:val="clear" w:color="auto" w:fill="auto"/>
            <w:vAlign w:val="center"/>
          </w:tcPr>
          <w:p w:rsidR="009D63D7" w:rsidRPr="00E74406" w:rsidRDefault="009D63D7" w:rsidP="00531CFC">
            <w:pPr>
              <w:adjustRightInd w:val="0"/>
              <w:spacing w:before="29" w:line="360" w:lineRule="auto"/>
              <w:ind w:left="17"/>
              <w:rPr>
                <w:color w:val="000000" w:themeColor="text1"/>
                <w:sz w:val="24"/>
                <w:szCs w:val="24"/>
              </w:rPr>
            </w:pPr>
            <w:r w:rsidRPr="00E74406">
              <w:rPr>
                <w:color w:val="000000" w:themeColor="text1"/>
                <w:kern w:val="0"/>
                <w:sz w:val="24"/>
                <w:szCs w:val="24"/>
              </w:rPr>
              <w:t>国投瑞银基金管理有限公司</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Pr="00E43068" w:rsidRDefault="00E43068" w:rsidP="00E43068">
            <w:pPr>
              <w:pStyle w:val="a5"/>
              <w:kinsoku w:val="0"/>
              <w:overflowPunct w:val="0"/>
              <w:adjustRightInd/>
              <w:spacing w:line="360" w:lineRule="auto"/>
              <w:ind w:left="0"/>
              <w:jc w:val="both"/>
            </w:pPr>
            <w:r>
              <w:rPr>
                <w:rFonts w:hint="eastAsia"/>
              </w:rPr>
              <w:t>基金托管人</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E43068" w:rsidRDefault="009D63D7" w:rsidP="00E43068">
            <w:pPr>
              <w:pStyle w:val="a5"/>
              <w:kinsoku w:val="0"/>
              <w:overflowPunct w:val="0"/>
              <w:adjustRightInd/>
              <w:spacing w:line="360" w:lineRule="auto"/>
              <w:ind w:left="0"/>
              <w:jc w:val="both"/>
            </w:pPr>
            <w:r w:rsidRPr="00E74406">
              <w:rPr>
                <w:rFonts w:eastAsiaTheme="minorEastAsia"/>
                <w:color w:val="000000" w:themeColor="text1"/>
              </w:rPr>
              <w:t>交通银行股份有限公司</w:t>
            </w:r>
          </w:p>
        </w:tc>
      </w:tr>
    </w:tbl>
    <w:p w:rsidR="00127E02" w:rsidRDefault="00127E02" w:rsidP="00894A2B">
      <w:pPr>
        <w:spacing w:line="360" w:lineRule="auto"/>
        <w:jc w:val="left"/>
        <w:rPr>
          <w:rFonts w:ascii="宋体" w:eastAsia="宋体" w:hAnsi="宋体"/>
          <w:color w:val="2C2C2C"/>
          <w:sz w:val="24"/>
          <w:szCs w:val="24"/>
          <w:highlight w:val="yellow"/>
        </w:rPr>
      </w:pPr>
    </w:p>
    <w:p w:rsidR="00E43068" w:rsidRPr="009F447A" w:rsidRDefault="00E43068" w:rsidP="0092659A">
      <w:pPr>
        <w:pStyle w:val="21"/>
        <w:numPr>
          <w:ilvl w:val="0"/>
          <w:numId w:val="1"/>
        </w:numPr>
        <w:kinsoku w:val="0"/>
        <w:overflowPunct w:val="0"/>
        <w:spacing w:line="360" w:lineRule="auto"/>
        <w:ind w:right="75"/>
        <w:outlineLvl w:val="9"/>
        <w:rPr>
          <w:rFonts w:ascii="宋体" w:eastAsia="宋体" w:hAnsi="宋体"/>
        </w:rPr>
      </w:pPr>
      <w:r w:rsidRPr="009F447A">
        <w:rPr>
          <w:rFonts w:ascii="宋体" w:eastAsia="宋体" w:hAnsi="宋体" w:hint="eastAsia"/>
        </w:rPr>
        <w:t>基金运作情况</w:t>
      </w:r>
    </w:p>
    <w:p w:rsidR="00E43068" w:rsidRPr="00E43068" w:rsidRDefault="00E43068" w:rsidP="00E43068">
      <w:pPr>
        <w:spacing w:line="360" w:lineRule="auto"/>
        <w:ind w:firstLineChars="200" w:firstLine="480"/>
        <w:jc w:val="left"/>
        <w:rPr>
          <w:rFonts w:ascii="宋体" w:eastAsia="宋体" w:hAnsi="宋体"/>
          <w:color w:val="2C2C2C"/>
          <w:sz w:val="24"/>
          <w:szCs w:val="24"/>
        </w:rPr>
      </w:pPr>
      <w:r w:rsidRPr="00E43068">
        <w:rPr>
          <w:rFonts w:ascii="宋体" w:eastAsia="宋体" w:hAnsi="宋体" w:hint="eastAsia"/>
          <w:color w:val="2C2C2C"/>
          <w:sz w:val="24"/>
          <w:szCs w:val="24"/>
        </w:rPr>
        <w:t>本基金经中国证监会证监许可</w:t>
      </w:r>
      <w:r w:rsidR="00894A2B" w:rsidRPr="00894A2B">
        <w:rPr>
          <w:rFonts w:ascii="宋体" w:eastAsia="宋体" w:hAnsi="宋体" w:hint="eastAsia"/>
          <w:color w:val="2C2C2C"/>
          <w:sz w:val="24"/>
          <w:szCs w:val="24"/>
        </w:rPr>
        <w:t>[2016]2798</w:t>
      </w:r>
      <w:r w:rsidRPr="00E43068">
        <w:rPr>
          <w:rFonts w:ascii="宋体" w:eastAsia="宋体" w:hAnsi="宋体" w:hint="eastAsia"/>
          <w:color w:val="2C2C2C"/>
          <w:sz w:val="24"/>
          <w:szCs w:val="24"/>
        </w:rPr>
        <w:t>号文注册募集，由基金管理人依照法律法规、基金合同等规定于</w:t>
      </w:r>
      <w:r w:rsidR="00894A2B">
        <w:rPr>
          <w:rFonts w:ascii="宋体" w:eastAsia="宋体" w:hAnsi="宋体" w:hint="eastAsia"/>
          <w:color w:val="2C2C2C"/>
          <w:sz w:val="24"/>
          <w:szCs w:val="24"/>
        </w:rPr>
        <w:t>2017年3月6</w:t>
      </w:r>
      <w:r w:rsidRPr="00E43068">
        <w:rPr>
          <w:rFonts w:ascii="宋体" w:eastAsia="宋体" w:hAnsi="宋体" w:hint="eastAsia"/>
          <w:color w:val="2C2C2C"/>
          <w:sz w:val="24"/>
          <w:szCs w:val="24"/>
        </w:rPr>
        <w:t>日</w:t>
      </w:r>
      <w:r>
        <w:rPr>
          <w:rFonts w:ascii="宋体" w:eastAsia="宋体" w:hAnsi="宋体" w:hint="eastAsia"/>
          <w:color w:val="2C2C2C"/>
          <w:sz w:val="24"/>
          <w:szCs w:val="24"/>
        </w:rPr>
        <w:t>至</w:t>
      </w:r>
      <w:r w:rsidR="00894A2B">
        <w:rPr>
          <w:rFonts w:ascii="宋体" w:eastAsia="宋体" w:hAnsi="宋体" w:hint="eastAsia"/>
          <w:color w:val="2C2C2C"/>
          <w:sz w:val="24"/>
          <w:szCs w:val="24"/>
        </w:rPr>
        <w:t>2017年</w:t>
      </w:r>
      <w:r w:rsidR="003F6D8C">
        <w:rPr>
          <w:rFonts w:ascii="宋体" w:eastAsia="宋体" w:hAnsi="宋体" w:hint="eastAsia"/>
          <w:color w:val="2C2C2C"/>
          <w:sz w:val="24"/>
          <w:szCs w:val="24"/>
        </w:rPr>
        <w:t>3</w:t>
      </w:r>
      <w:r w:rsidR="00894A2B">
        <w:rPr>
          <w:rFonts w:ascii="宋体" w:eastAsia="宋体" w:hAnsi="宋体" w:hint="eastAsia"/>
          <w:color w:val="2C2C2C"/>
          <w:sz w:val="24"/>
          <w:szCs w:val="24"/>
        </w:rPr>
        <w:t>月</w:t>
      </w:r>
      <w:r w:rsidR="003F6D8C">
        <w:rPr>
          <w:rFonts w:ascii="宋体" w:eastAsia="宋体" w:hAnsi="宋体" w:hint="eastAsia"/>
          <w:color w:val="2C2C2C"/>
          <w:sz w:val="24"/>
          <w:szCs w:val="24"/>
        </w:rPr>
        <w:t>8</w:t>
      </w:r>
      <w:r>
        <w:rPr>
          <w:rFonts w:ascii="宋体" w:eastAsia="宋体" w:hAnsi="宋体" w:hint="eastAsia"/>
          <w:color w:val="2C2C2C"/>
          <w:sz w:val="24"/>
          <w:szCs w:val="24"/>
        </w:rPr>
        <w:t>日</w:t>
      </w:r>
      <w:r w:rsidRPr="00E43068">
        <w:rPr>
          <w:rFonts w:ascii="宋体" w:eastAsia="宋体" w:hAnsi="宋体" w:hint="eastAsia"/>
          <w:color w:val="2C2C2C"/>
          <w:sz w:val="24"/>
          <w:szCs w:val="24"/>
        </w:rPr>
        <w:t>向社会公开募集。本基金基金合同于</w:t>
      </w:r>
      <w:r w:rsidR="00894A2B">
        <w:rPr>
          <w:rFonts w:ascii="宋体" w:eastAsia="宋体" w:hAnsi="宋体" w:hint="eastAsia"/>
          <w:color w:val="2C2C2C"/>
          <w:sz w:val="24"/>
          <w:szCs w:val="24"/>
        </w:rPr>
        <w:t>2017</w:t>
      </w:r>
      <w:r w:rsidRPr="00E43068">
        <w:rPr>
          <w:rFonts w:ascii="宋体" w:eastAsia="宋体" w:hAnsi="宋体" w:hint="eastAsia"/>
          <w:color w:val="2C2C2C"/>
          <w:sz w:val="24"/>
          <w:szCs w:val="24"/>
        </w:rPr>
        <w:t>年</w:t>
      </w:r>
      <w:r w:rsidR="00894A2B">
        <w:rPr>
          <w:rFonts w:ascii="宋体" w:eastAsia="宋体" w:hAnsi="宋体" w:hint="eastAsia"/>
          <w:color w:val="2C2C2C"/>
          <w:sz w:val="24"/>
          <w:szCs w:val="24"/>
        </w:rPr>
        <w:t>3</w:t>
      </w:r>
      <w:r w:rsidRPr="00E43068">
        <w:rPr>
          <w:rFonts w:ascii="宋体" w:eastAsia="宋体" w:hAnsi="宋体" w:hint="eastAsia"/>
          <w:color w:val="2C2C2C"/>
          <w:sz w:val="24"/>
          <w:szCs w:val="24"/>
        </w:rPr>
        <w:t>月</w:t>
      </w:r>
      <w:r w:rsidR="00894A2B">
        <w:rPr>
          <w:rFonts w:ascii="宋体" w:eastAsia="宋体" w:hAnsi="宋体" w:hint="eastAsia"/>
          <w:color w:val="2C2C2C"/>
          <w:sz w:val="24"/>
          <w:szCs w:val="24"/>
        </w:rPr>
        <w:t>10</w:t>
      </w:r>
      <w:r w:rsidRPr="00E43068">
        <w:rPr>
          <w:rFonts w:ascii="宋体" w:eastAsia="宋体" w:hAnsi="宋体" w:hint="eastAsia"/>
          <w:color w:val="2C2C2C"/>
          <w:sz w:val="24"/>
          <w:szCs w:val="24"/>
        </w:rPr>
        <w:t>日正式生效，基金合同生效日的基金份额总数为</w:t>
      </w:r>
      <w:r w:rsidR="00894A2B" w:rsidRPr="00894A2B">
        <w:rPr>
          <w:rFonts w:ascii="宋体" w:eastAsia="宋体" w:hAnsi="宋体"/>
          <w:color w:val="2C2C2C"/>
          <w:sz w:val="24"/>
          <w:szCs w:val="24"/>
        </w:rPr>
        <w:t>200,034,131.44</w:t>
      </w:r>
      <w:r w:rsidRPr="00E43068">
        <w:rPr>
          <w:rFonts w:ascii="宋体" w:eastAsia="宋体" w:hAnsi="宋体" w:hint="eastAsia"/>
          <w:color w:val="2C2C2C"/>
          <w:sz w:val="24"/>
          <w:szCs w:val="24"/>
        </w:rPr>
        <w:t>份。自</w:t>
      </w:r>
      <w:r w:rsidR="00894A2B">
        <w:rPr>
          <w:rFonts w:ascii="宋体" w:eastAsia="宋体" w:hAnsi="宋体" w:hint="eastAsia"/>
          <w:color w:val="2C2C2C"/>
          <w:sz w:val="24"/>
          <w:szCs w:val="24"/>
        </w:rPr>
        <w:t>2017年3月10日</w:t>
      </w:r>
      <w:r w:rsidRPr="00E43068">
        <w:rPr>
          <w:rFonts w:ascii="宋体" w:eastAsia="宋体" w:hAnsi="宋体" w:hint="eastAsia"/>
          <w:color w:val="2C2C2C"/>
          <w:sz w:val="24"/>
          <w:szCs w:val="24"/>
        </w:rPr>
        <w:t>至</w:t>
      </w:r>
      <w:r w:rsidR="00894A2B">
        <w:rPr>
          <w:rFonts w:ascii="宋体" w:eastAsia="宋体" w:hAnsi="宋体" w:hint="eastAsia"/>
          <w:color w:val="2C2C2C"/>
          <w:sz w:val="24"/>
          <w:szCs w:val="24"/>
        </w:rPr>
        <w:t>2018年8月15</w:t>
      </w:r>
      <w:r w:rsidRPr="00E43068">
        <w:rPr>
          <w:rFonts w:ascii="宋体" w:eastAsia="宋体" w:hAnsi="宋体" w:hint="eastAsia"/>
          <w:color w:val="2C2C2C"/>
          <w:sz w:val="24"/>
          <w:szCs w:val="24"/>
        </w:rPr>
        <w:t>日期间，本基金正常运作。</w:t>
      </w:r>
    </w:p>
    <w:p w:rsidR="00E43068" w:rsidRPr="00FF1EFB" w:rsidRDefault="00894A2B" w:rsidP="00AD643F">
      <w:pPr>
        <w:spacing w:line="360" w:lineRule="auto"/>
        <w:ind w:firstLineChars="200" w:firstLine="480"/>
        <w:jc w:val="left"/>
        <w:rPr>
          <w:rFonts w:ascii="宋体" w:eastAsia="宋体" w:hAnsi="宋体"/>
          <w:color w:val="2C2C2C"/>
          <w:sz w:val="24"/>
          <w:szCs w:val="24"/>
        </w:rPr>
      </w:pPr>
      <w:r w:rsidRPr="00894A2B">
        <w:rPr>
          <w:rFonts w:ascii="宋体" w:eastAsia="宋体" w:hAnsi="宋体"/>
          <w:color w:val="2C2C2C"/>
          <w:sz w:val="24"/>
          <w:szCs w:val="24"/>
        </w:rPr>
        <w:t>根据《中华人民共和国证券投资基金法》、《公开募集证券投资基金运作管理办法》、《国投瑞银顺益纯债债券型证券投资基金基金合同》（以下简称 “《基金合同》”）的有关规定，《基金合同》生效后，连续</w:t>
      </w:r>
      <w:r>
        <w:rPr>
          <w:rFonts w:ascii="宋体" w:eastAsia="宋体" w:hAnsi="宋体"/>
          <w:color w:val="2C2C2C"/>
          <w:sz w:val="24"/>
          <w:szCs w:val="24"/>
        </w:rPr>
        <w:t>2</w:t>
      </w:r>
      <w:r>
        <w:rPr>
          <w:rFonts w:ascii="宋体" w:eastAsia="宋体" w:hAnsi="宋体" w:hint="eastAsia"/>
          <w:color w:val="2C2C2C"/>
          <w:sz w:val="24"/>
          <w:szCs w:val="24"/>
        </w:rPr>
        <w:t>0</w:t>
      </w:r>
      <w:r w:rsidRPr="00894A2B">
        <w:rPr>
          <w:rFonts w:ascii="宋体" w:eastAsia="宋体" w:hAnsi="宋体"/>
          <w:color w:val="2C2C2C"/>
          <w:sz w:val="24"/>
          <w:szCs w:val="24"/>
        </w:rPr>
        <w:t xml:space="preserve">个工作日出现基金份额持有人数量不满 </w:t>
      </w:r>
      <w:r>
        <w:rPr>
          <w:rFonts w:ascii="宋体" w:eastAsia="宋体" w:hAnsi="宋体"/>
          <w:color w:val="2C2C2C"/>
          <w:sz w:val="24"/>
          <w:szCs w:val="24"/>
        </w:rPr>
        <w:t>200</w:t>
      </w:r>
      <w:r w:rsidRPr="00894A2B">
        <w:rPr>
          <w:rFonts w:ascii="宋体" w:eastAsia="宋体" w:hAnsi="宋体"/>
          <w:color w:val="2C2C2C"/>
          <w:sz w:val="24"/>
          <w:szCs w:val="24"/>
        </w:rPr>
        <w:t>人或者基金资产净值低于</w:t>
      </w:r>
      <w:r>
        <w:rPr>
          <w:rFonts w:ascii="宋体" w:eastAsia="宋体" w:hAnsi="宋体"/>
          <w:color w:val="2C2C2C"/>
          <w:sz w:val="24"/>
          <w:szCs w:val="24"/>
        </w:rPr>
        <w:t>5000</w:t>
      </w:r>
      <w:r w:rsidRPr="00894A2B">
        <w:rPr>
          <w:rFonts w:ascii="宋体" w:eastAsia="宋体" w:hAnsi="宋体"/>
          <w:color w:val="2C2C2C"/>
          <w:sz w:val="24"/>
          <w:szCs w:val="24"/>
        </w:rPr>
        <w:t>万元情形的，基金管理人应当在定期报告中予以披露；连续</w:t>
      </w:r>
      <w:r>
        <w:rPr>
          <w:rFonts w:ascii="宋体" w:eastAsia="宋体" w:hAnsi="宋体"/>
          <w:color w:val="2C2C2C"/>
          <w:sz w:val="24"/>
          <w:szCs w:val="24"/>
        </w:rPr>
        <w:t>60</w:t>
      </w:r>
      <w:r w:rsidRPr="00894A2B">
        <w:rPr>
          <w:rFonts w:ascii="宋体" w:eastAsia="宋体" w:hAnsi="宋体"/>
          <w:color w:val="2C2C2C"/>
          <w:sz w:val="24"/>
          <w:szCs w:val="24"/>
        </w:rPr>
        <w:t>个工作日出现前述情形的，本基金合同将终止并进行基金财产清算，且无需召开基金份额持有人大会。截至</w:t>
      </w:r>
      <w:r>
        <w:rPr>
          <w:rFonts w:ascii="宋体" w:eastAsia="宋体" w:hAnsi="宋体"/>
          <w:color w:val="2C2C2C"/>
          <w:sz w:val="24"/>
          <w:szCs w:val="24"/>
        </w:rPr>
        <w:t>2018</w:t>
      </w:r>
      <w:r w:rsidRPr="00894A2B">
        <w:rPr>
          <w:rFonts w:ascii="宋体" w:eastAsia="宋体" w:hAnsi="宋体"/>
          <w:color w:val="2C2C2C"/>
          <w:sz w:val="24"/>
          <w:szCs w:val="24"/>
        </w:rPr>
        <w:t>年</w:t>
      </w:r>
      <w:r>
        <w:rPr>
          <w:rFonts w:ascii="宋体" w:eastAsia="宋体" w:hAnsi="宋体"/>
          <w:color w:val="2C2C2C"/>
          <w:sz w:val="24"/>
          <w:szCs w:val="24"/>
        </w:rPr>
        <w:t>8</w:t>
      </w:r>
      <w:r w:rsidRPr="00894A2B">
        <w:rPr>
          <w:rFonts w:ascii="宋体" w:eastAsia="宋体" w:hAnsi="宋体"/>
          <w:color w:val="2C2C2C"/>
          <w:sz w:val="24"/>
          <w:szCs w:val="24"/>
        </w:rPr>
        <w:t>月</w:t>
      </w:r>
      <w:r>
        <w:rPr>
          <w:rFonts w:ascii="宋体" w:eastAsia="宋体" w:hAnsi="宋体"/>
          <w:color w:val="2C2C2C"/>
          <w:sz w:val="24"/>
          <w:szCs w:val="24"/>
        </w:rPr>
        <w:t>15</w:t>
      </w:r>
      <w:r w:rsidRPr="00894A2B">
        <w:rPr>
          <w:rFonts w:ascii="宋体" w:eastAsia="宋体" w:hAnsi="宋体"/>
          <w:color w:val="2C2C2C"/>
          <w:sz w:val="24"/>
          <w:szCs w:val="24"/>
        </w:rPr>
        <w:t>日日终，国投瑞银顺益纯债债券型证券投资基金（以 下简称“本基金”）的基金份额持有人数量已连续</w:t>
      </w:r>
      <w:r>
        <w:rPr>
          <w:rFonts w:ascii="宋体" w:eastAsia="宋体" w:hAnsi="宋体"/>
          <w:color w:val="2C2C2C"/>
          <w:sz w:val="24"/>
          <w:szCs w:val="24"/>
        </w:rPr>
        <w:t>60</w:t>
      </w:r>
      <w:r w:rsidRPr="00894A2B">
        <w:rPr>
          <w:rFonts w:ascii="宋体" w:eastAsia="宋体" w:hAnsi="宋体"/>
          <w:color w:val="2C2C2C"/>
          <w:sz w:val="24"/>
          <w:szCs w:val="24"/>
        </w:rPr>
        <w:t>个工作日不满</w:t>
      </w:r>
      <w:r>
        <w:rPr>
          <w:rFonts w:ascii="宋体" w:eastAsia="宋体" w:hAnsi="宋体"/>
          <w:color w:val="2C2C2C"/>
          <w:sz w:val="24"/>
          <w:szCs w:val="24"/>
        </w:rPr>
        <w:t>200</w:t>
      </w:r>
      <w:r w:rsidRPr="00894A2B">
        <w:rPr>
          <w:rFonts w:ascii="宋体" w:eastAsia="宋体" w:hAnsi="宋体"/>
          <w:color w:val="2C2C2C"/>
          <w:sz w:val="24"/>
          <w:szCs w:val="24"/>
        </w:rPr>
        <w:t>人，触发了上述基金合同终止的情形，根据《基金合同》约定，本基金将依法进入基金财产清算程序</w:t>
      </w:r>
      <w:r>
        <w:rPr>
          <w:rFonts w:ascii="宋体" w:eastAsia="宋体" w:hAnsi="宋体" w:hint="eastAsia"/>
          <w:color w:val="2C2C2C"/>
          <w:sz w:val="24"/>
          <w:szCs w:val="24"/>
        </w:rPr>
        <w:t>，</w:t>
      </w:r>
      <w:r w:rsidRPr="00894A2B">
        <w:rPr>
          <w:rFonts w:ascii="宋体" w:eastAsia="宋体" w:hAnsi="宋体"/>
          <w:color w:val="2C2C2C"/>
          <w:sz w:val="24"/>
          <w:szCs w:val="24"/>
        </w:rPr>
        <w:t>无需召开基金份额持有人大会审议。本基金的最后运作日为</w:t>
      </w:r>
      <w:r w:rsidR="00AA0BEE">
        <w:rPr>
          <w:rFonts w:ascii="宋体" w:eastAsia="宋体" w:hAnsi="宋体"/>
          <w:color w:val="2C2C2C"/>
          <w:sz w:val="24"/>
          <w:szCs w:val="24"/>
        </w:rPr>
        <w:t>2018</w:t>
      </w:r>
      <w:r w:rsidRPr="00894A2B">
        <w:rPr>
          <w:rFonts w:ascii="宋体" w:eastAsia="宋体" w:hAnsi="宋体"/>
          <w:color w:val="2C2C2C"/>
          <w:sz w:val="24"/>
          <w:szCs w:val="24"/>
        </w:rPr>
        <w:t>年</w:t>
      </w:r>
      <w:r w:rsidR="00AA0BEE">
        <w:rPr>
          <w:rFonts w:ascii="宋体" w:eastAsia="宋体" w:hAnsi="宋体"/>
          <w:color w:val="2C2C2C"/>
          <w:sz w:val="24"/>
          <w:szCs w:val="24"/>
        </w:rPr>
        <w:t>8</w:t>
      </w:r>
      <w:r w:rsidRPr="00894A2B">
        <w:rPr>
          <w:rFonts w:ascii="宋体" w:eastAsia="宋体" w:hAnsi="宋体"/>
          <w:color w:val="2C2C2C"/>
          <w:sz w:val="24"/>
          <w:szCs w:val="24"/>
        </w:rPr>
        <w:t>月</w:t>
      </w:r>
      <w:r w:rsidR="00AA0BEE">
        <w:rPr>
          <w:rFonts w:ascii="宋体" w:eastAsia="宋体" w:hAnsi="宋体"/>
          <w:color w:val="2C2C2C"/>
          <w:sz w:val="24"/>
          <w:szCs w:val="24"/>
        </w:rPr>
        <w:t>15</w:t>
      </w:r>
      <w:r w:rsidRPr="00894A2B">
        <w:rPr>
          <w:rFonts w:ascii="宋体" w:eastAsia="宋体" w:hAnsi="宋体"/>
          <w:color w:val="2C2C2C"/>
          <w:sz w:val="24"/>
          <w:szCs w:val="24"/>
        </w:rPr>
        <w:t>日，并自</w:t>
      </w:r>
      <w:r w:rsidR="00AA0BEE">
        <w:rPr>
          <w:rFonts w:ascii="宋体" w:eastAsia="宋体" w:hAnsi="宋体"/>
          <w:color w:val="2C2C2C"/>
          <w:sz w:val="24"/>
          <w:szCs w:val="24"/>
        </w:rPr>
        <w:t>2018</w:t>
      </w:r>
      <w:r w:rsidRPr="00894A2B">
        <w:rPr>
          <w:rFonts w:ascii="宋体" w:eastAsia="宋体" w:hAnsi="宋体"/>
          <w:color w:val="2C2C2C"/>
          <w:sz w:val="24"/>
          <w:szCs w:val="24"/>
        </w:rPr>
        <w:t>年</w:t>
      </w:r>
      <w:r w:rsidR="00AA0BEE">
        <w:rPr>
          <w:rFonts w:ascii="宋体" w:eastAsia="宋体" w:hAnsi="宋体"/>
          <w:color w:val="2C2C2C"/>
          <w:sz w:val="24"/>
          <w:szCs w:val="24"/>
        </w:rPr>
        <w:t>8</w:t>
      </w:r>
      <w:r w:rsidRPr="00894A2B">
        <w:rPr>
          <w:rFonts w:ascii="宋体" w:eastAsia="宋体" w:hAnsi="宋体"/>
          <w:color w:val="2C2C2C"/>
          <w:sz w:val="24"/>
          <w:szCs w:val="24"/>
        </w:rPr>
        <w:t>月</w:t>
      </w:r>
      <w:r w:rsidR="00AA0BEE">
        <w:rPr>
          <w:rFonts w:ascii="宋体" w:eastAsia="宋体" w:hAnsi="宋体"/>
          <w:color w:val="2C2C2C"/>
          <w:sz w:val="24"/>
          <w:szCs w:val="24"/>
        </w:rPr>
        <w:t>16</w:t>
      </w:r>
      <w:r w:rsidRPr="00894A2B">
        <w:rPr>
          <w:rFonts w:ascii="宋体" w:eastAsia="宋体" w:hAnsi="宋体"/>
          <w:color w:val="2C2C2C"/>
          <w:sz w:val="24"/>
          <w:szCs w:val="24"/>
        </w:rPr>
        <w:t>日起进入基金财产清算程序。</w:t>
      </w:r>
      <w:r w:rsidR="00FF1EFB" w:rsidRPr="00305990">
        <w:rPr>
          <w:rFonts w:ascii="宋体" w:eastAsia="宋体" w:hAnsi="宋体" w:hint="eastAsia"/>
          <w:color w:val="2C2C2C"/>
          <w:sz w:val="24"/>
          <w:szCs w:val="24"/>
        </w:rPr>
        <w:t>由于本基金持有的流通受限债券无法确定变现时间，本基金计划将进行两次清算，其中第一次清算期间为2018年8月16日至2018年8月29日，第二次清算期间将根据流通受限债券的变现时间确定。</w:t>
      </w:r>
    </w:p>
    <w:p w:rsidR="00894A2B" w:rsidRPr="00AA0BEE" w:rsidRDefault="00894A2B" w:rsidP="00894A2B">
      <w:pPr>
        <w:spacing w:line="360" w:lineRule="auto"/>
        <w:ind w:firstLineChars="200" w:firstLine="480"/>
        <w:jc w:val="left"/>
        <w:rPr>
          <w:rFonts w:ascii="宋体" w:eastAsia="宋体" w:hAnsi="宋体"/>
          <w:color w:val="2C2C2C"/>
          <w:sz w:val="24"/>
          <w:szCs w:val="24"/>
          <w:highlight w:val="yellow"/>
        </w:rPr>
      </w:pPr>
    </w:p>
    <w:p w:rsidR="00127E02" w:rsidRPr="0092659A" w:rsidRDefault="009D17C5">
      <w:pPr>
        <w:pStyle w:val="21"/>
        <w:numPr>
          <w:ilvl w:val="0"/>
          <w:numId w:val="1"/>
        </w:numPr>
        <w:kinsoku w:val="0"/>
        <w:overflowPunct w:val="0"/>
        <w:spacing w:line="360" w:lineRule="auto"/>
        <w:ind w:right="75"/>
        <w:outlineLvl w:val="9"/>
        <w:rPr>
          <w:rFonts w:ascii="宋体" w:eastAsia="宋体" w:hAnsi="宋体"/>
        </w:rPr>
      </w:pPr>
      <w:r>
        <w:rPr>
          <w:rFonts w:ascii="宋体" w:eastAsia="宋体" w:hAnsi="宋体" w:hint="eastAsia"/>
        </w:rPr>
        <w:t>财务会计报告</w:t>
      </w:r>
    </w:p>
    <w:p w:rsidR="0092659A" w:rsidRDefault="00E43068">
      <w:pPr>
        <w:spacing w:line="360" w:lineRule="auto"/>
        <w:jc w:val="left"/>
        <w:rPr>
          <w:rFonts w:ascii="宋体" w:eastAsia="宋体" w:hAnsi="宋体"/>
          <w:color w:val="2C2C2C"/>
          <w:sz w:val="24"/>
          <w:szCs w:val="24"/>
        </w:rPr>
      </w:pPr>
      <w:r w:rsidRPr="00E43068">
        <w:rPr>
          <w:rFonts w:ascii="宋体" w:eastAsia="宋体" w:hAnsi="宋体" w:hint="eastAsia"/>
          <w:color w:val="2C2C2C"/>
          <w:sz w:val="24"/>
          <w:szCs w:val="24"/>
        </w:rPr>
        <w:t>基金最后运作日资产负债表（已经审计）</w:t>
      </w:r>
    </w:p>
    <w:p w:rsidR="00127E02" w:rsidRDefault="009D17C5">
      <w:pPr>
        <w:spacing w:line="360" w:lineRule="auto"/>
        <w:jc w:val="left"/>
        <w:rPr>
          <w:rFonts w:ascii="宋体" w:eastAsia="宋体" w:hAnsi="宋体"/>
          <w:color w:val="2C2C2C"/>
          <w:sz w:val="24"/>
          <w:szCs w:val="24"/>
        </w:rPr>
      </w:pPr>
      <w:r>
        <w:rPr>
          <w:rFonts w:ascii="宋体" w:eastAsia="宋体" w:hAnsi="宋体" w:hint="eastAsia"/>
          <w:color w:val="2C2C2C"/>
          <w:sz w:val="24"/>
          <w:szCs w:val="24"/>
        </w:rPr>
        <w:t>会计主体：</w:t>
      </w:r>
      <w:r w:rsidRPr="00E43068">
        <w:rPr>
          <w:rFonts w:ascii="宋体" w:eastAsia="宋体" w:hAnsi="宋体" w:hint="eastAsia"/>
          <w:color w:val="2C2C2C"/>
          <w:sz w:val="24"/>
          <w:szCs w:val="24"/>
        </w:rPr>
        <w:t>国投瑞银</w:t>
      </w:r>
      <w:r w:rsidR="003F6D8C">
        <w:rPr>
          <w:rFonts w:ascii="宋体" w:eastAsia="宋体" w:hAnsi="宋体" w:hint="eastAsia"/>
          <w:color w:val="2C2C2C"/>
          <w:sz w:val="24"/>
          <w:szCs w:val="24"/>
        </w:rPr>
        <w:t>顺益纯债债券</w:t>
      </w:r>
      <w:r w:rsidRPr="00E43068">
        <w:rPr>
          <w:rFonts w:ascii="宋体" w:eastAsia="宋体" w:hAnsi="宋体" w:hint="eastAsia"/>
          <w:color w:val="2C2C2C"/>
          <w:sz w:val="24"/>
          <w:szCs w:val="24"/>
        </w:rPr>
        <w:t>型证券投资基金</w:t>
      </w:r>
    </w:p>
    <w:p w:rsidR="00127E02" w:rsidRDefault="009D17C5">
      <w:pPr>
        <w:spacing w:line="360" w:lineRule="auto"/>
        <w:jc w:val="left"/>
        <w:rPr>
          <w:rFonts w:ascii="宋体" w:eastAsia="宋体" w:hAnsi="宋体"/>
          <w:color w:val="2C2C2C"/>
          <w:sz w:val="24"/>
          <w:szCs w:val="24"/>
        </w:rPr>
      </w:pPr>
      <w:r>
        <w:rPr>
          <w:rFonts w:ascii="宋体" w:eastAsia="宋体" w:hAnsi="宋体" w:hint="eastAsia"/>
          <w:color w:val="2C2C2C"/>
          <w:sz w:val="24"/>
          <w:szCs w:val="24"/>
        </w:rPr>
        <w:t>报告截止日：2018年</w:t>
      </w:r>
      <w:r w:rsidR="00556DA3">
        <w:rPr>
          <w:rFonts w:ascii="宋体" w:eastAsia="宋体" w:hAnsi="宋体" w:hint="eastAsia"/>
          <w:color w:val="2C2C2C"/>
          <w:sz w:val="24"/>
          <w:szCs w:val="24"/>
        </w:rPr>
        <w:t>8</w:t>
      </w:r>
      <w:r>
        <w:rPr>
          <w:rFonts w:ascii="宋体" w:eastAsia="宋体" w:hAnsi="宋体" w:hint="eastAsia"/>
          <w:color w:val="2C2C2C"/>
          <w:sz w:val="24"/>
          <w:szCs w:val="24"/>
        </w:rPr>
        <w:t>月</w:t>
      </w:r>
      <w:r w:rsidR="00556DA3">
        <w:rPr>
          <w:rFonts w:ascii="宋体" w:eastAsia="宋体" w:hAnsi="宋体" w:hint="eastAsia"/>
          <w:color w:val="2C2C2C"/>
          <w:sz w:val="24"/>
          <w:szCs w:val="24"/>
        </w:rPr>
        <w:t>15</w:t>
      </w:r>
      <w:r>
        <w:rPr>
          <w:rFonts w:ascii="宋体" w:eastAsia="宋体" w:hAnsi="宋体" w:hint="eastAsia"/>
          <w:color w:val="2C2C2C"/>
          <w:sz w:val="24"/>
          <w:szCs w:val="24"/>
        </w:rPr>
        <w:t>日</w:t>
      </w:r>
    </w:p>
    <w:p w:rsidR="00127E02" w:rsidRDefault="009D17C5">
      <w:pPr>
        <w:spacing w:line="360" w:lineRule="auto"/>
        <w:ind w:rightChars="2" w:right="4"/>
        <w:jc w:val="right"/>
        <w:rPr>
          <w:rFonts w:ascii="Arial" w:eastAsia="黑体" w:hAnsi="Arial" w:cs="Arial"/>
          <w:b/>
          <w:bCs/>
          <w:sz w:val="22"/>
        </w:rPr>
      </w:pPr>
      <w:r>
        <w:rPr>
          <w:rFonts w:ascii="黑体" w:eastAsia="黑体" w:hAnsi="黑体" w:cs="Arial"/>
          <w:sz w:val="22"/>
        </w:rPr>
        <w:t>单位：人民币元</w:t>
      </w:r>
    </w:p>
    <w:tbl>
      <w:tblPr>
        <w:tblW w:w="9569" w:type="dxa"/>
        <w:jc w:val="center"/>
        <w:tblInd w:w="-33" w:type="dxa"/>
        <w:tblLayout w:type="fixed"/>
        <w:tblLook w:val="04A0"/>
      </w:tblPr>
      <w:tblGrid>
        <w:gridCol w:w="5386"/>
        <w:gridCol w:w="4183"/>
      </w:tblGrid>
      <w:tr w:rsidR="00127E02">
        <w:trPr>
          <w:jc w:val="center"/>
        </w:trPr>
        <w:tc>
          <w:tcPr>
            <w:tcW w:w="5386" w:type="dxa"/>
            <w:tcBorders>
              <w:top w:val="single" w:sz="4" w:space="0" w:color="auto"/>
              <w:left w:val="single" w:sz="4" w:space="0" w:color="auto"/>
              <w:bottom w:val="single" w:sz="4" w:space="0" w:color="auto"/>
              <w:right w:val="single" w:sz="4" w:space="0" w:color="auto"/>
            </w:tcBorders>
            <w:vAlign w:val="center"/>
          </w:tcPr>
          <w:p w:rsidR="00127E02" w:rsidRDefault="00127E02">
            <w:pPr>
              <w:pStyle w:val="a9"/>
              <w:spacing w:before="0" w:beforeAutospacing="0" w:after="0" w:afterAutospacing="0" w:line="360" w:lineRule="auto"/>
              <w:rPr>
                <w:rFonts w:ascii="Arial" w:eastAsia="黑体" w:hAnsi="Arial" w:cs="Arial"/>
                <w:b/>
                <w:bCs/>
                <w:sz w:val="22"/>
                <w:szCs w:val="22"/>
              </w:rPr>
            </w:pPr>
            <w:bookmarkStart w:id="3" w:name="资产"/>
            <w:bookmarkEnd w:id="3"/>
          </w:p>
        </w:tc>
        <w:tc>
          <w:tcPr>
            <w:tcW w:w="4183" w:type="dxa"/>
            <w:tcBorders>
              <w:top w:val="single" w:sz="4" w:space="0" w:color="auto"/>
              <w:left w:val="nil"/>
              <w:bottom w:val="single" w:sz="4" w:space="0" w:color="auto"/>
              <w:right w:val="single" w:sz="4" w:space="0" w:color="auto"/>
            </w:tcBorders>
            <w:vAlign w:val="bottom"/>
          </w:tcPr>
          <w:p w:rsidR="00127E02" w:rsidRDefault="009D17C5">
            <w:pPr>
              <w:pStyle w:val="a9"/>
              <w:spacing w:before="0" w:beforeAutospacing="0" w:after="0" w:afterAutospacing="0" w:line="360" w:lineRule="auto"/>
              <w:jc w:val="right"/>
              <w:rPr>
                <w:rFonts w:ascii="Arial" w:eastAsia="黑体" w:hAnsi="Arial" w:cs="Arial"/>
                <w:b/>
                <w:bCs/>
                <w:sz w:val="22"/>
                <w:szCs w:val="22"/>
              </w:rPr>
            </w:pPr>
            <w:r>
              <w:rPr>
                <w:rFonts w:ascii="Arial" w:eastAsia="黑体" w:hAnsi="Arial" w:cs="Arial"/>
                <w:b/>
                <w:bCs/>
                <w:sz w:val="22"/>
                <w:szCs w:val="22"/>
              </w:rPr>
              <w:t>最后运作日</w:t>
            </w:r>
          </w:p>
          <w:p w:rsidR="00127E02" w:rsidRDefault="009D17C5" w:rsidP="000F5712">
            <w:pPr>
              <w:pStyle w:val="a9"/>
              <w:spacing w:before="0" w:beforeAutospacing="0" w:after="0" w:afterAutospacing="0" w:line="360" w:lineRule="auto"/>
              <w:jc w:val="right"/>
              <w:rPr>
                <w:rFonts w:ascii="Arial" w:eastAsia="黑体" w:hAnsi="Arial" w:cs="Arial"/>
                <w:b/>
                <w:bCs/>
                <w:sz w:val="22"/>
                <w:szCs w:val="22"/>
              </w:rPr>
            </w:pPr>
            <w:r>
              <w:rPr>
                <w:rFonts w:ascii="Arial" w:eastAsia="黑体" w:hAnsi="Arial" w:cs="Arial"/>
                <w:b/>
                <w:bCs/>
                <w:sz w:val="22"/>
                <w:szCs w:val="22"/>
              </w:rPr>
              <w:t>2018</w:t>
            </w:r>
            <w:r>
              <w:rPr>
                <w:rFonts w:ascii="黑体" w:eastAsia="黑体" w:hAnsi="黑体" w:cs="Arial"/>
                <w:b/>
                <w:bCs/>
                <w:sz w:val="22"/>
                <w:szCs w:val="22"/>
              </w:rPr>
              <w:t>年</w:t>
            </w:r>
            <w:r w:rsidR="000F5712">
              <w:rPr>
                <w:rFonts w:ascii="Arial" w:eastAsia="黑体" w:hAnsi="Arial" w:cs="Arial" w:hint="eastAsia"/>
                <w:b/>
                <w:bCs/>
                <w:sz w:val="22"/>
                <w:szCs w:val="22"/>
              </w:rPr>
              <w:t>8</w:t>
            </w:r>
            <w:r>
              <w:rPr>
                <w:rFonts w:ascii="黑体" w:eastAsia="黑体" w:hAnsi="黑体" w:cs="Arial"/>
                <w:b/>
                <w:bCs/>
                <w:sz w:val="22"/>
                <w:szCs w:val="22"/>
              </w:rPr>
              <w:t>月</w:t>
            </w:r>
            <w:r w:rsidR="000F5712">
              <w:rPr>
                <w:rFonts w:ascii="Arial" w:eastAsia="黑体" w:hAnsi="Arial" w:cs="Arial" w:hint="eastAsia"/>
                <w:b/>
                <w:bCs/>
                <w:sz w:val="22"/>
                <w:szCs w:val="22"/>
              </w:rPr>
              <w:t>15</w:t>
            </w:r>
            <w:r>
              <w:rPr>
                <w:rFonts w:ascii="黑体" w:eastAsia="黑体" w:hAnsi="黑体" w:cs="Arial"/>
                <w:b/>
                <w:bCs/>
                <w:sz w:val="22"/>
                <w:szCs w:val="22"/>
              </w:rPr>
              <w:t>日</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b/>
                <w:bCs/>
                <w:sz w:val="22"/>
                <w:szCs w:val="22"/>
              </w:rPr>
            </w:pPr>
            <w:r>
              <w:rPr>
                <w:rFonts w:ascii="Arial" w:eastAsia="黑体" w:hAnsi="Arial" w:cs="Arial"/>
                <w:b/>
                <w:bCs/>
                <w:sz w:val="22"/>
                <w:szCs w:val="22"/>
              </w:rPr>
              <w:t>资产：</w:t>
            </w:r>
          </w:p>
        </w:tc>
        <w:tc>
          <w:tcPr>
            <w:tcW w:w="4183" w:type="dxa"/>
            <w:tcBorders>
              <w:top w:val="single" w:sz="4" w:space="0" w:color="auto"/>
              <w:left w:val="nil"/>
              <w:bottom w:val="single" w:sz="4" w:space="0" w:color="auto"/>
              <w:right w:val="single" w:sz="4" w:space="0" w:color="auto"/>
            </w:tcBorders>
            <w:vAlign w:val="bottom"/>
          </w:tcPr>
          <w:p w:rsidR="00127E02" w:rsidRDefault="00127E02">
            <w:pPr>
              <w:pStyle w:val="a9"/>
              <w:spacing w:line="360" w:lineRule="auto"/>
              <w:jc w:val="right"/>
              <w:rPr>
                <w:rFonts w:ascii="Arial" w:eastAsia="黑体" w:hAnsi="Arial" w:cs="Arial"/>
                <w:sz w:val="22"/>
                <w:szCs w:val="22"/>
              </w:rPr>
            </w:pP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sz w:val="22"/>
                <w:szCs w:val="22"/>
              </w:rPr>
              <w:t>银行存款</w:t>
            </w:r>
          </w:p>
        </w:tc>
        <w:tc>
          <w:tcPr>
            <w:tcW w:w="4183" w:type="dxa"/>
            <w:tcBorders>
              <w:top w:val="single" w:sz="4" w:space="0" w:color="auto"/>
              <w:left w:val="nil"/>
              <w:bottom w:val="single" w:sz="4" w:space="0" w:color="auto"/>
              <w:right w:val="single" w:sz="4" w:space="0" w:color="auto"/>
            </w:tcBorders>
            <w:vAlign w:val="bottom"/>
          </w:tcPr>
          <w:p w:rsidR="00127E02" w:rsidRDefault="000F5712">
            <w:pPr>
              <w:pStyle w:val="a9"/>
              <w:spacing w:line="360" w:lineRule="auto"/>
              <w:jc w:val="right"/>
              <w:rPr>
                <w:rFonts w:ascii="Arial" w:eastAsia="黑体" w:hAnsi="Arial" w:cs="Arial"/>
                <w:sz w:val="22"/>
                <w:szCs w:val="22"/>
              </w:rPr>
            </w:pPr>
            <w:r w:rsidRPr="000F5712">
              <w:rPr>
                <w:rFonts w:ascii="Arial" w:eastAsia="黑体" w:hAnsi="Arial" w:cs="Arial"/>
                <w:color w:val="000000"/>
                <w:sz w:val="22"/>
                <w:szCs w:val="22"/>
              </w:rPr>
              <w:t>3,155,289.09</w:t>
            </w:r>
          </w:p>
        </w:tc>
      </w:tr>
      <w:tr w:rsidR="000F571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0F5712" w:rsidRDefault="000F5712">
            <w:pPr>
              <w:pStyle w:val="a9"/>
              <w:spacing w:line="360" w:lineRule="auto"/>
              <w:rPr>
                <w:rFonts w:ascii="Arial" w:eastAsia="黑体" w:hAnsi="Arial" w:cs="Arial"/>
                <w:sz w:val="22"/>
                <w:szCs w:val="22"/>
              </w:rPr>
            </w:pPr>
            <w:r w:rsidRPr="000F5712">
              <w:rPr>
                <w:rFonts w:ascii="Arial" w:eastAsia="黑体" w:hAnsi="Arial" w:cs="Arial" w:hint="eastAsia"/>
                <w:sz w:val="22"/>
                <w:szCs w:val="22"/>
              </w:rPr>
              <w:t>交易性金融资产</w:t>
            </w:r>
          </w:p>
        </w:tc>
        <w:tc>
          <w:tcPr>
            <w:tcW w:w="4183" w:type="dxa"/>
            <w:tcBorders>
              <w:top w:val="single" w:sz="4" w:space="0" w:color="auto"/>
              <w:left w:val="nil"/>
              <w:bottom w:val="single" w:sz="4" w:space="0" w:color="auto"/>
              <w:right w:val="single" w:sz="4" w:space="0" w:color="auto"/>
            </w:tcBorders>
            <w:vAlign w:val="bottom"/>
          </w:tcPr>
          <w:p w:rsidR="000F5712" w:rsidRPr="000F5712" w:rsidRDefault="000F5712">
            <w:pPr>
              <w:pStyle w:val="a9"/>
              <w:spacing w:line="360" w:lineRule="auto"/>
              <w:jc w:val="right"/>
              <w:rPr>
                <w:rFonts w:ascii="Arial" w:eastAsia="黑体" w:hAnsi="Arial" w:cs="Arial"/>
                <w:color w:val="000000"/>
                <w:sz w:val="22"/>
                <w:szCs w:val="22"/>
              </w:rPr>
            </w:pPr>
            <w:r w:rsidRPr="000F5712">
              <w:rPr>
                <w:rFonts w:ascii="Arial" w:eastAsia="黑体" w:hAnsi="Arial" w:cs="Arial"/>
                <w:color w:val="000000"/>
                <w:sz w:val="22"/>
                <w:szCs w:val="22"/>
              </w:rPr>
              <w:t>4,707,000.00</w:t>
            </w:r>
          </w:p>
        </w:tc>
      </w:tr>
      <w:tr w:rsidR="000F571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0F5712" w:rsidRPr="000F5712" w:rsidRDefault="000F5712">
            <w:pPr>
              <w:pStyle w:val="a9"/>
              <w:spacing w:line="360" w:lineRule="auto"/>
              <w:rPr>
                <w:rFonts w:ascii="Arial" w:eastAsia="黑体" w:hAnsi="Arial" w:cs="Arial"/>
                <w:sz w:val="22"/>
                <w:szCs w:val="22"/>
              </w:rPr>
            </w:pPr>
            <w:r>
              <w:rPr>
                <w:rFonts w:ascii="Arial" w:eastAsia="黑体" w:hAnsi="Arial" w:cs="Arial" w:hint="eastAsia"/>
                <w:sz w:val="22"/>
                <w:szCs w:val="22"/>
              </w:rPr>
              <w:t>其中：债券</w:t>
            </w:r>
            <w:r w:rsidRPr="000F5712">
              <w:rPr>
                <w:rFonts w:ascii="Arial" w:eastAsia="黑体" w:hAnsi="Arial" w:cs="Arial" w:hint="eastAsia"/>
                <w:sz w:val="22"/>
                <w:szCs w:val="22"/>
              </w:rPr>
              <w:t>投资</w:t>
            </w:r>
          </w:p>
        </w:tc>
        <w:tc>
          <w:tcPr>
            <w:tcW w:w="4183" w:type="dxa"/>
            <w:tcBorders>
              <w:top w:val="single" w:sz="4" w:space="0" w:color="auto"/>
              <w:left w:val="nil"/>
              <w:bottom w:val="single" w:sz="4" w:space="0" w:color="auto"/>
              <w:right w:val="single" w:sz="4" w:space="0" w:color="auto"/>
            </w:tcBorders>
            <w:vAlign w:val="bottom"/>
          </w:tcPr>
          <w:p w:rsidR="000F5712" w:rsidRPr="000F5712" w:rsidRDefault="000F5712">
            <w:pPr>
              <w:pStyle w:val="a9"/>
              <w:spacing w:line="360" w:lineRule="auto"/>
              <w:jc w:val="right"/>
              <w:rPr>
                <w:rFonts w:ascii="Arial" w:eastAsia="黑体" w:hAnsi="Arial" w:cs="Arial"/>
                <w:color w:val="000000"/>
                <w:sz w:val="22"/>
                <w:szCs w:val="22"/>
              </w:rPr>
            </w:pPr>
            <w:r w:rsidRPr="000F5712">
              <w:rPr>
                <w:rFonts w:ascii="Arial" w:eastAsia="黑体" w:hAnsi="Arial" w:cs="Arial"/>
                <w:color w:val="000000"/>
                <w:sz w:val="22"/>
                <w:szCs w:val="22"/>
              </w:rPr>
              <w:t>4,707,000.00</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sz w:val="22"/>
                <w:szCs w:val="22"/>
              </w:rPr>
              <w:t>应收利息</w:t>
            </w:r>
          </w:p>
        </w:tc>
        <w:tc>
          <w:tcPr>
            <w:tcW w:w="4183" w:type="dxa"/>
            <w:tcBorders>
              <w:top w:val="single" w:sz="4" w:space="0" w:color="auto"/>
              <w:left w:val="nil"/>
              <w:bottom w:val="single" w:sz="4" w:space="0" w:color="auto"/>
              <w:right w:val="single" w:sz="4" w:space="0" w:color="auto"/>
            </w:tcBorders>
            <w:vAlign w:val="bottom"/>
          </w:tcPr>
          <w:p w:rsidR="00127E02" w:rsidRDefault="000F5712">
            <w:pPr>
              <w:pStyle w:val="a9"/>
              <w:spacing w:line="360" w:lineRule="auto"/>
              <w:jc w:val="right"/>
              <w:rPr>
                <w:rFonts w:ascii="Arial" w:eastAsia="黑体" w:hAnsi="Arial" w:cs="Arial"/>
                <w:sz w:val="22"/>
                <w:szCs w:val="22"/>
              </w:rPr>
            </w:pPr>
            <w:r w:rsidRPr="000F5712">
              <w:rPr>
                <w:rFonts w:ascii="Arial" w:eastAsia="黑体" w:hAnsi="Arial" w:cs="Arial"/>
                <w:color w:val="000000"/>
                <w:sz w:val="22"/>
                <w:szCs w:val="22"/>
              </w:rPr>
              <w:t>434,922.41</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sz w:val="22"/>
                <w:szCs w:val="22"/>
              </w:rPr>
              <w:t>资产总计</w:t>
            </w:r>
          </w:p>
        </w:tc>
        <w:tc>
          <w:tcPr>
            <w:tcW w:w="4183" w:type="dxa"/>
            <w:tcBorders>
              <w:top w:val="single" w:sz="4" w:space="0" w:color="auto"/>
              <w:left w:val="nil"/>
              <w:bottom w:val="single" w:sz="4" w:space="0" w:color="auto"/>
              <w:right w:val="single" w:sz="4" w:space="0" w:color="auto"/>
            </w:tcBorders>
            <w:vAlign w:val="bottom"/>
          </w:tcPr>
          <w:p w:rsidR="00127E02" w:rsidRDefault="000F5712">
            <w:pPr>
              <w:widowControl/>
              <w:spacing w:line="360" w:lineRule="auto"/>
              <w:jc w:val="right"/>
              <w:rPr>
                <w:rFonts w:ascii="Arial" w:eastAsia="黑体" w:hAnsi="Arial" w:cs="Arial"/>
                <w:sz w:val="22"/>
              </w:rPr>
            </w:pPr>
            <w:r w:rsidRPr="000F5712">
              <w:rPr>
                <w:rFonts w:ascii="Arial" w:eastAsia="黑体" w:hAnsi="Arial" w:cs="Arial"/>
                <w:color w:val="000000"/>
                <w:sz w:val="22"/>
              </w:rPr>
              <w:t>8,297,211.50</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b/>
                <w:bCs/>
                <w:sz w:val="22"/>
                <w:szCs w:val="22"/>
              </w:rPr>
              <w:t>负债：</w:t>
            </w:r>
          </w:p>
        </w:tc>
        <w:tc>
          <w:tcPr>
            <w:tcW w:w="4183" w:type="dxa"/>
            <w:tcBorders>
              <w:top w:val="single" w:sz="4" w:space="0" w:color="auto"/>
              <w:left w:val="nil"/>
              <w:bottom w:val="single" w:sz="4" w:space="0" w:color="auto"/>
              <w:right w:val="single" w:sz="4" w:space="0" w:color="auto"/>
            </w:tcBorders>
            <w:vAlign w:val="bottom"/>
          </w:tcPr>
          <w:p w:rsidR="00127E02" w:rsidRDefault="00127E02">
            <w:pPr>
              <w:pStyle w:val="a9"/>
              <w:spacing w:line="360" w:lineRule="auto"/>
              <w:jc w:val="right"/>
              <w:rPr>
                <w:rFonts w:ascii="Arial" w:eastAsia="黑体" w:hAnsi="Arial" w:cs="Arial"/>
                <w:sz w:val="22"/>
                <w:szCs w:val="22"/>
              </w:rPr>
            </w:pP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sz w:val="22"/>
                <w:szCs w:val="22"/>
              </w:rPr>
              <w:t>应付赎回款</w:t>
            </w:r>
          </w:p>
        </w:tc>
        <w:tc>
          <w:tcPr>
            <w:tcW w:w="4183" w:type="dxa"/>
            <w:tcBorders>
              <w:top w:val="single" w:sz="4" w:space="0" w:color="auto"/>
              <w:left w:val="nil"/>
              <w:bottom w:val="single" w:sz="4" w:space="0" w:color="auto"/>
              <w:right w:val="single" w:sz="4" w:space="0" w:color="auto"/>
            </w:tcBorders>
            <w:vAlign w:val="bottom"/>
          </w:tcPr>
          <w:p w:rsidR="00127E02" w:rsidRDefault="000F5712">
            <w:pPr>
              <w:widowControl/>
              <w:spacing w:line="360" w:lineRule="auto"/>
              <w:jc w:val="right"/>
              <w:rPr>
                <w:rFonts w:ascii="Arial" w:eastAsia="黑体" w:hAnsi="Arial" w:cs="Arial"/>
                <w:sz w:val="22"/>
              </w:rPr>
            </w:pPr>
            <w:r>
              <w:rPr>
                <w:rFonts w:ascii="Arial" w:eastAsia="黑体" w:hAnsi="Arial" w:cs="Arial" w:hint="eastAsia"/>
                <w:color w:val="000000"/>
                <w:sz w:val="22"/>
              </w:rPr>
              <w:t>10.10</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color w:val="000000"/>
                <w:sz w:val="22"/>
                <w:szCs w:val="22"/>
              </w:rPr>
              <w:t>应付管理人报酬</w:t>
            </w:r>
          </w:p>
        </w:tc>
        <w:tc>
          <w:tcPr>
            <w:tcW w:w="4183" w:type="dxa"/>
            <w:tcBorders>
              <w:top w:val="single" w:sz="4" w:space="0" w:color="auto"/>
              <w:left w:val="nil"/>
              <w:bottom w:val="single" w:sz="4" w:space="0" w:color="auto"/>
              <w:right w:val="single" w:sz="4" w:space="0" w:color="auto"/>
            </w:tcBorders>
            <w:vAlign w:val="bottom"/>
          </w:tcPr>
          <w:p w:rsidR="00127E02" w:rsidRDefault="000F5712">
            <w:pPr>
              <w:pStyle w:val="a9"/>
              <w:spacing w:line="360" w:lineRule="auto"/>
              <w:jc w:val="right"/>
              <w:rPr>
                <w:rFonts w:ascii="Arial" w:eastAsia="黑体" w:hAnsi="Arial" w:cs="Arial"/>
                <w:sz w:val="22"/>
                <w:szCs w:val="22"/>
              </w:rPr>
            </w:pPr>
            <w:r w:rsidRPr="000F5712">
              <w:rPr>
                <w:rFonts w:ascii="Arial" w:eastAsia="黑体" w:hAnsi="Arial" w:cs="Arial"/>
                <w:color w:val="000000"/>
                <w:sz w:val="22"/>
                <w:szCs w:val="22"/>
              </w:rPr>
              <w:t>16,631.01</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color w:val="000000"/>
                <w:sz w:val="22"/>
                <w:szCs w:val="22"/>
              </w:rPr>
              <w:t>应付托管费</w:t>
            </w:r>
          </w:p>
        </w:tc>
        <w:tc>
          <w:tcPr>
            <w:tcW w:w="4183" w:type="dxa"/>
            <w:tcBorders>
              <w:top w:val="single" w:sz="4" w:space="0" w:color="auto"/>
              <w:left w:val="nil"/>
              <w:bottom w:val="single" w:sz="4" w:space="0" w:color="auto"/>
              <w:right w:val="single" w:sz="4" w:space="0" w:color="auto"/>
            </w:tcBorders>
            <w:vAlign w:val="bottom"/>
          </w:tcPr>
          <w:p w:rsidR="00127E02" w:rsidRDefault="000F5712">
            <w:pPr>
              <w:pStyle w:val="a9"/>
              <w:spacing w:line="360" w:lineRule="auto"/>
              <w:jc w:val="right"/>
              <w:rPr>
                <w:rFonts w:ascii="Arial" w:eastAsia="黑体" w:hAnsi="Arial" w:cs="Arial"/>
                <w:sz w:val="22"/>
                <w:szCs w:val="22"/>
              </w:rPr>
            </w:pPr>
            <w:r w:rsidRPr="000F5712">
              <w:rPr>
                <w:rFonts w:ascii="Arial" w:eastAsia="黑体" w:hAnsi="Arial" w:cs="Arial"/>
                <w:color w:val="000000"/>
                <w:sz w:val="22"/>
                <w:szCs w:val="22"/>
              </w:rPr>
              <w:t>5,543.68</w:t>
            </w:r>
          </w:p>
        </w:tc>
      </w:tr>
      <w:tr w:rsidR="000F571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0F5712" w:rsidRDefault="000F5712">
            <w:pPr>
              <w:pStyle w:val="a9"/>
              <w:spacing w:line="360" w:lineRule="auto"/>
              <w:rPr>
                <w:rFonts w:ascii="Arial" w:eastAsia="黑体" w:hAnsi="Arial" w:cs="Arial"/>
                <w:color w:val="000000"/>
                <w:sz w:val="22"/>
                <w:szCs w:val="22"/>
              </w:rPr>
            </w:pPr>
            <w:r>
              <w:rPr>
                <w:rFonts w:ascii="Arial" w:eastAsia="黑体" w:hAnsi="Arial" w:cs="Arial" w:hint="eastAsia"/>
                <w:color w:val="000000"/>
                <w:sz w:val="22"/>
                <w:szCs w:val="22"/>
              </w:rPr>
              <w:t>应付交易费用</w:t>
            </w:r>
          </w:p>
        </w:tc>
        <w:tc>
          <w:tcPr>
            <w:tcW w:w="4183" w:type="dxa"/>
            <w:tcBorders>
              <w:top w:val="single" w:sz="4" w:space="0" w:color="auto"/>
              <w:left w:val="nil"/>
              <w:bottom w:val="single" w:sz="4" w:space="0" w:color="auto"/>
              <w:right w:val="single" w:sz="4" w:space="0" w:color="auto"/>
            </w:tcBorders>
            <w:vAlign w:val="bottom"/>
          </w:tcPr>
          <w:p w:rsidR="000F5712" w:rsidRDefault="000F5712">
            <w:pPr>
              <w:widowControl/>
              <w:spacing w:line="360" w:lineRule="auto"/>
              <w:jc w:val="right"/>
              <w:rPr>
                <w:rFonts w:ascii="Arial" w:eastAsia="黑体" w:hAnsi="Arial" w:cs="Arial"/>
                <w:color w:val="000000"/>
                <w:sz w:val="22"/>
              </w:rPr>
            </w:pPr>
            <w:r w:rsidRPr="000F5712">
              <w:rPr>
                <w:rFonts w:ascii="Arial" w:eastAsia="黑体" w:hAnsi="Arial" w:cs="Arial"/>
                <w:color w:val="000000"/>
                <w:sz w:val="22"/>
              </w:rPr>
              <w:t>2,337.63</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260F4F">
            <w:pPr>
              <w:pStyle w:val="a9"/>
              <w:spacing w:line="360" w:lineRule="auto"/>
              <w:rPr>
                <w:rFonts w:ascii="Arial" w:eastAsia="黑体" w:hAnsi="Arial" w:cs="Arial"/>
                <w:color w:val="000000"/>
                <w:sz w:val="22"/>
                <w:szCs w:val="22"/>
              </w:rPr>
            </w:pPr>
            <w:r>
              <w:rPr>
                <w:rFonts w:ascii="Arial" w:eastAsia="黑体" w:hAnsi="Arial" w:cs="Arial" w:hint="eastAsia"/>
                <w:color w:val="000000"/>
                <w:sz w:val="22"/>
                <w:szCs w:val="22"/>
              </w:rPr>
              <w:t>应付</w:t>
            </w:r>
            <w:r w:rsidR="009D17C5">
              <w:rPr>
                <w:rFonts w:ascii="Arial" w:eastAsia="黑体" w:hAnsi="Arial" w:cs="Arial" w:hint="eastAsia"/>
                <w:color w:val="000000"/>
                <w:sz w:val="22"/>
                <w:szCs w:val="22"/>
              </w:rPr>
              <w:t>税费</w:t>
            </w:r>
          </w:p>
        </w:tc>
        <w:tc>
          <w:tcPr>
            <w:tcW w:w="4183" w:type="dxa"/>
            <w:tcBorders>
              <w:top w:val="single" w:sz="4" w:space="0" w:color="auto"/>
              <w:left w:val="nil"/>
              <w:bottom w:val="single" w:sz="4" w:space="0" w:color="auto"/>
              <w:right w:val="single" w:sz="4" w:space="0" w:color="auto"/>
            </w:tcBorders>
            <w:vAlign w:val="bottom"/>
          </w:tcPr>
          <w:p w:rsidR="00127E02" w:rsidRDefault="000F5712">
            <w:pPr>
              <w:widowControl/>
              <w:spacing w:line="360" w:lineRule="auto"/>
              <w:jc w:val="right"/>
              <w:rPr>
                <w:rFonts w:ascii="Arial" w:eastAsia="黑体" w:hAnsi="Arial" w:cs="Arial"/>
                <w:color w:val="000000"/>
                <w:sz w:val="22"/>
              </w:rPr>
            </w:pPr>
            <w:r w:rsidRPr="000F5712">
              <w:rPr>
                <w:rFonts w:ascii="Arial" w:eastAsia="黑体" w:hAnsi="Arial" w:cs="Arial"/>
                <w:color w:val="000000"/>
                <w:sz w:val="22"/>
              </w:rPr>
              <w:t>1,364.80</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color w:val="000000"/>
                <w:sz w:val="22"/>
                <w:szCs w:val="22"/>
              </w:rPr>
            </w:pPr>
            <w:r>
              <w:rPr>
                <w:rFonts w:ascii="Arial" w:eastAsia="黑体" w:hAnsi="Arial" w:cs="Arial"/>
                <w:color w:val="000000"/>
                <w:sz w:val="22"/>
                <w:szCs w:val="22"/>
              </w:rPr>
              <w:t>其他负债</w:t>
            </w:r>
          </w:p>
        </w:tc>
        <w:tc>
          <w:tcPr>
            <w:tcW w:w="4183" w:type="dxa"/>
            <w:tcBorders>
              <w:top w:val="single" w:sz="4" w:space="0" w:color="auto"/>
              <w:left w:val="nil"/>
              <w:bottom w:val="single" w:sz="4" w:space="0" w:color="auto"/>
              <w:right w:val="single" w:sz="4" w:space="0" w:color="auto"/>
            </w:tcBorders>
            <w:vAlign w:val="bottom"/>
          </w:tcPr>
          <w:p w:rsidR="00127E02" w:rsidRDefault="000F5712">
            <w:pPr>
              <w:widowControl/>
              <w:spacing w:line="360" w:lineRule="auto"/>
              <w:jc w:val="right"/>
              <w:rPr>
                <w:rFonts w:ascii="Arial" w:eastAsia="黑体" w:hAnsi="Arial" w:cs="Arial"/>
                <w:color w:val="000000"/>
                <w:sz w:val="22"/>
              </w:rPr>
            </w:pPr>
            <w:r w:rsidRPr="000F5712">
              <w:rPr>
                <w:rFonts w:ascii="Arial" w:eastAsia="黑体" w:hAnsi="Arial" w:cs="Arial"/>
                <w:color w:val="000000"/>
                <w:sz w:val="22"/>
              </w:rPr>
              <w:t>96,123.52</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sz w:val="22"/>
                <w:szCs w:val="22"/>
              </w:rPr>
              <w:t>负债合计</w:t>
            </w:r>
          </w:p>
        </w:tc>
        <w:tc>
          <w:tcPr>
            <w:tcW w:w="4183" w:type="dxa"/>
            <w:tcBorders>
              <w:top w:val="single" w:sz="4" w:space="0" w:color="auto"/>
              <w:left w:val="nil"/>
              <w:bottom w:val="single" w:sz="4" w:space="0" w:color="auto"/>
              <w:right w:val="single" w:sz="4" w:space="0" w:color="auto"/>
            </w:tcBorders>
            <w:vAlign w:val="bottom"/>
          </w:tcPr>
          <w:p w:rsidR="00127E02" w:rsidRDefault="000F5712">
            <w:pPr>
              <w:widowControl/>
              <w:spacing w:line="360" w:lineRule="auto"/>
              <w:jc w:val="right"/>
              <w:rPr>
                <w:rFonts w:ascii="Arial" w:eastAsia="黑体" w:hAnsi="Arial" w:cs="Arial"/>
                <w:sz w:val="22"/>
              </w:rPr>
            </w:pPr>
            <w:r w:rsidRPr="000F5712">
              <w:rPr>
                <w:rFonts w:ascii="Arial" w:eastAsia="黑体" w:hAnsi="Arial" w:cs="Arial"/>
                <w:color w:val="000000"/>
                <w:sz w:val="22"/>
              </w:rPr>
              <w:t>122,010.74</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b/>
                <w:bCs/>
                <w:sz w:val="22"/>
                <w:szCs w:val="22"/>
              </w:rPr>
              <w:t>所有者权益：</w:t>
            </w:r>
          </w:p>
        </w:tc>
        <w:tc>
          <w:tcPr>
            <w:tcW w:w="4183" w:type="dxa"/>
            <w:tcBorders>
              <w:top w:val="single" w:sz="4" w:space="0" w:color="auto"/>
              <w:left w:val="nil"/>
              <w:bottom w:val="single" w:sz="4" w:space="0" w:color="auto"/>
              <w:right w:val="single" w:sz="4" w:space="0" w:color="auto"/>
            </w:tcBorders>
            <w:vAlign w:val="bottom"/>
          </w:tcPr>
          <w:p w:rsidR="00127E02" w:rsidRDefault="00127E02">
            <w:pPr>
              <w:pStyle w:val="a9"/>
              <w:spacing w:line="360" w:lineRule="auto"/>
              <w:jc w:val="right"/>
              <w:rPr>
                <w:rFonts w:ascii="Arial" w:eastAsia="黑体" w:hAnsi="Arial" w:cs="Arial"/>
                <w:sz w:val="22"/>
                <w:szCs w:val="22"/>
              </w:rPr>
            </w:pP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b/>
                <w:bCs/>
                <w:sz w:val="22"/>
                <w:szCs w:val="22"/>
              </w:rPr>
            </w:pPr>
            <w:r>
              <w:rPr>
                <w:rFonts w:ascii="Arial" w:eastAsia="黑体" w:hAnsi="Arial" w:cs="Arial"/>
                <w:sz w:val="22"/>
                <w:szCs w:val="22"/>
              </w:rPr>
              <w:t>实收基金</w:t>
            </w:r>
          </w:p>
        </w:tc>
        <w:tc>
          <w:tcPr>
            <w:tcW w:w="4183" w:type="dxa"/>
            <w:tcBorders>
              <w:top w:val="single" w:sz="4" w:space="0" w:color="auto"/>
              <w:left w:val="nil"/>
              <w:bottom w:val="single" w:sz="4" w:space="0" w:color="auto"/>
              <w:right w:val="single" w:sz="4" w:space="0" w:color="auto"/>
            </w:tcBorders>
            <w:vAlign w:val="bottom"/>
          </w:tcPr>
          <w:p w:rsidR="00127E02" w:rsidRDefault="000F5712">
            <w:pPr>
              <w:pStyle w:val="a9"/>
              <w:spacing w:line="360" w:lineRule="auto"/>
              <w:jc w:val="right"/>
              <w:rPr>
                <w:rFonts w:ascii="Arial" w:eastAsia="黑体" w:hAnsi="Arial" w:cs="Arial"/>
                <w:sz w:val="22"/>
                <w:szCs w:val="22"/>
              </w:rPr>
            </w:pPr>
            <w:r w:rsidRPr="000F5712">
              <w:rPr>
                <w:rFonts w:ascii="Arial" w:eastAsia="黑体" w:hAnsi="Arial" w:cs="Arial"/>
                <w:color w:val="000000"/>
                <w:sz w:val="22"/>
                <w:szCs w:val="22"/>
              </w:rPr>
              <w:t>8,092,575.67</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sz w:val="22"/>
                <w:szCs w:val="22"/>
              </w:rPr>
              <w:t>未分配利润</w:t>
            </w:r>
          </w:p>
        </w:tc>
        <w:tc>
          <w:tcPr>
            <w:tcW w:w="4183" w:type="dxa"/>
            <w:tcBorders>
              <w:top w:val="single" w:sz="4" w:space="0" w:color="auto"/>
              <w:left w:val="nil"/>
              <w:bottom w:val="single" w:sz="4" w:space="0" w:color="auto"/>
              <w:right w:val="single" w:sz="4" w:space="0" w:color="auto"/>
            </w:tcBorders>
            <w:vAlign w:val="bottom"/>
          </w:tcPr>
          <w:p w:rsidR="00127E02" w:rsidRDefault="000F5712">
            <w:pPr>
              <w:pStyle w:val="a9"/>
              <w:spacing w:line="360" w:lineRule="auto"/>
              <w:jc w:val="right"/>
              <w:rPr>
                <w:rFonts w:ascii="Arial" w:eastAsia="黑体" w:hAnsi="Arial" w:cs="Arial"/>
                <w:sz w:val="22"/>
                <w:szCs w:val="22"/>
              </w:rPr>
            </w:pPr>
            <w:r w:rsidRPr="000F5712">
              <w:rPr>
                <w:rFonts w:ascii="Arial" w:eastAsia="黑体" w:hAnsi="Arial" w:cs="Arial"/>
                <w:color w:val="000000"/>
                <w:sz w:val="22"/>
                <w:szCs w:val="22"/>
              </w:rPr>
              <w:t>82,625.09</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sz w:val="22"/>
                <w:szCs w:val="22"/>
              </w:rPr>
              <w:t>所有者权益合计</w:t>
            </w:r>
          </w:p>
        </w:tc>
        <w:tc>
          <w:tcPr>
            <w:tcW w:w="4183" w:type="dxa"/>
            <w:tcBorders>
              <w:top w:val="single" w:sz="4" w:space="0" w:color="auto"/>
              <w:left w:val="nil"/>
              <w:bottom w:val="single" w:sz="4" w:space="0" w:color="auto"/>
              <w:right w:val="single" w:sz="4" w:space="0" w:color="auto"/>
            </w:tcBorders>
            <w:vAlign w:val="bottom"/>
          </w:tcPr>
          <w:p w:rsidR="00127E02" w:rsidRDefault="000F5712">
            <w:pPr>
              <w:pStyle w:val="a9"/>
              <w:spacing w:line="360" w:lineRule="auto"/>
              <w:jc w:val="right"/>
              <w:rPr>
                <w:rFonts w:ascii="Arial" w:eastAsia="黑体" w:hAnsi="Arial" w:cs="Arial"/>
                <w:sz w:val="22"/>
                <w:szCs w:val="22"/>
              </w:rPr>
            </w:pPr>
            <w:r w:rsidRPr="000F5712">
              <w:rPr>
                <w:rFonts w:ascii="Arial" w:eastAsia="黑体" w:hAnsi="Arial" w:cs="Arial"/>
                <w:color w:val="000000"/>
                <w:sz w:val="22"/>
                <w:szCs w:val="22"/>
              </w:rPr>
              <w:t>8,175,200.76</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Default="009D17C5">
            <w:pPr>
              <w:pStyle w:val="a9"/>
              <w:spacing w:line="360" w:lineRule="auto"/>
              <w:rPr>
                <w:rFonts w:ascii="Arial" w:eastAsia="黑体" w:hAnsi="Arial" w:cs="Arial"/>
                <w:sz w:val="22"/>
                <w:szCs w:val="22"/>
              </w:rPr>
            </w:pPr>
            <w:r>
              <w:rPr>
                <w:rFonts w:ascii="Arial" w:eastAsia="黑体" w:hAnsi="Arial" w:cs="Arial"/>
                <w:sz w:val="22"/>
                <w:szCs w:val="22"/>
              </w:rPr>
              <w:t>负债和所有者权益总计</w:t>
            </w:r>
          </w:p>
        </w:tc>
        <w:tc>
          <w:tcPr>
            <w:tcW w:w="4183" w:type="dxa"/>
            <w:tcBorders>
              <w:top w:val="single" w:sz="4" w:space="0" w:color="auto"/>
              <w:left w:val="nil"/>
              <w:bottom w:val="single" w:sz="4" w:space="0" w:color="auto"/>
              <w:right w:val="single" w:sz="4" w:space="0" w:color="auto"/>
            </w:tcBorders>
            <w:vAlign w:val="bottom"/>
          </w:tcPr>
          <w:p w:rsidR="00127E02" w:rsidRDefault="000F5712">
            <w:pPr>
              <w:widowControl/>
              <w:spacing w:line="360" w:lineRule="auto"/>
              <w:jc w:val="right"/>
              <w:rPr>
                <w:rFonts w:ascii="Arial" w:eastAsia="黑体" w:hAnsi="Arial" w:cs="Arial"/>
                <w:sz w:val="22"/>
              </w:rPr>
            </w:pPr>
            <w:r w:rsidRPr="000F5712">
              <w:rPr>
                <w:rFonts w:ascii="Arial" w:eastAsia="黑体" w:hAnsi="Arial" w:cs="Arial"/>
                <w:color w:val="000000"/>
                <w:sz w:val="22"/>
              </w:rPr>
              <w:t>8,297,211.50</w:t>
            </w:r>
          </w:p>
        </w:tc>
      </w:tr>
    </w:tbl>
    <w:p w:rsidR="00127E02" w:rsidRPr="000C5675" w:rsidRDefault="009D17C5" w:rsidP="000C5675">
      <w:pPr>
        <w:spacing w:line="360" w:lineRule="auto"/>
        <w:ind w:firstLine="480"/>
        <w:jc w:val="left"/>
        <w:rPr>
          <w:rFonts w:ascii="宋体" w:eastAsia="宋体" w:hAnsi="宋体"/>
          <w:color w:val="2C2C2C"/>
          <w:sz w:val="24"/>
          <w:szCs w:val="24"/>
        </w:rPr>
      </w:pPr>
      <w:r>
        <w:rPr>
          <w:rFonts w:ascii="宋体" w:eastAsia="宋体" w:hAnsi="宋体" w:hint="eastAsia"/>
          <w:color w:val="2C2C2C"/>
          <w:sz w:val="24"/>
          <w:szCs w:val="24"/>
        </w:rPr>
        <w:t>注:报告截止日2018年</w:t>
      </w:r>
      <w:r w:rsidR="000F5712">
        <w:rPr>
          <w:rFonts w:ascii="宋体" w:eastAsia="宋体" w:hAnsi="宋体" w:hint="eastAsia"/>
          <w:color w:val="2C2C2C"/>
          <w:sz w:val="24"/>
          <w:szCs w:val="24"/>
        </w:rPr>
        <w:t>8</w:t>
      </w:r>
      <w:r>
        <w:rPr>
          <w:rFonts w:ascii="宋体" w:eastAsia="宋体" w:hAnsi="宋体" w:hint="eastAsia"/>
          <w:color w:val="2C2C2C"/>
          <w:sz w:val="24"/>
          <w:szCs w:val="24"/>
        </w:rPr>
        <w:t>月</w:t>
      </w:r>
      <w:r w:rsidR="000F5712">
        <w:rPr>
          <w:rFonts w:ascii="宋体" w:eastAsia="宋体" w:hAnsi="宋体" w:hint="eastAsia"/>
          <w:color w:val="2C2C2C"/>
          <w:sz w:val="24"/>
          <w:szCs w:val="24"/>
        </w:rPr>
        <w:t>15</w:t>
      </w:r>
      <w:r>
        <w:rPr>
          <w:rFonts w:ascii="宋体" w:eastAsia="宋体" w:hAnsi="宋体" w:hint="eastAsia"/>
          <w:color w:val="2C2C2C"/>
          <w:sz w:val="24"/>
          <w:szCs w:val="24"/>
        </w:rPr>
        <w:t>日(基金最后运作日),基金份额净值1</w:t>
      </w:r>
      <w:r w:rsidR="000F5712">
        <w:rPr>
          <w:rFonts w:ascii="宋体" w:eastAsia="宋体" w:hAnsi="宋体" w:hint="eastAsia"/>
          <w:color w:val="2C2C2C"/>
          <w:sz w:val="24"/>
          <w:szCs w:val="24"/>
        </w:rPr>
        <w:t>.0102</w:t>
      </w:r>
      <w:r>
        <w:rPr>
          <w:rFonts w:ascii="宋体" w:eastAsia="宋体" w:hAnsi="宋体" w:hint="eastAsia"/>
          <w:color w:val="2C2C2C"/>
          <w:sz w:val="24"/>
          <w:szCs w:val="24"/>
        </w:rPr>
        <w:t>元,基金份额总额</w:t>
      </w:r>
      <w:r w:rsidR="000F5712">
        <w:rPr>
          <w:rFonts w:ascii="宋体" w:eastAsia="宋体" w:hAnsi="宋体" w:hint="eastAsia"/>
          <w:color w:val="2C2C2C"/>
          <w:sz w:val="24"/>
          <w:szCs w:val="24"/>
        </w:rPr>
        <w:t>8,092,575.67</w:t>
      </w:r>
      <w:r>
        <w:rPr>
          <w:rFonts w:ascii="宋体" w:eastAsia="宋体" w:hAnsi="宋体" w:hint="eastAsia"/>
          <w:color w:val="2C2C2C"/>
          <w:sz w:val="24"/>
          <w:szCs w:val="24"/>
        </w:rPr>
        <w:t>份。</w:t>
      </w:r>
    </w:p>
    <w:p w:rsidR="00127E02" w:rsidRDefault="00127E02">
      <w:pPr>
        <w:pStyle w:val="21"/>
        <w:kinsoku w:val="0"/>
        <w:overflowPunct w:val="0"/>
        <w:spacing w:line="360" w:lineRule="auto"/>
        <w:ind w:right="75"/>
        <w:jc w:val="both"/>
        <w:outlineLvl w:val="9"/>
        <w:rPr>
          <w:rFonts w:ascii="宋体" w:eastAsia="宋体" w:cs="宋体"/>
          <w:b w:val="0"/>
          <w:bCs w:val="0"/>
          <w:sz w:val="24"/>
          <w:szCs w:val="24"/>
        </w:rPr>
      </w:pPr>
    </w:p>
    <w:p w:rsidR="00127E02" w:rsidRDefault="009D17C5">
      <w:pPr>
        <w:pStyle w:val="21"/>
        <w:numPr>
          <w:ilvl w:val="0"/>
          <w:numId w:val="1"/>
        </w:numPr>
        <w:kinsoku w:val="0"/>
        <w:overflowPunct w:val="0"/>
        <w:spacing w:line="360" w:lineRule="auto"/>
        <w:ind w:right="75"/>
        <w:outlineLvl w:val="9"/>
        <w:rPr>
          <w:rFonts w:ascii="宋体" w:eastAsia="宋体" w:hAnsi="宋体"/>
        </w:rPr>
      </w:pPr>
      <w:r>
        <w:rPr>
          <w:rFonts w:ascii="宋体" w:eastAsia="宋体" w:hAnsi="宋体" w:hint="eastAsia"/>
        </w:rPr>
        <w:t>清算情况</w:t>
      </w:r>
    </w:p>
    <w:p w:rsidR="00127E02" w:rsidRPr="00A8206A" w:rsidRDefault="00A8206A">
      <w:pPr>
        <w:pStyle w:val="21"/>
        <w:kinsoku w:val="0"/>
        <w:overflowPunct w:val="0"/>
        <w:spacing w:line="360" w:lineRule="auto"/>
        <w:ind w:right="75" w:firstLineChars="200" w:firstLine="480"/>
        <w:jc w:val="both"/>
        <w:outlineLvl w:val="9"/>
        <w:rPr>
          <w:rFonts w:asciiTheme="minorEastAsia" w:eastAsia="宋体" w:hAnsiTheme="minorEastAsia" w:cs="Arial"/>
          <w:b w:val="0"/>
          <w:bCs w:val="0"/>
          <w:sz w:val="24"/>
          <w:szCs w:val="24"/>
        </w:rPr>
      </w:pPr>
      <w:r w:rsidRPr="00A8206A">
        <w:rPr>
          <w:rFonts w:asciiTheme="minorEastAsia" w:eastAsia="宋体" w:hAnsiTheme="minorEastAsia" w:cs="Arial" w:hint="eastAsia"/>
          <w:b w:val="0"/>
          <w:bCs w:val="0"/>
          <w:sz w:val="24"/>
          <w:szCs w:val="24"/>
        </w:rPr>
        <w:t>自2018年8月16日至2018年8月29日止的清算期间，本基金基金财产清算小组对本基金的资产、负债进行清算，全部清算工作按清算原则和清算手续进行。基金资产处置、负债清偿及基金净资产分配情况如下：</w:t>
      </w:r>
    </w:p>
    <w:p w:rsidR="00127E02" w:rsidRDefault="009D17C5">
      <w:pPr>
        <w:pStyle w:val="21"/>
        <w:kinsoku w:val="0"/>
        <w:overflowPunct w:val="0"/>
        <w:spacing w:line="360" w:lineRule="auto"/>
        <w:ind w:right="75" w:firstLineChars="200" w:firstLine="480"/>
        <w:jc w:val="both"/>
        <w:outlineLvl w:val="9"/>
        <w:rPr>
          <w:rFonts w:asciiTheme="minorEastAsia" w:eastAsia="宋体" w:hAnsiTheme="minorEastAsia" w:cs="Arial"/>
          <w:b w:val="0"/>
          <w:bCs w:val="0"/>
          <w:sz w:val="24"/>
          <w:szCs w:val="24"/>
        </w:rPr>
      </w:pPr>
      <w:r>
        <w:rPr>
          <w:rFonts w:asciiTheme="minorEastAsia" w:eastAsia="宋体" w:hAnsiTheme="minorEastAsia" w:cs="Arial"/>
          <w:b w:val="0"/>
          <w:bCs w:val="0"/>
          <w:sz w:val="24"/>
          <w:szCs w:val="24"/>
        </w:rPr>
        <w:t>1、</w:t>
      </w:r>
      <w:r>
        <w:rPr>
          <w:rFonts w:asciiTheme="minorEastAsia" w:eastAsia="宋体" w:hAnsiTheme="minorEastAsia" w:cs="Arial"/>
          <w:b w:val="0"/>
          <w:bCs w:val="0"/>
          <w:sz w:val="24"/>
          <w:szCs w:val="24"/>
        </w:rPr>
        <w:tab/>
        <w:t>资产处置情况</w:t>
      </w:r>
    </w:p>
    <w:p w:rsidR="00A8206A" w:rsidRPr="00A8206A" w:rsidRDefault="00A8206A" w:rsidP="00A8206A">
      <w:pPr>
        <w:pStyle w:val="a5"/>
        <w:numPr>
          <w:ilvl w:val="0"/>
          <w:numId w:val="2"/>
        </w:numPr>
        <w:spacing w:line="360" w:lineRule="auto"/>
        <w:jc w:val="both"/>
        <w:rPr>
          <w:rFonts w:hAnsi="宋体"/>
        </w:rPr>
      </w:pPr>
      <w:r w:rsidRPr="00A8206A">
        <w:rPr>
          <w:rFonts w:asciiTheme="minorEastAsia" w:hAnsiTheme="minorEastAsia" w:cs="Arial" w:hint="eastAsia"/>
        </w:rPr>
        <w:t>本基金最后运作日应收利息人民币434,922.41元，包括应收银行存款利息人民币27,244.12元、应收交易保证金利息人民币0.48元及应收债券利息人民币407,677.81元。截至2018年8月29日应收利息余额为人民币458,706.17元，其中应收银行存款利息人民币28,106.24元、应收交易保证金利息人民币0.48元及应收债</w:t>
      </w:r>
      <w:r w:rsidRPr="00A8206A">
        <w:rPr>
          <w:rFonts w:hAnsi="宋体" w:hint="eastAsia"/>
        </w:rPr>
        <w:t>券利息人民币430,599.45元，该款项将于第二次清算时再向基金份额持有人分配。</w:t>
      </w:r>
    </w:p>
    <w:p w:rsidR="00127E02" w:rsidRPr="00A8206A" w:rsidRDefault="00A8206A" w:rsidP="00A8206A">
      <w:pPr>
        <w:pStyle w:val="a5"/>
        <w:numPr>
          <w:ilvl w:val="0"/>
          <w:numId w:val="2"/>
        </w:numPr>
        <w:spacing w:line="360" w:lineRule="auto"/>
        <w:jc w:val="both"/>
        <w:rPr>
          <w:rFonts w:hAnsi="宋体"/>
        </w:rPr>
      </w:pPr>
      <w:r w:rsidRPr="00A8206A">
        <w:rPr>
          <w:rFonts w:hAnsi="宋体" w:hint="eastAsia"/>
        </w:rPr>
        <w:t>本基金最后运作日交易性金融资产人民币4,707,000.00元，系因重大事项停牌而未能变现的流通受限债券，其明细如下：</w:t>
      </w:r>
    </w:p>
    <w:p w:rsidR="00A8206A" w:rsidRPr="00A8206A" w:rsidRDefault="00BA2374" w:rsidP="00A8206A">
      <w:pPr>
        <w:pStyle w:val="ab"/>
        <w:overflowPunct w:val="0"/>
        <w:autoSpaceDE w:val="0"/>
        <w:autoSpaceDN w:val="0"/>
        <w:snapToGrid w:val="0"/>
        <w:ind w:left="1129" w:right="110" w:firstLineChars="0" w:firstLine="0"/>
        <w:jc w:val="right"/>
        <w:rPr>
          <w:rFonts w:ascii="宋体" w:hAnsi="宋体" w:cs="Arial"/>
          <w:sz w:val="22"/>
        </w:rPr>
      </w:pPr>
      <w:r w:rsidRPr="00BA2374">
        <w:rPr>
          <w:rFonts w:ascii="宋体" w:hAnsi="宋体" w:cs="Arial" w:hint="eastAsia"/>
          <w:sz w:val="22"/>
        </w:rPr>
        <w:t>单位：人民币元</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559"/>
        <w:gridCol w:w="1559"/>
        <w:gridCol w:w="1427"/>
        <w:gridCol w:w="1834"/>
        <w:gridCol w:w="1984"/>
      </w:tblGrid>
      <w:tr w:rsidR="00A8206A" w:rsidRPr="00CC2982" w:rsidTr="00A8206A">
        <w:tc>
          <w:tcPr>
            <w:tcW w:w="1134" w:type="dxa"/>
            <w:shd w:val="clear" w:color="auto" w:fill="auto"/>
            <w:vAlign w:val="bottom"/>
          </w:tcPr>
          <w:p w:rsidR="00A8206A" w:rsidRPr="00A8206A" w:rsidRDefault="00A8206A" w:rsidP="00A8206A">
            <w:pPr>
              <w:overflowPunct w:val="0"/>
              <w:autoSpaceDE w:val="0"/>
              <w:autoSpaceDN w:val="0"/>
              <w:snapToGrid w:val="0"/>
              <w:jc w:val="center"/>
              <w:rPr>
                <w:rFonts w:ascii="宋体" w:hAnsi="宋体" w:cs="Arial"/>
                <w:sz w:val="24"/>
                <w:szCs w:val="24"/>
              </w:rPr>
            </w:pPr>
            <w:r w:rsidRPr="00A8206A">
              <w:rPr>
                <w:rFonts w:ascii="宋体" w:hAnsi="宋体" w:cs="Arial"/>
                <w:sz w:val="24"/>
                <w:szCs w:val="24"/>
              </w:rPr>
              <w:t>债券</w:t>
            </w:r>
          </w:p>
          <w:p w:rsidR="00A8206A" w:rsidRPr="00A8206A" w:rsidRDefault="00A8206A" w:rsidP="00A8206A">
            <w:pPr>
              <w:overflowPunct w:val="0"/>
              <w:autoSpaceDE w:val="0"/>
              <w:autoSpaceDN w:val="0"/>
              <w:snapToGrid w:val="0"/>
              <w:jc w:val="center"/>
              <w:rPr>
                <w:rFonts w:ascii="宋体" w:hAnsi="宋体" w:cs="Arial"/>
                <w:sz w:val="24"/>
                <w:szCs w:val="24"/>
              </w:rPr>
            </w:pPr>
            <w:r w:rsidRPr="00A8206A">
              <w:rPr>
                <w:rFonts w:ascii="宋体" w:hAnsi="宋体" w:cs="Arial"/>
                <w:sz w:val="24"/>
                <w:szCs w:val="24"/>
              </w:rPr>
              <w:t>代码</w:t>
            </w:r>
          </w:p>
        </w:tc>
        <w:tc>
          <w:tcPr>
            <w:tcW w:w="1559" w:type="dxa"/>
            <w:shd w:val="clear" w:color="auto" w:fill="auto"/>
            <w:vAlign w:val="bottom"/>
          </w:tcPr>
          <w:p w:rsidR="00A8206A" w:rsidRPr="00A8206A" w:rsidRDefault="00A8206A" w:rsidP="00A8206A">
            <w:pPr>
              <w:overflowPunct w:val="0"/>
              <w:autoSpaceDE w:val="0"/>
              <w:autoSpaceDN w:val="0"/>
              <w:snapToGrid w:val="0"/>
              <w:jc w:val="center"/>
              <w:rPr>
                <w:rFonts w:ascii="宋体" w:hAnsi="宋体" w:cs="Arial"/>
                <w:sz w:val="24"/>
                <w:szCs w:val="24"/>
              </w:rPr>
            </w:pPr>
            <w:r w:rsidRPr="00A8206A">
              <w:rPr>
                <w:rFonts w:ascii="宋体" w:hAnsi="宋体" w:cs="Arial"/>
                <w:sz w:val="24"/>
                <w:szCs w:val="24"/>
              </w:rPr>
              <w:t>债券</w:t>
            </w:r>
          </w:p>
          <w:p w:rsidR="00A8206A" w:rsidRPr="00A8206A" w:rsidRDefault="00A8206A" w:rsidP="00A8206A">
            <w:pPr>
              <w:overflowPunct w:val="0"/>
              <w:autoSpaceDE w:val="0"/>
              <w:autoSpaceDN w:val="0"/>
              <w:snapToGrid w:val="0"/>
              <w:jc w:val="center"/>
              <w:rPr>
                <w:rFonts w:ascii="宋体" w:hAnsi="宋体" w:cs="Arial"/>
                <w:sz w:val="24"/>
                <w:szCs w:val="24"/>
              </w:rPr>
            </w:pPr>
            <w:r w:rsidRPr="00A8206A">
              <w:rPr>
                <w:rFonts w:ascii="宋体" w:hAnsi="宋体" w:cs="Arial"/>
                <w:sz w:val="24"/>
                <w:szCs w:val="24"/>
              </w:rPr>
              <w:t>名称</w:t>
            </w:r>
          </w:p>
        </w:tc>
        <w:tc>
          <w:tcPr>
            <w:tcW w:w="1559" w:type="dxa"/>
            <w:shd w:val="clear" w:color="auto" w:fill="auto"/>
            <w:vAlign w:val="bottom"/>
          </w:tcPr>
          <w:p w:rsidR="00A8206A" w:rsidRPr="00A8206A" w:rsidRDefault="00A8206A" w:rsidP="00A8206A">
            <w:pPr>
              <w:overflowPunct w:val="0"/>
              <w:autoSpaceDE w:val="0"/>
              <w:autoSpaceDN w:val="0"/>
              <w:snapToGrid w:val="0"/>
              <w:ind w:rightChars="-38" w:right="-80"/>
              <w:jc w:val="center"/>
              <w:rPr>
                <w:rFonts w:ascii="宋体" w:hAnsi="宋体" w:cs="Arial"/>
                <w:sz w:val="24"/>
                <w:szCs w:val="24"/>
              </w:rPr>
            </w:pPr>
            <w:r w:rsidRPr="00A8206A">
              <w:rPr>
                <w:rFonts w:ascii="宋体" w:hAnsi="宋体" w:cs="Arial"/>
                <w:sz w:val="24"/>
                <w:szCs w:val="24"/>
              </w:rPr>
              <w:t>最后运作日</w:t>
            </w:r>
          </w:p>
          <w:p w:rsidR="00A8206A" w:rsidRPr="00A8206A" w:rsidRDefault="00A8206A" w:rsidP="00A8206A">
            <w:pPr>
              <w:overflowPunct w:val="0"/>
              <w:autoSpaceDE w:val="0"/>
              <w:autoSpaceDN w:val="0"/>
              <w:snapToGrid w:val="0"/>
              <w:ind w:rightChars="-38" w:right="-80"/>
              <w:jc w:val="center"/>
              <w:rPr>
                <w:rFonts w:ascii="宋体" w:hAnsi="宋体" w:cs="Arial"/>
                <w:sz w:val="24"/>
                <w:szCs w:val="24"/>
              </w:rPr>
            </w:pPr>
            <w:r w:rsidRPr="00A8206A">
              <w:rPr>
                <w:rFonts w:ascii="宋体" w:hAnsi="宋体" w:cs="Arial"/>
                <w:sz w:val="24"/>
                <w:szCs w:val="24"/>
              </w:rPr>
              <w:t>估值单价</w:t>
            </w:r>
          </w:p>
        </w:tc>
        <w:tc>
          <w:tcPr>
            <w:tcW w:w="1427" w:type="dxa"/>
            <w:shd w:val="clear" w:color="auto" w:fill="auto"/>
            <w:vAlign w:val="bottom"/>
          </w:tcPr>
          <w:p w:rsidR="00A8206A" w:rsidRPr="00A8206A" w:rsidRDefault="00A8206A" w:rsidP="00A8206A">
            <w:pPr>
              <w:overflowPunct w:val="0"/>
              <w:autoSpaceDE w:val="0"/>
              <w:autoSpaceDN w:val="0"/>
              <w:snapToGrid w:val="0"/>
              <w:ind w:rightChars="-38" w:right="-80"/>
              <w:jc w:val="center"/>
              <w:rPr>
                <w:rFonts w:ascii="宋体" w:hAnsi="宋体" w:cs="Arial"/>
                <w:sz w:val="24"/>
                <w:szCs w:val="24"/>
              </w:rPr>
            </w:pPr>
            <w:r w:rsidRPr="00A8206A">
              <w:rPr>
                <w:rFonts w:ascii="宋体" w:hAnsi="宋体" w:cs="Arial"/>
                <w:sz w:val="24"/>
                <w:szCs w:val="24"/>
              </w:rPr>
              <w:t>数量</w:t>
            </w:r>
          </w:p>
          <w:p w:rsidR="00A8206A" w:rsidRPr="00A8206A" w:rsidRDefault="00A8206A" w:rsidP="00A8206A">
            <w:pPr>
              <w:overflowPunct w:val="0"/>
              <w:autoSpaceDE w:val="0"/>
              <w:autoSpaceDN w:val="0"/>
              <w:snapToGrid w:val="0"/>
              <w:ind w:rightChars="-38" w:right="-80"/>
              <w:jc w:val="center"/>
              <w:rPr>
                <w:rFonts w:ascii="宋体" w:hAnsi="宋体" w:cs="Arial"/>
                <w:sz w:val="24"/>
                <w:szCs w:val="24"/>
              </w:rPr>
            </w:pPr>
            <w:r w:rsidRPr="00A8206A">
              <w:rPr>
                <w:rFonts w:ascii="宋体" w:hAnsi="宋体" w:cs="Arial"/>
                <w:sz w:val="24"/>
                <w:szCs w:val="24"/>
              </w:rPr>
              <w:t>(单位:张)</w:t>
            </w:r>
          </w:p>
        </w:tc>
        <w:tc>
          <w:tcPr>
            <w:tcW w:w="1834" w:type="dxa"/>
            <w:shd w:val="clear" w:color="auto" w:fill="auto"/>
            <w:vAlign w:val="bottom"/>
          </w:tcPr>
          <w:p w:rsidR="00A8206A" w:rsidRPr="00A8206A" w:rsidRDefault="00A8206A" w:rsidP="00A8206A">
            <w:pPr>
              <w:overflowPunct w:val="0"/>
              <w:autoSpaceDE w:val="0"/>
              <w:autoSpaceDN w:val="0"/>
              <w:snapToGrid w:val="0"/>
              <w:ind w:rightChars="-38" w:right="-80"/>
              <w:jc w:val="center"/>
              <w:rPr>
                <w:rFonts w:ascii="宋体" w:hAnsi="宋体" w:cs="Arial"/>
                <w:sz w:val="24"/>
                <w:szCs w:val="24"/>
              </w:rPr>
            </w:pPr>
            <w:r w:rsidRPr="00A8206A">
              <w:rPr>
                <w:rFonts w:ascii="宋体" w:hAnsi="宋体" w:cs="Arial"/>
                <w:sz w:val="24"/>
                <w:szCs w:val="24"/>
              </w:rPr>
              <w:t>最后运作日</w:t>
            </w:r>
          </w:p>
          <w:p w:rsidR="00A8206A" w:rsidRPr="00A8206A" w:rsidRDefault="00A8206A" w:rsidP="00A8206A">
            <w:pPr>
              <w:overflowPunct w:val="0"/>
              <w:autoSpaceDE w:val="0"/>
              <w:autoSpaceDN w:val="0"/>
              <w:snapToGrid w:val="0"/>
              <w:ind w:rightChars="-38" w:right="-80"/>
              <w:jc w:val="center"/>
              <w:rPr>
                <w:rFonts w:ascii="宋体" w:hAnsi="宋体" w:cs="Arial"/>
                <w:sz w:val="24"/>
                <w:szCs w:val="24"/>
              </w:rPr>
            </w:pPr>
            <w:r w:rsidRPr="00A8206A">
              <w:rPr>
                <w:rFonts w:ascii="宋体" w:hAnsi="宋体" w:cs="Arial"/>
                <w:sz w:val="24"/>
                <w:szCs w:val="24"/>
              </w:rPr>
              <w:t>成本总额</w:t>
            </w:r>
          </w:p>
        </w:tc>
        <w:tc>
          <w:tcPr>
            <w:tcW w:w="1984" w:type="dxa"/>
            <w:shd w:val="clear" w:color="auto" w:fill="auto"/>
            <w:vAlign w:val="bottom"/>
          </w:tcPr>
          <w:p w:rsidR="00A8206A" w:rsidRPr="00A8206A" w:rsidRDefault="00A8206A" w:rsidP="00A8206A">
            <w:pPr>
              <w:overflowPunct w:val="0"/>
              <w:autoSpaceDE w:val="0"/>
              <w:autoSpaceDN w:val="0"/>
              <w:snapToGrid w:val="0"/>
              <w:ind w:rightChars="-38" w:right="-80"/>
              <w:jc w:val="center"/>
              <w:rPr>
                <w:rFonts w:ascii="宋体" w:hAnsi="宋体" w:cs="Arial"/>
                <w:sz w:val="24"/>
                <w:szCs w:val="24"/>
              </w:rPr>
            </w:pPr>
            <w:r w:rsidRPr="00A8206A">
              <w:rPr>
                <w:rFonts w:ascii="宋体" w:hAnsi="宋体" w:cs="Arial"/>
                <w:sz w:val="24"/>
                <w:szCs w:val="24"/>
              </w:rPr>
              <w:t>最后运作日</w:t>
            </w:r>
          </w:p>
          <w:p w:rsidR="00A8206A" w:rsidRPr="00A8206A" w:rsidRDefault="00A8206A" w:rsidP="00A8206A">
            <w:pPr>
              <w:overflowPunct w:val="0"/>
              <w:autoSpaceDE w:val="0"/>
              <w:autoSpaceDN w:val="0"/>
              <w:snapToGrid w:val="0"/>
              <w:ind w:rightChars="-38" w:right="-80"/>
              <w:jc w:val="center"/>
              <w:rPr>
                <w:rFonts w:ascii="宋体" w:hAnsi="宋体" w:cs="Arial"/>
                <w:sz w:val="24"/>
                <w:szCs w:val="24"/>
              </w:rPr>
            </w:pPr>
            <w:r w:rsidRPr="00A8206A">
              <w:rPr>
                <w:rFonts w:ascii="宋体" w:hAnsi="宋体" w:cs="Arial"/>
                <w:sz w:val="24"/>
                <w:szCs w:val="24"/>
              </w:rPr>
              <w:t>估值总额</w:t>
            </w:r>
          </w:p>
        </w:tc>
      </w:tr>
      <w:tr w:rsidR="00A8206A" w:rsidRPr="00CC2982" w:rsidTr="00A8206A">
        <w:tc>
          <w:tcPr>
            <w:tcW w:w="1134" w:type="dxa"/>
            <w:shd w:val="clear" w:color="auto" w:fill="auto"/>
            <w:vAlign w:val="bottom"/>
          </w:tcPr>
          <w:p w:rsidR="00A8206A" w:rsidRPr="00A8206A" w:rsidRDefault="00A8206A" w:rsidP="00A8206A">
            <w:pPr>
              <w:overflowPunct w:val="0"/>
              <w:autoSpaceDE w:val="0"/>
              <w:autoSpaceDN w:val="0"/>
              <w:snapToGrid w:val="0"/>
              <w:jc w:val="center"/>
              <w:rPr>
                <w:rFonts w:ascii="宋体" w:hAnsi="宋体" w:cs="Arial"/>
                <w:sz w:val="24"/>
                <w:szCs w:val="24"/>
              </w:rPr>
            </w:pPr>
            <w:r w:rsidRPr="00A8206A">
              <w:rPr>
                <w:rFonts w:ascii="宋体" w:hAnsi="宋体" w:cs="Arial"/>
                <w:sz w:val="24"/>
                <w:szCs w:val="24"/>
              </w:rPr>
              <w:t>136093</w:t>
            </w:r>
          </w:p>
        </w:tc>
        <w:tc>
          <w:tcPr>
            <w:tcW w:w="1559" w:type="dxa"/>
            <w:shd w:val="clear" w:color="auto" w:fill="auto"/>
            <w:vAlign w:val="bottom"/>
          </w:tcPr>
          <w:p w:rsidR="00A8206A" w:rsidRPr="00A8206A" w:rsidRDefault="00A8206A" w:rsidP="00A8206A">
            <w:pPr>
              <w:overflowPunct w:val="0"/>
              <w:autoSpaceDE w:val="0"/>
              <w:autoSpaceDN w:val="0"/>
              <w:snapToGrid w:val="0"/>
              <w:jc w:val="center"/>
              <w:rPr>
                <w:rFonts w:ascii="宋体" w:hAnsi="宋体" w:cs="Arial"/>
                <w:sz w:val="24"/>
                <w:szCs w:val="24"/>
              </w:rPr>
            </w:pPr>
            <w:r w:rsidRPr="00A8206A">
              <w:rPr>
                <w:rFonts w:ascii="宋体" w:hAnsi="宋体" w:cs="Arial"/>
                <w:sz w:val="24"/>
                <w:szCs w:val="24"/>
              </w:rPr>
              <w:t>15华信债</w:t>
            </w:r>
          </w:p>
        </w:tc>
        <w:tc>
          <w:tcPr>
            <w:tcW w:w="1559" w:type="dxa"/>
            <w:shd w:val="clear" w:color="auto" w:fill="auto"/>
            <w:vAlign w:val="bottom"/>
          </w:tcPr>
          <w:p w:rsidR="00A8206A" w:rsidRPr="00A8206A" w:rsidRDefault="00A8206A" w:rsidP="00A8206A">
            <w:pPr>
              <w:overflowPunct w:val="0"/>
              <w:autoSpaceDE w:val="0"/>
              <w:autoSpaceDN w:val="0"/>
              <w:snapToGrid w:val="0"/>
              <w:jc w:val="right"/>
              <w:rPr>
                <w:rFonts w:ascii="宋体" w:hAnsi="宋体" w:cs="Arial"/>
                <w:sz w:val="24"/>
                <w:szCs w:val="24"/>
              </w:rPr>
            </w:pPr>
            <w:r w:rsidRPr="00A8206A">
              <w:rPr>
                <w:rFonts w:ascii="宋体" w:hAnsi="宋体" w:cs="Arial"/>
                <w:sz w:val="24"/>
                <w:szCs w:val="24"/>
              </w:rPr>
              <w:t>31.38</w:t>
            </w:r>
          </w:p>
        </w:tc>
        <w:tc>
          <w:tcPr>
            <w:tcW w:w="1427" w:type="dxa"/>
            <w:shd w:val="clear" w:color="auto" w:fill="auto"/>
            <w:vAlign w:val="bottom"/>
          </w:tcPr>
          <w:p w:rsidR="00A8206A" w:rsidRPr="00A8206A" w:rsidRDefault="00A8206A" w:rsidP="00A8206A">
            <w:pPr>
              <w:overflowPunct w:val="0"/>
              <w:autoSpaceDE w:val="0"/>
              <w:autoSpaceDN w:val="0"/>
              <w:snapToGrid w:val="0"/>
              <w:jc w:val="right"/>
              <w:rPr>
                <w:rFonts w:ascii="宋体" w:hAnsi="宋体" w:cs="Arial"/>
                <w:sz w:val="24"/>
                <w:szCs w:val="24"/>
              </w:rPr>
            </w:pPr>
            <w:r w:rsidRPr="00A8206A">
              <w:rPr>
                <w:rFonts w:ascii="宋体" w:hAnsi="宋体" w:cs="Arial"/>
                <w:sz w:val="24"/>
                <w:szCs w:val="24"/>
              </w:rPr>
              <w:t>150,000</w:t>
            </w:r>
          </w:p>
        </w:tc>
        <w:tc>
          <w:tcPr>
            <w:tcW w:w="1834" w:type="dxa"/>
            <w:shd w:val="clear" w:color="auto" w:fill="auto"/>
            <w:vAlign w:val="bottom"/>
          </w:tcPr>
          <w:p w:rsidR="00A8206A" w:rsidRPr="00A8206A" w:rsidRDefault="00A8206A" w:rsidP="00A8206A">
            <w:pPr>
              <w:overflowPunct w:val="0"/>
              <w:autoSpaceDE w:val="0"/>
              <w:autoSpaceDN w:val="0"/>
              <w:snapToGrid w:val="0"/>
              <w:jc w:val="right"/>
              <w:rPr>
                <w:rFonts w:ascii="宋体" w:hAnsi="宋体" w:cs="Arial"/>
                <w:sz w:val="24"/>
                <w:szCs w:val="24"/>
              </w:rPr>
            </w:pPr>
            <w:r w:rsidRPr="00A8206A">
              <w:rPr>
                <w:rFonts w:ascii="宋体" w:hAnsi="宋体" w:cs="Arial"/>
                <w:sz w:val="24"/>
                <w:szCs w:val="24"/>
              </w:rPr>
              <w:t>14,870,665.07</w:t>
            </w:r>
          </w:p>
        </w:tc>
        <w:tc>
          <w:tcPr>
            <w:tcW w:w="1984" w:type="dxa"/>
            <w:shd w:val="clear" w:color="auto" w:fill="auto"/>
            <w:vAlign w:val="bottom"/>
          </w:tcPr>
          <w:p w:rsidR="00A8206A" w:rsidRPr="00A8206A" w:rsidRDefault="00A8206A" w:rsidP="00A8206A">
            <w:pPr>
              <w:overflowPunct w:val="0"/>
              <w:autoSpaceDE w:val="0"/>
              <w:autoSpaceDN w:val="0"/>
              <w:snapToGrid w:val="0"/>
              <w:jc w:val="right"/>
              <w:rPr>
                <w:rFonts w:ascii="宋体" w:hAnsi="宋体" w:cs="Arial"/>
                <w:sz w:val="24"/>
                <w:szCs w:val="24"/>
              </w:rPr>
            </w:pPr>
            <w:r w:rsidRPr="00A8206A">
              <w:rPr>
                <w:rFonts w:ascii="宋体" w:hAnsi="宋体" w:cs="Arial"/>
                <w:sz w:val="24"/>
                <w:szCs w:val="24"/>
              </w:rPr>
              <w:t>4,707,000.00</w:t>
            </w:r>
          </w:p>
        </w:tc>
      </w:tr>
    </w:tbl>
    <w:p w:rsidR="00A8206A" w:rsidRDefault="00A8206A" w:rsidP="00062F89">
      <w:pPr>
        <w:pStyle w:val="a5"/>
        <w:spacing w:line="360" w:lineRule="auto"/>
        <w:ind w:left="420" w:firstLineChars="174" w:firstLine="418"/>
        <w:jc w:val="both"/>
        <w:rPr>
          <w:rFonts w:hAnsi="宋体"/>
        </w:rPr>
      </w:pPr>
    </w:p>
    <w:p w:rsidR="00A8206A" w:rsidRPr="00A8206A" w:rsidRDefault="00A8206A" w:rsidP="00A8206A">
      <w:pPr>
        <w:pStyle w:val="a5"/>
        <w:spacing w:line="360" w:lineRule="auto"/>
        <w:ind w:left="0" w:firstLineChars="250" w:firstLine="600"/>
        <w:jc w:val="both"/>
      </w:pPr>
      <w:r w:rsidRPr="00A8206A">
        <w:rPr>
          <w:rFonts w:hint="eastAsia"/>
        </w:rPr>
        <w:t>待停牌债券</w:t>
      </w:r>
      <w:r w:rsidR="00FF1EFB">
        <w:rPr>
          <w:rFonts w:hint="eastAsia"/>
        </w:rPr>
        <w:t>变现后，基金管理人将</w:t>
      </w:r>
      <w:r w:rsidRPr="00A8206A">
        <w:rPr>
          <w:rFonts w:hint="eastAsia"/>
        </w:rPr>
        <w:t>于第二次清算时再向基金份额持有人分配。于2018年8月29日，本基金持有停牌债券尚未复牌。</w:t>
      </w:r>
    </w:p>
    <w:p w:rsidR="00127E02" w:rsidRPr="00BA2374" w:rsidRDefault="00127E02">
      <w:pPr>
        <w:overflowPunct w:val="0"/>
        <w:autoSpaceDE w:val="0"/>
        <w:autoSpaceDN w:val="0"/>
        <w:snapToGrid w:val="0"/>
        <w:spacing w:line="360" w:lineRule="auto"/>
        <w:ind w:left="1129"/>
        <w:rPr>
          <w:rFonts w:asciiTheme="minorEastAsia" w:eastAsia="宋体" w:hAnsiTheme="minorEastAsia" w:cs="Arial"/>
          <w:kern w:val="0"/>
          <w:sz w:val="24"/>
          <w:szCs w:val="24"/>
        </w:rPr>
      </w:pPr>
    </w:p>
    <w:p w:rsidR="00127E02" w:rsidRDefault="009D17C5">
      <w:pPr>
        <w:pStyle w:val="21"/>
        <w:kinsoku w:val="0"/>
        <w:overflowPunct w:val="0"/>
        <w:spacing w:line="360" w:lineRule="auto"/>
        <w:ind w:right="75" w:firstLineChars="200" w:firstLine="480"/>
        <w:outlineLvl w:val="9"/>
        <w:rPr>
          <w:rFonts w:asciiTheme="minorEastAsia" w:eastAsia="宋体" w:hAnsiTheme="minorEastAsia" w:cs="Arial"/>
          <w:sz w:val="24"/>
          <w:szCs w:val="24"/>
        </w:rPr>
      </w:pPr>
      <w:r>
        <w:rPr>
          <w:rFonts w:asciiTheme="minorEastAsia" w:eastAsia="宋体" w:hAnsiTheme="minorEastAsia" w:cs="Arial"/>
          <w:b w:val="0"/>
          <w:bCs w:val="0"/>
          <w:sz w:val="24"/>
          <w:szCs w:val="24"/>
        </w:rPr>
        <w:t>2、</w:t>
      </w:r>
      <w:r>
        <w:rPr>
          <w:rFonts w:asciiTheme="minorEastAsia" w:eastAsia="宋体" w:hAnsiTheme="minorEastAsia" w:cs="Arial"/>
          <w:b w:val="0"/>
          <w:bCs w:val="0"/>
          <w:sz w:val="24"/>
          <w:szCs w:val="24"/>
        </w:rPr>
        <w:tab/>
        <w:t>负债清偿情况</w:t>
      </w:r>
    </w:p>
    <w:p w:rsidR="00373804" w:rsidRPr="00373804" w:rsidRDefault="00373804" w:rsidP="00373804">
      <w:pPr>
        <w:numPr>
          <w:ilvl w:val="0"/>
          <w:numId w:val="3"/>
        </w:numPr>
        <w:overflowPunct w:val="0"/>
        <w:autoSpaceDE w:val="0"/>
        <w:autoSpaceDN w:val="0"/>
        <w:snapToGrid w:val="0"/>
        <w:spacing w:line="360" w:lineRule="auto"/>
        <w:rPr>
          <w:rFonts w:asciiTheme="minorEastAsia" w:eastAsia="宋体" w:hAnsiTheme="minorEastAsia" w:cs="Arial"/>
          <w:kern w:val="0"/>
          <w:sz w:val="24"/>
          <w:szCs w:val="24"/>
        </w:rPr>
      </w:pPr>
      <w:r w:rsidRPr="00373804">
        <w:rPr>
          <w:rFonts w:asciiTheme="minorEastAsia" w:eastAsia="宋体" w:hAnsiTheme="minorEastAsia" w:cs="Arial" w:hint="eastAsia"/>
          <w:kern w:val="0"/>
          <w:sz w:val="24"/>
          <w:szCs w:val="24"/>
        </w:rPr>
        <w:t>本基金最后运作日应付赎回款为人民币10.10元，该款项已于2018年8月16日支付。</w:t>
      </w:r>
    </w:p>
    <w:p w:rsidR="00127E02" w:rsidRDefault="009D17C5" w:rsidP="00373804">
      <w:pPr>
        <w:numPr>
          <w:ilvl w:val="0"/>
          <w:numId w:val="3"/>
        </w:numPr>
        <w:overflowPunct w:val="0"/>
        <w:autoSpaceDE w:val="0"/>
        <w:autoSpaceDN w:val="0"/>
        <w:snapToGrid w:val="0"/>
        <w:spacing w:line="360" w:lineRule="auto"/>
        <w:rPr>
          <w:rFonts w:asciiTheme="minorEastAsia" w:eastAsia="宋体" w:hAnsiTheme="minorEastAsia" w:cs="Arial"/>
          <w:kern w:val="0"/>
          <w:sz w:val="24"/>
          <w:szCs w:val="24"/>
        </w:rPr>
      </w:pPr>
      <w:r>
        <w:rPr>
          <w:rFonts w:asciiTheme="minorEastAsia" w:eastAsia="宋体" w:hAnsiTheme="minorEastAsia" w:cs="Arial"/>
          <w:kern w:val="0"/>
          <w:sz w:val="24"/>
          <w:szCs w:val="24"/>
        </w:rPr>
        <w:t>本基金最后运作日应付管理人报酬为人民币</w:t>
      </w:r>
      <w:r w:rsidR="00373804" w:rsidRPr="00373804">
        <w:rPr>
          <w:rFonts w:asciiTheme="minorEastAsia" w:eastAsia="宋体" w:hAnsiTheme="minorEastAsia" w:cs="Arial"/>
          <w:kern w:val="0"/>
          <w:sz w:val="24"/>
          <w:szCs w:val="24"/>
        </w:rPr>
        <w:t>16,631.01</w:t>
      </w:r>
      <w:r>
        <w:rPr>
          <w:rFonts w:asciiTheme="minorEastAsia" w:eastAsia="宋体" w:hAnsiTheme="minorEastAsia" w:cs="Arial"/>
          <w:kern w:val="0"/>
          <w:sz w:val="24"/>
          <w:szCs w:val="24"/>
        </w:rPr>
        <w:t>元，该款项已于2018年</w:t>
      </w:r>
      <w:r w:rsidR="00373804">
        <w:rPr>
          <w:rFonts w:asciiTheme="minorEastAsia" w:eastAsia="宋体" w:hAnsiTheme="minorEastAsia" w:cs="Arial" w:hint="eastAsia"/>
          <w:kern w:val="0"/>
          <w:sz w:val="24"/>
          <w:szCs w:val="24"/>
        </w:rPr>
        <w:t>8</w:t>
      </w:r>
      <w:r>
        <w:rPr>
          <w:rFonts w:asciiTheme="minorEastAsia" w:eastAsia="宋体" w:hAnsiTheme="minorEastAsia" w:cs="Arial"/>
          <w:kern w:val="0"/>
          <w:sz w:val="24"/>
          <w:szCs w:val="24"/>
        </w:rPr>
        <w:t>月17日支付。</w:t>
      </w:r>
    </w:p>
    <w:p w:rsidR="00127E02" w:rsidRDefault="009D17C5" w:rsidP="00373804">
      <w:pPr>
        <w:numPr>
          <w:ilvl w:val="0"/>
          <w:numId w:val="3"/>
        </w:numPr>
        <w:overflowPunct w:val="0"/>
        <w:autoSpaceDE w:val="0"/>
        <w:autoSpaceDN w:val="0"/>
        <w:snapToGrid w:val="0"/>
        <w:spacing w:line="360" w:lineRule="auto"/>
        <w:rPr>
          <w:rFonts w:asciiTheme="minorEastAsia" w:eastAsia="宋体" w:hAnsiTheme="minorEastAsia" w:cs="Arial"/>
          <w:kern w:val="0"/>
          <w:sz w:val="24"/>
          <w:szCs w:val="24"/>
        </w:rPr>
      </w:pPr>
      <w:r>
        <w:rPr>
          <w:rFonts w:asciiTheme="minorEastAsia" w:eastAsia="宋体" w:hAnsiTheme="minorEastAsia" w:cs="Arial"/>
          <w:kern w:val="0"/>
          <w:sz w:val="24"/>
          <w:szCs w:val="24"/>
        </w:rPr>
        <w:t>本基金最后运作日应付托管费为人民币</w:t>
      </w:r>
      <w:r w:rsidR="00373804" w:rsidRPr="00373804">
        <w:rPr>
          <w:rFonts w:asciiTheme="minorEastAsia" w:eastAsia="宋体" w:hAnsiTheme="minorEastAsia" w:cs="Arial"/>
          <w:kern w:val="0"/>
          <w:sz w:val="24"/>
          <w:szCs w:val="24"/>
        </w:rPr>
        <w:t>5,543.68</w:t>
      </w:r>
      <w:r>
        <w:rPr>
          <w:rFonts w:asciiTheme="minorEastAsia" w:eastAsia="宋体" w:hAnsiTheme="minorEastAsia" w:cs="Arial"/>
          <w:kern w:val="0"/>
          <w:sz w:val="24"/>
          <w:szCs w:val="24"/>
        </w:rPr>
        <w:t>元，该款项已于2018年</w:t>
      </w:r>
      <w:r w:rsidR="00373804">
        <w:rPr>
          <w:rFonts w:asciiTheme="minorEastAsia" w:eastAsia="宋体" w:hAnsiTheme="minorEastAsia" w:cs="Arial" w:hint="eastAsia"/>
          <w:kern w:val="0"/>
          <w:sz w:val="24"/>
          <w:szCs w:val="24"/>
        </w:rPr>
        <w:t>8</w:t>
      </w:r>
      <w:r>
        <w:rPr>
          <w:rFonts w:asciiTheme="minorEastAsia" w:eastAsia="宋体" w:hAnsiTheme="minorEastAsia" w:cs="Arial"/>
          <w:kern w:val="0"/>
          <w:sz w:val="24"/>
          <w:szCs w:val="24"/>
        </w:rPr>
        <w:t>月17日支付。</w:t>
      </w:r>
    </w:p>
    <w:p w:rsidR="00373804" w:rsidRPr="00373804" w:rsidRDefault="00373804" w:rsidP="00373804">
      <w:pPr>
        <w:numPr>
          <w:ilvl w:val="0"/>
          <w:numId w:val="3"/>
        </w:numPr>
        <w:overflowPunct w:val="0"/>
        <w:autoSpaceDE w:val="0"/>
        <w:autoSpaceDN w:val="0"/>
        <w:snapToGrid w:val="0"/>
        <w:spacing w:line="360" w:lineRule="auto"/>
        <w:rPr>
          <w:rFonts w:asciiTheme="minorEastAsia" w:eastAsia="宋体" w:hAnsiTheme="minorEastAsia" w:cs="Arial"/>
          <w:kern w:val="0"/>
          <w:sz w:val="24"/>
          <w:szCs w:val="24"/>
        </w:rPr>
      </w:pPr>
      <w:r w:rsidRPr="00373804">
        <w:rPr>
          <w:rFonts w:asciiTheme="minorEastAsia" w:eastAsia="宋体" w:hAnsiTheme="minorEastAsia" w:cs="Arial" w:hint="eastAsia"/>
          <w:kern w:val="0"/>
          <w:sz w:val="24"/>
          <w:szCs w:val="24"/>
        </w:rPr>
        <w:t>本基金</w:t>
      </w:r>
      <w:r w:rsidRPr="00373804">
        <w:rPr>
          <w:rFonts w:asciiTheme="minorEastAsia" w:eastAsia="宋体" w:hAnsiTheme="minorEastAsia" w:cs="Arial"/>
          <w:kern w:val="0"/>
          <w:sz w:val="24"/>
          <w:szCs w:val="24"/>
        </w:rPr>
        <w:t>最后运作日应</w:t>
      </w:r>
      <w:r w:rsidRPr="00373804">
        <w:rPr>
          <w:rFonts w:asciiTheme="minorEastAsia" w:eastAsia="宋体" w:hAnsiTheme="minorEastAsia" w:cs="Arial" w:hint="eastAsia"/>
          <w:kern w:val="0"/>
          <w:sz w:val="24"/>
          <w:szCs w:val="24"/>
        </w:rPr>
        <w:t>付交易费用</w:t>
      </w:r>
      <w:r w:rsidRPr="00373804">
        <w:rPr>
          <w:rFonts w:asciiTheme="minorEastAsia" w:eastAsia="宋体" w:hAnsiTheme="minorEastAsia" w:cs="Arial"/>
          <w:kern w:val="0"/>
          <w:sz w:val="24"/>
          <w:szCs w:val="24"/>
        </w:rPr>
        <w:t>为人民币2,337.63</w:t>
      </w:r>
      <w:r w:rsidRPr="00373804">
        <w:rPr>
          <w:rFonts w:asciiTheme="minorEastAsia" w:eastAsia="宋体" w:hAnsiTheme="minorEastAsia" w:cs="Arial" w:hint="eastAsia"/>
          <w:kern w:val="0"/>
          <w:sz w:val="24"/>
          <w:szCs w:val="24"/>
        </w:rPr>
        <w:t>元，该款项将于第一次清算结束后支付。</w:t>
      </w:r>
    </w:p>
    <w:p w:rsidR="00127E02" w:rsidRPr="00373804" w:rsidRDefault="009D17C5" w:rsidP="00373804">
      <w:pPr>
        <w:numPr>
          <w:ilvl w:val="0"/>
          <w:numId w:val="3"/>
        </w:numPr>
        <w:overflowPunct w:val="0"/>
        <w:autoSpaceDE w:val="0"/>
        <w:autoSpaceDN w:val="0"/>
        <w:snapToGrid w:val="0"/>
        <w:spacing w:line="360" w:lineRule="auto"/>
        <w:rPr>
          <w:rFonts w:asciiTheme="minorEastAsia" w:eastAsia="宋体" w:hAnsiTheme="minorEastAsia" w:cs="Arial"/>
          <w:kern w:val="0"/>
          <w:sz w:val="24"/>
          <w:szCs w:val="24"/>
        </w:rPr>
      </w:pPr>
      <w:r w:rsidRPr="00373804">
        <w:rPr>
          <w:rFonts w:asciiTheme="minorEastAsia" w:eastAsia="宋体" w:hAnsiTheme="minorEastAsia" w:cs="Arial" w:hint="eastAsia"/>
          <w:kern w:val="0"/>
          <w:sz w:val="24"/>
          <w:szCs w:val="24"/>
        </w:rPr>
        <w:t>本基金</w:t>
      </w:r>
      <w:r w:rsidRPr="00373804">
        <w:rPr>
          <w:rFonts w:asciiTheme="minorEastAsia" w:eastAsia="宋体" w:hAnsiTheme="minorEastAsia" w:cs="Arial"/>
          <w:kern w:val="0"/>
          <w:sz w:val="24"/>
          <w:szCs w:val="24"/>
        </w:rPr>
        <w:t>最后运作日应交税费为人民币</w:t>
      </w:r>
      <w:r w:rsidR="00373804" w:rsidRPr="00373804">
        <w:rPr>
          <w:rFonts w:asciiTheme="minorEastAsia" w:eastAsia="宋体" w:hAnsiTheme="minorEastAsia" w:cs="Arial"/>
          <w:kern w:val="0"/>
          <w:sz w:val="24"/>
          <w:szCs w:val="24"/>
        </w:rPr>
        <w:t>1,364.80</w:t>
      </w:r>
      <w:r w:rsidRPr="00373804">
        <w:rPr>
          <w:rFonts w:asciiTheme="minorEastAsia" w:eastAsia="宋体" w:hAnsiTheme="minorEastAsia" w:cs="Arial" w:hint="eastAsia"/>
          <w:kern w:val="0"/>
          <w:sz w:val="24"/>
          <w:szCs w:val="24"/>
        </w:rPr>
        <w:t>元</w:t>
      </w:r>
      <w:r w:rsidRPr="00373804">
        <w:rPr>
          <w:rFonts w:asciiTheme="minorEastAsia" w:eastAsia="宋体" w:hAnsiTheme="minorEastAsia" w:cs="Arial"/>
          <w:kern w:val="0"/>
          <w:sz w:val="24"/>
          <w:szCs w:val="24"/>
        </w:rPr>
        <w:t>，</w:t>
      </w:r>
      <w:r w:rsidRPr="00373804">
        <w:rPr>
          <w:rFonts w:asciiTheme="minorEastAsia" w:eastAsia="宋体" w:hAnsiTheme="minorEastAsia" w:cs="Arial" w:hint="eastAsia"/>
          <w:kern w:val="0"/>
          <w:sz w:val="24"/>
          <w:szCs w:val="24"/>
        </w:rPr>
        <w:t>该</w:t>
      </w:r>
      <w:r w:rsidRPr="00373804">
        <w:rPr>
          <w:rFonts w:asciiTheme="minorEastAsia" w:eastAsia="宋体" w:hAnsiTheme="minorEastAsia" w:cs="Arial"/>
          <w:kern w:val="0"/>
          <w:sz w:val="24"/>
          <w:szCs w:val="24"/>
        </w:rPr>
        <w:t>款项已于</w:t>
      </w:r>
      <w:r w:rsidRPr="00373804">
        <w:rPr>
          <w:rFonts w:asciiTheme="minorEastAsia" w:eastAsia="宋体" w:hAnsiTheme="minorEastAsia" w:cs="Arial" w:hint="eastAsia"/>
          <w:kern w:val="0"/>
          <w:sz w:val="24"/>
          <w:szCs w:val="24"/>
        </w:rPr>
        <w:t>2018年</w:t>
      </w:r>
      <w:r w:rsidR="00373804">
        <w:rPr>
          <w:rFonts w:asciiTheme="minorEastAsia" w:eastAsia="宋体" w:hAnsiTheme="minorEastAsia" w:cs="Arial" w:hint="eastAsia"/>
          <w:kern w:val="0"/>
          <w:sz w:val="24"/>
          <w:szCs w:val="24"/>
        </w:rPr>
        <w:t>8</w:t>
      </w:r>
      <w:r w:rsidRPr="00373804">
        <w:rPr>
          <w:rFonts w:asciiTheme="minorEastAsia" w:eastAsia="宋体" w:hAnsiTheme="minorEastAsia" w:cs="Arial" w:hint="eastAsia"/>
          <w:kern w:val="0"/>
          <w:sz w:val="24"/>
          <w:szCs w:val="24"/>
        </w:rPr>
        <w:t>月</w:t>
      </w:r>
      <w:r w:rsidR="00373804">
        <w:rPr>
          <w:rFonts w:asciiTheme="minorEastAsia" w:eastAsia="宋体" w:hAnsiTheme="minorEastAsia" w:cs="Arial" w:hint="eastAsia"/>
          <w:kern w:val="0"/>
          <w:sz w:val="24"/>
          <w:szCs w:val="24"/>
        </w:rPr>
        <w:t>17</w:t>
      </w:r>
      <w:r w:rsidRPr="00373804">
        <w:rPr>
          <w:rFonts w:asciiTheme="minorEastAsia" w:eastAsia="宋体" w:hAnsiTheme="minorEastAsia" w:cs="Arial" w:hint="eastAsia"/>
          <w:kern w:val="0"/>
          <w:sz w:val="24"/>
          <w:szCs w:val="24"/>
        </w:rPr>
        <w:t>日</w:t>
      </w:r>
      <w:r w:rsidRPr="00373804">
        <w:rPr>
          <w:rFonts w:asciiTheme="minorEastAsia" w:eastAsia="宋体" w:hAnsiTheme="minorEastAsia" w:cs="Arial"/>
          <w:kern w:val="0"/>
          <w:sz w:val="24"/>
          <w:szCs w:val="24"/>
        </w:rPr>
        <w:t>支付</w:t>
      </w:r>
      <w:r w:rsidRPr="00373804">
        <w:rPr>
          <w:rFonts w:asciiTheme="minorEastAsia" w:eastAsia="宋体" w:hAnsiTheme="minorEastAsia" w:cs="Arial" w:hint="eastAsia"/>
          <w:kern w:val="0"/>
          <w:sz w:val="24"/>
          <w:szCs w:val="24"/>
        </w:rPr>
        <w:t>。</w:t>
      </w:r>
    </w:p>
    <w:p w:rsidR="00BE611E" w:rsidRPr="00373804" w:rsidRDefault="00373804" w:rsidP="00373804">
      <w:pPr>
        <w:numPr>
          <w:ilvl w:val="0"/>
          <w:numId w:val="3"/>
        </w:numPr>
        <w:overflowPunct w:val="0"/>
        <w:autoSpaceDE w:val="0"/>
        <w:autoSpaceDN w:val="0"/>
        <w:snapToGrid w:val="0"/>
        <w:spacing w:line="360" w:lineRule="auto"/>
        <w:rPr>
          <w:rFonts w:asciiTheme="minorEastAsia" w:eastAsia="宋体" w:hAnsiTheme="minorEastAsia" w:cs="Arial"/>
          <w:kern w:val="0"/>
          <w:sz w:val="24"/>
          <w:szCs w:val="24"/>
        </w:rPr>
      </w:pPr>
      <w:r w:rsidRPr="00373804">
        <w:rPr>
          <w:rFonts w:asciiTheme="minorEastAsia" w:eastAsia="宋体" w:hAnsiTheme="minorEastAsia" w:cs="Arial" w:hint="eastAsia"/>
          <w:kern w:val="0"/>
          <w:sz w:val="24"/>
          <w:szCs w:val="24"/>
        </w:rPr>
        <w:t>本基金最后运作日其他负债为人民币96,123.52元，包括应付信息披露费人民币58,081.64元、应付审计费人民币29,041.88元及应付银行间账户维护费人民币9,000.00元。其中，应付信息披露费人民币58,081.64元及应付审计费人民币29,041.88元已于2018年8月20日支付；应付银行间账户维护费将于第一次清算结束后支付。</w:t>
      </w:r>
    </w:p>
    <w:p w:rsidR="00127E02" w:rsidRDefault="00127E02">
      <w:pPr>
        <w:overflowPunct w:val="0"/>
        <w:autoSpaceDE w:val="0"/>
        <w:autoSpaceDN w:val="0"/>
        <w:snapToGrid w:val="0"/>
        <w:spacing w:line="360" w:lineRule="auto"/>
        <w:ind w:left="1129"/>
        <w:rPr>
          <w:rFonts w:asciiTheme="minorEastAsia" w:eastAsia="宋体" w:hAnsiTheme="minorEastAsia" w:cs="Arial"/>
          <w:kern w:val="0"/>
          <w:sz w:val="24"/>
          <w:szCs w:val="24"/>
        </w:rPr>
      </w:pPr>
    </w:p>
    <w:p w:rsidR="00127E02" w:rsidRDefault="009D17C5">
      <w:pPr>
        <w:pStyle w:val="21"/>
        <w:kinsoku w:val="0"/>
        <w:overflowPunct w:val="0"/>
        <w:spacing w:line="360" w:lineRule="auto"/>
        <w:ind w:right="75" w:firstLineChars="200" w:firstLine="480"/>
        <w:outlineLvl w:val="9"/>
        <w:rPr>
          <w:rFonts w:asciiTheme="minorEastAsia" w:eastAsia="宋体" w:hAnsiTheme="minorEastAsia" w:cs="Arial"/>
          <w:b w:val="0"/>
          <w:bCs w:val="0"/>
          <w:sz w:val="24"/>
          <w:szCs w:val="24"/>
        </w:rPr>
      </w:pPr>
      <w:r>
        <w:rPr>
          <w:rFonts w:asciiTheme="minorEastAsia" w:eastAsia="宋体" w:hAnsiTheme="minorEastAsia" w:cs="Arial"/>
          <w:b w:val="0"/>
          <w:bCs w:val="0"/>
          <w:sz w:val="24"/>
          <w:szCs w:val="24"/>
        </w:rPr>
        <w:t>3、</w:t>
      </w:r>
      <w:r>
        <w:rPr>
          <w:rFonts w:asciiTheme="minorEastAsia" w:eastAsia="宋体" w:hAnsiTheme="minorEastAsia" w:cs="Arial"/>
          <w:b w:val="0"/>
          <w:bCs w:val="0"/>
          <w:sz w:val="24"/>
          <w:szCs w:val="24"/>
        </w:rPr>
        <w:tab/>
        <w:t>清算期间的清算损益情况</w:t>
      </w:r>
    </w:p>
    <w:p w:rsidR="00127E02" w:rsidRDefault="009D17C5">
      <w:pPr>
        <w:overflowPunct w:val="0"/>
        <w:autoSpaceDE w:val="0"/>
        <w:autoSpaceDN w:val="0"/>
        <w:snapToGrid w:val="0"/>
        <w:spacing w:line="360" w:lineRule="auto"/>
        <w:ind w:left="6480" w:firstLine="967"/>
        <w:rPr>
          <w:rFonts w:asciiTheme="minorEastAsia" w:eastAsia="宋体" w:hAnsiTheme="minorEastAsia" w:cs="Arial"/>
          <w:kern w:val="0"/>
          <w:sz w:val="24"/>
          <w:szCs w:val="24"/>
        </w:rPr>
      </w:pPr>
      <w:r>
        <w:rPr>
          <w:rFonts w:asciiTheme="minorEastAsia" w:eastAsia="宋体" w:hAnsiTheme="minorEastAsia" w:cs="Arial"/>
          <w:kern w:val="0"/>
          <w:sz w:val="24"/>
          <w:szCs w:val="24"/>
        </w:rPr>
        <w:t>单位：人民币元</w:t>
      </w:r>
    </w:p>
    <w:tbl>
      <w:tblPr>
        <w:tblW w:w="9356" w:type="dxa"/>
        <w:tblInd w:w="250" w:type="dxa"/>
        <w:tblLayout w:type="fixed"/>
        <w:tblLook w:val="04A0"/>
      </w:tblPr>
      <w:tblGrid>
        <w:gridCol w:w="3544"/>
        <w:gridCol w:w="5812"/>
      </w:tblGrid>
      <w:tr w:rsidR="00127E02">
        <w:trPr>
          <w:trHeight w:val="80"/>
        </w:trPr>
        <w:tc>
          <w:tcPr>
            <w:tcW w:w="3544" w:type="dxa"/>
            <w:tcBorders>
              <w:top w:val="single" w:sz="4" w:space="0" w:color="auto"/>
              <w:left w:val="single" w:sz="4" w:space="0" w:color="auto"/>
              <w:bottom w:val="single" w:sz="4" w:space="0" w:color="auto"/>
              <w:right w:val="single" w:sz="4" w:space="0" w:color="auto"/>
            </w:tcBorders>
            <w:vAlign w:val="bottom"/>
          </w:tcPr>
          <w:p w:rsidR="00127E02" w:rsidRDefault="009D17C5">
            <w:pPr>
              <w:overflowPunct w:val="0"/>
              <w:autoSpaceDE w:val="0"/>
              <w:autoSpaceDN w:val="0"/>
              <w:snapToGrid w:val="0"/>
              <w:spacing w:line="360" w:lineRule="auto"/>
              <w:ind w:left="-47" w:right="-61"/>
              <w:jc w:val="left"/>
              <w:rPr>
                <w:rFonts w:asciiTheme="minorEastAsia" w:eastAsia="宋体" w:hAnsiTheme="minorEastAsia" w:cs="Arial"/>
                <w:kern w:val="0"/>
                <w:sz w:val="24"/>
                <w:szCs w:val="24"/>
              </w:rPr>
            </w:pPr>
            <w:r>
              <w:rPr>
                <w:rFonts w:asciiTheme="minorEastAsia" w:eastAsia="宋体" w:hAnsiTheme="minorEastAsia" w:cs="Arial"/>
                <w:kern w:val="0"/>
                <w:sz w:val="24"/>
                <w:szCs w:val="24"/>
              </w:rPr>
              <w:t>项目</w:t>
            </w:r>
          </w:p>
        </w:tc>
        <w:tc>
          <w:tcPr>
            <w:tcW w:w="5812" w:type="dxa"/>
            <w:tcBorders>
              <w:top w:val="single" w:sz="4" w:space="0" w:color="auto"/>
              <w:left w:val="nil"/>
              <w:bottom w:val="single" w:sz="4" w:space="0" w:color="auto"/>
              <w:right w:val="single" w:sz="4" w:space="0" w:color="auto"/>
            </w:tcBorders>
            <w:vAlign w:val="bottom"/>
          </w:tcPr>
          <w:p w:rsidR="00127E02" w:rsidRDefault="009D17C5">
            <w:pPr>
              <w:overflowPunct w:val="0"/>
              <w:autoSpaceDE w:val="0"/>
              <w:autoSpaceDN w:val="0"/>
              <w:snapToGrid w:val="0"/>
              <w:spacing w:line="360" w:lineRule="auto"/>
              <w:jc w:val="right"/>
              <w:rPr>
                <w:rFonts w:asciiTheme="minorEastAsia" w:eastAsia="宋体" w:hAnsiTheme="minorEastAsia" w:cs="Arial"/>
                <w:kern w:val="0"/>
                <w:sz w:val="24"/>
                <w:szCs w:val="24"/>
              </w:rPr>
            </w:pPr>
            <w:r>
              <w:rPr>
                <w:rFonts w:asciiTheme="minorEastAsia" w:eastAsia="宋体" w:hAnsiTheme="minorEastAsia" w:cs="Arial"/>
                <w:kern w:val="0"/>
                <w:sz w:val="24"/>
                <w:szCs w:val="24"/>
              </w:rPr>
              <w:t>自2018年</w:t>
            </w:r>
            <w:r w:rsidR="00F80DC2">
              <w:rPr>
                <w:rFonts w:asciiTheme="minorEastAsia" w:eastAsia="宋体" w:hAnsiTheme="minorEastAsia" w:cs="Arial" w:hint="eastAsia"/>
                <w:kern w:val="0"/>
                <w:sz w:val="24"/>
                <w:szCs w:val="24"/>
              </w:rPr>
              <w:t>8</w:t>
            </w:r>
            <w:r>
              <w:rPr>
                <w:rFonts w:asciiTheme="minorEastAsia" w:eastAsia="宋体" w:hAnsiTheme="minorEastAsia" w:cs="Arial"/>
                <w:kern w:val="0"/>
                <w:sz w:val="24"/>
                <w:szCs w:val="24"/>
              </w:rPr>
              <w:t>月</w:t>
            </w:r>
            <w:r w:rsidR="00F80DC2">
              <w:rPr>
                <w:rFonts w:asciiTheme="minorEastAsia" w:eastAsia="宋体" w:hAnsiTheme="minorEastAsia" w:cs="Arial" w:hint="eastAsia"/>
                <w:kern w:val="0"/>
                <w:sz w:val="24"/>
                <w:szCs w:val="24"/>
              </w:rPr>
              <w:t>1</w:t>
            </w:r>
            <w:r w:rsidR="006E7ED0">
              <w:rPr>
                <w:rFonts w:asciiTheme="minorEastAsia" w:eastAsia="宋体" w:hAnsiTheme="minorEastAsia" w:cs="Arial" w:hint="eastAsia"/>
                <w:kern w:val="0"/>
                <w:sz w:val="24"/>
                <w:szCs w:val="24"/>
              </w:rPr>
              <w:t>6</w:t>
            </w:r>
            <w:r>
              <w:rPr>
                <w:rFonts w:asciiTheme="minorEastAsia" w:eastAsia="宋体" w:hAnsiTheme="minorEastAsia" w:cs="Arial"/>
                <w:kern w:val="0"/>
                <w:sz w:val="24"/>
                <w:szCs w:val="24"/>
              </w:rPr>
              <w:t>日至</w:t>
            </w:r>
          </w:p>
          <w:p w:rsidR="00127E02" w:rsidRDefault="009D17C5" w:rsidP="00F80DC2">
            <w:pPr>
              <w:overflowPunct w:val="0"/>
              <w:autoSpaceDE w:val="0"/>
              <w:autoSpaceDN w:val="0"/>
              <w:snapToGrid w:val="0"/>
              <w:spacing w:line="360" w:lineRule="auto"/>
              <w:jc w:val="right"/>
              <w:rPr>
                <w:rFonts w:asciiTheme="minorEastAsia" w:eastAsia="宋体" w:hAnsiTheme="minorEastAsia" w:cs="Arial"/>
                <w:kern w:val="0"/>
                <w:sz w:val="24"/>
                <w:szCs w:val="24"/>
              </w:rPr>
            </w:pPr>
            <w:r>
              <w:rPr>
                <w:rFonts w:asciiTheme="minorEastAsia" w:eastAsia="宋体" w:hAnsiTheme="minorEastAsia" w:cs="Arial"/>
                <w:kern w:val="0"/>
                <w:sz w:val="24"/>
                <w:szCs w:val="24"/>
              </w:rPr>
              <w:t>2018年</w:t>
            </w:r>
            <w:r w:rsidR="00F80DC2">
              <w:rPr>
                <w:rFonts w:asciiTheme="minorEastAsia" w:eastAsia="宋体" w:hAnsiTheme="minorEastAsia" w:cs="Arial" w:hint="eastAsia"/>
                <w:kern w:val="0"/>
                <w:sz w:val="24"/>
                <w:szCs w:val="24"/>
              </w:rPr>
              <w:t>8</w:t>
            </w:r>
            <w:r>
              <w:rPr>
                <w:rFonts w:asciiTheme="minorEastAsia" w:eastAsia="宋体" w:hAnsiTheme="minorEastAsia" w:cs="Arial"/>
                <w:kern w:val="0"/>
                <w:sz w:val="24"/>
                <w:szCs w:val="24"/>
              </w:rPr>
              <w:t>月2</w:t>
            </w:r>
            <w:r w:rsidR="00F80DC2">
              <w:rPr>
                <w:rFonts w:asciiTheme="minorEastAsia" w:eastAsia="宋体" w:hAnsiTheme="minorEastAsia" w:cs="Arial" w:hint="eastAsia"/>
                <w:kern w:val="0"/>
                <w:sz w:val="24"/>
                <w:szCs w:val="24"/>
              </w:rPr>
              <w:t>9</w:t>
            </w:r>
            <w:r>
              <w:rPr>
                <w:rFonts w:asciiTheme="minorEastAsia" w:eastAsia="宋体" w:hAnsiTheme="minorEastAsia" w:cs="Arial"/>
                <w:kern w:val="0"/>
                <w:sz w:val="24"/>
                <w:szCs w:val="24"/>
              </w:rPr>
              <w:t>日止清算期间</w:t>
            </w:r>
          </w:p>
        </w:tc>
      </w:tr>
      <w:tr w:rsidR="00127E02">
        <w:trPr>
          <w:trHeight w:val="271"/>
        </w:trPr>
        <w:tc>
          <w:tcPr>
            <w:tcW w:w="3544" w:type="dxa"/>
            <w:tcBorders>
              <w:top w:val="single" w:sz="4" w:space="0" w:color="auto"/>
              <w:left w:val="single" w:sz="4" w:space="0" w:color="auto"/>
              <w:bottom w:val="single" w:sz="4" w:space="0" w:color="auto"/>
              <w:right w:val="single" w:sz="4" w:space="0" w:color="auto"/>
            </w:tcBorders>
            <w:vAlign w:val="bottom"/>
          </w:tcPr>
          <w:p w:rsidR="00127E02" w:rsidRDefault="009D17C5">
            <w:pPr>
              <w:overflowPunct w:val="0"/>
              <w:autoSpaceDE w:val="0"/>
              <w:autoSpaceDN w:val="0"/>
              <w:snapToGrid w:val="0"/>
              <w:spacing w:line="360" w:lineRule="auto"/>
              <w:ind w:left="-47" w:right="-61"/>
              <w:jc w:val="left"/>
              <w:rPr>
                <w:rFonts w:asciiTheme="minorEastAsia" w:eastAsia="宋体" w:hAnsiTheme="minorEastAsia" w:cs="Arial"/>
                <w:kern w:val="0"/>
                <w:sz w:val="24"/>
                <w:szCs w:val="24"/>
              </w:rPr>
            </w:pPr>
            <w:r>
              <w:rPr>
                <w:rFonts w:asciiTheme="minorEastAsia" w:eastAsia="宋体" w:hAnsiTheme="minorEastAsia" w:cs="Arial"/>
                <w:kern w:val="0"/>
                <w:sz w:val="24"/>
                <w:szCs w:val="24"/>
              </w:rPr>
              <w:t>一、清算收益</w:t>
            </w:r>
          </w:p>
        </w:tc>
        <w:tc>
          <w:tcPr>
            <w:tcW w:w="5812" w:type="dxa"/>
            <w:tcBorders>
              <w:top w:val="single" w:sz="4" w:space="0" w:color="auto"/>
              <w:left w:val="nil"/>
              <w:bottom w:val="single" w:sz="4" w:space="0" w:color="auto"/>
              <w:right w:val="single" w:sz="4" w:space="0" w:color="auto"/>
            </w:tcBorders>
            <w:vAlign w:val="bottom"/>
          </w:tcPr>
          <w:p w:rsidR="00127E02" w:rsidRDefault="00127E02">
            <w:pPr>
              <w:overflowPunct w:val="0"/>
              <w:autoSpaceDE w:val="0"/>
              <w:autoSpaceDN w:val="0"/>
              <w:snapToGrid w:val="0"/>
              <w:spacing w:line="360" w:lineRule="auto"/>
              <w:jc w:val="right"/>
              <w:rPr>
                <w:rFonts w:asciiTheme="minorEastAsia" w:eastAsia="宋体" w:hAnsiTheme="minorEastAsia" w:cs="Arial"/>
                <w:kern w:val="0"/>
                <w:sz w:val="24"/>
                <w:szCs w:val="24"/>
              </w:rPr>
            </w:pPr>
          </w:p>
        </w:tc>
      </w:tr>
      <w:tr w:rsidR="00127E02">
        <w:trPr>
          <w:trHeight w:val="80"/>
        </w:trPr>
        <w:tc>
          <w:tcPr>
            <w:tcW w:w="3544" w:type="dxa"/>
            <w:tcBorders>
              <w:top w:val="single" w:sz="4" w:space="0" w:color="auto"/>
              <w:left w:val="single" w:sz="4" w:space="0" w:color="auto"/>
              <w:bottom w:val="single" w:sz="4" w:space="0" w:color="auto"/>
              <w:right w:val="single" w:sz="4" w:space="0" w:color="auto"/>
            </w:tcBorders>
            <w:vAlign w:val="bottom"/>
          </w:tcPr>
          <w:p w:rsidR="00127E02" w:rsidRDefault="009D17C5">
            <w:pPr>
              <w:overflowPunct w:val="0"/>
              <w:autoSpaceDE w:val="0"/>
              <w:autoSpaceDN w:val="0"/>
              <w:snapToGrid w:val="0"/>
              <w:spacing w:line="360" w:lineRule="auto"/>
              <w:ind w:left="-47" w:right="-61" w:firstLine="448"/>
              <w:jc w:val="left"/>
              <w:rPr>
                <w:rFonts w:asciiTheme="minorEastAsia" w:eastAsia="宋体" w:hAnsiTheme="minorEastAsia" w:cs="Arial"/>
                <w:kern w:val="0"/>
                <w:sz w:val="24"/>
                <w:szCs w:val="24"/>
              </w:rPr>
            </w:pPr>
            <w:r>
              <w:rPr>
                <w:rFonts w:asciiTheme="minorEastAsia" w:eastAsia="宋体" w:hAnsiTheme="minorEastAsia" w:cs="Arial"/>
                <w:kern w:val="0"/>
                <w:sz w:val="24"/>
                <w:szCs w:val="24"/>
              </w:rPr>
              <w:t>1、利息收入（注1）</w:t>
            </w:r>
          </w:p>
        </w:tc>
        <w:tc>
          <w:tcPr>
            <w:tcW w:w="5812" w:type="dxa"/>
            <w:tcBorders>
              <w:top w:val="single" w:sz="4" w:space="0" w:color="auto"/>
              <w:left w:val="nil"/>
              <w:bottom w:val="single" w:sz="4" w:space="0" w:color="auto"/>
              <w:right w:val="single" w:sz="4" w:space="0" w:color="auto"/>
            </w:tcBorders>
            <w:vAlign w:val="bottom"/>
          </w:tcPr>
          <w:p w:rsidR="00127E02" w:rsidRDefault="00373804">
            <w:pPr>
              <w:overflowPunct w:val="0"/>
              <w:autoSpaceDE w:val="0"/>
              <w:autoSpaceDN w:val="0"/>
              <w:snapToGrid w:val="0"/>
              <w:spacing w:line="360" w:lineRule="auto"/>
              <w:jc w:val="right"/>
              <w:rPr>
                <w:rFonts w:asciiTheme="minorEastAsia" w:eastAsia="宋体" w:hAnsiTheme="minorEastAsia" w:cs="Arial"/>
                <w:kern w:val="0"/>
                <w:sz w:val="24"/>
                <w:szCs w:val="24"/>
              </w:rPr>
            </w:pPr>
            <w:r>
              <w:rPr>
                <w:rFonts w:asciiTheme="minorEastAsia" w:eastAsia="宋体" w:hAnsiTheme="minorEastAsia" w:cs="Arial" w:hint="eastAsia"/>
                <w:kern w:val="0"/>
                <w:sz w:val="24"/>
                <w:szCs w:val="24"/>
              </w:rPr>
              <w:t>23</w:t>
            </w:r>
            <w:r>
              <w:rPr>
                <w:rFonts w:asciiTheme="minorEastAsia" w:eastAsia="宋体" w:hAnsiTheme="minorEastAsia" w:cs="Arial"/>
                <w:kern w:val="0"/>
                <w:sz w:val="24"/>
                <w:szCs w:val="24"/>
              </w:rPr>
              <w:t>,</w:t>
            </w:r>
            <w:r>
              <w:rPr>
                <w:rFonts w:asciiTheme="minorEastAsia" w:eastAsia="宋体" w:hAnsiTheme="minorEastAsia" w:cs="Arial" w:hint="eastAsia"/>
                <w:kern w:val="0"/>
                <w:sz w:val="24"/>
                <w:szCs w:val="24"/>
              </w:rPr>
              <w:t>783</w:t>
            </w:r>
            <w:r>
              <w:rPr>
                <w:rFonts w:asciiTheme="minorEastAsia" w:eastAsia="宋体" w:hAnsiTheme="minorEastAsia" w:cs="Arial"/>
                <w:kern w:val="0"/>
                <w:sz w:val="24"/>
                <w:szCs w:val="24"/>
              </w:rPr>
              <w:t>.</w:t>
            </w:r>
            <w:r>
              <w:rPr>
                <w:rFonts w:asciiTheme="minorEastAsia" w:eastAsia="宋体" w:hAnsiTheme="minorEastAsia" w:cs="Arial" w:hint="eastAsia"/>
                <w:kern w:val="0"/>
                <w:sz w:val="24"/>
                <w:szCs w:val="24"/>
              </w:rPr>
              <w:t>7</w:t>
            </w:r>
            <w:r w:rsidR="009D17C5">
              <w:rPr>
                <w:rFonts w:asciiTheme="minorEastAsia" w:eastAsia="宋体" w:hAnsiTheme="minorEastAsia" w:cs="Arial"/>
                <w:kern w:val="0"/>
                <w:sz w:val="24"/>
                <w:szCs w:val="24"/>
              </w:rPr>
              <w:t>6</w:t>
            </w:r>
          </w:p>
        </w:tc>
      </w:tr>
      <w:tr w:rsidR="00127E02">
        <w:trPr>
          <w:trHeight w:val="80"/>
        </w:trPr>
        <w:tc>
          <w:tcPr>
            <w:tcW w:w="3544" w:type="dxa"/>
            <w:tcBorders>
              <w:top w:val="single" w:sz="4" w:space="0" w:color="auto"/>
              <w:left w:val="single" w:sz="4" w:space="0" w:color="auto"/>
              <w:bottom w:val="single" w:sz="4" w:space="0" w:color="auto"/>
              <w:right w:val="single" w:sz="4" w:space="0" w:color="auto"/>
            </w:tcBorders>
            <w:vAlign w:val="bottom"/>
          </w:tcPr>
          <w:p w:rsidR="00127E02" w:rsidRDefault="009D17C5">
            <w:pPr>
              <w:overflowPunct w:val="0"/>
              <w:autoSpaceDE w:val="0"/>
              <w:autoSpaceDN w:val="0"/>
              <w:snapToGrid w:val="0"/>
              <w:spacing w:line="360" w:lineRule="auto"/>
              <w:ind w:left="-47" w:right="-61" w:firstLine="448"/>
              <w:jc w:val="left"/>
              <w:rPr>
                <w:rFonts w:asciiTheme="minorEastAsia" w:eastAsia="宋体" w:hAnsiTheme="minorEastAsia" w:cs="Arial"/>
                <w:kern w:val="0"/>
                <w:sz w:val="24"/>
                <w:szCs w:val="24"/>
              </w:rPr>
            </w:pPr>
            <w:r>
              <w:rPr>
                <w:rFonts w:asciiTheme="minorEastAsia" w:eastAsia="宋体" w:hAnsiTheme="minorEastAsia" w:cs="Arial"/>
                <w:kern w:val="0"/>
                <w:sz w:val="24"/>
                <w:szCs w:val="24"/>
              </w:rPr>
              <w:t>清算收入小计</w:t>
            </w:r>
          </w:p>
        </w:tc>
        <w:tc>
          <w:tcPr>
            <w:tcW w:w="5812" w:type="dxa"/>
            <w:tcBorders>
              <w:top w:val="single" w:sz="4" w:space="0" w:color="auto"/>
              <w:left w:val="nil"/>
              <w:bottom w:val="single" w:sz="4" w:space="0" w:color="auto"/>
              <w:right w:val="single" w:sz="4" w:space="0" w:color="auto"/>
            </w:tcBorders>
            <w:vAlign w:val="bottom"/>
          </w:tcPr>
          <w:p w:rsidR="00127E02" w:rsidRDefault="00373804">
            <w:pPr>
              <w:overflowPunct w:val="0"/>
              <w:autoSpaceDE w:val="0"/>
              <w:autoSpaceDN w:val="0"/>
              <w:snapToGrid w:val="0"/>
              <w:spacing w:line="360" w:lineRule="auto"/>
              <w:jc w:val="right"/>
              <w:rPr>
                <w:rFonts w:asciiTheme="minorEastAsia" w:eastAsia="宋体" w:hAnsiTheme="minorEastAsia" w:cs="Arial"/>
                <w:kern w:val="0"/>
                <w:sz w:val="24"/>
                <w:szCs w:val="24"/>
              </w:rPr>
            </w:pPr>
            <w:r>
              <w:rPr>
                <w:rFonts w:asciiTheme="minorEastAsia" w:eastAsia="宋体" w:hAnsiTheme="minorEastAsia" w:cs="Arial" w:hint="eastAsia"/>
                <w:kern w:val="0"/>
                <w:sz w:val="24"/>
                <w:szCs w:val="24"/>
              </w:rPr>
              <w:t>23</w:t>
            </w:r>
            <w:r>
              <w:rPr>
                <w:rFonts w:asciiTheme="minorEastAsia" w:eastAsia="宋体" w:hAnsiTheme="minorEastAsia" w:cs="Arial"/>
                <w:kern w:val="0"/>
                <w:sz w:val="24"/>
                <w:szCs w:val="24"/>
              </w:rPr>
              <w:t>,</w:t>
            </w:r>
            <w:r>
              <w:rPr>
                <w:rFonts w:asciiTheme="minorEastAsia" w:eastAsia="宋体" w:hAnsiTheme="minorEastAsia" w:cs="Arial" w:hint="eastAsia"/>
                <w:kern w:val="0"/>
                <w:sz w:val="24"/>
                <w:szCs w:val="24"/>
              </w:rPr>
              <w:t>783</w:t>
            </w:r>
            <w:r>
              <w:rPr>
                <w:rFonts w:asciiTheme="minorEastAsia" w:eastAsia="宋体" w:hAnsiTheme="minorEastAsia" w:cs="Arial"/>
                <w:kern w:val="0"/>
                <w:sz w:val="24"/>
                <w:szCs w:val="24"/>
              </w:rPr>
              <w:t>.</w:t>
            </w:r>
            <w:r>
              <w:rPr>
                <w:rFonts w:asciiTheme="minorEastAsia" w:eastAsia="宋体" w:hAnsiTheme="minorEastAsia" w:cs="Arial" w:hint="eastAsia"/>
                <w:kern w:val="0"/>
                <w:sz w:val="24"/>
                <w:szCs w:val="24"/>
              </w:rPr>
              <w:t>7</w:t>
            </w:r>
            <w:r>
              <w:rPr>
                <w:rFonts w:asciiTheme="minorEastAsia" w:eastAsia="宋体" w:hAnsiTheme="minorEastAsia" w:cs="Arial"/>
                <w:kern w:val="0"/>
                <w:sz w:val="24"/>
                <w:szCs w:val="24"/>
              </w:rPr>
              <w:t>6</w:t>
            </w:r>
          </w:p>
        </w:tc>
      </w:tr>
      <w:tr w:rsidR="00127E02">
        <w:trPr>
          <w:trHeight w:val="80"/>
        </w:trPr>
        <w:tc>
          <w:tcPr>
            <w:tcW w:w="3544" w:type="dxa"/>
            <w:tcBorders>
              <w:top w:val="single" w:sz="4" w:space="0" w:color="auto"/>
              <w:left w:val="single" w:sz="4" w:space="0" w:color="auto"/>
              <w:bottom w:val="single" w:sz="4" w:space="0" w:color="auto"/>
              <w:right w:val="single" w:sz="4" w:space="0" w:color="auto"/>
            </w:tcBorders>
            <w:vAlign w:val="bottom"/>
          </w:tcPr>
          <w:p w:rsidR="00127E02" w:rsidRDefault="009D17C5">
            <w:pPr>
              <w:overflowPunct w:val="0"/>
              <w:autoSpaceDE w:val="0"/>
              <w:autoSpaceDN w:val="0"/>
              <w:snapToGrid w:val="0"/>
              <w:spacing w:line="360" w:lineRule="auto"/>
              <w:ind w:left="-47" w:right="-61"/>
              <w:jc w:val="left"/>
              <w:rPr>
                <w:rFonts w:asciiTheme="minorEastAsia" w:eastAsia="宋体" w:hAnsiTheme="minorEastAsia" w:cs="Arial"/>
                <w:kern w:val="0"/>
                <w:sz w:val="24"/>
                <w:szCs w:val="24"/>
              </w:rPr>
            </w:pPr>
            <w:r>
              <w:rPr>
                <w:rFonts w:asciiTheme="minorEastAsia" w:eastAsia="宋体" w:hAnsiTheme="minorEastAsia" w:cs="Arial"/>
                <w:kern w:val="0"/>
                <w:sz w:val="24"/>
                <w:szCs w:val="24"/>
              </w:rPr>
              <w:t>二、清算费用</w:t>
            </w:r>
          </w:p>
        </w:tc>
        <w:tc>
          <w:tcPr>
            <w:tcW w:w="5812" w:type="dxa"/>
            <w:tcBorders>
              <w:top w:val="single" w:sz="4" w:space="0" w:color="auto"/>
              <w:left w:val="nil"/>
              <w:bottom w:val="single" w:sz="4" w:space="0" w:color="auto"/>
              <w:right w:val="single" w:sz="4" w:space="0" w:color="auto"/>
            </w:tcBorders>
            <w:vAlign w:val="bottom"/>
          </w:tcPr>
          <w:p w:rsidR="00127E02" w:rsidRDefault="00127E02">
            <w:pPr>
              <w:overflowPunct w:val="0"/>
              <w:autoSpaceDE w:val="0"/>
              <w:autoSpaceDN w:val="0"/>
              <w:snapToGrid w:val="0"/>
              <w:spacing w:line="360" w:lineRule="auto"/>
              <w:jc w:val="right"/>
              <w:rPr>
                <w:rFonts w:asciiTheme="minorEastAsia" w:eastAsia="宋体" w:hAnsiTheme="minorEastAsia" w:cs="Arial"/>
                <w:kern w:val="0"/>
                <w:sz w:val="24"/>
                <w:szCs w:val="24"/>
              </w:rPr>
            </w:pPr>
          </w:p>
        </w:tc>
      </w:tr>
      <w:tr w:rsidR="00373804">
        <w:trPr>
          <w:trHeight w:val="80"/>
        </w:trPr>
        <w:tc>
          <w:tcPr>
            <w:tcW w:w="3544" w:type="dxa"/>
            <w:tcBorders>
              <w:top w:val="single" w:sz="4" w:space="0" w:color="auto"/>
              <w:left w:val="single" w:sz="4" w:space="0" w:color="auto"/>
              <w:bottom w:val="single" w:sz="4" w:space="0" w:color="auto"/>
              <w:right w:val="single" w:sz="4" w:space="0" w:color="auto"/>
            </w:tcBorders>
            <w:vAlign w:val="bottom"/>
          </w:tcPr>
          <w:p w:rsidR="00373804" w:rsidRDefault="00373804">
            <w:pPr>
              <w:overflowPunct w:val="0"/>
              <w:autoSpaceDE w:val="0"/>
              <w:autoSpaceDN w:val="0"/>
              <w:snapToGrid w:val="0"/>
              <w:spacing w:line="360" w:lineRule="auto"/>
              <w:ind w:left="-47" w:right="-61" w:firstLine="434"/>
              <w:jc w:val="left"/>
              <w:rPr>
                <w:rFonts w:asciiTheme="minorEastAsia" w:eastAsia="宋体" w:hAnsiTheme="minorEastAsia" w:cs="Arial"/>
                <w:kern w:val="0"/>
                <w:sz w:val="24"/>
                <w:szCs w:val="24"/>
              </w:rPr>
            </w:pPr>
            <w:r w:rsidRPr="00373804">
              <w:rPr>
                <w:rFonts w:asciiTheme="minorEastAsia" w:eastAsia="宋体" w:hAnsiTheme="minorEastAsia" w:cs="Arial" w:hint="eastAsia"/>
                <w:kern w:val="0"/>
                <w:sz w:val="24"/>
                <w:szCs w:val="24"/>
              </w:rPr>
              <w:t>1、银行汇划费用</w:t>
            </w:r>
          </w:p>
        </w:tc>
        <w:tc>
          <w:tcPr>
            <w:tcW w:w="5812" w:type="dxa"/>
            <w:tcBorders>
              <w:top w:val="single" w:sz="4" w:space="0" w:color="auto"/>
              <w:left w:val="nil"/>
              <w:bottom w:val="single" w:sz="4" w:space="0" w:color="auto"/>
              <w:right w:val="single" w:sz="4" w:space="0" w:color="auto"/>
            </w:tcBorders>
            <w:vAlign w:val="bottom"/>
          </w:tcPr>
          <w:p w:rsidR="00373804" w:rsidRDefault="00373804">
            <w:pPr>
              <w:overflowPunct w:val="0"/>
              <w:autoSpaceDE w:val="0"/>
              <w:autoSpaceDN w:val="0"/>
              <w:snapToGrid w:val="0"/>
              <w:spacing w:line="360" w:lineRule="auto"/>
              <w:jc w:val="right"/>
              <w:rPr>
                <w:rFonts w:asciiTheme="minorEastAsia" w:eastAsia="宋体" w:hAnsiTheme="minorEastAsia" w:cs="Arial"/>
                <w:kern w:val="0"/>
                <w:sz w:val="24"/>
                <w:szCs w:val="24"/>
              </w:rPr>
            </w:pPr>
            <w:r>
              <w:rPr>
                <w:rFonts w:asciiTheme="minorEastAsia" w:eastAsia="宋体" w:hAnsiTheme="minorEastAsia" w:cs="Arial" w:hint="eastAsia"/>
                <w:kern w:val="0"/>
                <w:sz w:val="24"/>
                <w:szCs w:val="24"/>
              </w:rPr>
              <w:t>30.00</w:t>
            </w:r>
          </w:p>
        </w:tc>
      </w:tr>
      <w:tr w:rsidR="006C7DAC">
        <w:trPr>
          <w:trHeight w:val="80"/>
        </w:trPr>
        <w:tc>
          <w:tcPr>
            <w:tcW w:w="3544" w:type="dxa"/>
            <w:tcBorders>
              <w:top w:val="single" w:sz="4" w:space="0" w:color="auto"/>
              <w:left w:val="single" w:sz="4" w:space="0" w:color="auto"/>
              <w:bottom w:val="single" w:sz="4" w:space="0" w:color="auto"/>
              <w:right w:val="single" w:sz="4" w:space="0" w:color="auto"/>
            </w:tcBorders>
            <w:vAlign w:val="bottom"/>
          </w:tcPr>
          <w:p w:rsidR="006C7DAC" w:rsidRPr="00373804" w:rsidRDefault="006C7DAC">
            <w:pPr>
              <w:overflowPunct w:val="0"/>
              <w:autoSpaceDE w:val="0"/>
              <w:autoSpaceDN w:val="0"/>
              <w:snapToGrid w:val="0"/>
              <w:spacing w:line="360" w:lineRule="auto"/>
              <w:ind w:left="-47" w:right="-61" w:firstLine="434"/>
              <w:jc w:val="left"/>
              <w:rPr>
                <w:rFonts w:asciiTheme="minorEastAsia" w:eastAsia="宋体" w:hAnsiTheme="minorEastAsia" w:cs="Arial"/>
                <w:kern w:val="0"/>
                <w:sz w:val="24"/>
                <w:szCs w:val="24"/>
              </w:rPr>
            </w:pPr>
            <w:r>
              <w:rPr>
                <w:rFonts w:asciiTheme="minorEastAsia" w:eastAsia="宋体" w:hAnsiTheme="minorEastAsia" w:cs="Arial" w:hint="eastAsia"/>
                <w:kern w:val="0"/>
                <w:sz w:val="24"/>
                <w:szCs w:val="24"/>
              </w:rPr>
              <w:t>2</w:t>
            </w:r>
            <w:r w:rsidR="00AB5720">
              <w:rPr>
                <w:rFonts w:asciiTheme="minorEastAsia" w:eastAsia="宋体" w:hAnsiTheme="minorEastAsia" w:cs="Arial" w:hint="eastAsia"/>
                <w:kern w:val="0"/>
                <w:sz w:val="24"/>
                <w:szCs w:val="24"/>
              </w:rPr>
              <w:t>、</w:t>
            </w:r>
            <w:r>
              <w:rPr>
                <w:rFonts w:asciiTheme="minorEastAsia" w:eastAsia="宋体" w:hAnsiTheme="minorEastAsia" w:cs="Arial" w:hint="eastAsia"/>
                <w:kern w:val="0"/>
                <w:sz w:val="24"/>
                <w:szCs w:val="24"/>
              </w:rPr>
              <w:t>律师费</w:t>
            </w:r>
            <w:r w:rsidR="00BC333B">
              <w:rPr>
                <w:rFonts w:asciiTheme="minorEastAsia" w:eastAsia="宋体" w:hAnsiTheme="minorEastAsia" w:cs="Arial"/>
                <w:kern w:val="0"/>
                <w:sz w:val="24"/>
                <w:szCs w:val="24"/>
              </w:rPr>
              <w:t>（注2）</w:t>
            </w:r>
          </w:p>
        </w:tc>
        <w:tc>
          <w:tcPr>
            <w:tcW w:w="5812" w:type="dxa"/>
            <w:tcBorders>
              <w:top w:val="single" w:sz="4" w:space="0" w:color="auto"/>
              <w:left w:val="nil"/>
              <w:bottom w:val="single" w:sz="4" w:space="0" w:color="auto"/>
              <w:right w:val="single" w:sz="4" w:space="0" w:color="auto"/>
            </w:tcBorders>
            <w:vAlign w:val="bottom"/>
          </w:tcPr>
          <w:p w:rsidR="006C7DAC" w:rsidRDefault="006C7DAC">
            <w:pPr>
              <w:overflowPunct w:val="0"/>
              <w:autoSpaceDE w:val="0"/>
              <w:autoSpaceDN w:val="0"/>
              <w:snapToGrid w:val="0"/>
              <w:spacing w:line="360" w:lineRule="auto"/>
              <w:jc w:val="right"/>
              <w:rPr>
                <w:rFonts w:asciiTheme="minorEastAsia" w:eastAsia="宋体" w:hAnsiTheme="minorEastAsia" w:cs="Arial"/>
                <w:kern w:val="0"/>
                <w:sz w:val="24"/>
                <w:szCs w:val="24"/>
              </w:rPr>
            </w:pPr>
            <w:r>
              <w:rPr>
                <w:rFonts w:asciiTheme="minorEastAsia" w:eastAsia="宋体" w:hAnsiTheme="minorEastAsia" w:cs="Arial" w:hint="eastAsia"/>
                <w:kern w:val="0"/>
                <w:sz w:val="24"/>
                <w:szCs w:val="24"/>
              </w:rPr>
              <w:t>2</w:t>
            </w:r>
            <w:r w:rsidR="00441E80">
              <w:rPr>
                <w:rFonts w:asciiTheme="minorEastAsia" w:eastAsia="宋体" w:hAnsiTheme="minorEastAsia" w:cs="Arial" w:hint="eastAsia"/>
                <w:kern w:val="0"/>
                <w:sz w:val="24"/>
                <w:szCs w:val="24"/>
              </w:rPr>
              <w:t>0</w:t>
            </w:r>
            <w:r>
              <w:rPr>
                <w:rFonts w:asciiTheme="minorEastAsia" w:eastAsia="宋体" w:hAnsiTheme="minorEastAsia" w:cs="Arial" w:hint="eastAsia"/>
                <w:kern w:val="0"/>
                <w:sz w:val="24"/>
                <w:szCs w:val="24"/>
              </w:rPr>
              <w:t>,000.00</w:t>
            </w:r>
          </w:p>
        </w:tc>
      </w:tr>
      <w:tr w:rsidR="00127E02">
        <w:trPr>
          <w:trHeight w:val="80"/>
        </w:trPr>
        <w:tc>
          <w:tcPr>
            <w:tcW w:w="3544" w:type="dxa"/>
            <w:tcBorders>
              <w:top w:val="single" w:sz="4" w:space="0" w:color="auto"/>
              <w:left w:val="single" w:sz="4" w:space="0" w:color="auto"/>
              <w:bottom w:val="single" w:sz="4" w:space="0" w:color="auto"/>
              <w:right w:val="single" w:sz="4" w:space="0" w:color="auto"/>
            </w:tcBorders>
            <w:vAlign w:val="bottom"/>
          </w:tcPr>
          <w:p w:rsidR="00127E02" w:rsidRDefault="009D17C5">
            <w:pPr>
              <w:overflowPunct w:val="0"/>
              <w:autoSpaceDE w:val="0"/>
              <w:autoSpaceDN w:val="0"/>
              <w:snapToGrid w:val="0"/>
              <w:spacing w:line="360" w:lineRule="auto"/>
              <w:ind w:left="-47" w:right="-61" w:firstLine="434"/>
              <w:jc w:val="left"/>
              <w:rPr>
                <w:rFonts w:asciiTheme="minorEastAsia" w:eastAsia="宋体" w:hAnsiTheme="minorEastAsia" w:cs="Arial"/>
                <w:kern w:val="0"/>
                <w:sz w:val="24"/>
                <w:szCs w:val="24"/>
              </w:rPr>
            </w:pPr>
            <w:r>
              <w:rPr>
                <w:rFonts w:asciiTheme="minorEastAsia" w:eastAsia="宋体" w:hAnsiTheme="minorEastAsia" w:cs="Arial"/>
                <w:kern w:val="0"/>
                <w:sz w:val="24"/>
                <w:szCs w:val="24"/>
              </w:rPr>
              <w:t>清算费用小计（注</w:t>
            </w:r>
            <w:r w:rsidR="00BC333B">
              <w:rPr>
                <w:rFonts w:asciiTheme="minorEastAsia" w:eastAsia="宋体" w:hAnsiTheme="minorEastAsia" w:cs="Arial" w:hint="eastAsia"/>
                <w:kern w:val="0"/>
                <w:sz w:val="24"/>
                <w:szCs w:val="24"/>
              </w:rPr>
              <w:t>3</w:t>
            </w:r>
            <w:r>
              <w:rPr>
                <w:rFonts w:asciiTheme="minorEastAsia" w:eastAsia="宋体" w:hAnsiTheme="minorEastAsia" w:cs="Arial"/>
                <w:kern w:val="0"/>
                <w:sz w:val="24"/>
                <w:szCs w:val="24"/>
              </w:rPr>
              <w:t>）</w:t>
            </w:r>
          </w:p>
        </w:tc>
        <w:tc>
          <w:tcPr>
            <w:tcW w:w="5812" w:type="dxa"/>
            <w:tcBorders>
              <w:top w:val="single" w:sz="4" w:space="0" w:color="auto"/>
              <w:left w:val="nil"/>
              <w:bottom w:val="single" w:sz="4" w:space="0" w:color="auto"/>
              <w:right w:val="single" w:sz="4" w:space="0" w:color="auto"/>
            </w:tcBorders>
            <w:vAlign w:val="bottom"/>
          </w:tcPr>
          <w:p w:rsidR="00127E02" w:rsidRDefault="00551353">
            <w:pPr>
              <w:overflowPunct w:val="0"/>
              <w:autoSpaceDE w:val="0"/>
              <w:autoSpaceDN w:val="0"/>
              <w:snapToGrid w:val="0"/>
              <w:spacing w:line="360" w:lineRule="auto"/>
              <w:jc w:val="right"/>
              <w:rPr>
                <w:rFonts w:asciiTheme="minorEastAsia" w:eastAsia="宋体" w:hAnsiTheme="minorEastAsia" w:cs="Arial"/>
                <w:kern w:val="0"/>
                <w:sz w:val="24"/>
                <w:szCs w:val="24"/>
              </w:rPr>
            </w:pPr>
            <w:r>
              <w:rPr>
                <w:rFonts w:asciiTheme="minorEastAsia" w:eastAsia="宋体" w:hAnsiTheme="minorEastAsia" w:cs="Arial" w:hint="eastAsia"/>
                <w:kern w:val="0"/>
                <w:sz w:val="24"/>
                <w:szCs w:val="24"/>
              </w:rPr>
              <w:t>20,0</w:t>
            </w:r>
            <w:r w:rsidR="00373804">
              <w:rPr>
                <w:rFonts w:asciiTheme="minorEastAsia" w:eastAsia="宋体" w:hAnsiTheme="minorEastAsia" w:cs="Arial" w:hint="eastAsia"/>
                <w:kern w:val="0"/>
                <w:sz w:val="24"/>
                <w:szCs w:val="24"/>
              </w:rPr>
              <w:t>30.00</w:t>
            </w:r>
          </w:p>
        </w:tc>
      </w:tr>
      <w:tr w:rsidR="00127E02">
        <w:trPr>
          <w:trHeight w:val="80"/>
        </w:trPr>
        <w:tc>
          <w:tcPr>
            <w:tcW w:w="3544" w:type="dxa"/>
            <w:tcBorders>
              <w:top w:val="single" w:sz="4" w:space="0" w:color="auto"/>
              <w:left w:val="single" w:sz="4" w:space="0" w:color="auto"/>
              <w:bottom w:val="single" w:sz="4" w:space="0" w:color="auto"/>
              <w:right w:val="single" w:sz="4" w:space="0" w:color="auto"/>
            </w:tcBorders>
            <w:vAlign w:val="bottom"/>
          </w:tcPr>
          <w:p w:rsidR="00127E02" w:rsidRDefault="009D17C5">
            <w:pPr>
              <w:overflowPunct w:val="0"/>
              <w:autoSpaceDE w:val="0"/>
              <w:autoSpaceDN w:val="0"/>
              <w:snapToGrid w:val="0"/>
              <w:spacing w:line="360" w:lineRule="auto"/>
              <w:ind w:left="-47" w:right="-61"/>
              <w:jc w:val="left"/>
              <w:rPr>
                <w:rFonts w:asciiTheme="minorEastAsia" w:eastAsia="宋体" w:hAnsiTheme="minorEastAsia" w:cs="Arial"/>
                <w:kern w:val="0"/>
                <w:sz w:val="24"/>
                <w:szCs w:val="24"/>
              </w:rPr>
            </w:pPr>
            <w:r>
              <w:rPr>
                <w:rFonts w:asciiTheme="minorEastAsia" w:eastAsia="宋体" w:hAnsiTheme="minorEastAsia" w:cs="Arial"/>
                <w:kern w:val="0"/>
                <w:sz w:val="24"/>
                <w:szCs w:val="24"/>
              </w:rPr>
              <w:t>三、清算净收益</w:t>
            </w:r>
          </w:p>
        </w:tc>
        <w:tc>
          <w:tcPr>
            <w:tcW w:w="5812" w:type="dxa"/>
            <w:tcBorders>
              <w:top w:val="single" w:sz="4" w:space="0" w:color="auto"/>
              <w:left w:val="nil"/>
              <w:bottom w:val="single" w:sz="4" w:space="0" w:color="auto"/>
              <w:right w:val="single" w:sz="4" w:space="0" w:color="auto"/>
            </w:tcBorders>
            <w:vAlign w:val="bottom"/>
          </w:tcPr>
          <w:p w:rsidR="00127E02" w:rsidRDefault="00373804">
            <w:pPr>
              <w:overflowPunct w:val="0"/>
              <w:autoSpaceDE w:val="0"/>
              <w:autoSpaceDN w:val="0"/>
              <w:snapToGrid w:val="0"/>
              <w:spacing w:line="360" w:lineRule="auto"/>
              <w:jc w:val="right"/>
              <w:rPr>
                <w:rFonts w:asciiTheme="minorEastAsia" w:eastAsia="宋体" w:hAnsiTheme="minorEastAsia" w:cs="Arial"/>
                <w:kern w:val="0"/>
                <w:sz w:val="24"/>
                <w:szCs w:val="24"/>
              </w:rPr>
            </w:pPr>
            <w:r>
              <w:rPr>
                <w:rFonts w:asciiTheme="minorEastAsia" w:eastAsia="宋体" w:hAnsiTheme="minorEastAsia" w:cs="Arial" w:hint="eastAsia"/>
                <w:kern w:val="0"/>
                <w:sz w:val="24"/>
                <w:szCs w:val="24"/>
              </w:rPr>
              <w:t>3</w:t>
            </w:r>
            <w:r>
              <w:rPr>
                <w:rFonts w:asciiTheme="minorEastAsia" w:eastAsia="宋体" w:hAnsiTheme="minorEastAsia" w:cs="Arial"/>
                <w:kern w:val="0"/>
                <w:sz w:val="24"/>
                <w:szCs w:val="24"/>
              </w:rPr>
              <w:t>,</w:t>
            </w:r>
            <w:r>
              <w:rPr>
                <w:rFonts w:asciiTheme="minorEastAsia" w:eastAsia="宋体" w:hAnsiTheme="minorEastAsia" w:cs="Arial" w:hint="eastAsia"/>
                <w:kern w:val="0"/>
                <w:sz w:val="24"/>
                <w:szCs w:val="24"/>
              </w:rPr>
              <w:t>753</w:t>
            </w:r>
            <w:r>
              <w:rPr>
                <w:rFonts w:asciiTheme="minorEastAsia" w:eastAsia="宋体" w:hAnsiTheme="minorEastAsia" w:cs="Arial"/>
                <w:kern w:val="0"/>
                <w:sz w:val="24"/>
                <w:szCs w:val="24"/>
              </w:rPr>
              <w:t>.</w:t>
            </w:r>
            <w:r>
              <w:rPr>
                <w:rFonts w:asciiTheme="minorEastAsia" w:eastAsia="宋体" w:hAnsiTheme="minorEastAsia" w:cs="Arial" w:hint="eastAsia"/>
                <w:kern w:val="0"/>
                <w:sz w:val="24"/>
                <w:szCs w:val="24"/>
              </w:rPr>
              <w:t>7</w:t>
            </w:r>
            <w:r w:rsidR="009D17C5">
              <w:rPr>
                <w:rFonts w:asciiTheme="minorEastAsia" w:eastAsia="宋体" w:hAnsiTheme="minorEastAsia" w:cs="Arial"/>
                <w:kern w:val="0"/>
                <w:sz w:val="24"/>
                <w:szCs w:val="24"/>
              </w:rPr>
              <w:t>6</w:t>
            </w:r>
          </w:p>
        </w:tc>
      </w:tr>
    </w:tbl>
    <w:p w:rsidR="00373804" w:rsidRDefault="009D17C5" w:rsidP="00373804">
      <w:pPr>
        <w:overflowPunct w:val="0"/>
        <w:autoSpaceDE w:val="0"/>
        <w:autoSpaceDN w:val="0"/>
        <w:snapToGrid w:val="0"/>
        <w:spacing w:line="360" w:lineRule="auto"/>
        <w:ind w:firstLineChars="200" w:firstLine="480"/>
        <w:rPr>
          <w:rFonts w:asciiTheme="minorEastAsia" w:eastAsia="宋体" w:hAnsiTheme="minorEastAsia" w:cs="Arial"/>
          <w:kern w:val="0"/>
          <w:sz w:val="24"/>
          <w:szCs w:val="24"/>
        </w:rPr>
      </w:pPr>
      <w:r>
        <w:rPr>
          <w:rFonts w:asciiTheme="minorEastAsia" w:eastAsia="宋体" w:hAnsiTheme="minorEastAsia" w:cs="Arial"/>
          <w:kern w:val="0"/>
          <w:sz w:val="24"/>
          <w:szCs w:val="24"/>
        </w:rPr>
        <w:t>注1：</w:t>
      </w:r>
      <w:r w:rsidR="00193070">
        <w:rPr>
          <w:rFonts w:asciiTheme="minorEastAsia" w:eastAsia="宋体" w:hAnsiTheme="minorEastAsia" w:cs="Arial" w:hint="eastAsia"/>
          <w:kern w:val="0"/>
          <w:sz w:val="24"/>
          <w:szCs w:val="24"/>
        </w:rPr>
        <w:t>利息收入系计提</w:t>
      </w:r>
      <w:r w:rsidR="00373804" w:rsidRPr="00373804">
        <w:rPr>
          <w:rFonts w:asciiTheme="minorEastAsia" w:eastAsia="宋体" w:hAnsiTheme="minorEastAsia" w:cs="Arial" w:hint="eastAsia"/>
          <w:kern w:val="0"/>
          <w:sz w:val="24"/>
          <w:szCs w:val="24"/>
        </w:rPr>
        <w:t>自2018年8月16日至2018年8月29日止清算期间的银行存款利息及债券利息。其中，银行存款利息人民币862.12元、债券利息人民币22,921.64元将于第二次清算</w:t>
      </w:r>
      <w:r w:rsidR="00FF1EFB">
        <w:rPr>
          <w:rFonts w:asciiTheme="minorEastAsia" w:eastAsia="宋体" w:hAnsiTheme="minorEastAsia" w:cs="Arial" w:hint="eastAsia"/>
          <w:kern w:val="0"/>
          <w:sz w:val="24"/>
          <w:szCs w:val="24"/>
        </w:rPr>
        <w:t>时</w:t>
      </w:r>
      <w:r w:rsidR="00373804" w:rsidRPr="00373804">
        <w:rPr>
          <w:rFonts w:asciiTheme="minorEastAsia" w:eastAsia="宋体" w:hAnsiTheme="minorEastAsia" w:cs="Arial" w:hint="eastAsia"/>
          <w:kern w:val="0"/>
          <w:sz w:val="24"/>
          <w:szCs w:val="24"/>
        </w:rPr>
        <w:t>再向基金份额持有人分配。</w:t>
      </w:r>
    </w:p>
    <w:p w:rsidR="00551353" w:rsidRPr="00373804" w:rsidRDefault="00551353" w:rsidP="00373804">
      <w:pPr>
        <w:overflowPunct w:val="0"/>
        <w:autoSpaceDE w:val="0"/>
        <w:autoSpaceDN w:val="0"/>
        <w:snapToGrid w:val="0"/>
        <w:spacing w:line="360" w:lineRule="auto"/>
        <w:ind w:firstLineChars="200" w:firstLine="480"/>
        <w:rPr>
          <w:rFonts w:asciiTheme="minorEastAsia" w:eastAsia="宋体" w:hAnsiTheme="minorEastAsia" w:cs="Arial"/>
          <w:kern w:val="0"/>
          <w:sz w:val="24"/>
          <w:szCs w:val="24"/>
        </w:rPr>
      </w:pPr>
      <w:r>
        <w:rPr>
          <w:rFonts w:asciiTheme="minorEastAsia" w:eastAsia="宋体" w:hAnsiTheme="minorEastAsia" w:cs="Arial" w:hint="eastAsia"/>
          <w:kern w:val="0"/>
          <w:sz w:val="24"/>
          <w:szCs w:val="24"/>
        </w:rPr>
        <w:t xml:space="preserve">注2：  </w:t>
      </w:r>
      <w:r w:rsidRPr="00551353">
        <w:rPr>
          <w:rFonts w:asciiTheme="minorEastAsia" w:eastAsia="宋体" w:hAnsiTheme="minorEastAsia" w:cs="Arial" w:hint="eastAsia"/>
          <w:kern w:val="0"/>
          <w:sz w:val="24"/>
          <w:szCs w:val="24"/>
        </w:rPr>
        <w:t>律师费系预提的因清算所产生的清算律师费，该款项将于第一次清算结束后支付。</w:t>
      </w:r>
    </w:p>
    <w:p w:rsidR="00373804" w:rsidRDefault="009D17C5" w:rsidP="00373804">
      <w:pPr>
        <w:overflowPunct w:val="0"/>
        <w:autoSpaceDE w:val="0"/>
        <w:autoSpaceDN w:val="0"/>
        <w:snapToGrid w:val="0"/>
        <w:spacing w:line="360" w:lineRule="auto"/>
        <w:ind w:firstLineChars="200" w:firstLine="480"/>
        <w:rPr>
          <w:rFonts w:asciiTheme="minorEastAsia" w:eastAsia="宋体" w:hAnsiTheme="minorEastAsia" w:cs="Arial"/>
          <w:kern w:val="0"/>
          <w:sz w:val="24"/>
          <w:szCs w:val="24"/>
        </w:rPr>
      </w:pPr>
      <w:r>
        <w:rPr>
          <w:rFonts w:asciiTheme="minorEastAsia" w:eastAsia="宋体" w:hAnsiTheme="minorEastAsia" w:cs="Arial"/>
          <w:kern w:val="0"/>
          <w:sz w:val="24"/>
          <w:szCs w:val="24"/>
        </w:rPr>
        <w:t>注</w:t>
      </w:r>
      <w:r w:rsidR="00551353">
        <w:rPr>
          <w:rFonts w:asciiTheme="minorEastAsia" w:eastAsia="宋体" w:hAnsiTheme="minorEastAsia" w:cs="Arial" w:hint="eastAsia"/>
          <w:kern w:val="0"/>
          <w:sz w:val="24"/>
          <w:szCs w:val="24"/>
        </w:rPr>
        <w:t>3</w:t>
      </w:r>
      <w:r>
        <w:rPr>
          <w:rFonts w:asciiTheme="minorEastAsia" w:eastAsia="宋体" w:hAnsiTheme="minorEastAsia" w:cs="Arial"/>
          <w:kern w:val="0"/>
          <w:sz w:val="24"/>
          <w:szCs w:val="24"/>
        </w:rPr>
        <w:t>：</w:t>
      </w:r>
      <w:r w:rsidR="00373804" w:rsidRPr="00373804">
        <w:rPr>
          <w:rFonts w:asciiTheme="minorEastAsia" w:eastAsia="宋体" w:hAnsiTheme="minorEastAsia" w:cs="Arial" w:hint="eastAsia"/>
          <w:kern w:val="0"/>
          <w:sz w:val="24"/>
          <w:szCs w:val="24"/>
        </w:rPr>
        <w:t>根据《关于国投瑞银顺益纯债债券型证券投资基金基金财产清算及基金合同终止的公告》，本基金的清算费用由基金财产清算小组优先从基金剩余财产中支付。</w:t>
      </w:r>
    </w:p>
    <w:p w:rsidR="00127E02" w:rsidRDefault="00127E02">
      <w:pPr>
        <w:pStyle w:val="a5"/>
        <w:kinsoku w:val="0"/>
        <w:overflowPunct w:val="0"/>
        <w:spacing w:line="360" w:lineRule="auto"/>
        <w:rPr>
          <w:rFonts w:asciiTheme="minorEastAsia" w:hAnsiTheme="minorEastAsia" w:cs="Arial"/>
        </w:rPr>
      </w:pPr>
    </w:p>
    <w:p w:rsidR="00127E02" w:rsidRPr="00761525" w:rsidRDefault="00761525" w:rsidP="00761525">
      <w:pPr>
        <w:pStyle w:val="21"/>
        <w:kinsoku w:val="0"/>
        <w:overflowPunct w:val="0"/>
        <w:spacing w:line="360" w:lineRule="auto"/>
        <w:ind w:right="75" w:firstLineChars="200" w:firstLine="480"/>
        <w:outlineLvl w:val="9"/>
        <w:rPr>
          <w:rFonts w:asciiTheme="minorEastAsia" w:eastAsia="宋体" w:hAnsiTheme="minorEastAsia" w:cs="Arial"/>
          <w:b w:val="0"/>
          <w:bCs w:val="0"/>
          <w:sz w:val="24"/>
          <w:szCs w:val="24"/>
        </w:rPr>
      </w:pPr>
      <w:r>
        <w:rPr>
          <w:rFonts w:asciiTheme="minorEastAsia" w:eastAsia="宋体" w:hAnsiTheme="minorEastAsia" w:cs="Arial" w:hint="eastAsia"/>
          <w:b w:val="0"/>
          <w:bCs w:val="0"/>
          <w:sz w:val="24"/>
          <w:szCs w:val="24"/>
        </w:rPr>
        <w:t>4、清算期间</w:t>
      </w:r>
      <w:r w:rsidR="009D17C5" w:rsidRPr="00761525">
        <w:rPr>
          <w:rFonts w:asciiTheme="minorEastAsia" w:eastAsia="宋体" w:hAnsiTheme="minorEastAsia" w:cs="Arial"/>
          <w:b w:val="0"/>
          <w:bCs w:val="0"/>
          <w:sz w:val="24"/>
          <w:szCs w:val="24"/>
        </w:rPr>
        <w:t>的剩余资产分配情况</w:t>
      </w:r>
    </w:p>
    <w:p w:rsidR="00127E02" w:rsidRDefault="009D17C5">
      <w:pPr>
        <w:overflowPunct w:val="0"/>
        <w:autoSpaceDE w:val="0"/>
        <w:autoSpaceDN w:val="0"/>
        <w:snapToGrid w:val="0"/>
        <w:spacing w:line="360" w:lineRule="auto"/>
        <w:ind w:left="6480" w:firstLine="1033"/>
        <w:rPr>
          <w:rFonts w:asciiTheme="minorEastAsia" w:hAnsiTheme="minorEastAsia" w:cs="Arial"/>
          <w:b/>
          <w:sz w:val="24"/>
          <w:szCs w:val="24"/>
        </w:rPr>
      </w:pPr>
      <w:r>
        <w:rPr>
          <w:rFonts w:asciiTheme="minorEastAsia" w:hAnsiTheme="minorEastAsia" w:cs="Arial"/>
          <w:sz w:val="24"/>
          <w:szCs w:val="24"/>
        </w:rPr>
        <w:t>单位：人民币元</w:t>
      </w:r>
    </w:p>
    <w:tbl>
      <w:tblPr>
        <w:tblW w:w="8348" w:type="dxa"/>
        <w:tblInd w:w="817" w:type="dxa"/>
        <w:tblLayout w:type="fixed"/>
        <w:tblLook w:val="04A0"/>
      </w:tblPr>
      <w:tblGrid>
        <w:gridCol w:w="4536"/>
        <w:gridCol w:w="3812"/>
      </w:tblGrid>
      <w:tr w:rsidR="00127E02">
        <w:tc>
          <w:tcPr>
            <w:tcW w:w="4536" w:type="dxa"/>
            <w:tcBorders>
              <w:top w:val="single" w:sz="4" w:space="0" w:color="auto"/>
              <w:left w:val="single" w:sz="4" w:space="0" w:color="auto"/>
              <w:bottom w:val="single" w:sz="4" w:space="0" w:color="auto"/>
              <w:right w:val="single" w:sz="4" w:space="0" w:color="auto"/>
            </w:tcBorders>
          </w:tcPr>
          <w:p w:rsidR="00127E02" w:rsidRDefault="009D17C5">
            <w:pPr>
              <w:spacing w:line="360" w:lineRule="auto"/>
              <w:rPr>
                <w:rFonts w:asciiTheme="minorEastAsia" w:hAnsiTheme="minorEastAsia" w:cs="Arial"/>
                <w:sz w:val="24"/>
                <w:szCs w:val="24"/>
              </w:rPr>
            </w:pPr>
            <w:r>
              <w:rPr>
                <w:rFonts w:asciiTheme="minorEastAsia" w:hAnsiTheme="minorEastAsia" w:cs="Arial"/>
                <w:sz w:val="24"/>
                <w:szCs w:val="24"/>
              </w:rPr>
              <w:t>项目</w:t>
            </w:r>
          </w:p>
        </w:tc>
        <w:tc>
          <w:tcPr>
            <w:tcW w:w="3812" w:type="dxa"/>
            <w:tcBorders>
              <w:top w:val="single" w:sz="4" w:space="0" w:color="auto"/>
              <w:left w:val="nil"/>
              <w:bottom w:val="single" w:sz="4" w:space="0" w:color="auto"/>
              <w:right w:val="single" w:sz="4" w:space="0" w:color="auto"/>
            </w:tcBorders>
          </w:tcPr>
          <w:p w:rsidR="00127E02" w:rsidRDefault="009D17C5">
            <w:pPr>
              <w:spacing w:line="360" w:lineRule="auto"/>
              <w:rPr>
                <w:rFonts w:asciiTheme="minorEastAsia" w:hAnsiTheme="minorEastAsia" w:cs="Arial"/>
                <w:sz w:val="24"/>
                <w:szCs w:val="24"/>
              </w:rPr>
            </w:pPr>
            <w:r>
              <w:rPr>
                <w:rFonts w:asciiTheme="minorEastAsia" w:hAnsiTheme="minorEastAsia" w:cs="Arial"/>
                <w:sz w:val="24"/>
                <w:szCs w:val="24"/>
              </w:rPr>
              <w:t>金额</w:t>
            </w:r>
          </w:p>
        </w:tc>
      </w:tr>
      <w:tr w:rsidR="00373804" w:rsidTr="0038678A">
        <w:tc>
          <w:tcPr>
            <w:tcW w:w="4536" w:type="dxa"/>
            <w:tcBorders>
              <w:top w:val="single" w:sz="4" w:space="0" w:color="auto"/>
              <w:left w:val="single" w:sz="4" w:space="0" w:color="auto"/>
              <w:bottom w:val="single" w:sz="4" w:space="0" w:color="auto"/>
              <w:right w:val="single" w:sz="4" w:space="0" w:color="auto"/>
            </w:tcBorders>
          </w:tcPr>
          <w:p w:rsidR="00373804" w:rsidRDefault="00373804" w:rsidP="00F80DC2">
            <w:pPr>
              <w:overflowPunct w:val="0"/>
              <w:autoSpaceDE w:val="0"/>
              <w:autoSpaceDN w:val="0"/>
              <w:snapToGrid w:val="0"/>
              <w:spacing w:line="360" w:lineRule="auto"/>
              <w:rPr>
                <w:rFonts w:asciiTheme="minorEastAsia" w:hAnsiTheme="minorEastAsia" w:cs="Arial"/>
                <w:sz w:val="24"/>
                <w:szCs w:val="24"/>
              </w:rPr>
            </w:pPr>
            <w:r>
              <w:rPr>
                <w:rFonts w:asciiTheme="minorEastAsia" w:hAnsiTheme="minorEastAsia" w:cs="Arial"/>
                <w:sz w:val="24"/>
                <w:szCs w:val="24"/>
              </w:rPr>
              <w:t>一、最后运作日2018年</w:t>
            </w:r>
            <w:r>
              <w:rPr>
                <w:rFonts w:asciiTheme="minorEastAsia" w:hAnsiTheme="minorEastAsia" w:cs="Arial" w:hint="eastAsia"/>
                <w:sz w:val="24"/>
                <w:szCs w:val="24"/>
              </w:rPr>
              <w:t>8</w:t>
            </w:r>
            <w:r>
              <w:rPr>
                <w:rFonts w:asciiTheme="minorEastAsia" w:hAnsiTheme="minorEastAsia" w:cs="Arial"/>
                <w:sz w:val="24"/>
                <w:szCs w:val="24"/>
              </w:rPr>
              <w:t>月</w:t>
            </w:r>
            <w:r>
              <w:rPr>
                <w:rFonts w:asciiTheme="minorEastAsia" w:hAnsiTheme="minorEastAsia" w:cs="Arial" w:hint="eastAsia"/>
                <w:sz w:val="24"/>
                <w:szCs w:val="24"/>
              </w:rPr>
              <w:t>15</w:t>
            </w:r>
            <w:r>
              <w:rPr>
                <w:rFonts w:asciiTheme="minorEastAsia" w:hAnsiTheme="minorEastAsia" w:cs="Arial"/>
                <w:sz w:val="24"/>
                <w:szCs w:val="24"/>
              </w:rPr>
              <w:t>日基金净资产</w:t>
            </w:r>
          </w:p>
        </w:tc>
        <w:tc>
          <w:tcPr>
            <w:tcW w:w="3812" w:type="dxa"/>
            <w:tcBorders>
              <w:top w:val="single" w:sz="4" w:space="0" w:color="auto"/>
              <w:left w:val="nil"/>
              <w:bottom w:val="single" w:sz="4" w:space="0" w:color="auto"/>
              <w:right w:val="single" w:sz="4" w:space="0" w:color="auto"/>
            </w:tcBorders>
          </w:tcPr>
          <w:p w:rsidR="00373804" w:rsidRPr="00373804" w:rsidRDefault="00373804" w:rsidP="00373804">
            <w:pPr>
              <w:overflowPunct w:val="0"/>
              <w:autoSpaceDE w:val="0"/>
              <w:autoSpaceDN w:val="0"/>
              <w:snapToGrid w:val="0"/>
              <w:spacing w:line="360" w:lineRule="auto"/>
              <w:jc w:val="right"/>
              <w:rPr>
                <w:rFonts w:asciiTheme="minorEastAsia" w:eastAsia="宋体" w:hAnsiTheme="minorEastAsia" w:cs="Arial"/>
                <w:kern w:val="0"/>
                <w:sz w:val="24"/>
                <w:szCs w:val="24"/>
              </w:rPr>
            </w:pPr>
            <w:r w:rsidRPr="00373804">
              <w:rPr>
                <w:rFonts w:asciiTheme="minorEastAsia" w:eastAsia="宋体" w:hAnsiTheme="minorEastAsia" w:cs="Arial"/>
                <w:kern w:val="0"/>
                <w:sz w:val="24"/>
                <w:szCs w:val="24"/>
              </w:rPr>
              <w:t>8,175,200.76</w:t>
            </w:r>
          </w:p>
        </w:tc>
      </w:tr>
      <w:tr w:rsidR="00373804" w:rsidTr="0038678A">
        <w:tc>
          <w:tcPr>
            <w:tcW w:w="4536" w:type="dxa"/>
            <w:tcBorders>
              <w:top w:val="single" w:sz="4" w:space="0" w:color="auto"/>
              <w:left w:val="single" w:sz="4" w:space="0" w:color="auto"/>
              <w:bottom w:val="single" w:sz="4" w:space="0" w:color="auto"/>
              <w:right w:val="single" w:sz="4" w:space="0" w:color="auto"/>
            </w:tcBorders>
          </w:tcPr>
          <w:p w:rsidR="00373804" w:rsidRDefault="00373804">
            <w:pPr>
              <w:overflowPunct w:val="0"/>
              <w:autoSpaceDE w:val="0"/>
              <w:autoSpaceDN w:val="0"/>
              <w:snapToGrid w:val="0"/>
              <w:spacing w:line="360" w:lineRule="auto"/>
              <w:rPr>
                <w:rFonts w:asciiTheme="minorEastAsia" w:hAnsiTheme="minorEastAsia" w:cs="Arial"/>
                <w:sz w:val="24"/>
                <w:szCs w:val="24"/>
              </w:rPr>
            </w:pPr>
            <w:r>
              <w:rPr>
                <w:rFonts w:asciiTheme="minorEastAsia" w:hAnsiTheme="minorEastAsia" w:cs="Arial"/>
                <w:sz w:val="24"/>
                <w:szCs w:val="24"/>
              </w:rPr>
              <w:t>加：清算期间净收益</w:t>
            </w:r>
          </w:p>
        </w:tc>
        <w:tc>
          <w:tcPr>
            <w:tcW w:w="3812" w:type="dxa"/>
            <w:tcBorders>
              <w:top w:val="single" w:sz="4" w:space="0" w:color="auto"/>
              <w:left w:val="nil"/>
              <w:bottom w:val="single" w:sz="4" w:space="0" w:color="auto"/>
              <w:right w:val="single" w:sz="4" w:space="0" w:color="auto"/>
            </w:tcBorders>
          </w:tcPr>
          <w:p w:rsidR="00373804" w:rsidRPr="00373804" w:rsidRDefault="00373804" w:rsidP="00373804">
            <w:pPr>
              <w:overflowPunct w:val="0"/>
              <w:autoSpaceDE w:val="0"/>
              <w:autoSpaceDN w:val="0"/>
              <w:snapToGrid w:val="0"/>
              <w:spacing w:line="360" w:lineRule="auto"/>
              <w:jc w:val="right"/>
              <w:rPr>
                <w:rFonts w:asciiTheme="minorEastAsia" w:eastAsia="宋体" w:hAnsiTheme="minorEastAsia" w:cs="Arial"/>
                <w:kern w:val="0"/>
                <w:sz w:val="24"/>
                <w:szCs w:val="24"/>
              </w:rPr>
            </w:pPr>
            <w:r w:rsidRPr="00373804">
              <w:rPr>
                <w:rFonts w:asciiTheme="minorEastAsia" w:eastAsia="宋体" w:hAnsiTheme="minorEastAsia" w:cs="Arial"/>
                <w:kern w:val="0"/>
                <w:sz w:val="24"/>
                <w:szCs w:val="24"/>
              </w:rPr>
              <w:t>3,753.76</w:t>
            </w:r>
          </w:p>
        </w:tc>
      </w:tr>
      <w:tr w:rsidR="00373804" w:rsidTr="0038678A">
        <w:trPr>
          <w:trHeight w:val="101"/>
        </w:trPr>
        <w:tc>
          <w:tcPr>
            <w:tcW w:w="4536" w:type="dxa"/>
            <w:tcBorders>
              <w:top w:val="single" w:sz="4" w:space="0" w:color="auto"/>
              <w:left w:val="single" w:sz="4" w:space="0" w:color="auto"/>
              <w:bottom w:val="single" w:sz="4" w:space="0" w:color="auto"/>
              <w:right w:val="single" w:sz="4" w:space="0" w:color="auto"/>
            </w:tcBorders>
          </w:tcPr>
          <w:p w:rsidR="00373804" w:rsidRDefault="00373804">
            <w:pPr>
              <w:overflowPunct w:val="0"/>
              <w:autoSpaceDE w:val="0"/>
              <w:autoSpaceDN w:val="0"/>
              <w:snapToGrid w:val="0"/>
              <w:spacing w:line="360" w:lineRule="auto"/>
              <w:rPr>
                <w:rFonts w:asciiTheme="minorEastAsia" w:hAnsiTheme="minorEastAsia" w:cs="Arial"/>
                <w:sz w:val="24"/>
                <w:szCs w:val="24"/>
              </w:rPr>
            </w:pPr>
            <w:r>
              <w:rPr>
                <w:rFonts w:asciiTheme="minorEastAsia" w:hAnsiTheme="minorEastAsia" w:cs="Arial"/>
                <w:sz w:val="24"/>
                <w:szCs w:val="24"/>
              </w:rPr>
              <w:t>二、2018年</w:t>
            </w:r>
            <w:r>
              <w:rPr>
                <w:rFonts w:asciiTheme="minorEastAsia" w:hAnsiTheme="minorEastAsia" w:cs="Arial" w:hint="eastAsia"/>
                <w:sz w:val="24"/>
                <w:szCs w:val="24"/>
              </w:rPr>
              <w:t>8</w:t>
            </w:r>
            <w:r>
              <w:rPr>
                <w:rFonts w:asciiTheme="minorEastAsia" w:hAnsiTheme="minorEastAsia" w:cs="Arial"/>
                <w:sz w:val="24"/>
                <w:szCs w:val="24"/>
              </w:rPr>
              <w:t>月</w:t>
            </w:r>
            <w:r>
              <w:rPr>
                <w:rFonts w:asciiTheme="minorEastAsia" w:hAnsiTheme="minorEastAsia" w:cs="Arial" w:hint="eastAsia"/>
                <w:sz w:val="24"/>
                <w:szCs w:val="24"/>
              </w:rPr>
              <w:t>29</w:t>
            </w:r>
            <w:r>
              <w:rPr>
                <w:rFonts w:asciiTheme="minorEastAsia" w:hAnsiTheme="minorEastAsia" w:cs="Arial"/>
                <w:sz w:val="24"/>
                <w:szCs w:val="24"/>
              </w:rPr>
              <w:t>日基金净资产</w:t>
            </w:r>
          </w:p>
        </w:tc>
        <w:tc>
          <w:tcPr>
            <w:tcW w:w="3812" w:type="dxa"/>
            <w:tcBorders>
              <w:top w:val="single" w:sz="4" w:space="0" w:color="auto"/>
              <w:left w:val="nil"/>
              <w:bottom w:val="single" w:sz="4" w:space="0" w:color="auto"/>
              <w:right w:val="single" w:sz="4" w:space="0" w:color="auto"/>
            </w:tcBorders>
          </w:tcPr>
          <w:p w:rsidR="00373804" w:rsidRPr="00373804" w:rsidRDefault="006C7DAC" w:rsidP="00373804">
            <w:pPr>
              <w:overflowPunct w:val="0"/>
              <w:autoSpaceDE w:val="0"/>
              <w:autoSpaceDN w:val="0"/>
              <w:snapToGrid w:val="0"/>
              <w:spacing w:line="360" w:lineRule="auto"/>
              <w:jc w:val="right"/>
              <w:rPr>
                <w:rFonts w:asciiTheme="minorEastAsia" w:eastAsia="宋体" w:hAnsiTheme="minorEastAsia" w:cs="Arial"/>
                <w:kern w:val="0"/>
                <w:sz w:val="24"/>
                <w:szCs w:val="24"/>
              </w:rPr>
            </w:pPr>
            <w:r>
              <w:rPr>
                <w:rFonts w:asciiTheme="minorEastAsia" w:eastAsia="宋体" w:hAnsiTheme="minorEastAsia" w:cs="Arial"/>
                <w:kern w:val="0"/>
                <w:sz w:val="24"/>
                <w:szCs w:val="24"/>
              </w:rPr>
              <w:t>8,1</w:t>
            </w:r>
            <w:r>
              <w:rPr>
                <w:rFonts w:asciiTheme="minorEastAsia" w:eastAsia="宋体" w:hAnsiTheme="minorEastAsia" w:cs="Arial" w:hint="eastAsia"/>
                <w:kern w:val="0"/>
                <w:sz w:val="24"/>
                <w:szCs w:val="24"/>
              </w:rPr>
              <w:t>7</w:t>
            </w:r>
            <w:r w:rsidR="00373804" w:rsidRPr="00373804">
              <w:rPr>
                <w:rFonts w:asciiTheme="minorEastAsia" w:eastAsia="宋体" w:hAnsiTheme="minorEastAsia" w:cs="Arial"/>
                <w:kern w:val="0"/>
                <w:sz w:val="24"/>
                <w:szCs w:val="24"/>
              </w:rPr>
              <w:t>8,954.52</w:t>
            </w:r>
          </w:p>
        </w:tc>
      </w:tr>
    </w:tbl>
    <w:p w:rsidR="00127E02" w:rsidRDefault="00127E02">
      <w:pPr>
        <w:overflowPunct w:val="0"/>
        <w:autoSpaceDE w:val="0"/>
        <w:autoSpaceDN w:val="0"/>
        <w:snapToGrid w:val="0"/>
        <w:spacing w:line="360" w:lineRule="auto"/>
        <w:ind w:left="709"/>
        <w:rPr>
          <w:rFonts w:asciiTheme="minorEastAsia" w:hAnsiTheme="minorEastAsia" w:cs="Arial"/>
          <w:sz w:val="24"/>
          <w:szCs w:val="24"/>
        </w:rPr>
      </w:pPr>
    </w:p>
    <w:p w:rsidR="00373804" w:rsidRPr="00373804" w:rsidRDefault="00373804" w:rsidP="00373804">
      <w:pPr>
        <w:overflowPunct w:val="0"/>
        <w:autoSpaceDE w:val="0"/>
        <w:autoSpaceDN w:val="0"/>
        <w:snapToGrid w:val="0"/>
        <w:spacing w:line="360" w:lineRule="auto"/>
        <w:ind w:firstLineChars="200" w:firstLine="480"/>
        <w:rPr>
          <w:rFonts w:asciiTheme="minorEastAsia" w:hAnsiTheme="minorEastAsia" w:cs="Arial"/>
          <w:sz w:val="24"/>
          <w:szCs w:val="24"/>
        </w:rPr>
      </w:pPr>
      <w:r w:rsidRPr="00373804">
        <w:rPr>
          <w:rFonts w:asciiTheme="minorEastAsia" w:hAnsiTheme="minorEastAsia" w:cs="Arial" w:hint="eastAsia"/>
          <w:sz w:val="24"/>
          <w:szCs w:val="24"/>
        </w:rPr>
        <w:t>资产处置及负债清偿后，于2018年8月29日本基金剩余财产为人民币</w:t>
      </w:r>
      <w:r w:rsidR="006C7DAC">
        <w:rPr>
          <w:rFonts w:asciiTheme="minorEastAsia" w:hAnsiTheme="minorEastAsia" w:cs="Arial" w:hint="eastAsia"/>
          <w:sz w:val="24"/>
          <w:szCs w:val="24"/>
        </w:rPr>
        <w:t>8,17</w:t>
      </w:r>
      <w:r w:rsidRPr="00373804">
        <w:rPr>
          <w:rFonts w:asciiTheme="minorEastAsia" w:hAnsiTheme="minorEastAsia" w:cs="Arial" w:hint="eastAsia"/>
          <w:sz w:val="24"/>
          <w:szCs w:val="24"/>
        </w:rPr>
        <w:t>8,954.52元，根据本基金的基金合同约定及《关于国投瑞银顺益纯债债券型证券投资基金基金财产清算及基金合同终止的公告》，依据基金财产清算的分配方案，将基金财产清算后的全部剩余资产扣除基金财产清算费用、交纳所欠税款并清偿基金债务后，按基金份额持有人持有的基金份额比例进行分配。</w:t>
      </w:r>
    </w:p>
    <w:p w:rsidR="00E626FC" w:rsidRPr="00E626FC" w:rsidRDefault="00E626FC" w:rsidP="00E626FC">
      <w:pPr>
        <w:overflowPunct w:val="0"/>
        <w:autoSpaceDE w:val="0"/>
        <w:autoSpaceDN w:val="0"/>
        <w:snapToGrid w:val="0"/>
        <w:spacing w:line="360" w:lineRule="auto"/>
        <w:ind w:firstLineChars="200" w:firstLine="480"/>
        <w:rPr>
          <w:rFonts w:asciiTheme="minorEastAsia" w:hAnsiTheme="minorEastAsia" w:cs="Arial"/>
          <w:sz w:val="24"/>
          <w:szCs w:val="24"/>
        </w:rPr>
      </w:pPr>
      <w:r w:rsidRPr="00E626FC">
        <w:rPr>
          <w:rFonts w:asciiTheme="minorEastAsia" w:hAnsiTheme="minorEastAsia" w:cs="Arial" w:hint="eastAsia"/>
          <w:sz w:val="24"/>
          <w:szCs w:val="24"/>
        </w:rPr>
        <w:t>2018年8月29日本基金剩余财产为人民币</w:t>
      </w:r>
      <w:r w:rsidR="006C7DAC">
        <w:rPr>
          <w:rFonts w:asciiTheme="minorEastAsia" w:hAnsiTheme="minorEastAsia" w:cs="Arial" w:hint="eastAsia"/>
          <w:sz w:val="24"/>
          <w:szCs w:val="24"/>
        </w:rPr>
        <w:t>8,17</w:t>
      </w:r>
      <w:r w:rsidRPr="00E626FC">
        <w:rPr>
          <w:rFonts w:asciiTheme="minorEastAsia" w:hAnsiTheme="minorEastAsia" w:cs="Arial" w:hint="eastAsia"/>
          <w:sz w:val="24"/>
          <w:szCs w:val="24"/>
        </w:rPr>
        <w:t>8,954.52元，其中包括</w:t>
      </w:r>
      <w:r w:rsidR="00925E3C">
        <w:rPr>
          <w:rFonts w:asciiTheme="minorEastAsia" w:hAnsiTheme="minorEastAsia" w:cs="Arial" w:hint="eastAsia"/>
          <w:sz w:val="24"/>
          <w:szCs w:val="24"/>
        </w:rPr>
        <w:t>未变现资产：</w:t>
      </w:r>
      <w:r w:rsidRPr="00E626FC">
        <w:rPr>
          <w:rFonts w:asciiTheme="minorEastAsia" w:hAnsiTheme="minorEastAsia" w:cs="Arial" w:hint="eastAsia"/>
          <w:sz w:val="24"/>
          <w:szCs w:val="24"/>
        </w:rPr>
        <w:t>交易性金融资产人民币4,707,000.00元（该金额为停牌债券最后运作日估值金额，与停牌债券资产实际变现金额可能存在差异），应收银行存款、交易保证金及债券产生的利息人民币458,706.17元。上述剩余未变现的资产将根据变现情况在第二次清算</w:t>
      </w:r>
      <w:r w:rsidR="00925E3C">
        <w:rPr>
          <w:rFonts w:asciiTheme="minorEastAsia" w:hAnsiTheme="minorEastAsia" w:cs="Arial" w:hint="eastAsia"/>
          <w:sz w:val="24"/>
          <w:szCs w:val="24"/>
        </w:rPr>
        <w:t>时</w:t>
      </w:r>
      <w:r w:rsidRPr="00E626FC">
        <w:rPr>
          <w:rFonts w:asciiTheme="minorEastAsia" w:hAnsiTheme="minorEastAsia" w:cs="Arial" w:hint="eastAsia"/>
          <w:sz w:val="24"/>
          <w:szCs w:val="24"/>
        </w:rPr>
        <w:t>按基金份额持有人持有的基金份额比例进行分配。</w:t>
      </w:r>
    </w:p>
    <w:p w:rsidR="00062F89" w:rsidRDefault="00092396" w:rsidP="00092396">
      <w:pPr>
        <w:overflowPunct w:val="0"/>
        <w:autoSpaceDE w:val="0"/>
        <w:autoSpaceDN w:val="0"/>
        <w:snapToGrid w:val="0"/>
        <w:spacing w:line="360" w:lineRule="auto"/>
        <w:ind w:firstLineChars="200" w:firstLine="480"/>
        <w:rPr>
          <w:rFonts w:asciiTheme="minorEastAsia" w:hAnsiTheme="minorEastAsia" w:cs="Arial"/>
          <w:sz w:val="24"/>
          <w:szCs w:val="24"/>
        </w:rPr>
      </w:pPr>
      <w:r w:rsidRPr="00092396">
        <w:rPr>
          <w:rFonts w:asciiTheme="minorEastAsia" w:hAnsiTheme="minorEastAsia" w:cs="Arial" w:hint="eastAsia"/>
          <w:sz w:val="24"/>
          <w:szCs w:val="24"/>
        </w:rPr>
        <w:t>因清算款划出日不能确定，暂不能准确预估清算结束日至清算款划出日前一日银行存款产生的利息，该期间利息亦属全体份额持有人所有，将</w:t>
      </w:r>
      <w:r w:rsidR="002958AD">
        <w:rPr>
          <w:rFonts w:asciiTheme="minorEastAsia" w:hAnsiTheme="minorEastAsia" w:cs="Arial" w:hint="eastAsia"/>
          <w:sz w:val="24"/>
          <w:szCs w:val="24"/>
        </w:rPr>
        <w:t>在第二次清算时</w:t>
      </w:r>
      <w:r w:rsidRPr="00092396">
        <w:rPr>
          <w:rFonts w:asciiTheme="minorEastAsia" w:hAnsiTheme="minorEastAsia" w:cs="Arial" w:hint="eastAsia"/>
          <w:sz w:val="24"/>
          <w:szCs w:val="24"/>
        </w:rPr>
        <w:t>按基金份额持有人持有的基金份额比例进行分配。</w:t>
      </w:r>
    </w:p>
    <w:p w:rsidR="00092396" w:rsidRDefault="00092396" w:rsidP="00092396">
      <w:pPr>
        <w:overflowPunct w:val="0"/>
        <w:autoSpaceDE w:val="0"/>
        <w:autoSpaceDN w:val="0"/>
        <w:snapToGrid w:val="0"/>
        <w:spacing w:line="360" w:lineRule="auto"/>
        <w:ind w:firstLineChars="200" w:firstLine="480"/>
        <w:rPr>
          <w:rFonts w:asciiTheme="minorEastAsia" w:hAnsiTheme="minorEastAsia" w:cs="Arial"/>
          <w:sz w:val="24"/>
          <w:szCs w:val="24"/>
        </w:rPr>
      </w:pPr>
    </w:p>
    <w:p w:rsidR="00127E02" w:rsidRPr="00761525" w:rsidRDefault="00761525" w:rsidP="009212A7">
      <w:pPr>
        <w:pStyle w:val="21"/>
        <w:kinsoku w:val="0"/>
        <w:overflowPunct w:val="0"/>
        <w:spacing w:line="360" w:lineRule="auto"/>
        <w:ind w:left="0" w:right="75" w:firstLineChars="200" w:firstLine="480"/>
        <w:outlineLvl w:val="9"/>
        <w:rPr>
          <w:rFonts w:asciiTheme="minorEastAsia" w:eastAsia="宋体" w:hAnsiTheme="minorEastAsia" w:cs="Arial"/>
          <w:b w:val="0"/>
          <w:bCs w:val="0"/>
          <w:sz w:val="24"/>
          <w:szCs w:val="24"/>
        </w:rPr>
      </w:pPr>
      <w:r>
        <w:rPr>
          <w:rFonts w:asciiTheme="minorEastAsia" w:eastAsia="宋体" w:hAnsiTheme="minorEastAsia" w:cs="Arial" w:hint="eastAsia"/>
          <w:b w:val="0"/>
          <w:bCs w:val="0"/>
          <w:sz w:val="24"/>
          <w:szCs w:val="24"/>
        </w:rPr>
        <w:t>5、</w:t>
      </w:r>
      <w:r w:rsidR="009D17C5" w:rsidRPr="00761525">
        <w:rPr>
          <w:rFonts w:asciiTheme="minorEastAsia" w:eastAsia="宋体" w:hAnsiTheme="minorEastAsia" w:cs="Arial" w:hint="eastAsia"/>
          <w:b w:val="0"/>
          <w:bCs w:val="0"/>
          <w:sz w:val="24"/>
          <w:szCs w:val="24"/>
        </w:rPr>
        <w:t>基金财产清算报告的告知安排</w:t>
      </w:r>
    </w:p>
    <w:p w:rsidR="00127E02" w:rsidRDefault="009D17C5">
      <w:pPr>
        <w:overflowPunct w:val="0"/>
        <w:autoSpaceDE w:val="0"/>
        <w:autoSpaceDN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本清算报告已经基金托管人复核，在经会计师事务所审计、律师事务所出具法律意见书后，报中国证券监督管理委员会备案并向基金份额持有人公告。</w:t>
      </w:r>
    </w:p>
    <w:p w:rsidR="00127E02" w:rsidRPr="00E43068" w:rsidRDefault="00127E02" w:rsidP="00E43068">
      <w:pPr>
        <w:kinsoku w:val="0"/>
        <w:overflowPunct w:val="0"/>
        <w:snapToGrid w:val="0"/>
        <w:spacing w:line="360" w:lineRule="auto"/>
        <w:ind w:right="75" w:firstLineChars="200" w:firstLine="480"/>
        <w:rPr>
          <w:rFonts w:ascii="宋体" w:eastAsia="宋体" w:hAnsi="宋体" w:cs="宋体"/>
          <w:color w:val="2C2C2C"/>
          <w:sz w:val="24"/>
          <w:szCs w:val="24"/>
        </w:rPr>
      </w:pPr>
    </w:p>
    <w:p w:rsidR="00127E02" w:rsidRPr="0092659A" w:rsidRDefault="009D17C5" w:rsidP="0092659A">
      <w:pPr>
        <w:pStyle w:val="21"/>
        <w:numPr>
          <w:ilvl w:val="0"/>
          <w:numId w:val="1"/>
        </w:numPr>
        <w:kinsoku w:val="0"/>
        <w:overflowPunct w:val="0"/>
        <w:spacing w:line="360" w:lineRule="auto"/>
        <w:ind w:right="75"/>
        <w:outlineLvl w:val="9"/>
        <w:rPr>
          <w:rFonts w:ascii="宋体" w:eastAsia="宋体" w:hAnsi="宋体"/>
        </w:rPr>
      </w:pPr>
      <w:r w:rsidRPr="0092659A">
        <w:rPr>
          <w:rFonts w:ascii="宋体" w:eastAsia="宋体" w:hAnsi="宋体" w:hint="eastAsia"/>
        </w:rPr>
        <w:t>备查文件</w:t>
      </w:r>
    </w:p>
    <w:p w:rsidR="00127E02" w:rsidRDefault="009D17C5">
      <w:pPr>
        <w:pStyle w:val="Default"/>
        <w:spacing w:line="360" w:lineRule="auto"/>
        <w:rPr>
          <w:rFonts w:hAnsi="宋体"/>
          <w:color w:val="2C2C2C"/>
        </w:rPr>
      </w:pPr>
      <w:r>
        <w:rPr>
          <w:rFonts w:hAnsi="宋体" w:hint="eastAsia"/>
          <w:color w:val="2C2C2C"/>
        </w:rPr>
        <w:t>1、备查文件目录</w:t>
      </w:r>
      <w:r>
        <w:rPr>
          <w:rFonts w:hAnsi="宋体" w:hint="eastAsia"/>
          <w:color w:val="2C2C2C"/>
        </w:rPr>
        <w:br/>
        <w:t>（1）《国投瑞银</w:t>
      </w:r>
      <w:r w:rsidR="00371280">
        <w:rPr>
          <w:rFonts w:hAnsi="宋体" w:hint="eastAsia"/>
          <w:color w:val="2C2C2C"/>
        </w:rPr>
        <w:t>顺益纯债债券</w:t>
      </w:r>
      <w:r>
        <w:rPr>
          <w:rFonts w:hAnsi="宋体" w:hint="eastAsia"/>
          <w:color w:val="2C2C2C"/>
        </w:rPr>
        <w:t>型证券投资基金清算审计报告》</w:t>
      </w:r>
      <w:r>
        <w:rPr>
          <w:rFonts w:hAnsi="宋体" w:hint="eastAsia"/>
          <w:color w:val="2C2C2C"/>
        </w:rPr>
        <w:br/>
        <w:t>（2）《国投瑞银</w:t>
      </w:r>
      <w:r w:rsidR="00371280">
        <w:rPr>
          <w:rFonts w:hAnsi="宋体" w:hint="eastAsia"/>
          <w:color w:val="2C2C2C"/>
        </w:rPr>
        <w:t>顺益纯债债券</w:t>
      </w:r>
      <w:r>
        <w:rPr>
          <w:rFonts w:hAnsi="宋体" w:hint="eastAsia"/>
          <w:color w:val="2C2C2C"/>
        </w:rPr>
        <w:t>型证券投资基金清算事宜之法律意见》</w:t>
      </w:r>
      <w:r>
        <w:rPr>
          <w:rFonts w:hAnsi="宋体" w:hint="eastAsia"/>
          <w:color w:val="2C2C2C"/>
        </w:rPr>
        <w:br/>
        <w:t>2、存放地点</w:t>
      </w:r>
      <w:r>
        <w:rPr>
          <w:rFonts w:hAnsi="宋体" w:hint="eastAsia"/>
          <w:color w:val="2C2C2C"/>
        </w:rPr>
        <w:br/>
        <w:t>基金管理人的办公场所：中国广东省深圳市福田区金田路4028号荣超经贸中心46层</w:t>
      </w:r>
    </w:p>
    <w:p w:rsidR="00127E02" w:rsidRDefault="009D17C5">
      <w:pPr>
        <w:pStyle w:val="Default"/>
        <w:adjustRightInd/>
        <w:spacing w:line="360" w:lineRule="auto"/>
        <w:rPr>
          <w:rFonts w:hAnsi="宋体"/>
          <w:color w:val="2C2C2C"/>
        </w:rPr>
      </w:pPr>
      <w:r>
        <w:rPr>
          <w:rFonts w:hAnsi="宋体" w:hint="eastAsia"/>
          <w:color w:val="2C2C2C"/>
        </w:rPr>
        <w:t>存放网址：http://www.ubssdic.com</w:t>
      </w:r>
    </w:p>
    <w:p w:rsidR="00127E02" w:rsidRDefault="009D17C5">
      <w:pPr>
        <w:pStyle w:val="Default"/>
        <w:adjustRightInd/>
        <w:spacing w:line="360" w:lineRule="auto"/>
        <w:rPr>
          <w:rFonts w:hAnsi="宋体"/>
          <w:color w:val="2C2C2C"/>
        </w:rPr>
      </w:pPr>
      <w:r>
        <w:rPr>
          <w:rFonts w:hAnsi="宋体" w:hint="eastAsia"/>
          <w:color w:val="2C2C2C"/>
        </w:rPr>
        <w:t>3、查阅方式</w:t>
      </w:r>
      <w:r>
        <w:rPr>
          <w:rFonts w:hAnsi="宋体" w:hint="eastAsia"/>
          <w:color w:val="2C2C2C"/>
        </w:rPr>
        <w:br/>
        <w:t>投资者可在营业时间内至基金管理人的办公场所免费查阅。</w:t>
      </w:r>
    </w:p>
    <w:p w:rsidR="00127E02" w:rsidRPr="00C55B56" w:rsidRDefault="009D17C5" w:rsidP="00E43068">
      <w:pPr>
        <w:pStyle w:val="Default"/>
        <w:adjustRightInd/>
        <w:spacing w:line="360" w:lineRule="auto"/>
        <w:rPr>
          <w:rFonts w:hAnsi="宋体"/>
          <w:color w:val="2C2C2C"/>
        </w:rPr>
      </w:pPr>
      <w:r>
        <w:rPr>
          <w:rFonts w:hAnsi="宋体" w:hint="eastAsia"/>
          <w:color w:val="2C2C2C"/>
        </w:rPr>
        <w:t>咨询电话：400-880-6868</w:t>
      </w:r>
    </w:p>
    <w:p w:rsidR="00127E02" w:rsidRDefault="00127E02">
      <w:pPr>
        <w:pStyle w:val="Default"/>
        <w:adjustRightInd/>
        <w:spacing w:line="360" w:lineRule="auto"/>
        <w:rPr>
          <w:rFonts w:hAnsi="宋体"/>
          <w:color w:val="2C2C2C"/>
        </w:rPr>
      </w:pPr>
    </w:p>
    <w:p w:rsidR="00127E02" w:rsidRDefault="009D17C5">
      <w:pPr>
        <w:pStyle w:val="Default"/>
        <w:adjustRightInd/>
        <w:spacing w:line="360" w:lineRule="auto"/>
        <w:jc w:val="right"/>
        <w:rPr>
          <w:rFonts w:hAnsi="宋体"/>
          <w:color w:val="2C2C2C"/>
        </w:rPr>
      </w:pPr>
      <w:r>
        <w:rPr>
          <w:rFonts w:hAnsi="宋体" w:hint="eastAsia"/>
          <w:color w:val="2C2C2C"/>
        </w:rPr>
        <w:t>国投瑞银</w:t>
      </w:r>
      <w:r w:rsidR="00371280">
        <w:rPr>
          <w:rFonts w:hAnsi="宋体" w:hint="eastAsia"/>
          <w:color w:val="2C2C2C"/>
        </w:rPr>
        <w:t>顺益纯债债券</w:t>
      </w:r>
      <w:r>
        <w:rPr>
          <w:rFonts w:hAnsi="宋体" w:hint="eastAsia"/>
          <w:color w:val="2C2C2C"/>
        </w:rPr>
        <w:t>型证券投资基金基金财产清算小组</w:t>
      </w:r>
    </w:p>
    <w:p w:rsidR="00127E02" w:rsidRDefault="00761525">
      <w:pPr>
        <w:pStyle w:val="Default"/>
        <w:wordWrap w:val="0"/>
        <w:adjustRightInd/>
        <w:spacing w:line="360" w:lineRule="auto"/>
        <w:jc w:val="right"/>
        <w:rPr>
          <w:rFonts w:hAnsi="宋体"/>
          <w:color w:val="2C2C2C"/>
          <w:highlight w:val="yellow"/>
        </w:rPr>
      </w:pPr>
      <w:r>
        <w:rPr>
          <w:rFonts w:hAnsi="宋体" w:hint="eastAsia"/>
          <w:color w:val="2C2C2C"/>
        </w:rPr>
        <w:t>2018年</w:t>
      </w:r>
      <w:r w:rsidR="00B229BF">
        <w:rPr>
          <w:rFonts w:hAnsi="宋体" w:hint="eastAsia"/>
          <w:color w:val="2C2C2C"/>
        </w:rPr>
        <w:t>8</w:t>
      </w:r>
      <w:r w:rsidR="009D17C5">
        <w:rPr>
          <w:rFonts w:hAnsi="宋体" w:hint="eastAsia"/>
          <w:color w:val="2C2C2C"/>
        </w:rPr>
        <w:t>月</w:t>
      </w:r>
      <w:r>
        <w:rPr>
          <w:rFonts w:hAnsi="宋体" w:hint="eastAsia"/>
          <w:color w:val="2C2C2C"/>
        </w:rPr>
        <w:t>2</w:t>
      </w:r>
      <w:r w:rsidR="00B229BF">
        <w:rPr>
          <w:rFonts w:hAnsi="宋体" w:hint="eastAsia"/>
          <w:color w:val="2C2C2C"/>
        </w:rPr>
        <w:t>9</w:t>
      </w:r>
      <w:r w:rsidR="009D17C5">
        <w:rPr>
          <w:rFonts w:hAnsi="宋体" w:hint="eastAsia"/>
          <w:color w:val="2C2C2C"/>
        </w:rPr>
        <w:t>日</w:t>
      </w:r>
    </w:p>
    <w:sectPr w:rsidR="00127E02" w:rsidSect="00E240EB">
      <w:headerReference w:type="default" r:id="rId9"/>
      <w:footerReference w:type="default" r:id="rId10"/>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6AE" w:rsidRDefault="00A336AE">
      <w:r>
        <w:separator/>
      </w:r>
    </w:p>
  </w:endnote>
  <w:endnote w:type="continuationSeparator" w:id="1">
    <w:p w:rsidR="00A336AE" w:rsidRDefault="00A33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icrosoft JhengHei">
    <w:charset w:val="88"/>
    <w:family w:val="swiss"/>
    <w:pitch w:val="variable"/>
    <w:sig w:usb0="00000087" w:usb1="288F4000" w:usb2="00000016" w:usb3="00000000" w:csb0="00100009"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02" w:rsidRDefault="00E240EB">
    <w:pPr>
      <w:pStyle w:val="a7"/>
      <w:jc w:val="center"/>
    </w:pPr>
    <w:r>
      <w:fldChar w:fldCharType="begin"/>
    </w:r>
    <w:r w:rsidR="009D17C5">
      <w:instrText xml:space="preserve"> PAGE   \* MERGEFORMAT </w:instrText>
    </w:r>
    <w:r>
      <w:fldChar w:fldCharType="separate"/>
    </w:r>
    <w:r w:rsidR="00871BC2" w:rsidRPr="00871BC2">
      <w:rPr>
        <w:noProof/>
        <w:lang w:val="zh-CN"/>
      </w:rPr>
      <w:t>1</w:t>
    </w:r>
    <w:r>
      <w:fldChar w:fldCharType="end"/>
    </w:r>
  </w:p>
  <w:p w:rsidR="00127E02" w:rsidRDefault="00127E02">
    <w:pPr>
      <w:kinsoku w:val="0"/>
      <w:overflowPunct w:val="0"/>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6AE" w:rsidRDefault="00A336AE">
      <w:r>
        <w:separator/>
      </w:r>
    </w:p>
  </w:footnote>
  <w:footnote w:type="continuationSeparator" w:id="1">
    <w:p w:rsidR="00A336AE" w:rsidRDefault="00A33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02" w:rsidRDefault="00E240EB">
    <w:pPr>
      <w:kinsoku w:val="0"/>
      <w:overflowPunct w:val="0"/>
      <w:spacing w:line="200" w:lineRule="exact"/>
      <w:rPr>
        <w:sz w:val="20"/>
        <w:szCs w:val="20"/>
      </w:rPr>
    </w:pPr>
    <w:r w:rsidRPr="00E240EB">
      <w:rPr>
        <w:noProof/>
      </w:rPr>
      <w:pict>
        <v:shape id="Freeform 1" o:spid="_x0000_s53249" style="position:absolute;left:0;text-align:left;margin-left:75.25pt;margin-top:55.55pt;width:444.75pt;height:0;z-index:-251658752;mso-position-horizontal-relative:page;mso-position-vertical-relative:page;mso-width-relative:page;mso-height-relative:page" coordsize="8895,20" o:spt="100" o:gfxdata="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8v5I61gAAAAwBAAAPAAAAAAAAAAEAIAAAACIA&#10;AABkcnMvZG93bnJldi54bWxQSwECFAAUAAAACACHTuJAGph31H0CAABvBQAADgAAAAAAAAABACAA&#10;AAAlAQAAZHJzL2Uyb0RvYy54bWxQSwUGAAAAAAYABgBZAQAAFAYAAAAA&#10;" o:allowincell="f" adj="0,,0" path="m,l8895,e" filled="f">
          <v:stroke joinstyle="round"/>
          <v:formulas/>
          <v:path o:connecttype="segments" o:connectlocs="0,0;5648325,0" o:connectangles="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FBD"/>
    <w:multiLevelType w:val="multilevel"/>
    <w:tmpl w:val="0EE75FBD"/>
    <w:lvl w:ilvl="0">
      <w:start w:val="1"/>
      <w:numFmt w:val="decimal"/>
      <w:lvlText w:val="(%1)"/>
      <w:lvlJc w:val="left"/>
      <w:pPr>
        <w:ind w:left="1129" w:hanging="420"/>
      </w:pPr>
      <w:rPr>
        <w:rFonts w:ascii="Times New Roman" w:hAnsi="Times New Roman" w:cs="Times New Roman" w:hint="default"/>
      </w:rPr>
    </w:lvl>
    <w:lvl w:ilvl="1">
      <w:start w:val="1"/>
      <w:numFmt w:val="lowerLetter"/>
      <w:lvlText w:val="%2."/>
      <w:lvlJc w:val="left"/>
      <w:pPr>
        <w:ind w:left="1789" w:hanging="360"/>
      </w:pPr>
      <w:rPr>
        <w:rFonts w:ascii="Times New Roman" w:hAnsi="Times New Roman" w:cs="Times New Roman" w:hint="default"/>
      </w:rPr>
    </w:lvl>
    <w:lvl w:ilvl="2">
      <w:start w:val="1"/>
      <w:numFmt w:val="lowerRoman"/>
      <w:lvlText w:val="%3."/>
      <w:lvlJc w:val="right"/>
      <w:pPr>
        <w:ind w:left="2509" w:hanging="180"/>
      </w:pPr>
      <w:rPr>
        <w:rFonts w:ascii="Times New Roman" w:hAnsi="Times New Roman" w:cs="Times New Roman" w:hint="default"/>
      </w:rPr>
    </w:lvl>
    <w:lvl w:ilvl="3">
      <w:start w:val="1"/>
      <w:numFmt w:val="decimal"/>
      <w:lvlText w:val="%4."/>
      <w:lvlJc w:val="left"/>
      <w:pPr>
        <w:ind w:left="3229" w:hanging="360"/>
      </w:pPr>
      <w:rPr>
        <w:rFonts w:ascii="Times New Roman" w:hAnsi="Times New Roman" w:cs="Times New Roman" w:hint="default"/>
      </w:rPr>
    </w:lvl>
    <w:lvl w:ilvl="4">
      <w:start w:val="1"/>
      <w:numFmt w:val="lowerLetter"/>
      <w:lvlText w:val="%5."/>
      <w:lvlJc w:val="left"/>
      <w:pPr>
        <w:ind w:left="3949" w:hanging="360"/>
      </w:pPr>
      <w:rPr>
        <w:rFonts w:ascii="Times New Roman" w:hAnsi="Times New Roman" w:cs="Times New Roman" w:hint="default"/>
      </w:rPr>
    </w:lvl>
    <w:lvl w:ilvl="5">
      <w:start w:val="1"/>
      <w:numFmt w:val="lowerRoman"/>
      <w:lvlText w:val="%6."/>
      <w:lvlJc w:val="right"/>
      <w:pPr>
        <w:ind w:left="4669" w:hanging="180"/>
      </w:pPr>
      <w:rPr>
        <w:rFonts w:ascii="Times New Roman" w:hAnsi="Times New Roman" w:cs="Times New Roman" w:hint="default"/>
      </w:rPr>
    </w:lvl>
    <w:lvl w:ilvl="6">
      <w:start w:val="1"/>
      <w:numFmt w:val="decimal"/>
      <w:lvlText w:val="%7."/>
      <w:lvlJc w:val="left"/>
      <w:pPr>
        <w:ind w:left="5389" w:hanging="360"/>
      </w:pPr>
      <w:rPr>
        <w:rFonts w:ascii="Times New Roman" w:hAnsi="Times New Roman" w:cs="Times New Roman" w:hint="default"/>
      </w:rPr>
    </w:lvl>
    <w:lvl w:ilvl="7">
      <w:start w:val="1"/>
      <w:numFmt w:val="lowerLetter"/>
      <w:lvlText w:val="%8."/>
      <w:lvlJc w:val="left"/>
      <w:pPr>
        <w:ind w:left="6109" w:hanging="360"/>
      </w:pPr>
      <w:rPr>
        <w:rFonts w:ascii="Times New Roman" w:hAnsi="Times New Roman" w:cs="Times New Roman" w:hint="default"/>
      </w:rPr>
    </w:lvl>
    <w:lvl w:ilvl="8">
      <w:start w:val="1"/>
      <w:numFmt w:val="lowerRoman"/>
      <w:lvlText w:val="%9."/>
      <w:lvlJc w:val="right"/>
      <w:pPr>
        <w:ind w:left="6829" w:hanging="180"/>
      </w:pPr>
      <w:rPr>
        <w:rFonts w:ascii="Times New Roman" w:hAnsi="Times New Roman" w:cs="Times New Roman" w:hint="default"/>
      </w:rPr>
    </w:lvl>
  </w:abstractNum>
  <w:abstractNum w:abstractNumId="1">
    <w:nsid w:val="40B109CB"/>
    <w:multiLevelType w:val="multilevel"/>
    <w:tmpl w:val="40B109C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EF84910"/>
    <w:multiLevelType w:val="multilevel"/>
    <w:tmpl w:val="7EF84910"/>
    <w:lvl w:ilvl="0">
      <w:start w:val="1"/>
      <w:numFmt w:val="decimal"/>
      <w:lvlText w:val="(%1)"/>
      <w:lvlJc w:val="left"/>
      <w:pPr>
        <w:ind w:left="1129" w:hanging="420"/>
      </w:pPr>
      <w:rPr>
        <w:rFonts w:ascii="Times New Roman" w:hAnsi="Times New Roman" w:cs="Times New Roman" w:hint="default"/>
      </w:rPr>
    </w:lvl>
    <w:lvl w:ilvl="1">
      <w:start w:val="1"/>
      <w:numFmt w:val="lowerLetter"/>
      <w:lvlText w:val="%2."/>
      <w:lvlJc w:val="left"/>
      <w:pPr>
        <w:ind w:left="1789" w:hanging="360"/>
      </w:pPr>
      <w:rPr>
        <w:rFonts w:ascii="Times New Roman" w:hAnsi="Times New Roman" w:cs="Times New Roman" w:hint="default"/>
      </w:rPr>
    </w:lvl>
    <w:lvl w:ilvl="2">
      <w:start w:val="1"/>
      <w:numFmt w:val="lowerRoman"/>
      <w:lvlText w:val="%3."/>
      <w:lvlJc w:val="right"/>
      <w:pPr>
        <w:ind w:left="2509" w:hanging="180"/>
      </w:pPr>
      <w:rPr>
        <w:rFonts w:ascii="Times New Roman" w:hAnsi="Times New Roman" w:cs="Times New Roman" w:hint="default"/>
      </w:rPr>
    </w:lvl>
    <w:lvl w:ilvl="3">
      <w:start w:val="1"/>
      <w:numFmt w:val="decimal"/>
      <w:lvlText w:val="%4."/>
      <w:lvlJc w:val="left"/>
      <w:pPr>
        <w:ind w:left="3229" w:hanging="360"/>
      </w:pPr>
      <w:rPr>
        <w:rFonts w:ascii="Times New Roman" w:hAnsi="Times New Roman" w:cs="Times New Roman" w:hint="default"/>
      </w:rPr>
    </w:lvl>
    <w:lvl w:ilvl="4">
      <w:start w:val="1"/>
      <w:numFmt w:val="lowerLetter"/>
      <w:lvlText w:val="%5."/>
      <w:lvlJc w:val="left"/>
      <w:pPr>
        <w:ind w:left="3949" w:hanging="360"/>
      </w:pPr>
      <w:rPr>
        <w:rFonts w:ascii="Times New Roman" w:hAnsi="Times New Roman" w:cs="Times New Roman" w:hint="default"/>
      </w:rPr>
    </w:lvl>
    <w:lvl w:ilvl="5">
      <w:start w:val="1"/>
      <w:numFmt w:val="lowerRoman"/>
      <w:lvlText w:val="%6."/>
      <w:lvlJc w:val="right"/>
      <w:pPr>
        <w:ind w:left="4669" w:hanging="180"/>
      </w:pPr>
      <w:rPr>
        <w:rFonts w:ascii="Times New Roman" w:hAnsi="Times New Roman" w:cs="Times New Roman" w:hint="default"/>
      </w:rPr>
    </w:lvl>
    <w:lvl w:ilvl="6">
      <w:start w:val="1"/>
      <w:numFmt w:val="decimal"/>
      <w:lvlText w:val="%7."/>
      <w:lvlJc w:val="left"/>
      <w:pPr>
        <w:ind w:left="5389" w:hanging="360"/>
      </w:pPr>
      <w:rPr>
        <w:rFonts w:ascii="Times New Roman" w:hAnsi="Times New Roman" w:cs="Times New Roman" w:hint="default"/>
      </w:rPr>
    </w:lvl>
    <w:lvl w:ilvl="7">
      <w:start w:val="1"/>
      <w:numFmt w:val="lowerLetter"/>
      <w:lvlText w:val="%8."/>
      <w:lvlJc w:val="left"/>
      <w:pPr>
        <w:ind w:left="6109" w:hanging="360"/>
      </w:pPr>
      <w:rPr>
        <w:rFonts w:ascii="Times New Roman" w:hAnsi="Times New Roman" w:cs="Times New Roman" w:hint="default"/>
      </w:rPr>
    </w:lvl>
    <w:lvl w:ilvl="8">
      <w:start w:val="1"/>
      <w:numFmt w:val="lowerRoman"/>
      <w:lvlText w:val="%9."/>
      <w:lvlJc w:val="right"/>
      <w:pPr>
        <w:ind w:left="6829" w:hanging="180"/>
      </w:pPr>
      <w:rPr>
        <w:rFonts w:ascii="Times New Roman" w:hAnsi="Times New Roman" w:cs="Times New Roman"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刚">
    <w15:presenceInfo w15:providerId="None" w15:userId="黄刚"/>
  </w15:person>
  <w15:person w15:author="Michael">
    <w15:presenceInfo w15:providerId="None" w15:userId="Micha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o:shapelayout v:ext="edit">
      <o:idmap v:ext="edit" data="5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1173"/>
    <w:rsid w:val="00012AA3"/>
    <w:rsid w:val="0002169B"/>
    <w:rsid w:val="00062F89"/>
    <w:rsid w:val="00081848"/>
    <w:rsid w:val="00092396"/>
    <w:rsid w:val="000A5252"/>
    <w:rsid w:val="000C5675"/>
    <w:rsid w:val="000F5712"/>
    <w:rsid w:val="000F6765"/>
    <w:rsid w:val="00127E02"/>
    <w:rsid w:val="00187E3B"/>
    <w:rsid w:val="00193070"/>
    <w:rsid w:val="001A36E6"/>
    <w:rsid w:val="001A6E76"/>
    <w:rsid w:val="001B0857"/>
    <w:rsid w:val="00204D67"/>
    <w:rsid w:val="00210E47"/>
    <w:rsid w:val="0021220B"/>
    <w:rsid w:val="002313C5"/>
    <w:rsid w:val="00260F4F"/>
    <w:rsid w:val="00262896"/>
    <w:rsid w:val="002853EC"/>
    <w:rsid w:val="002860FF"/>
    <w:rsid w:val="0029170E"/>
    <w:rsid w:val="002958AD"/>
    <w:rsid w:val="002C0139"/>
    <w:rsid w:val="002D4D3C"/>
    <w:rsid w:val="00325A7E"/>
    <w:rsid w:val="00352528"/>
    <w:rsid w:val="00353176"/>
    <w:rsid w:val="00353E7B"/>
    <w:rsid w:val="00371280"/>
    <w:rsid w:val="00373804"/>
    <w:rsid w:val="00387C3B"/>
    <w:rsid w:val="00391002"/>
    <w:rsid w:val="003969F2"/>
    <w:rsid w:val="003B5347"/>
    <w:rsid w:val="003C6924"/>
    <w:rsid w:val="003F6D8C"/>
    <w:rsid w:val="00412072"/>
    <w:rsid w:val="00426A63"/>
    <w:rsid w:val="004300C5"/>
    <w:rsid w:val="00441E80"/>
    <w:rsid w:val="004842B6"/>
    <w:rsid w:val="004B4E06"/>
    <w:rsid w:val="004D390B"/>
    <w:rsid w:val="004D462E"/>
    <w:rsid w:val="004E00EF"/>
    <w:rsid w:val="00523450"/>
    <w:rsid w:val="00535304"/>
    <w:rsid w:val="00535C53"/>
    <w:rsid w:val="005448AE"/>
    <w:rsid w:val="00551353"/>
    <w:rsid w:val="00556DA3"/>
    <w:rsid w:val="0056450E"/>
    <w:rsid w:val="00587149"/>
    <w:rsid w:val="005A2E8C"/>
    <w:rsid w:val="005A78EB"/>
    <w:rsid w:val="005B2212"/>
    <w:rsid w:val="005F688A"/>
    <w:rsid w:val="006078F9"/>
    <w:rsid w:val="00630D2A"/>
    <w:rsid w:val="0066533E"/>
    <w:rsid w:val="00683C06"/>
    <w:rsid w:val="00691E16"/>
    <w:rsid w:val="006C7DAC"/>
    <w:rsid w:val="006D785B"/>
    <w:rsid w:val="006E561E"/>
    <w:rsid w:val="006E7939"/>
    <w:rsid w:val="006E7ED0"/>
    <w:rsid w:val="006F0DA9"/>
    <w:rsid w:val="00740427"/>
    <w:rsid w:val="00745273"/>
    <w:rsid w:val="00761525"/>
    <w:rsid w:val="00762BC7"/>
    <w:rsid w:val="0078249B"/>
    <w:rsid w:val="007B13C6"/>
    <w:rsid w:val="007D3A3E"/>
    <w:rsid w:val="007D7FC7"/>
    <w:rsid w:val="00814875"/>
    <w:rsid w:val="00826A07"/>
    <w:rsid w:val="008273EB"/>
    <w:rsid w:val="008361C8"/>
    <w:rsid w:val="00867FAC"/>
    <w:rsid w:val="00871BC2"/>
    <w:rsid w:val="00872406"/>
    <w:rsid w:val="00894A2B"/>
    <w:rsid w:val="00896EC1"/>
    <w:rsid w:val="008A4FF0"/>
    <w:rsid w:val="008C0F99"/>
    <w:rsid w:val="00913F19"/>
    <w:rsid w:val="009212A7"/>
    <w:rsid w:val="00925E3C"/>
    <w:rsid w:val="0092659A"/>
    <w:rsid w:val="00945674"/>
    <w:rsid w:val="0094727F"/>
    <w:rsid w:val="009531A1"/>
    <w:rsid w:val="00962492"/>
    <w:rsid w:val="00963408"/>
    <w:rsid w:val="00965383"/>
    <w:rsid w:val="009717FC"/>
    <w:rsid w:val="009C69FA"/>
    <w:rsid w:val="009D17C5"/>
    <w:rsid w:val="009D63D7"/>
    <w:rsid w:val="009F447A"/>
    <w:rsid w:val="00A0510A"/>
    <w:rsid w:val="00A07F9C"/>
    <w:rsid w:val="00A1350E"/>
    <w:rsid w:val="00A15C3D"/>
    <w:rsid w:val="00A232D2"/>
    <w:rsid w:val="00A336AE"/>
    <w:rsid w:val="00A36030"/>
    <w:rsid w:val="00A8206A"/>
    <w:rsid w:val="00AA0BEE"/>
    <w:rsid w:val="00AB5720"/>
    <w:rsid w:val="00AD643F"/>
    <w:rsid w:val="00AE0990"/>
    <w:rsid w:val="00AF0945"/>
    <w:rsid w:val="00B13B67"/>
    <w:rsid w:val="00B21158"/>
    <w:rsid w:val="00B22072"/>
    <w:rsid w:val="00B229BF"/>
    <w:rsid w:val="00B23060"/>
    <w:rsid w:val="00B27FA0"/>
    <w:rsid w:val="00B3601A"/>
    <w:rsid w:val="00B84BE3"/>
    <w:rsid w:val="00B8519F"/>
    <w:rsid w:val="00B904B8"/>
    <w:rsid w:val="00B93C80"/>
    <w:rsid w:val="00BA2374"/>
    <w:rsid w:val="00BA33CE"/>
    <w:rsid w:val="00BC333B"/>
    <w:rsid w:val="00BD4BAB"/>
    <w:rsid w:val="00BD7454"/>
    <w:rsid w:val="00BE611E"/>
    <w:rsid w:val="00BE6306"/>
    <w:rsid w:val="00BE738A"/>
    <w:rsid w:val="00C13F1F"/>
    <w:rsid w:val="00C30DC0"/>
    <w:rsid w:val="00C31186"/>
    <w:rsid w:val="00C41A13"/>
    <w:rsid w:val="00C44B06"/>
    <w:rsid w:val="00C45679"/>
    <w:rsid w:val="00C46504"/>
    <w:rsid w:val="00C55B56"/>
    <w:rsid w:val="00C61044"/>
    <w:rsid w:val="00C706FE"/>
    <w:rsid w:val="00C75552"/>
    <w:rsid w:val="00C849CD"/>
    <w:rsid w:val="00CA0650"/>
    <w:rsid w:val="00CD2DE9"/>
    <w:rsid w:val="00CE4EC2"/>
    <w:rsid w:val="00D02E56"/>
    <w:rsid w:val="00D23124"/>
    <w:rsid w:val="00D46223"/>
    <w:rsid w:val="00D84AD6"/>
    <w:rsid w:val="00DC4C38"/>
    <w:rsid w:val="00DD0214"/>
    <w:rsid w:val="00DE74F3"/>
    <w:rsid w:val="00E029DE"/>
    <w:rsid w:val="00E225CC"/>
    <w:rsid w:val="00E22933"/>
    <w:rsid w:val="00E240EB"/>
    <w:rsid w:val="00E43068"/>
    <w:rsid w:val="00E44D51"/>
    <w:rsid w:val="00E51FB2"/>
    <w:rsid w:val="00E53C71"/>
    <w:rsid w:val="00E626FC"/>
    <w:rsid w:val="00E71173"/>
    <w:rsid w:val="00E87EFB"/>
    <w:rsid w:val="00E90B1C"/>
    <w:rsid w:val="00EB1C0A"/>
    <w:rsid w:val="00EF6A07"/>
    <w:rsid w:val="00F05EDB"/>
    <w:rsid w:val="00F566B3"/>
    <w:rsid w:val="00F60077"/>
    <w:rsid w:val="00F80DC2"/>
    <w:rsid w:val="00F82BC3"/>
    <w:rsid w:val="00FB3ECB"/>
    <w:rsid w:val="00FF1EFB"/>
    <w:rsid w:val="02AF7E44"/>
    <w:rsid w:val="0C4C2BFD"/>
    <w:rsid w:val="1D7B54B7"/>
    <w:rsid w:val="37A134D2"/>
    <w:rsid w:val="478C4742"/>
    <w:rsid w:val="49580563"/>
    <w:rsid w:val="4F747DAF"/>
    <w:rsid w:val="534F72EE"/>
    <w:rsid w:val="54566D95"/>
    <w:rsid w:val="5ED04CDC"/>
    <w:rsid w:val="67360285"/>
    <w:rsid w:val="68B60A9D"/>
    <w:rsid w:val="69DE6805"/>
    <w:rsid w:val="756A77E5"/>
    <w:rsid w:val="771A3595"/>
    <w:rsid w:val="7A0D44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0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E240EB"/>
    <w:rPr>
      <w:b/>
      <w:bCs/>
    </w:rPr>
  </w:style>
  <w:style w:type="paragraph" w:styleId="a4">
    <w:name w:val="annotation text"/>
    <w:basedOn w:val="a"/>
    <w:link w:val="Char0"/>
    <w:uiPriority w:val="99"/>
    <w:unhideWhenUsed/>
    <w:rsid w:val="00E240EB"/>
    <w:pPr>
      <w:jc w:val="left"/>
    </w:pPr>
  </w:style>
  <w:style w:type="paragraph" w:styleId="a5">
    <w:name w:val="Body Text"/>
    <w:basedOn w:val="a"/>
    <w:link w:val="Char1"/>
    <w:uiPriority w:val="1"/>
    <w:qFormat/>
    <w:rsid w:val="00E240EB"/>
    <w:pPr>
      <w:autoSpaceDE w:val="0"/>
      <w:autoSpaceDN w:val="0"/>
      <w:adjustRightInd w:val="0"/>
      <w:ind w:left="151"/>
      <w:jc w:val="left"/>
    </w:pPr>
    <w:rPr>
      <w:rFonts w:ascii="宋体" w:eastAsia="宋体" w:hAnsi="Times New Roman" w:cs="宋体"/>
      <w:kern w:val="0"/>
      <w:sz w:val="24"/>
      <w:szCs w:val="24"/>
    </w:rPr>
  </w:style>
  <w:style w:type="paragraph" w:styleId="a6">
    <w:name w:val="Balloon Text"/>
    <w:basedOn w:val="a"/>
    <w:link w:val="Char2"/>
    <w:uiPriority w:val="99"/>
    <w:unhideWhenUsed/>
    <w:qFormat/>
    <w:rsid w:val="00E240EB"/>
    <w:rPr>
      <w:sz w:val="18"/>
      <w:szCs w:val="18"/>
    </w:rPr>
  </w:style>
  <w:style w:type="paragraph" w:styleId="a7">
    <w:name w:val="footer"/>
    <w:basedOn w:val="a"/>
    <w:link w:val="Char3"/>
    <w:uiPriority w:val="99"/>
    <w:unhideWhenUsed/>
    <w:qFormat/>
    <w:rsid w:val="00E240EB"/>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E240EB"/>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240EB"/>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unhideWhenUsed/>
    <w:qFormat/>
    <w:rsid w:val="00E240EB"/>
    <w:rPr>
      <w:sz w:val="21"/>
      <w:szCs w:val="21"/>
    </w:rPr>
  </w:style>
  <w:style w:type="character" w:customStyle="1" w:styleId="Char4">
    <w:name w:val="页眉 Char"/>
    <w:basedOn w:val="a0"/>
    <w:link w:val="a8"/>
    <w:uiPriority w:val="99"/>
    <w:qFormat/>
    <w:rsid w:val="00E240EB"/>
    <w:rPr>
      <w:sz w:val="18"/>
      <w:szCs w:val="18"/>
    </w:rPr>
  </w:style>
  <w:style w:type="character" w:customStyle="1" w:styleId="Char3">
    <w:name w:val="页脚 Char"/>
    <w:basedOn w:val="a0"/>
    <w:link w:val="a7"/>
    <w:uiPriority w:val="99"/>
    <w:rsid w:val="00E240EB"/>
    <w:rPr>
      <w:sz w:val="18"/>
      <w:szCs w:val="18"/>
    </w:rPr>
  </w:style>
  <w:style w:type="paragraph" w:customStyle="1" w:styleId="Default">
    <w:name w:val="Default"/>
    <w:rsid w:val="00E240EB"/>
    <w:pPr>
      <w:widowControl w:val="0"/>
      <w:autoSpaceDE w:val="0"/>
      <w:autoSpaceDN w:val="0"/>
      <w:adjustRightInd w:val="0"/>
    </w:pPr>
    <w:rPr>
      <w:rFonts w:ascii="宋体" w:eastAsia="宋体" w:cs="宋体"/>
      <w:color w:val="000000"/>
      <w:sz w:val="24"/>
      <w:szCs w:val="24"/>
    </w:rPr>
  </w:style>
  <w:style w:type="character" w:customStyle="1" w:styleId="Char1">
    <w:name w:val="正文文本 Char"/>
    <w:basedOn w:val="a0"/>
    <w:link w:val="a5"/>
    <w:uiPriority w:val="1"/>
    <w:qFormat/>
    <w:rsid w:val="00E240EB"/>
    <w:rPr>
      <w:rFonts w:ascii="宋体" w:eastAsia="宋体" w:hAnsi="Times New Roman" w:cs="宋体"/>
      <w:kern w:val="0"/>
      <w:sz w:val="24"/>
      <w:szCs w:val="24"/>
    </w:rPr>
  </w:style>
  <w:style w:type="paragraph" w:customStyle="1" w:styleId="21">
    <w:name w:val="标题 21"/>
    <w:basedOn w:val="a"/>
    <w:uiPriority w:val="1"/>
    <w:qFormat/>
    <w:rsid w:val="00E240EB"/>
    <w:pPr>
      <w:autoSpaceDE w:val="0"/>
      <w:autoSpaceDN w:val="0"/>
      <w:adjustRightInd w:val="0"/>
      <w:ind w:left="151"/>
      <w:jc w:val="left"/>
      <w:outlineLvl w:val="1"/>
    </w:pPr>
    <w:rPr>
      <w:rFonts w:ascii="Microsoft JhengHei" w:eastAsia="Microsoft JhengHei" w:hAnsi="Times New Roman" w:cs="Microsoft JhengHei"/>
      <w:b/>
      <w:bCs/>
      <w:kern w:val="0"/>
      <w:sz w:val="28"/>
      <w:szCs w:val="28"/>
    </w:rPr>
  </w:style>
  <w:style w:type="character" w:customStyle="1" w:styleId="Char2">
    <w:name w:val="批注框文本 Char"/>
    <w:basedOn w:val="a0"/>
    <w:link w:val="a6"/>
    <w:uiPriority w:val="99"/>
    <w:semiHidden/>
    <w:qFormat/>
    <w:rsid w:val="00E240EB"/>
    <w:rPr>
      <w:sz w:val="18"/>
      <w:szCs w:val="18"/>
    </w:rPr>
  </w:style>
  <w:style w:type="character" w:customStyle="1" w:styleId="Char0">
    <w:name w:val="批注文字 Char"/>
    <w:basedOn w:val="a0"/>
    <w:link w:val="a4"/>
    <w:uiPriority w:val="99"/>
    <w:semiHidden/>
    <w:rsid w:val="00E240EB"/>
  </w:style>
  <w:style w:type="character" w:customStyle="1" w:styleId="Char">
    <w:name w:val="批注主题 Char"/>
    <w:basedOn w:val="Char0"/>
    <w:link w:val="a3"/>
    <w:uiPriority w:val="99"/>
    <w:semiHidden/>
    <w:rsid w:val="00E240EB"/>
    <w:rPr>
      <w:b/>
      <w:bCs/>
    </w:rPr>
  </w:style>
  <w:style w:type="paragraph" w:styleId="ab">
    <w:name w:val="List Paragraph"/>
    <w:basedOn w:val="a"/>
    <w:uiPriority w:val="34"/>
    <w:qFormat/>
    <w:rsid w:val="00E240EB"/>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ody Text"/>
    <w:basedOn w:val="a"/>
    <w:link w:val="Char1"/>
    <w:uiPriority w:val="1"/>
    <w:qFormat/>
    <w:pPr>
      <w:autoSpaceDE w:val="0"/>
      <w:autoSpaceDN w:val="0"/>
      <w:adjustRightInd w:val="0"/>
      <w:ind w:left="151"/>
      <w:jc w:val="left"/>
    </w:pPr>
    <w:rPr>
      <w:rFonts w:ascii="宋体" w:eastAsia="宋体" w:hAnsi="Times New Roman" w:cs="宋体"/>
      <w:kern w:val="0"/>
      <w:sz w:val="24"/>
      <w:szCs w:val="24"/>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Char1">
    <w:name w:val="正文文本 Char"/>
    <w:basedOn w:val="a0"/>
    <w:link w:val="a5"/>
    <w:uiPriority w:val="1"/>
    <w:qFormat/>
    <w:rPr>
      <w:rFonts w:ascii="宋体" w:eastAsia="宋体" w:hAnsi="Times New Roman" w:cs="宋体"/>
      <w:kern w:val="0"/>
      <w:sz w:val="24"/>
      <w:szCs w:val="24"/>
    </w:rPr>
  </w:style>
  <w:style w:type="paragraph" w:customStyle="1" w:styleId="21">
    <w:name w:val="标题 21"/>
    <w:basedOn w:val="a"/>
    <w:uiPriority w:val="1"/>
    <w:qFormat/>
    <w:pPr>
      <w:autoSpaceDE w:val="0"/>
      <w:autoSpaceDN w:val="0"/>
      <w:adjustRightInd w:val="0"/>
      <w:ind w:left="151"/>
      <w:jc w:val="left"/>
      <w:outlineLvl w:val="1"/>
    </w:pPr>
    <w:rPr>
      <w:rFonts w:ascii="Microsoft JhengHei" w:eastAsia="Microsoft JhengHei" w:hAnsi="Times New Roman" w:cs="Microsoft JhengHei"/>
      <w:b/>
      <w:bCs/>
      <w:kern w:val="0"/>
      <w:sz w:val="28"/>
      <w:szCs w:val="28"/>
    </w:rPr>
  </w:style>
  <w:style w:type="character" w:customStyle="1" w:styleId="Char2">
    <w:name w:val="批注框文本 Char"/>
    <w:basedOn w:val="a0"/>
    <w:link w:val="a6"/>
    <w:uiPriority w:val="99"/>
    <w:semiHidden/>
    <w:qFormat/>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paragraph" w:styleId="ab">
    <w:name w:val="List Paragraph"/>
    <w:basedOn w:val="a"/>
    <w:uiPriority w:val="34"/>
    <w:qFormat/>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2969794">
      <w:bodyDiv w:val="1"/>
      <w:marLeft w:val="0"/>
      <w:marRight w:val="0"/>
      <w:marTop w:val="0"/>
      <w:marBottom w:val="0"/>
      <w:divBdr>
        <w:top w:val="none" w:sz="0" w:space="0" w:color="auto"/>
        <w:left w:val="none" w:sz="0" w:space="0" w:color="auto"/>
        <w:bottom w:val="none" w:sz="0" w:space="0" w:color="auto"/>
        <w:right w:val="none" w:sz="0" w:space="0" w:color="auto"/>
      </w:divBdr>
    </w:div>
    <w:div w:id="61611905">
      <w:bodyDiv w:val="1"/>
      <w:marLeft w:val="0"/>
      <w:marRight w:val="0"/>
      <w:marTop w:val="0"/>
      <w:marBottom w:val="0"/>
      <w:divBdr>
        <w:top w:val="none" w:sz="0" w:space="0" w:color="auto"/>
        <w:left w:val="none" w:sz="0" w:space="0" w:color="auto"/>
        <w:bottom w:val="none" w:sz="0" w:space="0" w:color="auto"/>
        <w:right w:val="none" w:sz="0" w:space="0" w:color="auto"/>
      </w:divBdr>
    </w:div>
    <w:div w:id="198131638">
      <w:bodyDiv w:val="1"/>
      <w:marLeft w:val="0"/>
      <w:marRight w:val="0"/>
      <w:marTop w:val="0"/>
      <w:marBottom w:val="0"/>
      <w:divBdr>
        <w:top w:val="none" w:sz="0" w:space="0" w:color="auto"/>
        <w:left w:val="none" w:sz="0" w:space="0" w:color="auto"/>
        <w:bottom w:val="none" w:sz="0" w:space="0" w:color="auto"/>
        <w:right w:val="none" w:sz="0" w:space="0" w:color="auto"/>
      </w:divBdr>
    </w:div>
    <w:div w:id="404186911">
      <w:bodyDiv w:val="1"/>
      <w:marLeft w:val="0"/>
      <w:marRight w:val="0"/>
      <w:marTop w:val="0"/>
      <w:marBottom w:val="0"/>
      <w:divBdr>
        <w:top w:val="none" w:sz="0" w:space="0" w:color="auto"/>
        <w:left w:val="none" w:sz="0" w:space="0" w:color="auto"/>
        <w:bottom w:val="none" w:sz="0" w:space="0" w:color="auto"/>
        <w:right w:val="none" w:sz="0" w:space="0" w:color="auto"/>
      </w:divBdr>
    </w:div>
    <w:div w:id="479005289">
      <w:bodyDiv w:val="1"/>
      <w:marLeft w:val="0"/>
      <w:marRight w:val="0"/>
      <w:marTop w:val="0"/>
      <w:marBottom w:val="0"/>
      <w:divBdr>
        <w:top w:val="none" w:sz="0" w:space="0" w:color="auto"/>
        <w:left w:val="none" w:sz="0" w:space="0" w:color="auto"/>
        <w:bottom w:val="none" w:sz="0" w:space="0" w:color="auto"/>
        <w:right w:val="none" w:sz="0" w:space="0" w:color="auto"/>
      </w:divBdr>
    </w:div>
    <w:div w:id="479541934">
      <w:bodyDiv w:val="1"/>
      <w:marLeft w:val="0"/>
      <w:marRight w:val="0"/>
      <w:marTop w:val="0"/>
      <w:marBottom w:val="0"/>
      <w:divBdr>
        <w:top w:val="none" w:sz="0" w:space="0" w:color="auto"/>
        <w:left w:val="none" w:sz="0" w:space="0" w:color="auto"/>
        <w:bottom w:val="none" w:sz="0" w:space="0" w:color="auto"/>
        <w:right w:val="none" w:sz="0" w:space="0" w:color="auto"/>
      </w:divBdr>
    </w:div>
    <w:div w:id="713047072">
      <w:bodyDiv w:val="1"/>
      <w:marLeft w:val="0"/>
      <w:marRight w:val="0"/>
      <w:marTop w:val="0"/>
      <w:marBottom w:val="0"/>
      <w:divBdr>
        <w:top w:val="none" w:sz="0" w:space="0" w:color="auto"/>
        <w:left w:val="none" w:sz="0" w:space="0" w:color="auto"/>
        <w:bottom w:val="none" w:sz="0" w:space="0" w:color="auto"/>
        <w:right w:val="none" w:sz="0" w:space="0" w:color="auto"/>
      </w:divBdr>
    </w:div>
    <w:div w:id="795639533">
      <w:bodyDiv w:val="1"/>
      <w:marLeft w:val="0"/>
      <w:marRight w:val="0"/>
      <w:marTop w:val="0"/>
      <w:marBottom w:val="0"/>
      <w:divBdr>
        <w:top w:val="none" w:sz="0" w:space="0" w:color="auto"/>
        <w:left w:val="none" w:sz="0" w:space="0" w:color="auto"/>
        <w:bottom w:val="none" w:sz="0" w:space="0" w:color="auto"/>
        <w:right w:val="none" w:sz="0" w:space="0" w:color="auto"/>
      </w:divBdr>
    </w:div>
    <w:div w:id="1169641056">
      <w:bodyDiv w:val="1"/>
      <w:marLeft w:val="0"/>
      <w:marRight w:val="0"/>
      <w:marTop w:val="0"/>
      <w:marBottom w:val="0"/>
      <w:divBdr>
        <w:top w:val="none" w:sz="0" w:space="0" w:color="auto"/>
        <w:left w:val="none" w:sz="0" w:space="0" w:color="auto"/>
        <w:bottom w:val="none" w:sz="0" w:space="0" w:color="auto"/>
        <w:right w:val="none" w:sz="0" w:space="0" w:color="auto"/>
      </w:divBdr>
    </w:div>
    <w:div w:id="1201481548">
      <w:bodyDiv w:val="1"/>
      <w:marLeft w:val="0"/>
      <w:marRight w:val="0"/>
      <w:marTop w:val="0"/>
      <w:marBottom w:val="0"/>
      <w:divBdr>
        <w:top w:val="none" w:sz="0" w:space="0" w:color="auto"/>
        <w:left w:val="none" w:sz="0" w:space="0" w:color="auto"/>
        <w:bottom w:val="none" w:sz="0" w:space="0" w:color="auto"/>
        <w:right w:val="none" w:sz="0" w:space="0" w:color="auto"/>
      </w:divBdr>
    </w:div>
    <w:div w:id="1453089824">
      <w:bodyDiv w:val="1"/>
      <w:marLeft w:val="0"/>
      <w:marRight w:val="0"/>
      <w:marTop w:val="0"/>
      <w:marBottom w:val="0"/>
      <w:divBdr>
        <w:top w:val="none" w:sz="0" w:space="0" w:color="auto"/>
        <w:left w:val="none" w:sz="0" w:space="0" w:color="auto"/>
        <w:bottom w:val="none" w:sz="0" w:space="0" w:color="auto"/>
        <w:right w:val="none" w:sz="0" w:space="0" w:color="auto"/>
      </w:divBdr>
    </w:div>
    <w:div w:id="1469585456">
      <w:bodyDiv w:val="1"/>
      <w:marLeft w:val="0"/>
      <w:marRight w:val="0"/>
      <w:marTop w:val="0"/>
      <w:marBottom w:val="0"/>
      <w:divBdr>
        <w:top w:val="none" w:sz="0" w:space="0" w:color="auto"/>
        <w:left w:val="none" w:sz="0" w:space="0" w:color="auto"/>
        <w:bottom w:val="none" w:sz="0" w:space="0" w:color="auto"/>
        <w:right w:val="none" w:sz="0" w:space="0" w:color="auto"/>
      </w:divBdr>
    </w:div>
    <w:div w:id="1532062166">
      <w:bodyDiv w:val="1"/>
      <w:marLeft w:val="0"/>
      <w:marRight w:val="0"/>
      <w:marTop w:val="0"/>
      <w:marBottom w:val="0"/>
      <w:divBdr>
        <w:top w:val="none" w:sz="0" w:space="0" w:color="auto"/>
        <w:left w:val="none" w:sz="0" w:space="0" w:color="auto"/>
        <w:bottom w:val="none" w:sz="0" w:space="0" w:color="auto"/>
        <w:right w:val="none" w:sz="0" w:space="0" w:color="auto"/>
      </w:divBdr>
    </w:div>
    <w:div w:id="1646742264">
      <w:bodyDiv w:val="1"/>
      <w:marLeft w:val="0"/>
      <w:marRight w:val="0"/>
      <w:marTop w:val="0"/>
      <w:marBottom w:val="0"/>
      <w:divBdr>
        <w:top w:val="none" w:sz="0" w:space="0" w:color="auto"/>
        <w:left w:val="none" w:sz="0" w:space="0" w:color="auto"/>
        <w:bottom w:val="none" w:sz="0" w:space="0" w:color="auto"/>
        <w:right w:val="none" w:sz="0" w:space="0" w:color="auto"/>
      </w:divBdr>
    </w:div>
    <w:div w:id="1737702456">
      <w:bodyDiv w:val="1"/>
      <w:marLeft w:val="0"/>
      <w:marRight w:val="0"/>
      <w:marTop w:val="0"/>
      <w:marBottom w:val="0"/>
      <w:divBdr>
        <w:top w:val="none" w:sz="0" w:space="0" w:color="auto"/>
        <w:left w:val="none" w:sz="0" w:space="0" w:color="auto"/>
        <w:bottom w:val="none" w:sz="0" w:space="0" w:color="auto"/>
        <w:right w:val="none" w:sz="0" w:space="0" w:color="auto"/>
      </w:divBdr>
    </w:div>
    <w:div w:id="2026781569">
      <w:bodyDiv w:val="1"/>
      <w:marLeft w:val="0"/>
      <w:marRight w:val="0"/>
      <w:marTop w:val="0"/>
      <w:marBottom w:val="0"/>
      <w:divBdr>
        <w:top w:val="none" w:sz="0" w:space="0" w:color="auto"/>
        <w:left w:val="none" w:sz="0" w:space="0" w:color="auto"/>
        <w:bottom w:val="none" w:sz="0" w:space="0" w:color="auto"/>
        <w:right w:val="none" w:sz="0" w:space="0" w:color="auto"/>
      </w:divBdr>
    </w:div>
    <w:div w:id="2074889610">
      <w:bodyDiv w:val="1"/>
      <w:marLeft w:val="0"/>
      <w:marRight w:val="0"/>
      <w:marTop w:val="0"/>
      <w:marBottom w:val="0"/>
      <w:divBdr>
        <w:top w:val="none" w:sz="0" w:space="0" w:color="auto"/>
        <w:left w:val="none" w:sz="0" w:space="0" w:color="auto"/>
        <w:bottom w:val="none" w:sz="0" w:space="0" w:color="auto"/>
        <w:right w:val="none" w:sz="0" w:space="0" w:color="auto"/>
      </w:divBdr>
    </w:div>
    <w:div w:id="214731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F628CD1-9E92-4397-A2CD-98B6AB4E7D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4176</Characters>
  <Application>Microsoft Office Word</Application>
  <DocSecurity>4</DocSecurity>
  <Lines>34</Lines>
  <Paragraphs>9</Paragraphs>
  <ScaleCrop>false</ScaleCrop>
  <Company>Lenovo</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carrey.wu</dc:creator>
  <cp:lastModifiedBy>ZHONGM</cp:lastModifiedBy>
  <cp:revision>2</cp:revision>
  <dcterms:created xsi:type="dcterms:W3CDTF">2018-09-26T16:39:00Z</dcterms:created>
  <dcterms:modified xsi:type="dcterms:W3CDTF">2018-09-26T16:39:00Z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