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A" w:rsidRDefault="0064262A" w:rsidP="0064262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关于</w:t>
      </w:r>
      <w:r w:rsidR="001055CB">
        <w:rPr>
          <w:rFonts w:ascii="Times New Roman" w:hAnsi="Times New Roman" w:hint="eastAsia"/>
          <w:b/>
          <w:sz w:val="28"/>
          <w:szCs w:val="28"/>
        </w:rPr>
        <w:t>信诚新丰回报灵活配置混合型证券投资基金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清算期间停止办理申购、赎回、</w:t>
      </w:r>
      <w:r w:rsidR="0086048C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定投</w:t>
      </w:r>
      <w:r w:rsidR="0043760D" w:rsidRPr="004376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、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转换</w:t>
      </w:r>
      <w:r w:rsidR="00AD725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、转托管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业务的公告</w:t>
      </w:r>
    </w:p>
    <w:p w:rsidR="00F20E7D" w:rsidRPr="009B569E" w:rsidRDefault="001055CB" w:rsidP="00816E4D">
      <w:pPr>
        <w:widowControl/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信诚新丰回报灵活配置混合型证券投资基金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以通讯方式召开了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基金份额持有人大会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（会议投票表决起止时间：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</w:t>
      </w:r>
      <w:r w:rsidR="009B569E" w:rsidRPr="009B569E">
        <w:rPr>
          <w:rFonts w:asciiTheme="minorEastAsia" w:hAnsiTheme="minorEastAsia" w:cs="宋体"/>
          <w:color w:val="000000"/>
          <w:kern w:val="0"/>
          <w:sz w:val="24"/>
          <w:szCs w:val="24"/>
        </w:rPr>
        <w:t>201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8年8月15日起，至</w:t>
      </w:r>
      <w:r w:rsidR="009B569E" w:rsidRPr="009B569E">
        <w:rPr>
          <w:rFonts w:asciiTheme="minorEastAsia" w:hAnsiTheme="minorEastAsia" w:cs="宋体"/>
          <w:color w:val="000000"/>
          <w:kern w:val="0"/>
          <w:sz w:val="24"/>
          <w:szCs w:val="24"/>
        </w:rPr>
        <w:t>201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8年9月9日</w:t>
      </w:r>
      <w:r w:rsidR="009B569E" w:rsidRPr="009B569E">
        <w:rPr>
          <w:rFonts w:asciiTheme="minorEastAsia" w:hAnsiTheme="minorEastAsia" w:cs="宋体"/>
          <w:color w:val="000000"/>
          <w:kern w:val="0"/>
          <w:sz w:val="24"/>
          <w:szCs w:val="24"/>
        </w:rPr>
        <w:t>17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="009B569E" w:rsidRPr="009B569E">
        <w:rPr>
          <w:rFonts w:asciiTheme="minorEastAsia" w:hAnsiTheme="minorEastAsia" w:cs="宋体"/>
          <w:color w:val="000000"/>
          <w:kern w:val="0"/>
          <w:sz w:val="24"/>
          <w:szCs w:val="24"/>
        </w:rPr>
        <w:t>00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止）</w:t>
      </w:r>
      <w:r w:rsid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427258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本次基金份额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持有人大会</w:t>
      </w:r>
      <w:r w:rsidR="005B3A7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审议并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表决通过了《</w:t>
      </w:r>
      <w:r w:rsidR="008829CB" w:rsidRPr="008829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关于终止</w:t>
      </w:r>
      <w:r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信诚新丰回报灵活配置混合型证券投资基金</w:t>
      </w:r>
      <w:r w:rsidR="008829CB" w:rsidRPr="008829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基金合同有关事项的议案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》。</w:t>
      </w:r>
      <w:r w:rsidR="005C0502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基金份额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持有人大会表决结果暨决议生</w:t>
      </w:r>
      <w:bookmarkStart w:id="0" w:name="_GoBack"/>
      <w:bookmarkEnd w:id="0"/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效公告详见刊登在201</w:t>
      </w:r>
      <w:r w:rsidR="008829CB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</w:t>
      </w:r>
      <w:r w:rsidR="00F20E7D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日《中国证券报》、《上海证券报》、《证券时报》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和基金管理人网站 （</w:t>
      </w:r>
      <w:r w:rsidR="008829CB" w:rsidRPr="009B569E">
        <w:rPr>
          <w:rFonts w:asciiTheme="minorEastAsia" w:hAnsiTheme="minorEastAsia" w:cs="宋体"/>
          <w:color w:val="000000"/>
          <w:kern w:val="0"/>
          <w:sz w:val="24"/>
          <w:szCs w:val="24"/>
        </w:rPr>
        <w:t>www.citicprufunds.com.cn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）上的《</w:t>
      </w:r>
      <w:r w:rsidR="008829CB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中信保诚基金管理有限公司关于</w:t>
      </w:r>
      <w:r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信诚新丰回报灵活配置混合型证券投资基金</w:t>
      </w:r>
      <w:r w:rsidR="008829CB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基金份额持有人大会表决结果暨决议生效的公告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》。</w:t>
      </w:r>
      <w:r w:rsidR="00104820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</w:t>
      </w:r>
      <w:r w:rsidR="00427258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</w:t>
      </w:r>
      <w:r w:rsidR="00104820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基金份额持有人大会通过的议案及方案说明，自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8829CB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9B569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日起，本基金进入</w:t>
      </w:r>
      <w:r w:rsidR="00427258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财产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清算</w:t>
      </w:r>
      <w:r w:rsidR="00335EDE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期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427258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停止办理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申购、赎回、</w:t>
      </w:r>
      <w:r w:rsidR="0043760D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定期定额投资、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</w:t>
      </w:r>
      <w:r w:rsidR="004E4583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（转入和转出）</w:t>
      </w:r>
      <w:r w:rsidR="00F20E7D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、转托管</w:t>
      </w:r>
      <w:r w:rsidR="0064262A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等业务</w:t>
      </w:r>
      <w:r w:rsidR="00CD352C" w:rsidRPr="009B569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64262A" w:rsidRPr="008829CB" w:rsidRDefault="0064262A" w:rsidP="00F20E7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如有疑问，请拨打客户服务热线：</w:t>
      </w:r>
      <w:r w:rsidR="00F20E7D" w:rsidRPr="008829CB">
        <w:rPr>
          <w:rFonts w:ascii="宋体" w:eastAsia="宋体" w:hAnsi="宋体" w:cs="Times New Roman" w:hint="eastAsia"/>
          <w:kern w:val="0"/>
          <w:sz w:val="24"/>
          <w:szCs w:val="24"/>
        </w:rPr>
        <w:t>400-666-0066</w:t>
      </w: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（免长话费），或登陆</w:t>
      </w:r>
      <w:r w:rsidR="002C30F8" w:rsidRPr="008829CB">
        <w:rPr>
          <w:rFonts w:ascii="宋体" w:eastAsia="宋体" w:hAnsi="宋体" w:cs="Times New Roman" w:hint="eastAsia"/>
          <w:kern w:val="0"/>
          <w:sz w:val="24"/>
          <w:szCs w:val="24"/>
        </w:rPr>
        <w:t>基金管理人</w:t>
      </w: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网站</w:t>
      </w:r>
      <w:r w:rsidR="008829CB" w:rsidRPr="008829CB">
        <w:rPr>
          <w:rFonts w:asciiTheme="minorEastAsia" w:hAnsiTheme="minorEastAsia"/>
          <w:sz w:val="24"/>
          <w:szCs w:val="24"/>
        </w:rPr>
        <w:t>www.citicprufunds.com.cn</w:t>
      </w: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获取相关信息。</w:t>
      </w:r>
    </w:p>
    <w:p w:rsidR="0064262A" w:rsidRPr="0064262A" w:rsidRDefault="0064262A" w:rsidP="00F20E7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 xml:space="preserve"> 特此公告。 </w:t>
      </w:r>
    </w:p>
    <w:p w:rsidR="0064262A" w:rsidRPr="0064262A" w:rsidRDefault="001C7F99" w:rsidP="0064262A">
      <w:pPr>
        <w:widowControl/>
        <w:spacing w:before="100" w:beforeAutospacing="1" w:after="100" w:afterAutospacing="1" w:line="360" w:lineRule="auto"/>
        <w:ind w:firstLineChars="200" w:firstLine="4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中信保诚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基金管理有限公司</w:t>
      </w:r>
    </w:p>
    <w:p w:rsidR="00D5451E" w:rsidRPr="0064262A" w:rsidRDefault="0064262A" w:rsidP="0064262A">
      <w:pPr>
        <w:widowControl/>
        <w:spacing w:before="100" w:beforeAutospacing="1" w:after="100" w:afterAutospacing="1" w:line="360" w:lineRule="auto"/>
        <w:ind w:firstLineChars="200" w:firstLine="4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201</w:t>
      </w:r>
      <w:r w:rsidR="008829CB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="009B569E">
        <w:rPr>
          <w:rFonts w:ascii="宋体" w:eastAsia="宋体" w:hAnsi="宋体" w:cs="Times New Roman" w:hint="eastAsia"/>
          <w:kern w:val="0"/>
          <w:sz w:val="24"/>
          <w:szCs w:val="24"/>
        </w:rPr>
        <w:t>9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9B569E">
        <w:rPr>
          <w:rFonts w:ascii="宋体" w:eastAsia="宋体" w:hAnsi="宋体" w:cs="Times New Roman" w:hint="eastAsia"/>
          <w:kern w:val="0"/>
          <w:sz w:val="24"/>
          <w:szCs w:val="24"/>
        </w:rPr>
        <w:t>11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sectPr w:rsidR="00D5451E" w:rsidRPr="0064262A" w:rsidSect="0032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9CB" w:rsidRDefault="008829CB" w:rsidP="008829CB">
      <w:r>
        <w:separator/>
      </w:r>
    </w:p>
  </w:endnote>
  <w:endnote w:type="continuationSeparator" w:id="1">
    <w:p w:rsidR="008829CB" w:rsidRDefault="008829CB" w:rsidP="0088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9CB" w:rsidRDefault="008829CB" w:rsidP="008829CB">
      <w:r>
        <w:separator/>
      </w:r>
    </w:p>
  </w:footnote>
  <w:footnote w:type="continuationSeparator" w:id="1">
    <w:p w:rsidR="008829CB" w:rsidRDefault="008829CB" w:rsidP="00882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62A"/>
    <w:rsid w:val="00104820"/>
    <w:rsid w:val="001055CB"/>
    <w:rsid w:val="00194F08"/>
    <w:rsid w:val="001C7F99"/>
    <w:rsid w:val="002C30F8"/>
    <w:rsid w:val="00322E21"/>
    <w:rsid w:val="00335EDE"/>
    <w:rsid w:val="00346123"/>
    <w:rsid w:val="00427258"/>
    <w:rsid w:val="0043760D"/>
    <w:rsid w:val="004870F2"/>
    <w:rsid w:val="004E4583"/>
    <w:rsid w:val="005B3A7E"/>
    <w:rsid w:val="005C0502"/>
    <w:rsid w:val="006158F5"/>
    <w:rsid w:val="0064262A"/>
    <w:rsid w:val="00711B1B"/>
    <w:rsid w:val="00816E4D"/>
    <w:rsid w:val="00851199"/>
    <w:rsid w:val="0086048C"/>
    <w:rsid w:val="008829CB"/>
    <w:rsid w:val="008A015A"/>
    <w:rsid w:val="009B569E"/>
    <w:rsid w:val="009F3815"/>
    <w:rsid w:val="00A65BDB"/>
    <w:rsid w:val="00AD7257"/>
    <w:rsid w:val="00CC47B0"/>
    <w:rsid w:val="00CD352C"/>
    <w:rsid w:val="00D5451E"/>
    <w:rsid w:val="00D64FDF"/>
    <w:rsid w:val="00ED479E"/>
    <w:rsid w:val="00F00858"/>
    <w:rsid w:val="00F20E7D"/>
    <w:rsid w:val="00F3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0E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E7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29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29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0E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E7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29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2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4</DocSecurity>
  <Lines>3</Lines>
  <Paragraphs>1</Paragraphs>
  <ScaleCrop>false</ScaleCrop>
  <Company>Lenovo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ZHONGM</cp:lastModifiedBy>
  <cp:revision>2</cp:revision>
  <dcterms:created xsi:type="dcterms:W3CDTF">2018-09-10T16:38:00Z</dcterms:created>
  <dcterms:modified xsi:type="dcterms:W3CDTF">2018-09-10T16:38:00Z</dcterms:modified>
</cp:coreProperties>
</file>