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C0C" w:rsidRDefault="00A31AF6">
      <w:pPr>
        <w:jc w:val="center"/>
        <w:rPr>
          <w:rFonts w:ascii="微软雅黑" w:eastAsia="微软雅黑" w:hAnsi="微软雅黑"/>
          <w:b/>
          <w:color w:val="333333"/>
          <w:sz w:val="24"/>
        </w:rPr>
      </w:pPr>
      <w:r>
        <w:rPr>
          <w:rFonts w:ascii="微软雅黑" w:eastAsia="微软雅黑" w:hAnsi="微软雅黑" w:hint="eastAsia"/>
          <w:b/>
          <w:color w:val="333333"/>
          <w:sz w:val="24"/>
        </w:rPr>
        <w:t>关于招商基金旗下部分基金增加东方财富证券为代销机构并参与其费率优惠活动的公告</w:t>
      </w:r>
    </w:p>
    <w:p w:rsidR="005D7C0C" w:rsidRDefault="005D7C0C">
      <w:pPr>
        <w:rPr>
          <w:rFonts w:ascii="微软雅黑" w:eastAsia="微软雅黑" w:hAnsi="微软雅黑"/>
          <w:color w:val="333333"/>
        </w:rPr>
      </w:pPr>
    </w:p>
    <w:p w:rsidR="005D7C0C" w:rsidRDefault="00A31AF6">
      <w:pPr>
        <w:widowControl/>
        <w:spacing w:line="360" w:lineRule="auto"/>
        <w:ind w:firstLine="420"/>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根据招商基金管理有限公司（以下简称“本公司”）与西藏东方财富证券股份有限公司（以下简称“东方财富证券”）签署的《招商基金管理有限公司旗下开放式基金销售和服务代理协议》及《</w:t>
      </w:r>
      <w:r>
        <w:rPr>
          <w:rFonts w:ascii="微软雅黑" w:eastAsia="微软雅黑" w:hAnsi="微软雅黑" w:cs="Times New Roman"/>
          <w:color w:val="333333"/>
          <w:kern w:val="0"/>
          <w:szCs w:val="21"/>
        </w:rPr>
        <w:t>招商基金旗下基金代理销售年度框架协议</w:t>
      </w:r>
      <w:r>
        <w:rPr>
          <w:rFonts w:ascii="微软雅黑" w:eastAsia="微软雅黑" w:hAnsi="微软雅黑" w:cs="Times New Roman" w:hint="eastAsia"/>
          <w:color w:val="333333"/>
          <w:kern w:val="0"/>
          <w:szCs w:val="21"/>
        </w:rPr>
        <w:t>》，自2018年9月3日起，东方财富证券开始代理以下各基金的账户开户、申购、赎回等业务。</w:t>
      </w:r>
    </w:p>
    <w:tbl>
      <w:tblPr>
        <w:tblW w:w="833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6247"/>
        <w:gridCol w:w="2089"/>
      </w:tblGrid>
      <w:tr w:rsidR="005D7C0C">
        <w:trPr>
          <w:tblCellSpacing w:w="0" w:type="dxa"/>
        </w:trPr>
        <w:tc>
          <w:tcPr>
            <w:tcW w:w="6247"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Times New Roman" w:eastAsia="微软雅黑" w:hAnsi="Times New Roman" w:cs="Times New Roman"/>
                <w:color w:val="333333"/>
                <w:kern w:val="0"/>
                <w:szCs w:val="21"/>
              </w:rPr>
            </w:pPr>
            <w:r>
              <w:rPr>
                <w:rFonts w:ascii="微软雅黑" w:eastAsia="微软雅黑" w:hAnsi="微软雅黑" w:cs="Times New Roman" w:hint="eastAsia"/>
                <w:b/>
                <w:bCs/>
                <w:color w:val="333333"/>
                <w:kern w:val="0"/>
                <w:szCs w:val="21"/>
              </w:rPr>
              <w:t>基金名称</w:t>
            </w:r>
          </w:p>
        </w:tc>
        <w:tc>
          <w:tcPr>
            <w:tcW w:w="2089"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Times New Roman" w:eastAsia="微软雅黑" w:hAnsi="Times New Roman" w:cs="Times New Roman"/>
                <w:color w:val="333333"/>
                <w:kern w:val="0"/>
                <w:szCs w:val="21"/>
              </w:rPr>
            </w:pPr>
            <w:r>
              <w:rPr>
                <w:rFonts w:ascii="微软雅黑" w:eastAsia="微软雅黑" w:hAnsi="微软雅黑" w:cs="Times New Roman" w:hint="eastAsia"/>
                <w:b/>
                <w:bCs/>
                <w:color w:val="333333"/>
                <w:kern w:val="0"/>
                <w:szCs w:val="21"/>
              </w:rPr>
              <w:t>基金代码</w:t>
            </w:r>
          </w:p>
        </w:tc>
      </w:tr>
      <w:tr w:rsidR="005D7C0C">
        <w:trPr>
          <w:tblCellSpacing w:w="0" w:type="dxa"/>
        </w:trPr>
        <w:tc>
          <w:tcPr>
            <w:tcW w:w="6247"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招商安瑞进取债券型证券投资基金</w:t>
            </w:r>
          </w:p>
        </w:tc>
        <w:tc>
          <w:tcPr>
            <w:tcW w:w="2089"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217018</w:t>
            </w:r>
          </w:p>
        </w:tc>
      </w:tr>
      <w:tr w:rsidR="005D7C0C">
        <w:trPr>
          <w:tblCellSpacing w:w="0" w:type="dxa"/>
        </w:trPr>
        <w:tc>
          <w:tcPr>
            <w:tcW w:w="6247"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招商优势企业灵活配置混合型证券投资基金</w:t>
            </w:r>
          </w:p>
        </w:tc>
        <w:tc>
          <w:tcPr>
            <w:tcW w:w="2089"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217021</w:t>
            </w:r>
          </w:p>
        </w:tc>
      </w:tr>
      <w:tr w:rsidR="005D7C0C">
        <w:trPr>
          <w:tblCellSpacing w:w="0" w:type="dxa"/>
        </w:trPr>
        <w:tc>
          <w:tcPr>
            <w:tcW w:w="6247" w:type="dxa"/>
            <w:tcBorders>
              <w:top w:val="outset" w:sz="6" w:space="0" w:color="auto"/>
              <w:left w:val="outset" w:sz="6" w:space="0" w:color="auto"/>
              <w:bottom w:val="outset" w:sz="6" w:space="0" w:color="auto"/>
              <w:right w:val="outset" w:sz="6" w:space="0" w:color="auto"/>
            </w:tcBorders>
          </w:tcPr>
          <w:p w:rsidR="005D7C0C" w:rsidRPr="007A1E82"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招商产业债券型证券投资基金A</w:t>
            </w:r>
          </w:p>
        </w:tc>
        <w:tc>
          <w:tcPr>
            <w:tcW w:w="2089"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217022</w:t>
            </w:r>
          </w:p>
        </w:tc>
      </w:tr>
      <w:tr w:rsidR="005D7C0C">
        <w:trPr>
          <w:tblCellSpacing w:w="0" w:type="dxa"/>
        </w:trPr>
        <w:tc>
          <w:tcPr>
            <w:tcW w:w="6247"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招商信用增强债券型证券投资基金</w:t>
            </w:r>
          </w:p>
        </w:tc>
        <w:tc>
          <w:tcPr>
            <w:tcW w:w="2089"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217023</w:t>
            </w:r>
          </w:p>
        </w:tc>
      </w:tr>
      <w:tr w:rsidR="005D7C0C">
        <w:trPr>
          <w:tblCellSpacing w:w="0" w:type="dxa"/>
        </w:trPr>
        <w:tc>
          <w:tcPr>
            <w:tcW w:w="6247"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招商安盈保本混合型证券投资基金</w:t>
            </w:r>
          </w:p>
        </w:tc>
        <w:tc>
          <w:tcPr>
            <w:tcW w:w="2089"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217024</w:t>
            </w:r>
          </w:p>
        </w:tc>
      </w:tr>
      <w:tr w:rsidR="005D7C0C">
        <w:trPr>
          <w:tblCellSpacing w:w="0" w:type="dxa"/>
        </w:trPr>
        <w:tc>
          <w:tcPr>
            <w:tcW w:w="6247"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招商央视财经50指数证券投资基金A</w:t>
            </w:r>
          </w:p>
        </w:tc>
        <w:tc>
          <w:tcPr>
            <w:tcW w:w="2089"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217027</w:t>
            </w:r>
          </w:p>
        </w:tc>
      </w:tr>
      <w:tr w:rsidR="005D7C0C">
        <w:trPr>
          <w:tblCellSpacing w:w="0" w:type="dxa"/>
        </w:trPr>
        <w:tc>
          <w:tcPr>
            <w:tcW w:w="6247"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招商安润保本混合型证券投资基金</w:t>
            </w:r>
          </w:p>
        </w:tc>
        <w:tc>
          <w:tcPr>
            <w:tcW w:w="2089"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000126</w:t>
            </w:r>
          </w:p>
        </w:tc>
      </w:tr>
      <w:tr w:rsidR="005D7C0C">
        <w:trPr>
          <w:tblCellSpacing w:w="0" w:type="dxa"/>
        </w:trPr>
        <w:tc>
          <w:tcPr>
            <w:tcW w:w="6247"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招商瑞丰灵活配置混合型发起式证券投资基金A</w:t>
            </w:r>
          </w:p>
        </w:tc>
        <w:tc>
          <w:tcPr>
            <w:tcW w:w="2089"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000314</w:t>
            </w:r>
          </w:p>
        </w:tc>
      </w:tr>
      <w:tr w:rsidR="005D7C0C">
        <w:trPr>
          <w:tblCellSpacing w:w="0" w:type="dxa"/>
        </w:trPr>
        <w:tc>
          <w:tcPr>
            <w:tcW w:w="6247" w:type="dxa"/>
            <w:tcBorders>
              <w:top w:val="outset" w:sz="6" w:space="0" w:color="auto"/>
              <w:left w:val="outset" w:sz="6" w:space="0" w:color="auto"/>
              <w:bottom w:val="outset" w:sz="6" w:space="0" w:color="auto"/>
              <w:right w:val="outset" w:sz="6" w:space="0" w:color="auto"/>
            </w:tcBorders>
          </w:tcPr>
          <w:p w:rsidR="005D7C0C" w:rsidRPr="007A1E82"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招商瑞丰灵活配置混合型发起式证券投资基金C</w:t>
            </w:r>
          </w:p>
        </w:tc>
        <w:tc>
          <w:tcPr>
            <w:tcW w:w="2089"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002017</w:t>
            </w:r>
          </w:p>
        </w:tc>
      </w:tr>
      <w:tr w:rsidR="005D7C0C">
        <w:trPr>
          <w:tblCellSpacing w:w="0" w:type="dxa"/>
        </w:trPr>
        <w:tc>
          <w:tcPr>
            <w:tcW w:w="6247"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招商招金宝货币市场基金A</w:t>
            </w:r>
          </w:p>
        </w:tc>
        <w:tc>
          <w:tcPr>
            <w:tcW w:w="2089"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000644</w:t>
            </w:r>
          </w:p>
        </w:tc>
      </w:tr>
      <w:tr w:rsidR="005D7C0C">
        <w:trPr>
          <w:tblCellSpacing w:w="0" w:type="dxa"/>
        </w:trPr>
        <w:tc>
          <w:tcPr>
            <w:tcW w:w="6247"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招商招金宝货币市场基金B</w:t>
            </w:r>
          </w:p>
        </w:tc>
        <w:tc>
          <w:tcPr>
            <w:tcW w:w="2089"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000651</w:t>
            </w:r>
          </w:p>
        </w:tc>
      </w:tr>
      <w:tr w:rsidR="005D7C0C">
        <w:trPr>
          <w:tblCellSpacing w:w="0" w:type="dxa"/>
        </w:trPr>
        <w:tc>
          <w:tcPr>
            <w:tcW w:w="6247"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招商行业精选股票型证券投资基金</w:t>
            </w:r>
          </w:p>
        </w:tc>
        <w:tc>
          <w:tcPr>
            <w:tcW w:w="2089"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000746</w:t>
            </w:r>
          </w:p>
        </w:tc>
      </w:tr>
      <w:tr w:rsidR="005D7C0C">
        <w:trPr>
          <w:tblCellSpacing w:w="0" w:type="dxa"/>
        </w:trPr>
        <w:tc>
          <w:tcPr>
            <w:tcW w:w="6247" w:type="dxa"/>
            <w:tcBorders>
              <w:top w:val="outset" w:sz="6" w:space="0" w:color="auto"/>
              <w:left w:val="outset" w:sz="6" w:space="0" w:color="auto"/>
              <w:bottom w:val="outset" w:sz="6" w:space="0" w:color="auto"/>
              <w:right w:val="outset" w:sz="6" w:space="0" w:color="auto"/>
            </w:tcBorders>
          </w:tcPr>
          <w:p w:rsidR="005D7C0C" w:rsidRPr="007A1E82"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招商丰盛稳定增长混合型证券投资基金A</w:t>
            </w:r>
          </w:p>
        </w:tc>
        <w:tc>
          <w:tcPr>
            <w:tcW w:w="2089"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000530</w:t>
            </w:r>
          </w:p>
        </w:tc>
      </w:tr>
      <w:tr w:rsidR="005D7C0C">
        <w:trPr>
          <w:tblCellSpacing w:w="0" w:type="dxa"/>
        </w:trPr>
        <w:tc>
          <w:tcPr>
            <w:tcW w:w="6247" w:type="dxa"/>
            <w:tcBorders>
              <w:top w:val="outset" w:sz="6" w:space="0" w:color="auto"/>
              <w:left w:val="outset" w:sz="6" w:space="0" w:color="auto"/>
              <w:bottom w:val="outset" w:sz="6" w:space="0" w:color="auto"/>
              <w:right w:val="outset" w:sz="6" w:space="0" w:color="auto"/>
            </w:tcBorders>
          </w:tcPr>
          <w:p w:rsidR="005D7C0C" w:rsidRPr="007A1E82"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lastRenderedPageBreak/>
              <w:t>招商丰利灵活配置混合型证券投资基金A</w:t>
            </w:r>
          </w:p>
        </w:tc>
        <w:tc>
          <w:tcPr>
            <w:tcW w:w="2089"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000679</w:t>
            </w:r>
          </w:p>
        </w:tc>
      </w:tr>
      <w:tr w:rsidR="005D7C0C">
        <w:trPr>
          <w:tblCellSpacing w:w="0" w:type="dxa"/>
        </w:trPr>
        <w:tc>
          <w:tcPr>
            <w:tcW w:w="6247"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招商医药健康产业股票型证券投资基金</w:t>
            </w:r>
          </w:p>
        </w:tc>
        <w:tc>
          <w:tcPr>
            <w:tcW w:w="2089"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000960</w:t>
            </w:r>
          </w:p>
        </w:tc>
      </w:tr>
      <w:tr w:rsidR="005D7C0C">
        <w:trPr>
          <w:tblCellSpacing w:w="0" w:type="dxa"/>
        </w:trPr>
        <w:tc>
          <w:tcPr>
            <w:tcW w:w="6247"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招商移动互联网产业股票型证券投资基金</w:t>
            </w:r>
          </w:p>
        </w:tc>
        <w:tc>
          <w:tcPr>
            <w:tcW w:w="2089"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001404</w:t>
            </w:r>
          </w:p>
        </w:tc>
      </w:tr>
      <w:tr w:rsidR="005D7C0C">
        <w:trPr>
          <w:tblCellSpacing w:w="0" w:type="dxa"/>
        </w:trPr>
        <w:tc>
          <w:tcPr>
            <w:tcW w:w="6247"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招商国企改革主题混合型证券投资基金</w:t>
            </w:r>
          </w:p>
        </w:tc>
        <w:tc>
          <w:tcPr>
            <w:tcW w:w="2089"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001403</w:t>
            </w:r>
          </w:p>
        </w:tc>
      </w:tr>
      <w:tr w:rsidR="005D7C0C">
        <w:trPr>
          <w:tblCellSpacing w:w="0" w:type="dxa"/>
        </w:trPr>
        <w:tc>
          <w:tcPr>
            <w:tcW w:w="6247" w:type="dxa"/>
            <w:tcBorders>
              <w:top w:val="outset" w:sz="6" w:space="0" w:color="auto"/>
              <w:left w:val="outset" w:sz="6" w:space="0" w:color="auto"/>
              <w:bottom w:val="outset" w:sz="6" w:space="0" w:color="auto"/>
              <w:right w:val="outset" w:sz="6" w:space="0" w:color="auto"/>
            </w:tcBorders>
          </w:tcPr>
          <w:p w:rsidR="005D7C0C" w:rsidRPr="007A1E82"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招商丰泽灵活配置混合型证券投资基金C</w:t>
            </w:r>
          </w:p>
        </w:tc>
        <w:tc>
          <w:tcPr>
            <w:tcW w:w="2089"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001446</w:t>
            </w:r>
          </w:p>
        </w:tc>
      </w:tr>
      <w:tr w:rsidR="005D7C0C" w:rsidRPr="001B3411">
        <w:trPr>
          <w:tblCellSpacing w:w="0" w:type="dxa"/>
        </w:trPr>
        <w:tc>
          <w:tcPr>
            <w:tcW w:w="6247" w:type="dxa"/>
            <w:tcBorders>
              <w:top w:val="outset" w:sz="6" w:space="0" w:color="auto"/>
              <w:left w:val="outset" w:sz="6" w:space="0" w:color="auto"/>
              <w:bottom w:val="outset" w:sz="6" w:space="0" w:color="auto"/>
              <w:right w:val="outset" w:sz="6" w:space="0" w:color="auto"/>
            </w:tcBorders>
          </w:tcPr>
          <w:p w:rsidR="005D7C0C" w:rsidRDefault="002D769A">
            <w:pPr>
              <w:widowControl/>
              <w:jc w:val="center"/>
              <w:rPr>
                <w:rFonts w:ascii="微软雅黑" w:eastAsia="微软雅黑" w:hAnsi="微软雅黑" w:cs="Times New Roman"/>
                <w:color w:val="333333"/>
                <w:kern w:val="0"/>
                <w:szCs w:val="21"/>
              </w:rPr>
            </w:pPr>
            <w:hyperlink r:id="rId7" w:tgtFrame="_blank" w:history="1">
              <w:r w:rsidR="001B3411" w:rsidRPr="001B3411">
                <w:rPr>
                  <w:rFonts w:ascii="微软雅黑" w:eastAsia="微软雅黑" w:hAnsi="微软雅黑" w:cs="Times New Roman" w:hint="eastAsia"/>
                  <w:color w:val="333333"/>
                  <w:kern w:val="0"/>
                  <w:szCs w:val="21"/>
                </w:rPr>
                <w:t>招商安益灵活配置混合型证券投资基金</w:t>
              </w:r>
            </w:hyperlink>
          </w:p>
        </w:tc>
        <w:tc>
          <w:tcPr>
            <w:tcW w:w="2089"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001531</w:t>
            </w:r>
          </w:p>
        </w:tc>
      </w:tr>
      <w:tr w:rsidR="005D7C0C">
        <w:trPr>
          <w:tblCellSpacing w:w="0" w:type="dxa"/>
        </w:trPr>
        <w:tc>
          <w:tcPr>
            <w:tcW w:w="6247"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招商体育文化休闲股票型证券投资基金</w:t>
            </w:r>
          </w:p>
        </w:tc>
        <w:tc>
          <w:tcPr>
            <w:tcW w:w="2089"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001628</w:t>
            </w:r>
          </w:p>
        </w:tc>
      </w:tr>
      <w:tr w:rsidR="005D7C0C">
        <w:trPr>
          <w:tblCellSpacing w:w="0" w:type="dxa"/>
        </w:trPr>
        <w:tc>
          <w:tcPr>
            <w:tcW w:w="6247"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招商产业债券型证券投资基金C</w:t>
            </w:r>
          </w:p>
        </w:tc>
        <w:tc>
          <w:tcPr>
            <w:tcW w:w="2089"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001868</w:t>
            </w:r>
          </w:p>
        </w:tc>
      </w:tr>
      <w:tr w:rsidR="005D7C0C">
        <w:trPr>
          <w:tblCellSpacing w:w="0" w:type="dxa"/>
        </w:trPr>
        <w:tc>
          <w:tcPr>
            <w:tcW w:w="6247"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招商制造业转型混合证券投资基金A</w:t>
            </w:r>
          </w:p>
        </w:tc>
        <w:tc>
          <w:tcPr>
            <w:tcW w:w="2089"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001869</w:t>
            </w:r>
          </w:p>
        </w:tc>
      </w:tr>
      <w:tr w:rsidR="005D7C0C">
        <w:trPr>
          <w:tblCellSpacing w:w="0" w:type="dxa"/>
        </w:trPr>
        <w:tc>
          <w:tcPr>
            <w:tcW w:w="6247"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招商丰融灵活配置混合型证券投资基金A</w:t>
            </w:r>
          </w:p>
        </w:tc>
        <w:tc>
          <w:tcPr>
            <w:tcW w:w="2089"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001597</w:t>
            </w:r>
          </w:p>
        </w:tc>
      </w:tr>
      <w:tr w:rsidR="005D7C0C">
        <w:trPr>
          <w:tblCellSpacing w:w="0" w:type="dxa"/>
        </w:trPr>
        <w:tc>
          <w:tcPr>
            <w:tcW w:w="6247" w:type="dxa"/>
            <w:tcBorders>
              <w:top w:val="outset" w:sz="6" w:space="0" w:color="auto"/>
              <w:left w:val="outset" w:sz="6" w:space="0" w:color="auto"/>
              <w:bottom w:val="outset" w:sz="6" w:space="0" w:color="auto"/>
              <w:right w:val="outset" w:sz="6" w:space="0" w:color="auto"/>
            </w:tcBorders>
          </w:tcPr>
          <w:p w:rsidR="005D7C0C" w:rsidRPr="007A1E82"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招商丰融灵活配置混合型证券投资基金C</w:t>
            </w:r>
          </w:p>
        </w:tc>
        <w:tc>
          <w:tcPr>
            <w:tcW w:w="2089"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001598</w:t>
            </w:r>
          </w:p>
        </w:tc>
      </w:tr>
      <w:tr w:rsidR="005D7C0C" w:rsidRPr="001B3411">
        <w:trPr>
          <w:tblCellSpacing w:w="0" w:type="dxa"/>
        </w:trPr>
        <w:tc>
          <w:tcPr>
            <w:tcW w:w="6247" w:type="dxa"/>
            <w:tcBorders>
              <w:top w:val="outset" w:sz="6" w:space="0" w:color="auto"/>
              <w:left w:val="outset" w:sz="6" w:space="0" w:color="auto"/>
              <w:bottom w:val="outset" w:sz="6" w:space="0" w:color="auto"/>
              <w:right w:val="outset" w:sz="6" w:space="0" w:color="auto"/>
            </w:tcBorders>
          </w:tcPr>
          <w:p w:rsidR="005D7C0C" w:rsidRDefault="002D769A">
            <w:pPr>
              <w:widowControl/>
              <w:jc w:val="center"/>
              <w:rPr>
                <w:rFonts w:ascii="微软雅黑" w:eastAsia="微软雅黑" w:hAnsi="微软雅黑" w:cs="Times New Roman"/>
                <w:color w:val="333333"/>
                <w:kern w:val="0"/>
                <w:szCs w:val="21"/>
              </w:rPr>
            </w:pPr>
            <w:hyperlink r:id="rId8" w:tgtFrame="_blank" w:history="1">
              <w:r w:rsidR="001B3411" w:rsidRPr="001B3411">
                <w:rPr>
                  <w:rFonts w:ascii="微软雅黑" w:eastAsia="微软雅黑" w:hAnsi="微软雅黑" w:cs="Times New Roman" w:hint="eastAsia"/>
                  <w:color w:val="333333"/>
                  <w:kern w:val="0"/>
                  <w:szCs w:val="21"/>
                </w:rPr>
                <w:t>招商境远灵活配置混合型证券投资基金</w:t>
              </w:r>
            </w:hyperlink>
          </w:p>
        </w:tc>
        <w:tc>
          <w:tcPr>
            <w:tcW w:w="2089"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002249</w:t>
            </w:r>
          </w:p>
        </w:tc>
      </w:tr>
      <w:tr w:rsidR="005D7C0C">
        <w:trPr>
          <w:tblCellSpacing w:w="0" w:type="dxa"/>
        </w:trPr>
        <w:tc>
          <w:tcPr>
            <w:tcW w:w="6247"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招商安弘保本混合型证券投资基金</w:t>
            </w:r>
          </w:p>
        </w:tc>
        <w:tc>
          <w:tcPr>
            <w:tcW w:w="2089"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002271</w:t>
            </w:r>
          </w:p>
        </w:tc>
      </w:tr>
      <w:tr w:rsidR="005D7C0C" w:rsidRPr="001B3411">
        <w:trPr>
          <w:tblCellSpacing w:w="0" w:type="dxa"/>
        </w:trPr>
        <w:tc>
          <w:tcPr>
            <w:tcW w:w="6247" w:type="dxa"/>
            <w:tcBorders>
              <w:top w:val="outset" w:sz="6" w:space="0" w:color="auto"/>
              <w:left w:val="outset" w:sz="6" w:space="0" w:color="auto"/>
              <w:bottom w:val="outset" w:sz="6" w:space="0" w:color="auto"/>
              <w:right w:val="outset" w:sz="6" w:space="0" w:color="auto"/>
            </w:tcBorders>
          </w:tcPr>
          <w:p w:rsidR="005D7C0C" w:rsidRDefault="002D769A">
            <w:pPr>
              <w:widowControl/>
              <w:jc w:val="center"/>
              <w:rPr>
                <w:rFonts w:ascii="微软雅黑" w:eastAsia="微软雅黑" w:hAnsi="微软雅黑" w:cs="Times New Roman"/>
                <w:color w:val="333333"/>
                <w:kern w:val="0"/>
                <w:szCs w:val="21"/>
              </w:rPr>
            </w:pPr>
            <w:hyperlink r:id="rId9" w:tgtFrame="_blank" w:history="1">
              <w:r w:rsidR="001B3411" w:rsidRPr="001B3411">
                <w:rPr>
                  <w:rFonts w:ascii="微软雅黑" w:eastAsia="微软雅黑" w:hAnsi="微软雅黑" w:cs="Times New Roman" w:hint="eastAsia"/>
                  <w:color w:val="333333"/>
                  <w:kern w:val="0"/>
                  <w:szCs w:val="21"/>
                </w:rPr>
                <w:t>招商康泰灵活配置混合型证券投资基金</w:t>
              </w:r>
            </w:hyperlink>
          </w:p>
        </w:tc>
        <w:tc>
          <w:tcPr>
            <w:tcW w:w="2089"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002103</w:t>
            </w:r>
          </w:p>
        </w:tc>
      </w:tr>
      <w:tr w:rsidR="005D7C0C">
        <w:trPr>
          <w:tblCellSpacing w:w="0" w:type="dxa"/>
        </w:trPr>
        <w:tc>
          <w:tcPr>
            <w:tcW w:w="6247"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招商安德保本混合型证券投资基金A</w:t>
            </w:r>
          </w:p>
        </w:tc>
        <w:tc>
          <w:tcPr>
            <w:tcW w:w="2089"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002389</w:t>
            </w:r>
          </w:p>
        </w:tc>
      </w:tr>
      <w:tr w:rsidR="005D7C0C">
        <w:trPr>
          <w:tblCellSpacing w:w="0" w:type="dxa"/>
        </w:trPr>
        <w:tc>
          <w:tcPr>
            <w:tcW w:w="6247"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招商量化精选股票型发起式证券投资基金</w:t>
            </w:r>
          </w:p>
        </w:tc>
        <w:tc>
          <w:tcPr>
            <w:tcW w:w="2089"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001917</w:t>
            </w:r>
          </w:p>
        </w:tc>
      </w:tr>
      <w:tr w:rsidR="005D7C0C">
        <w:trPr>
          <w:tblCellSpacing w:w="0" w:type="dxa"/>
        </w:trPr>
        <w:tc>
          <w:tcPr>
            <w:tcW w:w="6247" w:type="dxa"/>
            <w:tcBorders>
              <w:top w:val="outset" w:sz="6" w:space="0" w:color="auto"/>
              <w:left w:val="outset" w:sz="6" w:space="0" w:color="auto"/>
              <w:bottom w:val="outset" w:sz="6" w:space="0" w:color="auto"/>
              <w:right w:val="outset" w:sz="6" w:space="0" w:color="auto"/>
            </w:tcBorders>
          </w:tcPr>
          <w:p w:rsidR="005D7C0C" w:rsidRPr="007A1E82"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招商安元保本混合型证券投资基金A</w:t>
            </w:r>
          </w:p>
        </w:tc>
        <w:tc>
          <w:tcPr>
            <w:tcW w:w="2089"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002456</w:t>
            </w:r>
          </w:p>
        </w:tc>
      </w:tr>
      <w:tr w:rsidR="005D7C0C">
        <w:trPr>
          <w:tblCellSpacing w:w="0" w:type="dxa"/>
        </w:trPr>
        <w:tc>
          <w:tcPr>
            <w:tcW w:w="6247"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招商睿逸稳健配置混合型证券投资基金</w:t>
            </w:r>
          </w:p>
        </w:tc>
        <w:tc>
          <w:tcPr>
            <w:tcW w:w="2089"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002317</w:t>
            </w:r>
          </w:p>
        </w:tc>
      </w:tr>
      <w:tr w:rsidR="005D7C0C" w:rsidRPr="001B3411">
        <w:trPr>
          <w:tblCellSpacing w:w="0" w:type="dxa"/>
        </w:trPr>
        <w:tc>
          <w:tcPr>
            <w:tcW w:w="6247" w:type="dxa"/>
            <w:tcBorders>
              <w:top w:val="outset" w:sz="6" w:space="0" w:color="auto"/>
              <w:left w:val="outset" w:sz="6" w:space="0" w:color="auto"/>
              <w:bottom w:val="outset" w:sz="6" w:space="0" w:color="auto"/>
              <w:right w:val="outset" w:sz="6" w:space="0" w:color="auto"/>
            </w:tcBorders>
          </w:tcPr>
          <w:p w:rsidR="005D7C0C" w:rsidRDefault="002D769A">
            <w:pPr>
              <w:widowControl/>
              <w:jc w:val="center"/>
              <w:rPr>
                <w:rFonts w:ascii="微软雅黑" w:eastAsia="微软雅黑" w:hAnsi="微软雅黑" w:cs="Times New Roman"/>
                <w:color w:val="333333"/>
                <w:kern w:val="0"/>
                <w:szCs w:val="21"/>
              </w:rPr>
            </w:pPr>
            <w:hyperlink r:id="rId10" w:tgtFrame="_blank" w:history="1">
              <w:r w:rsidR="001B3411" w:rsidRPr="001B3411">
                <w:rPr>
                  <w:rFonts w:ascii="微软雅黑" w:eastAsia="微软雅黑" w:hAnsi="微软雅黑" w:cs="Times New Roman" w:hint="eastAsia"/>
                  <w:color w:val="333333"/>
                  <w:kern w:val="0"/>
                  <w:szCs w:val="21"/>
                </w:rPr>
                <w:t>招商安博灵活配置混合型证券投资基金</w:t>
              </w:r>
            </w:hyperlink>
          </w:p>
        </w:tc>
        <w:tc>
          <w:tcPr>
            <w:tcW w:w="2089"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002628</w:t>
            </w:r>
          </w:p>
        </w:tc>
      </w:tr>
      <w:tr w:rsidR="005D7C0C">
        <w:trPr>
          <w:tblCellSpacing w:w="0" w:type="dxa"/>
        </w:trPr>
        <w:tc>
          <w:tcPr>
            <w:tcW w:w="6247"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招商招盈18个月定期开放债券型证券投资基金</w:t>
            </w:r>
          </w:p>
        </w:tc>
        <w:tc>
          <w:tcPr>
            <w:tcW w:w="2089"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002506</w:t>
            </w:r>
          </w:p>
        </w:tc>
      </w:tr>
      <w:tr w:rsidR="005D7C0C">
        <w:trPr>
          <w:tblCellSpacing w:w="0" w:type="dxa"/>
        </w:trPr>
        <w:tc>
          <w:tcPr>
            <w:tcW w:w="6247" w:type="dxa"/>
            <w:tcBorders>
              <w:top w:val="outset" w:sz="6" w:space="0" w:color="auto"/>
              <w:left w:val="outset" w:sz="6" w:space="0" w:color="auto"/>
              <w:bottom w:val="outset" w:sz="6" w:space="0" w:color="auto"/>
              <w:right w:val="outset" w:sz="6" w:space="0" w:color="auto"/>
            </w:tcBorders>
          </w:tcPr>
          <w:p w:rsidR="005D7C0C" w:rsidRPr="007A1E82"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招商招钱宝货币市场基金A</w:t>
            </w:r>
            <w:bookmarkStart w:id="0" w:name="_GoBack"/>
            <w:bookmarkEnd w:id="0"/>
          </w:p>
        </w:tc>
        <w:tc>
          <w:tcPr>
            <w:tcW w:w="2089"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000588</w:t>
            </w:r>
          </w:p>
        </w:tc>
      </w:tr>
      <w:tr w:rsidR="005D7C0C">
        <w:trPr>
          <w:tblCellSpacing w:w="0" w:type="dxa"/>
        </w:trPr>
        <w:tc>
          <w:tcPr>
            <w:tcW w:w="6247"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lastRenderedPageBreak/>
              <w:t>招商标普金砖四国指数证券投资基金（LOF）</w:t>
            </w:r>
          </w:p>
        </w:tc>
        <w:tc>
          <w:tcPr>
            <w:tcW w:w="2089"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161714</w:t>
            </w:r>
          </w:p>
        </w:tc>
      </w:tr>
      <w:tr w:rsidR="005D7C0C">
        <w:trPr>
          <w:tblCellSpacing w:w="0" w:type="dxa"/>
        </w:trPr>
        <w:tc>
          <w:tcPr>
            <w:tcW w:w="6247"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招商双债增强债券型证券投资基金（LOF）</w:t>
            </w:r>
          </w:p>
        </w:tc>
        <w:tc>
          <w:tcPr>
            <w:tcW w:w="2089"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161716</w:t>
            </w:r>
          </w:p>
        </w:tc>
      </w:tr>
      <w:tr w:rsidR="005D7C0C">
        <w:trPr>
          <w:tblCellSpacing w:w="0" w:type="dxa"/>
        </w:trPr>
        <w:tc>
          <w:tcPr>
            <w:tcW w:w="6247"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招商丰泰灵活配置混合型证券投资基金（LOF）</w:t>
            </w:r>
          </w:p>
        </w:tc>
        <w:tc>
          <w:tcPr>
            <w:tcW w:w="2089"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161722</w:t>
            </w:r>
          </w:p>
        </w:tc>
      </w:tr>
      <w:tr w:rsidR="005D7C0C">
        <w:trPr>
          <w:tblCellSpacing w:w="0" w:type="dxa"/>
        </w:trPr>
        <w:tc>
          <w:tcPr>
            <w:tcW w:w="6247"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招商增荣灵活配置混合型证券投资基金</w:t>
            </w:r>
            <w:r w:rsidR="0091643C">
              <w:rPr>
                <w:rFonts w:ascii="微软雅黑" w:eastAsia="微软雅黑" w:hAnsi="微软雅黑" w:cs="Times New Roman" w:hint="eastAsia"/>
                <w:color w:val="333333"/>
                <w:kern w:val="0"/>
                <w:szCs w:val="21"/>
              </w:rPr>
              <w:t>（LOF）</w:t>
            </w:r>
          </w:p>
        </w:tc>
        <w:tc>
          <w:tcPr>
            <w:tcW w:w="2089" w:type="dxa"/>
            <w:tcBorders>
              <w:top w:val="outset" w:sz="6" w:space="0" w:color="auto"/>
              <w:left w:val="outset" w:sz="6" w:space="0" w:color="auto"/>
              <w:bottom w:val="outset" w:sz="6" w:space="0" w:color="auto"/>
              <w:right w:val="outset" w:sz="6" w:space="0" w:color="auto"/>
            </w:tcBorders>
          </w:tcPr>
          <w:p w:rsidR="005D7C0C" w:rsidRDefault="00A31AF6">
            <w:pPr>
              <w:widowControl/>
              <w:jc w:val="center"/>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161727</w:t>
            </w:r>
          </w:p>
        </w:tc>
      </w:tr>
    </w:tbl>
    <w:p w:rsidR="005D7C0C" w:rsidRDefault="00A31AF6">
      <w:pPr>
        <w:widowControl/>
        <w:spacing w:line="360" w:lineRule="auto"/>
        <w:ind w:firstLine="420"/>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且自2018年9月3日起，投资者通过东方财富证券申购本公司旗下所有基金，申购费率享费率优惠，具体折扣费率以东方财富证券官方网站公示为准。基金原费率请详见基金合同、招募说明书（更新）等法律文件，以及本公司发布的最新业务公告。</w:t>
      </w:r>
    </w:p>
    <w:p w:rsidR="005D7C0C" w:rsidRDefault="00A31AF6">
      <w:pPr>
        <w:widowControl/>
        <w:spacing w:line="360" w:lineRule="auto"/>
        <w:ind w:firstLine="420"/>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费率优惠期限内，如本公司新增通过东方财富证券代销的基金产品，则自该基金产品开放认/申购当日起，将同时开通该基金认/申购费率优惠。费率优惠期限，以东方财富证券官方网站所示公告为准。</w:t>
      </w:r>
    </w:p>
    <w:p w:rsidR="005D7C0C" w:rsidRDefault="005D7C0C">
      <w:pPr>
        <w:widowControl/>
        <w:spacing w:line="360" w:lineRule="auto"/>
        <w:ind w:firstLine="420"/>
        <w:jc w:val="left"/>
        <w:rPr>
          <w:rFonts w:ascii="Times New Roman" w:eastAsia="微软雅黑" w:hAnsi="Times New Roman" w:cs="Times New Roman"/>
          <w:color w:val="333333"/>
          <w:kern w:val="0"/>
          <w:szCs w:val="21"/>
        </w:rPr>
      </w:pPr>
    </w:p>
    <w:p w:rsidR="005D7C0C" w:rsidRDefault="00A31AF6">
      <w:pPr>
        <w:widowControl/>
        <w:spacing w:line="360" w:lineRule="auto"/>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重要提示：</w:t>
      </w:r>
    </w:p>
    <w:p w:rsidR="005D7C0C" w:rsidRDefault="00A31AF6">
      <w:pPr>
        <w:widowControl/>
        <w:spacing w:line="360" w:lineRule="auto"/>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一）本费率优惠活动仅适用于我司产品在东方财富证券处于正常申购期的基金产品的前端收费模式的申购手续费（含定期定额申购业务产生的申购手续费）及处于基金募集期的基金认购费，不包括基金赎回、转换等其他业务的手续费。</w:t>
      </w:r>
    </w:p>
    <w:p w:rsidR="005D7C0C" w:rsidRDefault="00A31AF6">
      <w:pPr>
        <w:widowControl/>
        <w:spacing w:line="360" w:lineRule="auto"/>
        <w:rPr>
          <w:rFonts w:ascii="微软雅黑" w:eastAsia="微软雅黑" w:hAnsi="微软雅黑" w:cs="Times New Roman"/>
          <w:color w:val="333333"/>
          <w:kern w:val="0"/>
          <w:szCs w:val="21"/>
        </w:rPr>
      </w:pPr>
      <w:r>
        <w:rPr>
          <w:rFonts w:ascii="微软雅黑" w:eastAsia="微软雅黑" w:hAnsi="微软雅黑" w:cs="Times New Roman" w:hint="eastAsia"/>
          <w:color w:val="333333"/>
          <w:kern w:val="0"/>
          <w:szCs w:val="21"/>
        </w:rPr>
        <w:t>（二）费率优惠活动解释权归东方财富证券所有，有关费率优惠活动的具体规定如有变化，敬请投资者留意东方财富证券的有关规定。投资者欲了解基金产品的详细情况，请仔细阅读基金的基金合同、招募说明书等法律文件。</w:t>
      </w:r>
    </w:p>
    <w:p w:rsidR="005D7C0C" w:rsidRDefault="00A31AF6">
      <w:pPr>
        <w:widowControl/>
        <w:spacing w:line="360" w:lineRule="auto"/>
        <w:ind w:firstLine="420"/>
        <w:jc w:val="left"/>
        <w:rPr>
          <w:rFonts w:ascii="Times New Roman" w:eastAsia="微软雅黑" w:hAnsi="Times New Roman" w:cs="Times New Roman"/>
          <w:color w:val="333333"/>
          <w:kern w:val="0"/>
          <w:szCs w:val="21"/>
        </w:rPr>
      </w:pPr>
      <w:r>
        <w:rPr>
          <w:rFonts w:ascii="Times New Roman" w:eastAsia="微软雅黑" w:hAnsi="Times New Roman" w:cs="Times New Roman"/>
          <w:color w:val="333333"/>
          <w:kern w:val="0"/>
          <w:szCs w:val="21"/>
        </w:rPr>
        <w:t> </w:t>
      </w:r>
    </w:p>
    <w:p w:rsidR="005D7C0C" w:rsidRDefault="00A31AF6">
      <w:pPr>
        <w:pStyle w:val="a5"/>
        <w:spacing w:line="300" w:lineRule="atLeast"/>
        <w:rPr>
          <w:color w:val="333333"/>
        </w:rPr>
      </w:pPr>
      <w:r>
        <w:rPr>
          <w:rFonts w:ascii="微软雅黑" w:eastAsia="微软雅黑" w:hAnsi="微软雅黑" w:hint="eastAsia"/>
          <w:color w:val="333333"/>
          <w:sz w:val="21"/>
          <w:szCs w:val="21"/>
        </w:rPr>
        <w:t>投资者也可以通过以下途径咨询有关情况：</w:t>
      </w:r>
    </w:p>
    <w:p w:rsidR="005D7C0C" w:rsidRDefault="00A31AF6">
      <w:pPr>
        <w:pStyle w:val="a5"/>
        <w:spacing w:line="300" w:lineRule="atLeast"/>
        <w:rPr>
          <w:rFonts w:ascii="微软雅黑" w:eastAsia="微软雅黑" w:hAnsi="微软雅黑" w:cs="Times New Roman"/>
          <w:color w:val="333333"/>
          <w:sz w:val="21"/>
          <w:szCs w:val="21"/>
        </w:rPr>
      </w:pPr>
      <w:r>
        <w:rPr>
          <w:rFonts w:ascii="微软雅黑" w:eastAsia="微软雅黑" w:hAnsi="微软雅黑" w:cs="Times New Roman" w:hint="eastAsia"/>
          <w:color w:val="333333"/>
          <w:sz w:val="21"/>
          <w:szCs w:val="21"/>
        </w:rPr>
        <w:t>西藏东方财富证券股份有限公司</w:t>
      </w:r>
    </w:p>
    <w:p w:rsidR="005D7C0C" w:rsidRDefault="00A31AF6">
      <w:pPr>
        <w:pStyle w:val="a5"/>
        <w:spacing w:line="300" w:lineRule="atLeast"/>
        <w:rPr>
          <w:color w:val="333333"/>
        </w:rPr>
      </w:pPr>
      <w:r>
        <w:rPr>
          <w:rFonts w:ascii="微软雅黑" w:eastAsia="微软雅黑" w:hAnsi="微软雅黑" w:hint="eastAsia"/>
          <w:color w:val="333333"/>
          <w:sz w:val="21"/>
          <w:szCs w:val="21"/>
        </w:rPr>
        <w:t>客服电话：</w:t>
      </w:r>
      <w:r w:rsidRPr="00A963EE">
        <w:rPr>
          <w:rFonts w:ascii="微软雅黑" w:eastAsia="微软雅黑" w:hAnsi="微软雅黑"/>
          <w:color w:val="333333"/>
          <w:sz w:val="21"/>
          <w:szCs w:val="21"/>
        </w:rPr>
        <w:t>95357</w:t>
      </w:r>
    </w:p>
    <w:p w:rsidR="005D7C0C" w:rsidRDefault="00A31AF6">
      <w:pPr>
        <w:pStyle w:val="a5"/>
        <w:spacing w:line="300" w:lineRule="atLeast"/>
        <w:rPr>
          <w:rFonts w:ascii="微软雅黑" w:eastAsia="微软雅黑" w:hAnsi="微软雅黑"/>
          <w:color w:val="333333"/>
          <w:sz w:val="21"/>
          <w:szCs w:val="21"/>
        </w:rPr>
      </w:pPr>
      <w:r>
        <w:rPr>
          <w:rFonts w:ascii="微软雅黑" w:eastAsia="微软雅黑" w:hAnsi="微软雅黑" w:hint="eastAsia"/>
          <w:color w:val="333333"/>
          <w:sz w:val="21"/>
          <w:szCs w:val="21"/>
        </w:rPr>
        <w:t>公司网址：</w:t>
      </w:r>
      <w:r w:rsidRPr="00A963EE">
        <w:rPr>
          <w:rFonts w:ascii="微软雅黑" w:eastAsia="微软雅黑" w:hAnsi="微软雅黑"/>
          <w:color w:val="333333"/>
          <w:sz w:val="21"/>
          <w:szCs w:val="21"/>
        </w:rPr>
        <w:t>http://www.18.cn</w:t>
      </w:r>
    </w:p>
    <w:p w:rsidR="005D7C0C" w:rsidRDefault="00A31AF6">
      <w:pPr>
        <w:pStyle w:val="a5"/>
        <w:spacing w:line="300" w:lineRule="atLeast"/>
        <w:rPr>
          <w:color w:val="333333"/>
        </w:rPr>
      </w:pPr>
      <w:r>
        <w:rPr>
          <w:rFonts w:ascii="微软雅黑" w:eastAsia="微软雅黑" w:hAnsi="微软雅黑" w:hint="eastAsia"/>
          <w:color w:val="333333"/>
          <w:sz w:val="21"/>
          <w:szCs w:val="21"/>
        </w:rPr>
        <w:t>招商基金管理有限公司</w:t>
      </w:r>
    </w:p>
    <w:p w:rsidR="005D7C0C" w:rsidRDefault="00A31AF6">
      <w:pPr>
        <w:pStyle w:val="a5"/>
        <w:spacing w:line="300" w:lineRule="atLeast"/>
        <w:rPr>
          <w:color w:val="333333"/>
        </w:rPr>
      </w:pPr>
      <w:r>
        <w:rPr>
          <w:rFonts w:ascii="微软雅黑" w:eastAsia="微软雅黑" w:hAnsi="微软雅黑" w:hint="eastAsia"/>
          <w:color w:val="333333"/>
          <w:sz w:val="21"/>
          <w:szCs w:val="21"/>
        </w:rPr>
        <w:t>客服电话：400-887-9555</w:t>
      </w:r>
    </w:p>
    <w:p w:rsidR="005D7C0C" w:rsidRDefault="00A31AF6">
      <w:pPr>
        <w:pStyle w:val="a5"/>
        <w:spacing w:line="300" w:lineRule="atLeast"/>
        <w:rPr>
          <w:color w:val="333333"/>
        </w:rPr>
      </w:pPr>
      <w:r>
        <w:rPr>
          <w:rFonts w:ascii="微软雅黑" w:eastAsia="微软雅黑" w:hAnsi="微软雅黑" w:hint="eastAsia"/>
          <w:color w:val="333333"/>
          <w:sz w:val="21"/>
          <w:szCs w:val="21"/>
        </w:rPr>
        <w:t>公司网址：</w:t>
      </w:r>
      <w:hyperlink r:id="rId11" w:history="1">
        <w:r>
          <w:rPr>
            <w:rStyle w:val="a6"/>
            <w:rFonts w:ascii="微软雅黑" w:eastAsia="微软雅黑" w:hAnsi="微软雅黑" w:hint="eastAsia"/>
            <w:sz w:val="21"/>
            <w:szCs w:val="21"/>
          </w:rPr>
          <w:t>http://www.cmfchina.com/</w:t>
        </w:r>
      </w:hyperlink>
    </w:p>
    <w:p w:rsidR="005D7C0C" w:rsidRDefault="00A31AF6">
      <w:pPr>
        <w:widowControl/>
        <w:spacing w:line="360" w:lineRule="auto"/>
        <w:ind w:firstLine="420"/>
        <w:jc w:val="left"/>
        <w:rPr>
          <w:rFonts w:ascii="Times New Roman" w:eastAsia="微软雅黑" w:hAnsi="Times New Roman" w:cs="Times New Roman"/>
          <w:color w:val="333333"/>
          <w:kern w:val="0"/>
          <w:szCs w:val="21"/>
        </w:rPr>
      </w:pPr>
      <w:r>
        <w:rPr>
          <w:rFonts w:ascii="Times New Roman" w:eastAsia="微软雅黑" w:hAnsi="Times New Roman" w:cs="Times New Roman"/>
          <w:color w:val="333333"/>
          <w:kern w:val="0"/>
          <w:szCs w:val="21"/>
        </w:rPr>
        <w:t> </w:t>
      </w:r>
    </w:p>
    <w:p w:rsidR="005D7C0C" w:rsidRDefault="00A31AF6">
      <w:pPr>
        <w:widowControl/>
        <w:spacing w:line="360" w:lineRule="auto"/>
        <w:jc w:val="left"/>
        <w:rPr>
          <w:rFonts w:ascii="宋体" w:eastAsia="宋体" w:hAnsi="宋体" w:cs="宋体"/>
          <w:color w:val="333333"/>
          <w:kern w:val="0"/>
          <w:sz w:val="24"/>
          <w:szCs w:val="24"/>
        </w:rPr>
      </w:pPr>
      <w:r>
        <w:rPr>
          <w:rFonts w:ascii="微软雅黑" w:eastAsia="微软雅黑" w:hAnsi="微软雅黑" w:cs="宋体" w:hint="eastAsia"/>
          <w:color w:val="333333"/>
          <w:kern w:val="0"/>
          <w:szCs w:val="21"/>
        </w:rPr>
        <w:t>风险提示：</w:t>
      </w:r>
    </w:p>
    <w:p w:rsidR="005D7C0C" w:rsidRDefault="00A31AF6">
      <w:pPr>
        <w:widowControl/>
        <w:spacing w:line="360" w:lineRule="auto"/>
        <w:jc w:val="left"/>
        <w:rPr>
          <w:rFonts w:ascii="宋体" w:eastAsia="宋体" w:hAnsi="宋体" w:cs="宋体"/>
          <w:color w:val="333333"/>
          <w:kern w:val="0"/>
          <w:sz w:val="24"/>
          <w:szCs w:val="24"/>
        </w:rPr>
      </w:pPr>
      <w:r>
        <w:rPr>
          <w:rFonts w:ascii="微软雅黑" w:eastAsia="微软雅黑" w:hAnsi="微软雅黑" w:cs="宋体" w:hint="eastAsia"/>
          <w:color w:val="333333"/>
          <w:kern w:val="0"/>
          <w:szCs w:val="21"/>
        </w:rPr>
        <w:t>（一）投资人应当认真阅读《基金合同》、《招募说明书》等基金法律文件，了解基金的风险收益特征，并根据自身的投资目的、投资期限、投资经验、资产状况等判断基金是否和投资人的风险承受能力相适应。</w:t>
      </w:r>
    </w:p>
    <w:p w:rsidR="005D7C0C" w:rsidRDefault="00A31AF6">
      <w:pPr>
        <w:widowControl/>
        <w:spacing w:line="360" w:lineRule="auto"/>
        <w:jc w:val="left"/>
        <w:rPr>
          <w:rFonts w:ascii="Times New Roman" w:eastAsia="微软雅黑" w:hAnsi="Times New Roman" w:cs="Times New Roman"/>
          <w:color w:val="333333"/>
          <w:kern w:val="0"/>
          <w:szCs w:val="21"/>
        </w:rPr>
      </w:pPr>
      <w:r>
        <w:rPr>
          <w:rFonts w:ascii="微软雅黑" w:eastAsia="微软雅黑" w:hAnsi="微软雅黑" w:cs="Times New Roman" w:hint="eastAsia"/>
          <w:color w:val="000000"/>
          <w:kern w:val="0"/>
          <w:szCs w:val="21"/>
        </w:rPr>
        <w:t xml:space="preserve">（二）本公司承诺以诚实信用、勤勉尽责的原则管理和运用基金资产，但不保证基金一定盈利，也不保证最低收益。敬请投资人注意投资风险。 </w:t>
      </w:r>
    </w:p>
    <w:p w:rsidR="005D7C0C" w:rsidRDefault="00A31AF6">
      <w:pPr>
        <w:widowControl/>
        <w:spacing w:line="360" w:lineRule="auto"/>
        <w:ind w:firstLine="420"/>
        <w:jc w:val="left"/>
        <w:rPr>
          <w:rFonts w:ascii="Times New Roman" w:eastAsia="微软雅黑" w:hAnsi="Times New Roman" w:cs="Times New Roman"/>
          <w:color w:val="333333"/>
          <w:kern w:val="0"/>
          <w:szCs w:val="21"/>
        </w:rPr>
      </w:pPr>
      <w:r>
        <w:rPr>
          <w:rFonts w:ascii="微软雅黑" w:eastAsia="微软雅黑" w:hAnsi="微软雅黑" w:cs="Times New Roman" w:hint="eastAsia"/>
          <w:color w:val="000000"/>
          <w:kern w:val="0"/>
          <w:szCs w:val="21"/>
        </w:rPr>
        <w:t>特此公告。</w:t>
      </w:r>
    </w:p>
    <w:p w:rsidR="005D7C0C" w:rsidRDefault="00A31AF6">
      <w:pPr>
        <w:widowControl/>
        <w:spacing w:line="360" w:lineRule="auto"/>
        <w:ind w:firstLine="420"/>
        <w:jc w:val="left"/>
        <w:rPr>
          <w:rFonts w:ascii="Times New Roman" w:eastAsia="微软雅黑" w:hAnsi="Times New Roman" w:cs="Times New Roman"/>
          <w:color w:val="333333"/>
          <w:kern w:val="0"/>
          <w:szCs w:val="21"/>
        </w:rPr>
      </w:pPr>
      <w:r>
        <w:rPr>
          <w:rFonts w:ascii="Times New Roman" w:eastAsia="微软雅黑" w:hAnsi="Times New Roman" w:cs="Times New Roman"/>
          <w:color w:val="333333"/>
          <w:kern w:val="0"/>
          <w:szCs w:val="21"/>
        </w:rPr>
        <w:t> </w:t>
      </w:r>
    </w:p>
    <w:p w:rsidR="005D7C0C" w:rsidRDefault="00A31AF6">
      <w:pPr>
        <w:widowControl/>
        <w:spacing w:line="360" w:lineRule="auto"/>
        <w:jc w:val="right"/>
        <w:rPr>
          <w:rFonts w:ascii="Times New Roman" w:eastAsia="微软雅黑" w:hAnsi="Times New Roman" w:cs="Times New Roman"/>
          <w:color w:val="333333"/>
          <w:kern w:val="0"/>
          <w:szCs w:val="21"/>
        </w:rPr>
      </w:pPr>
      <w:r>
        <w:rPr>
          <w:rFonts w:ascii="Times New Roman" w:eastAsia="微软雅黑" w:hAnsi="Times New Roman" w:cs="Times New Roman"/>
          <w:color w:val="333333"/>
          <w:kern w:val="0"/>
          <w:szCs w:val="21"/>
        </w:rPr>
        <w:t> </w:t>
      </w:r>
    </w:p>
    <w:p w:rsidR="005D7C0C" w:rsidRDefault="00A31AF6">
      <w:pPr>
        <w:widowControl/>
        <w:spacing w:line="360" w:lineRule="auto"/>
        <w:jc w:val="right"/>
        <w:rPr>
          <w:rFonts w:ascii="Times New Roman" w:eastAsia="微软雅黑" w:hAnsi="Times New Roman" w:cs="Times New Roman"/>
          <w:color w:val="333333"/>
          <w:kern w:val="0"/>
          <w:szCs w:val="21"/>
        </w:rPr>
      </w:pPr>
      <w:r>
        <w:rPr>
          <w:rFonts w:ascii="Times New Roman" w:eastAsia="微软雅黑" w:hAnsi="Times New Roman" w:cs="Times New Roman"/>
          <w:color w:val="333333"/>
          <w:kern w:val="0"/>
          <w:szCs w:val="21"/>
        </w:rPr>
        <w:t> </w:t>
      </w:r>
    </w:p>
    <w:p w:rsidR="005D7C0C" w:rsidRDefault="00A31AF6">
      <w:pPr>
        <w:widowControl/>
        <w:spacing w:line="360" w:lineRule="auto"/>
        <w:jc w:val="right"/>
        <w:rPr>
          <w:rFonts w:ascii="Times New Roman" w:eastAsia="微软雅黑" w:hAnsi="Times New Roman" w:cs="Times New Roman"/>
          <w:color w:val="333333"/>
          <w:kern w:val="0"/>
          <w:szCs w:val="21"/>
        </w:rPr>
      </w:pPr>
      <w:r>
        <w:rPr>
          <w:rFonts w:ascii="微软雅黑" w:eastAsia="微软雅黑" w:hAnsi="微软雅黑" w:cs="Times New Roman" w:hint="eastAsia"/>
          <w:color w:val="000000"/>
          <w:kern w:val="0"/>
          <w:szCs w:val="21"/>
        </w:rPr>
        <w:t>招商基金管理有限公司</w:t>
      </w:r>
      <w:r>
        <w:rPr>
          <w:rFonts w:ascii="微软雅黑" w:eastAsia="微软雅黑" w:hAnsi="微软雅黑" w:cs="Times New Roman" w:hint="eastAsia"/>
          <w:color w:val="000000"/>
          <w:kern w:val="0"/>
          <w:szCs w:val="21"/>
        </w:rPr>
        <w:br/>
        <w:t>二〇一八年九月三日</w:t>
      </w:r>
    </w:p>
    <w:p w:rsidR="005D7C0C" w:rsidRDefault="005D7C0C"/>
    <w:sectPr w:rsidR="005D7C0C" w:rsidSect="002D769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3E3F" w:rsidRDefault="00B33E3F" w:rsidP="00A963EE">
      <w:r>
        <w:separator/>
      </w:r>
    </w:p>
  </w:endnote>
  <w:endnote w:type="continuationSeparator" w:id="1">
    <w:p w:rsidR="00B33E3F" w:rsidRDefault="00B33E3F" w:rsidP="00A963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3E3F" w:rsidRDefault="00B33E3F" w:rsidP="00A963EE">
      <w:r>
        <w:separator/>
      </w:r>
    </w:p>
  </w:footnote>
  <w:footnote w:type="continuationSeparator" w:id="1">
    <w:p w:rsidR="00B33E3F" w:rsidRDefault="00B33E3F" w:rsidP="00A963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E268A"/>
    <w:rsid w:val="0000395D"/>
    <w:rsid w:val="0005538F"/>
    <w:rsid w:val="000D374B"/>
    <w:rsid w:val="000E5141"/>
    <w:rsid w:val="00104325"/>
    <w:rsid w:val="0016044E"/>
    <w:rsid w:val="001A0B81"/>
    <w:rsid w:val="001B3411"/>
    <w:rsid w:val="001D7A83"/>
    <w:rsid w:val="001F4129"/>
    <w:rsid w:val="00217403"/>
    <w:rsid w:val="00222F81"/>
    <w:rsid w:val="0023613D"/>
    <w:rsid w:val="00266879"/>
    <w:rsid w:val="00291054"/>
    <w:rsid w:val="002A2560"/>
    <w:rsid w:val="002B065A"/>
    <w:rsid w:val="002B5143"/>
    <w:rsid w:val="002C369D"/>
    <w:rsid w:val="002D769A"/>
    <w:rsid w:val="002E5016"/>
    <w:rsid w:val="00421A39"/>
    <w:rsid w:val="004240CF"/>
    <w:rsid w:val="004E6C5B"/>
    <w:rsid w:val="005512E8"/>
    <w:rsid w:val="005D501D"/>
    <w:rsid w:val="005D7C0C"/>
    <w:rsid w:val="006477AC"/>
    <w:rsid w:val="007032FB"/>
    <w:rsid w:val="00714C10"/>
    <w:rsid w:val="00742825"/>
    <w:rsid w:val="00746F38"/>
    <w:rsid w:val="00777A6D"/>
    <w:rsid w:val="007820C8"/>
    <w:rsid w:val="007A1E82"/>
    <w:rsid w:val="007E655C"/>
    <w:rsid w:val="00807CC5"/>
    <w:rsid w:val="0083637F"/>
    <w:rsid w:val="00846B06"/>
    <w:rsid w:val="00855FB8"/>
    <w:rsid w:val="0091643C"/>
    <w:rsid w:val="00954870"/>
    <w:rsid w:val="0098065D"/>
    <w:rsid w:val="00982B5C"/>
    <w:rsid w:val="00997F21"/>
    <w:rsid w:val="009D4256"/>
    <w:rsid w:val="009F57F8"/>
    <w:rsid w:val="00A31AF6"/>
    <w:rsid w:val="00A63957"/>
    <w:rsid w:val="00A86BEE"/>
    <w:rsid w:val="00A963EE"/>
    <w:rsid w:val="00AC5EA0"/>
    <w:rsid w:val="00AE0AAF"/>
    <w:rsid w:val="00B33E3F"/>
    <w:rsid w:val="00B66019"/>
    <w:rsid w:val="00B84B8C"/>
    <w:rsid w:val="00BD4281"/>
    <w:rsid w:val="00C16C1F"/>
    <w:rsid w:val="00C71D99"/>
    <w:rsid w:val="00C9704A"/>
    <w:rsid w:val="00CE3CD8"/>
    <w:rsid w:val="00D02FC5"/>
    <w:rsid w:val="00D12D88"/>
    <w:rsid w:val="00D21255"/>
    <w:rsid w:val="00D240FC"/>
    <w:rsid w:val="00D26881"/>
    <w:rsid w:val="00D35E5D"/>
    <w:rsid w:val="00D47F51"/>
    <w:rsid w:val="00D621C5"/>
    <w:rsid w:val="00DA43FA"/>
    <w:rsid w:val="00DA5163"/>
    <w:rsid w:val="00E23B1B"/>
    <w:rsid w:val="00E365F8"/>
    <w:rsid w:val="00E37BC4"/>
    <w:rsid w:val="00E76BE4"/>
    <w:rsid w:val="00EB405E"/>
    <w:rsid w:val="00EB568F"/>
    <w:rsid w:val="00EE268A"/>
    <w:rsid w:val="00EF2EC5"/>
    <w:rsid w:val="00F3788B"/>
    <w:rsid w:val="00F82D4E"/>
    <w:rsid w:val="00FC0144"/>
    <w:rsid w:val="00FE6F00"/>
    <w:rsid w:val="00FF5373"/>
    <w:rsid w:val="0DB141F5"/>
    <w:rsid w:val="13EF23DB"/>
    <w:rsid w:val="24FC6C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69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2D769A"/>
    <w:pPr>
      <w:tabs>
        <w:tab w:val="center" w:pos="4153"/>
        <w:tab w:val="right" w:pos="8306"/>
      </w:tabs>
      <w:snapToGrid w:val="0"/>
      <w:jc w:val="left"/>
    </w:pPr>
    <w:rPr>
      <w:sz w:val="18"/>
      <w:szCs w:val="18"/>
    </w:rPr>
  </w:style>
  <w:style w:type="paragraph" w:styleId="a4">
    <w:name w:val="header"/>
    <w:basedOn w:val="a"/>
    <w:link w:val="Char0"/>
    <w:uiPriority w:val="99"/>
    <w:unhideWhenUsed/>
    <w:rsid w:val="002D769A"/>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2D769A"/>
    <w:pPr>
      <w:widowControl/>
      <w:jc w:val="left"/>
    </w:pPr>
    <w:rPr>
      <w:rFonts w:ascii="宋体" w:eastAsia="宋体" w:hAnsi="宋体" w:cs="宋体"/>
      <w:kern w:val="0"/>
      <w:sz w:val="24"/>
      <w:szCs w:val="24"/>
    </w:rPr>
  </w:style>
  <w:style w:type="character" w:styleId="a6">
    <w:name w:val="Hyperlink"/>
    <w:basedOn w:val="a0"/>
    <w:uiPriority w:val="99"/>
    <w:unhideWhenUsed/>
    <w:rsid w:val="002D769A"/>
    <w:rPr>
      <w:color w:val="333333"/>
      <w:u w:val="none"/>
    </w:rPr>
  </w:style>
  <w:style w:type="character" w:customStyle="1" w:styleId="Char0">
    <w:name w:val="页眉 Char"/>
    <w:basedOn w:val="a0"/>
    <w:link w:val="a4"/>
    <w:uiPriority w:val="99"/>
    <w:qFormat/>
    <w:rsid w:val="002D769A"/>
    <w:rPr>
      <w:sz w:val="18"/>
      <w:szCs w:val="18"/>
    </w:rPr>
  </w:style>
  <w:style w:type="character" w:customStyle="1" w:styleId="Char">
    <w:name w:val="页脚 Char"/>
    <w:basedOn w:val="a0"/>
    <w:link w:val="a3"/>
    <w:uiPriority w:val="99"/>
    <w:qFormat/>
    <w:rsid w:val="002D769A"/>
    <w:rPr>
      <w:sz w:val="18"/>
      <w:szCs w:val="18"/>
    </w:rPr>
  </w:style>
  <w:style w:type="paragraph" w:customStyle="1" w:styleId="CharCharCharChar">
    <w:name w:val="Char Char Char Char"/>
    <w:basedOn w:val="a"/>
    <w:qFormat/>
    <w:rsid w:val="002D769A"/>
    <w:pPr>
      <w:tabs>
        <w:tab w:val="left" w:pos="360"/>
      </w:tabs>
    </w:pPr>
    <w:rPr>
      <w:rFonts w:ascii="Times New Roman" w:eastAsia="宋体" w:hAnsi="Times New Roman" w:cs="Times New Roman"/>
      <w:sz w:val="24"/>
      <w:szCs w:val="24"/>
    </w:rPr>
  </w:style>
  <w:style w:type="paragraph" w:styleId="a7">
    <w:name w:val="Balloon Text"/>
    <w:basedOn w:val="a"/>
    <w:link w:val="Char1"/>
    <w:uiPriority w:val="99"/>
    <w:semiHidden/>
    <w:unhideWhenUsed/>
    <w:rsid w:val="00A963EE"/>
    <w:rPr>
      <w:sz w:val="18"/>
      <w:szCs w:val="18"/>
    </w:rPr>
  </w:style>
  <w:style w:type="character" w:customStyle="1" w:styleId="Char1">
    <w:name w:val="批注框文本 Char"/>
    <w:basedOn w:val="a0"/>
    <w:link w:val="a7"/>
    <w:uiPriority w:val="99"/>
    <w:semiHidden/>
    <w:rsid w:val="00A963EE"/>
    <w:rPr>
      <w:rFonts w:asciiTheme="minorHAnsi" w:eastAsiaTheme="minorEastAsia" w:hAnsiTheme="minorHAnsi" w:cstheme="minorBidi"/>
      <w:kern w:val="2"/>
      <w:sz w:val="18"/>
      <w:szCs w:val="18"/>
    </w:rPr>
  </w:style>
  <w:style w:type="character" w:styleId="a8">
    <w:name w:val="annotation reference"/>
    <w:basedOn w:val="a0"/>
    <w:uiPriority w:val="99"/>
    <w:semiHidden/>
    <w:unhideWhenUsed/>
    <w:rsid w:val="002A2560"/>
    <w:rPr>
      <w:sz w:val="21"/>
      <w:szCs w:val="21"/>
    </w:rPr>
  </w:style>
  <w:style w:type="paragraph" w:styleId="a9">
    <w:name w:val="annotation text"/>
    <w:basedOn w:val="a"/>
    <w:link w:val="Char2"/>
    <w:uiPriority w:val="99"/>
    <w:semiHidden/>
    <w:unhideWhenUsed/>
    <w:rsid w:val="002A2560"/>
    <w:pPr>
      <w:jc w:val="left"/>
    </w:pPr>
  </w:style>
  <w:style w:type="character" w:customStyle="1" w:styleId="Char2">
    <w:name w:val="批注文字 Char"/>
    <w:basedOn w:val="a0"/>
    <w:link w:val="a9"/>
    <w:uiPriority w:val="99"/>
    <w:semiHidden/>
    <w:rsid w:val="002A2560"/>
    <w:rPr>
      <w:rFonts w:asciiTheme="minorHAnsi" w:eastAsiaTheme="minorEastAsia" w:hAnsiTheme="minorHAnsi" w:cstheme="minorBidi"/>
      <w:kern w:val="2"/>
      <w:sz w:val="21"/>
      <w:szCs w:val="22"/>
    </w:rPr>
  </w:style>
  <w:style w:type="paragraph" w:styleId="aa">
    <w:name w:val="annotation subject"/>
    <w:basedOn w:val="a9"/>
    <w:next w:val="a9"/>
    <w:link w:val="Char3"/>
    <w:uiPriority w:val="99"/>
    <w:semiHidden/>
    <w:unhideWhenUsed/>
    <w:rsid w:val="002A2560"/>
    <w:rPr>
      <w:b/>
      <w:bCs/>
    </w:rPr>
  </w:style>
  <w:style w:type="character" w:customStyle="1" w:styleId="Char3">
    <w:name w:val="批注主题 Char"/>
    <w:basedOn w:val="Char2"/>
    <w:link w:val="aa"/>
    <w:uiPriority w:val="99"/>
    <w:semiHidden/>
    <w:rsid w:val="002A2560"/>
    <w:rPr>
      <w:rFonts w:asciiTheme="minorHAnsi" w:eastAsiaTheme="minorEastAsia" w:hAnsiTheme="minorHAnsi" w:cstheme="minorBidi"/>
      <w:b/>
      <w:bCs/>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mfchina.com/main/a/20180322/10032623.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mfchina.com/main/a/20180710/10034040.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mfchina.com/" TargetMode="External"/><Relationship Id="rId5" Type="http://schemas.openxmlformats.org/officeDocument/2006/relationships/footnotes" Target="footnotes.xml"/><Relationship Id="rId10" Type="http://schemas.openxmlformats.org/officeDocument/2006/relationships/hyperlink" Target="http://www.cmfchina.com/main/a/20180428/10033534.shtml" TargetMode="External"/><Relationship Id="rId4" Type="http://schemas.openxmlformats.org/officeDocument/2006/relationships/webSettings" Target="webSettings.xml"/><Relationship Id="rId9" Type="http://schemas.openxmlformats.org/officeDocument/2006/relationships/hyperlink" Target="http://www.cmfchina.com/main/a/20180421/10033366.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342</Words>
  <Characters>1954</Characters>
  <Application>Microsoft Office Word</Application>
  <DocSecurity>4</DocSecurity>
  <Lines>16</Lines>
  <Paragraphs>4</Paragraphs>
  <ScaleCrop>false</ScaleCrop>
  <Company/>
  <LinksUpToDate>false</LinksUpToDate>
  <CharactersWithSpaces>2292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许青</dc:creator>
  <cp:lastModifiedBy>ZHONGM</cp:lastModifiedBy>
  <cp:revision>2</cp:revision>
  <dcterms:created xsi:type="dcterms:W3CDTF">2018-09-02T16:33:00Z</dcterms:created>
  <dcterms:modified xsi:type="dcterms:W3CDTF">2018-09-02T16:33:00Z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