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BA9" w:rsidRDefault="00FC3077">
      <w:pPr>
        <w:widowControl/>
        <w:shd w:val="clear" w:color="auto" w:fill="FFFFFF"/>
        <w:spacing w:line="384" w:lineRule="atLeast"/>
        <w:jc w:val="center"/>
        <w:outlineLvl w:val="3"/>
        <w:rPr>
          <w:rFonts w:asciiTheme="majorEastAsia" w:eastAsiaTheme="majorEastAsia" w:hAnsiTheme="majorEastAsia" w:cs="宋体"/>
          <w:kern w:val="0"/>
          <w:sz w:val="27"/>
          <w:szCs w:val="27"/>
        </w:rPr>
      </w:pPr>
      <w:r>
        <w:rPr>
          <w:rFonts w:asciiTheme="majorEastAsia" w:eastAsiaTheme="majorEastAsia" w:hAnsiTheme="majorEastAsia" w:cs="宋体" w:hint="eastAsia"/>
          <w:kern w:val="0"/>
          <w:sz w:val="27"/>
          <w:szCs w:val="27"/>
        </w:rPr>
        <w:t>关于</w:t>
      </w:r>
      <w:r w:rsidR="00843F17">
        <w:rPr>
          <w:rFonts w:asciiTheme="majorEastAsia" w:eastAsiaTheme="majorEastAsia" w:hAnsiTheme="majorEastAsia" w:cs="宋体" w:hint="eastAsia"/>
          <w:kern w:val="0"/>
          <w:sz w:val="27"/>
          <w:szCs w:val="27"/>
        </w:rPr>
        <w:t>永赢量化灵活配置混合型发起式证券投资基金</w:t>
      </w:r>
      <w:r>
        <w:rPr>
          <w:rFonts w:asciiTheme="majorEastAsia" w:eastAsiaTheme="majorEastAsia" w:hAnsiTheme="majorEastAsia" w:cs="宋体" w:hint="eastAsia"/>
          <w:kern w:val="0"/>
          <w:sz w:val="27"/>
          <w:szCs w:val="27"/>
        </w:rPr>
        <w:t>可能触发基金合同终止情形的</w:t>
      </w:r>
      <w:r w:rsidR="006C37E3">
        <w:rPr>
          <w:rFonts w:asciiTheme="majorEastAsia" w:eastAsiaTheme="majorEastAsia" w:hAnsiTheme="majorEastAsia" w:cs="宋体" w:hint="eastAsia"/>
          <w:kern w:val="0"/>
          <w:sz w:val="27"/>
          <w:szCs w:val="27"/>
        </w:rPr>
        <w:t>第二次</w:t>
      </w:r>
      <w:r>
        <w:rPr>
          <w:rFonts w:asciiTheme="majorEastAsia" w:eastAsiaTheme="majorEastAsia" w:hAnsiTheme="majorEastAsia" w:cs="宋体" w:hint="eastAsia"/>
          <w:kern w:val="0"/>
          <w:sz w:val="27"/>
          <w:szCs w:val="27"/>
        </w:rPr>
        <w:t>提示性公告</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根据《中华人民共和国证券投资基金法》、《公开募集证券投资基金运作管理办法》、《</w:t>
      </w:r>
      <w:r w:rsidR="00843F17">
        <w:rPr>
          <w:rFonts w:asciiTheme="minorEastAsia" w:eastAsiaTheme="minorEastAsia" w:hAnsiTheme="minorEastAsia" w:hint="eastAsia"/>
          <w:sz w:val="18"/>
          <w:szCs w:val="18"/>
        </w:rPr>
        <w:t>永赢量化灵活配置混合型发起式证券投资基金</w:t>
      </w:r>
      <w:r>
        <w:rPr>
          <w:rFonts w:asciiTheme="minorEastAsia" w:eastAsiaTheme="minorEastAsia" w:hAnsiTheme="minorEastAsia" w:hint="eastAsia"/>
          <w:sz w:val="18"/>
          <w:szCs w:val="18"/>
        </w:rPr>
        <w:t>基金合同》（以下简称</w:t>
      </w:r>
      <w:r>
        <w:rPr>
          <w:rFonts w:asciiTheme="minorEastAsia" w:eastAsiaTheme="minorEastAsia" w:hAnsiTheme="minorEastAsia" w:cs="Times New Roman"/>
          <w:sz w:val="18"/>
          <w:szCs w:val="18"/>
        </w:rPr>
        <w:t>“</w:t>
      </w:r>
      <w:r>
        <w:rPr>
          <w:rFonts w:asciiTheme="minorEastAsia" w:eastAsiaTheme="minorEastAsia" w:hAnsiTheme="minorEastAsia" w:hint="eastAsia"/>
          <w:sz w:val="18"/>
          <w:szCs w:val="18"/>
        </w:rPr>
        <w:t>基金合同</w:t>
      </w:r>
      <w:r>
        <w:rPr>
          <w:rFonts w:asciiTheme="minorEastAsia" w:eastAsiaTheme="minorEastAsia" w:hAnsiTheme="minorEastAsia" w:cs="Times New Roman"/>
          <w:sz w:val="18"/>
          <w:szCs w:val="18"/>
        </w:rPr>
        <w:t>”</w:t>
      </w:r>
      <w:r>
        <w:rPr>
          <w:rFonts w:asciiTheme="minorEastAsia" w:eastAsiaTheme="minorEastAsia" w:hAnsiTheme="minorEastAsia" w:hint="eastAsia"/>
          <w:sz w:val="18"/>
          <w:szCs w:val="18"/>
        </w:rPr>
        <w:t>）的有关规定，基金合同生效满3年之日</w:t>
      </w:r>
      <w:r w:rsidR="001245DC" w:rsidRPr="001245DC">
        <w:rPr>
          <w:rFonts w:asciiTheme="minorEastAsia" w:eastAsiaTheme="minorEastAsia" w:hAnsiTheme="minorEastAsia" w:hint="eastAsia"/>
          <w:sz w:val="18"/>
          <w:szCs w:val="18"/>
        </w:rPr>
        <w:t>（自基金合同生效之日起3年后的对应日，若该日为非工作日则顺延至下一工作日）</w:t>
      </w:r>
      <w:r>
        <w:rPr>
          <w:rFonts w:asciiTheme="minorEastAsia" w:eastAsiaTheme="minorEastAsia" w:hAnsiTheme="minorEastAsia" w:hint="eastAsia"/>
          <w:sz w:val="18"/>
          <w:szCs w:val="18"/>
        </w:rPr>
        <w:t>，若基金资产净值低于</w:t>
      </w:r>
      <w:r>
        <w:rPr>
          <w:rFonts w:asciiTheme="minorEastAsia" w:eastAsiaTheme="minorEastAsia" w:hAnsiTheme="minorEastAsia" w:cs="Times New Roman"/>
          <w:sz w:val="18"/>
          <w:szCs w:val="18"/>
        </w:rPr>
        <w:t>2</w:t>
      </w:r>
      <w:r>
        <w:rPr>
          <w:rFonts w:asciiTheme="minorEastAsia" w:eastAsiaTheme="minorEastAsia" w:hAnsiTheme="minorEastAsia" w:hint="eastAsia"/>
          <w:sz w:val="18"/>
          <w:szCs w:val="18"/>
        </w:rPr>
        <w:t>亿元，基金合同自动终止，且不得通过召开基金份额持有人大会延续基金合同期限。</w:t>
      </w:r>
    </w:p>
    <w:p w:rsidR="003F2095" w:rsidRDefault="00843F17" w:rsidP="003F2095">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永赢量化灵活配置混合型发起式证券投资基金</w:t>
      </w:r>
      <w:r w:rsidR="00FC3077">
        <w:rPr>
          <w:rFonts w:asciiTheme="minorEastAsia" w:eastAsiaTheme="minorEastAsia" w:hAnsiTheme="minorEastAsia" w:hint="eastAsia"/>
          <w:sz w:val="18"/>
          <w:szCs w:val="18"/>
        </w:rPr>
        <w:t>（以下简称</w:t>
      </w:r>
      <w:r w:rsidR="00FC3077">
        <w:rPr>
          <w:rFonts w:asciiTheme="minorEastAsia" w:eastAsiaTheme="minorEastAsia" w:hAnsiTheme="minorEastAsia"/>
          <w:sz w:val="18"/>
          <w:szCs w:val="18"/>
        </w:rPr>
        <w:t>“</w:t>
      </w:r>
      <w:r w:rsidR="00FC3077">
        <w:rPr>
          <w:rFonts w:asciiTheme="minorEastAsia" w:eastAsiaTheme="minorEastAsia" w:hAnsiTheme="minorEastAsia" w:hint="eastAsia"/>
          <w:sz w:val="18"/>
          <w:szCs w:val="18"/>
        </w:rPr>
        <w:t>本基金</w:t>
      </w:r>
      <w:r w:rsidR="00FC3077">
        <w:rPr>
          <w:rFonts w:asciiTheme="minorEastAsia" w:eastAsiaTheme="minorEastAsia" w:hAnsiTheme="minorEastAsia"/>
          <w:sz w:val="18"/>
          <w:szCs w:val="18"/>
        </w:rPr>
        <w:t>”</w:t>
      </w:r>
      <w:r w:rsidR="00FC3077">
        <w:rPr>
          <w:rFonts w:asciiTheme="minorEastAsia" w:eastAsiaTheme="minorEastAsia" w:hAnsiTheme="minorEastAsia" w:hint="eastAsia"/>
          <w:sz w:val="18"/>
          <w:szCs w:val="18"/>
        </w:rPr>
        <w:t>）基金合同生效日为</w:t>
      </w:r>
      <w:r>
        <w:rPr>
          <w:rFonts w:asciiTheme="minorEastAsia" w:eastAsiaTheme="minorEastAsia" w:hAnsiTheme="minorEastAsia" w:cs="Times New Roman"/>
          <w:sz w:val="18"/>
          <w:szCs w:val="18"/>
        </w:rPr>
        <w:t>2015</w:t>
      </w:r>
      <w:r>
        <w:rPr>
          <w:rFonts w:asciiTheme="minorEastAsia" w:eastAsiaTheme="minorEastAsia" w:hAnsiTheme="minorEastAsia" w:hint="eastAsia"/>
          <w:sz w:val="18"/>
          <w:szCs w:val="18"/>
        </w:rPr>
        <w:t>年</w:t>
      </w:r>
      <w:r>
        <w:rPr>
          <w:rFonts w:asciiTheme="minorEastAsia" w:eastAsiaTheme="minorEastAsia" w:hAnsiTheme="minorEastAsia" w:cs="Times New Roman"/>
          <w:sz w:val="18"/>
          <w:szCs w:val="18"/>
        </w:rPr>
        <w:t>9</w:t>
      </w:r>
      <w:r w:rsidR="00FC3077">
        <w:rPr>
          <w:rFonts w:asciiTheme="minorEastAsia" w:eastAsiaTheme="minorEastAsia" w:hAnsiTheme="minorEastAsia" w:hint="eastAsia"/>
          <w:sz w:val="18"/>
          <w:szCs w:val="18"/>
        </w:rPr>
        <w:t>月</w:t>
      </w:r>
      <w:r>
        <w:rPr>
          <w:rFonts w:asciiTheme="minorEastAsia" w:eastAsiaTheme="minorEastAsia" w:hAnsiTheme="minorEastAsia" w:cs="Times New Roman"/>
          <w:sz w:val="18"/>
          <w:szCs w:val="18"/>
        </w:rPr>
        <w:t>1</w:t>
      </w:r>
      <w:r w:rsidR="00FC3077">
        <w:rPr>
          <w:rFonts w:asciiTheme="minorEastAsia" w:eastAsiaTheme="minorEastAsia" w:hAnsiTheme="minorEastAsia" w:hint="eastAsia"/>
          <w:sz w:val="18"/>
          <w:szCs w:val="18"/>
        </w:rPr>
        <w:t>日，</w:t>
      </w:r>
      <w:r w:rsidR="001245DC" w:rsidRPr="001245DC">
        <w:rPr>
          <w:rFonts w:asciiTheme="minorEastAsia" w:eastAsiaTheme="minorEastAsia" w:hAnsiTheme="minorEastAsia" w:hint="eastAsia"/>
          <w:sz w:val="18"/>
          <w:szCs w:val="18"/>
        </w:rPr>
        <w:t>基金合同生效满三年之日为2018年9月1日，因该日为非工作日，故基金合同生效满三年之日顺延至2018年9月3</w:t>
      </w:r>
      <w:r w:rsidR="001245DC">
        <w:rPr>
          <w:rFonts w:asciiTheme="minorEastAsia" w:eastAsiaTheme="minorEastAsia" w:hAnsiTheme="minorEastAsia" w:hint="eastAsia"/>
          <w:sz w:val="18"/>
          <w:szCs w:val="18"/>
        </w:rPr>
        <w:t>日</w:t>
      </w:r>
      <w:r w:rsidR="00FC3077">
        <w:rPr>
          <w:rFonts w:asciiTheme="minorEastAsia" w:eastAsiaTheme="minorEastAsia" w:hAnsiTheme="minorEastAsia" w:hint="eastAsia"/>
          <w:sz w:val="18"/>
          <w:szCs w:val="18"/>
        </w:rPr>
        <w:t>。本基金可能在</w:t>
      </w:r>
      <w:r w:rsidR="00FC3077" w:rsidRPr="003F2095">
        <w:rPr>
          <w:rFonts w:asciiTheme="minorEastAsia" w:eastAsiaTheme="minorEastAsia" w:hAnsiTheme="minorEastAsia"/>
          <w:sz w:val="18"/>
          <w:szCs w:val="18"/>
        </w:rPr>
        <w:t>2018</w:t>
      </w:r>
      <w:r w:rsidR="00FC3077">
        <w:rPr>
          <w:rFonts w:asciiTheme="minorEastAsia" w:eastAsiaTheme="minorEastAsia" w:hAnsiTheme="minorEastAsia" w:hint="eastAsia"/>
          <w:sz w:val="18"/>
          <w:szCs w:val="18"/>
        </w:rPr>
        <w:t>年</w:t>
      </w:r>
      <w:r w:rsidRPr="003F2095">
        <w:rPr>
          <w:rFonts w:asciiTheme="minorEastAsia" w:eastAsiaTheme="minorEastAsia" w:hAnsiTheme="minorEastAsia"/>
          <w:sz w:val="18"/>
          <w:szCs w:val="18"/>
        </w:rPr>
        <w:t>9</w:t>
      </w:r>
      <w:r w:rsidR="00FC3077">
        <w:rPr>
          <w:rFonts w:asciiTheme="minorEastAsia" w:eastAsiaTheme="minorEastAsia" w:hAnsiTheme="minorEastAsia" w:hint="eastAsia"/>
          <w:sz w:val="18"/>
          <w:szCs w:val="18"/>
        </w:rPr>
        <w:t>月</w:t>
      </w:r>
      <w:r w:rsidR="001245DC" w:rsidRPr="003F2095">
        <w:rPr>
          <w:rFonts w:asciiTheme="minorEastAsia" w:eastAsiaTheme="minorEastAsia" w:hAnsiTheme="minorEastAsia"/>
          <w:sz w:val="18"/>
          <w:szCs w:val="18"/>
        </w:rPr>
        <w:t>3</w:t>
      </w:r>
      <w:r w:rsidR="00FC3077">
        <w:rPr>
          <w:rFonts w:asciiTheme="minorEastAsia" w:eastAsiaTheme="minorEastAsia" w:hAnsiTheme="minorEastAsia" w:hint="eastAsia"/>
          <w:sz w:val="18"/>
          <w:szCs w:val="18"/>
        </w:rPr>
        <w:t>日日终出现触发基金合同终止的情形。</w:t>
      </w:r>
    </w:p>
    <w:p w:rsidR="003F2095" w:rsidRDefault="003F2095">
      <w:pPr>
        <w:pStyle w:val="a6"/>
        <w:shd w:val="clear" w:color="auto" w:fill="FFFFFF"/>
        <w:spacing w:before="0" w:beforeAutospacing="0" w:after="0" w:afterAutospacing="0" w:line="399" w:lineRule="atLeast"/>
        <w:ind w:firstLine="360"/>
        <w:jc w:val="both"/>
        <w:rPr>
          <w:rFonts w:asciiTheme="minorEastAsia" w:eastAsiaTheme="minorEastAsia" w:hAnsiTheme="minorEastAsia"/>
          <w:sz w:val="18"/>
          <w:szCs w:val="18"/>
        </w:rPr>
      </w:pPr>
      <w:r w:rsidRPr="003F2095">
        <w:rPr>
          <w:rFonts w:asciiTheme="minorEastAsia" w:eastAsiaTheme="minorEastAsia" w:hAnsiTheme="minorEastAsia" w:hint="eastAsia"/>
          <w:sz w:val="18"/>
          <w:szCs w:val="18"/>
        </w:rPr>
        <w:t>永赢基金管理有限公司（以下简称“本基金管理人”）已于2018年</w:t>
      </w:r>
      <w:r>
        <w:rPr>
          <w:rFonts w:asciiTheme="minorEastAsia" w:eastAsiaTheme="minorEastAsia" w:hAnsiTheme="minorEastAsia"/>
          <w:sz w:val="18"/>
          <w:szCs w:val="18"/>
        </w:rPr>
        <w:t>8</w:t>
      </w:r>
      <w:r w:rsidRPr="003F2095">
        <w:rPr>
          <w:rFonts w:asciiTheme="minorEastAsia" w:eastAsiaTheme="minorEastAsia" w:hAnsiTheme="minorEastAsia" w:hint="eastAsia"/>
          <w:sz w:val="18"/>
          <w:szCs w:val="18"/>
        </w:rPr>
        <w:t>月</w:t>
      </w:r>
      <w:r>
        <w:rPr>
          <w:rFonts w:asciiTheme="minorEastAsia" w:eastAsiaTheme="minorEastAsia" w:hAnsiTheme="minorEastAsia"/>
          <w:sz w:val="18"/>
          <w:szCs w:val="18"/>
        </w:rPr>
        <w:t>23</w:t>
      </w:r>
      <w:r w:rsidRPr="003F2095">
        <w:rPr>
          <w:rFonts w:asciiTheme="minorEastAsia" w:eastAsiaTheme="minorEastAsia" w:hAnsiTheme="minorEastAsia" w:hint="eastAsia"/>
          <w:sz w:val="18"/>
          <w:szCs w:val="18"/>
        </w:rPr>
        <w:t>日在《中国证券报》、《上海证券报》、《证券时报》及公司官方网站刊登了《关于</w:t>
      </w:r>
      <w:r>
        <w:rPr>
          <w:rFonts w:asciiTheme="minorEastAsia" w:eastAsiaTheme="minorEastAsia" w:hAnsiTheme="minorEastAsia" w:hint="eastAsia"/>
          <w:sz w:val="18"/>
          <w:szCs w:val="18"/>
        </w:rPr>
        <w:t>永赢量化灵活配置混合型</w:t>
      </w:r>
      <w:r w:rsidRPr="003F2095">
        <w:rPr>
          <w:rFonts w:asciiTheme="minorEastAsia" w:eastAsiaTheme="minorEastAsia" w:hAnsiTheme="minorEastAsia" w:hint="eastAsia"/>
          <w:sz w:val="18"/>
          <w:szCs w:val="18"/>
        </w:rPr>
        <w:t>发起式证券投资基金可能触发基金合同终止情形的第一次提示性公告》。为充分保护基金份额持有人利益，特将本基金相关情况及风险再次提示如下：</w:t>
      </w:r>
    </w:p>
    <w:p w:rsidR="003F2095" w:rsidRDefault="003F2095">
      <w:pPr>
        <w:pStyle w:val="a6"/>
        <w:shd w:val="clear" w:color="auto" w:fill="FFFFFF"/>
        <w:spacing w:before="0" w:beforeAutospacing="0" w:after="0" w:afterAutospacing="0" w:line="399" w:lineRule="atLeast"/>
        <w:ind w:firstLine="360"/>
        <w:jc w:val="both"/>
        <w:rPr>
          <w:rFonts w:asciiTheme="minorEastAsia" w:eastAsiaTheme="minorEastAsia" w:hAnsiTheme="minorEastAsia"/>
          <w:sz w:val="18"/>
          <w:szCs w:val="18"/>
        </w:rPr>
      </w:pPr>
    </w:p>
    <w:p w:rsidR="00B22BA9" w:rsidRDefault="00FC3077">
      <w:pPr>
        <w:pStyle w:val="a6"/>
        <w:shd w:val="clear" w:color="auto" w:fill="FFFFFF"/>
        <w:spacing w:before="0" w:beforeAutospacing="0" w:after="0" w:afterAutospacing="0" w:line="399" w:lineRule="atLeast"/>
        <w:ind w:firstLine="360"/>
        <w:jc w:val="both"/>
        <w:rPr>
          <w:rFonts w:asciiTheme="minorEastAsia" w:eastAsiaTheme="minorEastAsia" w:hAnsiTheme="minorEastAsia"/>
          <w:sz w:val="21"/>
          <w:szCs w:val="21"/>
        </w:rPr>
      </w:pPr>
      <w:r>
        <w:rPr>
          <w:rStyle w:val="a7"/>
          <w:rFonts w:asciiTheme="minorEastAsia" w:eastAsiaTheme="minorEastAsia" w:hAnsiTheme="minorEastAsia" w:hint="eastAsia"/>
          <w:color w:val="000000"/>
          <w:sz w:val="18"/>
          <w:szCs w:val="18"/>
        </w:rPr>
        <w:t>一、本基金基本信息</w:t>
      </w:r>
      <w:bookmarkStart w:id="0" w:name="_GoBack"/>
      <w:bookmarkEnd w:id="0"/>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基金名称：</w:t>
      </w:r>
      <w:r w:rsidR="00843F17">
        <w:rPr>
          <w:rFonts w:asciiTheme="minorEastAsia" w:eastAsiaTheme="minorEastAsia" w:hAnsiTheme="minorEastAsia" w:hint="eastAsia"/>
          <w:sz w:val="18"/>
          <w:szCs w:val="18"/>
        </w:rPr>
        <w:t>永赢量化灵活配置混合型发起式证券投资基金</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简称：</w:t>
      </w:r>
      <w:r w:rsidR="001245DC" w:rsidRPr="001245DC">
        <w:rPr>
          <w:rFonts w:asciiTheme="minorEastAsia" w:eastAsiaTheme="minorEastAsia" w:hAnsiTheme="minorEastAsia" w:hint="eastAsia"/>
          <w:sz w:val="18"/>
          <w:szCs w:val="18"/>
        </w:rPr>
        <w:t>永赢量化灵活配置混合发起式</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基金代码：</w:t>
      </w:r>
      <w:r w:rsidR="00843F17">
        <w:rPr>
          <w:rFonts w:asciiTheme="minorEastAsia" w:eastAsiaTheme="minorEastAsia" w:hAnsiTheme="minorEastAsia"/>
          <w:sz w:val="18"/>
          <w:szCs w:val="18"/>
        </w:rPr>
        <w:t>001754</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基金运作方式：契约型开放式、发起式</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基金合同生效日：</w:t>
      </w:r>
      <w:r w:rsidR="00843F17">
        <w:rPr>
          <w:rFonts w:asciiTheme="minorEastAsia" w:eastAsiaTheme="minorEastAsia" w:hAnsiTheme="minorEastAsia"/>
          <w:sz w:val="18"/>
          <w:szCs w:val="18"/>
        </w:rPr>
        <w:t>2015</w:t>
      </w:r>
      <w:r w:rsidR="00843F17">
        <w:rPr>
          <w:rFonts w:asciiTheme="minorEastAsia" w:eastAsiaTheme="minorEastAsia" w:hAnsiTheme="minorEastAsia" w:hint="eastAsia"/>
          <w:sz w:val="18"/>
          <w:szCs w:val="18"/>
        </w:rPr>
        <w:t>年</w:t>
      </w:r>
      <w:r w:rsidR="00843F17">
        <w:rPr>
          <w:rFonts w:asciiTheme="minorEastAsia" w:eastAsiaTheme="minorEastAsia" w:hAnsiTheme="minorEastAsia"/>
          <w:sz w:val="18"/>
          <w:szCs w:val="18"/>
        </w:rPr>
        <w:t>9</w:t>
      </w:r>
      <w:r>
        <w:rPr>
          <w:rFonts w:asciiTheme="minorEastAsia" w:eastAsiaTheme="minorEastAsia" w:hAnsiTheme="minorEastAsia" w:hint="eastAsia"/>
          <w:sz w:val="18"/>
          <w:szCs w:val="18"/>
        </w:rPr>
        <w:t>月</w:t>
      </w:r>
      <w:r w:rsidR="00843F17">
        <w:rPr>
          <w:rFonts w:asciiTheme="minorEastAsia" w:eastAsiaTheme="minorEastAsia" w:hAnsiTheme="minorEastAsia"/>
          <w:sz w:val="18"/>
          <w:szCs w:val="18"/>
        </w:rPr>
        <w:t>1</w:t>
      </w:r>
      <w:r>
        <w:rPr>
          <w:rFonts w:asciiTheme="minorEastAsia" w:eastAsiaTheme="minorEastAsia" w:hAnsiTheme="minorEastAsia" w:hint="eastAsia"/>
          <w:sz w:val="18"/>
          <w:szCs w:val="18"/>
        </w:rPr>
        <w:t>日</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基金管理人名称：永赢基金管理有限公司</w:t>
      </w:r>
    </w:p>
    <w:p w:rsidR="001245DC" w:rsidRDefault="00FC3077" w:rsidP="00843F1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基金托管人名称：</w:t>
      </w:r>
      <w:r w:rsidR="00843F17" w:rsidRPr="00843F17">
        <w:rPr>
          <w:rFonts w:asciiTheme="minorEastAsia" w:eastAsiaTheme="minorEastAsia" w:hAnsiTheme="minorEastAsia" w:hint="eastAsia"/>
          <w:sz w:val="18"/>
          <w:szCs w:val="18"/>
        </w:rPr>
        <w:t>华泰证券股份有限公司</w:t>
      </w:r>
    </w:p>
    <w:p w:rsidR="00B22BA9" w:rsidRDefault="00FC3077" w:rsidP="00843F17">
      <w:pPr>
        <w:pStyle w:val="a6"/>
        <w:shd w:val="clear" w:color="auto" w:fill="FFFFFF"/>
        <w:spacing w:before="0" w:beforeAutospacing="0" w:after="0" w:afterAutospacing="0" w:line="360" w:lineRule="auto"/>
        <w:ind w:firstLine="360"/>
        <w:jc w:val="both"/>
        <w:rPr>
          <w:rFonts w:asciiTheme="minorEastAsia" w:eastAsiaTheme="minorEastAsia" w:hAnsiTheme="minorEastAsia"/>
          <w:sz w:val="21"/>
          <w:szCs w:val="21"/>
        </w:rPr>
      </w:pPr>
      <w:r>
        <w:rPr>
          <w:rStyle w:val="a7"/>
          <w:rFonts w:asciiTheme="minorEastAsia" w:eastAsiaTheme="minorEastAsia" w:hAnsiTheme="minorEastAsia" w:hint="eastAsia"/>
          <w:color w:val="000000"/>
          <w:sz w:val="18"/>
          <w:szCs w:val="18"/>
        </w:rPr>
        <w:t>二、基金合同终止情形</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《基金合同》</w:t>
      </w:r>
      <w:r>
        <w:rPr>
          <w:rFonts w:asciiTheme="minorEastAsia" w:eastAsiaTheme="minorEastAsia" w:hAnsiTheme="minorEastAsia"/>
          <w:sz w:val="18"/>
          <w:szCs w:val="18"/>
        </w:rPr>
        <w:t>“</w:t>
      </w:r>
      <w:r>
        <w:rPr>
          <w:rFonts w:asciiTheme="minorEastAsia" w:eastAsiaTheme="minorEastAsia" w:hAnsiTheme="minorEastAsia" w:hint="eastAsia"/>
          <w:sz w:val="18"/>
          <w:szCs w:val="18"/>
        </w:rPr>
        <w:t>第五部分</w:t>
      </w:r>
      <w:r>
        <w:rPr>
          <w:rFonts w:hint="eastAsia"/>
          <w:sz w:val="18"/>
          <w:szCs w:val="18"/>
        </w:rPr>
        <w:t> </w:t>
      </w:r>
      <w:r>
        <w:rPr>
          <w:rFonts w:asciiTheme="minorEastAsia" w:eastAsiaTheme="minorEastAsia" w:hAnsiTheme="minorEastAsia" w:hint="eastAsia"/>
          <w:sz w:val="18"/>
          <w:szCs w:val="18"/>
        </w:rPr>
        <w:t>基金备案</w:t>
      </w:r>
      <w:r>
        <w:rPr>
          <w:rFonts w:asciiTheme="minorEastAsia" w:eastAsiaTheme="minorEastAsia" w:hAnsiTheme="minorEastAsia"/>
          <w:sz w:val="18"/>
          <w:szCs w:val="18"/>
        </w:rPr>
        <w:t>”</w:t>
      </w:r>
      <w:r>
        <w:rPr>
          <w:rFonts w:asciiTheme="minorEastAsia" w:eastAsiaTheme="minorEastAsia" w:hAnsiTheme="minorEastAsia" w:hint="eastAsia"/>
          <w:sz w:val="18"/>
          <w:szCs w:val="18"/>
        </w:rPr>
        <w:t>中</w:t>
      </w:r>
      <w:r>
        <w:rPr>
          <w:rFonts w:asciiTheme="minorEastAsia" w:eastAsiaTheme="minorEastAsia" w:hAnsiTheme="minorEastAsia"/>
          <w:sz w:val="18"/>
          <w:szCs w:val="18"/>
        </w:rPr>
        <w:t>“</w:t>
      </w:r>
      <w:r>
        <w:rPr>
          <w:rFonts w:asciiTheme="minorEastAsia" w:eastAsiaTheme="minorEastAsia" w:hAnsiTheme="minorEastAsia" w:hint="eastAsia"/>
          <w:sz w:val="18"/>
          <w:szCs w:val="18"/>
        </w:rPr>
        <w:t>三、基金存续期内的基金份额持有人数量和资产规模</w:t>
      </w:r>
      <w:r>
        <w:rPr>
          <w:rFonts w:asciiTheme="minorEastAsia" w:eastAsiaTheme="minorEastAsia" w:hAnsiTheme="minorEastAsia"/>
          <w:sz w:val="18"/>
          <w:szCs w:val="18"/>
        </w:rPr>
        <w:t>”</w:t>
      </w:r>
      <w:r>
        <w:rPr>
          <w:rFonts w:asciiTheme="minorEastAsia" w:eastAsiaTheme="minorEastAsia" w:hAnsiTheme="minorEastAsia" w:hint="eastAsia"/>
          <w:sz w:val="18"/>
          <w:szCs w:val="18"/>
        </w:rPr>
        <w:t>规定：</w:t>
      </w:r>
      <w:r>
        <w:rPr>
          <w:rFonts w:asciiTheme="minorEastAsia" w:eastAsiaTheme="minorEastAsia" w:hAnsiTheme="minorEastAsia"/>
          <w:sz w:val="18"/>
          <w:szCs w:val="18"/>
        </w:rPr>
        <w:t>“</w:t>
      </w:r>
      <w:r>
        <w:rPr>
          <w:rFonts w:asciiTheme="minorEastAsia" w:eastAsiaTheme="minorEastAsia" w:hAnsiTheme="minorEastAsia" w:hint="eastAsia"/>
          <w:sz w:val="18"/>
          <w:szCs w:val="18"/>
        </w:rPr>
        <w:t>基金合同生效满3年之日（自基金合同生效之日起3年后的对应日，若该日为非工作日则顺延至下一工作日），若基金资产净值低于2亿元，本基金合同自动终止，且不得通过召开基金份额持有人大会延续基金合同期限。</w:t>
      </w:r>
      <w:r>
        <w:rPr>
          <w:rFonts w:asciiTheme="minorEastAsia" w:eastAsiaTheme="minorEastAsia" w:hAnsiTheme="minorEastAsia"/>
          <w:sz w:val="18"/>
          <w:szCs w:val="18"/>
        </w:rPr>
        <w:t>”</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21"/>
          <w:szCs w:val="21"/>
        </w:rPr>
      </w:pPr>
      <w:r>
        <w:rPr>
          <w:rFonts w:asciiTheme="minorEastAsia" w:eastAsiaTheme="minorEastAsia" w:hAnsiTheme="minorEastAsia" w:hint="eastAsia"/>
          <w:sz w:val="18"/>
          <w:szCs w:val="18"/>
        </w:rPr>
        <w:t>本基金基金合同生效日为</w:t>
      </w:r>
      <w:r w:rsidR="00843F17">
        <w:rPr>
          <w:rFonts w:asciiTheme="minorEastAsia" w:eastAsiaTheme="minorEastAsia" w:hAnsiTheme="minorEastAsia"/>
          <w:sz w:val="18"/>
          <w:szCs w:val="18"/>
        </w:rPr>
        <w:t>2015</w:t>
      </w:r>
      <w:r w:rsidR="00843F17">
        <w:rPr>
          <w:rFonts w:asciiTheme="minorEastAsia" w:eastAsiaTheme="minorEastAsia" w:hAnsiTheme="minorEastAsia" w:hint="eastAsia"/>
          <w:sz w:val="18"/>
          <w:szCs w:val="18"/>
        </w:rPr>
        <w:t>年</w:t>
      </w:r>
      <w:r w:rsidR="00843F17">
        <w:rPr>
          <w:rFonts w:asciiTheme="minorEastAsia" w:eastAsiaTheme="minorEastAsia" w:hAnsiTheme="minorEastAsia"/>
          <w:sz w:val="18"/>
          <w:szCs w:val="18"/>
        </w:rPr>
        <w:t>9</w:t>
      </w:r>
      <w:r>
        <w:rPr>
          <w:rFonts w:asciiTheme="minorEastAsia" w:eastAsiaTheme="minorEastAsia" w:hAnsiTheme="minorEastAsia" w:hint="eastAsia"/>
          <w:sz w:val="18"/>
          <w:szCs w:val="18"/>
        </w:rPr>
        <w:t>月</w:t>
      </w:r>
      <w:r w:rsidR="00843F17">
        <w:rPr>
          <w:rFonts w:asciiTheme="minorEastAsia" w:eastAsiaTheme="minorEastAsia" w:hAnsiTheme="minorEastAsia"/>
          <w:sz w:val="18"/>
          <w:szCs w:val="18"/>
        </w:rPr>
        <w:t>1</w:t>
      </w:r>
      <w:r>
        <w:rPr>
          <w:rFonts w:asciiTheme="minorEastAsia" w:eastAsiaTheme="minorEastAsia" w:hAnsiTheme="minorEastAsia" w:hint="eastAsia"/>
          <w:sz w:val="18"/>
          <w:szCs w:val="18"/>
        </w:rPr>
        <w:t>日，</w:t>
      </w:r>
      <w:r w:rsidR="001245DC" w:rsidRPr="001245DC">
        <w:rPr>
          <w:rFonts w:asciiTheme="minorEastAsia" w:eastAsiaTheme="minorEastAsia" w:hAnsiTheme="minorEastAsia" w:hint="eastAsia"/>
          <w:sz w:val="18"/>
          <w:szCs w:val="18"/>
        </w:rPr>
        <w:t>基金合同生效满三年之日为2018年9月1日，因该日为非工作日，故基金合同生效满三年之日顺延至2018年9月3</w:t>
      </w:r>
      <w:r w:rsidR="001245D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。若截至</w:t>
      </w:r>
      <w:r w:rsidR="00843F17">
        <w:rPr>
          <w:rFonts w:asciiTheme="minorEastAsia" w:eastAsiaTheme="minorEastAsia" w:hAnsiTheme="minorEastAsia"/>
          <w:sz w:val="18"/>
          <w:szCs w:val="18"/>
        </w:rPr>
        <w:t>2018</w:t>
      </w:r>
      <w:r w:rsidR="00843F17">
        <w:rPr>
          <w:rFonts w:asciiTheme="minorEastAsia" w:eastAsiaTheme="minorEastAsia" w:hAnsiTheme="minorEastAsia" w:hint="eastAsia"/>
          <w:sz w:val="18"/>
          <w:szCs w:val="18"/>
        </w:rPr>
        <w:t>年</w:t>
      </w:r>
      <w:r w:rsidR="00843F17">
        <w:rPr>
          <w:rFonts w:asciiTheme="minorEastAsia" w:eastAsiaTheme="minorEastAsia" w:hAnsiTheme="minorEastAsia"/>
          <w:sz w:val="18"/>
          <w:szCs w:val="18"/>
        </w:rPr>
        <w:t>9</w:t>
      </w:r>
      <w:r>
        <w:rPr>
          <w:rFonts w:asciiTheme="minorEastAsia" w:eastAsiaTheme="minorEastAsia" w:hAnsiTheme="minorEastAsia" w:hint="eastAsia"/>
          <w:sz w:val="18"/>
          <w:szCs w:val="18"/>
        </w:rPr>
        <w:t>月</w:t>
      </w:r>
      <w:r w:rsidR="001245DC">
        <w:rPr>
          <w:rFonts w:asciiTheme="minorEastAsia" w:eastAsiaTheme="minorEastAsia" w:hAnsiTheme="minorEastAsia"/>
          <w:sz w:val="18"/>
          <w:szCs w:val="18"/>
        </w:rPr>
        <w:t>3</w:t>
      </w:r>
      <w:r>
        <w:rPr>
          <w:rFonts w:asciiTheme="minorEastAsia" w:eastAsiaTheme="minorEastAsia" w:hAnsiTheme="minorEastAsia" w:hint="eastAsia"/>
          <w:sz w:val="18"/>
          <w:szCs w:val="18"/>
        </w:rPr>
        <w:t>日日终，本基金的</w:t>
      </w:r>
      <w:r>
        <w:rPr>
          <w:rFonts w:asciiTheme="minorEastAsia" w:eastAsiaTheme="minorEastAsia" w:hAnsiTheme="minorEastAsia" w:hint="eastAsia"/>
          <w:sz w:val="18"/>
          <w:szCs w:val="18"/>
        </w:rPr>
        <w:lastRenderedPageBreak/>
        <w:t>资产</w:t>
      </w:r>
      <w:r>
        <w:rPr>
          <w:rFonts w:asciiTheme="minorEastAsia" w:eastAsiaTheme="minorEastAsia" w:hAnsiTheme="minorEastAsia"/>
          <w:sz w:val="18"/>
          <w:szCs w:val="18"/>
        </w:rPr>
        <w:t>净值</w:t>
      </w:r>
      <w:r>
        <w:rPr>
          <w:rFonts w:asciiTheme="minorEastAsia" w:eastAsiaTheme="minorEastAsia" w:hAnsiTheme="minorEastAsia" w:hint="eastAsia"/>
          <w:sz w:val="18"/>
          <w:szCs w:val="18"/>
        </w:rPr>
        <w:t>低于</w:t>
      </w:r>
      <w:r>
        <w:rPr>
          <w:rFonts w:asciiTheme="minorEastAsia" w:eastAsiaTheme="minorEastAsia" w:hAnsiTheme="minorEastAsia"/>
          <w:sz w:val="18"/>
          <w:szCs w:val="18"/>
        </w:rPr>
        <w:t>2</w:t>
      </w:r>
      <w:r>
        <w:rPr>
          <w:rFonts w:asciiTheme="minorEastAsia" w:eastAsiaTheme="minorEastAsia" w:hAnsiTheme="minorEastAsia" w:hint="eastAsia"/>
          <w:sz w:val="18"/>
          <w:szCs w:val="18"/>
        </w:rPr>
        <w:t>亿元，根据基金合同约定将依法进入基金财产清算程序，无需召开基金份额持有人大会审议。</w:t>
      </w:r>
    </w:p>
    <w:p w:rsidR="00B22BA9" w:rsidRDefault="00FC3077">
      <w:pPr>
        <w:pStyle w:val="a6"/>
        <w:shd w:val="clear" w:color="auto" w:fill="FFFFFF"/>
        <w:spacing w:before="240" w:beforeAutospacing="0" w:after="0" w:afterAutospacing="0" w:line="399" w:lineRule="atLeast"/>
        <w:ind w:firstLine="360"/>
        <w:jc w:val="both"/>
        <w:rPr>
          <w:rFonts w:asciiTheme="minorEastAsia" w:eastAsiaTheme="minorEastAsia" w:hAnsiTheme="minorEastAsia"/>
          <w:sz w:val="21"/>
          <w:szCs w:val="21"/>
        </w:rPr>
      </w:pPr>
      <w:r>
        <w:rPr>
          <w:rStyle w:val="a7"/>
          <w:rFonts w:asciiTheme="minorEastAsia" w:eastAsiaTheme="minorEastAsia" w:hAnsiTheme="minorEastAsia" w:hint="eastAsia"/>
          <w:color w:val="000000"/>
          <w:sz w:val="18"/>
          <w:szCs w:val="18"/>
        </w:rPr>
        <w:t>三、风险提示</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、若出现触发基金合同终止的情形，基金管理人将根据相关法律法规、基金合同等规定成立基金财产清算小组，履行基金财产清算程序。</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、本基金已于</w:t>
      </w:r>
      <w:r w:rsidR="007E798E">
        <w:rPr>
          <w:rFonts w:asciiTheme="minorEastAsia" w:eastAsiaTheme="minorEastAsia" w:hAnsiTheme="minorEastAsia"/>
          <w:sz w:val="18"/>
          <w:szCs w:val="18"/>
        </w:rPr>
        <w:t>2018</w:t>
      </w:r>
      <w:r w:rsidR="007E798E">
        <w:rPr>
          <w:rFonts w:asciiTheme="minorEastAsia" w:eastAsiaTheme="minorEastAsia" w:hAnsiTheme="minorEastAsia" w:hint="eastAsia"/>
          <w:sz w:val="18"/>
          <w:szCs w:val="18"/>
        </w:rPr>
        <w:t>年</w:t>
      </w:r>
      <w:r w:rsidR="007E798E">
        <w:rPr>
          <w:rFonts w:asciiTheme="minorEastAsia" w:eastAsiaTheme="minorEastAsia" w:hAnsiTheme="minorEastAsia"/>
          <w:sz w:val="18"/>
          <w:szCs w:val="18"/>
        </w:rPr>
        <w:t>8</w:t>
      </w:r>
      <w:r>
        <w:rPr>
          <w:rFonts w:asciiTheme="minorEastAsia" w:eastAsiaTheme="minorEastAsia" w:hAnsiTheme="minorEastAsia" w:hint="eastAsia"/>
          <w:sz w:val="18"/>
          <w:szCs w:val="18"/>
        </w:rPr>
        <w:t>月</w:t>
      </w:r>
      <w:r w:rsidR="007E798E">
        <w:rPr>
          <w:rFonts w:asciiTheme="minorEastAsia" w:eastAsiaTheme="minorEastAsia" w:hAnsiTheme="minorEastAsia"/>
          <w:sz w:val="18"/>
          <w:szCs w:val="18"/>
        </w:rPr>
        <w:t>22</w:t>
      </w:r>
      <w:r>
        <w:rPr>
          <w:rFonts w:asciiTheme="minorEastAsia" w:eastAsiaTheme="minorEastAsia" w:hAnsiTheme="minorEastAsia" w:hint="eastAsia"/>
          <w:sz w:val="18"/>
          <w:szCs w:val="18"/>
        </w:rPr>
        <w:t>日起暂停申购、转换转入业务，具体请参见本公司在指定媒介发布的相关公告；本基金正式进入清算程序前</w:t>
      </w:r>
      <w:r>
        <w:rPr>
          <w:rFonts w:asciiTheme="minorEastAsia" w:eastAsiaTheme="minorEastAsia" w:hAnsiTheme="minorEastAsia"/>
          <w:sz w:val="18"/>
          <w:szCs w:val="18"/>
        </w:rPr>
        <w:t>(</w:t>
      </w:r>
      <w:r>
        <w:rPr>
          <w:rFonts w:asciiTheme="minorEastAsia" w:eastAsiaTheme="minorEastAsia" w:hAnsiTheme="minorEastAsia" w:hint="eastAsia"/>
          <w:sz w:val="18"/>
          <w:szCs w:val="18"/>
        </w:rPr>
        <w:t>最后一个开放日为</w:t>
      </w:r>
      <w:r w:rsidR="007E798E">
        <w:rPr>
          <w:rFonts w:asciiTheme="minorEastAsia" w:eastAsiaTheme="minorEastAsia" w:hAnsiTheme="minorEastAsia"/>
          <w:sz w:val="18"/>
          <w:szCs w:val="18"/>
        </w:rPr>
        <w:t>2018</w:t>
      </w:r>
      <w:r w:rsidR="007E798E">
        <w:rPr>
          <w:rFonts w:asciiTheme="minorEastAsia" w:eastAsiaTheme="minorEastAsia" w:hAnsiTheme="minorEastAsia" w:hint="eastAsia"/>
          <w:sz w:val="18"/>
          <w:szCs w:val="18"/>
        </w:rPr>
        <w:t>年</w:t>
      </w:r>
      <w:r w:rsidR="00CF2469">
        <w:rPr>
          <w:rFonts w:asciiTheme="minorEastAsia" w:eastAsiaTheme="minorEastAsia" w:hAnsiTheme="minorEastAsia"/>
          <w:sz w:val="18"/>
          <w:szCs w:val="18"/>
        </w:rPr>
        <w:t>9</w:t>
      </w:r>
      <w:r w:rsidR="007E798E">
        <w:rPr>
          <w:rFonts w:asciiTheme="minorEastAsia" w:eastAsiaTheme="minorEastAsia" w:hAnsiTheme="minorEastAsia" w:hint="eastAsia"/>
          <w:sz w:val="18"/>
          <w:szCs w:val="18"/>
        </w:rPr>
        <w:t>月</w:t>
      </w:r>
      <w:r w:rsidR="007E798E">
        <w:rPr>
          <w:rFonts w:asciiTheme="minorEastAsia" w:eastAsiaTheme="minorEastAsia" w:hAnsiTheme="minorEastAsia"/>
          <w:sz w:val="18"/>
          <w:szCs w:val="18"/>
        </w:rPr>
        <w:t>3</w:t>
      </w:r>
      <w:r>
        <w:rPr>
          <w:rFonts w:asciiTheme="minorEastAsia" w:eastAsiaTheme="minorEastAsia" w:hAnsiTheme="minorEastAsia" w:hint="eastAsia"/>
          <w:sz w:val="18"/>
          <w:szCs w:val="18"/>
        </w:rPr>
        <w:t>日</w:t>
      </w:r>
      <w:r>
        <w:rPr>
          <w:rFonts w:asciiTheme="minorEastAsia" w:eastAsiaTheme="minorEastAsia" w:hAnsiTheme="minorEastAsia"/>
          <w:sz w:val="18"/>
          <w:szCs w:val="18"/>
        </w:rPr>
        <w:t>)</w:t>
      </w:r>
      <w:r>
        <w:rPr>
          <w:rFonts w:asciiTheme="minorEastAsia" w:eastAsiaTheme="minorEastAsia" w:hAnsiTheme="minorEastAsia" w:hint="eastAsia"/>
          <w:sz w:val="18"/>
          <w:szCs w:val="18"/>
        </w:rPr>
        <w:t>，仍然正常开放赎回、转换转出业务；本基金正式进入清算程序后，投资者将无法办理本基金的申购、赎回等业务。敬请投资者注意投资风险，妥善做好投资安排。</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本基金进入清算程序前，基金份额持有人申请赎回其持有的基金份额仍按照《基金合同》、《招募说明书》的约定进行。但如果发生了巨额赎回等情形，基金管理人可根据上述基金法律文件及实际情况采取全额赎回或部分延期赎回等措施。同时，基金管理人也会提前做好流动性安排，对资产进行变现以应对可能的赎回。</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21"/>
          <w:szCs w:val="21"/>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、本公告的解释权归永赢基金管理有限公司所有。投资者可登陆本公司官方网站（</w:t>
      </w:r>
      <w:r>
        <w:rPr>
          <w:rFonts w:asciiTheme="minorEastAsia" w:eastAsiaTheme="minorEastAsia" w:hAnsiTheme="minorEastAsia"/>
          <w:sz w:val="18"/>
          <w:szCs w:val="18"/>
        </w:rPr>
        <w:t>www.maxwealthfund.com</w:t>
      </w:r>
      <w:r>
        <w:rPr>
          <w:rFonts w:asciiTheme="minorEastAsia" w:eastAsiaTheme="minorEastAsia" w:hAnsiTheme="minorEastAsia" w:hint="eastAsia"/>
          <w:sz w:val="18"/>
          <w:szCs w:val="18"/>
        </w:rPr>
        <w:t>）或拨打本公司客户服务电话（</w:t>
      </w:r>
      <w:r>
        <w:rPr>
          <w:rFonts w:asciiTheme="minorEastAsia" w:eastAsiaTheme="minorEastAsia" w:hAnsiTheme="minorEastAsia"/>
          <w:sz w:val="18"/>
          <w:szCs w:val="18"/>
        </w:rPr>
        <w:t>021-51690111</w:t>
      </w:r>
      <w:r>
        <w:rPr>
          <w:rFonts w:asciiTheme="minorEastAsia" w:eastAsiaTheme="minorEastAsia" w:hAnsiTheme="minorEastAsia" w:hint="eastAsia"/>
          <w:sz w:val="18"/>
          <w:szCs w:val="18"/>
        </w:rPr>
        <w:t>）进行详细咨询。</w:t>
      </w:r>
    </w:p>
    <w:p w:rsidR="00B22BA9" w:rsidRDefault="00FC3077">
      <w:pPr>
        <w:pStyle w:val="a6"/>
        <w:shd w:val="clear" w:color="auto" w:fill="FFFFFF"/>
        <w:spacing w:before="0" w:beforeAutospacing="0" w:after="420" w:afterAutospacing="0" w:line="399" w:lineRule="atLeast"/>
        <w:ind w:firstLine="360"/>
        <w:jc w:val="both"/>
        <w:rPr>
          <w:rFonts w:asciiTheme="minorEastAsia" w:eastAsiaTheme="minorEastAsia" w:hAnsiTheme="minorEastAsia"/>
          <w:sz w:val="21"/>
          <w:szCs w:val="21"/>
        </w:rPr>
      </w:pPr>
      <w:r>
        <w:rPr>
          <w:rFonts w:asciiTheme="minorEastAsia" w:eastAsiaTheme="minorEastAsia" w:hAnsiTheme="minorEastAsia" w:cs="Times New Roman"/>
          <w:sz w:val="18"/>
          <w:szCs w:val="18"/>
        </w:rPr>
        <w:t> </w:t>
      </w:r>
    </w:p>
    <w:p w:rsidR="00B22BA9" w:rsidRDefault="00FC3077">
      <w:pPr>
        <w:pStyle w:val="a6"/>
        <w:shd w:val="clear" w:color="auto" w:fill="FFFFFF"/>
        <w:spacing w:before="0" w:beforeAutospacing="0" w:after="420" w:afterAutospacing="0" w:line="399" w:lineRule="atLeast"/>
        <w:ind w:firstLine="360"/>
        <w:jc w:val="right"/>
        <w:rPr>
          <w:rFonts w:asciiTheme="minorEastAsia" w:eastAsiaTheme="minorEastAsia" w:hAnsiTheme="minorEastAsia"/>
          <w:sz w:val="21"/>
          <w:szCs w:val="21"/>
        </w:rPr>
      </w:pPr>
      <w:r>
        <w:rPr>
          <w:rFonts w:asciiTheme="minorEastAsia" w:eastAsiaTheme="minorEastAsia" w:hAnsiTheme="minorEastAsia" w:hint="eastAsia"/>
          <w:sz w:val="18"/>
          <w:szCs w:val="18"/>
        </w:rPr>
        <w:t>永赢基金管理有限公司</w:t>
      </w:r>
      <w:r>
        <w:rPr>
          <w:rFonts w:asciiTheme="minorEastAsia" w:eastAsiaTheme="minorEastAsia" w:hAnsiTheme="minorEastAsia" w:hint="eastAsia"/>
          <w:sz w:val="18"/>
          <w:szCs w:val="18"/>
        </w:rPr>
        <w:br/>
      </w:r>
      <w:r w:rsidR="004A4AE6">
        <w:rPr>
          <w:rFonts w:asciiTheme="minorEastAsia" w:eastAsiaTheme="minorEastAsia" w:hAnsiTheme="minorEastAsia" w:hint="eastAsia"/>
          <w:sz w:val="18"/>
          <w:szCs w:val="18"/>
        </w:rPr>
        <w:t>二〇一八年八月二十八日</w:t>
      </w:r>
    </w:p>
    <w:p w:rsidR="00B22BA9" w:rsidRPr="00CF2469" w:rsidRDefault="00B22BA9">
      <w:pPr>
        <w:rPr>
          <w:rFonts w:asciiTheme="minorEastAsia" w:hAnsiTheme="minorEastAsia"/>
        </w:rPr>
      </w:pPr>
    </w:p>
    <w:sectPr w:rsidR="00B22BA9" w:rsidRPr="00CF2469" w:rsidSect="00F975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2E1" w:rsidRDefault="004372E1" w:rsidP="00577BB6">
      <w:r>
        <w:separator/>
      </w:r>
    </w:p>
  </w:endnote>
  <w:endnote w:type="continuationSeparator" w:id="1">
    <w:p w:rsidR="004372E1" w:rsidRDefault="004372E1" w:rsidP="00577B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2E1" w:rsidRDefault="004372E1" w:rsidP="00577BB6">
      <w:r>
        <w:separator/>
      </w:r>
    </w:p>
  </w:footnote>
  <w:footnote w:type="continuationSeparator" w:id="1">
    <w:p w:rsidR="004372E1" w:rsidRDefault="004372E1" w:rsidP="00577B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54AF"/>
    <w:rsid w:val="00010FBB"/>
    <w:rsid w:val="00096A3B"/>
    <w:rsid w:val="000C3BCC"/>
    <w:rsid w:val="000C6C24"/>
    <w:rsid w:val="00104D59"/>
    <w:rsid w:val="001245DC"/>
    <w:rsid w:val="00142B80"/>
    <w:rsid w:val="00144BF0"/>
    <w:rsid w:val="001C4A84"/>
    <w:rsid w:val="00212775"/>
    <w:rsid w:val="0033645D"/>
    <w:rsid w:val="00387E8F"/>
    <w:rsid w:val="003D0917"/>
    <w:rsid w:val="003F2095"/>
    <w:rsid w:val="004372E1"/>
    <w:rsid w:val="00437FE2"/>
    <w:rsid w:val="00451A0B"/>
    <w:rsid w:val="004A4AE6"/>
    <w:rsid w:val="004B21EE"/>
    <w:rsid w:val="004D017B"/>
    <w:rsid w:val="00560E51"/>
    <w:rsid w:val="00577BB6"/>
    <w:rsid w:val="00597470"/>
    <w:rsid w:val="005F0FF9"/>
    <w:rsid w:val="005F1DAF"/>
    <w:rsid w:val="005F448A"/>
    <w:rsid w:val="006729A5"/>
    <w:rsid w:val="00673CB2"/>
    <w:rsid w:val="006C37E3"/>
    <w:rsid w:val="00781F33"/>
    <w:rsid w:val="007E798E"/>
    <w:rsid w:val="007E7FEA"/>
    <w:rsid w:val="00843F17"/>
    <w:rsid w:val="00887A09"/>
    <w:rsid w:val="00951FD3"/>
    <w:rsid w:val="009C149B"/>
    <w:rsid w:val="009C2C14"/>
    <w:rsid w:val="00A265D6"/>
    <w:rsid w:val="00A324A5"/>
    <w:rsid w:val="00B22BA9"/>
    <w:rsid w:val="00B635DD"/>
    <w:rsid w:val="00BB2094"/>
    <w:rsid w:val="00BD62E6"/>
    <w:rsid w:val="00C01B55"/>
    <w:rsid w:val="00C53F7D"/>
    <w:rsid w:val="00CA5C01"/>
    <w:rsid w:val="00CF2469"/>
    <w:rsid w:val="00D0318A"/>
    <w:rsid w:val="00D42EC0"/>
    <w:rsid w:val="00D654AF"/>
    <w:rsid w:val="00DC5A6C"/>
    <w:rsid w:val="00E27446"/>
    <w:rsid w:val="00E4257D"/>
    <w:rsid w:val="00EE349F"/>
    <w:rsid w:val="00F462D6"/>
    <w:rsid w:val="00F975D2"/>
    <w:rsid w:val="00FC3077"/>
    <w:rsid w:val="028C7EF8"/>
    <w:rsid w:val="6648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5D2"/>
    <w:pPr>
      <w:widowControl w:val="0"/>
      <w:jc w:val="both"/>
    </w:pPr>
    <w:rPr>
      <w:kern w:val="2"/>
      <w:sz w:val="21"/>
      <w:szCs w:val="22"/>
    </w:rPr>
  </w:style>
  <w:style w:type="paragraph" w:styleId="4">
    <w:name w:val="heading 4"/>
    <w:basedOn w:val="a"/>
    <w:next w:val="a"/>
    <w:link w:val="4Char"/>
    <w:uiPriority w:val="9"/>
    <w:qFormat/>
    <w:rsid w:val="00F975D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975D2"/>
    <w:rPr>
      <w:sz w:val="18"/>
      <w:szCs w:val="18"/>
    </w:rPr>
  </w:style>
  <w:style w:type="paragraph" w:styleId="a4">
    <w:name w:val="footer"/>
    <w:basedOn w:val="a"/>
    <w:link w:val="Char0"/>
    <w:uiPriority w:val="99"/>
    <w:unhideWhenUsed/>
    <w:qFormat/>
    <w:rsid w:val="00F975D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975D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975D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975D2"/>
    <w:rPr>
      <w:b/>
      <w:bCs/>
    </w:rPr>
  </w:style>
  <w:style w:type="character" w:customStyle="1" w:styleId="4Char">
    <w:name w:val="标题 4 Char"/>
    <w:basedOn w:val="a0"/>
    <w:link w:val="4"/>
    <w:uiPriority w:val="9"/>
    <w:rsid w:val="00F975D2"/>
    <w:rPr>
      <w:rFonts w:ascii="宋体" w:eastAsia="宋体" w:hAnsi="宋体" w:cs="宋体"/>
      <w:b/>
      <w:bCs/>
      <w:kern w:val="0"/>
      <w:sz w:val="24"/>
      <w:szCs w:val="24"/>
    </w:rPr>
  </w:style>
  <w:style w:type="character" w:customStyle="1" w:styleId="apple-converted-space">
    <w:name w:val="apple-converted-space"/>
    <w:basedOn w:val="a0"/>
    <w:qFormat/>
    <w:rsid w:val="00F975D2"/>
  </w:style>
  <w:style w:type="character" w:customStyle="1" w:styleId="Char1">
    <w:name w:val="页眉 Char"/>
    <w:basedOn w:val="a0"/>
    <w:link w:val="a5"/>
    <w:uiPriority w:val="99"/>
    <w:rsid w:val="00F975D2"/>
    <w:rPr>
      <w:sz w:val="18"/>
      <w:szCs w:val="18"/>
    </w:rPr>
  </w:style>
  <w:style w:type="character" w:customStyle="1" w:styleId="Char0">
    <w:name w:val="页脚 Char"/>
    <w:basedOn w:val="a0"/>
    <w:link w:val="a4"/>
    <w:uiPriority w:val="99"/>
    <w:qFormat/>
    <w:rsid w:val="00F975D2"/>
    <w:rPr>
      <w:sz w:val="18"/>
      <w:szCs w:val="18"/>
    </w:rPr>
  </w:style>
  <w:style w:type="character" w:customStyle="1" w:styleId="Char">
    <w:name w:val="批注框文本 Char"/>
    <w:basedOn w:val="a0"/>
    <w:link w:val="a3"/>
    <w:uiPriority w:val="99"/>
    <w:semiHidden/>
    <w:qFormat/>
    <w:rsid w:val="00F975D2"/>
    <w:rPr>
      <w:sz w:val="18"/>
      <w:szCs w:val="18"/>
    </w:rPr>
  </w:style>
  <w:style w:type="character" w:styleId="a8">
    <w:name w:val="annotation reference"/>
    <w:basedOn w:val="a0"/>
    <w:uiPriority w:val="99"/>
    <w:semiHidden/>
    <w:unhideWhenUsed/>
    <w:rsid w:val="00010FBB"/>
    <w:rPr>
      <w:sz w:val="21"/>
      <w:szCs w:val="21"/>
    </w:rPr>
  </w:style>
  <w:style w:type="paragraph" w:styleId="a9">
    <w:name w:val="annotation text"/>
    <w:basedOn w:val="a"/>
    <w:link w:val="Char2"/>
    <w:uiPriority w:val="99"/>
    <w:semiHidden/>
    <w:unhideWhenUsed/>
    <w:rsid w:val="00010FBB"/>
    <w:pPr>
      <w:jc w:val="left"/>
    </w:pPr>
  </w:style>
  <w:style w:type="character" w:customStyle="1" w:styleId="Char2">
    <w:name w:val="批注文字 Char"/>
    <w:basedOn w:val="a0"/>
    <w:link w:val="a9"/>
    <w:uiPriority w:val="99"/>
    <w:semiHidden/>
    <w:rsid w:val="00010FBB"/>
    <w:rPr>
      <w:kern w:val="2"/>
      <w:sz w:val="21"/>
      <w:szCs w:val="22"/>
    </w:rPr>
  </w:style>
  <w:style w:type="paragraph" w:styleId="aa">
    <w:name w:val="annotation subject"/>
    <w:basedOn w:val="a9"/>
    <w:next w:val="a9"/>
    <w:link w:val="Char3"/>
    <w:uiPriority w:val="99"/>
    <w:semiHidden/>
    <w:unhideWhenUsed/>
    <w:rsid w:val="00010FBB"/>
    <w:rPr>
      <w:b/>
      <w:bCs/>
    </w:rPr>
  </w:style>
  <w:style w:type="character" w:customStyle="1" w:styleId="Char3">
    <w:name w:val="批注主题 Char"/>
    <w:basedOn w:val="Char2"/>
    <w:link w:val="aa"/>
    <w:uiPriority w:val="99"/>
    <w:semiHidden/>
    <w:rsid w:val="00010FBB"/>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1225</Characters>
  <Application>Microsoft Office Word</Application>
  <DocSecurity>4</DocSecurity>
  <Lines>10</Lines>
  <Paragraphs>2</Paragraphs>
  <ScaleCrop>false</ScaleCrop>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hunj</dc:creator>
  <cp:lastModifiedBy>ZHONGM</cp:lastModifiedBy>
  <cp:revision>2</cp:revision>
  <dcterms:created xsi:type="dcterms:W3CDTF">2018-08-27T16:35:00Z</dcterms:created>
  <dcterms:modified xsi:type="dcterms:W3CDTF">2018-08-27T16:35:00Z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