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上投摩根安腾回报混合型证券投资基金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2018</w:t>
      </w:r>
      <w:r w:rsidRPr="00D46E57">
        <w:rPr>
          <w:rFonts w:eastAsiaTheme="minorEastAsia"/>
          <w:b/>
          <w:sz w:val="36"/>
          <w:szCs w:val="36"/>
        </w:rPr>
        <w:t>年半年度报告</w:t>
      </w:r>
      <w:r w:rsidR="00F57286">
        <w:rPr>
          <w:rFonts w:eastAsiaTheme="minorEastAsia" w:hint="eastAsia"/>
          <w:b/>
          <w:sz w:val="36"/>
          <w:szCs w:val="36"/>
        </w:rPr>
        <w:t>摘要</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2018</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基金托管人：北京银行股份有限公司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报告送出日期：二〇一八年八月二十七日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0" w:name="_Toc225498243"/>
      <w:bookmarkStart w:id="1" w:name="_Toc374532289"/>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374532290"/>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BD7683" w:rsidRDefault="00CB0B4B">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BD7683" w:rsidRDefault="00CB0B4B">
      <w:pPr>
        <w:spacing w:line="360" w:lineRule="auto"/>
        <w:ind w:firstLineChars="200" w:firstLine="420"/>
        <w:rPr>
          <w:rFonts w:eastAsiaTheme="minorEastAsia"/>
          <w:color w:val="000000"/>
          <w:szCs w:val="21"/>
        </w:rPr>
      </w:pPr>
      <w:r>
        <w:rPr>
          <w:rFonts w:eastAsiaTheme="minorEastAsia"/>
          <w:color w:val="000000"/>
          <w:szCs w:val="21"/>
        </w:rPr>
        <w:t>基金托管人北京银行股份有限公司根据本基金合同规定，于</w:t>
      </w:r>
      <w:r>
        <w:rPr>
          <w:rFonts w:eastAsiaTheme="minorEastAsia"/>
          <w:color w:val="000000"/>
          <w:szCs w:val="21"/>
        </w:rPr>
        <w:t>2018</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24</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p>
    <w:p w:rsidR="00BD7683" w:rsidRDefault="00CB0B4B">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p>
    <w:p w:rsidR="00BD7683" w:rsidRDefault="00CB0B4B">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F57286" w:rsidRDefault="00F57286">
      <w:pPr>
        <w:spacing w:line="360" w:lineRule="auto"/>
        <w:ind w:firstLineChars="200" w:firstLine="420"/>
        <w:rPr>
          <w:rFonts w:eastAsiaTheme="minorEastAsia"/>
          <w:color w:val="000000"/>
          <w:szCs w:val="21"/>
        </w:rPr>
      </w:pPr>
      <w:r>
        <w:rPr>
          <w:rFonts w:hAnsi="宋体" w:hint="eastAsia"/>
          <w:color w:val="000000"/>
          <w:szCs w:val="21"/>
        </w:rPr>
        <w:t>本半年度报告摘要摘自半年度报告正文，投资者欲了解详细内容，应阅读半年度报告正文。</w:t>
      </w:r>
    </w:p>
    <w:p w:rsidR="00BD7683" w:rsidRDefault="00CB0B4B">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2</w:t>
      </w:r>
      <w:r w:rsidRPr="00D46E57">
        <w:rPr>
          <w:rFonts w:eastAsiaTheme="minorEastAsia"/>
          <w:color w:val="000000"/>
          <w:szCs w:val="21"/>
        </w:rPr>
        <w:t>月</w:t>
      </w:r>
      <w:r w:rsidRPr="00D46E57">
        <w:rPr>
          <w:rFonts w:eastAsiaTheme="minorEastAsia"/>
          <w:color w:val="000000"/>
          <w:szCs w:val="21"/>
        </w:rPr>
        <w:t>27</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227CBE">
      <w:pPr>
        <w:spacing w:line="288" w:lineRule="auto"/>
        <w:rPr>
          <w:rFonts w:eastAsiaTheme="minorEastAsia"/>
          <w:b/>
          <w:color w:val="000000"/>
          <w:kern w:val="0"/>
          <w:szCs w:val="21"/>
        </w:rPr>
      </w:pPr>
      <w:r w:rsidRPr="00D46E57">
        <w:rPr>
          <w:rFonts w:eastAsiaTheme="minorEastAsia"/>
          <w:szCs w:val="21"/>
        </w:rPr>
        <w:br w:type="page"/>
      </w:r>
    </w:p>
    <w:p w:rsidR="001548F9" w:rsidRPr="00D46E57" w:rsidRDefault="001548F9" w:rsidP="00610409">
      <w:pPr>
        <w:pStyle w:val="1"/>
        <w:keepNext/>
        <w:keepLines/>
        <w:widowControl w:val="0"/>
        <w:spacing w:beforeLines="100" w:afterLines="100" w:line="360" w:lineRule="auto"/>
        <w:jc w:val="center"/>
        <w:rPr>
          <w:rFonts w:eastAsiaTheme="minorEastAsia"/>
          <w:sz w:val="21"/>
          <w:szCs w:val="21"/>
          <w:lang w:val="en-US"/>
        </w:rPr>
      </w:pPr>
      <w:bookmarkStart w:id="3" w:name="_Toc225498244"/>
      <w:bookmarkStart w:id="4" w:name="_Toc374532291"/>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3"/>
      <w:bookmarkEnd w:id="4"/>
    </w:p>
    <w:p w:rsidR="001548F9" w:rsidRPr="00D46E57" w:rsidRDefault="00D466BE" w:rsidP="005B0EAD">
      <w:pPr>
        <w:pStyle w:val="20"/>
        <w:spacing w:before="0" w:after="0"/>
        <w:rPr>
          <w:rFonts w:ascii="Times New Roman" w:eastAsiaTheme="minorEastAsia" w:hAnsi="Times New Roman"/>
          <w:color w:val="000000"/>
          <w:sz w:val="21"/>
          <w:szCs w:val="21"/>
        </w:rPr>
      </w:pPr>
      <w:bookmarkStart w:id="5" w:name="_Toc374532292"/>
      <w:r w:rsidRPr="00D46E57">
        <w:rPr>
          <w:rFonts w:ascii="Times New Roman" w:eastAsiaTheme="minorEastAsia" w:hAnsi="Times New Roman"/>
          <w:kern w:val="0"/>
          <w:sz w:val="21"/>
          <w:szCs w:val="21"/>
        </w:rPr>
        <w:t>2.1</w:t>
      </w:r>
      <w:r w:rsidR="001548F9" w:rsidRPr="00D46E57">
        <w:rPr>
          <w:rFonts w:ascii="Times New Roman" w:eastAsiaTheme="minorEastAsia" w:hAnsi="Times New Roman"/>
          <w:color w:val="000000"/>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上投摩根安腾回报混合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004778</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004778</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北京银行股份有限公司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1,769,656.01</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上投摩根安腾回报混合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上投摩根安腾回报混合</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004778</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004779</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1,042,874.01</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726,782.00</w:t>
            </w:r>
            <w:r w:rsidRPr="00D46E57">
              <w:rPr>
                <w:rFonts w:eastAsiaTheme="minorEastAsia"/>
                <w:szCs w:val="21"/>
              </w:rPr>
              <w:t>份</w:t>
            </w:r>
          </w:p>
        </w:tc>
      </w:tr>
    </w:tbl>
    <w:p w:rsidR="001548F9" w:rsidRPr="00D46E57" w:rsidRDefault="00D466BE" w:rsidP="00610409">
      <w:pPr>
        <w:pStyle w:val="20"/>
        <w:spacing w:beforeLines="100" w:after="0"/>
        <w:jc w:val="left"/>
        <w:rPr>
          <w:rFonts w:ascii="Times New Roman" w:eastAsiaTheme="minorEastAsia" w:hAnsi="Times New Roman"/>
          <w:color w:val="000000"/>
          <w:sz w:val="21"/>
          <w:szCs w:val="21"/>
        </w:rPr>
      </w:pPr>
      <w:bookmarkStart w:id="6" w:name="_Toc374532293"/>
      <w:r w:rsidRPr="00D46E57">
        <w:rPr>
          <w:rFonts w:ascii="Times New Roman" w:eastAsiaTheme="minorEastAsia" w:hAnsi="Times New Roman"/>
          <w:kern w:val="0"/>
          <w:sz w:val="21"/>
          <w:szCs w:val="21"/>
        </w:rPr>
        <w:t>2.2</w:t>
      </w:r>
      <w:r w:rsidR="001548F9" w:rsidRPr="00D46E57">
        <w:rPr>
          <w:rFonts w:ascii="Times New Roman" w:eastAsiaTheme="minorEastAsia" w:hAnsi="Times New Roman"/>
          <w:color w:val="00000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以追求稳健收益作为基金的投资目标，通过严格的风险控制，力争实现基金资产的稳健增值。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BD7683" w:rsidRDefault="00CB0B4B">
            <w:pPr>
              <w:rPr>
                <w:rFonts w:eastAsiaTheme="minorEastAsia"/>
                <w:szCs w:val="21"/>
              </w:rPr>
            </w:pPr>
            <w:r>
              <w:rPr>
                <w:rFonts w:eastAsiaTheme="minorEastAsia"/>
                <w:szCs w:val="21"/>
              </w:rPr>
              <w:t>1</w:t>
            </w:r>
            <w:r>
              <w:rPr>
                <w:rFonts w:eastAsiaTheme="minorEastAsia"/>
                <w:szCs w:val="21"/>
              </w:rPr>
              <w:t>、资产配置策略</w:t>
            </w:r>
          </w:p>
          <w:p w:rsidR="00BD7683" w:rsidRDefault="00CB0B4B">
            <w:pPr>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BD7683" w:rsidRDefault="00CB0B4B">
            <w:pPr>
              <w:rPr>
                <w:rFonts w:eastAsiaTheme="minorEastAsia"/>
                <w:szCs w:val="21"/>
              </w:rPr>
            </w:pPr>
            <w:r>
              <w:rPr>
                <w:rFonts w:eastAsiaTheme="minorEastAsia"/>
                <w:szCs w:val="21"/>
              </w:rPr>
              <w:t>2</w:t>
            </w:r>
            <w:r>
              <w:rPr>
                <w:rFonts w:eastAsiaTheme="minorEastAsia"/>
                <w:szCs w:val="21"/>
              </w:rPr>
              <w:t>、债券投资策略</w:t>
            </w:r>
          </w:p>
          <w:p w:rsidR="00BD7683" w:rsidRDefault="00CB0B4B">
            <w:pPr>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BD7683" w:rsidRDefault="00CB0B4B">
            <w:pPr>
              <w:rPr>
                <w:rFonts w:eastAsiaTheme="minorEastAsia"/>
                <w:szCs w:val="21"/>
              </w:rPr>
            </w:pPr>
            <w:r>
              <w:rPr>
                <w:rFonts w:eastAsiaTheme="minorEastAsia"/>
                <w:szCs w:val="21"/>
              </w:rPr>
              <w:t>3</w:t>
            </w:r>
            <w:r>
              <w:rPr>
                <w:rFonts w:eastAsiaTheme="minorEastAsia"/>
                <w:szCs w:val="21"/>
              </w:rPr>
              <w:t>、股票投资策略</w:t>
            </w:r>
          </w:p>
          <w:p w:rsidR="00BD7683" w:rsidRDefault="00CB0B4B">
            <w:pPr>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rsidR="00BD7683" w:rsidRDefault="00CB0B4B">
            <w:pPr>
              <w:rPr>
                <w:rFonts w:eastAsiaTheme="minorEastAsia"/>
                <w:szCs w:val="21"/>
              </w:rPr>
            </w:pPr>
            <w:r>
              <w:rPr>
                <w:rFonts w:eastAsiaTheme="minorEastAsia"/>
                <w:szCs w:val="21"/>
              </w:rPr>
              <w:t>4</w:t>
            </w:r>
            <w:r>
              <w:rPr>
                <w:rFonts w:eastAsiaTheme="minorEastAsia"/>
                <w:szCs w:val="21"/>
              </w:rPr>
              <w:t>、股指期货投资策略</w:t>
            </w:r>
          </w:p>
          <w:p w:rsidR="00BD7683" w:rsidRDefault="00CB0B4B">
            <w:pPr>
              <w:rPr>
                <w:rFonts w:eastAsiaTheme="minorEastAsia"/>
                <w:szCs w:val="21"/>
              </w:rPr>
            </w:pPr>
            <w:r>
              <w:rPr>
                <w:rFonts w:eastAsiaTheme="minorEastAsia"/>
                <w:szCs w:val="21"/>
              </w:rPr>
              <w:t>本基金在进行股指期货投资时，将通过对证券市场和期货市场运行趋势的研究，并结合股指期货的定价模型寻求其合理的估值水平。</w:t>
            </w:r>
          </w:p>
          <w:p w:rsidR="00BD7683" w:rsidRDefault="00CB0B4B">
            <w:pPr>
              <w:rPr>
                <w:rFonts w:eastAsiaTheme="minorEastAsia"/>
                <w:szCs w:val="21"/>
              </w:rPr>
            </w:pPr>
            <w:r>
              <w:rPr>
                <w:rFonts w:eastAsiaTheme="minorEastAsia"/>
                <w:szCs w:val="21"/>
              </w:rPr>
              <w:t>5</w:t>
            </w:r>
            <w:r>
              <w:rPr>
                <w:rFonts w:eastAsiaTheme="minorEastAsia"/>
                <w:szCs w:val="21"/>
              </w:rPr>
              <w:t>、股票期权投资策略</w:t>
            </w:r>
          </w:p>
          <w:p w:rsidR="00BD7683" w:rsidRDefault="00CB0B4B">
            <w:pPr>
              <w:rPr>
                <w:rFonts w:eastAsiaTheme="minorEastAsia"/>
                <w:szCs w:val="21"/>
              </w:rPr>
            </w:pPr>
            <w:r>
              <w:rPr>
                <w:rFonts w:eastAsiaTheme="minorEastAsia"/>
                <w:szCs w:val="21"/>
              </w:rPr>
              <w:t>本基金将基于对证券市场的预判，并结合股指期权定价模型，选择估值合理的期权合约。</w:t>
            </w:r>
          </w:p>
          <w:p w:rsidR="00BD7683" w:rsidRDefault="00CB0B4B">
            <w:pPr>
              <w:rPr>
                <w:rFonts w:eastAsiaTheme="minorEastAsia"/>
                <w:szCs w:val="21"/>
              </w:rPr>
            </w:pPr>
            <w:r>
              <w:rPr>
                <w:rFonts w:eastAsiaTheme="minorEastAsia"/>
                <w:szCs w:val="21"/>
              </w:rPr>
              <w:t>6</w:t>
            </w:r>
            <w:r>
              <w:rPr>
                <w:rFonts w:eastAsiaTheme="minorEastAsia"/>
                <w:szCs w:val="21"/>
              </w:rPr>
              <w:t>、资产支持证券投资策略</w:t>
            </w:r>
          </w:p>
          <w:p w:rsidR="001548F9" w:rsidRPr="00D46E57" w:rsidRDefault="001548F9">
            <w:pPr>
              <w:rPr>
                <w:rFonts w:eastAsiaTheme="minorEastAsia"/>
                <w:szCs w:val="21"/>
              </w:rPr>
            </w:pPr>
            <w:r w:rsidRPr="00D46E57">
              <w:rPr>
                <w:rFonts w:eastAsiaTheme="minorEastAsia"/>
                <w:szCs w:val="21"/>
              </w:rPr>
              <w:t>本基金主要从资产池信用状况、违约相关性、历史违约记录和损失比例、证券的信用增强方式、利差补偿程度等方面对资产支持证券的风险与收益状况进行评估，确定资产合理配置比例。</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沪深</w:t>
            </w:r>
            <w:r w:rsidRPr="00D46E57">
              <w:rPr>
                <w:rFonts w:eastAsiaTheme="minorEastAsia"/>
                <w:szCs w:val="21"/>
              </w:rPr>
              <w:t>300</w:t>
            </w:r>
            <w:r w:rsidRPr="00D46E57">
              <w:rPr>
                <w:rFonts w:eastAsiaTheme="minorEastAsia"/>
                <w:szCs w:val="21"/>
              </w:rPr>
              <w:t>指数收益率</w:t>
            </w:r>
            <w:r w:rsidRPr="00D46E57">
              <w:rPr>
                <w:rFonts w:eastAsiaTheme="minorEastAsia"/>
                <w:szCs w:val="21"/>
              </w:rPr>
              <w:t>×30%+</w:t>
            </w:r>
            <w:r w:rsidRPr="00D46E57">
              <w:rPr>
                <w:rFonts w:eastAsiaTheme="minorEastAsia"/>
                <w:szCs w:val="21"/>
              </w:rPr>
              <w:t>中证综合债券指数收益率</w:t>
            </w:r>
            <w:r w:rsidRPr="00D46E57">
              <w:rPr>
                <w:rFonts w:eastAsiaTheme="minorEastAsia"/>
                <w:szCs w:val="21"/>
              </w:rPr>
              <w:t>×70%</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本基金属于混合型基金产品，预期风险和收益水平高于债券型基金和货币市场基金，低于股票型基金，属于中等风险收益水平的基金产品。本基金风险收益特征会定期评估并在公司网站发布，请投资者关注。</w:t>
            </w:r>
          </w:p>
        </w:tc>
      </w:tr>
    </w:tbl>
    <w:p w:rsidR="001548F9" w:rsidRPr="00D46E57" w:rsidRDefault="001548F9" w:rsidP="00610409">
      <w:pPr>
        <w:pStyle w:val="20"/>
        <w:spacing w:beforeLines="100" w:after="0"/>
        <w:jc w:val="left"/>
        <w:rPr>
          <w:rFonts w:ascii="Times New Roman" w:eastAsiaTheme="minorEastAsia" w:hAnsi="Times New Roman"/>
          <w:kern w:val="0"/>
          <w:sz w:val="21"/>
          <w:szCs w:val="21"/>
        </w:rPr>
      </w:pPr>
      <w:bookmarkStart w:id="7" w:name="_Toc225498247"/>
      <w:bookmarkStart w:id="8" w:name="_Toc374532294"/>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胡迪</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刘晔</w:t>
            </w:r>
          </w:p>
        </w:tc>
      </w:tr>
      <w:tr w:rsidR="001548F9" w:rsidRPr="00D46E57" w:rsidTr="00227CBE">
        <w:tc>
          <w:tcPr>
            <w:tcW w:w="1260"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010-66223586</w:t>
            </w:r>
          </w:p>
        </w:tc>
      </w:tr>
      <w:tr w:rsidR="001548F9" w:rsidRPr="00D46E57" w:rsidTr="00227CBE">
        <w:tc>
          <w:tcPr>
            <w:tcW w:w="1260"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liuye1@bankofbeijing.com.cn</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95526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010-66225309</w:t>
            </w:r>
          </w:p>
        </w:tc>
      </w:tr>
    </w:tbl>
    <w:p w:rsidR="001548F9" w:rsidRPr="00D46E57" w:rsidRDefault="001548F9" w:rsidP="00610409">
      <w:pPr>
        <w:pStyle w:val="20"/>
        <w:spacing w:beforeLines="100" w:after="0"/>
        <w:rPr>
          <w:rFonts w:ascii="Times New Roman" w:eastAsiaTheme="minorEastAsia" w:hAnsi="Times New Roman"/>
          <w:kern w:val="0"/>
          <w:sz w:val="21"/>
          <w:szCs w:val="21"/>
        </w:rPr>
      </w:pPr>
      <w:bookmarkStart w:id="9" w:name="_Toc225498248"/>
      <w:bookmarkStart w:id="10" w:name="_Toc374532295"/>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106605" w:rsidRPr="00D46E57">
              <w:rPr>
                <w:rFonts w:eastAsiaTheme="minorEastAsia"/>
                <w:color w:val="000000"/>
                <w:szCs w:val="21"/>
              </w:rPr>
              <w:t>半</w:t>
            </w:r>
            <w:r w:rsidRPr="00D46E57">
              <w:rPr>
                <w:rFonts w:eastAsiaTheme="minorEastAsia"/>
                <w:color w:val="000000"/>
                <w:szCs w:val="21"/>
              </w:rPr>
              <w:t>年度报告正文的管理人互联网网址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813F84" w:rsidRPr="00D46E57">
              <w:rPr>
                <w:rFonts w:eastAsiaTheme="minorEastAsia"/>
                <w:color w:val="000000"/>
                <w:szCs w:val="21"/>
              </w:rPr>
              <w:t>半</w:t>
            </w:r>
            <w:r w:rsidRPr="00D46E57">
              <w:rPr>
                <w:rFonts w:eastAsiaTheme="minorEastAsia"/>
                <w:color w:val="000000"/>
                <w:szCs w:val="21"/>
              </w:rPr>
              <w:t>年度报告备置地点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基金管理人、基金托管人的办公场所</w:t>
            </w:r>
          </w:p>
        </w:tc>
      </w:tr>
    </w:tbl>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11" w:name="_Toc225498250"/>
      <w:bookmarkStart w:id="12" w:name="_Toc374532297"/>
      <w:bookmarkStart w:id="13" w:name="_Toc194312019"/>
      <w:bookmarkStart w:id="14"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1"/>
      <w:bookmarkEnd w:id="12"/>
    </w:p>
    <w:p w:rsidR="001548F9" w:rsidRPr="00D46E57" w:rsidRDefault="001548F9" w:rsidP="00864768">
      <w:pPr>
        <w:pStyle w:val="20"/>
        <w:spacing w:before="0" w:after="0"/>
        <w:rPr>
          <w:rFonts w:ascii="Times New Roman" w:eastAsiaTheme="minorEastAsia" w:hAnsi="Times New Roman"/>
          <w:kern w:val="0"/>
          <w:sz w:val="21"/>
          <w:szCs w:val="21"/>
        </w:rPr>
      </w:pPr>
      <w:bookmarkStart w:id="15" w:name="_Toc286996129"/>
      <w:bookmarkStart w:id="16" w:name="_Toc374532298"/>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5"/>
      <w:bookmarkEnd w:id="16"/>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04"/>
        <w:gridCol w:w="2410"/>
        <w:gridCol w:w="2558"/>
      </w:tblGrid>
      <w:tr w:rsidR="001548F9" w:rsidRPr="00D46E57" w:rsidTr="00E637EA">
        <w:trPr>
          <w:trHeight w:val="487"/>
        </w:trPr>
        <w:tc>
          <w:tcPr>
            <w:tcW w:w="4404" w:type="dxa"/>
            <w:vMerge w:val="restart"/>
            <w:vAlign w:val="center"/>
          </w:tcPr>
          <w:bookmarkEnd w:id="13"/>
          <w:bookmarkEnd w:id="14"/>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2018</w:t>
            </w:r>
            <w:r w:rsidR="0058437B" w:rsidRPr="00D46E57">
              <w:rPr>
                <w:rFonts w:eastAsiaTheme="minorEastAsia"/>
                <w:b/>
                <w:szCs w:val="21"/>
              </w:rPr>
              <w:t>年</w:t>
            </w:r>
            <w:r w:rsidR="0058437B" w:rsidRPr="00D46E57">
              <w:rPr>
                <w:rFonts w:eastAsiaTheme="minorEastAsia"/>
                <w:b/>
                <w:szCs w:val="21"/>
              </w:rPr>
              <w:t>2</w:t>
            </w:r>
            <w:r w:rsidR="0058437B" w:rsidRPr="00D46E57">
              <w:rPr>
                <w:rFonts w:eastAsiaTheme="minorEastAsia"/>
                <w:b/>
                <w:szCs w:val="21"/>
              </w:rPr>
              <w:t>月</w:t>
            </w:r>
            <w:r w:rsidR="0058437B" w:rsidRPr="00D46E57">
              <w:rPr>
                <w:rFonts w:eastAsiaTheme="minorEastAsia"/>
                <w:b/>
                <w:szCs w:val="21"/>
              </w:rPr>
              <w:t>27</w:t>
            </w:r>
            <w:r w:rsidR="0058437B" w:rsidRPr="00D46E57">
              <w:rPr>
                <w:rFonts w:eastAsiaTheme="minorEastAsia"/>
                <w:b/>
                <w:szCs w:val="21"/>
              </w:rPr>
              <w:t>日（基金合同生效日）至</w:t>
            </w:r>
            <w:r w:rsidRPr="00D46E57">
              <w:rPr>
                <w:rFonts w:eastAsiaTheme="minorEastAsia"/>
                <w:b/>
                <w:szCs w:val="21"/>
              </w:rPr>
              <w:t>2018</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上投摩根安腾回报混合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上投摩根安腾回报混合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13,173.00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548,139.73</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12,260.49</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549,052.24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0.007</w:t>
            </w:r>
            <w:r w:rsidR="007523FA">
              <w:rPr>
                <w:rFonts w:eastAsiaTheme="minorEastAsia" w:hint="eastAsia"/>
                <w:szCs w:val="21"/>
              </w:rPr>
              <w:t>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0.007</w:t>
            </w:r>
            <w:r w:rsidR="007523FA">
              <w:rPr>
                <w:rFonts w:eastAsiaTheme="minorEastAsia" w:hint="eastAsia"/>
                <w:szCs w:val="21"/>
              </w:rPr>
              <w:t>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0.62%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0.19%</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(2018</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上投摩根安腾回报混合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上投摩根安腾回报混合</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0.0062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0.0019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1,049,347.21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728,187.14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1.0062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1.0019</w:t>
            </w:r>
          </w:p>
        </w:tc>
      </w:tr>
    </w:tbl>
    <w:p w:rsidR="00BD7683" w:rsidRDefault="00CB0B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17" w:name="_Toc225498252"/>
      <w:bookmarkStart w:id="18" w:name="_Toc374532299"/>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17"/>
      <w:bookmarkEnd w:id="18"/>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1"/>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上投摩根安腾回报混合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BD7683">
        <w:tc>
          <w:tcPr>
            <w:tcW w:w="1620" w:type="dxa"/>
            <w:vAlign w:val="center"/>
          </w:tcPr>
          <w:p w:rsidR="00BD7683" w:rsidRDefault="00CB0B4B">
            <w:pPr>
              <w:jc w:val="left"/>
            </w:pPr>
            <w:r>
              <w:rPr>
                <w:rFonts w:eastAsiaTheme="minorEastAsia"/>
                <w:color w:val="000000"/>
                <w:szCs w:val="21"/>
              </w:rPr>
              <w:t>过去一个月</w:t>
            </w:r>
          </w:p>
        </w:tc>
        <w:tc>
          <w:tcPr>
            <w:tcW w:w="1350" w:type="dxa"/>
            <w:vAlign w:val="center"/>
          </w:tcPr>
          <w:p w:rsidR="00BD7683" w:rsidRDefault="00CB0B4B">
            <w:pPr>
              <w:jc w:val="center"/>
            </w:pPr>
            <w:r>
              <w:rPr>
                <w:rFonts w:eastAsiaTheme="minorEastAsia"/>
                <w:color w:val="000000"/>
                <w:szCs w:val="21"/>
              </w:rPr>
              <w:t>-0.18%</w:t>
            </w:r>
          </w:p>
        </w:tc>
        <w:tc>
          <w:tcPr>
            <w:tcW w:w="1350" w:type="dxa"/>
            <w:vAlign w:val="center"/>
          </w:tcPr>
          <w:p w:rsidR="00BD7683" w:rsidRDefault="00CB0B4B">
            <w:pPr>
              <w:jc w:val="center"/>
            </w:pPr>
            <w:r>
              <w:rPr>
                <w:rFonts w:eastAsiaTheme="minorEastAsia"/>
                <w:color w:val="000000"/>
                <w:szCs w:val="21"/>
              </w:rPr>
              <w:t>0.01%</w:t>
            </w:r>
          </w:p>
        </w:tc>
        <w:tc>
          <w:tcPr>
            <w:tcW w:w="1350" w:type="dxa"/>
            <w:vAlign w:val="center"/>
          </w:tcPr>
          <w:p w:rsidR="00BD7683" w:rsidRDefault="00CB0B4B">
            <w:pPr>
              <w:jc w:val="center"/>
            </w:pPr>
            <w:r>
              <w:rPr>
                <w:rFonts w:eastAsiaTheme="minorEastAsia"/>
                <w:color w:val="000000"/>
                <w:szCs w:val="21"/>
              </w:rPr>
              <w:t>-1.87%</w:t>
            </w:r>
          </w:p>
        </w:tc>
        <w:tc>
          <w:tcPr>
            <w:tcW w:w="1350" w:type="dxa"/>
            <w:vAlign w:val="center"/>
          </w:tcPr>
          <w:p w:rsidR="00BD7683" w:rsidRDefault="00CB0B4B">
            <w:pPr>
              <w:jc w:val="center"/>
            </w:pPr>
            <w:r>
              <w:rPr>
                <w:rFonts w:eastAsiaTheme="minorEastAsia"/>
                <w:color w:val="000000"/>
                <w:szCs w:val="21"/>
              </w:rPr>
              <w:t>0.38%</w:t>
            </w:r>
          </w:p>
        </w:tc>
        <w:tc>
          <w:tcPr>
            <w:tcW w:w="1350" w:type="dxa"/>
            <w:vAlign w:val="center"/>
          </w:tcPr>
          <w:p w:rsidR="00BD7683" w:rsidRDefault="00CB0B4B">
            <w:pPr>
              <w:jc w:val="center"/>
            </w:pPr>
            <w:r>
              <w:rPr>
                <w:rFonts w:eastAsiaTheme="minorEastAsia"/>
                <w:color w:val="000000"/>
                <w:szCs w:val="21"/>
              </w:rPr>
              <w:t>1.69%</w:t>
            </w:r>
          </w:p>
        </w:tc>
        <w:tc>
          <w:tcPr>
            <w:tcW w:w="1350" w:type="dxa"/>
            <w:vAlign w:val="center"/>
          </w:tcPr>
          <w:p w:rsidR="00BD7683" w:rsidRDefault="00CB0B4B">
            <w:pPr>
              <w:jc w:val="center"/>
            </w:pPr>
            <w:r>
              <w:rPr>
                <w:rFonts w:eastAsiaTheme="minorEastAsia"/>
                <w:color w:val="000000"/>
                <w:szCs w:val="21"/>
              </w:rPr>
              <w:t>-0.37%</w:t>
            </w:r>
          </w:p>
        </w:tc>
      </w:tr>
      <w:tr w:rsidR="00BD7683">
        <w:tc>
          <w:tcPr>
            <w:tcW w:w="1620" w:type="dxa"/>
            <w:vAlign w:val="center"/>
          </w:tcPr>
          <w:p w:rsidR="00BD7683" w:rsidRDefault="00CB0B4B">
            <w:pPr>
              <w:jc w:val="left"/>
            </w:pPr>
            <w:r>
              <w:rPr>
                <w:rFonts w:eastAsiaTheme="minorEastAsia"/>
                <w:color w:val="000000"/>
                <w:szCs w:val="21"/>
              </w:rPr>
              <w:t>过去三个月</w:t>
            </w:r>
          </w:p>
        </w:tc>
        <w:tc>
          <w:tcPr>
            <w:tcW w:w="1350" w:type="dxa"/>
            <w:vAlign w:val="center"/>
          </w:tcPr>
          <w:p w:rsidR="00BD7683" w:rsidRDefault="00CB0B4B">
            <w:pPr>
              <w:jc w:val="center"/>
            </w:pPr>
            <w:r>
              <w:rPr>
                <w:rFonts w:eastAsiaTheme="minorEastAsia"/>
                <w:color w:val="000000"/>
                <w:szCs w:val="21"/>
              </w:rPr>
              <w:t>0.35%</w:t>
            </w:r>
          </w:p>
        </w:tc>
        <w:tc>
          <w:tcPr>
            <w:tcW w:w="1350" w:type="dxa"/>
            <w:vAlign w:val="center"/>
          </w:tcPr>
          <w:p w:rsidR="00BD7683" w:rsidRDefault="00CB0B4B">
            <w:pPr>
              <w:jc w:val="center"/>
            </w:pPr>
            <w:r>
              <w:rPr>
                <w:rFonts w:eastAsiaTheme="minorEastAsia"/>
                <w:color w:val="000000"/>
                <w:szCs w:val="21"/>
              </w:rPr>
              <w:t>0.04%</w:t>
            </w:r>
          </w:p>
        </w:tc>
        <w:tc>
          <w:tcPr>
            <w:tcW w:w="1350" w:type="dxa"/>
            <w:vAlign w:val="center"/>
          </w:tcPr>
          <w:p w:rsidR="00BD7683" w:rsidRDefault="00CB0B4B">
            <w:pPr>
              <w:jc w:val="center"/>
            </w:pPr>
            <w:r>
              <w:rPr>
                <w:rFonts w:eastAsiaTheme="minorEastAsia"/>
                <w:color w:val="000000"/>
                <w:szCs w:val="21"/>
              </w:rPr>
              <w:t>-1.60%</w:t>
            </w:r>
          </w:p>
        </w:tc>
        <w:tc>
          <w:tcPr>
            <w:tcW w:w="1350" w:type="dxa"/>
            <w:vAlign w:val="center"/>
          </w:tcPr>
          <w:p w:rsidR="00BD7683" w:rsidRDefault="00CB0B4B">
            <w:pPr>
              <w:jc w:val="center"/>
            </w:pPr>
            <w:r>
              <w:rPr>
                <w:rFonts w:eastAsiaTheme="minorEastAsia"/>
                <w:color w:val="000000"/>
                <w:szCs w:val="21"/>
              </w:rPr>
              <w:t>0.34%</w:t>
            </w:r>
          </w:p>
        </w:tc>
        <w:tc>
          <w:tcPr>
            <w:tcW w:w="1350" w:type="dxa"/>
            <w:vAlign w:val="center"/>
          </w:tcPr>
          <w:p w:rsidR="00BD7683" w:rsidRDefault="00CB0B4B">
            <w:pPr>
              <w:jc w:val="center"/>
            </w:pPr>
            <w:r>
              <w:rPr>
                <w:rFonts w:eastAsiaTheme="minorEastAsia"/>
                <w:color w:val="000000"/>
                <w:szCs w:val="21"/>
              </w:rPr>
              <w:t>1.95%</w:t>
            </w:r>
          </w:p>
        </w:tc>
        <w:tc>
          <w:tcPr>
            <w:tcW w:w="1350" w:type="dxa"/>
            <w:vAlign w:val="center"/>
          </w:tcPr>
          <w:p w:rsidR="00BD7683" w:rsidRDefault="00CB0B4B">
            <w:pPr>
              <w:jc w:val="center"/>
            </w:pPr>
            <w:r>
              <w:rPr>
                <w:rFonts w:eastAsiaTheme="minorEastAsia"/>
                <w:color w:val="000000"/>
                <w:szCs w:val="21"/>
              </w:rPr>
              <w:t>-0.30%</w:t>
            </w:r>
          </w:p>
        </w:tc>
      </w:tr>
      <w:tr w:rsidR="00BD7683">
        <w:tc>
          <w:tcPr>
            <w:tcW w:w="1620" w:type="dxa"/>
            <w:vAlign w:val="center"/>
          </w:tcPr>
          <w:p w:rsidR="00BD7683" w:rsidRDefault="00CB0B4B">
            <w:pPr>
              <w:jc w:val="left"/>
            </w:pPr>
            <w:r>
              <w:rPr>
                <w:rFonts w:eastAsiaTheme="minorEastAsia"/>
                <w:color w:val="000000"/>
                <w:szCs w:val="21"/>
              </w:rPr>
              <w:t>过去六个月</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过去一年</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过去三年</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自基金合同生效起至今</w:t>
            </w:r>
          </w:p>
        </w:tc>
        <w:tc>
          <w:tcPr>
            <w:tcW w:w="1350" w:type="dxa"/>
            <w:vAlign w:val="center"/>
          </w:tcPr>
          <w:p w:rsidR="00BD7683" w:rsidRDefault="00CB0B4B">
            <w:pPr>
              <w:jc w:val="center"/>
            </w:pPr>
            <w:r>
              <w:rPr>
                <w:rFonts w:eastAsiaTheme="minorEastAsia"/>
                <w:color w:val="000000"/>
                <w:szCs w:val="21"/>
              </w:rPr>
              <w:t>0.62%</w:t>
            </w:r>
          </w:p>
        </w:tc>
        <w:tc>
          <w:tcPr>
            <w:tcW w:w="1350" w:type="dxa"/>
            <w:vAlign w:val="center"/>
          </w:tcPr>
          <w:p w:rsidR="00BD7683" w:rsidRDefault="00CB0B4B">
            <w:pPr>
              <w:jc w:val="center"/>
            </w:pPr>
            <w:r>
              <w:rPr>
                <w:rFonts w:eastAsiaTheme="minorEastAsia"/>
                <w:color w:val="000000"/>
                <w:szCs w:val="21"/>
              </w:rPr>
              <w:t>0.04%</w:t>
            </w:r>
          </w:p>
        </w:tc>
        <w:tc>
          <w:tcPr>
            <w:tcW w:w="1350" w:type="dxa"/>
            <w:vAlign w:val="center"/>
          </w:tcPr>
          <w:p w:rsidR="00BD7683" w:rsidRDefault="00CB0B4B">
            <w:pPr>
              <w:jc w:val="center"/>
            </w:pPr>
            <w:r>
              <w:rPr>
                <w:rFonts w:eastAsiaTheme="minorEastAsia"/>
                <w:color w:val="000000"/>
                <w:szCs w:val="21"/>
              </w:rPr>
              <w:t>-2.29%</w:t>
            </w:r>
          </w:p>
        </w:tc>
        <w:tc>
          <w:tcPr>
            <w:tcW w:w="1350" w:type="dxa"/>
            <w:vAlign w:val="center"/>
          </w:tcPr>
          <w:p w:rsidR="00BD7683" w:rsidRDefault="00CB0B4B">
            <w:pPr>
              <w:jc w:val="center"/>
            </w:pPr>
            <w:r>
              <w:rPr>
                <w:rFonts w:eastAsiaTheme="minorEastAsia"/>
                <w:color w:val="000000"/>
                <w:szCs w:val="21"/>
              </w:rPr>
              <w:t>0.33%</w:t>
            </w:r>
          </w:p>
        </w:tc>
        <w:tc>
          <w:tcPr>
            <w:tcW w:w="1350" w:type="dxa"/>
            <w:vAlign w:val="center"/>
          </w:tcPr>
          <w:p w:rsidR="00BD7683" w:rsidRDefault="00CB0B4B">
            <w:pPr>
              <w:jc w:val="center"/>
            </w:pPr>
            <w:r>
              <w:rPr>
                <w:rFonts w:eastAsiaTheme="minorEastAsia"/>
                <w:color w:val="000000"/>
                <w:szCs w:val="21"/>
              </w:rPr>
              <w:t>2.91%</w:t>
            </w:r>
          </w:p>
        </w:tc>
        <w:tc>
          <w:tcPr>
            <w:tcW w:w="1350" w:type="dxa"/>
            <w:vAlign w:val="center"/>
          </w:tcPr>
          <w:p w:rsidR="00BD7683" w:rsidRDefault="00CB0B4B">
            <w:pPr>
              <w:jc w:val="center"/>
            </w:pPr>
            <w:r>
              <w:rPr>
                <w:rFonts w:eastAsiaTheme="minorEastAsia"/>
                <w:color w:val="000000"/>
                <w:szCs w:val="21"/>
              </w:rPr>
              <w:t>-0.29%</w:t>
            </w:r>
          </w:p>
        </w:tc>
      </w:tr>
    </w:tbl>
    <w:p w:rsidR="001548F9" w:rsidRPr="00D46E57" w:rsidRDefault="001548F9" w:rsidP="004F2C82">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上投摩根安腾回报混合</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BD7683">
        <w:tc>
          <w:tcPr>
            <w:tcW w:w="1620" w:type="dxa"/>
            <w:vAlign w:val="center"/>
          </w:tcPr>
          <w:p w:rsidR="00BD7683" w:rsidRDefault="00CB0B4B">
            <w:pPr>
              <w:jc w:val="left"/>
            </w:pPr>
            <w:r>
              <w:rPr>
                <w:rFonts w:eastAsiaTheme="minorEastAsia"/>
                <w:color w:val="000000"/>
                <w:szCs w:val="21"/>
              </w:rPr>
              <w:t>过去一个月</w:t>
            </w:r>
          </w:p>
        </w:tc>
        <w:tc>
          <w:tcPr>
            <w:tcW w:w="1350" w:type="dxa"/>
            <w:vAlign w:val="center"/>
          </w:tcPr>
          <w:p w:rsidR="00BD7683" w:rsidRDefault="00CB0B4B">
            <w:pPr>
              <w:jc w:val="center"/>
            </w:pPr>
            <w:r>
              <w:rPr>
                <w:rFonts w:eastAsiaTheme="minorEastAsia"/>
                <w:color w:val="000000"/>
                <w:szCs w:val="21"/>
              </w:rPr>
              <w:t>-0.21%</w:t>
            </w:r>
          </w:p>
        </w:tc>
        <w:tc>
          <w:tcPr>
            <w:tcW w:w="1350" w:type="dxa"/>
            <w:vAlign w:val="center"/>
          </w:tcPr>
          <w:p w:rsidR="00BD7683" w:rsidRDefault="00CB0B4B">
            <w:pPr>
              <w:jc w:val="center"/>
            </w:pPr>
            <w:r>
              <w:rPr>
                <w:rFonts w:eastAsiaTheme="minorEastAsia"/>
                <w:color w:val="000000"/>
                <w:szCs w:val="21"/>
              </w:rPr>
              <w:t>0.01%</w:t>
            </w:r>
          </w:p>
        </w:tc>
        <w:tc>
          <w:tcPr>
            <w:tcW w:w="1350" w:type="dxa"/>
            <w:vAlign w:val="center"/>
          </w:tcPr>
          <w:p w:rsidR="00BD7683" w:rsidRDefault="00CB0B4B">
            <w:pPr>
              <w:jc w:val="center"/>
            </w:pPr>
            <w:r>
              <w:rPr>
                <w:rFonts w:eastAsiaTheme="minorEastAsia"/>
                <w:color w:val="000000"/>
                <w:szCs w:val="21"/>
              </w:rPr>
              <w:t>-1.87%</w:t>
            </w:r>
          </w:p>
        </w:tc>
        <w:tc>
          <w:tcPr>
            <w:tcW w:w="1350" w:type="dxa"/>
            <w:vAlign w:val="center"/>
          </w:tcPr>
          <w:p w:rsidR="00BD7683" w:rsidRDefault="00CB0B4B">
            <w:pPr>
              <w:jc w:val="center"/>
            </w:pPr>
            <w:r>
              <w:rPr>
                <w:rFonts w:eastAsiaTheme="minorEastAsia"/>
                <w:color w:val="000000"/>
                <w:szCs w:val="21"/>
              </w:rPr>
              <w:t>0.38%</w:t>
            </w:r>
          </w:p>
        </w:tc>
        <w:tc>
          <w:tcPr>
            <w:tcW w:w="1350" w:type="dxa"/>
            <w:vAlign w:val="center"/>
          </w:tcPr>
          <w:p w:rsidR="00BD7683" w:rsidRDefault="00CB0B4B">
            <w:pPr>
              <w:jc w:val="center"/>
            </w:pPr>
            <w:r>
              <w:rPr>
                <w:rFonts w:eastAsiaTheme="minorEastAsia"/>
                <w:color w:val="000000"/>
                <w:szCs w:val="21"/>
              </w:rPr>
              <w:t>1.66%</w:t>
            </w:r>
          </w:p>
        </w:tc>
        <w:tc>
          <w:tcPr>
            <w:tcW w:w="1350" w:type="dxa"/>
            <w:vAlign w:val="center"/>
          </w:tcPr>
          <w:p w:rsidR="00BD7683" w:rsidRDefault="00CB0B4B">
            <w:pPr>
              <w:jc w:val="center"/>
            </w:pPr>
            <w:r>
              <w:rPr>
                <w:rFonts w:eastAsiaTheme="minorEastAsia"/>
                <w:color w:val="000000"/>
                <w:szCs w:val="21"/>
              </w:rPr>
              <w:t>-0.37%</w:t>
            </w:r>
          </w:p>
        </w:tc>
      </w:tr>
      <w:tr w:rsidR="00BD7683">
        <w:tc>
          <w:tcPr>
            <w:tcW w:w="1620" w:type="dxa"/>
            <w:vAlign w:val="center"/>
          </w:tcPr>
          <w:p w:rsidR="00BD7683" w:rsidRDefault="00CB0B4B">
            <w:pPr>
              <w:jc w:val="left"/>
            </w:pPr>
            <w:r>
              <w:rPr>
                <w:rFonts w:eastAsiaTheme="minorEastAsia"/>
                <w:color w:val="000000"/>
                <w:szCs w:val="21"/>
              </w:rPr>
              <w:t>过去三个月</w:t>
            </w:r>
          </w:p>
        </w:tc>
        <w:tc>
          <w:tcPr>
            <w:tcW w:w="1350" w:type="dxa"/>
            <w:vAlign w:val="center"/>
          </w:tcPr>
          <w:p w:rsidR="00BD7683" w:rsidRDefault="00CB0B4B">
            <w:pPr>
              <w:jc w:val="center"/>
            </w:pPr>
            <w:r>
              <w:rPr>
                <w:rFonts w:eastAsiaTheme="minorEastAsia"/>
                <w:color w:val="000000"/>
                <w:szCs w:val="21"/>
              </w:rPr>
              <w:t>-0.05%</w:t>
            </w:r>
          </w:p>
        </w:tc>
        <w:tc>
          <w:tcPr>
            <w:tcW w:w="1350" w:type="dxa"/>
            <w:vAlign w:val="center"/>
          </w:tcPr>
          <w:p w:rsidR="00BD7683" w:rsidRDefault="00CB0B4B">
            <w:pPr>
              <w:jc w:val="center"/>
            </w:pPr>
            <w:r>
              <w:rPr>
                <w:rFonts w:eastAsiaTheme="minorEastAsia"/>
                <w:color w:val="000000"/>
                <w:szCs w:val="21"/>
              </w:rPr>
              <w:t>0.03%</w:t>
            </w:r>
          </w:p>
        </w:tc>
        <w:tc>
          <w:tcPr>
            <w:tcW w:w="1350" w:type="dxa"/>
            <w:vAlign w:val="center"/>
          </w:tcPr>
          <w:p w:rsidR="00BD7683" w:rsidRDefault="00CB0B4B">
            <w:pPr>
              <w:jc w:val="center"/>
            </w:pPr>
            <w:r>
              <w:rPr>
                <w:rFonts w:eastAsiaTheme="minorEastAsia"/>
                <w:color w:val="000000"/>
                <w:szCs w:val="21"/>
              </w:rPr>
              <w:t>-1.60%</w:t>
            </w:r>
          </w:p>
        </w:tc>
        <w:tc>
          <w:tcPr>
            <w:tcW w:w="1350" w:type="dxa"/>
            <w:vAlign w:val="center"/>
          </w:tcPr>
          <w:p w:rsidR="00BD7683" w:rsidRDefault="00CB0B4B">
            <w:pPr>
              <w:jc w:val="center"/>
            </w:pPr>
            <w:r>
              <w:rPr>
                <w:rFonts w:eastAsiaTheme="minorEastAsia"/>
                <w:color w:val="000000"/>
                <w:szCs w:val="21"/>
              </w:rPr>
              <w:t>0.34%</w:t>
            </w:r>
          </w:p>
        </w:tc>
        <w:tc>
          <w:tcPr>
            <w:tcW w:w="1350" w:type="dxa"/>
            <w:vAlign w:val="center"/>
          </w:tcPr>
          <w:p w:rsidR="00BD7683" w:rsidRDefault="00CB0B4B">
            <w:pPr>
              <w:jc w:val="center"/>
            </w:pPr>
            <w:r>
              <w:rPr>
                <w:rFonts w:eastAsiaTheme="minorEastAsia"/>
                <w:color w:val="000000"/>
                <w:szCs w:val="21"/>
              </w:rPr>
              <w:t>1.55%</w:t>
            </w:r>
          </w:p>
        </w:tc>
        <w:tc>
          <w:tcPr>
            <w:tcW w:w="1350" w:type="dxa"/>
            <w:vAlign w:val="center"/>
          </w:tcPr>
          <w:p w:rsidR="00BD7683" w:rsidRDefault="00CB0B4B">
            <w:pPr>
              <w:jc w:val="center"/>
            </w:pPr>
            <w:r>
              <w:rPr>
                <w:rFonts w:eastAsiaTheme="minorEastAsia"/>
                <w:color w:val="000000"/>
                <w:szCs w:val="21"/>
              </w:rPr>
              <w:t>-0.31%</w:t>
            </w:r>
          </w:p>
        </w:tc>
      </w:tr>
      <w:tr w:rsidR="00BD7683">
        <w:tc>
          <w:tcPr>
            <w:tcW w:w="1620" w:type="dxa"/>
            <w:vAlign w:val="center"/>
          </w:tcPr>
          <w:p w:rsidR="00BD7683" w:rsidRDefault="00CB0B4B">
            <w:pPr>
              <w:jc w:val="left"/>
            </w:pPr>
            <w:r>
              <w:rPr>
                <w:rFonts w:eastAsiaTheme="minorEastAsia"/>
                <w:color w:val="000000"/>
                <w:szCs w:val="21"/>
              </w:rPr>
              <w:t>过去六个月</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过去一年</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过去三年</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c>
          <w:tcPr>
            <w:tcW w:w="1350" w:type="dxa"/>
            <w:vAlign w:val="center"/>
          </w:tcPr>
          <w:p w:rsidR="00BD7683" w:rsidRDefault="00CB0B4B">
            <w:pPr>
              <w:jc w:val="center"/>
            </w:pPr>
            <w:r>
              <w:rPr>
                <w:rFonts w:eastAsiaTheme="minorEastAsia"/>
                <w:color w:val="000000"/>
                <w:szCs w:val="21"/>
              </w:rPr>
              <w:t>-</w:t>
            </w:r>
          </w:p>
        </w:tc>
      </w:tr>
      <w:tr w:rsidR="00BD7683">
        <w:tc>
          <w:tcPr>
            <w:tcW w:w="1620" w:type="dxa"/>
            <w:vAlign w:val="center"/>
          </w:tcPr>
          <w:p w:rsidR="00BD7683" w:rsidRDefault="00CB0B4B">
            <w:pPr>
              <w:jc w:val="left"/>
            </w:pPr>
            <w:r>
              <w:rPr>
                <w:rFonts w:eastAsiaTheme="minorEastAsia"/>
                <w:color w:val="000000"/>
                <w:szCs w:val="21"/>
              </w:rPr>
              <w:t>自基金合同生效起至今</w:t>
            </w:r>
          </w:p>
        </w:tc>
        <w:tc>
          <w:tcPr>
            <w:tcW w:w="1350" w:type="dxa"/>
            <w:vAlign w:val="center"/>
          </w:tcPr>
          <w:p w:rsidR="00BD7683" w:rsidRDefault="00CB0B4B">
            <w:pPr>
              <w:jc w:val="center"/>
            </w:pPr>
            <w:r>
              <w:rPr>
                <w:rFonts w:eastAsiaTheme="minorEastAsia"/>
                <w:color w:val="000000"/>
                <w:szCs w:val="21"/>
              </w:rPr>
              <w:t>0.19%</w:t>
            </w:r>
          </w:p>
        </w:tc>
        <w:tc>
          <w:tcPr>
            <w:tcW w:w="1350" w:type="dxa"/>
            <w:vAlign w:val="center"/>
          </w:tcPr>
          <w:p w:rsidR="00BD7683" w:rsidRDefault="00CB0B4B">
            <w:pPr>
              <w:jc w:val="center"/>
            </w:pPr>
            <w:r>
              <w:rPr>
                <w:rFonts w:eastAsiaTheme="minorEastAsia"/>
                <w:color w:val="000000"/>
                <w:szCs w:val="21"/>
              </w:rPr>
              <w:t>0.03%</w:t>
            </w:r>
          </w:p>
        </w:tc>
        <w:tc>
          <w:tcPr>
            <w:tcW w:w="1350" w:type="dxa"/>
            <w:vAlign w:val="center"/>
          </w:tcPr>
          <w:p w:rsidR="00BD7683" w:rsidRDefault="00CB0B4B">
            <w:pPr>
              <w:jc w:val="center"/>
            </w:pPr>
            <w:r>
              <w:rPr>
                <w:rFonts w:eastAsiaTheme="minorEastAsia"/>
                <w:color w:val="000000"/>
                <w:szCs w:val="21"/>
              </w:rPr>
              <w:t>-2.29%</w:t>
            </w:r>
          </w:p>
        </w:tc>
        <w:tc>
          <w:tcPr>
            <w:tcW w:w="1350" w:type="dxa"/>
            <w:vAlign w:val="center"/>
          </w:tcPr>
          <w:p w:rsidR="00BD7683" w:rsidRDefault="00CB0B4B">
            <w:pPr>
              <w:jc w:val="center"/>
            </w:pPr>
            <w:r>
              <w:rPr>
                <w:rFonts w:eastAsiaTheme="minorEastAsia"/>
                <w:color w:val="000000"/>
                <w:szCs w:val="21"/>
              </w:rPr>
              <w:t>0.33%</w:t>
            </w:r>
          </w:p>
        </w:tc>
        <w:tc>
          <w:tcPr>
            <w:tcW w:w="1350" w:type="dxa"/>
            <w:vAlign w:val="center"/>
          </w:tcPr>
          <w:p w:rsidR="00BD7683" w:rsidRDefault="00CB0B4B">
            <w:pPr>
              <w:jc w:val="center"/>
            </w:pPr>
            <w:r>
              <w:rPr>
                <w:rFonts w:eastAsiaTheme="minorEastAsia"/>
                <w:color w:val="000000"/>
                <w:szCs w:val="21"/>
              </w:rPr>
              <w:t>2.48%</w:t>
            </w:r>
          </w:p>
        </w:tc>
        <w:tc>
          <w:tcPr>
            <w:tcW w:w="1350" w:type="dxa"/>
            <w:vAlign w:val="center"/>
          </w:tcPr>
          <w:p w:rsidR="00BD7683" w:rsidRDefault="00CB0B4B">
            <w:pPr>
              <w:jc w:val="center"/>
            </w:pPr>
            <w:r>
              <w:rPr>
                <w:rFonts w:eastAsiaTheme="minorEastAsia"/>
                <w:color w:val="000000"/>
                <w:szCs w:val="21"/>
              </w:rPr>
              <w:t>-0.30%</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注：本基金的业绩比较基准为：沪深</w:t>
      </w:r>
      <w:r w:rsidRPr="00D46E57">
        <w:rPr>
          <w:rFonts w:eastAsiaTheme="minorEastAsia"/>
          <w:kern w:val="0"/>
          <w:szCs w:val="21"/>
        </w:rPr>
        <w:t>300</w:t>
      </w:r>
      <w:r w:rsidRPr="00D46E57">
        <w:rPr>
          <w:rFonts w:eastAsiaTheme="minorEastAsia"/>
          <w:kern w:val="0"/>
          <w:szCs w:val="21"/>
        </w:rPr>
        <w:t>指数收益率</w:t>
      </w:r>
      <w:r w:rsidRPr="00D46E57">
        <w:rPr>
          <w:rFonts w:eastAsiaTheme="minorEastAsia"/>
          <w:kern w:val="0"/>
          <w:szCs w:val="21"/>
        </w:rPr>
        <w:t>×30%+</w:t>
      </w:r>
      <w:r w:rsidRPr="00D46E57">
        <w:rPr>
          <w:rFonts w:eastAsiaTheme="minorEastAsia"/>
          <w:kern w:val="0"/>
          <w:szCs w:val="21"/>
        </w:rPr>
        <w:t>中证综合债券指数收益率</w:t>
      </w:r>
      <w:r w:rsidRPr="00D46E57">
        <w:rPr>
          <w:rFonts w:eastAsiaTheme="minorEastAsia"/>
          <w:kern w:val="0"/>
          <w:szCs w:val="21"/>
        </w:rPr>
        <w:t>×70%</w:t>
      </w:r>
    </w:p>
    <w:p w:rsidR="001548F9" w:rsidRPr="00D46E57" w:rsidRDefault="001548F9" w:rsidP="00610409">
      <w:pPr>
        <w:spacing w:beforeLines="100" w:line="360" w:lineRule="auto"/>
        <w:rPr>
          <w:rFonts w:eastAsiaTheme="minorEastAsia"/>
          <w:b/>
          <w:kern w:val="0"/>
          <w:szCs w:val="21"/>
        </w:rPr>
      </w:pPr>
      <w:r w:rsidRPr="00D46E57">
        <w:rPr>
          <w:rFonts w:eastAsiaTheme="minorEastAsia"/>
          <w:b/>
          <w:kern w:val="0"/>
          <w:szCs w:val="21"/>
        </w:rPr>
        <w:t>3.2.2</w:t>
      </w:r>
      <w:r w:rsidR="004172C4" w:rsidRPr="00D46E57">
        <w:rPr>
          <w:rStyle w:val="af8"/>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上投摩根安腾回报混合型证券投资基金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5"/>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2018</w:t>
      </w:r>
      <w:r w:rsidR="001548F9" w:rsidRPr="00D46E57">
        <w:rPr>
          <w:rFonts w:ascii="Times New Roman" w:eastAsiaTheme="minorEastAsia" w:hAnsi="Times New Roman"/>
        </w:rPr>
        <w:t>年</w:t>
      </w:r>
      <w:r w:rsidR="001548F9" w:rsidRPr="00D46E57">
        <w:rPr>
          <w:rFonts w:ascii="Times New Roman" w:eastAsiaTheme="minorEastAsia" w:hAnsi="Times New Roman"/>
        </w:rPr>
        <w:t>2</w:t>
      </w:r>
      <w:r w:rsidR="001548F9" w:rsidRPr="00D46E57">
        <w:rPr>
          <w:rFonts w:ascii="Times New Roman" w:eastAsiaTheme="minorEastAsia" w:hAnsi="Times New Roman"/>
        </w:rPr>
        <w:t>月</w:t>
      </w:r>
      <w:r w:rsidR="001548F9" w:rsidRPr="00D46E57">
        <w:rPr>
          <w:rFonts w:ascii="Times New Roman" w:eastAsiaTheme="minorEastAsia" w:hAnsi="Times New Roman"/>
        </w:rPr>
        <w:t>27</w:t>
      </w:r>
      <w:r w:rsidR="001548F9" w:rsidRPr="00D46E57">
        <w:rPr>
          <w:rFonts w:ascii="Times New Roman" w:eastAsiaTheme="minorEastAsia" w:hAnsi="Times New Roman"/>
        </w:rPr>
        <w:t>日至</w:t>
      </w:r>
      <w:r w:rsidRPr="00D46E57">
        <w:rPr>
          <w:rFonts w:ascii="Times New Roman" w:eastAsiaTheme="minorEastAsia" w:hAnsi="Times New Roman"/>
        </w:rPr>
        <w:t>2018</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上投摩根安腾回报混合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BD7683" w:rsidRDefault="00CB0B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27</w:t>
      </w:r>
      <w:r>
        <w:rPr>
          <w:rFonts w:eastAsiaTheme="minorEastAsia"/>
          <w:kern w:val="0"/>
          <w:szCs w:val="21"/>
        </w:rPr>
        <w:t>日，截至报告期末本基金合同生效未满一年。</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本基金建仓期自</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24</w:t>
      </w:r>
      <w:r w:rsidRPr="00D46E57">
        <w:rPr>
          <w:rFonts w:eastAsiaTheme="minorEastAsia"/>
          <w:kern w:val="0"/>
          <w:szCs w:val="21"/>
        </w:rPr>
        <w:t>日，本基金报告期内仍处于建仓期。</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上投摩根安腾回报混合</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BD7683" w:rsidRDefault="00CB0B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27</w:t>
      </w:r>
      <w:r>
        <w:rPr>
          <w:rFonts w:eastAsiaTheme="minorEastAsia"/>
          <w:kern w:val="0"/>
          <w:szCs w:val="21"/>
        </w:rPr>
        <w:t>日，截至报告期末本基金合同生效未满一年。</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本基金建仓期自</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24</w:t>
      </w:r>
      <w:r w:rsidRPr="00D46E57">
        <w:rPr>
          <w:rFonts w:eastAsiaTheme="minorEastAsia"/>
          <w:kern w:val="0"/>
          <w:szCs w:val="21"/>
        </w:rPr>
        <w:t>日，本基金报告期内仍处于建仓期。</w:t>
      </w:r>
    </w:p>
    <w:p w:rsidR="001548F9" w:rsidRPr="00D46E57" w:rsidRDefault="001548F9" w:rsidP="00E637EA">
      <w:pPr>
        <w:tabs>
          <w:tab w:val="left" w:pos="426"/>
        </w:tabs>
        <w:spacing w:line="360" w:lineRule="auto"/>
        <w:ind w:firstLineChars="200" w:firstLine="420"/>
        <w:jc w:val="left"/>
        <w:rPr>
          <w:rFonts w:eastAsiaTheme="minorEastAsia"/>
          <w:color w:val="000000"/>
          <w:szCs w:val="21"/>
        </w:rPr>
      </w:pP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19" w:name="_Toc225498254"/>
      <w:bookmarkStart w:id="20" w:name="_Toc374532300"/>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19"/>
      <w:bookmarkEnd w:id="20"/>
    </w:p>
    <w:p w:rsidR="001548F9" w:rsidRPr="00D46E57" w:rsidRDefault="001548F9" w:rsidP="00864768">
      <w:pPr>
        <w:pStyle w:val="20"/>
        <w:spacing w:before="0" w:after="0"/>
        <w:rPr>
          <w:rFonts w:ascii="Times New Roman" w:eastAsiaTheme="minorEastAsia" w:hAnsi="Times New Roman"/>
          <w:kern w:val="0"/>
          <w:sz w:val="21"/>
          <w:szCs w:val="21"/>
        </w:rPr>
      </w:pPr>
      <w:bookmarkStart w:id="21" w:name="_Toc374532301"/>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管理的基金共有六十七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轮动添利债券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天颐年丰混合型证券投资基金、上投摩根岁岁盈定期开放债券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现金管理货币市场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岁岁丰定期开放债券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泽回报混合型证券投资基金、上投摩根安瑞回报混合型证券投资基金、上投摩根岁岁金定期开放债券型证券投资基金、上投摩根安通回报混合型证券投资基金、上投摩根优选多因子股票型证券投资基金、上投摩根丰瑞债券型证券投资基金及上投摩根标普港股通低波红利指数型证券投资基金、上投摩根量化多因子灵活配置混合型证券投资基金、上投摩根岁岁益定期开放债券型证券投资基金、上投摩根安隆回报混合型证券投资基金、上投摩根安腾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BD7683">
        <w:tc>
          <w:tcPr>
            <w:tcW w:w="1090" w:type="dxa"/>
            <w:vAlign w:val="center"/>
          </w:tcPr>
          <w:p w:rsidR="00BD7683" w:rsidRDefault="00CB0B4B">
            <w:pPr>
              <w:jc w:val="center"/>
            </w:pPr>
            <w:r>
              <w:rPr>
                <w:rFonts w:eastAsiaTheme="minorEastAsia"/>
                <w:color w:val="000000"/>
                <w:szCs w:val="21"/>
              </w:rPr>
              <w:t>唐瑭</w:t>
            </w:r>
          </w:p>
        </w:tc>
        <w:tc>
          <w:tcPr>
            <w:tcW w:w="1500" w:type="dxa"/>
            <w:vAlign w:val="center"/>
          </w:tcPr>
          <w:p w:rsidR="00BD7683" w:rsidRDefault="00CB0B4B">
            <w:pPr>
              <w:jc w:val="center"/>
            </w:pPr>
            <w:r>
              <w:rPr>
                <w:rFonts w:eastAsiaTheme="minorEastAsia"/>
                <w:color w:val="000000"/>
                <w:szCs w:val="21"/>
              </w:rPr>
              <w:t>本基金基金经理</w:t>
            </w:r>
          </w:p>
        </w:tc>
        <w:tc>
          <w:tcPr>
            <w:tcW w:w="1190" w:type="dxa"/>
            <w:vAlign w:val="center"/>
          </w:tcPr>
          <w:p w:rsidR="00BD7683" w:rsidRDefault="00CB0B4B">
            <w:pPr>
              <w:jc w:val="center"/>
            </w:pPr>
            <w:r>
              <w:rPr>
                <w:rFonts w:eastAsiaTheme="minorEastAsia"/>
                <w:color w:val="000000"/>
                <w:szCs w:val="21"/>
              </w:rPr>
              <w:t>2018-02-27</w:t>
            </w:r>
          </w:p>
        </w:tc>
        <w:tc>
          <w:tcPr>
            <w:tcW w:w="1260" w:type="dxa"/>
            <w:vAlign w:val="center"/>
          </w:tcPr>
          <w:p w:rsidR="00BD7683" w:rsidRDefault="00CB0B4B">
            <w:pPr>
              <w:jc w:val="center"/>
            </w:pPr>
            <w:r>
              <w:rPr>
                <w:rFonts w:eastAsiaTheme="minorEastAsia"/>
                <w:color w:val="000000"/>
                <w:szCs w:val="21"/>
              </w:rPr>
              <w:t>-</w:t>
            </w:r>
          </w:p>
        </w:tc>
        <w:tc>
          <w:tcPr>
            <w:tcW w:w="1236" w:type="dxa"/>
            <w:vAlign w:val="center"/>
          </w:tcPr>
          <w:p w:rsidR="00BD7683" w:rsidRDefault="00CB0B4B">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BD7683" w:rsidRDefault="00CB0B4B">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月加入上投摩根基金管理有限公司，先后担任研究员及基金经理助理，自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月起担任上投摩根岁岁盈定期开放债券型证券投资基金基金经理，自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月起同时担任上投摩根强化回报债券型证券投资基金和上投摩根轮动添利债券型证券投资基金基金经理，自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月起同时担任上投摩根双债增利债券型证券投资基金基金经理，自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月起同时担任上投摩根分红添利债券型证券投资基金及上投摩根纯债添利债券型证券投资基金基金经理，自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月起同时担任上投摩根安丰回报混合型证券投资基金基金经理及上投摩根安泽回报混合型证券投资基金基金经理，自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月起同时担任上投摩根安隆回报混合型证券投资基金和上投摩根安腾回报混合型证券投资基金基金经理。</w:t>
            </w:r>
          </w:p>
        </w:tc>
      </w:tr>
      <w:tr w:rsidR="00BD7683">
        <w:tc>
          <w:tcPr>
            <w:tcW w:w="1090" w:type="dxa"/>
            <w:vAlign w:val="center"/>
          </w:tcPr>
          <w:p w:rsidR="00BD7683" w:rsidRDefault="00CB0B4B">
            <w:pPr>
              <w:jc w:val="center"/>
            </w:pPr>
            <w:r>
              <w:rPr>
                <w:rFonts w:eastAsiaTheme="minorEastAsia"/>
                <w:color w:val="000000"/>
                <w:szCs w:val="21"/>
              </w:rPr>
              <w:t>施虓文</w:t>
            </w:r>
          </w:p>
        </w:tc>
        <w:tc>
          <w:tcPr>
            <w:tcW w:w="1500" w:type="dxa"/>
            <w:vAlign w:val="center"/>
          </w:tcPr>
          <w:p w:rsidR="00BD7683" w:rsidRDefault="00CB0B4B">
            <w:pPr>
              <w:jc w:val="center"/>
            </w:pPr>
            <w:r>
              <w:rPr>
                <w:rFonts w:eastAsiaTheme="minorEastAsia"/>
                <w:color w:val="000000"/>
                <w:szCs w:val="21"/>
              </w:rPr>
              <w:t>本基金基金经理</w:t>
            </w:r>
          </w:p>
        </w:tc>
        <w:tc>
          <w:tcPr>
            <w:tcW w:w="1190" w:type="dxa"/>
            <w:vAlign w:val="center"/>
          </w:tcPr>
          <w:p w:rsidR="00BD7683" w:rsidRDefault="00CB0B4B">
            <w:pPr>
              <w:jc w:val="center"/>
            </w:pPr>
            <w:r>
              <w:rPr>
                <w:rFonts w:eastAsiaTheme="minorEastAsia"/>
                <w:color w:val="000000"/>
                <w:szCs w:val="21"/>
              </w:rPr>
              <w:t>2018-02-27</w:t>
            </w:r>
          </w:p>
        </w:tc>
        <w:tc>
          <w:tcPr>
            <w:tcW w:w="1260" w:type="dxa"/>
            <w:vAlign w:val="center"/>
          </w:tcPr>
          <w:p w:rsidR="00BD7683" w:rsidRDefault="00CB0B4B">
            <w:pPr>
              <w:jc w:val="center"/>
            </w:pPr>
            <w:r>
              <w:rPr>
                <w:rFonts w:eastAsiaTheme="minorEastAsia"/>
                <w:color w:val="000000"/>
                <w:szCs w:val="21"/>
              </w:rPr>
              <w:t>-</w:t>
            </w:r>
          </w:p>
        </w:tc>
        <w:tc>
          <w:tcPr>
            <w:tcW w:w="1236" w:type="dxa"/>
            <w:vAlign w:val="center"/>
          </w:tcPr>
          <w:p w:rsidR="00BD7683" w:rsidRDefault="00CB0B4B">
            <w:pPr>
              <w:jc w:val="center"/>
            </w:pPr>
            <w:r>
              <w:rPr>
                <w:rFonts w:eastAsiaTheme="minorEastAsia"/>
                <w:color w:val="000000"/>
                <w:szCs w:val="21"/>
              </w:rPr>
              <w:t>6</w:t>
            </w:r>
            <w:r>
              <w:rPr>
                <w:rFonts w:eastAsiaTheme="minorEastAsia"/>
                <w:color w:val="000000"/>
                <w:szCs w:val="21"/>
              </w:rPr>
              <w:t>年</w:t>
            </w:r>
          </w:p>
        </w:tc>
        <w:tc>
          <w:tcPr>
            <w:tcW w:w="3264" w:type="dxa"/>
            <w:vAlign w:val="center"/>
          </w:tcPr>
          <w:p w:rsidR="00BD7683" w:rsidRDefault="00CB0B4B">
            <w:r>
              <w:rPr>
                <w:rFonts w:eastAsiaTheme="minorEastAsia"/>
                <w:color w:val="000000"/>
                <w:szCs w:val="21"/>
              </w:rPr>
              <w:t>基金经理施虓文先生，北京大学经济学硕士，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月起加入上投摩根基金管理有限公司，在研究部任助理研究员、研究员，主要承担量化支持方面的工作。自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月起同时担任上投摩根安丰回报混合型证券投资基金基金经理及上投摩根安泽回报混合型证券投资基金基金经理，自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月起同时担任上投摩根安隆回报混合型证券投资基金和上投摩根安腾回报混合型证券投资基金基金经理，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月起同时担任上投摩根富时发达市场</w:t>
            </w:r>
            <w:r>
              <w:rPr>
                <w:rFonts w:eastAsiaTheme="minorEastAsia"/>
                <w:color w:val="000000"/>
                <w:szCs w:val="21"/>
              </w:rPr>
              <w:t>REITs</w:t>
            </w:r>
            <w:r>
              <w:rPr>
                <w:rFonts w:eastAsiaTheme="minorEastAsia"/>
                <w:color w:val="000000"/>
                <w:szCs w:val="21"/>
              </w:rPr>
              <w:t>指数型证券投资基金（</w:t>
            </w:r>
            <w:r>
              <w:rPr>
                <w:rFonts w:eastAsiaTheme="minorEastAsia"/>
                <w:color w:val="000000"/>
                <w:szCs w:val="21"/>
              </w:rPr>
              <w:t>QDII</w:t>
            </w:r>
            <w:r>
              <w:rPr>
                <w:rFonts w:eastAsiaTheme="minorEastAsia"/>
                <w:color w:val="000000"/>
                <w:szCs w:val="21"/>
              </w:rPr>
              <w:t>）基金经理。</w:t>
            </w:r>
          </w:p>
        </w:tc>
      </w:tr>
    </w:tbl>
    <w:p w:rsidR="00BD7683" w:rsidRDefault="00CB0B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BD7683" w:rsidRDefault="00CB0B4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唐瑭女士、施虓文先生为本基金首任基金经理，其任职日期为本基金基金合同生效之日；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证券从业的含义遵从行业协会《证券业从业人员资格管理办法》的相关规定。</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22" w:name="_Toc225498256"/>
      <w:bookmarkStart w:id="23" w:name="_Toc374532302"/>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2"/>
      <w:bookmarkEnd w:id="23"/>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基金管理人遵守了《证券投资基金法》及其他有关法律法规、《上投摩根安腾回报混合型证券投资基金基金合同》的规定。基金经理对个股和投资组合的比例遵循了投资决策委员会的授权限制，基金投资比例符合基金合同和法律法规的要求。</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24" w:name="_Toc225498257"/>
      <w:bookmarkStart w:id="25" w:name="_Toc374532303"/>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4"/>
      <w:bookmarkEnd w:id="25"/>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BD7683" w:rsidRDefault="00CB0B4B">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D7683" w:rsidRDefault="00CB0B4B">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BD7683" w:rsidRDefault="00CB0B4B">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报告期内，通过对交易价格、交易时间、交易方向等的抽样分析，公司未发现存在异常交易行为。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10409">
      <w:pPr>
        <w:pStyle w:val="20"/>
        <w:spacing w:beforeLines="100" w:after="0"/>
        <w:rPr>
          <w:rFonts w:ascii="Times New Roman" w:eastAsiaTheme="minorEastAsia" w:hAnsi="Times New Roman"/>
          <w:kern w:val="0"/>
          <w:sz w:val="21"/>
          <w:szCs w:val="21"/>
        </w:rPr>
      </w:pPr>
      <w:bookmarkStart w:id="26" w:name="_Toc225498258"/>
      <w:bookmarkStart w:id="27" w:name="_Toc374532304"/>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6"/>
      <w:bookmarkEnd w:id="27"/>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上半年上证综指呈现震荡下跌的格局，指数于</w:t>
      </w:r>
      <w:r w:rsidRPr="00D46E57">
        <w:rPr>
          <w:rFonts w:eastAsiaTheme="minorEastAsia"/>
          <w:kern w:val="0"/>
          <w:szCs w:val="21"/>
        </w:rPr>
        <w:t>1</w:t>
      </w:r>
      <w:r w:rsidRPr="00D46E57">
        <w:rPr>
          <w:rFonts w:eastAsiaTheme="minorEastAsia"/>
          <w:kern w:val="0"/>
          <w:szCs w:val="21"/>
        </w:rPr>
        <w:t>月底见顶，此后持续下跌，且在进入</w:t>
      </w:r>
      <w:r w:rsidRPr="00D46E57">
        <w:rPr>
          <w:rFonts w:eastAsiaTheme="minorEastAsia"/>
          <w:kern w:val="0"/>
          <w:szCs w:val="21"/>
        </w:rPr>
        <w:t>6</w:t>
      </w:r>
      <w:r w:rsidRPr="00D46E57">
        <w:rPr>
          <w:rFonts w:eastAsiaTheme="minorEastAsia"/>
          <w:kern w:val="0"/>
          <w:szCs w:val="21"/>
        </w:rPr>
        <w:t>月后加速下行，及至</w:t>
      </w:r>
      <w:r w:rsidRPr="00D46E57">
        <w:rPr>
          <w:rFonts w:eastAsiaTheme="minorEastAsia"/>
          <w:kern w:val="0"/>
          <w:szCs w:val="21"/>
        </w:rPr>
        <w:t>6</w:t>
      </w:r>
      <w:r w:rsidRPr="00D46E57">
        <w:rPr>
          <w:rFonts w:eastAsiaTheme="minorEastAsia"/>
          <w:kern w:val="0"/>
          <w:szCs w:val="21"/>
        </w:rPr>
        <w:t>月底创两年来新低。同时市场情绪逐步陷入低谷，成交量不断萎缩。</w:t>
      </w:r>
      <w:r w:rsidRPr="00D46E57">
        <w:rPr>
          <w:rFonts w:eastAsiaTheme="minorEastAsia"/>
          <w:kern w:val="0"/>
          <w:szCs w:val="21"/>
        </w:rPr>
        <w:t>2</w:t>
      </w:r>
      <w:r w:rsidRPr="00D46E57">
        <w:rPr>
          <w:rFonts w:eastAsiaTheme="minorEastAsia"/>
          <w:kern w:val="0"/>
          <w:szCs w:val="21"/>
        </w:rPr>
        <w:t>、</w:t>
      </w:r>
      <w:r w:rsidRPr="00D46E57">
        <w:rPr>
          <w:rFonts w:eastAsiaTheme="minorEastAsia"/>
          <w:kern w:val="0"/>
          <w:szCs w:val="21"/>
        </w:rPr>
        <w:t>3</w:t>
      </w:r>
      <w:r w:rsidRPr="00D46E57">
        <w:rPr>
          <w:rFonts w:eastAsiaTheme="minorEastAsia"/>
          <w:kern w:val="0"/>
          <w:szCs w:val="21"/>
        </w:rPr>
        <w:t>月创业板曾走出相对独立行情，然而</w:t>
      </w:r>
      <w:r w:rsidRPr="00D46E57">
        <w:rPr>
          <w:rFonts w:eastAsiaTheme="minorEastAsia"/>
          <w:kern w:val="0"/>
          <w:szCs w:val="21"/>
        </w:rPr>
        <w:t>2</w:t>
      </w:r>
      <w:r w:rsidRPr="00D46E57">
        <w:rPr>
          <w:rFonts w:eastAsiaTheme="minorEastAsia"/>
          <w:kern w:val="0"/>
          <w:szCs w:val="21"/>
        </w:rPr>
        <w:t>季度再度跑输以沪深</w:t>
      </w:r>
      <w:r w:rsidRPr="00D46E57">
        <w:rPr>
          <w:rFonts w:eastAsiaTheme="minorEastAsia"/>
          <w:kern w:val="0"/>
          <w:szCs w:val="21"/>
        </w:rPr>
        <w:t>300</w:t>
      </w:r>
      <w:r w:rsidRPr="00D46E57">
        <w:rPr>
          <w:rFonts w:eastAsiaTheme="minorEastAsia"/>
          <w:kern w:val="0"/>
          <w:szCs w:val="21"/>
        </w:rPr>
        <w:t>为代表的大盘蓝筹指数。除个别消费类行业如旅游、生物医药、白酒外，全市场各行业普跌，通信、电力设备、传媒、机械、券商等行业跌幅居前。市场的持续弱势源于相对不利的内外环境。债券方面，经济增长缓步下行、通胀平稳，整体环境有利于债券市场。但随着央行货币边际放松，资金利率持续维持在较低水平，以及意料之外的中美贸易摩擦不断升级，债券市场收益率出现明显下行。受到民营企业信用负面事件影响，市场对于中低等级、民营企业债券普遍规避，信用债流动性快速下降，信用利差扩大明显。本报告期内，本基金规模缩小过快，操作难度加大，结合基金自身情况和市场情况，保持了投资的稳健性。</w:t>
      </w:r>
    </w:p>
    <w:p w:rsidR="001548F9" w:rsidRPr="00D46E57" w:rsidRDefault="001548F9" w:rsidP="00610409">
      <w:pPr>
        <w:autoSpaceDE w:val="0"/>
        <w:autoSpaceDN w:val="0"/>
        <w:adjustRightInd w:val="0"/>
        <w:spacing w:beforeLines="100"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本报告期本基金</w:t>
      </w:r>
      <w:r w:rsidRPr="00D46E57">
        <w:rPr>
          <w:rFonts w:eastAsiaTheme="minorEastAsia"/>
          <w:kern w:val="0"/>
          <w:szCs w:val="21"/>
        </w:rPr>
        <w:t>A</w:t>
      </w:r>
      <w:r w:rsidRPr="00D46E57">
        <w:rPr>
          <w:rFonts w:eastAsiaTheme="minorEastAsia"/>
          <w:kern w:val="0"/>
          <w:szCs w:val="21"/>
        </w:rPr>
        <w:t>类份额净值增长率为</w:t>
      </w:r>
      <w:r w:rsidRPr="00D46E57">
        <w:rPr>
          <w:rFonts w:eastAsiaTheme="minorEastAsia"/>
          <w:kern w:val="0"/>
          <w:szCs w:val="21"/>
        </w:rPr>
        <w:t>0.62%</w:t>
      </w:r>
      <w:r w:rsidRPr="00D46E57">
        <w:rPr>
          <w:rFonts w:eastAsiaTheme="minorEastAsia"/>
          <w:kern w:val="0"/>
          <w:szCs w:val="21"/>
        </w:rPr>
        <w:t>，本基金</w:t>
      </w:r>
      <w:r w:rsidRPr="00D46E57">
        <w:rPr>
          <w:rFonts w:eastAsiaTheme="minorEastAsia"/>
          <w:kern w:val="0"/>
          <w:szCs w:val="21"/>
        </w:rPr>
        <w:t>C</w:t>
      </w:r>
      <w:r w:rsidRPr="00D46E57">
        <w:rPr>
          <w:rFonts w:eastAsiaTheme="minorEastAsia"/>
          <w:kern w:val="0"/>
          <w:szCs w:val="21"/>
        </w:rPr>
        <w:t>类基金份额净值增长率为</w:t>
      </w:r>
      <w:r w:rsidRPr="00D46E57">
        <w:rPr>
          <w:rFonts w:eastAsiaTheme="minorEastAsia"/>
          <w:kern w:val="0"/>
          <w:szCs w:val="21"/>
        </w:rPr>
        <w:t>0.19%</w:t>
      </w:r>
      <w:r w:rsidRPr="00D46E57">
        <w:rPr>
          <w:rFonts w:eastAsiaTheme="minorEastAsia"/>
          <w:kern w:val="0"/>
          <w:szCs w:val="21"/>
        </w:rPr>
        <w:t>，同期业绩比较基准收益率为</w:t>
      </w:r>
      <w:r w:rsidRPr="00D46E57">
        <w:rPr>
          <w:rFonts w:eastAsiaTheme="minorEastAsia"/>
          <w:kern w:val="0"/>
          <w:szCs w:val="21"/>
        </w:rPr>
        <w:t>-2.29%</w:t>
      </w:r>
      <w:r w:rsidRPr="00D46E57">
        <w:rPr>
          <w:rFonts w:eastAsiaTheme="minorEastAsia"/>
          <w:kern w:val="0"/>
          <w:szCs w:val="21"/>
        </w:rPr>
        <w:t>。</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28" w:name="_Toc225498259"/>
      <w:bookmarkStart w:id="29" w:name="_Toc374532305"/>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28"/>
      <w:bookmarkEnd w:id="29"/>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展望下半年，货币政策将维持温和，财政减税更为积极，中国经济将在内外压力的推动下加快转型升级，内需消费成为经济增长的核心动力，同时贸易摩擦将刺激国内相关高科技行业的进口替代。总体来看，</w:t>
      </w:r>
      <w:r w:rsidRPr="00D46E57">
        <w:rPr>
          <w:rFonts w:eastAsiaTheme="minorEastAsia"/>
          <w:kern w:val="0"/>
          <w:szCs w:val="21"/>
        </w:rPr>
        <w:t>A</w:t>
      </w:r>
      <w:r w:rsidRPr="00D46E57">
        <w:rPr>
          <w:rFonts w:eastAsiaTheme="minorEastAsia"/>
          <w:kern w:val="0"/>
          <w:szCs w:val="21"/>
        </w:rPr>
        <w:t>股市场估值处于历史相对低位，但市场情绪偏保守，难以排除进一步下跌的可能，预计低估值消费股、前期超跌的科技股将有相对收益。债券方面，经济增长的疲态逐步显现，信用利差长期居于高位将实质性影响到企业的再融资和经营，中国经济将在内外压力的推动下加快转型升级。在这一背景下债市仍然具备配置价值。同时，随着政策上对中小微企业融资更加重视，信用风险的逐步释放将为信用债投资带来新的机会，但这一过程尚需严格的观察和考证。</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30" w:name="_Toc247959457"/>
      <w:bookmarkStart w:id="31" w:name="_Toc225570083"/>
      <w:bookmarkStart w:id="32" w:name="_Toc374532306"/>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0"/>
      <w:bookmarkEnd w:id="31"/>
      <w:bookmarkEnd w:id="3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33" w:name="_Toc247959458"/>
      <w:bookmarkStart w:id="34" w:name="_Toc225570084"/>
      <w:bookmarkStart w:id="35" w:name="_Toc374532307"/>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3"/>
      <w:bookmarkEnd w:id="34"/>
      <w:bookmarkEnd w:id="35"/>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本报告期本基金未实施利润分配。</w:t>
      </w:r>
    </w:p>
    <w:p w:rsidR="008C218B" w:rsidRPr="00D46E57" w:rsidRDefault="008C218B" w:rsidP="00610409">
      <w:pPr>
        <w:pStyle w:val="20"/>
        <w:spacing w:beforeLines="100" w:after="0"/>
        <w:rPr>
          <w:rFonts w:eastAsiaTheme="minorEastAsia"/>
          <w:color w:val="000000" w:themeColor="text1"/>
          <w:szCs w:val="21"/>
        </w:rPr>
      </w:pPr>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p>
    <w:p w:rsidR="00BD7683" w:rsidRDefault="00CB0B4B">
      <w:pPr>
        <w:spacing w:line="360" w:lineRule="auto"/>
        <w:ind w:firstLineChars="200" w:firstLine="420"/>
        <w:rPr>
          <w:rFonts w:eastAsiaTheme="minorEastAsia"/>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基金管理人拟调整本基金运作方式，加大营销力度，提升基金规模，方案已报监管机关。</w:t>
      </w: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36" w:name="_Toc225498263"/>
      <w:bookmarkStart w:id="37" w:name="_Toc374532308"/>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6"/>
      <w:bookmarkEnd w:id="37"/>
    </w:p>
    <w:p w:rsidR="001548F9" w:rsidRPr="00D46E57" w:rsidRDefault="001548F9" w:rsidP="000D3DE9">
      <w:pPr>
        <w:pStyle w:val="20"/>
        <w:spacing w:before="0" w:after="0"/>
        <w:rPr>
          <w:rFonts w:ascii="Times New Roman" w:eastAsiaTheme="minorEastAsia" w:hAnsi="Times New Roman"/>
          <w:kern w:val="0"/>
          <w:sz w:val="21"/>
          <w:szCs w:val="21"/>
        </w:rPr>
      </w:pPr>
      <w:bookmarkStart w:id="38" w:name="_Toc225498264"/>
      <w:bookmarkStart w:id="39" w:name="_Toc374532309"/>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38"/>
      <w:bookmarkEnd w:id="39"/>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本基金托管人在托管上投摩根安腾回报混合型证券投资基金过程中，严格遵守了《中华人民共和国证券投资基金法》及其他有关法律法规和基金合同的有关规定，不存在损害基金份额持有人利益的行为，尽职尽责地履行了基金托管人应尽的义务。</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40" w:name="_Toc225498265"/>
      <w:bookmarkStart w:id="41" w:name="_Toc374532310"/>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0"/>
      <w:r w:rsidRPr="00D46E57">
        <w:rPr>
          <w:rFonts w:ascii="Times New Roman" w:eastAsiaTheme="minorEastAsia" w:hAnsi="Times New Roman"/>
          <w:kern w:val="0"/>
          <w:sz w:val="21"/>
          <w:szCs w:val="21"/>
        </w:rPr>
        <w:t>说明</w:t>
      </w:r>
      <w:bookmarkEnd w:id="4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本基金托管人按照相关法律法规、基金合同、托管协议和其他有关规定，对本基金的基金资产净值计算、利润分配、基金费用开支等方面进行了认真的复核，对本基金的投资运作进行了监督，未发现基金管理人有损害基金份额持有人利益的行为。</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42" w:name="_Toc225498266"/>
      <w:bookmarkStart w:id="43" w:name="_Toc374532311"/>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托管人对本半年度报告中财务信息等内容的真实、准确和完整发表意见</w:t>
      </w:r>
      <w:bookmarkEnd w:id="42"/>
      <w:bookmarkEnd w:id="43"/>
    </w:p>
    <w:p w:rsidR="00E65DE7" w:rsidRDefault="00E65DE7" w:rsidP="00E65DE7">
      <w:pPr>
        <w:spacing w:line="360" w:lineRule="auto"/>
        <w:ind w:firstLine="420"/>
        <w:rPr>
          <w:kern w:val="0"/>
          <w:szCs w:val="21"/>
        </w:rPr>
      </w:pPr>
      <w:r>
        <w:rPr>
          <w:rFonts w:ascii="宋体" w:hAnsi="宋体" w:hint="eastAsia"/>
          <w:color w:val="000000"/>
        </w:rPr>
        <w:t>本托管人复核了本年度报告中的财务指标、净值表现、财务会计报告、利润分配情况、投资组合报告的内容（注：财务会计报告中的“金融工具风险及管理”部分，以及涉及关联方和基金份额持有人信息等相关数据未在托管人复核范围内），保证复核内容真实、准确和完整，不存在虚假记载、误导性陈述或者重大遗漏。</w:t>
      </w:r>
    </w:p>
    <w:p w:rsidR="001548F9" w:rsidRPr="00D46E57" w:rsidRDefault="002464EA" w:rsidP="00610409">
      <w:pPr>
        <w:pStyle w:val="1"/>
        <w:keepNext/>
        <w:keepLines/>
        <w:widowControl w:val="0"/>
        <w:spacing w:beforeLines="100" w:afterLines="100" w:line="360" w:lineRule="auto"/>
        <w:jc w:val="center"/>
        <w:rPr>
          <w:rFonts w:eastAsiaTheme="minorEastAsia"/>
          <w:b/>
          <w:bCs/>
          <w:sz w:val="21"/>
          <w:szCs w:val="21"/>
          <w:lang w:val="en-US"/>
        </w:rPr>
      </w:pPr>
      <w:bookmarkStart w:id="44" w:name="_Toc374532312"/>
      <w:r w:rsidRPr="00D46E57">
        <w:rPr>
          <w:rFonts w:eastAsiaTheme="minorEastAsia" w:hint="eastAsia"/>
          <w:b/>
          <w:bCs/>
          <w:sz w:val="21"/>
          <w:szCs w:val="21"/>
          <w:lang w:val="en-US"/>
        </w:rPr>
        <w:t>6</w:t>
      </w:r>
      <w:r w:rsidR="001548F9" w:rsidRPr="00D46E57">
        <w:rPr>
          <w:rFonts w:eastAsiaTheme="minorEastAsia"/>
          <w:b/>
          <w:bCs/>
          <w:sz w:val="21"/>
          <w:szCs w:val="21"/>
          <w:lang w:val="en-US"/>
        </w:rPr>
        <w:t>半年度财务会计报告（未经审计）</w:t>
      </w:r>
      <w:bookmarkEnd w:id="44"/>
    </w:p>
    <w:p w:rsidR="001548F9" w:rsidRPr="00D46E57" w:rsidRDefault="002464EA" w:rsidP="000D3DE9">
      <w:pPr>
        <w:pStyle w:val="20"/>
        <w:spacing w:before="0" w:after="0"/>
        <w:rPr>
          <w:rFonts w:ascii="Times New Roman" w:eastAsiaTheme="minorEastAsia" w:hAnsi="Times New Roman"/>
          <w:kern w:val="0"/>
          <w:sz w:val="21"/>
          <w:szCs w:val="21"/>
        </w:rPr>
      </w:pPr>
      <w:bookmarkStart w:id="45" w:name="_Toc225498268"/>
      <w:bookmarkStart w:id="46" w:name="_Toc37453231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5"/>
      <w:bookmarkEnd w:id="46"/>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会计主体：上投摩根安腾回报混合型证券投资基金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5040"/>
      </w:tblGrid>
      <w:tr w:rsidR="00CB0B4B" w:rsidRPr="00D46E57" w:rsidTr="00CB0B4B">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504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2018</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r>
      <w:tr w:rsidR="00CB0B4B" w:rsidRPr="00D46E57" w:rsidTr="00CB0B4B">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1,656,475.74</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161,818.18</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42.18</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235099">
            <w:pPr>
              <w:pStyle w:val="af6"/>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700,000.00</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334.80</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6"/>
              <w:jc w:val="center"/>
              <w:rPr>
                <w:rFonts w:ascii="Times New Roman" w:eastAsiaTheme="minorEastAsia" w:hAnsi="Times New Roman"/>
                <w:b/>
                <w:color w:val="000000"/>
                <w:sz w:val="21"/>
                <w:szCs w:val="21"/>
              </w:rPr>
            </w:pPr>
          </w:p>
        </w:tc>
        <w:tc>
          <w:tcPr>
            <w:tcW w:w="504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2,518,670.90</w:t>
            </w:r>
          </w:p>
        </w:tc>
      </w:tr>
      <w:tr w:rsidR="00CB0B4B" w:rsidRPr="00D46E57" w:rsidTr="00CB0B4B">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504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2018</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r>
      <w:tr w:rsidR="00CB0B4B" w:rsidRPr="00D46E57" w:rsidTr="00CB0B4B">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700,000.00</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100.24</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1,018.70</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169.78</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250.39</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1,200.00</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38,397.44</w:t>
            </w:r>
          </w:p>
        </w:tc>
      </w:tr>
      <w:tr w:rsidR="00CB0B4B" w:rsidRPr="00D46E57" w:rsidTr="00CB0B4B">
        <w:tc>
          <w:tcPr>
            <w:tcW w:w="2880" w:type="dxa"/>
            <w:vAlign w:val="center"/>
          </w:tcPr>
          <w:p w:rsidR="001548F9" w:rsidRPr="00D46E57" w:rsidRDefault="001548F9" w:rsidP="00F73D0C">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741,136.55</w:t>
            </w:r>
          </w:p>
        </w:tc>
      </w:tr>
      <w:tr w:rsidR="00CB0B4B" w:rsidRPr="00D46E57" w:rsidTr="00CB0B4B">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1,769,656.01</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7,878.34</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1,777,534.35</w:t>
            </w:r>
          </w:p>
        </w:tc>
      </w:tr>
      <w:tr w:rsidR="00CB0B4B" w:rsidRPr="00D46E57" w:rsidTr="00CB0B4B">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504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2,518,670.90</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注：报告截止日</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日，基金份额总额</w:t>
      </w:r>
      <w:r w:rsidRPr="00D46E57">
        <w:rPr>
          <w:rFonts w:eastAsiaTheme="minorEastAsia"/>
          <w:kern w:val="0"/>
          <w:szCs w:val="21"/>
        </w:rPr>
        <w:t>1,769,656.01</w:t>
      </w:r>
      <w:r w:rsidRPr="00D46E57">
        <w:rPr>
          <w:rFonts w:eastAsiaTheme="minorEastAsia"/>
          <w:kern w:val="0"/>
          <w:szCs w:val="21"/>
        </w:rPr>
        <w:t>份，其中</w:t>
      </w:r>
      <w:r w:rsidRPr="00D46E57">
        <w:rPr>
          <w:rFonts w:eastAsiaTheme="minorEastAsia"/>
          <w:kern w:val="0"/>
          <w:szCs w:val="21"/>
        </w:rPr>
        <w:t>A</w:t>
      </w:r>
      <w:r w:rsidRPr="00D46E57">
        <w:rPr>
          <w:rFonts w:eastAsiaTheme="minorEastAsia"/>
          <w:kern w:val="0"/>
          <w:szCs w:val="21"/>
        </w:rPr>
        <w:t>类份额</w:t>
      </w:r>
      <w:r w:rsidRPr="00D46E57">
        <w:rPr>
          <w:rFonts w:eastAsiaTheme="minorEastAsia"/>
          <w:kern w:val="0"/>
          <w:szCs w:val="21"/>
        </w:rPr>
        <w:t>1,042,874.01</w:t>
      </w:r>
      <w:r w:rsidRPr="00D46E57">
        <w:rPr>
          <w:rFonts w:eastAsiaTheme="minorEastAsia"/>
          <w:kern w:val="0"/>
          <w:szCs w:val="21"/>
        </w:rPr>
        <w:t>份，</w:t>
      </w:r>
      <w:r w:rsidRPr="00D46E57">
        <w:rPr>
          <w:rFonts w:eastAsiaTheme="minorEastAsia"/>
          <w:kern w:val="0"/>
          <w:szCs w:val="21"/>
        </w:rPr>
        <w:t>C</w:t>
      </w:r>
      <w:r w:rsidRPr="00D46E57">
        <w:rPr>
          <w:rFonts w:eastAsiaTheme="minorEastAsia"/>
          <w:kern w:val="0"/>
          <w:szCs w:val="21"/>
        </w:rPr>
        <w:t>类份额</w:t>
      </w:r>
      <w:r w:rsidRPr="00D46E57">
        <w:rPr>
          <w:rFonts w:eastAsiaTheme="minorEastAsia"/>
          <w:kern w:val="0"/>
          <w:szCs w:val="21"/>
        </w:rPr>
        <w:t>726,782.00</w:t>
      </w:r>
      <w:r w:rsidRPr="00D46E57">
        <w:rPr>
          <w:rFonts w:eastAsiaTheme="minorEastAsia"/>
          <w:kern w:val="0"/>
          <w:szCs w:val="21"/>
        </w:rPr>
        <w:t>份。</w:t>
      </w:r>
      <w:r w:rsidRPr="00D46E57">
        <w:rPr>
          <w:rFonts w:eastAsiaTheme="minorEastAsia"/>
          <w:kern w:val="0"/>
          <w:szCs w:val="21"/>
        </w:rPr>
        <w:t>A</w:t>
      </w:r>
      <w:r w:rsidRPr="00D46E57">
        <w:rPr>
          <w:rFonts w:eastAsiaTheme="minorEastAsia"/>
          <w:kern w:val="0"/>
          <w:szCs w:val="21"/>
        </w:rPr>
        <w:t>类份额净值</w:t>
      </w:r>
      <w:r w:rsidRPr="00D46E57">
        <w:rPr>
          <w:rFonts w:eastAsiaTheme="minorEastAsia"/>
          <w:kern w:val="0"/>
          <w:szCs w:val="21"/>
        </w:rPr>
        <w:t>1.0062</w:t>
      </w:r>
      <w:r w:rsidRPr="00D46E57">
        <w:rPr>
          <w:rFonts w:eastAsiaTheme="minorEastAsia"/>
          <w:kern w:val="0"/>
          <w:szCs w:val="21"/>
        </w:rPr>
        <w:t>元，</w:t>
      </w:r>
      <w:r w:rsidRPr="00D46E57">
        <w:rPr>
          <w:rFonts w:eastAsiaTheme="minorEastAsia"/>
          <w:kern w:val="0"/>
          <w:szCs w:val="21"/>
        </w:rPr>
        <w:t>C</w:t>
      </w:r>
      <w:r w:rsidRPr="00D46E57">
        <w:rPr>
          <w:rFonts w:eastAsiaTheme="minorEastAsia"/>
          <w:kern w:val="0"/>
          <w:szCs w:val="21"/>
        </w:rPr>
        <w:t>类份额净值</w:t>
      </w:r>
      <w:r w:rsidRPr="00D46E57">
        <w:rPr>
          <w:rFonts w:eastAsiaTheme="minorEastAsia"/>
          <w:kern w:val="0"/>
          <w:szCs w:val="21"/>
        </w:rPr>
        <w:t>1.0019</w:t>
      </w:r>
      <w:r w:rsidRPr="00D46E57">
        <w:rPr>
          <w:rFonts w:eastAsiaTheme="minorEastAsia"/>
          <w:kern w:val="0"/>
          <w:szCs w:val="21"/>
        </w:rPr>
        <w:t>元。</w:t>
      </w:r>
    </w:p>
    <w:p w:rsidR="001548F9" w:rsidRPr="00D46E57" w:rsidRDefault="002464EA" w:rsidP="00610409">
      <w:pPr>
        <w:pStyle w:val="20"/>
        <w:spacing w:beforeLines="100" w:after="0"/>
        <w:rPr>
          <w:rFonts w:ascii="Times New Roman" w:eastAsiaTheme="minorEastAsia" w:hAnsi="Times New Roman"/>
          <w:kern w:val="0"/>
          <w:sz w:val="21"/>
          <w:szCs w:val="21"/>
        </w:rPr>
      </w:pPr>
      <w:bookmarkStart w:id="47" w:name="_Toc225498269"/>
      <w:bookmarkStart w:id="48" w:name="_Toc374532314"/>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47"/>
      <w:bookmarkEnd w:id="48"/>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上投摩根安腾回报混合型证券投资基金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日（基金合同生效日）至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4500"/>
      </w:tblGrid>
      <w:tr w:rsidR="00CB0B4B" w:rsidRPr="00D46E57" w:rsidTr="00CB0B4B">
        <w:tc>
          <w:tcPr>
            <w:tcW w:w="342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450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2018</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2</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27</w:t>
            </w:r>
            <w:r w:rsidRPr="00D46E57">
              <w:rPr>
                <w:rFonts w:ascii="Times New Roman" w:eastAsiaTheme="minorEastAsia" w:hAnsi="Times New Roman"/>
                <w:sz w:val="21"/>
                <w:szCs w:val="21"/>
              </w:rPr>
              <w:t>日（基金合同生效日）至</w:t>
            </w:r>
            <w:r w:rsidRPr="00D46E57">
              <w:rPr>
                <w:rFonts w:ascii="Times New Roman" w:eastAsiaTheme="minorEastAsia" w:hAnsi="Times New Roman"/>
                <w:sz w:val="21"/>
                <w:szCs w:val="21"/>
              </w:rPr>
              <w:t>2018</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CB0B4B" w:rsidRPr="00D46E57" w:rsidTr="00CB0B4B">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450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841,439.54</w:t>
            </w:r>
          </w:p>
        </w:tc>
      </w:tr>
      <w:tr w:rsidR="00CB0B4B" w:rsidRPr="00D46E57" w:rsidTr="00CB0B4B">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828,990.41</w:t>
            </w:r>
          </w:p>
        </w:tc>
      </w:tr>
      <w:tr w:rsidR="00CB0B4B" w:rsidRPr="00D46E57" w:rsidTr="00CB0B4B">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511,320.73</w:t>
            </w:r>
          </w:p>
        </w:tc>
      </w:tr>
      <w:tr w:rsidR="00CB0B4B" w:rsidRPr="00D46E57" w:rsidTr="00CB0B4B">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29,803.54</w:t>
            </w:r>
          </w:p>
        </w:tc>
      </w:tr>
      <w:tr w:rsidR="00CB0B4B" w:rsidRPr="00D46E57" w:rsidTr="00CB0B4B">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287,866.14</w:t>
            </w:r>
          </w:p>
        </w:tc>
      </w:tr>
      <w:tr w:rsidR="00CB0B4B" w:rsidRPr="00D46E57" w:rsidTr="00CB0B4B">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7,963.35</w:t>
            </w:r>
          </w:p>
        </w:tc>
      </w:tr>
      <w:tr w:rsidR="00CB0B4B" w:rsidRPr="00D46E57" w:rsidTr="00CB0B4B">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7,963.35</w:t>
            </w:r>
          </w:p>
        </w:tc>
      </w:tr>
      <w:tr w:rsidR="00CB0B4B" w:rsidRPr="00D46E57" w:rsidTr="00CB0B4B">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4,485.78</w:t>
            </w:r>
          </w:p>
        </w:tc>
      </w:tr>
      <w:tr w:rsidR="00CB0B4B" w:rsidRPr="00D46E57" w:rsidTr="00CB0B4B">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280,126.81</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144,133.07</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24,022.19</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70,386.24</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1,206.26</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68318A" w:rsidRPr="00D46E57" w:rsidRDefault="0068318A" w:rsidP="00F57286">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F57286">
            <w:pPr>
              <w:pStyle w:val="af6"/>
              <w:jc w:val="center"/>
              <w:rPr>
                <w:rFonts w:ascii="Times New Roman" w:eastAsiaTheme="minorEastAsia" w:hAnsi="Times New Roman"/>
                <w:sz w:val="21"/>
                <w:szCs w:val="21"/>
              </w:rPr>
            </w:pPr>
          </w:p>
        </w:tc>
        <w:tc>
          <w:tcPr>
            <w:tcW w:w="4500" w:type="dxa"/>
            <w:vAlign w:val="bottom"/>
          </w:tcPr>
          <w:p w:rsidR="0068318A" w:rsidRPr="00D46E57" w:rsidRDefault="0068318A" w:rsidP="00F57286">
            <w:pPr>
              <w:jc w:val="right"/>
              <w:rPr>
                <w:rFonts w:eastAsiaTheme="minorEastAsia"/>
                <w:szCs w:val="21"/>
              </w:rPr>
            </w:pPr>
            <w:r w:rsidRPr="00D46E57">
              <w:rPr>
                <w:rFonts w:eastAsiaTheme="minorEastAsia"/>
                <w:szCs w:val="21"/>
              </w:rPr>
              <w:t>0.24</w:t>
            </w:r>
          </w:p>
        </w:tc>
      </w:tr>
      <w:tr w:rsidR="00CB0B4B" w:rsidRPr="00D46E57" w:rsidTr="00CB0B4B">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40,378.81</w:t>
            </w:r>
          </w:p>
        </w:tc>
      </w:tr>
      <w:tr w:rsidR="00CB0B4B" w:rsidRPr="00D46E57" w:rsidTr="00CB0B4B">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561,312.73</w:t>
            </w:r>
          </w:p>
        </w:tc>
      </w:tr>
      <w:tr w:rsidR="00CB0B4B" w:rsidRPr="00D46E57" w:rsidTr="00CB0B4B">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B0B4B" w:rsidRPr="00D46E57" w:rsidTr="00CB0B4B">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561,312.73</w:t>
            </w:r>
          </w:p>
        </w:tc>
      </w:tr>
    </w:tbl>
    <w:p w:rsidR="001548F9" w:rsidRPr="00D46E57" w:rsidRDefault="002464EA" w:rsidP="00610409">
      <w:pPr>
        <w:pStyle w:val="20"/>
        <w:spacing w:beforeLines="100" w:after="0"/>
        <w:rPr>
          <w:rFonts w:ascii="Times New Roman" w:eastAsiaTheme="minorEastAsia" w:hAnsi="Times New Roman"/>
          <w:kern w:val="0"/>
          <w:sz w:val="21"/>
          <w:szCs w:val="21"/>
        </w:rPr>
      </w:pPr>
      <w:bookmarkStart w:id="49" w:name="_Toc225498270"/>
      <w:bookmarkStart w:id="50" w:name="_Toc374532315"/>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49"/>
      <w:bookmarkEnd w:id="50"/>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上投摩根安腾回报混合型证券投资基金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日（基金合同生效日）至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2018</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2</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27</w:t>
            </w:r>
            <w:r w:rsidRPr="00D46E57">
              <w:rPr>
                <w:rFonts w:ascii="Times New Roman" w:eastAsiaTheme="minorEastAsia" w:hAnsi="Times New Roman"/>
                <w:sz w:val="21"/>
                <w:szCs w:val="21"/>
              </w:rPr>
              <w:t>日（基金合同生效日）至</w:t>
            </w:r>
            <w:r w:rsidRPr="00D46E57">
              <w:rPr>
                <w:rFonts w:ascii="Times New Roman" w:eastAsiaTheme="minorEastAsia" w:hAnsi="Times New Roman"/>
                <w:sz w:val="21"/>
                <w:szCs w:val="21"/>
              </w:rPr>
              <w:t>2018</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206,897,816.93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206,897,816.93</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561,312.73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561,312.73</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-205,128,160.92</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-553,434.39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-205,681,595.31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3,347.96</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18.38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3,366.34</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-205,131,508.88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-553,452.77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-205,684,961.65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1,769,656.01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7,878.34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1,777,534.35</w:t>
            </w:r>
          </w:p>
        </w:tc>
      </w:tr>
    </w:tbl>
    <w:p w:rsidR="0039626A" w:rsidRPr="00D46E57" w:rsidRDefault="0039626A" w:rsidP="00610409">
      <w:pPr>
        <w:spacing w:beforeLines="100"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负责人：章硕麟，主管会计工作负责人：杨怡，会计机构负责人：张璐</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51" w:name="_Toc225498271"/>
      <w:bookmarkStart w:id="52" w:name="_Toc374532316"/>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1"/>
      <w:bookmarkEnd w:id="52"/>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BD7683" w:rsidRDefault="00CB0B4B">
      <w:pPr>
        <w:spacing w:line="360" w:lineRule="auto"/>
        <w:ind w:firstLineChars="200" w:firstLine="420"/>
        <w:rPr>
          <w:rFonts w:eastAsiaTheme="minorEastAsia"/>
          <w:kern w:val="0"/>
          <w:szCs w:val="21"/>
        </w:rPr>
      </w:pPr>
      <w:r>
        <w:rPr>
          <w:rFonts w:eastAsiaTheme="minorEastAsia"/>
          <w:kern w:val="0"/>
          <w:szCs w:val="21"/>
        </w:rPr>
        <w:t>上投摩根安腾回报混合型证券投资基金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[2017]773</w:t>
      </w:r>
      <w:r>
        <w:rPr>
          <w:rFonts w:eastAsiaTheme="minorEastAsia"/>
          <w:kern w:val="0"/>
          <w:szCs w:val="21"/>
        </w:rPr>
        <w:t>号《关于准予上投摩根安腾回报混合型证券投资基金注册的批复》核准，由上投摩根基金管理有限公司依照《中华人民共和国证券投资基金法》和《上投摩根安腾回报混合型证券投资基金基金合同》负责公开募集。本基金为契约型开放式，存续期限不定，首次设立募集不包括认购资金利息共募集人民币</w:t>
      </w:r>
      <w:r>
        <w:rPr>
          <w:rFonts w:eastAsiaTheme="minorEastAsia"/>
          <w:kern w:val="0"/>
          <w:szCs w:val="21"/>
        </w:rPr>
        <w:t>206,877,081.45</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0124</w:t>
      </w:r>
      <w:r>
        <w:rPr>
          <w:rFonts w:eastAsiaTheme="minorEastAsia"/>
          <w:kern w:val="0"/>
          <w:szCs w:val="21"/>
        </w:rPr>
        <w:t>号验资报告予以验证。经向中国证监会备案，《上投摩根安腾回报混合型证券投资基金基金合同》于</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27</w:t>
      </w:r>
      <w:r>
        <w:rPr>
          <w:rFonts w:eastAsiaTheme="minorEastAsia"/>
          <w:kern w:val="0"/>
          <w:szCs w:val="21"/>
        </w:rPr>
        <w:t>日正式生效，基金合同生效日的基金份额总额为</w:t>
      </w:r>
      <w:r>
        <w:rPr>
          <w:rFonts w:eastAsiaTheme="minorEastAsia"/>
          <w:kern w:val="0"/>
          <w:szCs w:val="21"/>
        </w:rPr>
        <w:t>206,897,816.93</w:t>
      </w:r>
      <w:r>
        <w:rPr>
          <w:rFonts w:eastAsiaTheme="minorEastAsia"/>
          <w:kern w:val="0"/>
          <w:szCs w:val="21"/>
        </w:rPr>
        <w:t>份基金份额，其中认购资金利息折合</w:t>
      </w:r>
      <w:r>
        <w:rPr>
          <w:rFonts w:eastAsiaTheme="minorEastAsia"/>
          <w:kern w:val="0"/>
          <w:szCs w:val="21"/>
        </w:rPr>
        <w:t>20,735.48</w:t>
      </w:r>
      <w:r>
        <w:rPr>
          <w:rFonts w:eastAsiaTheme="minorEastAsia"/>
          <w:kern w:val="0"/>
          <w:szCs w:val="21"/>
        </w:rPr>
        <w:t>份基金份额。本基金的基金管理人为上投摩根基金管理有限公司，基金托管人为北京银行股份有限公司。</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根据《上投摩根安腾回报混合型证券投资基金基金合同》和《上投摩根安腾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类基金份额分别计算基金份额净值并分别公告。投资人可自行选择认购、申购的基金份额类别，但不同基金份额类别之间不得互相转换。</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根据《中华人民共和国证券投资基金法》和《上投摩根安腾回报混合型证券投资基金基金合同》的有关规定，本基金的投资范围为具有良好流动性的金融工具，包括国内依法发行上市的股票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、权证、国债、央行票据、金融债、企业债、公司债、中期票据、可转换债券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。本基金的投资组合比例为：股票资产占基金资产的</w:t>
      </w:r>
      <w:r>
        <w:rPr>
          <w:rFonts w:eastAsiaTheme="minorEastAsia"/>
          <w:kern w:val="0"/>
          <w:szCs w:val="21"/>
        </w:rPr>
        <w:t>5%-50%</w:t>
      </w:r>
      <w:r>
        <w:rPr>
          <w:rFonts w:eastAsiaTheme="minorEastAsia"/>
          <w:kern w:val="0"/>
          <w:szCs w:val="21"/>
        </w:rPr>
        <w:t>；每个交易日日终在扣除股指期货合约及股票期权合约需缴纳的交易保证金后，现金或到期日在一年期以内的政府债券不低于基金资产净值的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，其中现金不包括结算备付金、存出保证金、应收申购款等。本基金的业绩比较基准为：沪深</w:t>
      </w:r>
      <w:r>
        <w:rPr>
          <w:rFonts w:eastAsiaTheme="minorEastAsia"/>
          <w:kern w:val="0"/>
          <w:szCs w:val="21"/>
        </w:rPr>
        <w:t>300</w:t>
      </w:r>
      <w:r>
        <w:rPr>
          <w:rFonts w:eastAsiaTheme="minorEastAsia"/>
          <w:kern w:val="0"/>
          <w:szCs w:val="21"/>
        </w:rPr>
        <w:t>指数收益率</w:t>
      </w:r>
      <w:r>
        <w:rPr>
          <w:rFonts w:eastAsiaTheme="minorEastAsia"/>
          <w:kern w:val="0"/>
          <w:szCs w:val="21"/>
        </w:rPr>
        <w:t>X30%+</w:t>
      </w:r>
      <w:r>
        <w:rPr>
          <w:rFonts w:eastAsiaTheme="minorEastAsia"/>
          <w:kern w:val="0"/>
          <w:szCs w:val="21"/>
        </w:rPr>
        <w:t>中证综合债券指数收益率</w:t>
      </w:r>
      <w:r>
        <w:rPr>
          <w:rFonts w:eastAsiaTheme="minorEastAsia"/>
          <w:kern w:val="0"/>
          <w:szCs w:val="21"/>
        </w:rPr>
        <w:t>X70%</w:t>
      </w:r>
      <w:r>
        <w:rPr>
          <w:rFonts w:eastAsiaTheme="minorEastAsia"/>
          <w:kern w:val="0"/>
          <w:szCs w:val="21"/>
        </w:rPr>
        <w:t>。</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 xml:space="preserve"> 2018 </w:t>
      </w:r>
      <w:r w:rsidRPr="00D46E57">
        <w:rPr>
          <w:rFonts w:eastAsiaTheme="minorEastAsia"/>
          <w:kern w:val="0"/>
          <w:szCs w:val="21"/>
        </w:rPr>
        <w:t>年</w:t>
      </w:r>
      <w:r w:rsidRPr="00D46E57">
        <w:rPr>
          <w:rFonts w:eastAsiaTheme="minorEastAsia"/>
          <w:kern w:val="0"/>
          <w:szCs w:val="21"/>
        </w:rPr>
        <w:t xml:space="preserve"> 8 </w:t>
      </w:r>
      <w:r w:rsidRPr="00D46E57">
        <w:rPr>
          <w:rFonts w:eastAsiaTheme="minorEastAsia"/>
          <w:kern w:val="0"/>
          <w:szCs w:val="21"/>
        </w:rPr>
        <w:t>月</w:t>
      </w:r>
      <w:r w:rsidRPr="00D46E57">
        <w:rPr>
          <w:rFonts w:eastAsiaTheme="minorEastAsia"/>
          <w:kern w:val="0"/>
          <w:szCs w:val="21"/>
        </w:rPr>
        <w:t xml:space="preserve">24 </w:t>
      </w:r>
      <w:r w:rsidRPr="00D46E57">
        <w:rPr>
          <w:rFonts w:eastAsiaTheme="minorEastAsia"/>
          <w:kern w:val="0"/>
          <w:szCs w:val="21"/>
        </w:rPr>
        <w:t>日批准报出。</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颁布的《证券投资基金会计核算业务指引》、《上投摩根安腾回报混合型证券投资基金基金合同》和在财务报表附注</w:t>
      </w:r>
      <w:r>
        <w:rPr>
          <w:rFonts w:eastAsiaTheme="minorEastAsia"/>
          <w:kern w:val="0"/>
          <w:szCs w:val="21"/>
        </w:rPr>
        <w:t>7.4.4</w:t>
      </w:r>
      <w:r>
        <w:rPr>
          <w:rFonts w:eastAsiaTheme="minorEastAsia"/>
          <w:kern w:val="0"/>
          <w:szCs w:val="21"/>
        </w:rPr>
        <w:t>所列示的中国证监会、中国基金业协会发布的有关规定及允许的基金行业实务操作编制。</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2018</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2018</w:t>
      </w:r>
      <w:r w:rsidRPr="00D46E57">
        <w:rPr>
          <w:rFonts w:eastAsiaTheme="minorEastAsia"/>
          <w:kern w:val="0"/>
          <w:szCs w:val="21"/>
        </w:rPr>
        <w:t>上半年度的经营成果和基金净值变动情况等有关信息。</w:t>
      </w:r>
    </w:p>
    <w:p w:rsidR="00445FEE" w:rsidRPr="00D46E57" w:rsidRDefault="001548F9" w:rsidP="00610409">
      <w:pPr>
        <w:autoSpaceDE w:val="0"/>
        <w:autoSpaceDN w:val="0"/>
        <w:adjustRightInd w:val="0"/>
        <w:spacing w:beforeLines="100"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重要会计政策和会计估计</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 xml:space="preserve">6.4.4.1 </w:t>
      </w:r>
      <w:r w:rsidRPr="00D46E57">
        <w:rPr>
          <w:rFonts w:eastAsiaTheme="minorEastAsia"/>
          <w:b/>
          <w:bCs/>
          <w:color w:val="000000"/>
          <w:kern w:val="0"/>
          <w:szCs w:val="21"/>
        </w:rPr>
        <w:t>会计年度</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本基金会计年度为公历</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日起至</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日止。本期财务报表的实际编制期间为</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基金合同生效日</w:t>
      </w:r>
      <w:r w:rsidRPr="00D46E57">
        <w:rPr>
          <w:rFonts w:eastAsiaTheme="minorEastAsia"/>
          <w:kern w:val="0"/>
          <w:szCs w:val="21"/>
        </w:rPr>
        <w:t>)</w:t>
      </w:r>
      <w:r w:rsidRPr="00D46E57">
        <w:rPr>
          <w:rFonts w:eastAsiaTheme="minorEastAsia"/>
          <w:kern w:val="0"/>
          <w:szCs w:val="21"/>
        </w:rPr>
        <w:t>至</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日止期间。</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6.4.4.2</w:t>
      </w:r>
      <w:r w:rsidRPr="00D46E57">
        <w:rPr>
          <w:rFonts w:eastAsiaTheme="minorEastAsia"/>
          <w:b/>
          <w:bCs/>
          <w:color w:val="000000"/>
          <w:kern w:val="0"/>
          <w:szCs w:val="21"/>
        </w:rPr>
        <w:t>记账本位币</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本基金的记账本位币为人民币。</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6.4.4.3</w:t>
      </w:r>
      <w:r w:rsidRPr="00D46E57">
        <w:rPr>
          <w:rFonts w:eastAsiaTheme="minorEastAsia"/>
          <w:b/>
          <w:bCs/>
          <w:color w:val="000000"/>
          <w:kern w:val="0"/>
          <w:szCs w:val="21"/>
        </w:rPr>
        <w:t>金融资产和金融负债的分类</w:t>
      </w: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金融资产的分类</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目前以交易目的持有的股票投资、债券投资和资产支持证券投资分类为以公允价值计量且其变动计入当期损益的金融资产。以公允价值计量且其公允价值变动计入损益的金融资产在资产负债表中以交易性金融资产列示。</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本基金持有的其他金融资产分类为应收款项，包括银行存款和其他各类应收款项等。应收款项是指在活跃市场中没有报价、回收金额固定或可确定的非衍生金融资产。</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金融负债的分类</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其他各类应付款项等。</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6.4.4.4</w:t>
      </w:r>
      <w:r w:rsidRPr="00D46E57">
        <w:rPr>
          <w:rFonts w:eastAsiaTheme="minorEastAsia"/>
          <w:b/>
          <w:bCs/>
          <w:color w:val="000000"/>
          <w:kern w:val="0"/>
          <w:szCs w:val="21"/>
        </w:rPr>
        <w:t>金融资产和金融负债的初始确认、后续计量和终止确认</w:t>
      </w:r>
    </w:p>
    <w:p w:rsidR="00BD7683" w:rsidRDefault="00CB0B4B">
      <w:pPr>
        <w:spacing w:line="360" w:lineRule="auto"/>
        <w:ind w:firstLineChars="200" w:firstLine="420"/>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于本报告期末，各项金融资产以可收回金额和账面价值孰低计量。</w:t>
      </w:r>
      <w:r>
        <w:rPr>
          <w:rFonts w:eastAsiaTheme="minorEastAsia"/>
          <w:kern w:val="0"/>
          <w:szCs w:val="21"/>
        </w:rPr>
        <w:t> </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6.4.4.5</w:t>
      </w:r>
      <w:r w:rsidRPr="00D46E57">
        <w:rPr>
          <w:rFonts w:eastAsiaTheme="minorEastAsia"/>
          <w:b/>
          <w:bCs/>
          <w:color w:val="000000"/>
          <w:kern w:val="0"/>
          <w:szCs w:val="21"/>
        </w:rPr>
        <w:t>金融资产和金融负债的估值原则</w:t>
      </w: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本基金持有的股票投资、债券投资和资产支持证券投资按如下原则确定公允价值并进行估值：</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如经济环境发生重大变化或证券发行人发生影响金融工具价格的重大事件，应对估值进行调整并确定公允价值。</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6.4.4.6</w:t>
      </w:r>
      <w:r w:rsidRPr="00D46E57">
        <w:rPr>
          <w:rFonts w:eastAsiaTheme="minorEastAsia"/>
          <w:b/>
          <w:bCs/>
          <w:color w:val="000000"/>
          <w:kern w:val="0"/>
          <w:szCs w:val="21"/>
        </w:rPr>
        <w:t>金融资产和金融负债的抵销</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本基金持有的资产和承担的负债基本为金融资产和金融负债。当本基金</w:t>
      </w:r>
      <w:r w:rsidRPr="00D46E57">
        <w:rPr>
          <w:rFonts w:eastAsiaTheme="minorEastAsia"/>
          <w:kern w:val="0"/>
          <w:szCs w:val="21"/>
        </w:rPr>
        <w:t xml:space="preserve">1) </w:t>
      </w:r>
      <w:r w:rsidRPr="00D46E57">
        <w:rPr>
          <w:rFonts w:eastAsiaTheme="minorEastAsia"/>
          <w:kern w:val="0"/>
          <w:szCs w:val="21"/>
        </w:rPr>
        <w:t>具有抵销已确认金额的法定权利且该种法定权利现在是可执行的；且</w:t>
      </w:r>
      <w:r w:rsidRPr="00D46E57">
        <w:rPr>
          <w:rFonts w:eastAsiaTheme="minorEastAsia"/>
          <w:kern w:val="0"/>
          <w:szCs w:val="21"/>
        </w:rPr>
        <w:t xml:space="preserve">2) </w:t>
      </w:r>
      <w:r w:rsidRPr="00D46E57">
        <w:rPr>
          <w:rFonts w:eastAsiaTheme="minorEastAsia"/>
          <w:kern w:val="0"/>
          <w:szCs w:val="21"/>
        </w:rPr>
        <w:t>交易双方准备按净额结算时，金融资产与金融负债按抵销后的净额在资产负债表中列示。</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6.4.4.7</w:t>
      </w:r>
      <w:r w:rsidRPr="00D46E57">
        <w:rPr>
          <w:rFonts w:eastAsiaTheme="minorEastAsia"/>
          <w:b/>
          <w:bCs/>
          <w:color w:val="000000"/>
          <w:kern w:val="0"/>
          <w:szCs w:val="21"/>
        </w:rPr>
        <w:t>实收基金</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6.4.4.8</w:t>
      </w:r>
      <w:r w:rsidRPr="00D46E57">
        <w:rPr>
          <w:rFonts w:eastAsiaTheme="minorEastAsia"/>
          <w:b/>
          <w:bCs/>
          <w:color w:val="000000"/>
          <w:kern w:val="0"/>
          <w:szCs w:val="21"/>
        </w:rPr>
        <w:t>损益平准金</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46E57">
        <w:rPr>
          <w:rFonts w:eastAsiaTheme="minorEastAsia"/>
          <w:kern w:val="0"/>
          <w:szCs w:val="21"/>
        </w:rPr>
        <w:t>/(</w:t>
      </w:r>
      <w:r w:rsidRPr="00D46E57">
        <w:rPr>
          <w:rFonts w:eastAsiaTheme="minorEastAsia"/>
          <w:kern w:val="0"/>
          <w:szCs w:val="21"/>
        </w:rPr>
        <w:t>累计亏损</w:t>
      </w:r>
      <w:r w:rsidRPr="00D46E57">
        <w:rPr>
          <w:rFonts w:eastAsiaTheme="minorEastAsia"/>
          <w:kern w:val="0"/>
          <w:szCs w:val="21"/>
        </w:rPr>
        <w:t>)</w:t>
      </w:r>
      <w:r w:rsidRPr="00D46E57">
        <w:rPr>
          <w:rFonts w:eastAsiaTheme="minorEastAsia"/>
          <w:kern w:val="0"/>
          <w:szCs w:val="21"/>
        </w:rPr>
        <w:t>。</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6.4.4.9</w:t>
      </w:r>
      <w:r w:rsidRPr="00D46E57">
        <w:rPr>
          <w:rFonts w:eastAsiaTheme="minorEastAsia"/>
          <w:b/>
          <w:bCs/>
          <w:color w:val="000000"/>
          <w:kern w:val="0"/>
          <w:szCs w:val="21"/>
        </w:rPr>
        <w:t>收入</w:t>
      </w:r>
      <w:r w:rsidRPr="00D46E57">
        <w:rPr>
          <w:rFonts w:eastAsiaTheme="minorEastAsia"/>
          <w:b/>
          <w:bCs/>
          <w:color w:val="000000"/>
          <w:kern w:val="0"/>
          <w:szCs w:val="21"/>
        </w:rPr>
        <w:t>/(</w:t>
      </w:r>
      <w:r w:rsidRPr="00D46E57">
        <w:rPr>
          <w:rFonts w:eastAsiaTheme="minorEastAsia"/>
          <w:b/>
          <w:bCs/>
          <w:color w:val="000000"/>
          <w:kern w:val="0"/>
          <w:szCs w:val="21"/>
        </w:rPr>
        <w:t>损失</w:t>
      </w:r>
      <w:r w:rsidRPr="00D46E57">
        <w:rPr>
          <w:rFonts w:eastAsiaTheme="minorEastAsia"/>
          <w:b/>
          <w:bCs/>
          <w:color w:val="000000"/>
          <w:kern w:val="0"/>
          <w:szCs w:val="21"/>
        </w:rPr>
        <w:t>)</w:t>
      </w:r>
      <w:r w:rsidRPr="00D46E57">
        <w:rPr>
          <w:rFonts w:eastAsiaTheme="minorEastAsia"/>
          <w:b/>
          <w:bCs/>
          <w:color w:val="000000"/>
          <w:kern w:val="0"/>
          <w:szCs w:val="21"/>
        </w:rPr>
        <w:t>的确认和计量</w:t>
      </w:r>
    </w:p>
    <w:p w:rsidR="00BD7683" w:rsidRDefault="00CB0B4B">
      <w:pPr>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D7683" w:rsidRDefault="00CB0B4B">
      <w:pPr>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应收款项在持有期间确认的利息收入按实际利率法计算，实际利率法与直线法差异较小的则按直线法计算。</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6.4.4.10</w:t>
      </w:r>
      <w:r w:rsidRPr="00D46E57">
        <w:rPr>
          <w:rFonts w:eastAsiaTheme="minorEastAsia"/>
          <w:b/>
          <w:bCs/>
          <w:color w:val="000000"/>
          <w:kern w:val="0"/>
          <w:szCs w:val="21"/>
        </w:rPr>
        <w:t>费用的确认和计量</w:t>
      </w: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本基金的管理人报酬、托管费和销售服务费在费用涵盖期间按基金合同约定的费率和计算方法逐日确认。</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其他金融负债在持有期间确认的利息支出按实际利率法计算，实际利率法与直线法差异较小的则按直线法计算。</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6.4.4.11</w:t>
      </w:r>
      <w:r w:rsidRPr="00D46E57">
        <w:rPr>
          <w:rFonts w:eastAsiaTheme="minorEastAsia"/>
          <w:b/>
          <w:bCs/>
          <w:color w:val="000000"/>
          <w:kern w:val="0"/>
          <w:szCs w:val="21"/>
        </w:rPr>
        <w:t>基金的收益分配政策</w:t>
      </w: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经宣告的拟分配基金收益于分红除权日从所有者权益转出。</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6.4.4.12</w:t>
      </w:r>
      <w:r w:rsidRPr="00D46E57">
        <w:rPr>
          <w:rFonts w:eastAsiaTheme="minorEastAsia"/>
          <w:b/>
          <w:bCs/>
          <w:color w:val="000000"/>
          <w:kern w:val="0"/>
          <w:szCs w:val="21"/>
        </w:rPr>
        <w:t>分部报告</w:t>
      </w:r>
    </w:p>
    <w:p w:rsidR="00BD7683" w:rsidRDefault="00CB0B4B">
      <w:pPr>
        <w:spacing w:line="360" w:lineRule="auto"/>
        <w:ind w:firstLineChars="200" w:firstLine="420"/>
        <w:rPr>
          <w:rFonts w:eastAsiaTheme="minorEastAsia"/>
          <w:kern w:val="0"/>
          <w:szCs w:val="21"/>
        </w:rPr>
      </w:pPr>
      <w:r>
        <w:rPr>
          <w:rFonts w:eastAsiaTheme="minorEastAsia"/>
          <w:kern w:val="0"/>
          <w:szCs w:val="21"/>
        </w:rPr>
        <w:t>本基金以内部组织结构、管理要求、内部报告制度为依据确定经营分部，以经营分部为基础确定报告分部并披露分部信息。</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经营分部是指本基金内同时满足下列条件的组成部分：</w:t>
      </w:r>
      <w:r>
        <w:rPr>
          <w:rFonts w:eastAsiaTheme="minorEastAsia"/>
          <w:kern w:val="0"/>
          <w:szCs w:val="21"/>
        </w:rPr>
        <w:t>(1)</w:t>
      </w:r>
      <w:r>
        <w:rPr>
          <w:rFonts w:eastAsiaTheme="minorEastAsia"/>
          <w:kern w:val="0"/>
          <w:szCs w:val="21"/>
        </w:rPr>
        <w:t>该组成部分能够在日常活动中产生收入、发生费用；</w:t>
      </w:r>
      <w:r>
        <w:rPr>
          <w:rFonts w:eastAsiaTheme="minorEastAsia"/>
          <w:kern w:val="0"/>
          <w:szCs w:val="21"/>
        </w:rPr>
        <w:t>(2)</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(3)</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本基金目前以一个单一的经营分部运作，不需要披露分部信息。</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6.4.4.13</w:t>
      </w:r>
      <w:r w:rsidRPr="00D46E57">
        <w:rPr>
          <w:rFonts w:eastAsiaTheme="minorEastAsia"/>
          <w:b/>
          <w:bCs/>
          <w:color w:val="000000"/>
          <w:kern w:val="0"/>
          <w:szCs w:val="21"/>
        </w:rPr>
        <w:t>其他重要的会计政策和会计估计</w:t>
      </w:r>
    </w:p>
    <w:p w:rsidR="00BD7683" w:rsidRDefault="00CB0B4B">
      <w:pPr>
        <w:spacing w:line="360" w:lineRule="auto"/>
        <w:ind w:firstLineChars="200" w:firstLine="420"/>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根据本基金的估值原则和中国证监会允许的基金行业估值实务操作，本基金确定以下类别股票投资和债券投资的公允价值时采用的估值方法及其关键假设如下：</w:t>
      </w:r>
    </w:p>
    <w:p w:rsidR="00BD7683" w:rsidRDefault="00BD7683">
      <w:pPr>
        <w:spacing w:line="360" w:lineRule="auto"/>
        <w:ind w:firstLineChars="200" w:firstLine="420"/>
        <w:rPr>
          <w:rFonts w:eastAsiaTheme="minorEastAsia"/>
          <w:kern w:val="0"/>
          <w:szCs w:val="21"/>
        </w:rPr>
      </w:pP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对于证券交易所上市的股票和债券，若出现重大事项停牌或交易不活跃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基金行业股票估值指数的通知》提供的指数收益法、市盈率法、现金流量折现法等估值技术进行估值。</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对于在证券交易所上市或挂牌转让的固定收益品种</w:t>
      </w:r>
      <w:r w:rsidRPr="00D46E57">
        <w:rPr>
          <w:rFonts w:eastAsiaTheme="minorEastAsia"/>
          <w:kern w:val="0"/>
          <w:szCs w:val="21"/>
        </w:rPr>
        <w:t>(</w:t>
      </w:r>
      <w:r w:rsidRPr="00D46E57">
        <w:rPr>
          <w:rFonts w:eastAsiaTheme="minorEastAsia"/>
          <w:kern w:val="0"/>
          <w:szCs w:val="21"/>
        </w:rPr>
        <w:t>可转换债券、资产支持证券和私募债券除外</w:t>
      </w:r>
      <w:r w:rsidRPr="00D46E57">
        <w:rPr>
          <w:rFonts w:eastAsiaTheme="minorEastAsia"/>
          <w:kern w:val="0"/>
          <w:szCs w:val="21"/>
        </w:rPr>
        <w:t>)</w:t>
      </w:r>
      <w:r w:rsidRPr="00D46E57">
        <w:rPr>
          <w:rFonts w:eastAsiaTheme="minorEastAsia"/>
          <w:kern w:val="0"/>
          <w:szCs w:val="21"/>
        </w:rPr>
        <w:t>及在银行间同业市场交易的固定收益品种，根据中国证监会公告</w:t>
      </w:r>
      <w:r w:rsidRPr="00D46E57">
        <w:rPr>
          <w:rFonts w:eastAsiaTheme="minorEastAsia"/>
          <w:kern w:val="0"/>
          <w:szCs w:val="21"/>
        </w:rPr>
        <w:t>[2017]13</w:t>
      </w:r>
      <w:r w:rsidRPr="00D46E57">
        <w:rPr>
          <w:rFonts w:eastAsiaTheme="minorEastAsia"/>
          <w:kern w:val="0"/>
          <w:szCs w:val="21"/>
        </w:rPr>
        <w:t>号《中国证监会关于证券投资基金估值业务的指导意见》及《中国证券投资基金业协会估值核算工作小组关于</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季度固定收益品种的估值处理标准》采用估值技术确定公允价值。本基金持有的证券交易所上市或挂牌转让的固定收益品种</w:t>
      </w:r>
      <w:r w:rsidRPr="00D46E57">
        <w:rPr>
          <w:rFonts w:eastAsiaTheme="minorEastAsia"/>
          <w:kern w:val="0"/>
          <w:szCs w:val="21"/>
        </w:rPr>
        <w:t>(</w:t>
      </w:r>
      <w:r w:rsidRPr="00D46E57">
        <w:rPr>
          <w:rFonts w:eastAsiaTheme="minorEastAsia"/>
          <w:kern w:val="0"/>
          <w:szCs w:val="21"/>
        </w:rPr>
        <w:t>可转换债券、资产支持证券和私募债券除外</w:t>
      </w:r>
      <w:r w:rsidRPr="00D46E57">
        <w:rPr>
          <w:rFonts w:eastAsiaTheme="minorEastAsia"/>
          <w:kern w:val="0"/>
          <w:szCs w:val="21"/>
        </w:rPr>
        <w:t>)</w:t>
      </w:r>
      <w:r w:rsidRPr="00D46E57">
        <w:rPr>
          <w:rFonts w:eastAsiaTheme="minorEastAsia"/>
          <w:kern w:val="0"/>
          <w:szCs w:val="21"/>
        </w:rPr>
        <w:t>，按照中证指数有限公司所独立提供的估值结果确定公允价值。本基金持有的银行间同业市场固定收益品种按照中央国债登记结算有限责任公司所独立提供的估值结果确定公允价值。</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BD7683" w:rsidRDefault="00CB0B4B">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号《关于租入固定资产进行税额抵扣等增值税政策的通知》、国发</w:t>
      </w:r>
      <w:r>
        <w:rPr>
          <w:rFonts w:eastAsiaTheme="minorEastAsia"/>
          <w:kern w:val="0"/>
          <w:szCs w:val="21"/>
        </w:rPr>
        <w:t>[1985]19</w:t>
      </w:r>
      <w:r>
        <w:rPr>
          <w:rFonts w:eastAsiaTheme="minorEastAsia"/>
          <w:kern w:val="0"/>
          <w:szCs w:val="21"/>
        </w:rPr>
        <w:t>号发布和国务院令</w:t>
      </w:r>
      <w:r>
        <w:rPr>
          <w:rFonts w:eastAsiaTheme="minorEastAsia"/>
          <w:kern w:val="0"/>
          <w:szCs w:val="21"/>
        </w:rPr>
        <w:t>[2011]</w:t>
      </w:r>
      <w:r>
        <w:rPr>
          <w:rFonts w:eastAsiaTheme="minorEastAsia"/>
          <w:kern w:val="0"/>
          <w:szCs w:val="21"/>
        </w:rPr>
        <w:t>第</w:t>
      </w:r>
      <w:r>
        <w:rPr>
          <w:rFonts w:eastAsiaTheme="minorEastAsia"/>
          <w:kern w:val="0"/>
          <w:szCs w:val="21"/>
        </w:rPr>
        <w:t>588</w:t>
      </w:r>
      <w:r>
        <w:rPr>
          <w:rFonts w:eastAsiaTheme="minorEastAsia"/>
          <w:kern w:val="0"/>
          <w:szCs w:val="21"/>
        </w:rPr>
        <w:t>号修订的《中华人民共和国城市维护建设税暂行条例》、国务院令</w:t>
      </w:r>
      <w:r>
        <w:rPr>
          <w:rFonts w:eastAsiaTheme="minorEastAsia"/>
          <w:kern w:val="0"/>
          <w:szCs w:val="21"/>
        </w:rPr>
        <w:t>[2005]</w:t>
      </w:r>
      <w:r>
        <w:rPr>
          <w:rFonts w:eastAsiaTheme="minorEastAsia"/>
          <w:kern w:val="0"/>
          <w:szCs w:val="21"/>
        </w:rPr>
        <w:t>第</w:t>
      </w:r>
      <w:r>
        <w:rPr>
          <w:rFonts w:eastAsiaTheme="minorEastAsia"/>
          <w:kern w:val="0"/>
          <w:szCs w:val="21"/>
        </w:rPr>
        <w:t>448</w:t>
      </w:r>
      <w:r>
        <w:rPr>
          <w:rFonts w:eastAsiaTheme="minorEastAsia"/>
          <w:kern w:val="0"/>
          <w:szCs w:val="21"/>
        </w:rPr>
        <w:t>号《国务院关于修改〈征收教育费附加的暂行规定〉的决定》、沪府发</w:t>
      </w:r>
      <w:r>
        <w:rPr>
          <w:rFonts w:eastAsiaTheme="minorEastAsia"/>
          <w:kern w:val="0"/>
          <w:szCs w:val="21"/>
        </w:rPr>
        <w:t>[2011]2</w:t>
      </w:r>
      <w:r>
        <w:rPr>
          <w:rFonts w:eastAsiaTheme="minorEastAsia"/>
          <w:kern w:val="0"/>
          <w:szCs w:val="21"/>
        </w:rPr>
        <w:t>号《上海市人民政府关于本市开征地方教育附加的通知》及其他相关财税法规和实务操作，主要税项列示如下：</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ab/>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BD7683" w:rsidRDefault="00BD7683">
      <w:pPr>
        <w:spacing w:line="360" w:lineRule="auto"/>
        <w:ind w:firstLineChars="200" w:firstLine="420"/>
        <w:rPr>
          <w:rFonts w:eastAsiaTheme="minorEastAsia"/>
          <w:kern w:val="0"/>
          <w:szCs w:val="21"/>
        </w:rPr>
      </w:pPr>
    </w:p>
    <w:p w:rsidR="00BD7683" w:rsidRDefault="00CB0B4B">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ab/>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BD7683" w:rsidRDefault="00BD7683">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(5) </w:t>
      </w:r>
      <w:r w:rsidRPr="00D46E57">
        <w:rPr>
          <w:rFonts w:eastAsiaTheme="minorEastAsia"/>
          <w:kern w:val="0"/>
          <w:szCs w:val="21"/>
        </w:rPr>
        <w:t>本基金分别按实际缴纳的增值税额的</w:t>
      </w:r>
      <w:r w:rsidRPr="00D46E57">
        <w:rPr>
          <w:rFonts w:eastAsiaTheme="minorEastAsia"/>
          <w:kern w:val="0"/>
          <w:szCs w:val="21"/>
        </w:rPr>
        <w:t>7%</w:t>
      </w:r>
      <w:r w:rsidRPr="00D46E57">
        <w:rPr>
          <w:rFonts w:eastAsiaTheme="minorEastAsia"/>
          <w:kern w:val="0"/>
          <w:szCs w:val="21"/>
        </w:rPr>
        <w:t>、</w:t>
      </w:r>
      <w:r w:rsidRPr="00D46E57">
        <w:rPr>
          <w:rFonts w:eastAsiaTheme="minorEastAsia"/>
          <w:kern w:val="0"/>
          <w:szCs w:val="21"/>
        </w:rPr>
        <w:t>3%</w:t>
      </w:r>
      <w:r w:rsidRPr="00D46E57">
        <w:rPr>
          <w:rFonts w:eastAsiaTheme="minorEastAsia"/>
          <w:kern w:val="0"/>
          <w:szCs w:val="21"/>
        </w:rPr>
        <w:t>和</w:t>
      </w:r>
      <w:r w:rsidRPr="00D46E57">
        <w:rPr>
          <w:rFonts w:eastAsiaTheme="minorEastAsia"/>
          <w:kern w:val="0"/>
          <w:szCs w:val="21"/>
        </w:rPr>
        <w:t>2%</w:t>
      </w:r>
      <w:r w:rsidRPr="00D46E57">
        <w:rPr>
          <w:rFonts w:eastAsiaTheme="minorEastAsia"/>
          <w:kern w:val="0"/>
          <w:szCs w:val="21"/>
        </w:rPr>
        <w:t>缴纳城市维护建设税、教育费附加和地方教育费附加。</w:t>
      </w:r>
    </w:p>
    <w:p w:rsidR="001548F9" w:rsidRPr="00D46E57" w:rsidRDefault="001548F9" w:rsidP="00610409">
      <w:pPr>
        <w:spacing w:beforeLines="100" w:line="360" w:lineRule="auto"/>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7</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7</w:t>
      </w:r>
      <w:r w:rsidRPr="00D46E57">
        <w:rPr>
          <w:rFonts w:eastAsiaTheme="minorEastAsia"/>
          <w:b/>
          <w:bCs/>
          <w:color w:val="000000"/>
          <w:kern w:val="0"/>
          <w:szCs w:val="21"/>
        </w:rPr>
        <w:t>.1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rPr>
          <w:rFonts w:eastAsiaTheme="minorEastAsia"/>
          <w:b/>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7</w:t>
      </w:r>
      <w:r w:rsidRPr="00D46E57">
        <w:rPr>
          <w:rFonts w:eastAsiaTheme="minorEastAsia"/>
          <w:b/>
          <w:bCs/>
          <w:color w:val="000000"/>
          <w:kern w:val="0"/>
          <w:szCs w:val="21"/>
        </w:rPr>
        <w:t xml:space="preserve">.2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BD7683">
        <w:tc>
          <w:tcPr>
            <w:tcW w:w="5220" w:type="dxa"/>
            <w:vAlign w:val="center"/>
          </w:tcPr>
          <w:p w:rsidR="00BD7683" w:rsidRDefault="00CB0B4B">
            <w:pPr>
              <w:jc w:val="left"/>
            </w:pPr>
            <w:r>
              <w:rPr>
                <w:rFonts w:eastAsiaTheme="minorEastAsia"/>
                <w:color w:val="000000"/>
                <w:szCs w:val="21"/>
              </w:rPr>
              <w:t>上投摩根基金管理有限公司</w:t>
            </w:r>
          </w:p>
        </w:tc>
        <w:tc>
          <w:tcPr>
            <w:tcW w:w="3780" w:type="dxa"/>
            <w:vAlign w:val="center"/>
          </w:tcPr>
          <w:p w:rsidR="00BD7683" w:rsidRDefault="00CB0B4B">
            <w:pPr>
              <w:jc w:val="left"/>
            </w:pPr>
            <w:r>
              <w:rPr>
                <w:rFonts w:eastAsiaTheme="minorEastAsia"/>
                <w:color w:val="000000"/>
                <w:szCs w:val="21"/>
              </w:rPr>
              <w:t>基金管理人、注册登记机构、基金销售机构</w:t>
            </w:r>
          </w:p>
        </w:tc>
      </w:tr>
      <w:tr w:rsidR="00BD7683">
        <w:tc>
          <w:tcPr>
            <w:tcW w:w="5220" w:type="dxa"/>
            <w:vAlign w:val="center"/>
          </w:tcPr>
          <w:p w:rsidR="00BD7683" w:rsidRDefault="00CB0B4B">
            <w:pPr>
              <w:jc w:val="left"/>
            </w:pPr>
            <w:r>
              <w:rPr>
                <w:rFonts w:eastAsiaTheme="minorEastAsia"/>
                <w:color w:val="000000"/>
                <w:szCs w:val="21"/>
              </w:rPr>
              <w:t>北京银行股份有限公司</w:t>
            </w:r>
            <w:r>
              <w:rPr>
                <w:rFonts w:eastAsiaTheme="minorEastAsia"/>
                <w:color w:val="000000"/>
                <w:szCs w:val="21"/>
              </w:rPr>
              <w:t>("</w:t>
            </w:r>
            <w:r>
              <w:rPr>
                <w:rFonts w:eastAsiaTheme="minorEastAsia"/>
                <w:color w:val="000000"/>
                <w:szCs w:val="21"/>
              </w:rPr>
              <w:t>北京银行</w:t>
            </w:r>
            <w:r>
              <w:rPr>
                <w:rFonts w:eastAsiaTheme="minorEastAsia"/>
                <w:color w:val="000000"/>
                <w:szCs w:val="21"/>
              </w:rPr>
              <w:t>")</w:t>
            </w:r>
          </w:p>
        </w:tc>
        <w:tc>
          <w:tcPr>
            <w:tcW w:w="3780" w:type="dxa"/>
            <w:vAlign w:val="center"/>
          </w:tcPr>
          <w:p w:rsidR="00BD7683" w:rsidRDefault="00CB0B4B">
            <w:pPr>
              <w:jc w:val="left"/>
            </w:pPr>
            <w:r>
              <w:rPr>
                <w:rFonts w:eastAsiaTheme="minorEastAsia"/>
                <w:color w:val="000000"/>
                <w:szCs w:val="21"/>
              </w:rPr>
              <w:t>基金托管人、基金代销机构</w:t>
            </w:r>
          </w:p>
        </w:tc>
      </w:tr>
      <w:tr w:rsidR="00BD7683">
        <w:tc>
          <w:tcPr>
            <w:tcW w:w="5220" w:type="dxa"/>
            <w:vAlign w:val="center"/>
          </w:tcPr>
          <w:p w:rsidR="00BD7683" w:rsidRDefault="00CB0B4B">
            <w:pPr>
              <w:jc w:val="left"/>
            </w:pPr>
            <w:r>
              <w:rPr>
                <w:rFonts w:eastAsiaTheme="minorEastAsia"/>
                <w:color w:val="000000"/>
                <w:szCs w:val="21"/>
              </w:rPr>
              <w:t>上海浦东发展银行股份有限公司</w:t>
            </w:r>
          </w:p>
        </w:tc>
        <w:tc>
          <w:tcPr>
            <w:tcW w:w="3780" w:type="dxa"/>
            <w:vAlign w:val="center"/>
          </w:tcPr>
          <w:p w:rsidR="00BD7683" w:rsidRDefault="00CB0B4B">
            <w:pPr>
              <w:jc w:val="left"/>
            </w:pPr>
            <w:r>
              <w:rPr>
                <w:rFonts w:eastAsiaTheme="minorEastAsia"/>
                <w:color w:val="000000"/>
                <w:szCs w:val="21"/>
              </w:rPr>
              <w:t>基金管理人的股东</w:t>
            </w:r>
          </w:p>
        </w:tc>
      </w:tr>
    </w:tbl>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7"/>
        <w:gridCol w:w="5244"/>
      </w:tblGrid>
      <w:tr w:rsidR="00B87288" w:rsidRPr="00D46E57" w:rsidTr="00D65EE7">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日（基金合同生效日）至</w:t>
            </w:r>
            <w:r w:rsidRPr="00D46E57">
              <w:rPr>
                <w:rFonts w:eastAsiaTheme="minorEastAsia"/>
                <w:szCs w:val="21"/>
              </w:rPr>
              <w:t>2018</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当期发生的基金应支付的管理费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144,133.07</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其中：支付销售机构的客户维护费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6,624.90</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0.6%</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0.6% / </w:t>
      </w:r>
      <w:r w:rsidRPr="00D46E57">
        <w:rPr>
          <w:rFonts w:eastAsiaTheme="minorEastAsia"/>
          <w:kern w:val="0"/>
          <w:szCs w:val="21"/>
        </w:rPr>
        <w:t>当年天数。</w:t>
      </w:r>
    </w:p>
    <w:p w:rsidR="001548F9" w:rsidRPr="00D46E57" w:rsidRDefault="001548F9"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7"/>
        <w:gridCol w:w="5244"/>
      </w:tblGrid>
      <w:tr w:rsidR="00B87288" w:rsidRPr="00D46E57" w:rsidTr="00A4655D">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日（基金合同生效日）至</w:t>
            </w:r>
            <w:r w:rsidRPr="00D46E57">
              <w:rPr>
                <w:rFonts w:eastAsiaTheme="minorEastAsia"/>
                <w:szCs w:val="21"/>
              </w:rPr>
              <w:t>2018</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A4655D">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当期发生的基金应支付的托管费</w:t>
            </w:r>
          </w:p>
        </w:tc>
        <w:tc>
          <w:tcPr>
            <w:tcW w:w="2936" w:type="pct"/>
            <w:vAlign w:val="center"/>
          </w:tcPr>
          <w:p w:rsidR="00B87288" w:rsidRPr="00D46E57" w:rsidRDefault="00B87288" w:rsidP="00B87288">
            <w:pPr>
              <w:jc w:val="right"/>
              <w:rPr>
                <w:rFonts w:eastAsiaTheme="minorEastAsia"/>
                <w:color w:val="000000"/>
                <w:kern w:val="0"/>
                <w:szCs w:val="21"/>
              </w:rPr>
            </w:pPr>
            <w:r w:rsidRPr="00D46E57">
              <w:rPr>
                <w:rFonts w:eastAsiaTheme="minorEastAsia"/>
                <w:szCs w:val="21"/>
              </w:rPr>
              <w:t>24,022.19</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注：支付基金托管人北京银行的托管费按前一日基金资产净值</w:t>
      </w:r>
      <w:r w:rsidRPr="00D46E57">
        <w:rPr>
          <w:rFonts w:eastAsiaTheme="minorEastAsia"/>
          <w:kern w:val="0"/>
          <w:szCs w:val="21"/>
        </w:rPr>
        <w:t>0.10%</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0.10% / </w:t>
      </w:r>
      <w:r w:rsidRPr="00D46E57">
        <w:rPr>
          <w:rFonts w:eastAsiaTheme="minorEastAsia"/>
          <w:kern w:val="0"/>
          <w:szCs w:val="21"/>
        </w:rPr>
        <w:t>当年天数。</w:t>
      </w:r>
    </w:p>
    <w:p w:rsidR="000C3A4E" w:rsidRPr="00D46E57" w:rsidRDefault="000C3A4E" w:rsidP="00610409">
      <w:pPr>
        <w:autoSpaceDE w:val="0"/>
        <w:autoSpaceDN w:val="0"/>
        <w:adjustRightInd w:val="0"/>
        <w:spacing w:beforeLines="100" w:line="360" w:lineRule="auto"/>
        <w:jc w:val="left"/>
        <w:rPr>
          <w:rFonts w:eastAsiaTheme="minorEastAsia"/>
          <w:b/>
          <w:color w:val="000000"/>
          <w:kern w:val="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.2.3 </w:t>
      </w:r>
      <w:r w:rsidRPr="00D46E57">
        <w:rPr>
          <w:rFonts w:eastAsiaTheme="minorEastAsia"/>
          <w:b/>
          <w:color w:val="000000"/>
          <w:kern w:val="0"/>
          <w:szCs w:val="21"/>
        </w:rPr>
        <w:t>销售服务费</w:t>
      </w:r>
    </w:p>
    <w:p w:rsidR="000C3A4E" w:rsidRPr="00D46E57" w:rsidRDefault="000C3A4E" w:rsidP="000C3A4E">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1862"/>
        <w:gridCol w:w="2282"/>
        <w:gridCol w:w="3247"/>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日（基金合同生效日）至</w:t>
            </w:r>
            <w:r w:rsidRPr="00D46E57">
              <w:rPr>
                <w:rFonts w:eastAsiaTheme="minorEastAsia"/>
                <w:szCs w:val="21"/>
              </w:rPr>
              <w:t>2018</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上投摩根安腾回报混合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上投摩根安腾回报混合</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BD7683">
        <w:tc>
          <w:tcPr>
            <w:tcW w:w="2110" w:type="dxa"/>
            <w:vAlign w:val="center"/>
          </w:tcPr>
          <w:p w:rsidR="00BD7683" w:rsidRDefault="00CB0B4B">
            <w:pPr>
              <w:jc w:val="left"/>
            </w:pPr>
            <w:r>
              <w:rPr>
                <w:rFonts w:eastAsiaTheme="minorEastAsia"/>
                <w:szCs w:val="21"/>
              </w:rPr>
              <w:t>上投摩根基金管理有限公司</w:t>
            </w:r>
          </w:p>
        </w:tc>
        <w:tc>
          <w:tcPr>
            <w:tcW w:w="1862" w:type="dxa"/>
            <w:vAlign w:val="center"/>
          </w:tcPr>
          <w:p w:rsidR="00BD7683" w:rsidRDefault="00CB0B4B">
            <w:pPr>
              <w:jc w:val="right"/>
            </w:pPr>
            <w:r>
              <w:rPr>
                <w:rFonts w:eastAsiaTheme="minorEastAsia"/>
                <w:szCs w:val="21"/>
              </w:rPr>
              <w:t>-</w:t>
            </w:r>
          </w:p>
        </w:tc>
        <w:tc>
          <w:tcPr>
            <w:tcW w:w="2282" w:type="dxa"/>
            <w:vAlign w:val="center"/>
          </w:tcPr>
          <w:p w:rsidR="00BD7683" w:rsidRDefault="00CB0B4B">
            <w:pPr>
              <w:jc w:val="right"/>
            </w:pPr>
            <w:r>
              <w:rPr>
                <w:rFonts w:eastAsiaTheme="minorEastAsia"/>
                <w:szCs w:val="21"/>
              </w:rPr>
              <w:t>35,406.54</w:t>
            </w:r>
          </w:p>
        </w:tc>
        <w:tc>
          <w:tcPr>
            <w:tcW w:w="3247" w:type="dxa"/>
            <w:vAlign w:val="center"/>
          </w:tcPr>
          <w:p w:rsidR="00BD7683" w:rsidRDefault="00CB0B4B">
            <w:pPr>
              <w:jc w:val="right"/>
            </w:pPr>
            <w:r>
              <w:rPr>
                <w:rFonts w:eastAsiaTheme="minorEastAsia"/>
                <w:szCs w:val="21"/>
              </w:rPr>
              <w:t>35,406.54</w:t>
            </w:r>
          </w:p>
        </w:tc>
      </w:tr>
      <w:tr w:rsidR="00BD7683">
        <w:tc>
          <w:tcPr>
            <w:tcW w:w="2110" w:type="dxa"/>
            <w:vAlign w:val="center"/>
          </w:tcPr>
          <w:p w:rsidR="00BD7683" w:rsidRDefault="00CB0B4B">
            <w:pPr>
              <w:jc w:val="left"/>
            </w:pPr>
            <w:r>
              <w:rPr>
                <w:rFonts w:eastAsiaTheme="minorEastAsia"/>
                <w:szCs w:val="21"/>
              </w:rPr>
              <w:t>北京银行</w:t>
            </w:r>
          </w:p>
        </w:tc>
        <w:tc>
          <w:tcPr>
            <w:tcW w:w="1862" w:type="dxa"/>
            <w:vAlign w:val="center"/>
          </w:tcPr>
          <w:p w:rsidR="00BD7683" w:rsidRDefault="00CB0B4B">
            <w:pPr>
              <w:jc w:val="right"/>
            </w:pPr>
            <w:r>
              <w:rPr>
                <w:rFonts w:eastAsiaTheme="minorEastAsia"/>
                <w:szCs w:val="21"/>
              </w:rPr>
              <w:t>-</w:t>
            </w:r>
          </w:p>
        </w:tc>
        <w:tc>
          <w:tcPr>
            <w:tcW w:w="2282" w:type="dxa"/>
            <w:vAlign w:val="center"/>
          </w:tcPr>
          <w:p w:rsidR="00BD7683" w:rsidRDefault="00CB0B4B">
            <w:pPr>
              <w:jc w:val="right"/>
            </w:pPr>
            <w:r>
              <w:rPr>
                <w:rFonts w:eastAsiaTheme="minorEastAsia"/>
                <w:szCs w:val="21"/>
              </w:rPr>
              <w:t>190.07</w:t>
            </w:r>
          </w:p>
        </w:tc>
        <w:tc>
          <w:tcPr>
            <w:tcW w:w="3247" w:type="dxa"/>
            <w:vAlign w:val="center"/>
          </w:tcPr>
          <w:p w:rsidR="00BD7683" w:rsidRDefault="00CB0B4B">
            <w:pPr>
              <w:jc w:val="right"/>
            </w:pPr>
            <w:r>
              <w:rPr>
                <w:rFonts w:eastAsiaTheme="minorEastAsia"/>
                <w:szCs w:val="21"/>
              </w:rPr>
              <w:t>190.07</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35,596.61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35,596.61</w:t>
            </w:r>
          </w:p>
        </w:tc>
      </w:tr>
    </w:tbl>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 xml:space="preserve">1. </w:t>
      </w:r>
      <w:r w:rsidRPr="00D46E57">
        <w:rPr>
          <w:rFonts w:eastAsiaTheme="minorEastAsia"/>
          <w:kern w:val="0"/>
          <w:szCs w:val="21"/>
        </w:rPr>
        <w:t>基金销售服务费仅对</w:t>
      </w:r>
      <w:r w:rsidRPr="00D46E57">
        <w:rPr>
          <w:rFonts w:eastAsiaTheme="minorEastAsia"/>
          <w:kern w:val="0"/>
          <w:szCs w:val="21"/>
        </w:rPr>
        <w:t>C</w:t>
      </w:r>
      <w:r w:rsidRPr="00D46E57">
        <w:rPr>
          <w:rFonts w:eastAsiaTheme="minorEastAsia"/>
          <w:kern w:val="0"/>
          <w:szCs w:val="21"/>
        </w:rPr>
        <w:t>类基金份额收取。</w:t>
      </w:r>
      <w:r w:rsidRPr="00D46E57">
        <w:rPr>
          <w:rFonts w:eastAsiaTheme="minorEastAsia"/>
          <w:kern w:val="0"/>
          <w:szCs w:val="21"/>
        </w:rPr>
        <w:t xml:space="preserve">2. </w:t>
      </w:r>
      <w:r w:rsidRPr="00D46E57">
        <w:rPr>
          <w:rFonts w:eastAsiaTheme="minorEastAsia"/>
          <w:kern w:val="0"/>
          <w:szCs w:val="21"/>
        </w:rPr>
        <w:t>支付基金销售机构的销售服务费按前一日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0.3%</w:t>
      </w:r>
      <w:r w:rsidRPr="00D46E57">
        <w:rPr>
          <w:rFonts w:eastAsiaTheme="minorEastAsia"/>
          <w:kern w:val="0"/>
          <w:szCs w:val="21"/>
        </w:rPr>
        <w:t>的年费率计提，逐日累计至每月月底，按月支付给上投摩根基金管理有限公司，再由上投摩根基金管理有限公司计算并支付给各基金销售机构。其计算公式为：日销售服务费＝前一日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0.3%/</w:t>
      </w:r>
      <w:r w:rsidRPr="00D46E57">
        <w:rPr>
          <w:rFonts w:eastAsiaTheme="minorEastAsia"/>
          <w:kern w:val="0"/>
          <w:szCs w:val="21"/>
        </w:rPr>
        <w:t>当年天数。</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.4 </w:t>
      </w:r>
      <w:r w:rsidRPr="00D46E57">
        <w:rPr>
          <w:rFonts w:eastAsiaTheme="minorEastAsia"/>
          <w:b/>
          <w:bCs/>
          <w:color w:val="000000"/>
          <w:szCs w:val="21"/>
        </w:rPr>
        <w:t>各关联方投资本基金的情况</w:t>
      </w:r>
    </w:p>
    <w:p w:rsidR="001548F9" w:rsidRPr="00D46E57" w:rsidRDefault="001548F9" w:rsidP="006E0888">
      <w:pPr>
        <w:adjustRightInd w:val="0"/>
        <w:snapToGrid w:val="0"/>
        <w:spacing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.4.1 </w:t>
      </w:r>
      <w:r w:rsidRPr="00D46E57">
        <w:rPr>
          <w:rFonts w:eastAsiaTheme="minorEastAsia"/>
          <w:b/>
          <w:bCs/>
          <w:color w:val="000000"/>
          <w:szCs w:val="21"/>
        </w:rPr>
        <w:t>报告期内基金管理人运用固有资金投资本基金的情况</w:t>
      </w:r>
    </w:p>
    <w:p w:rsidR="001548F9" w:rsidRPr="00D46E57" w:rsidRDefault="007E17E7"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adjustRightInd w:val="0"/>
        <w:snapToGrid w:val="0"/>
        <w:spacing w:beforeLines="100"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.4.2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.5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3153"/>
        <w:gridCol w:w="3153"/>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6306"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2</w:t>
            </w:r>
            <w:r w:rsidRPr="00D46E57">
              <w:rPr>
                <w:rFonts w:eastAsiaTheme="minorEastAsia"/>
                <w:color w:val="000000"/>
                <w:szCs w:val="21"/>
              </w:rPr>
              <w:t>月</w:t>
            </w:r>
            <w:r w:rsidRPr="00D46E57">
              <w:rPr>
                <w:rFonts w:eastAsiaTheme="minorEastAsia"/>
                <w:color w:val="000000"/>
                <w:szCs w:val="21"/>
              </w:rPr>
              <w:t>27</w:t>
            </w:r>
            <w:r w:rsidRPr="00D46E57">
              <w:rPr>
                <w:rFonts w:eastAsiaTheme="minorEastAsia"/>
                <w:color w:val="000000"/>
                <w:szCs w:val="21"/>
              </w:rPr>
              <w:t>日（基金合同生效日）至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BD7683">
        <w:tc>
          <w:tcPr>
            <w:tcW w:w="2694" w:type="dxa"/>
            <w:vAlign w:val="center"/>
          </w:tcPr>
          <w:p w:rsidR="00BD7683" w:rsidRDefault="00CB0B4B">
            <w:pPr>
              <w:jc w:val="left"/>
            </w:pPr>
            <w:r>
              <w:rPr>
                <w:rFonts w:eastAsiaTheme="minorEastAsia"/>
                <w:szCs w:val="21"/>
              </w:rPr>
              <w:t>北京银行</w:t>
            </w:r>
          </w:p>
        </w:tc>
        <w:tc>
          <w:tcPr>
            <w:tcW w:w="3153" w:type="dxa"/>
            <w:vAlign w:val="center"/>
          </w:tcPr>
          <w:p w:rsidR="00BD7683" w:rsidRDefault="00CB0B4B">
            <w:pPr>
              <w:jc w:val="right"/>
            </w:pPr>
            <w:r>
              <w:rPr>
                <w:rFonts w:eastAsiaTheme="minorEastAsia"/>
                <w:szCs w:val="21"/>
              </w:rPr>
              <w:t>1,656,475.74</w:t>
            </w:r>
          </w:p>
        </w:tc>
        <w:tc>
          <w:tcPr>
            <w:tcW w:w="3153" w:type="dxa"/>
            <w:vAlign w:val="center"/>
          </w:tcPr>
          <w:p w:rsidR="00BD7683" w:rsidRDefault="00CB0B4B">
            <w:pPr>
              <w:jc w:val="right"/>
            </w:pPr>
            <w:r>
              <w:rPr>
                <w:rFonts w:eastAsiaTheme="minorEastAsia"/>
                <w:szCs w:val="21"/>
              </w:rPr>
              <w:t>57,883.68</w:t>
            </w:r>
          </w:p>
        </w:tc>
      </w:tr>
      <w:tr w:rsidR="00BD7683">
        <w:tc>
          <w:tcPr>
            <w:tcW w:w="2694" w:type="dxa"/>
            <w:vAlign w:val="center"/>
          </w:tcPr>
          <w:p w:rsidR="00BD7683" w:rsidRDefault="00CB0B4B">
            <w:pPr>
              <w:jc w:val="left"/>
            </w:pPr>
            <w:r>
              <w:rPr>
                <w:rFonts w:eastAsiaTheme="minorEastAsia"/>
                <w:szCs w:val="21"/>
              </w:rPr>
              <w:t>浦发银行</w:t>
            </w:r>
          </w:p>
        </w:tc>
        <w:tc>
          <w:tcPr>
            <w:tcW w:w="3153" w:type="dxa"/>
            <w:vAlign w:val="center"/>
          </w:tcPr>
          <w:p w:rsidR="00BD7683" w:rsidRDefault="00CB0B4B">
            <w:pPr>
              <w:jc w:val="right"/>
            </w:pPr>
            <w:r>
              <w:rPr>
                <w:rFonts w:eastAsiaTheme="minorEastAsia"/>
                <w:szCs w:val="21"/>
              </w:rPr>
              <w:t>-</w:t>
            </w:r>
          </w:p>
        </w:tc>
        <w:tc>
          <w:tcPr>
            <w:tcW w:w="3153" w:type="dxa"/>
            <w:vAlign w:val="center"/>
          </w:tcPr>
          <w:p w:rsidR="00BD7683" w:rsidRDefault="00CB0B4B">
            <w:pPr>
              <w:jc w:val="right"/>
            </w:pPr>
            <w:r>
              <w:rPr>
                <w:rFonts w:eastAsiaTheme="minorEastAsia"/>
                <w:szCs w:val="21"/>
              </w:rPr>
              <w:t>150,333.33</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1.</w:t>
      </w:r>
      <w:r w:rsidRPr="00D46E57">
        <w:rPr>
          <w:rFonts w:eastAsiaTheme="minorEastAsia"/>
          <w:kern w:val="0"/>
          <w:szCs w:val="21"/>
        </w:rPr>
        <w:t>本基金的活期银行存款由基金托管人北京银行保管，按银行同业利率计息。</w:t>
      </w:r>
      <w:r w:rsidRPr="00D46E57">
        <w:rPr>
          <w:rFonts w:eastAsiaTheme="minorEastAsia"/>
          <w:kern w:val="0"/>
          <w:szCs w:val="21"/>
        </w:rPr>
        <w:t xml:space="preserve">2. </w:t>
      </w:r>
      <w:r w:rsidRPr="00D46E57">
        <w:rPr>
          <w:rFonts w:eastAsiaTheme="minorEastAsia"/>
          <w:kern w:val="0"/>
          <w:szCs w:val="21"/>
        </w:rPr>
        <w:t>本基金的部分定期银行存款存放于浦发银行，按银行约定利率计息。</w:t>
      </w:r>
    </w:p>
    <w:p w:rsidR="00FA19BB" w:rsidRPr="00D46E57" w:rsidRDefault="00FA19BB" w:rsidP="00610409">
      <w:pPr>
        <w:spacing w:beforeLines="100"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8</w:t>
      </w:r>
      <w:r w:rsidRPr="00D46E57">
        <w:rPr>
          <w:rFonts w:eastAsiaTheme="minorEastAsia"/>
          <w:b/>
          <w:bCs/>
          <w:color w:val="000000"/>
          <w:kern w:val="0"/>
          <w:szCs w:val="21"/>
        </w:rPr>
        <w:t xml:space="preserve">.6 </w:t>
      </w:r>
      <w:r w:rsidRPr="00D46E57">
        <w:rPr>
          <w:rFonts w:eastAsiaTheme="minorEastAsia"/>
          <w:b/>
          <w:bCs/>
          <w:color w:val="000000"/>
          <w:szCs w:val="21"/>
        </w:rPr>
        <w:t>本基金在承销期内参与关联方承销证券的情况</w:t>
      </w:r>
    </w:p>
    <w:p w:rsidR="001548F9" w:rsidRPr="00D46E57" w:rsidRDefault="00FA19BB"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35071E" w:rsidRPr="00D46E57" w:rsidRDefault="0035071E" w:rsidP="00610409">
      <w:pPr>
        <w:adjustRightInd w:val="0"/>
        <w:snapToGrid w:val="0"/>
        <w:spacing w:beforeLines="100" w:line="360" w:lineRule="auto"/>
        <w:rPr>
          <w:rFonts w:eastAsiaTheme="minorEastAsia"/>
          <w:b/>
          <w:color w:val="000000" w:themeColor="text1"/>
          <w:szCs w:val="21"/>
        </w:rPr>
      </w:pPr>
      <w:r w:rsidRPr="00D46E57">
        <w:rPr>
          <w:rFonts w:eastAsiaTheme="minorEastAsia"/>
          <w:b/>
          <w:bCs/>
          <w:color w:val="000000" w:themeColor="text1"/>
          <w:kern w:val="0"/>
          <w:szCs w:val="21"/>
        </w:rPr>
        <w:t>6.4.</w:t>
      </w:r>
      <w:r w:rsidR="00F57286">
        <w:rPr>
          <w:rFonts w:eastAsiaTheme="minorEastAsia" w:hint="eastAsia"/>
          <w:b/>
          <w:bCs/>
          <w:color w:val="000000" w:themeColor="text1"/>
          <w:kern w:val="0"/>
          <w:szCs w:val="21"/>
        </w:rPr>
        <w:t>8</w:t>
      </w:r>
      <w:r w:rsidRPr="00D46E57">
        <w:rPr>
          <w:rFonts w:eastAsiaTheme="minorEastAsia"/>
          <w:b/>
          <w:bCs/>
          <w:color w:val="000000" w:themeColor="text1"/>
          <w:kern w:val="0"/>
          <w:szCs w:val="21"/>
        </w:rPr>
        <w:t xml:space="preserve">.7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w:t>
      </w:r>
      <w:r w:rsidR="00F57286">
        <w:rPr>
          <w:rFonts w:eastAsiaTheme="minorEastAsia" w:hint="eastAsia"/>
          <w:b/>
          <w:bCs/>
          <w:color w:val="000000" w:themeColor="text1"/>
          <w:kern w:val="0"/>
          <w:szCs w:val="21"/>
        </w:rPr>
        <w:t>8</w:t>
      </w:r>
      <w:r w:rsidRPr="00D46E57">
        <w:rPr>
          <w:rFonts w:eastAsiaTheme="minorEastAsia"/>
          <w:b/>
          <w:bCs/>
          <w:color w:val="000000" w:themeColor="text1"/>
          <w:kern w:val="0"/>
          <w:szCs w:val="21"/>
        </w:rPr>
        <w:t>.7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10409">
      <w:pPr>
        <w:adjustRightInd w:val="0"/>
        <w:snapToGrid w:val="0"/>
        <w:spacing w:beforeLines="50"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w:t>
      </w:r>
      <w:r w:rsidR="00F57286">
        <w:rPr>
          <w:rFonts w:eastAsiaTheme="minorEastAsia" w:hint="eastAsia"/>
          <w:b/>
          <w:bCs/>
          <w:color w:val="000000" w:themeColor="text1"/>
          <w:kern w:val="0"/>
          <w:szCs w:val="21"/>
        </w:rPr>
        <w:t>8</w:t>
      </w:r>
      <w:r w:rsidRPr="00D46E57">
        <w:rPr>
          <w:rFonts w:eastAsiaTheme="minorEastAsia"/>
          <w:b/>
          <w:bCs/>
          <w:color w:val="000000" w:themeColor="text1"/>
          <w:kern w:val="0"/>
          <w:szCs w:val="21"/>
        </w:rPr>
        <w:t>.7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10409">
      <w:pPr>
        <w:spacing w:beforeLines="100"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szCs w:val="21"/>
        </w:rPr>
        <w:t>期末（</w:t>
      </w:r>
      <w:r w:rsidRPr="00D46E57">
        <w:rPr>
          <w:rFonts w:eastAsiaTheme="minorEastAsia"/>
          <w:b/>
          <w:bCs/>
          <w:color w:val="000000"/>
          <w:szCs w:val="21"/>
        </w:rPr>
        <w:t>2018</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kern w:val="0"/>
          <w:szCs w:val="21"/>
        </w:rPr>
        <w:t xml:space="preserve">.1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kern w:val="0"/>
          <w:szCs w:val="21"/>
        </w:rPr>
        <w:t xml:space="preserve">.2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kern w:val="0"/>
          <w:szCs w:val="21"/>
        </w:rPr>
        <w:t xml:space="preserve">.3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kern w:val="0"/>
          <w:szCs w:val="21"/>
        </w:rPr>
        <w:t xml:space="preserve">.3.1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9</w:t>
      </w:r>
      <w:r w:rsidRPr="00D46E57">
        <w:rPr>
          <w:rFonts w:eastAsiaTheme="minorEastAsia"/>
          <w:b/>
          <w:bCs/>
          <w:color w:val="000000"/>
          <w:kern w:val="0"/>
          <w:szCs w:val="21"/>
        </w:rPr>
        <w:t xml:space="preserve">.3.2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10409">
      <w:pPr>
        <w:adjustRightInd w:val="0"/>
        <w:snapToGrid w:val="0"/>
        <w:spacing w:beforeLines="100" w:line="360" w:lineRule="auto"/>
        <w:rPr>
          <w:rFonts w:eastAsiaTheme="minorEastAsia"/>
          <w:b/>
          <w:color w:val="000000"/>
          <w:szCs w:val="21"/>
        </w:rPr>
      </w:pPr>
      <w:r w:rsidRPr="00D46E57">
        <w:rPr>
          <w:rFonts w:eastAsiaTheme="minorEastAsia"/>
          <w:b/>
          <w:bCs/>
          <w:color w:val="000000"/>
          <w:kern w:val="0"/>
          <w:szCs w:val="21"/>
        </w:rPr>
        <w:t>6.4.</w:t>
      </w:r>
      <w:r w:rsidR="00F57286">
        <w:rPr>
          <w:rFonts w:eastAsiaTheme="minorEastAsia" w:hint="eastAsia"/>
          <w:b/>
          <w:bCs/>
          <w:color w:val="000000"/>
          <w:kern w:val="0"/>
          <w:szCs w:val="21"/>
        </w:rPr>
        <w:t>10</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53" w:name="_Toc225498272"/>
      <w:bookmarkStart w:id="54" w:name="_Toc374532317"/>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3"/>
      <w:bookmarkEnd w:id="54"/>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5" w:name="_Toc225498273"/>
      <w:bookmarkStart w:id="56" w:name="_Toc361324878"/>
      <w:bookmarkStart w:id="57" w:name="_Toc374374955"/>
      <w:bookmarkStart w:id="58" w:name="_Toc225498274"/>
      <w:bookmarkStart w:id="59" w:name="_Toc374532319"/>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5"/>
      <w:bookmarkEnd w:id="56"/>
      <w:bookmarkEnd w:id="57"/>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2748"/>
        <w:gridCol w:w="2551"/>
        <w:gridCol w:w="2621"/>
      </w:tblGrid>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F57286">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700,000.00</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27.79</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F57286">
        <w:tc>
          <w:tcPr>
            <w:tcW w:w="1080" w:type="dxa"/>
            <w:vAlign w:val="center"/>
          </w:tcPr>
          <w:p w:rsidR="00E967BF" w:rsidRPr="00D46E57" w:rsidRDefault="00E967BF" w:rsidP="00F57286">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1,818,293.92</w:t>
            </w:r>
          </w:p>
        </w:tc>
        <w:tc>
          <w:tcPr>
            <w:tcW w:w="2621" w:type="dxa"/>
            <w:vAlign w:val="center"/>
          </w:tcPr>
          <w:p w:rsidR="00E967BF" w:rsidRPr="00D46E57" w:rsidRDefault="00E967BF" w:rsidP="00F57286">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72.19</w:t>
            </w:r>
          </w:p>
        </w:tc>
      </w:tr>
      <w:tr w:rsidR="00E967BF" w:rsidRPr="00D46E57" w:rsidTr="00F57286">
        <w:tc>
          <w:tcPr>
            <w:tcW w:w="1080" w:type="dxa"/>
            <w:vAlign w:val="center"/>
          </w:tcPr>
          <w:p w:rsidR="00E967BF" w:rsidRPr="00D46E57" w:rsidRDefault="00E967BF" w:rsidP="00F57286">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F57286">
            <w:pPr>
              <w:spacing w:line="276" w:lineRule="auto"/>
              <w:jc w:val="right"/>
              <w:rPr>
                <w:rFonts w:eastAsiaTheme="minorEastAsia"/>
                <w:color w:val="000000" w:themeColor="text1"/>
                <w:szCs w:val="21"/>
              </w:rPr>
            </w:pPr>
            <w:r w:rsidRPr="00D46E57">
              <w:rPr>
                <w:rFonts w:eastAsiaTheme="minorEastAsia"/>
                <w:color w:val="000000" w:themeColor="text1"/>
                <w:szCs w:val="21"/>
              </w:rPr>
              <w:t>376.98</w:t>
            </w:r>
          </w:p>
        </w:tc>
        <w:tc>
          <w:tcPr>
            <w:tcW w:w="2621" w:type="dxa"/>
            <w:vAlign w:val="center"/>
          </w:tcPr>
          <w:p w:rsidR="00E967BF" w:rsidRPr="00D46E57" w:rsidRDefault="00E967BF" w:rsidP="00F57286">
            <w:pPr>
              <w:spacing w:line="276" w:lineRule="auto"/>
              <w:jc w:val="right"/>
              <w:rPr>
                <w:rFonts w:eastAsiaTheme="minorEastAsia"/>
                <w:color w:val="000000" w:themeColor="text1"/>
                <w:szCs w:val="21"/>
              </w:rPr>
            </w:pPr>
            <w:r w:rsidRPr="00D46E57">
              <w:rPr>
                <w:rFonts w:eastAsiaTheme="minorEastAsia"/>
                <w:color w:val="000000" w:themeColor="text1"/>
                <w:szCs w:val="21"/>
              </w:rPr>
              <w:t>0.01</w:t>
            </w:r>
          </w:p>
        </w:tc>
      </w:tr>
      <w:tr w:rsidR="00E967BF" w:rsidRPr="00D46E57" w:rsidTr="00F57286">
        <w:tc>
          <w:tcPr>
            <w:tcW w:w="1080" w:type="dxa"/>
            <w:vAlign w:val="center"/>
          </w:tcPr>
          <w:p w:rsidR="00E967BF" w:rsidRPr="00D46E57" w:rsidRDefault="00E967BF" w:rsidP="00F57286">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F57286">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F57286">
            <w:pPr>
              <w:spacing w:line="276" w:lineRule="auto"/>
              <w:jc w:val="right"/>
              <w:rPr>
                <w:rFonts w:eastAsiaTheme="minorEastAsia"/>
                <w:color w:val="000000" w:themeColor="text1"/>
                <w:szCs w:val="21"/>
              </w:rPr>
            </w:pPr>
            <w:r w:rsidRPr="00D46E57">
              <w:rPr>
                <w:rFonts w:eastAsiaTheme="minorEastAsia"/>
                <w:color w:val="000000" w:themeColor="text1"/>
                <w:szCs w:val="21"/>
              </w:rPr>
              <w:t>2,518,670.90</w:t>
            </w:r>
          </w:p>
        </w:tc>
        <w:tc>
          <w:tcPr>
            <w:tcW w:w="2621" w:type="dxa"/>
            <w:vAlign w:val="center"/>
          </w:tcPr>
          <w:p w:rsidR="00E967BF" w:rsidRPr="00D46E57" w:rsidRDefault="00E967BF" w:rsidP="00F57286">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10409">
      <w:pPr>
        <w:pStyle w:val="20"/>
        <w:spacing w:beforeLines="100" w:after="0"/>
        <w:rPr>
          <w:rFonts w:ascii="Times New Roman" w:eastAsiaTheme="minorEastAsia" w:hAnsi="Times New Roman"/>
          <w:kern w:val="0"/>
          <w:sz w:val="21"/>
          <w:szCs w:val="21"/>
        </w:rPr>
      </w:pPr>
      <w:r w:rsidRPr="00D46E57">
        <w:rPr>
          <w:rFonts w:ascii="Times New Roman" w:eastAsiaTheme="minorEastAsia" w:hAnsi="Times New Roman"/>
          <w:kern w:val="0"/>
          <w:sz w:val="21"/>
          <w:szCs w:val="21"/>
        </w:rPr>
        <w:t>7.2</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58"/>
      <w:bookmarkEnd w:id="59"/>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FB2B87" w:rsidRPr="00D46E57" w:rsidRDefault="00FB2B87" w:rsidP="00610409">
      <w:pPr>
        <w:spacing w:beforeLines="100"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0" w:name="_Toc374532320"/>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w:t>
      </w:r>
      <w:r w:rsidR="00F57286">
        <w:rPr>
          <w:rFonts w:ascii="Times New Roman" w:eastAsiaTheme="minorEastAsia" w:hAnsi="Times New Roman" w:hint="eastAsia"/>
          <w:kern w:val="0"/>
          <w:sz w:val="21"/>
          <w:szCs w:val="21"/>
        </w:rPr>
        <w:t>前十名</w:t>
      </w:r>
      <w:r w:rsidRPr="00D46E57">
        <w:rPr>
          <w:rFonts w:ascii="Times New Roman" w:eastAsiaTheme="minorEastAsia" w:hAnsi="Times New Roman"/>
          <w:kern w:val="0"/>
          <w:sz w:val="21"/>
          <w:szCs w:val="21"/>
        </w:rPr>
        <w:t>股票投资明细</w:t>
      </w:r>
      <w:bookmarkEnd w:id="60"/>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1" w:name="_Toc374532321"/>
      <w:r w:rsidRPr="00D46E57">
        <w:rPr>
          <w:rFonts w:ascii="Times New Roman" w:eastAsiaTheme="minorEastAsia" w:hAnsi="Times New Roman"/>
          <w:kern w:val="0"/>
          <w:sz w:val="21"/>
          <w:szCs w:val="21"/>
        </w:rPr>
        <w:t>7.4</w:t>
      </w:r>
      <w:bookmarkStart w:id="62" w:name="_Toc234814103"/>
      <w:r w:rsidRPr="00D46E57">
        <w:rPr>
          <w:rFonts w:ascii="Times New Roman" w:eastAsiaTheme="minorEastAsia" w:hAnsi="Times New Roman"/>
          <w:kern w:val="0"/>
          <w:sz w:val="21"/>
          <w:szCs w:val="21"/>
        </w:rPr>
        <w:t>报告期内股票投资组合的重大变动</w:t>
      </w:r>
      <w:bookmarkEnd w:id="61"/>
      <w:bookmarkEnd w:id="62"/>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期末</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期末</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3" w:name="_Toc234814104"/>
      <w:bookmarkStart w:id="64" w:name="_Toc374532322"/>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3"/>
      <w:bookmarkEnd w:id="6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5" w:name="_Toc374532323"/>
      <w:r w:rsidRPr="00D46E57">
        <w:rPr>
          <w:rFonts w:ascii="Times New Roman" w:eastAsiaTheme="minorEastAsia" w:hAnsi="Times New Roman"/>
          <w:kern w:val="0"/>
          <w:sz w:val="21"/>
          <w:szCs w:val="21"/>
        </w:rPr>
        <w:t>7.6</w:t>
      </w:r>
      <w:bookmarkStart w:id="66" w:name="_Toc234814105"/>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65"/>
      <w:bookmarkEnd w:id="66"/>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7" w:name="_Toc374532324"/>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w:t>
      </w:r>
      <w:r w:rsidR="00F57286">
        <w:rPr>
          <w:rFonts w:ascii="Times New Roman" w:eastAsiaTheme="minorEastAsia" w:hAnsi="Times New Roman" w:hint="eastAsia"/>
          <w:kern w:val="0"/>
          <w:sz w:val="21"/>
          <w:szCs w:val="21"/>
        </w:rPr>
        <w:t>前十名</w:t>
      </w:r>
      <w:r w:rsidRPr="00D46E57">
        <w:rPr>
          <w:rFonts w:ascii="Times New Roman" w:eastAsiaTheme="minorEastAsia" w:hAnsi="Times New Roman"/>
          <w:kern w:val="0"/>
          <w:sz w:val="21"/>
          <w:szCs w:val="21"/>
        </w:rPr>
        <w:t>资产支持证券投资明细</w:t>
      </w:r>
      <w:bookmarkEnd w:id="67"/>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10409">
      <w:pPr>
        <w:pStyle w:val="20"/>
        <w:spacing w:beforeLines="100" w:after="0"/>
        <w:rPr>
          <w:rFonts w:ascii="Times New Roman" w:eastAsiaTheme="minorEastAsia" w:hAnsi="Times New Roman"/>
          <w:kern w:val="0"/>
          <w:sz w:val="21"/>
          <w:szCs w:val="21"/>
        </w:rPr>
      </w:pPr>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8" w:name="_Toc374532325"/>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68"/>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69" w:name="_Toc374532326"/>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69"/>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10409">
      <w:pPr>
        <w:pStyle w:val="20"/>
        <w:spacing w:beforeLines="100" w:after="0"/>
        <w:rPr>
          <w:rFonts w:ascii="Times New Roman" w:eastAsiaTheme="minorEastAsia" w:hAnsi="Times New Roman"/>
          <w:kern w:val="0"/>
          <w:sz w:val="21"/>
          <w:szCs w:val="21"/>
        </w:rPr>
      </w:pPr>
      <w:bookmarkStart w:id="70" w:name="_Toc374532327"/>
      <w:r w:rsidRPr="00D46E57">
        <w:rPr>
          <w:rFonts w:ascii="Times New Roman" w:eastAsiaTheme="minorEastAsia" w:hAnsi="Times New Roman"/>
          <w:kern w:val="0"/>
          <w:sz w:val="21"/>
          <w:szCs w:val="21"/>
        </w:rPr>
        <w:t>7.11</w:t>
      </w:r>
      <w:r w:rsidRPr="00D46E57">
        <w:rPr>
          <w:rFonts w:ascii="Times New Roman" w:eastAsiaTheme="minorEastAsia" w:hAnsi="Times New Roman"/>
          <w:kern w:val="0"/>
          <w:sz w:val="21"/>
          <w:szCs w:val="21"/>
        </w:rPr>
        <w:t>报告期末本基金投资的国债期货交易情况说明</w:t>
      </w:r>
      <w:bookmarkEnd w:id="70"/>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1548F9" w:rsidRPr="00D46E57" w:rsidRDefault="001548F9" w:rsidP="00610409">
      <w:pPr>
        <w:pStyle w:val="20"/>
        <w:spacing w:beforeLines="100" w:after="0"/>
        <w:rPr>
          <w:rFonts w:ascii="Times New Roman" w:eastAsiaTheme="minorEastAsia" w:hAnsi="Times New Roman"/>
          <w:kern w:val="0"/>
          <w:sz w:val="21"/>
          <w:szCs w:val="21"/>
        </w:rPr>
      </w:pPr>
      <w:bookmarkStart w:id="71" w:name="_Toc374532328"/>
      <w:r w:rsidRPr="00D46E57">
        <w:rPr>
          <w:rFonts w:ascii="Times New Roman" w:eastAsiaTheme="minorEastAsia" w:hAnsi="Times New Roman"/>
          <w:kern w:val="0"/>
          <w:sz w:val="21"/>
          <w:szCs w:val="21"/>
        </w:rPr>
        <w:t xml:space="preserve">7.12 </w:t>
      </w:r>
      <w:r w:rsidRPr="00D46E57">
        <w:rPr>
          <w:rFonts w:ascii="Times New Roman" w:eastAsiaTheme="minorEastAsia" w:hAnsi="Times New Roman"/>
          <w:kern w:val="0"/>
          <w:sz w:val="21"/>
          <w:szCs w:val="21"/>
        </w:rPr>
        <w:t>投资组合报告附注</w:t>
      </w:r>
      <w:bookmarkEnd w:id="71"/>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7.12.1</w:t>
      </w:r>
      <w:r w:rsidRPr="00D46E57">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7.12.3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42.18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334.80</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376.98</w:t>
            </w:r>
          </w:p>
        </w:tc>
      </w:tr>
    </w:tbl>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color w:val="000000"/>
          <w:szCs w:val="21"/>
        </w:rPr>
        <w:t>7.12.4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10409">
      <w:pPr>
        <w:spacing w:beforeLines="100" w:line="360" w:lineRule="auto"/>
        <w:rPr>
          <w:rFonts w:eastAsiaTheme="minorEastAsia"/>
          <w:b/>
          <w:bCs/>
          <w:color w:val="000000"/>
          <w:szCs w:val="21"/>
        </w:rPr>
      </w:pPr>
      <w:r w:rsidRPr="00D46E57">
        <w:rPr>
          <w:rFonts w:eastAsiaTheme="minorEastAsia"/>
          <w:b/>
          <w:color w:val="000000"/>
          <w:szCs w:val="21"/>
        </w:rPr>
        <w:t xml:space="preserve">7.12.5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10409">
      <w:pPr>
        <w:spacing w:beforeLines="100" w:line="360" w:lineRule="auto"/>
        <w:rPr>
          <w:rFonts w:eastAsiaTheme="minorEastAsia"/>
          <w:b/>
          <w:color w:val="000000"/>
          <w:szCs w:val="21"/>
        </w:rPr>
      </w:pPr>
      <w:r w:rsidRPr="00D46E57">
        <w:rPr>
          <w:rFonts w:eastAsiaTheme="minorEastAsia"/>
          <w:b/>
          <w:color w:val="000000"/>
          <w:szCs w:val="21"/>
        </w:rPr>
        <w:t xml:space="preserve">7.12.6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w:t>
      </w:r>
      <w:r w:rsidRPr="00D46E57">
        <w:rPr>
          <w:rFonts w:eastAsiaTheme="minorEastAsia"/>
          <w:kern w:val="0"/>
          <w:szCs w:val="21"/>
        </w:rPr>
        <w:t>,</w:t>
      </w:r>
      <w:r w:rsidRPr="00D46E57">
        <w:rPr>
          <w:rFonts w:eastAsiaTheme="minorEastAsia"/>
          <w:kern w:val="0"/>
          <w:szCs w:val="21"/>
        </w:rPr>
        <w:t>投资组合报告中分项之和与合计可能存在尾差。</w:t>
      </w: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72" w:name="_Toc225500050"/>
      <w:bookmarkStart w:id="73" w:name="_Toc374532329"/>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2"/>
      <w:bookmarkEnd w:id="73"/>
    </w:p>
    <w:p w:rsidR="001548F9" w:rsidRPr="00D46E57" w:rsidRDefault="001548F9" w:rsidP="006E0888">
      <w:pPr>
        <w:pStyle w:val="20"/>
        <w:spacing w:before="0" w:after="0"/>
        <w:rPr>
          <w:rFonts w:ascii="Times New Roman" w:eastAsiaTheme="minorEastAsia" w:hAnsi="Times New Roman"/>
          <w:kern w:val="0"/>
          <w:sz w:val="21"/>
          <w:szCs w:val="21"/>
        </w:rPr>
      </w:pPr>
      <w:bookmarkStart w:id="74" w:name="_Toc225500051"/>
      <w:bookmarkStart w:id="75" w:name="_Toc374532330"/>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74"/>
      <w:bookmarkEnd w:id="75"/>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上投摩根安腾回报混合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55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18,961.35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1,042,874.01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上投摩根安腾回报混合</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379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1,917.63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726,782.00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434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4,077.55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1,769,656.01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bl>
    <w:p w:rsidR="001548F9" w:rsidRPr="00D46E57" w:rsidRDefault="001548F9" w:rsidP="00610409">
      <w:pPr>
        <w:pStyle w:val="20"/>
        <w:spacing w:beforeLines="100" w:after="0"/>
        <w:rPr>
          <w:rFonts w:ascii="Times New Roman" w:eastAsiaTheme="minorEastAsia" w:hAnsi="Times New Roman"/>
          <w:kern w:val="0"/>
          <w:sz w:val="21"/>
          <w:szCs w:val="21"/>
        </w:rPr>
      </w:pPr>
      <w:bookmarkStart w:id="76" w:name="_Toc374532332"/>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76"/>
    </w:p>
    <w:tbl>
      <w:tblPr>
        <w:tblStyle w:val="af7"/>
        <w:tblW w:w="0" w:type="auto"/>
        <w:tblInd w:w="108" w:type="dxa"/>
        <w:tblLayout w:type="fixed"/>
        <w:tblLook w:val="04A0"/>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上投摩根安腾回报混合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396.96</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0.0381%</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上投摩根安腾回报混合</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3,421.13</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0.4707%</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3,818.09</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0.2158%</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r w:rsidRPr="00D46E57">
        <w:rPr>
          <w:rFonts w:ascii="Times New Roman" w:eastAsiaTheme="minorEastAsia" w:hAnsi="Times New Roman"/>
          <w:kern w:val="0"/>
          <w:sz w:val="21"/>
          <w:szCs w:val="21"/>
        </w:rPr>
        <w:t>8.3</w:t>
      </w:r>
      <w:r w:rsidR="00F84DEE" w:rsidRPr="00D46E57">
        <w:rPr>
          <w:rFonts w:ascii="Times New Roman" w:eastAsiaTheme="minorEastAsia" w:hAnsi="Times New Roman"/>
          <w:sz w:val="21"/>
          <w:szCs w:val="21"/>
        </w:rPr>
        <w:t>期末基金管理人的从业人员持有本开放式基金份额总量区间的情况</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上投摩根安腾回报混合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上投摩根安腾回报混合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上投摩根安腾回报混合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上投摩根安腾回报混合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77" w:name="_Toc225500053"/>
      <w:bookmarkStart w:id="78" w:name="_Toc374532334"/>
      <w:r w:rsidRPr="00D46E57">
        <w:rPr>
          <w:rFonts w:eastAsiaTheme="minorEastAsia"/>
          <w:b/>
          <w:bCs/>
          <w:sz w:val="21"/>
          <w:szCs w:val="21"/>
          <w:lang w:val="en-US"/>
        </w:rPr>
        <w:t>9</w:t>
      </w:r>
      <w:r w:rsidRPr="00D46E57">
        <w:rPr>
          <w:rFonts w:eastAsiaTheme="minorEastAsia"/>
          <w:b/>
          <w:bCs/>
          <w:sz w:val="21"/>
          <w:szCs w:val="21"/>
          <w:lang w:val="en-US"/>
        </w:rPr>
        <w:t>开放式基金份额变动</w:t>
      </w:r>
      <w:bookmarkEnd w:id="77"/>
      <w:bookmarkEnd w:id="78"/>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上投摩根安腾回报混合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上投摩根安腾回报混合</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2,398,856.50</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204,498,960.43</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基金合同生效日起至报告期期末</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2,350.55</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997.41</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基金合同生效日起至报告期期末</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1,358,333.04</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203,773,175.84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基金合同生效日起至报告期期末</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1,042,874.01</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726,782.00</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注：本基金合同生效日为：</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2</w:t>
      </w:r>
      <w:r w:rsidRPr="00D46E57">
        <w:rPr>
          <w:rFonts w:eastAsiaTheme="minorEastAsia"/>
          <w:kern w:val="0"/>
          <w:szCs w:val="21"/>
        </w:rPr>
        <w:t>月</w:t>
      </w:r>
      <w:r w:rsidRPr="00D46E57">
        <w:rPr>
          <w:rFonts w:eastAsiaTheme="minorEastAsia"/>
          <w:kern w:val="0"/>
          <w:szCs w:val="21"/>
        </w:rPr>
        <w:t>27</w:t>
      </w:r>
      <w:r w:rsidRPr="00D46E57">
        <w:rPr>
          <w:rFonts w:eastAsiaTheme="minorEastAsia"/>
          <w:kern w:val="0"/>
          <w:szCs w:val="21"/>
        </w:rPr>
        <w:t>日。</w:t>
      </w: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79" w:name="_Toc225500054"/>
      <w:bookmarkStart w:id="80" w:name="_Toc374532335"/>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79"/>
      <w:bookmarkEnd w:id="80"/>
    </w:p>
    <w:p w:rsidR="001548F9" w:rsidRPr="00D46E57" w:rsidRDefault="001548F9" w:rsidP="00AA0B73">
      <w:pPr>
        <w:pStyle w:val="20"/>
        <w:spacing w:before="0" w:after="0"/>
        <w:rPr>
          <w:rFonts w:ascii="Times New Roman" w:eastAsiaTheme="minorEastAsia" w:hAnsi="Times New Roman"/>
          <w:kern w:val="0"/>
          <w:sz w:val="21"/>
          <w:szCs w:val="21"/>
        </w:rPr>
      </w:pPr>
      <w:bookmarkStart w:id="81" w:name="_Toc374532336"/>
      <w:r w:rsidRPr="00D46E57">
        <w:rPr>
          <w:rFonts w:ascii="Times New Roman" w:eastAsiaTheme="minorEastAsia" w:hAnsi="Times New Roman"/>
          <w:kern w:val="0"/>
          <w:sz w:val="21"/>
          <w:szCs w:val="21"/>
        </w:rPr>
        <w:t xml:space="preserve">10.1 </w:t>
      </w:r>
      <w:r w:rsidRPr="00D46E57">
        <w:rPr>
          <w:rFonts w:ascii="Times New Roman" w:eastAsiaTheme="minorEastAsia" w:hAnsi="Times New Roman"/>
          <w:kern w:val="0"/>
          <w:sz w:val="21"/>
          <w:szCs w:val="21"/>
        </w:rPr>
        <w:t>基金份额持有人大会决议</w:t>
      </w:r>
      <w:bookmarkEnd w:id="81"/>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本报告期内无基金份额持有人大会决议。</w:t>
      </w:r>
    </w:p>
    <w:p w:rsidR="001548F9" w:rsidRPr="00D46E57" w:rsidRDefault="001548F9" w:rsidP="00AA0B73">
      <w:pPr>
        <w:pStyle w:val="20"/>
        <w:spacing w:before="0" w:after="0"/>
        <w:rPr>
          <w:rFonts w:ascii="Times New Roman" w:eastAsiaTheme="minorEastAsia" w:hAnsi="Times New Roman"/>
          <w:kern w:val="0"/>
          <w:sz w:val="21"/>
          <w:szCs w:val="21"/>
        </w:rPr>
      </w:pPr>
      <w:bookmarkStart w:id="82" w:name="_Toc374532337"/>
      <w:r w:rsidRPr="00D46E57">
        <w:rPr>
          <w:rFonts w:ascii="Times New Roman" w:eastAsiaTheme="minorEastAsia" w:hAnsi="Times New Roman"/>
          <w:kern w:val="0"/>
          <w:sz w:val="21"/>
          <w:szCs w:val="21"/>
        </w:rPr>
        <w:t xml:space="preserve">10.2 </w:t>
      </w:r>
      <w:r w:rsidRPr="00D46E57">
        <w:rPr>
          <w:rFonts w:ascii="Times New Roman" w:eastAsiaTheme="minorEastAsia" w:hAnsi="Times New Roman"/>
          <w:kern w:val="0"/>
          <w:sz w:val="21"/>
          <w:szCs w:val="21"/>
        </w:rPr>
        <w:t>基金管理人、基金托管人的专门基金托管部门的重大人事变动</w:t>
      </w:r>
      <w:bookmarkEnd w:id="82"/>
    </w:p>
    <w:p w:rsidR="00BD7683" w:rsidRDefault="00CB0B4B">
      <w:pPr>
        <w:spacing w:line="360" w:lineRule="auto"/>
        <w:ind w:firstLineChars="200" w:firstLine="420"/>
        <w:rPr>
          <w:rFonts w:eastAsiaTheme="minorEastAsia"/>
          <w:kern w:val="0"/>
          <w:szCs w:val="21"/>
        </w:rPr>
      </w:pPr>
      <w:r>
        <w:rPr>
          <w:rFonts w:eastAsiaTheme="minorEastAsia"/>
          <w:kern w:val="0"/>
          <w:szCs w:val="21"/>
        </w:rPr>
        <w:t>基金管理人：</w:t>
      </w:r>
    </w:p>
    <w:p w:rsidR="00BD7683" w:rsidRDefault="00CB0B4B">
      <w:pPr>
        <w:spacing w:line="360" w:lineRule="auto"/>
        <w:ind w:firstLineChars="200" w:firstLine="420"/>
        <w:rPr>
          <w:rFonts w:eastAsiaTheme="minorEastAsia"/>
          <w:kern w:val="0"/>
          <w:szCs w:val="21"/>
        </w:rPr>
      </w:pPr>
      <w:r>
        <w:rPr>
          <w:rFonts w:eastAsiaTheme="minorEastAsia"/>
          <w:kern w:val="0"/>
          <w:szCs w:val="21"/>
        </w:rPr>
        <w:t>无。</w:t>
      </w:r>
    </w:p>
    <w:p w:rsidR="00BD7683" w:rsidRDefault="00CB0B4B">
      <w:pPr>
        <w:spacing w:line="360" w:lineRule="auto"/>
        <w:ind w:firstLineChars="200" w:firstLine="420"/>
        <w:rPr>
          <w:rFonts w:eastAsiaTheme="minorEastAsia"/>
          <w:kern w:val="0"/>
          <w:szCs w:val="21"/>
        </w:rPr>
      </w:pPr>
      <w:r>
        <w:rPr>
          <w:rFonts w:eastAsiaTheme="minorEastAsia"/>
          <w:kern w:val="0"/>
          <w:szCs w:val="21"/>
        </w:rPr>
        <w:t>基金托管人：</w:t>
      </w:r>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本报告期内，本基金的基金托管人的专门基金托管部门未发生重大人事变动。</w:t>
      </w:r>
    </w:p>
    <w:p w:rsidR="001548F9" w:rsidRPr="00D46E57" w:rsidRDefault="001548F9" w:rsidP="00AA0B73">
      <w:pPr>
        <w:pStyle w:val="20"/>
        <w:spacing w:before="0" w:after="0"/>
        <w:rPr>
          <w:rFonts w:ascii="Times New Roman" w:eastAsiaTheme="minorEastAsia" w:hAnsi="Times New Roman"/>
          <w:kern w:val="0"/>
          <w:sz w:val="21"/>
          <w:szCs w:val="21"/>
        </w:rPr>
      </w:pPr>
      <w:bookmarkStart w:id="83" w:name="_Toc374532338"/>
      <w:r w:rsidRPr="00D46E57">
        <w:rPr>
          <w:rFonts w:ascii="Times New Roman" w:eastAsiaTheme="minorEastAsia" w:hAnsi="Times New Roman"/>
          <w:kern w:val="0"/>
          <w:sz w:val="21"/>
          <w:szCs w:val="21"/>
        </w:rPr>
        <w:t xml:space="preserve">10.3 </w:t>
      </w:r>
      <w:r w:rsidRPr="00D46E57">
        <w:rPr>
          <w:rFonts w:ascii="Times New Roman" w:eastAsiaTheme="minorEastAsia" w:hAnsi="Times New Roman"/>
          <w:kern w:val="0"/>
          <w:sz w:val="21"/>
          <w:szCs w:val="21"/>
        </w:rPr>
        <w:t>涉及基金管理人、基金财产、基金托管业务的诉讼</w:t>
      </w:r>
      <w:bookmarkEnd w:id="83"/>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本报告期内无涉及基金管理人、基金财产、基金托管业务的诉讼。</w:t>
      </w:r>
    </w:p>
    <w:p w:rsidR="001548F9" w:rsidRPr="00D46E57" w:rsidRDefault="001548F9" w:rsidP="00AA0B73">
      <w:pPr>
        <w:pStyle w:val="20"/>
        <w:spacing w:before="0" w:after="0"/>
        <w:rPr>
          <w:rFonts w:ascii="Times New Roman" w:eastAsiaTheme="minorEastAsia" w:hAnsi="Times New Roman"/>
          <w:kern w:val="0"/>
          <w:sz w:val="21"/>
          <w:szCs w:val="21"/>
        </w:rPr>
      </w:pPr>
      <w:bookmarkStart w:id="84" w:name="_Toc374532339"/>
      <w:r w:rsidRPr="00D46E57">
        <w:rPr>
          <w:rFonts w:ascii="Times New Roman" w:eastAsiaTheme="minorEastAsia" w:hAnsi="Times New Roman"/>
          <w:kern w:val="0"/>
          <w:sz w:val="21"/>
          <w:szCs w:val="21"/>
        </w:rPr>
        <w:t xml:space="preserve">10.4 </w:t>
      </w:r>
      <w:r w:rsidRPr="00D46E57">
        <w:rPr>
          <w:rFonts w:ascii="Times New Roman" w:eastAsiaTheme="minorEastAsia" w:hAnsi="Times New Roman"/>
          <w:kern w:val="0"/>
          <w:sz w:val="21"/>
          <w:szCs w:val="21"/>
        </w:rPr>
        <w:t>基金投资策略的改变</w:t>
      </w:r>
      <w:bookmarkEnd w:id="84"/>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本报告期内无基金投资策略的改变。</w:t>
      </w:r>
    </w:p>
    <w:p w:rsidR="00717E64" w:rsidRPr="00D46E57" w:rsidRDefault="00717E64" w:rsidP="00717E64">
      <w:pPr>
        <w:pStyle w:val="20"/>
        <w:spacing w:before="0" w:after="0"/>
        <w:rPr>
          <w:rFonts w:ascii="Times New Roman" w:eastAsiaTheme="minorEastAsia" w:hAnsi="Times New Roman"/>
          <w:kern w:val="0"/>
          <w:sz w:val="21"/>
          <w:szCs w:val="21"/>
        </w:rPr>
      </w:pPr>
      <w:bookmarkStart w:id="85" w:name="_Toc361324898"/>
      <w:bookmarkStart w:id="86" w:name="_Toc409100466"/>
      <w:bookmarkStart w:id="87" w:name="_Toc409100103"/>
      <w:bookmarkStart w:id="88" w:name="_Toc374532343"/>
      <w:r w:rsidRPr="00D46E57">
        <w:rPr>
          <w:rFonts w:ascii="Times New Roman" w:eastAsiaTheme="minorEastAsia" w:hAnsi="Times New Roman"/>
          <w:kern w:val="0"/>
          <w:sz w:val="21"/>
          <w:szCs w:val="21"/>
        </w:rPr>
        <w:t>10</w:t>
      </w:r>
      <w:bookmarkEnd w:id="85"/>
      <w:r w:rsidR="00CB0B4B">
        <w:rPr>
          <w:rFonts w:ascii="Times New Roman" w:eastAsiaTheme="minorEastAsia" w:hAnsi="Times New Roman" w:hint="eastAsia"/>
          <w:kern w:val="0"/>
          <w:sz w:val="21"/>
          <w:szCs w:val="21"/>
        </w:rPr>
        <w:t>.5</w:t>
      </w:r>
      <w:r w:rsidRPr="00D46E57">
        <w:rPr>
          <w:rFonts w:ascii="Times New Roman" w:eastAsiaTheme="minorEastAsia" w:hAnsi="Times New Roman"/>
          <w:sz w:val="21"/>
          <w:szCs w:val="21"/>
        </w:rPr>
        <w:t>为基金进行审计的会计师事务所情况</w:t>
      </w:r>
      <w:bookmarkEnd w:id="86"/>
      <w:bookmarkEnd w:id="87"/>
    </w:p>
    <w:p w:rsidR="00717E64" w:rsidRPr="00D46E57" w:rsidRDefault="00717E64" w:rsidP="00717E64">
      <w:pPr>
        <w:spacing w:line="360" w:lineRule="auto"/>
        <w:ind w:firstLineChars="200" w:firstLine="420"/>
        <w:rPr>
          <w:rFonts w:eastAsiaTheme="minorEastAsia"/>
          <w:szCs w:val="21"/>
        </w:rPr>
      </w:pPr>
      <w:bookmarkStart w:id="89" w:name="OLE_LINK3"/>
      <w:r w:rsidRPr="00D46E57">
        <w:rPr>
          <w:rFonts w:eastAsiaTheme="minorEastAsia"/>
          <w:szCs w:val="21"/>
        </w:rPr>
        <w:t>普华永道中天会计师事务所有限公司本年度第一次为本基金提供审计服务。本报告期内，本基金未发生改聘为其审计的会计师事务所的情况。</w:t>
      </w:r>
    </w:p>
    <w:p w:rsidR="00717E64" w:rsidRPr="00D46E57" w:rsidRDefault="00717E64" w:rsidP="00717E64">
      <w:pPr>
        <w:pStyle w:val="20"/>
        <w:spacing w:before="0" w:after="0"/>
        <w:rPr>
          <w:rFonts w:ascii="Times New Roman" w:eastAsiaTheme="minorEastAsia" w:hAnsi="Times New Roman"/>
          <w:kern w:val="0"/>
          <w:sz w:val="21"/>
          <w:szCs w:val="21"/>
        </w:rPr>
      </w:pPr>
      <w:bookmarkStart w:id="90" w:name="_Toc409100104"/>
      <w:bookmarkStart w:id="91" w:name="_Toc409100467"/>
      <w:bookmarkStart w:id="92" w:name="_Toc361324899"/>
      <w:bookmarkEnd w:id="89"/>
      <w:r w:rsidRPr="00D46E57">
        <w:rPr>
          <w:rFonts w:ascii="Times New Roman" w:eastAsiaTheme="minorEastAsia" w:hAnsi="Times New Roman"/>
          <w:kern w:val="0"/>
          <w:sz w:val="21"/>
          <w:szCs w:val="21"/>
        </w:rPr>
        <w:t>10.</w:t>
      </w:r>
      <w:r w:rsidR="00CB0B4B">
        <w:rPr>
          <w:rFonts w:ascii="Times New Roman" w:eastAsiaTheme="minorEastAsia" w:hAnsi="Times New Roman" w:hint="eastAsia"/>
          <w:kern w:val="0"/>
          <w:sz w:val="21"/>
          <w:szCs w:val="21"/>
        </w:rPr>
        <w:t>6</w:t>
      </w:r>
      <w:r w:rsidRPr="00D46E57">
        <w:rPr>
          <w:rFonts w:ascii="Times New Roman" w:eastAsiaTheme="minorEastAsia" w:hAnsi="Times New Roman"/>
          <w:kern w:val="0"/>
          <w:sz w:val="21"/>
          <w:szCs w:val="21"/>
        </w:rPr>
        <w:t>管理人、托管人及其高级管理人员受稽查或处罚等情况</w:t>
      </w:r>
      <w:bookmarkEnd w:id="90"/>
      <w:bookmarkEnd w:id="91"/>
      <w:bookmarkEnd w:id="92"/>
    </w:p>
    <w:p w:rsidR="00717E64" w:rsidRPr="00D46E57" w:rsidRDefault="00717E64" w:rsidP="00717E64">
      <w:pPr>
        <w:spacing w:line="360" w:lineRule="auto"/>
        <w:ind w:firstLineChars="200" w:firstLine="420"/>
        <w:rPr>
          <w:rFonts w:eastAsiaTheme="minorEastAsia"/>
          <w:szCs w:val="21"/>
        </w:rPr>
      </w:pPr>
      <w:r w:rsidRPr="00D46E57">
        <w:rPr>
          <w:rFonts w:eastAsiaTheme="minorEastAsia"/>
          <w:szCs w:val="21"/>
        </w:rPr>
        <w:t>本报告期内本基金管理人、托管人及其高级管理人员没有发生受稽查或处罚的情况。</w:t>
      </w:r>
    </w:p>
    <w:p w:rsidR="00717E64" w:rsidRPr="00D46E57" w:rsidRDefault="00717E64" w:rsidP="00717E64">
      <w:pPr>
        <w:pStyle w:val="20"/>
        <w:spacing w:before="0" w:after="0"/>
        <w:rPr>
          <w:rFonts w:ascii="Times New Roman" w:eastAsiaTheme="minorEastAsia" w:hAnsi="Times New Roman"/>
          <w:kern w:val="0"/>
          <w:sz w:val="21"/>
          <w:szCs w:val="21"/>
        </w:rPr>
      </w:pPr>
      <w:bookmarkStart w:id="93" w:name="_Toc361324900"/>
      <w:bookmarkStart w:id="94" w:name="_Toc409100468"/>
      <w:bookmarkStart w:id="95" w:name="_Toc409100105"/>
      <w:r w:rsidRPr="00D46E57">
        <w:rPr>
          <w:rFonts w:ascii="Times New Roman" w:eastAsiaTheme="minorEastAsia" w:hAnsi="Times New Roman"/>
          <w:kern w:val="0"/>
          <w:sz w:val="21"/>
          <w:szCs w:val="21"/>
        </w:rPr>
        <w:t>10.</w:t>
      </w:r>
      <w:r w:rsidR="00CB0B4B">
        <w:rPr>
          <w:rFonts w:ascii="Times New Roman" w:eastAsiaTheme="minorEastAsia" w:hAnsi="Times New Roman" w:hint="eastAsia"/>
          <w:kern w:val="0"/>
          <w:sz w:val="21"/>
          <w:szCs w:val="21"/>
        </w:rPr>
        <w:t>7</w:t>
      </w:r>
      <w:r w:rsidRPr="00D46E57">
        <w:rPr>
          <w:rFonts w:ascii="Times New Roman" w:eastAsiaTheme="minorEastAsia" w:hAnsi="Times New Roman"/>
          <w:kern w:val="0"/>
          <w:sz w:val="21"/>
          <w:szCs w:val="21"/>
        </w:rPr>
        <w:t>基金租用证券公司交易单元的有关情况</w:t>
      </w:r>
      <w:bookmarkEnd w:id="93"/>
      <w:bookmarkEnd w:id="94"/>
      <w:bookmarkEnd w:id="95"/>
    </w:p>
    <w:p w:rsidR="00717E64" w:rsidRPr="00D46E57" w:rsidRDefault="00717E64" w:rsidP="00717E64">
      <w:pPr>
        <w:spacing w:line="360" w:lineRule="auto"/>
        <w:rPr>
          <w:rFonts w:eastAsiaTheme="minorEastAsia"/>
          <w:b/>
          <w:szCs w:val="21"/>
        </w:rPr>
      </w:pPr>
      <w:bookmarkStart w:id="96" w:name="_Toc249760070"/>
      <w:r w:rsidRPr="00D46E57">
        <w:rPr>
          <w:rFonts w:eastAsiaTheme="minorEastAsia"/>
          <w:b/>
          <w:szCs w:val="21"/>
        </w:rPr>
        <w:t>10.</w:t>
      </w:r>
      <w:r w:rsidR="00CB0B4B">
        <w:rPr>
          <w:rFonts w:eastAsiaTheme="minorEastAsia" w:hint="eastAsia"/>
          <w:b/>
          <w:szCs w:val="21"/>
        </w:rPr>
        <w:t>7</w:t>
      </w:r>
      <w:r w:rsidRPr="00D46E57">
        <w:rPr>
          <w:rFonts w:eastAsiaTheme="minorEastAsia"/>
          <w:b/>
          <w:szCs w:val="21"/>
        </w:rPr>
        <w:t>.1</w:t>
      </w:r>
      <w:r w:rsidRPr="00D46E57">
        <w:rPr>
          <w:rFonts w:eastAsiaTheme="minorEastAsia"/>
          <w:b/>
          <w:szCs w:val="21"/>
        </w:rPr>
        <w:t>基金租用证券公司交易单元进行股票投资及佣金支付情况</w:t>
      </w:r>
      <w:bookmarkEnd w:id="96"/>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80"/>
        <w:gridCol w:w="1800"/>
        <w:gridCol w:w="1080"/>
        <w:gridCol w:w="1620"/>
        <w:gridCol w:w="1080"/>
        <w:gridCol w:w="1080"/>
      </w:tblGrid>
      <w:tr w:rsidR="00717E64" w:rsidRPr="00D46E57" w:rsidTr="00F57286">
        <w:tc>
          <w:tcPr>
            <w:tcW w:w="1560" w:type="dxa"/>
            <w:vMerge w:val="restart"/>
            <w:vAlign w:val="center"/>
          </w:tcPr>
          <w:p w:rsidR="00717E64" w:rsidRPr="00D46E57" w:rsidRDefault="00717E64" w:rsidP="00F57286">
            <w:pPr>
              <w:spacing w:line="276" w:lineRule="auto"/>
              <w:jc w:val="center"/>
              <w:rPr>
                <w:rFonts w:eastAsiaTheme="minorEastAsia"/>
                <w:szCs w:val="21"/>
              </w:rPr>
            </w:pPr>
            <w:bookmarkStart w:id="97" w:name="_Toc249760071"/>
            <w:r w:rsidRPr="00D46E57">
              <w:rPr>
                <w:rFonts w:eastAsiaTheme="minorEastAsia"/>
                <w:szCs w:val="21"/>
              </w:rPr>
              <w:t>券商名称</w:t>
            </w:r>
          </w:p>
        </w:tc>
        <w:tc>
          <w:tcPr>
            <w:tcW w:w="780" w:type="dxa"/>
            <w:vMerge w:val="restart"/>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F57286">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F57286">
        <w:tc>
          <w:tcPr>
            <w:tcW w:w="1560" w:type="dxa"/>
            <w:vMerge/>
            <w:vAlign w:val="center"/>
          </w:tcPr>
          <w:p w:rsidR="00717E64" w:rsidRPr="00D46E57" w:rsidRDefault="00717E64" w:rsidP="00F57286">
            <w:pPr>
              <w:widowControl/>
              <w:spacing w:line="276" w:lineRule="auto"/>
              <w:jc w:val="left"/>
              <w:rPr>
                <w:rFonts w:eastAsiaTheme="minorEastAsia"/>
                <w:szCs w:val="21"/>
              </w:rPr>
            </w:pPr>
          </w:p>
        </w:tc>
        <w:tc>
          <w:tcPr>
            <w:tcW w:w="780" w:type="dxa"/>
            <w:vMerge/>
            <w:vAlign w:val="center"/>
          </w:tcPr>
          <w:p w:rsidR="00717E64" w:rsidRPr="00D46E57" w:rsidRDefault="00717E64" w:rsidP="00F57286">
            <w:pPr>
              <w:widowControl/>
              <w:spacing w:line="276" w:lineRule="auto"/>
              <w:jc w:val="left"/>
              <w:rPr>
                <w:rFonts w:eastAsiaTheme="minorEastAsia"/>
                <w:szCs w:val="21"/>
              </w:rPr>
            </w:pPr>
          </w:p>
        </w:tc>
        <w:tc>
          <w:tcPr>
            <w:tcW w:w="1800"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F57286">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F57286">
            <w:pPr>
              <w:widowControl/>
              <w:spacing w:line="276" w:lineRule="auto"/>
              <w:jc w:val="left"/>
              <w:rPr>
                <w:rFonts w:eastAsiaTheme="minorEastAsia"/>
                <w:kern w:val="0"/>
                <w:szCs w:val="21"/>
              </w:rPr>
            </w:pPr>
          </w:p>
        </w:tc>
      </w:tr>
      <w:tr w:rsidR="00BD7683">
        <w:tc>
          <w:tcPr>
            <w:tcW w:w="1560" w:type="dxa"/>
            <w:vAlign w:val="center"/>
          </w:tcPr>
          <w:p w:rsidR="00BD7683" w:rsidRDefault="00CB0B4B">
            <w:pPr>
              <w:jc w:val="left"/>
            </w:pPr>
            <w:r>
              <w:rPr>
                <w:rFonts w:eastAsiaTheme="minorEastAsia"/>
                <w:szCs w:val="21"/>
              </w:rPr>
              <w:t>天风证券</w:t>
            </w:r>
          </w:p>
        </w:tc>
        <w:tc>
          <w:tcPr>
            <w:tcW w:w="780" w:type="dxa"/>
            <w:vAlign w:val="center"/>
          </w:tcPr>
          <w:p w:rsidR="00BD7683" w:rsidRDefault="00CB0B4B">
            <w:pPr>
              <w:jc w:val="right"/>
            </w:pPr>
            <w:r>
              <w:rPr>
                <w:rFonts w:eastAsiaTheme="minorEastAsia"/>
                <w:szCs w:val="21"/>
              </w:rPr>
              <w:t>2</w:t>
            </w:r>
          </w:p>
        </w:tc>
        <w:tc>
          <w:tcPr>
            <w:tcW w:w="1800" w:type="dxa"/>
            <w:vAlign w:val="center"/>
          </w:tcPr>
          <w:p w:rsidR="00BD7683" w:rsidRDefault="00CB0B4B">
            <w:pPr>
              <w:jc w:val="right"/>
            </w:pPr>
            <w:r>
              <w:rPr>
                <w:rFonts w:eastAsiaTheme="minorEastAsia"/>
                <w:szCs w:val="21"/>
              </w:rPr>
              <w:t>-</w:t>
            </w:r>
          </w:p>
        </w:tc>
        <w:tc>
          <w:tcPr>
            <w:tcW w:w="1080" w:type="dxa"/>
            <w:vAlign w:val="center"/>
          </w:tcPr>
          <w:p w:rsidR="00BD7683" w:rsidRDefault="00CB0B4B">
            <w:pPr>
              <w:jc w:val="right"/>
            </w:pPr>
            <w:r>
              <w:rPr>
                <w:rFonts w:eastAsiaTheme="minorEastAsia"/>
                <w:szCs w:val="21"/>
              </w:rPr>
              <w:t>-</w:t>
            </w:r>
          </w:p>
        </w:tc>
        <w:tc>
          <w:tcPr>
            <w:tcW w:w="1620" w:type="dxa"/>
            <w:vAlign w:val="center"/>
          </w:tcPr>
          <w:p w:rsidR="00BD7683" w:rsidRDefault="00CB0B4B">
            <w:pPr>
              <w:jc w:val="right"/>
            </w:pPr>
            <w:r>
              <w:rPr>
                <w:rFonts w:eastAsiaTheme="minorEastAsia"/>
                <w:szCs w:val="21"/>
              </w:rPr>
              <w:t>-</w:t>
            </w:r>
          </w:p>
        </w:tc>
        <w:tc>
          <w:tcPr>
            <w:tcW w:w="1080" w:type="dxa"/>
            <w:vAlign w:val="center"/>
          </w:tcPr>
          <w:p w:rsidR="00BD7683" w:rsidRDefault="00CB0B4B">
            <w:pPr>
              <w:jc w:val="right"/>
            </w:pPr>
            <w:r>
              <w:rPr>
                <w:rFonts w:eastAsiaTheme="minorEastAsia"/>
                <w:szCs w:val="21"/>
              </w:rPr>
              <w:t>-</w:t>
            </w:r>
          </w:p>
        </w:tc>
        <w:tc>
          <w:tcPr>
            <w:tcW w:w="1080" w:type="dxa"/>
            <w:vAlign w:val="center"/>
          </w:tcPr>
          <w:p w:rsidR="00BD7683" w:rsidRDefault="00CB0B4B">
            <w:pPr>
              <w:jc w:val="left"/>
            </w:pPr>
            <w:r>
              <w:rPr>
                <w:rFonts w:eastAsiaTheme="minorEastAsia"/>
                <w:szCs w:val="21"/>
              </w:rPr>
              <w:t>-</w:t>
            </w:r>
          </w:p>
        </w:tc>
      </w:tr>
    </w:tbl>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D7683" w:rsidRDefault="00CB0B4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本基金于</w:t>
      </w: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27</w:t>
      </w:r>
      <w:r w:rsidRPr="00D46E57">
        <w:rPr>
          <w:rFonts w:eastAsiaTheme="minorEastAsia"/>
          <w:szCs w:val="21"/>
        </w:rPr>
        <w:t>日正式成立，以上均为本期新增席位，无注销席位。</w:t>
      </w:r>
    </w:p>
    <w:p w:rsidR="00717E64" w:rsidRPr="00D46E57" w:rsidRDefault="00CB0B4B" w:rsidP="00610409">
      <w:pPr>
        <w:spacing w:beforeLines="100" w:line="360" w:lineRule="auto"/>
        <w:rPr>
          <w:rFonts w:eastAsiaTheme="minorEastAsia"/>
          <w:b/>
          <w:szCs w:val="21"/>
        </w:rPr>
      </w:pPr>
      <w:r>
        <w:rPr>
          <w:rFonts w:eastAsiaTheme="minorEastAsia"/>
          <w:b/>
          <w:szCs w:val="21"/>
        </w:rPr>
        <w:t>10.</w:t>
      </w:r>
      <w:r>
        <w:rPr>
          <w:rFonts w:eastAsiaTheme="minorEastAsia" w:hint="eastAsia"/>
          <w:b/>
          <w:szCs w:val="21"/>
        </w:rPr>
        <w:t>7</w:t>
      </w:r>
      <w:r w:rsidR="00717E64" w:rsidRPr="00D46E57">
        <w:rPr>
          <w:rFonts w:eastAsiaTheme="minorEastAsia"/>
          <w:b/>
          <w:szCs w:val="21"/>
        </w:rPr>
        <w:t xml:space="preserve">.2 </w:t>
      </w:r>
      <w:r w:rsidR="00717E64" w:rsidRPr="00D46E57">
        <w:rPr>
          <w:rFonts w:eastAsiaTheme="minorEastAsia"/>
          <w:b/>
          <w:szCs w:val="21"/>
        </w:rPr>
        <w:t>基金租用证券公司交易单元进行其他证券投资的情况</w:t>
      </w:r>
      <w:bookmarkEnd w:id="97"/>
    </w:p>
    <w:p w:rsidR="00717E64" w:rsidRPr="00D46E57" w:rsidRDefault="00717E64" w:rsidP="00717E64">
      <w:pPr>
        <w:spacing w:line="360" w:lineRule="auto"/>
        <w:ind w:firstLine="420"/>
        <w:jc w:val="right"/>
        <w:rPr>
          <w:rFonts w:eastAsiaTheme="minorEastAsia"/>
          <w:szCs w:val="21"/>
        </w:rPr>
      </w:pPr>
      <w:bookmarkStart w:id="98" w:name="_Toc249707408"/>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9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320"/>
        <w:gridCol w:w="1080"/>
        <w:gridCol w:w="1143"/>
        <w:gridCol w:w="1197"/>
        <w:gridCol w:w="1497"/>
        <w:gridCol w:w="1203"/>
      </w:tblGrid>
      <w:tr w:rsidR="00717E64" w:rsidRPr="00D46E57" w:rsidTr="00F57286">
        <w:tc>
          <w:tcPr>
            <w:tcW w:w="1560" w:type="dxa"/>
            <w:vMerge w:val="restart"/>
            <w:vAlign w:val="center"/>
          </w:tcPr>
          <w:p w:rsidR="00717E64" w:rsidRPr="00D46E57" w:rsidRDefault="00717E64" w:rsidP="00F57286">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权证交易</w:t>
            </w:r>
          </w:p>
        </w:tc>
      </w:tr>
      <w:tr w:rsidR="00717E64" w:rsidRPr="00D46E57" w:rsidTr="00F57286">
        <w:tc>
          <w:tcPr>
            <w:tcW w:w="1560" w:type="dxa"/>
            <w:vMerge/>
            <w:vAlign w:val="center"/>
          </w:tcPr>
          <w:p w:rsidR="00717E64" w:rsidRPr="00D46E57" w:rsidRDefault="00717E64" w:rsidP="00F57286">
            <w:pPr>
              <w:widowControl/>
              <w:spacing w:line="276" w:lineRule="auto"/>
              <w:jc w:val="left"/>
              <w:rPr>
                <w:rFonts w:eastAsiaTheme="minorEastAsia"/>
                <w:kern w:val="0"/>
                <w:szCs w:val="21"/>
              </w:rPr>
            </w:pPr>
          </w:p>
        </w:tc>
        <w:tc>
          <w:tcPr>
            <w:tcW w:w="1320"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F57286">
            <w:pPr>
              <w:spacing w:line="276" w:lineRule="auto"/>
              <w:jc w:val="center"/>
              <w:rPr>
                <w:rFonts w:eastAsiaTheme="minorEastAsia"/>
                <w:szCs w:val="21"/>
              </w:rPr>
            </w:pPr>
            <w:r w:rsidRPr="00D46E57">
              <w:rPr>
                <w:rFonts w:eastAsiaTheme="minorEastAsia"/>
                <w:szCs w:val="21"/>
              </w:rPr>
              <w:t>占当期权证成交总额的比例</w:t>
            </w:r>
          </w:p>
        </w:tc>
      </w:tr>
      <w:tr w:rsidR="00BD7683">
        <w:tc>
          <w:tcPr>
            <w:tcW w:w="1560" w:type="dxa"/>
            <w:vAlign w:val="center"/>
          </w:tcPr>
          <w:p w:rsidR="00BD7683" w:rsidRDefault="00CB0B4B">
            <w:pPr>
              <w:jc w:val="left"/>
            </w:pPr>
            <w:r>
              <w:rPr>
                <w:rFonts w:eastAsiaTheme="minorEastAsia"/>
                <w:szCs w:val="21"/>
              </w:rPr>
              <w:t>天风证券</w:t>
            </w:r>
          </w:p>
        </w:tc>
        <w:tc>
          <w:tcPr>
            <w:tcW w:w="1320" w:type="dxa"/>
            <w:vAlign w:val="center"/>
          </w:tcPr>
          <w:p w:rsidR="00BD7683" w:rsidRDefault="00CB0B4B">
            <w:pPr>
              <w:jc w:val="right"/>
            </w:pPr>
            <w:r>
              <w:rPr>
                <w:rFonts w:eastAsiaTheme="minorEastAsia"/>
                <w:szCs w:val="21"/>
              </w:rPr>
              <w:t>6,269,347.15</w:t>
            </w:r>
          </w:p>
        </w:tc>
        <w:tc>
          <w:tcPr>
            <w:tcW w:w="1080" w:type="dxa"/>
            <w:vAlign w:val="center"/>
          </w:tcPr>
          <w:p w:rsidR="00BD7683" w:rsidRDefault="00CB0B4B">
            <w:pPr>
              <w:jc w:val="right"/>
            </w:pPr>
            <w:r>
              <w:rPr>
                <w:rFonts w:eastAsiaTheme="minorEastAsia"/>
                <w:szCs w:val="21"/>
              </w:rPr>
              <w:t>100.00%</w:t>
            </w:r>
          </w:p>
        </w:tc>
        <w:tc>
          <w:tcPr>
            <w:tcW w:w="1143" w:type="dxa"/>
            <w:vAlign w:val="center"/>
          </w:tcPr>
          <w:p w:rsidR="00BD7683" w:rsidRDefault="00CB0B4B">
            <w:pPr>
              <w:jc w:val="right"/>
            </w:pPr>
            <w:r>
              <w:rPr>
                <w:rFonts w:eastAsiaTheme="minorEastAsia"/>
                <w:szCs w:val="21"/>
              </w:rPr>
              <w:t>598,800,000.00</w:t>
            </w:r>
          </w:p>
        </w:tc>
        <w:tc>
          <w:tcPr>
            <w:tcW w:w="1197" w:type="dxa"/>
            <w:vAlign w:val="center"/>
          </w:tcPr>
          <w:p w:rsidR="00BD7683" w:rsidRDefault="00CB0B4B">
            <w:pPr>
              <w:jc w:val="right"/>
            </w:pPr>
            <w:r>
              <w:rPr>
                <w:rFonts w:eastAsiaTheme="minorEastAsia"/>
                <w:szCs w:val="21"/>
              </w:rPr>
              <w:t>100.00%</w:t>
            </w:r>
          </w:p>
        </w:tc>
        <w:tc>
          <w:tcPr>
            <w:tcW w:w="1497" w:type="dxa"/>
            <w:vAlign w:val="center"/>
          </w:tcPr>
          <w:p w:rsidR="00BD7683" w:rsidRDefault="00CB0B4B">
            <w:pPr>
              <w:jc w:val="right"/>
            </w:pPr>
            <w:r>
              <w:rPr>
                <w:rFonts w:eastAsiaTheme="minorEastAsia"/>
                <w:szCs w:val="21"/>
              </w:rPr>
              <w:t>-</w:t>
            </w:r>
          </w:p>
        </w:tc>
        <w:tc>
          <w:tcPr>
            <w:tcW w:w="1203" w:type="dxa"/>
            <w:vAlign w:val="center"/>
          </w:tcPr>
          <w:p w:rsidR="00BD7683" w:rsidRDefault="00CB0B4B">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10409">
      <w:pPr>
        <w:pStyle w:val="1"/>
        <w:keepNext/>
        <w:keepLines/>
        <w:widowControl w:val="0"/>
        <w:spacing w:beforeLines="100" w:afterLines="100" w:line="360" w:lineRule="auto"/>
        <w:jc w:val="center"/>
        <w:rPr>
          <w:rFonts w:eastAsiaTheme="minorEastAsia"/>
          <w:b/>
          <w:bCs/>
          <w:sz w:val="21"/>
          <w:szCs w:val="21"/>
          <w:lang w:val="en-US"/>
        </w:rPr>
      </w:pPr>
      <w:bookmarkStart w:id="99" w:name="_Toc374532345"/>
      <w:bookmarkEnd w:id="88"/>
      <w:r w:rsidRPr="00D46E57">
        <w:rPr>
          <w:rFonts w:eastAsiaTheme="minorEastAsia"/>
          <w:b/>
          <w:bCs/>
          <w:sz w:val="21"/>
          <w:szCs w:val="21"/>
          <w:lang w:val="en-US"/>
        </w:rPr>
        <w:t xml:space="preserve">11 </w:t>
      </w:r>
      <w:r w:rsidRPr="00D46E57">
        <w:rPr>
          <w:rFonts w:eastAsiaTheme="minorEastAsia"/>
          <w:b/>
          <w:bCs/>
          <w:sz w:val="21"/>
          <w:szCs w:val="21"/>
          <w:lang w:val="en-US"/>
        </w:rPr>
        <w:t>影响投资者决策的其他重要信息</w:t>
      </w:r>
      <w:bookmarkEnd w:id="99"/>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00" w:name="_Toc225500055"/>
      <w:bookmarkStart w:id="101" w:name="_Toc374532346"/>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653A5" w:rsidRPr="00D46E57" w:rsidTr="00F57286">
        <w:tc>
          <w:tcPr>
            <w:tcW w:w="993" w:type="dxa"/>
            <w:vMerge w:val="restart"/>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p>
        </w:tc>
        <w:tc>
          <w:tcPr>
            <w:tcW w:w="5670" w:type="dxa"/>
            <w:gridSpan w:val="5"/>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F57286">
        <w:tc>
          <w:tcPr>
            <w:tcW w:w="993" w:type="dxa"/>
            <w:vMerge/>
            <w:vAlign w:val="center"/>
          </w:tcPr>
          <w:p w:rsidR="003653A5" w:rsidRPr="00D46E57" w:rsidRDefault="003653A5" w:rsidP="00F57286">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F57286">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F57286">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F57286">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F57286">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BD7683">
        <w:tc>
          <w:tcPr>
            <w:tcW w:w="993" w:type="dxa"/>
            <w:vMerge w:val="restart"/>
          </w:tcPr>
          <w:p w:rsidR="00BD7683" w:rsidRDefault="00BD7683"/>
          <w:p w:rsidR="00BD7683" w:rsidRDefault="00CB0B4B">
            <w:r>
              <w:rPr>
                <w:rFonts w:ascii="宋体" w:hAnsi="宋体" w:hint="eastAsia"/>
                <w:bCs/>
                <w:color w:val="000000"/>
                <w:kern w:val="0"/>
                <w:szCs w:val="21"/>
              </w:rPr>
              <w:t>机构</w:t>
            </w:r>
          </w:p>
        </w:tc>
        <w:tc>
          <w:tcPr>
            <w:tcW w:w="992" w:type="dxa"/>
            <w:vAlign w:val="center"/>
          </w:tcPr>
          <w:p w:rsidR="00BD7683" w:rsidRDefault="00CB0B4B">
            <w:pPr>
              <w:jc w:val="center"/>
            </w:pPr>
            <w:r>
              <w:rPr>
                <w:rFonts w:ascii="宋体" w:hAnsi="宋体"/>
                <w:color w:val="000000"/>
                <w:kern w:val="0"/>
                <w:szCs w:val="21"/>
              </w:rPr>
              <w:t>1</w:t>
            </w:r>
          </w:p>
        </w:tc>
        <w:tc>
          <w:tcPr>
            <w:tcW w:w="1843" w:type="dxa"/>
            <w:vAlign w:val="center"/>
          </w:tcPr>
          <w:p w:rsidR="00BD7683" w:rsidRDefault="00CB0B4B">
            <w:pPr>
              <w:jc w:val="center"/>
            </w:pPr>
            <w:r>
              <w:rPr>
                <w:rFonts w:ascii="宋体" w:hAnsi="宋体"/>
                <w:color w:val="000000"/>
                <w:kern w:val="0"/>
                <w:szCs w:val="21"/>
              </w:rPr>
              <w:t>20180502-20180603</w:t>
            </w:r>
          </w:p>
        </w:tc>
        <w:tc>
          <w:tcPr>
            <w:tcW w:w="851" w:type="dxa"/>
            <w:vAlign w:val="center"/>
          </w:tcPr>
          <w:p w:rsidR="00BD7683" w:rsidRDefault="00CB0B4B">
            <w:pPr>
              <w:jc w:val="center"/>
            </w:pPr>
            <w:r>
              <w:rPr>
                <w:rFonts w:ascii="宋体" w:hAnsi="宋体"/>
                <w:color w:val="000000"/>
                <w:kern w:val="0"/>
                <w:szCs w:val="21"/>
              </w:rPr>
              <w:t>0.00</w:t>
            </w:r>
          </w:p>
        </w:tc>
        <w:tc>
          <w:tcPr>
            <w:tcW w:w="850" w:type="dxa"/>
            <w:vAlign w:val="center"/>
          </w:tcPr>
          <w:p w:rsidR="00BD7683" w:rsidRDefault="00CB0B4B">
            <w:pPr>
              <w:jc w:val="center"/>
            </w:pPr>
            <w:r>
              <w:rPr>
                <w:rFonts w:ascii="宋体" w:hAnsi="宋体"/>
                <w:color w:val="000000"/>
                <w:kern w:val="0"/>
                <w:szCs w:val="21"/>
              </w:rPr>
              <w:t>2,020,567.84</w:t>
            </w:r>
          </w:p>
        </w:tc>
        <w:tc>
          <w:tcPr>
            <w:tcW w:w="1134" w:type="dxa"/>
            <w:vAlign w:val="center"/>
          </w:tcPr>
          <w:p w:rsidR="00BD7683" w:rsidRDefault="00CB0B4B">
            <w:pPr>
              <w:jc w:val="center"/>
            </w:pPr>
            <w:r>
              <w:rPr>
                <w:rFonts w:ascii="宋体" w:hAnsi="宋体"/>
                <w:color w:val="000000"/>
                <w:kern w:val="0"/>
                <w:szCs w:val="21"/>
              </w:rPr>
              <w:t>2,020,567.84</w:t>
            </w:r>
          </w:p>
        </w:tc>
        <w:tc>
          <w:tcPr>
            <w:tcW w:w="1419" w:type="dxa"/>
            <w:vAlign w:val="center"/>
          </w:tcPr>
          <w:p w:rsidR="00BD7683" w:rsidRDefault="00CB0B4B">
            <w:pPr>
              <w:jc w:val="center"/>
            </w:pPr>
            <w:r>
              <w:rPr>
                <w:rFonts w:ascii="宋体" w:hAnsi="宋体"/>
                <w:color w:val="000000"/>
                <w:kern w:val="0"/>
                <w:szCs w:val="21"/>
              </w:rPr>
              <w:t>0.00</w:t>
            </w:r>
          </w:p>
        </w:tc>
        <w:tc>
          <w:tcPr>
            <w:tcW w:w="1130" w:type="dxa"/>
            <w:vAlign w:val="center"/>
          </w:tcPr>
          <w:p w:rsidR="00BD7683" w:rsidRDefault="00CB0B4B">
            <w:pPr>
              <w:jc w:val="center"/>
            </w:pPr>
            <w:r>
              <w:rPr>
                <w:rFonts w:ascii="宋体" w:hAnsi="宋体"/>
                <w:color w:val="000000"/>
                <w:kern w:val="0"/>
                <w:szCs w:val="21"/>
              </w:rPr>
              <w:t>0.00%</w:t>
            </w:r>
          </w:p>
        </w:tc>
      </w:tr>
      <w:tr w:rsidR="00BD7683">
        <w:tc>
          <w:tcPr>
            <w:tcW w:w="993" w:type="dxa"/>
            <w:vMerge/>
          </w:tcPr>
          <w:p w:rsidR="00BD7683" w:rsidRDefault="00BD7683"/>
        </w:tc>
        <w:tc>
          <w:tcPr>
            <w:tcW w:w="992" w:type="dxa"/>
            <w:vAlign w:val="center"/>
          </w:tcPr>
          <w:p w:rsidR="00BD7683" w:rsidRDefault="00CB0B4B">
            <w:pPr>
              <w:jc w:val="center"/>
            </w:pPr>
            <w:r>
              <w:rPr>
                <w:rFonts w:ascii="宋体" w:hAnsi="宋体"/>
                <w:color w:val="000000"/>
                <w:kern w:val="0"/>
                <w:szCs w:val="21"/>
              </w:rPr>
              <w:t>2</w:t>
            </w:r>
          </w:p>
        </w:tc>
        <w:tc>
          <w:tcPr>
            <w:tcW w:w="1843" w:type="dxa"/>
            <w:vAlign w:val="center"/>
          </w:tcPr>
          <w:p w:rsidR="00BD7683" w:rsidRDefault="00CB0B4B">
            <w:pPr>
              <w:jc w:val="center"/>
            </w:pPr>
            <w:r>
              <w:rPr>
                <w:rFonts w:ascii="宋体" w:hAnsi="宋体"/>
                <w:color w:val="000000"/>
                <w:kern w:val="0"/>
                <w:szCs w:val="21"/>
              </w:rPr>
              <w:t>20180223-20180501</w:t>
            </w:r>
          </w:p>
        </w:tc>
        <w:tc>
          <w:tcPr>
            <w:tcW w:w="851" w:type="dxa"/>
            <w:vAlign w:val="center"/>
          </w:tcPr>
          <w:p w:rsidR="00BD7683" w:rsidRDefault="00CB0B4B">
            <w:pPr>
              <w:jc w:val="center"/>
            </w:pPr>
            <w:r>
              <w:rPr>
                <w:rFonts w:ascii="宋体" w:hAnsi="宋体"/>
                <w:color w:val="000000"/>
                <w:kern w:val="0"/>
                <w:szCs w:val="21"/>
              </w:rPr>
              <w:t>0.00</w:t>
            </w:r>
          </w:p>
        </w:tc>
        <w:tc>
          <w:tcPr>
            <w:tcW w:w="850" w:type="dxa"/>
            <w:vAlign w:val="center"/>
          </w:tcPr>
          <w:p w:rsidR="00BD7683" w:rsidRDefault="00CB0B4B">
            <w:pPr>
              <w:jc w:val="center"/>
            </w:pPr>
            <w:r>
              <w:rPr>
                <w:rFonts w:ascii="宋体" w:hAnsi="宋体"/>
                <w:color w:val="000000"/>
                <w:kern w:val="0"/>
                <w:szCs w:val="21"/>
              </w:rPr>
              <w:t>50,003,000.00</w:t>
            </w:r>
          </w:p>
        </w:tc>
        <w:tc>
          <w:tcPr>
            <w:tcW w:w="1134" w:type="dxa"/>
            <w:vAlign w:val="center"/>
          </w:tcPr>
          <w:p w:rsidR="00BD7683" w:rsidRDefault="00CB0B4B">
            <w:pPr>
              <w:jc w:val="center"/>
            </w:pPr>
            <w:r>
              <w:rPr>
                <w:rFonts w:ascii="宋体" w:hAnsi="宋体"/>
                <w:color w:val="000000"/>
                <w:kern w:val="0"/>
                <w:szCs w:val="21"/>
              </w:rPr>
              <w:t>50,003,000.00</w:t>
            </w:r>
          </w:p>
        </w:tc>
        <w:tc>
          <w:tcPr>
            <w:tcW w:w="1419" w:type="dxa"/>
            <w:vAlign w:val="center"/>
          </w:tcPr>
          <w:p w:rsidR="00BD7683" w:rsidRDefault="00CB0B4B">
            <w:pPr>
              <w:jc w:val="center"/>
            </w:pPr>
            <w:r>
              <w:rPr>
                <w:rFonts w:ascii="宋体" w:hAnsi="宋体"/>
                <w:color w:val="000000"/>
                <w:kern w:val="0"/>
                <w:szCs w:val="21"/>
              </w:rPr>
              <w:t>0.00</w:t>
            </w:r>
          </w:p>
        </w:tc>
        <w:tc>
          <w:tcPr>
            <w:tcW w:w="1130" w:type="dxa"/>
            <w:vAlign w:val="center"/>
          </w:tcPr>
          <w:p w:rsidR="00BD7683" w:rsidRDefault="00CB0B4B">
            <w:pPr>
              <w:jc w:val="center"/>
            </w:pPr>
            <w:r>
              <w:rPr>
                <w:rFonts w:ascii="宋体" w:hAnsi="宋体"/>
                <w:color w:val="000000"/>
                <w:kern w:val="0"/>
                <w:szCs w:val="21"/>
              </w:rPr>
              <w:t>0.00%</w:t>
            </w:r>
          </w:p>
        </w:tc>
      </w:tr>
      <w:tr w:rsidR="00BD7683">
        <w:tc>
          <w:tcPr>
            <w:tcW w:w="993" w:type="dxa"/>
            <w:vMerge w:val="restart"/>
          </w:tcPr>
          <w:p w:rsidR="00BD7683" w:rsidRDefault="00BD7683"/>
          <w:p w:rsidR="00BD7683" w:rsidRDefault="00CB0B4B">
            <w:r>
              <w:rPr>
                <w:rFonts w:ascii="宋体" w:hAnsi="宋体" w:hint="eastAsia"/>
                <w:bCs/>
                <w:color w:val="000000"/>
                <w:kern w:val="0"/>
                <w:szCs w:val="21"/>
              </w:rPr>
              <w:t>个人</w:t>
            </w:r>
          </w:p>
        </w:tc>
        <w:tc>
          <w:tcPr>
            <w:tcW w:w="992" w:type="dxa"/>
            <w:vAlign w:val="center"/>
          </w:tcPr>
          <w:p w:rsidR="00BD7683" w:rsidRDefault="00CB0B4B">
            <w:pPr>
              <w:jc w:val="center"/>
            </w:pPr>
            <w:r>
              <w:rPr>
                <w:rFonts w:ascii="宋体" w:hAnsi="宋体"/>
                <w:kern w:val="0"/>
                <w:szCs w:val="21"/>
              </w:rPr>
              <w:t>1</w:t>
            </w:r>
          </w:p>
        </w:tc>
        <w:tc>
          <w:tcPr>
            <w:tcW w:w="1843" w:type="dxa"/>
            <w:vAlign w:val="center"/>
          </w:tcPr>
          <w:p w:rsidR="00BD7683" w:rsidRDefault="00CB0B4B">
            <w:pPr>
              <w:jc w:val="center"/>
            </w:pPr>
            <w:r>
              <w:rPr>
                <w:rFonts w:ascii="宋体" w:hAnsi="宋体"/>
                <w:kern w:val="0"/>
                <w:szCs w:val="21"/>
              </w:rPr>
              <w:t>20180502-20180527</w:t>
            </w:r>
          </w:p>
        </w:tc>
        <w:tc>
          <w:tcPr>
            <w:tcW w:w="851" w:type="dxa"/>
            <w:vAlign w:val="center"/>
          </w:tcPr>
          <w:p w:rsidR="00BD7683" w:rsidRDefault="00CB0B4B">
            <w:pPr>
              <w:jc w:val="center"/>
            </w:pPr>
            <w:r>
              <w:rPr>
                <w:rFonts w:ascii="宋体" w:hAnsi="宋体"/>
                <w:kern w:val="0"/>
                <w:szCs w:val="21"/>
              </w:rPr>
              <w:t>0.00</w:t>
            </w:r>
          </w:p>
        </w:tc>
        <w:tc>
          <w:tcPr>
            <w:tcW w:w="850" w:type="dxa"/>
            <w:vAlign w:val="center"/>
          </w:tcPr>
          <w:p w:rsidR="00BD7683" w:rsidRDefault="00CB0B4B">
            <w:pPr>
              <w:jc w:val="center"/>
            </w:pPr>
            <w:r>
              <w:rPr>
                <w:rFonts w:ascii="宋体" w:hAnsi="宋体"/>
                <w:kern w:val="0"/>
                <w:szCs w:val="21"/>
              </w:rPr>
              <w:t>996,275.94</w:t>
            </w:r>
          </w:p>
        </w:tc>
        <w:tc>
          <w:tcPr>
            <w:tcW w:w="1134" w:type="dxa"/>
            <w:vAlign w:val="center"/>
          </w:tcPr>
          <w:p w:rsidR="00BD7683" w:rsidRDefault="00CB0B4B">
            <w:pPr>
              <w:jc w:val="center"/>
            </w:pPr>
            <w:r>
              <w:rPr>
                <w:rFonts w:ascii="宋体" w:hAnsi="宋体"/>
                <w:kern w:val="0"/>
                <w:szCs w:val="21"/>
              </w:rPr>
              <w:t>500,000.00</w:t>
            </w:r>
          </w:p>
        </w:tc>
        <w:tc>
          <w:tcPr>
            <w:tcW w:w="1419" w:type="dxa"/>
            <w:vAlign w:val="center"/>
          </w:tcPr>
          <w:p w:rsidR="00BD7683" w:rsidRDefault="00CB0B4B">
            <w:pPr>
              <w:jc w:val="center"/>
            </w:pPr>
            <w:r>
              <w:rPr>
                <w:rFonts w:ascii="宋体" w:hAnsi="宋体"/>
                <w:kern w:val="0"/>
                <w:szCs w:val="21"/>
              </w:rPr>
              <w:t>496,275.94</w:t>
            </w:r>
          </w:p>
        </w:tc>
        <w:tc>
          <w:tcPr>
            <w:tcW w:w="1130" w:type="dxa"/>
            <w:vAlign w:val="center"/>
          </w:tcPr>
          <w:p w:rsidR="00BD7683" w:rsidRDefault="00CB0B4B">
            <w:pPr>
              <w:jc w:val="center"/>
            </w:pPr>
            <w:r>
              <w:rPr>
                <w:rFonts w:ascii="宋体" w:hAnsi="宋体"/>
                <w:kern w:val="0"/>
                <w:szCs w:val="21"/>
              </w:rPr>
              <w:t>28.04%</w:t>
            </w:r>
          </w:p>
        </w:tc>
      </w:tr>
      <w:tr w:rsidR="00BD7683">
        <w:tc>
          <w:tcPr>
            <w:tcW w:w="993" w:type="dxa"/>
            <w:vMerge/>
          </w:tcPr>
          <w:p w:rsidR="00BD7683" w:rsidRDefault="00BD7683"/>
        </w:tc>
        <w:tc>
          <w:tcPr>
            <w:tcW w:w="992" w:type="dxa"/>
            <w:vAlign w:val="center"/>
          </w:tcPr>
          <w:p w:rsidR="00BD7683" w:rsidRDefault="00CB0B4B">
            <w:pPr>
              <w:jc w:val="center"/>
            </w:pPr>
            <w:r>
              <w:rPr>
                <w:rFonts w:ascii="宋体" w:hAnsi="宋体"/>
                <w:kern w:val="0"/>
                <w:szCs w:val="21"/>
              </w:rPr>
              <w:t>2</w:t>
            </w:r>
          </w:p>
        </w:tc>
        <w:tc>
          <w:tcPr>
            <w:tcW w:w="1843" w:type="dxa"/>
            <w:vAlign w:val="center"/>
          </w:tcPr>
          <w:p w:rsidR="00BD7683" w:rsidRDefault="00CB0B4B">
            <w:pPr>
              <w:jc w:val="center"/>
            </w:pPr>
            <w:r>
              <w:rPr>
                <w:rFonts w:ascii="宋体" w:hAnsi="宋体"/>
                <w:kern w:val="0"/>
                <w:szCs w:val="21"/>
              </w:rPr>
              <w:t>20180604-20180630</w:t>
            </w:r>
          </w:p>
        </w:tc>
        <w:tc>
          <w:tcPr>
            <w:tcW w:w="851" w:type="dxa"/>
            <w:vAlign w:val="center"/>
          </w:tcPr>
          <w:p w:rsidR="00BD7683" w:rsidRDefault="00CB0B4B">
            <w:pPr>
              <w:jc w:val="center"/>
            </w:pPr>
            <w:r>
              <w:rPr>
                <w:rFonts w:ascii="宋体" w:hAnsi="宋体"/>
                <w:kern w:val="0"/>
                <w:szCs w:val="21"/>
              </w:rPr>
              <w:t>0.00</w:t>
            </w:r>
          </w:p>
        </w:tc>
        <w:tc>
          <w:tcPr>
            <w:tcW w:w="850" w:type="dxa"/>
            <w:vAlign w:val="center"/>
          </w:tcPr>
          <w:p w:rsidR="00BD7683" w:rsidRDefault="00CB0B4B">
            <w:pPr>
              <w:jc w:val="center"/>
            </w:pPr>
            <w:r>
              <w:rPr>
                <w:rFonts w:ascii="宋体" w:hAnsi="宋体"/>
                <w:kern w:val="0"/>
                <w:szCs w:val="21"/>
              </w:rPr>
              <w:t>996,275.94</w:t>
            </w:r>
          </w:p>
        </w:tc>
        <w:tc>
          <w:tcPr>
            <w:tcW w:w="1134" w:type="dxa"/>
            <w:vAlign w:val="center"/>
          </w:tcPr>
          <w:p w:rsidR="00BD7683" w:rsidRDefault="00CB0B4B">
            <w:pPr>
              <w:jc w:val="center"/>
            </w:pPr>
            <w:r>
              <w:rPr>
                <w:rFonts w:ascii="宋体" w:hAnsi="宋体"/>
                <w:kern w:val="0"/>
                <w:szCs w:val="21"/>
              </w:rPr>
              <w:t>500,000.00</w:t>
            </w:r>
          </w:p>
        </w:tc>
        <w:tc>
          <w:tcPr>
            <w:tcW w:w="1419" w:type="dxa"/>
            <w:vAlign w:val="center"/>
          </w:tcPr>
          <w:p w:rsidR="00BD7683" w:rsidRDefault="00CB0B4B">
            <w:pPr>
              <w:jc w:val="center"/>
            </w:pPr>
            <w:r>
              <w:rPr>
                <w:rFonts w:ascii="宋体" w:hAnsi="宋体"/>
                <w:kern w:val="0"/>
                <w:szCs w:val="21"/>
              </w:rPr>
              <w:t>496,275.94</w:t>
            </w:r>
          </w:p>
        </w:tc>
        <w:tc>
          <w:tcPr>
            <w:tcW w:w="1130" w:type="dxa"/>
            <w:vAlign w:val="center"/>
          </w:tcPr>
          <w:p w:rsidR="00BD7683" w:rsidRDefault="00CB0B4B">
            <w:pPr>
              <w:jc w:val="center"/>
            </w:pPr>
            <w:r>
              <w:rPr>
                <w:rFonts w:ascii="宋体" w:hAnsi="宋体"/>
                <w:kern w:val="0"/>
                <w:szCs w:val="21"/>
              </w:rPr>
              <w:t>28.04%</w:t>
            </w:r>
          </w:p>
        </w:tc>
      </w:tr>
      <w:tr w:rsidR="003653A5" w:rsidRPr="00D46E57" w:rsidTr="00F57286">
        <w:tc>
          <w:tcPr>
            <w:tcW w:w="9212" w:type="dxa"/>
            <w:gridSpan w:val="8"/>
            <w:vAlign w:val="center"/>
          </w:tcPr>
          <w:p w:rsidR="003653A5" w:rsidRPr="00D46E57" w:rsidRDefault="003653A5" w:rsidP="00F57286">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F57286">
        <w:tc>
          <w:tcPr>
            <w:tcW w:w="9212" w:type="dxa"/>
            <w:gridSpan w:val="8"/>
            <w:vAlign w:val="center"/>
          </w:tcPr>
          <w:p w:rsidR="003653A5" w:rsidRPr="00D46E57" w:rsidRDefault="003653A5" w:rsidP="00F57286">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286B69" w:rsidRDefault="00286B69" w:rsidP="00610409">
      <w:pPr>
        <w:pStyle w:val="1"/>
        <w:keepNext/>
        <w:keepLines/>
        <w:widowControl w:val="0"/>
        <w:spacing w:beforeLines="100" w:afterLines="100" w:line="360" w:lineRule="auto"/>
        <w:rPr>
          <w:rFonts w:eastAsiaTheme="minorEastAsia"/>
          <w:b/>
          <w:bCs/>
          <w:sz w:val="21"/>
          <w:szCs w:val="21"/>
          <w:lang w:val="en-US"/>
        </w:rPr>
      </w:pPr>
      <w:r>
        <w:rPr>
          <w:rFonts w:eastAsiaTheme="minorEastAsia"/>
          <w:b/>
          <w:bCs/>
          <w:sz w:val="21"/>
          <w:szCs w:val="21"/>
          <w:lang w:val="en-US"/>
        </w:rPr>
        <w:t xml:space="preserve">11.2 </w:t>
      </w:r>
      <w:r>
        <w:rPr>
          <w:rFonts w:eastAsiaTheme="minorEastAsia" w:hint="eastAsia"/>
          <w:b/>
          <w:bCs/>
          <w:sz w:val="21"/>
          <w:szCs w:val="21"/>
          <w:lang w:val="en-US"/>
        </w:rPr>
        <w:t>影响投资者决策的其他重要信息</w:t>
      </w:r>
    </w:p>
    <w:p w:rsidR="00286B69" w:rsidRDefault="00286B69" w:rsidP="00286B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基金管理人于2018年7月19日发布《</w:t>
      </w:r>
      <w:r>
        <w:rPr>
          <w:rFonts w:asciiTheme="minorEastAsia" w:eastAsiaTheme="minorEastAsia" w:hAnsiTheme="minorEastAsia" w:cs="宋体" w:hint="eastAsia"/>
          <w:kern w:val="0"/>
          <w:szCs w:val="21"/>
        </w:rPr>
        <w:t>关于上投摩根安腾回报混合型证券投资基金基金合同终止及基金财产清算的公告</w:t>
      </w:r>
      <w:r>
        <w:rPr>
          <w:rFonts w:asciiTheme="minorEastAsia" w:eastAsiaTheme="minorEastAsia" w:hAnsiTheme="minorEastAsia" w:hint="eastAsia"/>
          <w:szCs w:val="21"/>
        </w:rPr>
        <w:t>》，根据相关法律法规和本基金基金合同的规定，</w:t>
      </w:r>
      <w:r>
        <w:rPr>
          <w:rFonts w:asciiTheme="minorEastAsia" w:eastAsiaTheme="minorEastAsia" w:hAnsiTheme="minorEastAsia" w:cs="Calibri" w:hint="eastAsia"/>
          <w:kern w:val="0"/>
          <w:szCs w:val="21"/>
        </w:rPr>
        <w:t>截至2018年7月18日，本基金已连续60个工作日基金资产净值低于5000万元。根据基金合同约定，本基金管理人应当终止基金合同，并对本基金进行变现及清算程序，且无需召开基金份额持有人大会。自2018年7月19日起，本基金进入清算程序。</w:t>
      </w:r>
    </w:p>
    <w:p w:rsidR="001548F9" w:rsidRPr="00D46E57" w:rsidRDefault="001548F9" w:rsidP="00235099">
      <w:pPr>
        <w:ind w:firstLineChars="150" w:firstLine="315"/>
        <w:rPr>
          <w:rFonts w:eastAsiaTheme="minorEastAsia"/>
          <w:bCs/>
          <w:color w:val="000000"/>
          <w:szCs w:val="21"/>
        </w:rPr>
      </w:pPr>
      <w:bookmarkStart w:id="102" w:name="_GoBack"/>
      <w:bookmarkEnd w:id="100"/>
      <w:bookmarkEnd w:id="101"/>
      <w:bookmarkEnd w:id="102"/>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二〇一八年八月二十七日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86" w:rsidRDefault="00F57286">
      <w:r>
        <w:separator/>
      </w:r>
    </w:p>
  </w:endnote>
  <w:endnote w:type="continuationSeparator" w:id="1">
    <w:p w:rsidR="00F57286" w:rsidRDefault="00F57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86" w:rsidRDefault="00F33E3F" w:rsidP="00C03B3A">
    <w:pPr>
      <w:pStyle w:val="a6"/>
      <w:framePr w:wrap="around" w:vAnchor="text" w:hAnchor="margin" w:xAlign="right" w:y="1"/>
      <w:rPr>
        <w:rStyle w:val="a7"/>
      </w:rPr>
    </w:pPr>
    <w:r>
      <w:rPr>
        <w:rStyle w:val="a7"/>
      </w:rPr>
      <w:fldChar w:fldCharType="begin"/>
    </w:r>
    <w:r w:rsidR="00F57286">
      <w:rPr>
        <w:rStyle w:val="a7"/>
      </w:rPr>
      <w:instrText xml:space="preserve">PAGE  </w:instrText>
    </w:r>
    <w:r>
      <w:rPr>
        <w:rStyle w:val="a7"/>
      </w:rPr>
      <w:fldChar w:fldCharType="end"/>
    </w:r>
  </w:p>
  <w:p w:rsidR="00F57286" w:rsidRDefault="00F57286"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86" w:rsidRDefault="00F57286" w:rsidP="00C03B3A">
    <w:pPr>
      <w:pStyle w:val="a6"/>
      <w:ind w:right="360"/>
      <w:jc w:val="center"/>
    </w:pPr>
    <w:r>
      <w:rPr>
        <w:rFonts w:hint="eastAsia"/>
        <w:kern w:val="0"/>
        <w:szCs w:val="21"/>
      </w:rPr>
      <w:t>第</w:t>
    </w:r>
    <w:r w:rsidR="00F33E3F">
      <w:rPr>
        <w:kern w:val="0"/>
        <w:szCs w:val="21"/>
      </w:rPr>
      <w:fldChar w:fldCharType="begin"/>
    </w:r>
    <w:r>
      <w:rPr>
        <w:kern w:val="0"/>
        <w:szCs w:val="21"/>
      </w:rPr>
      <w:instrText xml:space="preserve"> PAGE </w:instrText>
    </w:r>
    <w:r w:rsidR="00F33E3F">
      <w:rPr>
        <w:kern w:val="0"/>
        <w:szCs w:val="21"/>
      </w:rPr>
      <w:fldChar w:fldCharType="separate"/>
    </w:r>
    <w:r w:rsidR="00610409">
      <w:rPr>
        <w:noProof/>
        <w:kern w:val="0"/>
        <w:szCs w:val="21"/>
      </w:rPr>
      <w:t>2</w:t>
    </w:r>
    <w:r w:rsidR="00F33E3F">
      <w:rPr>
        <w:kern w:val="0"/>
        <w:szCs w:val="21"/>
      </w:rPr>
      <w:fldChar w:fldCharType="end"/>
    </w:r>
    <w:r>
      <w:rPr>
        <w:rFonts w:hint="eastAsia"/>
        <w:kern w:val="0"/>
        <w:szCs w:val="21"/>
      </w:rPr>
      <w:t>页共</w:t>
    </w:r>
    <w:r w:rsidR="00F33E3F">
      <w:rPr>
        <w:kern w:val="0"/>
        <w:szCs w:val="21"/>
      </w:rPr>
      <w:fldChar w:fldCharType="begin"/>
    </w:r>
    <w:r>
      <w:rPr>
        <w:kern w:val="0"/>
        <w:szCs w:val="21"/>
      </w:rPr>
      <w:instrText xml:space="preserve"> NUMPAGES </w:instrText>
    </w:r>
    <w:r w:rsidR="00F33E3F">
      <w:rPr>
        <w:kern w:val="0"/>
        <w:szCs w:val="21"/>
      </w:rPr>
      <w:fldChar w:fldCharType="separate"/>
    </w:r>
    <w:r w:rsidR="00610409">
      <w:rPr>
        <w:noProof/>
        <w:kern w:val="0"/>
        <w:szCs w:val="21"/>
      </w:rPr>
      <w:t>3</w:t>
    </w:r>
    <w:r w:rsidR="00F33E3F">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86" w:rsidRDefault="00F57286">
      <w:r>
        <w:separator/>
      </w:r>
    </w:p>
  </w:footnote>
  <w:footnote w:type="continuationSeparator" w:id="1">
    <w:p w:rsidR="00F57286" w:rsidRDefault="00F57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86" w:rsidRPr="002E74FF" w:rsidRDefault="00F57286" w:rsidP="002243A3">
    <w:pPr>
      <w:pStyle w:val="a9"/>
      <w:pBdr>
        <w:bottom w:val="single" w:sz="6" w:space="0" w:color="auto"/>
      </w:pBdr>
      <w:jc w:val="right"/>
    </w:pPr>
    <w:r w:rsidRPr="002E74FF">
      <w:t>上投摩根安腾回报混合型证券投资基金</w:t>
    </w:r>
    <w:r w:rsidRPr="002E74FF">
      <w:t>2018</w:t>
    </w:r>
    <w:r w:rsidRPr="002E74FF">
      <w:t>年半年度报告</w:t>
    </w:r>
    <w:r>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wa.Ding@FA">
    <w15:presenceInfo w15:providerId="AD" w15:userId="S-1-5-21-790525478-1303643608-839522115-138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7DA"/>
    <w:rsid w:val="0022498A"/>
    <w:rsid w:val="00225756"/>
    <w:rsid w:val="00225ADC"/>
    <w:rsid w:val="00225CEB"/>
    <w:rsid w:val="0022692D"/>
    <w:rsid w:val="00227721"/>
    <w:rsid w:val="002279AA"/>
    <w:rsid w:val="00227CBE"/>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B69"/>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409"/>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1E26"/>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3FA"/>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4DA"/>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55A8"/>
    <w:rsid w:val="00AD5CA4"/>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01B"/>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683"/>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0B4B"/>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2BCC"/>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1F3"/>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5DE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9DB"/>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3E3F"/>
    <w:rsid w:val="00F3443B"/>
    <w:rsid w:val="00F34FDD"/>
    <w:rsid w:val="00F35279"/>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5D88"/>
    <w:rsid w:val="00F565E8"/>
    <w:rsid w:val="00F56CB4"/>
    <w:rsid w:val="00F57286"/>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B35D6"/>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 w:type="numbering" w:customStyle="1" w:styleId="2Char">
    <w:name w:val="3"/>
    <w:pPr>
      <w:numPr>
        <w:numId w:val="7"/>
      </w:numPr>
    </w:pPr>
  </w:style>
  <w:style w:type="numbering" w:customStyle="1" w:styleId="3Char">
    <w:name w:val="4"/>
    <w:pPr>
      <w:numPr>
        <w:numId w:val="9"/>
      </w:numPr>
    </w:pPr>
  </w:style>
  <w:style w:type="numbering" w:customStyle="1" w:styleId="a0">
    <w:name w:val="2"/>
    <w:pPr>
      <w:numPr>
        <w:numId w:val="16"/>
      </w:numPr>
    </w:pPr>
  </w:style>
</w:styles>
</file>

<file path=word/webSettings.xml><?xml version="1.0" encoding="utf-8"?>
<w:webSettings xmlns:r="http://schemas.openxmlformats.org/officeDocument/2006/relationships" xmlns:w="http://schemas.openxmlformats.org/wordprocessingml/2006/main">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20109495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2931440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35E64C-BA48-41B3-B63B-343FD9B3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3460</Words>
  <Characters>19725</Characters>
  <Application>Microsoft Office Word</Application>
  <DocSecurity>4</DocSecurity>
  <Lines>164</Lines>
  <Paragraphs>46</Paragraphs>
  <ScaleCrop>false</ScaleCrop>
  <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2018-08-26T16:38:00Z</dcterms:created>
  <dcterms:modified xsi:type="dcterms:W3CDTF">2018-08-26T16:38:00Z</dcterms:modified>
</cp:coreProperties>
</file>