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3F" w:rsidRDefault="00867D3F" w:rsidP="00867D3F">
      <w:pPr>
        <w:spacing w:after="0" w:line="358" w:lineRule="auto"/>
        <w:ind w:left="4526" w:right="4446" w:firstLine="0"/>
        <w:jc w:val="center"/>
      </w:pPr>
    </w:p>
    <w:p w:rsidR="00867D3F" w:rsidRDefault="00867D3F" w:rsidP="00867D3F">
      <w:pPr>
        <w:spacing w:after="0" w:line="358" w:lineRule="auto"/>
        <w:ind w:left="4526" w:right="4446" w:firstLine="0"/>
        <w:jc w:val="center"/>
      </w:pPr>
    </w:p>
    <w:p w:rsidR="00867D3F" w:rsidRDefault="00867D3F" w:rsidP="00867D3F">
      <w:pPr>
        <w:spacing w:after="246"/>
        <w:ind w:left="80" w:firstLine="0"/>
        <w:jc w:val="center"/>
      </w:pPr>
    </w:p>
    <w:p w:rsidR="00867D3F" w:rsidRDefault="00867D3F" w:rsidP="00867D3F">
      <w:pPr>
        <w:spacing w:after="0" w:line="420" w:lineRule="auto"/>
        <w:ind w:left="510" w:right="493" w:firstLine="0"/>
        <w:jc w:val="center"/>
      </w:pPr>
      <w:r>
        <w:rPr>
          <w:rFonts w:hint="eastAsia"/>
          <w:sz w:val="32"/>
        </w:rPr>
        <w:t>泰达宏利启明灵活配置</w:t>
      </w:r>
      <w:r>
        <w:rPr>
          <w:sz w:val="32"/>
        </w:rPr>
        <w:t>混合型证券投资基金清算报告</w:t>
      </w: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13"/>
        <w:ind w:left="0" w:firstLine="0"/>
      </w:pPr>
    </w:p>
    <w:p w:rsidR="00867D3F" w:rsidRDefault="00867D3F" w:rsidP="00867D3F">
      <w:pPr>
        <w:spacing w:after="0" w:line="378" w:lineRule="auto"/>
        <w:ind w:left="1987" w:firstLine="0"/>
        <w:rPr>
          <w:sz w:val="28"/>
        </w:rPr>
      </w:pPr>
      <w:r>
        <w:rPr>
          <w:sz w:val="28"/>
        </w:rPr>
        <w:t>基金管理人：</w:t>
      </w:r>
      <w:r>
        <w:rPr>
          <w:rFonts w:hint="eastAsia"/>
          <w:sz w:val="28"/>
        </w:rPr>
        <w:t>泰达宏利</w:t>
      </w:r>
      <w:r>
        <w:rPr>
          <w:sz w:val="28"/>
        </w:rPr>
        <w:t>基金管理有限公司</w:t>
      </w:r>
    </w:p>
    <w:p w:rsidR="00867D3F" w:rsidRDefault="00867D3F" w:rsidP="00867D3F">
      <w:pPr>
        <w:spacing w:after="0" w:line="378" w:lineRule="auto"/>
        <w:ind w:left="1987" w:firstLine="0"/>
        <w:rPr>
          <w:sz w:val="28"/>
        </w:rPr>
      </w:pPr>
      <w:r>
        <w:rPr>
          <w:sz w:val="28"/>
        </w:rPr>
        <w:t>基金托管人：</w:t>
      </w:r>
      <w:r>
        <w:rPr>
          <w:rFonts w:hint="eastAsia"/>
          <w:sz w:val="28"/>
        </w:rPr>
        <w:t>北京</w:t>
      </w:r>
      <w:r>
        <w:rPr>
          <w:sz w:val="28"/>
        </w:rPr>
        <w:t>银行股份有限公司</w:t>
      </w:r>
    </w:p>
    <w:p w:rsidR="00867D3F" w:rsidRDefault="00867D3F" w:rsidP="00867D3F">
      <w:pPr>
        <w:spacing w:after="0" w:line="378" w:lineRule="auto"/>
        <w:ind w:left="1987" w:firstLine="0"/>
        <w:rPr>
          <w:sz w:val="28"/>
        </w:rPr>
      </w:pPr>
      <w:r>
        <w:rPr>
          <w:sz w:val="28"/>
        </w:rPr>
        <w:t>清算报告出具日：</w:t>
      </w:r>
      <w:r>
        <w:rPr>
          <w:rFonts w:hint="eastAsia"/>
          <w:sz w:val="28"/>
        </w:rPr>
        <w:t>2018年7月20日</w:t>
      </w:r>
    </w:p>
    <w:p w:rsidR="00867D3F" w:rsidRDefault="00867D3F" w:rsidP="00867D3F">
      <w:pPr>
        <w:spacing w:after="0" w:line="378" w:lineRule="auto"/>
        <w:ind w:left="1987" w:firstLine="0"/>
      </w:pPr>
      <w:r>
        <w:rPr>
          <w:sz w:val="28"/>
        </w:rPr>
        <w:t>清算报告公告日：</w:t>
      </w:r>
      <w:r>
        <w:rPr>
          <w:rFonts w:hint="eastAsia"/>
          <w:sz w:val="28"/>
        </w:rPr>
        <w:t>2018</w:t>
      </w:r>
      <w:r>
        <w:rPr>
          <w:sz w:val="28"/>
        </w:rPr>
        <w:t>年</w:t>
      </w:r>
      <w:r>
        <w:rPr>
          <w:rFonts w:hint="eastAsia"/>
          <w:sz w:val="28"/>
        </w:rPr>
        <w:t>8</w:t>
      </w:r>
      <w:r>
        <w:rPr>
          <w:sz w:val="28"/>
        </w:rPr>
        <w:t>月</w:t>
      </w:r>
      <w:r>
        <w:rPr>
          <w:rFonts w:asciiTheme="minorEastAsia" w:eastAsiaTheme="minorEastAsia" w:hAnsiTheme="minorEastAsia" w:cs="Times New Roman" w:hint="eastAsia"/>
          <w:sz w:val="28"/>
        </w:rPr>
        <w:t>25</w:t>
      </w:r>
      <w:r>
        <w:rPr>
          <w:sz w:val="28"/>
        </w:rPr>
        <w:t>日</w:t>
      </w:r>
    </w:p>
    <w:p w:rsidR="00867D3F" w:rsidRPr="000D2498" w:rsidRDefault="00867D3F" w:rsidP="00867D3F">
      <w:pPr>
        <w:pStyle w:val="2"/>
        <w:spacing w:after="364"/>
        <w:ind w:left="10" w:right="60"/>
      </w:pPr>
    </w:p>
    <w:p w:rsidR="00867D3F" w:rsidRDefault="00867D3F" w:rsidP="00867D3F">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867D3F" w:rsidRDefault="002C1EAC" w:rsidP="00867D3F">
          <w:pPr>
            <w:pStyle w:val="10"/>
            <w:tabs>
              <w:tab w:val="right" w:leader="dot" w:pos="9113"/>
            </w:tabs>
            <w:rPr>
              <w:noProof/>
            </w:rPr>
          </w:pPr>
          <w:r w:rsidRPr="002C1EAC">
            <w:fldChar w:fldCharType="begin"/>
          </w:r>
          <w:r w:rsidR="00867D3F">
            <w:instrText xml:space="preserve"> TOC \o "1-1" \h \z \u </w:instrText>
          </w:r>
          <w:r w:rsidRPr="002C1EAC">
            <w:fldChar w:fldCharType="separate"/>
          </w:r>
          <w:hyperlink w:anchor="_Toc12455">
            <w:r w:rsidR="00867D3F">
              <w:rPr>
                <w:rFonts w:ascii="宋体" w:eastAsia="宋体" w:hAnsi="宋体" w:cs="宋体"/>
                <w:noProof/>
              </w:rPr>
              <w:t>重要提示</w:t>
            </w:r>
            <w:r w:rsidR="00867D3F">
              <w:rPr>
                <w:noProof/>
              </w:rPr>
              <w:tab/>
            </w:r>
            <w:r>
              <w:rPr>
                <w:noProof/>
              </w:rPr>
              <w:fldChar w:fldCharType="begin"/>
            </w:r>
            <w:r w:rsidR="00867D3F">
              <w:rPr>
                <w:noProof/>
              </w:rPr>
              <w:instrText>PAGEREF _Toc12455 \h</w:instrText>
            </w:r>
            <w:r>
              <w:rPr>
                <w:noProof/>
              </w:rPr>
            </w:r>
            <w:r>
              <w:rPr>
                <w:noProof/>
              </w:rPr>
              <w:fldChar w:fldCharType="separate"/>
            </w:r>
            <w:r w:rsidR="00542268">
              <w:rPr>
                <w:noProof/>
              </w:rPr>
              <w:t>3</w:t>
            </w:r>
            <w:r>
              <w:rPr>
                <w:noProof/>
              </w:rPr>
              <w:fldChar w:fldCharType="end"/>
            </w:r>
          </w:hyperlink>
        </w:p>
        <w:p w:rsidR="00867D3F" w:rsidRDefault="002C1EAC" w:rsidP="00867D3F">
          <w:pPr>
            <w:pStyle w:val="10"/>
            <w:tabs>
              <w:tab w:val="right" w:leader="dot" w:pos="9113"/>
            </w:tabs>
            <w:rPr>
              <w:noProof/>
            </w:rPr>
          </w:pPr>
          <w:hyperlink w:anchor="_Toc12456">
            <w:r w:rsidR="00867D3F">
              <w:rPr>
                <w:rFonts w:ascii="宋体" w:eastAsia="宋体" w:hAnsi="宋体" w:cs="宋体"/>
                <w:noProof/>
              </w:rPr>
              <w:t>一、基金概况</w:t>
            </w:r>
            <w:r w:rsidR="00867D3F">
              <w:rPr>
                <w:noProof/>
              </w:rPr>
              <w:tab/>
              <w:t>4</w:t>
            </w:r>
          </w:hyperlink>
        </w:p>
        <w:p w:rsidR="00867D3F" w:rsidRDefault="002C1EAC" w:rsidP="00867D3F">
          <w:pPr>
            <w:pStyle w:val="10"/>
            <w:tabs>
              <w:tab w:val="right" w:leader="dot" w:pos="9113"/>
            </w:tabs>
            <w:rPr>
              <w:noProof/>
            </w:rPr>
          </w:pPr>
          <w:hyperlink w:anchor="_Toc12457">
            <w:r w:rsidR="00867D3F">
              <w:rPr>
                <w:rFonts w:ascii="宋体" w:eastAsia="宋体" w:hAnsi="宋体" w:cs="宋体"/>
                <w:noProof/>
              </w:rPr>
              <w:t>二、基金运作情况</w:t>
            </w:r>
            <w:r w:rsidR="00867D3F">
              <w:rPr>
                <w:noProof/>
              </w:rPr>
              <w:tab/>
            </w:r>
            <w:r>
              <w:rPr>
                <w:noProof/>
              </w:rPr>
              <w:fldChar w:fldCharType="begin"/>
            </w:r>
            <w:r w:rsidR="00867D3F">
              <w:rPr>
                <w:noProof/>
              </w:rPr>
              <w:instrText>PAGEREF _Toc12457 \h</w:instrText>
            </w:r>
            <w:r>
              <w:rPr>
                <w:noProof/>
              </w:rPr>
            </w:r>
            <w:r>
              <w:rPr>
                <w:noProof/>
              </w:rPr>
              <w:fldChar w:fldCharType="separate"/>
            </w:r>
            <w:r w:rsidR="00542268">
              <w:rPr>
                <w:noProof/>
              </w:rPr>
              <w:t>4</w:t>
            </w:r>
            <w:r>
              <w:rPr>
                <w:noProof/>
              </w:rPr>
              <w:fldChar w:fldCharType="end"/>
            </w:r>
          </w:hyperlink>
        </w:p>
        <w:p w:rsidR="00867D3F" w:rsidRDefault="002C1EAC" w:rsidP="00867D3F">
          <w:pPr>
            <w:pStyle w:val="10"/>
            <w:tabs>
              <w:tab w:val="right" w:leader="dot" w:pos="9113"/>
            </w:tabs>
            <w:rPr>
              <w:noProof/>
            </w:rPr>
          </w:pPr>
          <w:hyperlink w:anchor="_Toc12458">
            <w:r w:rsidR="00867D3F">
              <w:rPr>
                <w:rFonts w:ascii="宋体" w:eastAsia="宋体" w:hAnsi="宋体" w:cs="宋体"/>
                <w:noProof/>
              </w:rPr>
              <w:t>三、财务会计报告</w:t>
            </w:r>
            <w:r w:rsidR="00867D3F">
              <w:rPr>
                <w:noProof/>
              </w:rPr>
              <w:tab/>
              <w:t>5</w:t>
            </w:r>
          </w:hyperlink>
        </w:p>
        <w:p w:rsidR="00867D3F" w:rsidRDefault="002C1EAC" w:rsidP="00867D3F">
          <w:pPr>
            <w:pStyle w:val="10"/>
            <w:tabs>
              <w:tab w:val="right" w:leader="dot" w:pos="9113"/>
            </w:tabs>
            <w:rPr>
              <w:noProof/>
            </w:rPr>
          </w:pPr>
          <w:hyperlink w:anchor="_Toc12459">
            <w:r w:rsidR="00867D3F">
              <w:rPr>
                <w:rFonts w:ascii="宋体" w:eastAsia="宋体" w:hAnsi="宋体" w:cs="宋体"/>
                <w:noProof/>
              </w:rPr>
              <w:t>四、清算情况</w:t>
            </w:r>
            <w:r w:rsidR="00867D3F">
              <w:rPr>
                <w:noProof/>
              </w:rPr>
              <w:tab/>
            </w:r>
            <w:r>
              <w:rPr>
                <w:noProof/>
              </w:rPr>
              <w:fldChar w:fldCharType="begin"/>
            </w:r>
            <w:r w:rsidR="00867D3F">
              <w:rPr>
                <w:noProof/>
              </w:rPr>
              <w:instrText>PAGEREF _Toc12459 \h</w:instrText>
            </w:r>
            <w:r>
              <w:rPr>
                <w:noProof/>
              </w:rPr>
            </w:r>
            <w:r>
              <w:rPr>
                <w:noProof/>
              </w:rPr>
              <w:fldChar w:fldCharType="separate"/>
            </w:r>
            <w:r w:rsidR="00542268">
              <w:rPr>
                <w:noProof/>
              </w:rPr>
              <w:t>5</w:t>
            </w:r>
            <w:r>
              <w:rPr>
                <w:noProof/>
              </w:rPr>
              <w:fldChar w:fldCharType="end"/>
            </w:r>
          </w:hyperlink>
        </w:p>
        <w:p w:rsidR="00867D3F" w:rsidRDefault="002C1EAC" w:rsidP="00867D3F">
          <w:pPr>
            <w:pStyle w:val="10"/>
            <w:tabs>
              <w:tab w:val="right" w:leader="dot" w:pos="9113"/>
            </w:tabs>
            <w:rPr>
              <w:noProof/>
            </w:rPr>
          </w:pPr>
          <w:hyperlink w:anchor="_Toc12460">
            <w:r w:rsidR="00867D3F">
              <w:rPr>
                <w:rFonts w:ascii="宋体" w:eastAsia="宋体" w:hAnsi="宋体" w:cs="宋体"/>
                <w:noProof/>
              </w:rPr>
              <w:t>五、备查文件</w:t>
            </w:r>
            <w:r w:rsidR="00867D3F">
              <w:rPr>
                <w:noProof/>
              </w:rPr>
              <w:tab/>
            </w:r>
            <w:r>
              <w:rPr>
                <w:noProof/>
              </w:rPr>
              <w:fldChar w:fldCharType="begin"/>
            </w:r>
            <w:r w:rsidR="00867D3F">
              <w:rPr>
                <w:noProof/>
              </w:rPr>
              <w:instrText>PAGEREF _Toc12460 \h</w:instrText>
            </w:r>
            <w:r>
              <w:rPr>
                <w:noProof/>
              </w:rPr>
            </w:r>
            <w:r>
              <w:rPr>
                <w:noProof/>
              </w:rPr>
              <w:fldChar w:fldCharType="separate"/>
            </w:r>
            <w:r w:rsidR="00542268">
              <w:rPr>
                <w:noProof/>
              </w:rPr>
              <w:t>8</w:t>
            </w:r>
            <w:r>
              <w:rPr>
                <w:noProof/>
              </w:rPr>
              <w:fldChar w:fldCharType="end"/>
            </w:r>
          </w:hyperlink>
        </w:p>
        <w:p w:rsidR="00867D3F" w:rsidRDefault="002C1EAC" w:rsidP="00867D3F">
          <w:r>
            <w:fldChar w:fldCharType="end"/>
          </w:r>
        </w:p>
      </w:sdtContent>
    </w:sdt>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p>
    <w:p w:rsidR="00867D3F" w:rsidRDefault="00867D3F" w:rsidP="00867D3F">
      <w:pPr>
        <w:spacing w:after="0"/>
        <w:ind w:left="0" w:firstLine="0"/>
      </w:pPr>
      <w:r>
        <w:br w:type="page"/>
      </w:r>
      <w:bookmarkStart w:id="0" w:name="_GoBack"/>
      <w:bookmarkEnd w:id="0"/>
    </w:p>
    <w:p w:rsidR="00867D3F" w:rsidRDefault="00867D3F" w:rsidP="00867D3F">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867D3F" w:rsidRDefault="00867D3F" w:rsidP="00867D3F">
      <w:pPr>
        <w:spacing w:line="360" w:lineRule="auto"/>
        <w:ind w:left="0" w:firstLineChars="200" w:firstLine="480"/>
      </w:pPr>
      <w:r>
        <w:rPr>
          <w:rFonts w:hint="eastAsia"/>
        </w:rPr>
        <w:t>泰达宏利启明</w:t>
      </w:r>
      <w:r>
        <w:t>灵活配置混合型证券投资基金（</w:t>
      </w:r>
      <w:r>
        <w:rPr>
          <w:rFonts w:hint="eastAsia"/>
        </w:rPr>
        <w:t>以下</w:t>
      </w:r>
      <w:r>
        <w:t>简称“</w:t>
      </w:r>
      <w:r>
        <w:rPr>
          <w:rFonts w:hint="eastAsia"/>
        </w:rPr>
        <w:t>本基金</w:t>
      </w:r>
      <w:r>
        <w:t>”）</w:t>
      </w:r>
      <w:r>
        <w:rPr>
          <w:rFonts w:hint="eastAsia"/>
        </w:rPr>
        <w:t>经中国证券</w:t>
      </w:r>
      <w:r>
        <w:t>监督管理委员会</w:t>
      </w:r>
      <w:r>
        <w:rPr>
          <w:rFonts w:hint="eastAsia"/>
        </w:rPr>
        <w:t>（以下</w:t>
      </w:r>
      <w:r>
        <w:t>简称“</w:t>
      </w:r>
      <w:r>
        <w:rPr>
          <w:rFonts w:hint="eastAsia"/>
        </w:rPr>
        <w:t>中国证监会</w:t>
      </w:r>
      <w:r>
        <w:t>”）证监许可【</w:t>
      </w:r>
      <w:r>
        <w:rPr>
          <w:rFonts w:hint="eastAsia"/>
        </w:rPr>
        <w:t>201</w:t>
      </w:r>
      <w:r>
        <w:t>6】</w:t>
      </w:r>
      <w:r>
        <w:rPr>
          <w:rFonts w:hint="eastAsia"/>
        </w:rPr>
        <w:t>26</w:t>
      </w:r>
      <w:r>
        <w:t>98</w:t>
      </w:r>
      <w:r>
        <w:rPr>
          <w:rFonts w:hint="eastAsia"/>
        </w:rPr>
        <w:t>号</w:t>
      </w:r>
      <w:r>
        <w:t>予以注册，于</w:t>
      </w:r>
      <w:r>
        <w:rPr>
          <w:rFonts w:hint="eastAsia"/>
        </w:rPr>
        <w:t>2017年</w:t>
      </w:r>
      <w:r>
        <w:t>3</w:t>
      </w:r>
      <w:r>
        <w:rPr>
          <w:rFonts w:hint="eastAsia"/>
        </w:rPr>
        <w:t>月</w:t>
      </w:r>
      <w:r>
        <w:t>1</w:t>
      </w:r>
      <w:r>
        <w:rPr>
          <w:rFonts w:hint="eastAsia"/>
        </w:rPr>
        <w:t>日</w:t>
      </w:r>
      <w:r>
        <w:t>成立并正式运作。</w:t>
      </w:r>
    </w:p>
    <w:p w:rsidR="00867D3F" w:rsidRDefault="00867D3F" w:rsidP="00867D3F">
      <w:pPr>
        <w:spacing w:line="360" w:lineRule="auto"/>
        <w:ind w:left="0" w:firstLineChars="200" w:firstLine="480"/>
      </w:pPr>
      <w:r>
        <w:rPr>
          <w:rFonts w:hint="eastAsia"/>
        </w:rPr>
        <w:t>根据</w:t>
      </w:r>
      <w:r>
        <w:t>《</w:t>
      </w:r>
      <w:r>
        <w:rPr>
          <w:rFonts w:hint="eastAsia"/>
        </w:rPr>
        <w:t>中华人民</w:t>
      </w:r>
      <w:r>
        <w:t>共和国证券投资基金法》</w:t>
      </w:r>
      <w:r>
        <w:rPr>
          <w:rFonts w:hint="eastAsia"/>
        </w:rPr>
        <w:t>、</w:t>
      </w:r>
      <w:r>
        <w:t>《</w:t>
      </w:r>
      <w:r>
        <w:rPr>
          <w:rFonts w:hint="eastAsia"/>
        </w:rPr>
        <w:t>公开募集</w:t>
      </w:r>
      <w:r>
        <w:t>证券投资基金运作管理办法》</w:t>
      </w:r>
      <w:r>
        <w:rPr>
          <w:rFonts w:hint="eastAsia"/>
        </w:rPr>
        <w:t>等有关</w:t>
      </w:r>
      <w:r>
        <w:t>规定</w:t>
      </w:r>
      <w:r>
        <w:rPr>
          <w:rFonts w:hint="eastAsia"/>
        </w:rPr>
        <w:t>和</w:t>
      </w:r>
      <w:r>
        <w:t>《</w:t>
      </w:r>
      <w:r>
        <w:rPr>
          <w:rFonts w:hint="eastAsia"/>
        </w:rPr>
        <w:t>泰达宏利</w:t>
      </w:r>
      <w:r>
        <w:t>启</w:t>
      </w:r>
      <w:r>
        <w:rPr>
          <w:rFonts w:hint="eastAsia"/>
        </w:rPr>
        <w:t>明</w:t>
      </w:r>
      <w:r>
        <w:t>灵活配置混合型证券投资基金基金合同》</w:t>
      </w:r>
      <w:r>
        <w:rPr>
          <w:rFonts w:hint="eastAsia"/>
        </w:rPr>
        <w:t>（以下</w:t>
      </w:r>
      <w:r>
        <w:t>简称“</w:t>
      </w:r>
      <w:r>
        <w:rPr>
          <w:rFonts w:hint="eastAsia"/>
        </w:rPr>
        <w:t>基金合同</w:t>
      </w:r>
      <w:r>
        <w:t>”）</w:t>
      </w:r>
      <w:r>
        <w:rPr>
          <w:rFonts w:hint="eastAsia"/>
        </w:rPr>
        <w:t>的约定：</w:t>
      </w:r>
      <w:r>
        <w:t>“</w:t>
      </w:r>
      <w:r>
        <w:rPr>
          <w:rFonts w:hint="eastAsia"/>
        </w:rPr>
        <w:t>自基金合同生效日起，出现如下情形之一的，基金合同应当终止并根据基金合同第十九部分的约定进行基金财产清算，而无需召开基金份额持有人大会：</w:t>
      </w:r>
      <w:r>
        <w:t>1、连续60个工作日，基金资产净值低于5000万元；2、连续60个工作日，有效申请确认后基金份额持有人数量少于200人</w:t>
      </w:r>
      <w:r>
        <w:rPr>
          <w:rFonts w:hint="eastAsia"/>
        </w:rPr>
        <w:t>。</w:t>
      </w:r>
      <w:r>
        <w:t>”</w:t>
      </w:r>
      <w:r>
        <w:rPr>
          <w:rFonts w:hint="eastAsia"/>
        </w:rPr>
        <w:t>截至2018年6月21日</w:t>
      </w:r>
      <w:r>
        <w:t>日终</w:t>
      </w:r>
      <w:r>
        <w:rPr>
          <w:rFonts w:hint="eastAsia"/>
        </w:rPr>
        <w:t>，</w:t>
      </w:r>
      <w:r>
        <w:t>泰达宏利</w:t>
      </w:r>
      <w:r>
        <w:rPr>
          <w:rFonts w:hint="eastAsia"/>
        </w:rPr>
        <w:t>启明</w:t>
      </w:r>
      <w:r>
        <w:t>灵活配置混合型证券投资基金的资产净值</w:t>
      </w:r>
      <w:r>
        <w:rPr>
          <w:rFonts w:hint="eastAsia"/>
        </w:rPr>
        <w:t>已经连续60个工作日</w:t>
      </w:r>
      <w:r>
        <w:t>低于</w:t>
      </w:r>
      <w:r>
        <w:rPr>
          <w:rFonts w:hint="eastAsia"/>
        </w:rPr>
        <w:t>5000万元</w:t>
      </w:r>
      <w:r>
        <w:t>，触发上述基金合同终止情形，基金合同应当自动终止且无需召开基金份额持有人大会。</w:t>
      </w:r>
    </w:p>
    <w:p w:rsidR="00867D3F" w:rsidRPr="001F3339" w:rsidRDefault="00867D3F" w:rsidP="00867D3F">
      <w:pPr>
        <w:spacing w:line="360" w:lineRule="auto"/>
        <w:ind w:left="0" w:firstLineChars="200" w:firstLine="480"/>
      </w:pPr>
      <w:r>
        <w:rPr>
          <w:rFonts w:hint="eastAsia"/>
        </w:rPr>
        <w:t>本基金</w:t>
      </w:r>
      <w:r>
        <w:t>于</w:t>
      </w:r>
      <w:r>
        <w:rPr>
          <w:rFonts w:hint="eastAsia"/>
        </w:rPr>
        <w:t>2018年6月22日</w:t>
      </w:r>
      <w:r>
        <w:t>起进入清算期，</w:t>
      </w:r>
      <w:r>
        <w:rPr>
          <w:rFonts w:hint="eastAsia"/>
        </w:rPr>
        <w:t>由</w:t>
      </w:r>
      <w:r>
        <w:t>基金管理人泰达宏利基金管理有限公司</w:t>
      </w:r>
      <w:r>
        <w:rPr>
          <w:rFonts w:hint="eastAsia"/>
        </w:rPr>
        <w:t>、</w:t>
      </w:r>
      <w:r>
        <w:t>基金托管人北京银行股份有限公司、普华永道中天会计师事务所（</w:t>
      </w:r>
      <w:r>
        <w:rPr>
          <w:rFonts w:hint="eastAsia"/>
        </w:rPr>
        <w:t>特殊普通</w:t>
      </w:r>
      <w:r>
        <w:t>合伙）</w:t>
      </w:r>
      <w:r>
        <w:rPr>
          <w:rFonts w:hint="eastAsia"/>
        </w:rPr>
        <w:t>和</w:t>
      </w:r>
      <w:r>
        <w:t>上海</w:t>
      </w:r>
      <w:r>
        <w:rPr>
          <w:rFonts w:hint="eastAsia"/>
        </w:rPr>
        <w:t>市</w:t>
      </w:r>
      <w:r>
        <w:t>通力律师事务所组成基金财产清算</w:t>
      </w:r>
      <w:r>
        <w:rPr>
          <w:rFonts w:hint="eastAsia"/>
        </w:rPr>
        <w:t>小组</w:t>
      </w:r>
      <w:r>
        <w:t>履行基金财产</w:t>
      </w:r>
      <w:r>
        <w:rPr>
          <w:rFonts w:hint="eastAsia"/>
        </w:rPr>
        <w:t>清算</w:t>
      </w:r>
      <w:r>
        <w:t>程序，并由普华永道中天会计师事务所（</w:t>
      </w:r>
      <w:r>
        <w:rPr>
          <w:rFonts w:hint="eastAsia"/>
        </w:rPr>
        <w:t>特殊普通合伙</w:t>
      </w:r>
      <w:r>
        <w:t>）</w:t>
      </w:r>
      <w:r>
        <w:rPr>
          <w:rFonts w:hint="eastAsia"/>
        </w:rPr>
        <w:t>对清算报告</w:t>
      </w:r>
      <w:r>
        <w:t>进行审计，</w:t>
      </w:r>
      <w:r>
        <w:rPr>
          <w:rFonts w:hint="eastAsia"/>
        </w:rPr>
        <w:t>上海市</w:t>
      </w:r>
      <w:r>
        <w:t>通力律师事务所对清算报告出具法律意见。</w:t>
      </w:r>
    </w:p>
    <w:p w:rsidR="00867D3F" w:rsidRPr="002F7911" w:rsidRDefault="00867D3F" w:rsidP="00867D3F"/>
    <w:p w:rsidR="00867D3F" w:rsidRDefault="00867D3F" w:rsidP="00867D3F">
      <w:pPr>
        <w:pStyle w:val="1"/>
        <w:numPr>
          <w:ilvl w:val="0"/>
          <w:numId w:val="7"/>
        </w:numPr>
        <w:spacing w:after="116"/>
        <w:ind w:right="62"/>
        <w:rPr>
          <w:rFonts w:ascii="Times New Roman" w:eastAsia="Times New Roman" w:hAnsi="Times New Roman" w:cs="Times New Roman"/>
          <w:b/>
        </w:rPr>
      </w:pPr>
      <w:bookmarkStart w:id="2" w:name="_Toc12456"/>
      <w:r>
        <w:t>基金概况</w:t>
      </w:r>
      <w:bookmarkEnd w:id="2"/>
    </w:p>
    <w:p w:rsidR="00867D3F" w:rsidRDefault="00867D3F" w:rsidP="00867D3F"/>
    <w:tbl>
      <w:tblPr>
        <w:tblStyle w:val="a6"/>
        <w:tblW w:w="9454" w:type="dxa"/>
        <w:tblInd w:w="10" w:type="dxa"/>
        <w:tblLook w:val="04A0"/>
      </w:tblPr>
      <w:tblGrid>
        <w:gridCol w:w="3075"/>
        <w:gridCol w:w="6379"/>
      </w:tblGrid>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泰达宏利</w:t>
            </w:r>
            <w:r>
              <w:rPr>
                <w:rFonts w:asciiTheme="minorEastAsia" w:hAnsiTheme="minorEastAsia" w:cs="Times New Roman" w:hint="eastAsia"/>
                <w:szCs w:val="24"/>
              </w:rPr>
              <w:t>启明灵活配置混合型</w:t>
            </w:r>
            <w:r w:rsidRPr="00DD205B">
              <w:rPr>
                <w:rFonts w:asciiTheme="minorEastAsia" w:hAnsiTheme="minorEastAsia" w:cs="Times New Roman" w:hint="eastAsia"/>
                <w:szCs w:val="24"/>
              </w:rPr>
              <w:t>证券投资基金</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启</w:t>
            </w:r>
            <w:r>
              <w:rPr>
                <w:rFonts w:hAnsi="Times New Roman" w:hint="eastAsia"/>
                <w:color w:val="auto"/>
                <w:kern w:val="0"/>
                <w:sz w:val="23"/>
                <w:szCs w:val="23"/>
              </w:rPr>
              <w:t>明</w:t>
            </w:r>
            <w:r>
              <w:rPr>
                <w:rFonts w:hAnsi="Times New Roman"/>
                <w:color w:val="auto"/>
                <w:kern w:val="0"/>
                <w:sz w:val="23"/>
                <w:szCs w:val="23"/>
              </w:rPr>
              <w:t>混合</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基金主代码</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Pr>
                <w:szCs w:val="21"/>
              </w:rPr>
              <w:t>003918</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DD205B">
              <w:rPr>
                <w:rFonts w:asciiTheme="minorEastAsia" w:hAnsiTheme="minorEastAsia" w:cs="Times New Roman" w:hint="eastAsia"/>
                <w:szCs w:val="24"/>
              </w:rPr>
              <w:t>契约型、开放式</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DD205B">
              <w:rPr>
                <w:rFonts w:asciiTheme="minorEastAsia" w:hAnsiTheme="minorEastAsia" w:cs="Times New Roman"/>
                <w:szCs w:val="24"/>
              </w:rPr>
              <w:t>201</w:t>
            </w:r>
            <w:r>
              <w:rPr>
                <w:rFonts w:asciiTheme="minorEastAsia" w:hAnsiTheme="minorEastAsia" w:cs="Times New Roman"/>
                <w:szCs w:val="24"/>
              </w:rPr>
              <w:t>7</w:t>
            </w:r>
            <w:r w:rsidRPr="00DD205B">
              <w:rPr>
                <w:rFonts w:asciiTheme="minorEastAsia" w:hAnsiTheme="minorEastAsia" w:cs="Times New Roman" w:hint="eastAsia"/>
                <w:szCs w:val="24"/>
              </w:rPr>
              <w:t>年</w:t>
            </w:r>
            <w:r>
              <w:rPr>
                <w:rFonts w:asciiTheme="minorEastAsia" w:hAnsiTheme="minorEastAsia" w:cs="Times New Roman"/>
                <w:szCs w:val="24"/>
              </w:rPr>
              <w:t>3</w:t>
            </w:r>
            <w:r w:rsidRPr="00DD205B">
              <w:rPr>
                <w:rFonts w:asciiTheme="minorEastAsia" w:hAnsiTheme="minorEastAsia" w:cs="Times New Roman" w:hint="eastAsia"/>
                <w:szCs w:val="24"/>
              </w:rPr>
              <w:t>月</w:t>
            </w:r>
            <w:r>
              <w:rPr>
                <w:rFonts w:asciiTheme="minorEastAsia" w:hAnsiTheme="minorEastAsia" w:cs="Times New Roman"/>
                <w:szCs w:val="24"/>
              </w:rPr>
              <w:t>1</w:t>
            </w:r>
            <w:r w:rsidRPr="00DD205B">
              <w:rPr>
                <w:rFonts w:asciiTheme="minorEastAsia" w:hAnsiTheme="minorEastAsia" w:cs="Times New Roman" w:hint="eastAsia"/>
                <w:szCs w:val="24"/>
              </w:rPr>
              <w:t>日</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Pr>
                <w:rFonts w:hAnsi="Times New Roman" w:hint="eastAsia"/>
                <w:color w:val="auto"/>
                <w:kern w:val="0"/>
                <w:sz w:val="23"/>
                <w:szCs w:val="23"/>
              </w:rPr>
              <w:t>泰达宏利</w:t>
            </w:r>
            <w:r>
              <w:rPr>
                <w:rFonts w:hAnsi="Times New Roman"/>
                <w:color w:val="auto"/>
                <w:kern w:val="0"/>
                <w:sz w:val="23"/>
                <w:szCs w:val="23"/>
              </w:rPr>
              <w:t>基金管理有限公司</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Pr>
                <w:rFonts w:hAnsi="Times New Roman" w:hint="eastAsia"/>
                <w:color w:val="auto"/>
                <w:kern w:val="0"/>
                <w:sz w:val="23"/>
                <w:szCs w:val="23"/>
              </w:rPr>
              <w:t>北京银行</w:t>
            </w:r>
            <w:r>
              <w:rPr>
                <w:rFonts w:hAnsi="Times New Roman"/>
                <w:color w:val="auto"/>
                <w:kern w:val="0"/>
                <w:sz w:val="23"/>
                <w:szCs w:val="23"/>
              </w:rPr>
              <w:t>股份有限</w:t>
            </w:r>
            <w:r>
              <w:rPr>
                <w:rFonts w:hAnsi="Times New Roman" w:hint="eastAsia"/>
                <w:color w:val="auto"/>
                <w:kern w:val="0"/>
                <w:sz w:val="23"/>
                <w:szCs w:val="23"/>
              </w:rPr>
              <w:t>公司</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DD205B">
              <w:rPr>
                <w:rFonts w:asciiTheme="minorEastAsia" w:hAnsiTheme="minorEastAsia" w:cs="Times New Roman" w:hint="eastAsia"/>
              </w:rPr>
              <w:t>201</w:t>
            </w:r>
            <w:r>
              <w:rPr>
                <w:rFonts w:asciiTheme="minorEastAsia" w:hAnsiTheme="minorEastAsia" w:cs="Times New Roman"/>
              </w:rPr>
              <w:t>8</w:t>
            </w:r>
            <w:r w:rsidRPr="00DD205B">
              <w:rPr>
                <w:rFonts w:asciiTheme="minorEastAsia" w:hAnsiTheme="minorEastAsia" w:cs="Times New Roman" w:hint="eastAsia"/>
              </w:rPr>
              <w:t>年</w:t>
            </w:r>
            <w:r>
              <w:rPr>
                <w:rFonts w:asciiTheme="minorEastAsia" w:hAnsiTheme="minorEastAsia" w:cs="Times New Roman"/>
              </w:rPr>
              <w:t>6</w:t>
            </w:r>
            <w:r w:rsidRPr="00DD205B">
              <w:rPr>
                <w:rFonts w:asciiTheme="minorEastAsia" w:hAnsiTheme="minorEastAsia" w:cs="Times New Roman" w:hint="eastAsia"/>
              </w:rPr>
              <w:t>月</w:t>
            </w:r>
            <w:r>
              <w:rPr>
                <w:rFonts w:asciiTheme="minorEastAsia" w:hAnsiTheme="minorEastAsia" w:cs="Times New Roman"/>
              </w:rPr>
              <w:t>2</w:t>
            </w:r>
            <w:r w:rsidRPr="00DD205B">
              <w:rPr>
                <w:rFonts w:asciiTheme="minorEastAsia" w:hAnsiTheme="minorEastAsia" w:cs="Times New Roman" w:hint="eastAsia"/>
              </w:rPr>
              <w:t>1日</w:t>
            </w:r>
          </w:p>
        </w:tc>
      </w:tr>
      <w:tr w:rsidR="00867D3F" w:rsidTr="009A02F5">
        <w:tc>
          <w:tcPr>
            <w:tcW w:w="3075" w:type="dxa"/>
            <w:vAlign w:val="center"/>
          </w:tcPr>
          <w:p w:rsidR="00867D3F" w:rsidRPr="009638E0" w:rsidRDefault="00867D3F" w:rsidP="009A02F5">
            <w:pPr>
              <w:ind w:left="0" w:firstLine="0"/>
              <w:jc w:val="both"/>
              <w:rPr>
                <w:rFonts w:hAnsi="Times New Roman"/>
                <w:color w:val="auto"/>
                <w:kern w:val="0"/>
                <w:sz w:val="23"/>
                <w:szCs w:val="23"/>
              </w:rPr>
            </w:pPr>
            <w:r w:rsidRPr="009638E0">
              <w:rPr>
                <w:rFonts w:hAnsi="Times New Roman" w:hint="eastAsia"/>
                <w:color w:val="auto"/>
                <w:kern w:val="0"/>
                <w:sz w:val="23"/>
                <w:szCs w:val="23"/>
              </w:rPr>
              <w:t xml:space="preserve">最后运作日基金份额总额  </w:t>
            </w:r>
          </w:p>
        </w:tc>
        <w:tc>
          <w:tcPr>
            <w:tcW w:w="6379" w:type="dxa"/>
            <w:vAlign w:val="center"/>
          </w:tcPr>
          <w:p w:rsidR="00867D3F" w:rsidRPr="00655ECC" w:rsidRDefault="00867D3F" w:rsidP="009A02F5">
            <w:pPr>
              <w:ind w:left="0" w:firstLine="0"/>
              <w:jc w:val="both"/>
              <w:rPr>
                <w:rFonts w:hAnsi="Times New Roman"/>
                <w:color w:val="auto"/>
                <w:kern w:val="0"/>
                <w:sz w:val="23"/>
                <w:szCs w:val="23"/>
                <w:highlight w:val="yellow"/>
              </w:rPr>
            </w:pPr>
            <w:r w:rsidRPr="00787ABC">
              <w:rPr>
                <w:rFonts w:hAnsi="Times New Roman" w:hint="eastAsia"/>
                <w:color w:val="auto"/>
                <w:kern w:val="0"/>
                <w:sz w:val="23"/>
                <w:szCs w:val="23"/>
              </w:rPr>
              <w:t>5</w:t>
            </w:r>
            <w:r>
              <w:rPr>
                <w:rFonts w:hint="eastAsia"/>
              </w:rPr>
              <w:t>,</w:t>
            </w:r>
            <w:r w:rsidRPr="00787ABC">
              <w:rPr>
                <w:rFonts w:hAnsi="Times New Roman" w:hint="eastAsia"/>
                <w:color w:val="auto"/>
                <w:kern w:val="0"/>
                <w:sz w:val="23"/>
                <w:szCs w:val="23"/>
              </w:rPr>
              <w:t>019</w:t>
            </w:r>
            <w:r>
              <w:rPr>
                <w:rFonts w:hint="eastAsia"/>
              </w:rPr>
              <w:t>,</w:t>
            </w:r>
            <w:r w:rsidRPr="00787ABC">
              <w:rPr>
                <w:rFonts w:hAnsi="Times New Roman" w:hint="eastAsia"/>
                <w:color w:val="auto"/>
                <w:kern w:val="0"/>
                <w:sz w:val="23"/>
                <w:szCs w:val="23"/>
              </w:rPr>
              <w:t>957.85</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本基金紧跟新常态下我国经济发展过程中的各类投资机遇，基于大类资产配置策略，力争为投资者创造较高投资收益。</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867D3F" w:rsidRPr="00535DC4" w:rsidRDefault="00867D3F" w:rsidP="009A02F5">
            <w:pPr>
              <w:ind w:left="0" w:firstLine="0"/>
              <w:jc w:val="both"/>
              <w:rPr>
                <w:rFonts w:hAnsi="Times New Roman"/>
                <w:color w:val="auto"/>
                <w:kern w:val="0"/>
                <w:sz w:val="23"/>
                <w:szCs w:val="23"/>
              </w:rPr>
            </w:pPr>
            <w:r w:rsidRPr="00535DC4">
              <w:rPr>
                <w:rFonts w:hAnsi="Times New Roman"/>
                <w:color w:val="auto"/>
                <w:kern w:val="0"/>
                <w:sz w:val="23"/>
                <w:szCs w:val="23"/>
              </w:rPr>
              <w:t>1、类别资产配置策略</w:t>
            </w:r>
          </w:p>
          <w:p w:rsidR="00867D3F" w:rsidRPr="00535DC4" w:rsidRDefault="00867D3F" w:rsidP="009A02F5">
            <w:pPr>
              <w:ind w:left="0" w:firstLine="0"/>
              <w:jc w:val="both"/>
              <w:rPr>
                <w:rFonts w:hAnsi="Times New Roman"/>
                <w:color w:val="auto"/>
                <w:kern w:val="0"/>
                <w:sz w:val="23"/>
                <w:szCs w:val="23"/>
              </w:rPr>
            </w:pPr>
            <w:r w:rsidRPr="00535DC4">
              <w:rPr>
                <w:rFonts w:hAnsi="Times New Roman"/>
                <w:color w:val="auto"/>
                <w:kern w:val="0"/>
                <w:sz w:val="23"/>
                <w:szCs w:val="23"/>
              </w:rPr>
              <w:t>2、股票投资策略</w:t>
            </w:r>
          </w:p>
          <w:p w:rsidR="00867D3F" w:rsidRDefault="00867D3F" w:rsidP="009A02F5">
            <w:pPr>
              <w:ind w:left="0" w:firstLine="0"/>
              <w:jc w:val="both"/>
              <w:rPr>
                <w:rFonts w:hAnsi="Times New Roman"/>
                <w:color w:val="auto"/>
                <w:kern w:val="0"/>
                <w:sz w:val="23"/>
                <w:szCs w:val="23"/>
              </w:rPr>
            </w:pPr>
            <w:r w:rsidRPr="00535DC4">
              <w:rPr>
                <w:rFonts w:hAnsi="Times New Roman"/>
                <w:color w:val="auto"/>
                <w:kern w:val="0"/>
                <w:sz w:val="23"/>
                <w:szCs w:val="23"/>
              </w:rPr>
              <w:t>3、债券投资策略</w:t>
            </w:r>
          </w:p>
          <w:p w:rsidR="00867D3F" w:rsidRPr="00535DC4" w:rsidRDefault="00867D3F" w:rsidP="009A02F5">
            <w:pPr>
              <w:ind w:left="0" w:firstLine="0"/>
              <w:jc w:val="both"/>
              <w:rPr>
                <w:rFonts w:hAnsi="Times New Roman"/>
                <w:color w:val="auto"/>
                <w:kern w:val="0"/>
                <w:sz w:val="23"/>
                <w:szCs w:val="23"/>
              </w:rPr>
            </w:pPr>
            <w:r>
              <w:rPr>
                <w:rFonts w:hAnsi="Times New Roman" w:hint="eastAsia"/>
                <w:color w:val="auto"/>
                <w:kern w:val="0"/>
                <w:sz w:val="23"/>
                <w:szCs w:val="23"/>
              </w:rPr>
              <w:lastRenderedPageBreak/>
              <w:t>4、资产支持证券投资策略</w:t>
            </w:r>
          </w:p>
          <w:p w:rsidR="00867D3F" w:rsidRPr="00535DC4" w:rsidRDefault="00867D3F" w:rsidP="009A02F5">
            <w:pPr>
              <w:ind w:left="0" w:firstLine="0"/>
              <w:jc w:val="both"/>
              <w:rPr>
                <w:rFonts w:hAnsi="Times New Roman"/>
                <w:color w:val="auto"/>
                <w:kern w:val="0"/>
                <w:sz w:val="23"/>
                <w:szCs w:val="23"/>
              </w:rPr>
            </w:pPr>
            <w:r w:rsidRPr="00535DC4">
              <w:rPr>
                <w:rFonts w:hAnsi="Times New Roman"/>
                <w:color w:val="auto"/>
                <w:kern w:val="0"/>
                <w:sz w:val="23"/>
                <w:szCs w:val="23"/>
              </w:rPr>
              <w:t>5、股指期货投资策略</w:t>
            </w:r>
          </w:p>
          <w:p w:rsidR="00867D3F" w:rsidRPr="008F5F32" w:rsidRDefault="00867D3F" w:rsidP="009A02F5">
            <w:pPr>
              <w:ind w:left="0" w:firstLine="0"/>
              <w:jc w:val="both"/>
              <w:rPr>
                <w:rFonts w:hAnsi="Times New Roman"/>
                <w:color w:val="auto"/>
                <w:kern w:val="0"/>
                <w:sz w:val="23"/>
                <w:szCs w:val="23"/>
              </w:rPr>
            </w:pPr>
            <w:r w:rsidRPr="00535DC4">
              <w:rPr>
                <w:rFonts w:hAnsi="Times New Roman"/>
                <w:color w:val="auto"/>
                <w:kern w:val="0"/>
                <w:sz w:val="23"/>
                <w:szCs w:val="23"/>
              </w:rPr>
              <w:t>6、权证投资策略</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lastRenderedPageBreak/>
              <w:t>业绩比较基准</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中证全债指数收益率×</w:t>
            </w:r>
            <w:r w:rsidRPr="00535DC4">
              <w:rPr>
                <w:rFonts w:hAnsi="Times New Roman"/>
                <w:color w:val="auto"/>
                <w:kern w:val="0"/>
                <w:sz w:val="23"/>
                <w:szCs w:val="23"/>
              </w:rPr>
              <w:t>75%＋沪深300指数收益率</w:t>
            </w:r>
            <w:r w:rsidRPr="00535DC4">
              <w:rPr>
                <w:rFonts w:hAnsi="Times New Roman"/>
                <w:color w:val="auto"/>
                <w:kern w:val="0"/>
                <w:sz w:val="23"/>
                <w:szCs w:val="23"/>
              </w:rPr>
              <w:t>×</w:t>
            </w:r>
            <w:r w:rsidRPr="00535DC4">
              <w:rPr>
                <w:rFonts w:hAnsi="Times New Roman"/>
                <w:color w:val="auto"/>
                <w:kern w:val="0"/>
                <w:sz w:val="23"/>
                <w:szCs w:val="23"/>
              </w:rPr>
              <w:t>25%。</w:t>
            </w:r>
          </w:p>
        </w:tc>
      </w:tr>
      <w:tr w:rsidR="00867D3F" w:rsidTr="009A02F5">
        <w:tc>
          <w:tcPr>
            <w:tcW w:w="3075" w:type="dxa"/>
            <w:vAlign w:val="center"/>
          </w:tcPr>
          <w:p w:rsidR="00867D3F" w:rsidRPr="008F5F32" w:rsidRDefault="00867D3F" w:rsidP="009A02F5">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867D3F" w:rsidRPr="008F5F32" w:rsidRDefault="00867D3F" w:rsidP="009A02F5">
            <w:pPr>
              <w:ind w:left="0" w:firstLine="0"/>
              <w:jc w:val="both"/>
              <w:rPr>
                <w:rFonts w:hAnsi="Times New Roman"/>
                <w:color w:val="auto"/>
                <w:kern w:val="0"/>
                <w:sz w:val="23"/>
                <w:szCs w:val="23"/>
              </w:rPr>
            </w:pPr>
            <w:r w:rsidRPr="00535DC4">
              <w:rPr>
                <w:rFonts w:hAnsi="Times New Roman" w:hint="eastAsia"/>
                <w:color w:val="auto"/>
                <w:kern w:val="0"/>
                <w:sz w:val="23"/>
                <w:szCs w:val="23"/>
              </w:rPr>
              <w:t>本基金为混合型基金，具有较高预期风险、较高预期收益的特征，其预期风险和预期收益低于股票型基金、高于债券型基金和货币市场基金。</w:t>
            </w:r>
          </w:p>
        </w:tc>
      </w:tr>
    </w:tbl>
    <w:p w:rsidR="00867D3F" w:rsidRDefault="00867D3F" w:rsidP="00867D3F"/>
    <w:p w:rsidR="00867D3F" w:rsidRPr="00C067CB" w:rsidRDefault="00867D3F" w:rsidP="00867D3F"/>
    <w:p w:rsidR="00867D3F" w:rsidRDefault="00867D3F" w:rsidP="00867D3F">
      <w:pPr>
        <w:pStyle w:val="1"/>
        <w:ind w:left="10" w:right="62"/>
      </w:pPr>
      <w:bookmarkStart w:id="3" w:name="_Toc12457"/>
      <w:r>
        <w:t>二、基金运作情况</w:t>
      </w:r>
      <w:bookmarkEnd w:id="3"/>
    </w:p>
    <w:p w:rsidR="00867D3F" w:rsidRDefault="00867D3F" w:rsidP="00867D3F">
      <w:pPr>
        <w:spacing w:line="360" w:lineRule="auto"/>
        <w:ind w:left="0" w:firstLineChars="200" w:firstLine="480"/>
      </w:pPr>
      <w:bookmarkStart w:id="4" w:name="_Toc12458"/>
      <w:r>
        <w:rPr>
          <w:rFonts w:hint="eastAsia"/>
        </w:rPr>
        <w:t>本基金</w:t>
      </w:r>
      <w:r>
        <w:t>经中国</w:t>
      </w:r>
      <w:r>
        <w:rPr>
          <w:rFonts w:hint="eastAsia"/>
        </w:rPr>
        <w:t>证监会证监许可</w:t>
      </w:r>
      <w:r>
        <w:t>【</w:t>
      </w:r>
      <w:r>
        <w:rPr>
          <w:rFonts w:hint="eastAsia"/>
        </w:rPr>
        <w:t>201</w:t>
      </w:r>
      <w:r>
        <w:t>6】</w:t>
      </w:r>
      <w:r>
        <w:rPr>
          <w:rFonts w:hint="eastAsia"/>
        </w:rPr>
        <w:t>2698号</w:t>
      </w:r>
      <w:r>
        <w:t>《</w:t>
      </w:r>
      <w:r>
        <w:rPr>
          <w:rFonts w:hint="eastAsia"/>
        </w:rPr>
        <w:t>关于</w:t>
      </w:r>
      <w:r>
        <w:t>准予泰达宏利启</w:t>
      </w:r>
      <w:r>
        <w:rPr>
          <w:rFonts w:hint="eastAsia"/>
        </w:rPr>
        <w:t>明</w:t>
      </w:r>
      <w:r>
        <w:t>灵活配置混合型证券投资基金注册的批复》</w:t>
      </w:r>
      <w:r>
        <w:rPr>
          <w:rFonts w:hint="eastAsia"/>
        </w:rPr>
        <w:t>注册</w:t>
      </w:r>
      <w:r>
        <w:t>，由泰达宏利基金管理有限公司于</w:t>
      </w:r>
      <w:r>
        <w:rPr>
          <w:rFonts w:hint="eastAsia"/>
        </w:rPr>
        <w:t>2017年</w:t>
      </w:r>
      <w:r>
        <w:t>2</w:t>
      </w:r>
      <w:r>
        <w:rPr>
          <w:rFonts w:hint="eastAsia"/>
        </w:rPr>
        <w:t>月</w:t>
      </w:r>
      <w:r>
        <w:t>16</w:t>
      </w:r>
      <w:r>
        <w:rPr>
          <w:rFonts w:hint="eastAsia"/>
        </w:rPr>
        <w:t>日</w:t>
      </w:r>
      <w:r>
        <w:t>至</w:t>
      </w:r>
      <w:r>
        <w:rPr>
          <w:rFonts w:hint="eastAsia"/>
        </w:rPr>
        <w:t>2017年</w:t>
      </w:r>
      <w:r>
        <w:t>2</w:t>
      </w:r>
      <w:r>
        <w:rPr>
          <w:rFonts w:hint="eastAsia"/>
        </w:rPr>
        <w:t>月2</w:t>
      </w:r>
      <w:r>
        <w:t>3</w:t>
      </w:r>
      <w:r>
        <w:rPr>
          <w:rFonts w:hint="eastAsia"/>
        </w:rPr>
        <w:t>日</w:t>
      </w:r>
      <w:r>
        <w:t>向社会公开发行募集，基金合同于</w:t>
      </w:r>
      <w:r>
        <w:rPr>
          <w:rFonts w:hint="eastAsia"/>
        </w:rPr>
        <w:t>201</w:t>
      </w:r>
      <w:r>
        <w:t>7</w:t>
      </w:r>
      <w:r>
        <w:rPr>
          <w:rFonts w:hint="eastAsia"/>
        </w:rPr>
        <w:t>年</w:t>
      </w:r>
      <w:r>
        <w:t>3</w:t>
      </w:r>
      <w:r>
        <w:rPr>
          <w:rFonts w:hint="eastAsia"/>
        </w:rPr>
        <w:t>月</w:t>
      </w:r>
      <w:r>
        <w:t>1</w:t>
      </w:r>
      <w:r>
        <w:rPr>
          <w:rFonts w:hint="eastAsia"/>
        </w:rPr>
        <w:t>日正式生效</w:t>
      </w:r>
      <w:r>
        <w:t>，募集规模</w:t>
      </w:r>
      <w:r w:rsidRPr="001F3339">
        <w:t>为600,484,434.16</w:t>
      </w:r>
      <w:r w:rsidRPr="001F3339">
        <w:rPr>
          <w:rFonts w:hint="eastAsia"/>
        </w:rPr>
        <w:t>份</w:t>
      </w:r>
      <w:r>
        <w:rPr>
          <w:rFonts w:hint="eastAsia"/>
        </w:rPr>
        <w:t>基金份额</w:t>
      </w:r>
      <w:r>
        <w:t>。自</w:t>
      </w:r>
      <w:r>
        <w:rPr>
          <w:rFonts w:hint="eastAsia"/>
        </w:rPr>
        <w:t>2017年</w:t>
      </w:r>
      <w:r>
        <w:t>3</w:t>
      </w:r>
      <w:r>
        <w:rPr>
          <w:rFonts w:hint="eastAsia"/>
        </w:rPr>
        <w:t>月</w:t>
      </w:r>
      <w:r>
        <w:t>1</w:t>
      </w:r>
      <w:r>
        <w:rPr>
          <w:rFonts w:hint="eastAsia"/>
        </w:rPr>
        <w:t>日</w:t>
      </w:r>
      <w:r>
        <w:t>至</w:t>
      </w:r>
      <w:r>
        <w:rPr>
          <w:rFonts w:hint="eastAsia"/>
        </w:rPr>
        <w:t>2018年6月21日</w:t>
      </w:r>
      <w:r>
        <w:t>期间，本基金按基金合同正常</w:t>
      </w:r>
      <w:r>
        <w:rPr>
          <w:rFonts w:hint="eastAsia"/>
        </w:rPr>
        <w:t>运作</w:t>
      </w:r>
      <w:r>
        <w:t>。</w:t>
      </w:r>
      <w:r w:rsidRPr="00CB02BD">
        <w:rPr>
          <w:rFonts w:hint="eastAsia"/>
        </w:rPr>
        <w:t>根据《中华人民共和国证券投资基金法》、《公开募集证券投资基金运作管理</w:t>
      </w:r>
      <w:r>
        <w:rPr>
          <w:rFonts w:hint="eastAsia"/>
        </w:rPr>
        <w:t>办法》</w:t>
      </w:r>
      <w:r w:rsidRPr="00CB02BD">
        <w:rPr>
          <w:rFonts w:hint="eastAsia"/>
        </w:rPr>
        <w:t>等有关规定</w:t>
      </w:r>
      <w:r>
        <w:rPr>
          <w:rFonts w:hint="eastAsia"/>
        </w:rPr>
        <w:t>和《泰达宏利启明灵活配置混合型证券投资基金基金合同》的约定：</w:t>
      </w:r>
      <w:r w:rsidRPr="00FB2FE6">
        <w:rPr>
          <w:rFonts w:hint="eastAsia"/>
        </w:rPr>
        <w:t>“自基金合同生效日起，出现如下情形之一的，基金合同应当终止并根据基金合同第十九部分的约定进行基金财产清算，而无需召开基金份额持有人大会：</w:t>
      </w:r>
      <w:r w:rsidRPr="00FB2FE6">
        <w:t>1、连续60个工作日，基金资产净值低于5000万元；2、连续60个工作日，有效申请确认后基金份额持有人数量少于200人。”</w:t>
      </w:r>
      <w:r>
        <w:rPr>
          <w:rFonts w:hint="eastAsia"/>
        </w:rPr>
        <w:t>自2018年</w:t>
      </w:r>
      <w:r>
        <w:t>3</w:t>
      </w:r>
      <w:r>
        <w:rPr>
          <w:rFonts w:hint="eastAsia"/>
        </w:rPr>
        <w:t>月</w:t>
      </w:r>
      <w:r>
        <w:t>23</w:t>
      </w:r>
      <w:r>
        <w:rPr>
          <w:rFonts w:hint="eastAsia"/>
        </w:rPr>
        <w:t>日</w:t>
      </w:r>
      <w:r>
        <w:t>起，截至</w:t>
      </w:r>
      <w:r>
        <w:rPr>
          <w:rFonts w:hint="eastAsia"/>
        </w:rPr>
        <w:t>2018年6月21日日终</w:t>
      </w:r>
      <w:r>
        <w:t>，泰达宏利启</w:t>
      </w:r>
      <w:r>
        <w:rPr>
          <w:rFonts w:hint="eastAsia"/>
        </w:rPr>
        <w:t>明</w:t>
      </w:r>
      <w:r>
        <w:t>灵活配置混合型证券投资基金的资产净值已连续</w:t>
      </w:r>
      <w:r>
        <w:rPr>
          <w:rFonts w:hint="eastAsia"/>
        </w:rPr>
        <w:t>60个工作日</w:t>
      </w:r>
      <w:r>
        <w:t>低于</w:t>
      </w:r>
      <w:r>
        <w:rPr>
          <w:rFonts w:hint="eastAsia"/>
        </w:rPr>
        <w:t>5000万元</w:t>
      </w:r>
      <w:r>
        <w:t>。</w:t>
      </w:r>
    </w:p>
    <w:p w:rsidR="00867D3F" w:rsidRPr="00FB2FE6" w:rsidRDefault="00867D3F" w:rsidP="00867D3F">
      <w:pPr>
        <w:spacing w:line="360" w:lineRule="auto"/>
        <w:ind w:left="0" w:firstLineChars="200" w:firstLine="480"/>
      </w:pPr>
      <w:r>
        <w:rPr>
          <w:rFonts w:hint="eastAsia"/>
        </w:rPr>
        <w:t>按照</w:t>
      </w:r>
      <w:r w:rsidRPr="00CB02BD">
        <w:rPr>
          <w:rFonts w:hint="eastAsia"/>
        </w:rPr>
        <w:t>《中华人民共和国证券投资基金法》、《公开募集证券投资基金运作管理</w:t>
      </w:r>
      <w:r>
        <w:rPr>
          <w:rFonts w:hint="eastAsia"/>
        </w:rPr>
        <w:t>办法》和《泰达宏利启明灵活配置混合型证券投资基金基金合同》的</w:t>
      </w:r>
      <w:r>
        <w:t>有关规定终止本基金</w:t>
      </w:r>
      <w:r>
        <w:rPr>
          <w:rFonts w:hint="eastAsia"/>
        </w:rPr>
        <w:t>《基金合同</w:t>
      </w:r>
      <w:r>
        <w:t>》</w:t>
      </w:r>
      <w:r>
        <w:rPr>
          <w:rFonts w:hint="eastAsia"/>
        </w:rPr>
        <w:t>并进行</w:t>
      </w:r>
      <w:r>
        <w:t>基金财产清算，无需召开基金份额持有人大会。本基金自</w:t>
      </w:r>
      <w:r>
        <w:rPr>
          <w:rFonts w:hint="eastAsia"/>
        </w:rPr>
        <w:t>2</w:t>
      </w:r>
      <w:r>
        <w:t>018</w:t>
      </w:r>
      <w:r>
        <w:rPr>
          <w:rFonts w:hint="eastAsia"/>
        </w:rPr>
        <w:t>年6月22日</w:t>
      </w:r>
      <w:r>
        <w:t>起进入清算期。</w:t>
      </w:r>
    </w:p>
    <w:p w:rsidR="00867D3F" w:rsidRDefault="00867D3F" w:rsidP="00867D3F">
      <w:pPr>
        <w:spacing w:after="131"/>
        <w:ind w:left="0" w:firstLine="0"/>
      </w:pPr>
    </w:p>
    <w:p w:rsidR="00867D3F" w:rsidRDefault="00867D3F" w:rsidP="00867D3F">
      <w:pPr>
        <w:pStyle w:val="1"/>
        <w:spacing w:after="435"/>
        <w:ind w:left="10" w:right="62"/>
      </w:pPr>
      <w:r>
        <w:t>三、财务会计报告</w:t>
      </w:r>
      <w:bookmarkEnd w:id="4"/>
    </w:p>
    <w:p w:rsidR="00867D3F" w:rsidRDefault="00867D3F" w:rsidP="00867D3F">
      <w:pPr>
        <w:spacing w:after="131"/>
        <w:ind w:left="-5"/>
      </w:pPr>
      <w:r>
        <w:t xml:space="preserve">（一）基金最后运作日资产负债表（已经审计） </w:t>
      </w:r>
    </w:p>
    <w:p w:rsidR="00867D3F" w:rsidRDefault="00867D3F" w:rsidP="00867D3F">
      <w:pPr>
        <w:ind w:right="945"/>
      </w:pPr>
      <w:r>
        <w:t>会计主体：</w:t>
      </w:r>
      <w:r w:rsidRPr="002558CA">
        <w:rPr>
          <w:rFonts w:hint="eastAsia"/>
        </w:rPr>
        <w:t>泰达宏利</w:t>
      </w:r>
      <w:r>
        <w:rPr>
          <w:rFonts w:hint="eastAsia"/>
        </w:rPr>
        <w:t>启明</w:t>
      </w:r>
      <w:r w:rsidRPr="002558CA">
        <w:rPr>
          <w:rFonts w:hint="eastAsia"/>
        </w:rPr>
        <w:t>灵活配置</w:t>
      </w:r>
      <w:r w:rsidRPr="002558CA">
        <w:t>混合型证券投资基金</w:t>
      </w:r>
    </w:p>
    <w:p w:rsidR="00867D3F" w:rsidRDefault="00867D3F" w:rsidP="00867D3F">
      <w:pPr>
        <w:ind w:right="945"/>
      </w:pPr>
      <w:r>
        <w:t>报告截止日：</w:t>
      </w:r>
      <w:r>
        <w:rPr>
          <w:rFonts w:hint="eastAsia"/>
        </w:rPr>
        <w:t>2018</w:t>
      </w:r>
      <w:r>
        <w:t>年</w:t>
      </w:r>
      <w:r>
        <w:rPr>
          <w:rFonts w:hint="eastAsia"/>
        </w:rPr>
        <w:t>6</w:t>
      </w:r>
      <w:r>
        <w:t>月</w:t>
      </w:r>
      <w:r>
        <w:rPr>
          <w:rFonts w:hint="eastAsia"/>
        </w:rPr>
        <w:t>21</w:t>
      </w:r>
      <w:r>
        <w:t>日</w:t>
      </w:r>
    </w:p>
    <w:p w:rsidR="00867D3F" w:rsidRDefault="00867D3F" w:rsidP="00867D3F">
      <w:pPr>
        <w:ind w:right="945"/>
      </w:pPr>
    </w:p>
    <w:p w:rsidR="00867D3F" w:rsidRDefault="00867D3F" w:rsidP="00867D3F">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867D3F" w:rsidTr="009A02F5">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867D3F" w:rsidRDefault="00867D3F" w:rsidP="009A02F5">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867D3F" w:rsidRPr="006D0F9A" w:rsidRDefault="00867D3F" w:rsidP="009A02F5">
            <w:pPr>
              <w:pStyle w:val="a5"/>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867D3F" w:rsidRPr="006D0F9A" w:rsidRDefault="00867D3F" w:rsidP="009A02F5">
            <w:pPr>
              <w:pStyle w:val="a5"/>
              <w:spacing w:before="0" w:beforeAutospacing="0" w:after="0" w:afterAutospacing="0"/>
              <w:ind w:left="-110" w:right="21"/>
              <w:jc w:val="right"/>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2018</w:t>
            </w:r>
            <w:r w:rsidRPr="006D0F9A">
              <w:rPr>
                <w:rFonts w:ascii="Times New Roman" w:eastAsia="宋体" w:hAnsi="Times New Roman" w:cs="Times New Roman"/>
                <w:sz w:val="21"/>
                <w:szCs w:val="21"/>
                <w:lang w:eastAsia="zh-CN"/>
              </w:rPr>
              <w:t>年</w:t>
            </w:r>
            <w:r>
              <w:rPr>
                <w:rFonts w:ascii="Times New Roman" w:eastAsia="宋体" w:hAnsi="Times New Roman" w:cs="Times New Roman"/>
                <w:sz w:val="21"/>
                <w:szCs w:val="21"/>
                <w:lang w:eastAsia="zh-CN"/>
              </w:rPr>
              <w:t>6</w:t>
            </w:r>
            <w:r w:rsidRPr="006D0F9A">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21</w:t>
            </w:r>
            <w:r w:rsidRPr="006D0F9A">
              <w:rPr>
                <w:rFonts w:ascii="Times New Roman" w:eastAsia="宋体" w:hAnsi="Times New Roman" w:cs="Times New Roman"/>
                <w:sz w:val="21"/>
                <w:szCs w:val="21"/>
                <w:lang w:eastAsia="zh-CN"/>
              </w:rPr>
              <w:t>日</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jc w:val="right"/>
            </w:pP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rFonts w:hint="eastAsia"/>
                <w:sz w:val="22"/>
              </w:rPr>
              <w:t>银行存款</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3,994,255.14</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rFonts w:hint="eastAsia"/>
                <w:sz w:val="22"/>
              </w:rPr>
              <w:t>结算备付金</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654,545.45</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rFonts w:hint="eastAsia"/>
                <w:sz w:val="22"/>
              </w:rPr>
              <w:t>存出保证金</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134,504.14</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rFonts w:hint="eastAsia"/>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621,915.41</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rPr>
                <w:sz w:val="22"/>
              </w:rPr>
            </w:pPr>
            <w:r w:rsidRPr="00970EA0">
              <w:rPr>
                <w:rFonts w:hint="eastAsia"/>
                <w:sz w:val="22"/>
              </w:rPr>
              <w:t>其中：股票投资</w:t>
            </w:r>
          </w:p>
        </w:tc>
        <w:tc>
          <w:tcPr>
            <w:tcW w:w="3828" w:type="dxa"/>
            <w:tcBorders>
              <w:top w:val="single" w:sz="4" w:space="0" w:color="000000"/>
              <w:left w:val="single" w:sz="4" w:space="0" w:color="000000"/>
              <w:bottom w:val="single" w:sz="4" w:space="0" w:color="000000"/>
              <w:right w:val="single" w:sz="4" w:space="0" w:color="000000"/>
            </w:tcBorders>
          </w:tcPr>
          <w:p w:rsidR="00867D3F" w:rsidRPr="009638E0" w:rsidRDefault="00867D3F" w:rsidP="009A02F5">
            <w:pPr>
              <w:jc w:val="right"/>
              <w:rPr>
                <w:sz w:val="22"/>
              </w:rPr>
            </w:pPr>
            <w:r w:rsidRPr="00E90ED8">
              <w:rPr>
                <w:sz w:val="22"/>
              </w:rPr>
              <w:t>558</w:t>
            </w:r>
            <w:r>
              <w:rPr>
                <w:rFonts w:hint="eastAsia"/>
                <w:sz w:val="22"/>
              </w:rPr>
              <w:t>,</w:t>
            </w:r>
            <w:r w:rsidRPr="00E90ED8">
              <w:rPr>
                <w:sz w:val="22"/>
              </w:rPr>
              <w:t>854.3</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Chars="300" w:firstLine="660"/>
              <w:rPr>
                <w:sz w:val="22"/>
              </w:rPr>
            </w:pPr>
            <w:r w:rsidRPr="00970EA0">
              <w:rPr>
                <w:sz w:val="22"/>
              </w:rPr>
              <w:t>债券投资</w:t>
            </w:r>
          </w:p>
        </w:tc>
        <w:tc>
          <w:tcPr>
            <w:tcW w:w="3828" w:type="dxa"/>
            <w:tcBorders>
              <w:top w:val="single" w:sz="4" w:space="0" w:color="000000"/>
              <w:left w:val="single" w:sz="4" w:space="0" w:color="000000"/>
              <w:bottom w:val="single" w:sz="4" w:space="0" w:color="000000"/>
              <w:right w:val="single" w:sz="4" w:space="0" w:color="000000"/>
            </w:tcBorders>
          </w:tcPr>
          <w:p w:rsidR="00867D3F" w:rsidRPr="009638E0" w:rsidRDefault="00867D3F" w:rsidP="009A02F5">
            <w:pPr>
              <w:jc w:val="right"/>
              <w:rPr>
                <w:sz w:val="22"/>
              </w:rPr>
            </w:pPr>
            <w:r w:rsidRPr="00E90ED8">
              <w:rPr>
                <w:sz w:val="22"/>
              </w:rPr>
              <w:t>63</w:t>
            </w:r>
            <w:r>
              <w:rPr>
                <w:rFonts w:hint="eastAsia"/>
                <w:sz w:val="22"/>
              </w:rPr>
              <w:t>,</w:t>
            </w:r>
            <w:r w:rsidRPr="00E90ED8">
              <w:rPr>
                <w:sz w:val="22"/>
              </w:rPr>
              <w:t>061.11</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rPr>
                <w:sz w:val="22"/>
              </w:rPr>
            </w:pPr>
            <w:r>
              <w:rPr>
                <w:rFonts w:hint="eastAsia"/>
                <w:sz w:val="22"/>
              </w:rPr>
              <w:t>应收利息</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sidRPr="00E90ED8">
              <w:rPr>
                <w:sz w:val="22"/>
              </w:rPr>
              <w:t>167.47</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867D3F" w:rsidRPr="009638E0" w:rsidRDefault="00867D3F" w:rsidP="009A02F5">
            <w:pPr>
              <w:spacing w:after="0" w:line="240" w:lineRule="auto"/>
              <w:ind w:left="0" w:firstLine="0"/>
              <w:jc w:val="right"/>
              <w:rPr>
                <w:sz w:val="22"/>
              </w:rPr>
            </w:pPr>
            <w:r w:rsidRPr="00E90ED8">
              <w:rPr>
                <w:sz w:val="22"/>
              </w:rPr>
              <w:t>5</w:t>
            </w:r>
            <w:r>
              <w:rPr>
                <w:rFonts w:hint="eastAsia"/>
                <w:sz w:val="22"/>
              </w:rPr>
              <w:t>,</w:t>
            </w:r>
            <w:r w:rsidRPr="00E90ED8">
              <w:rPr>
                <w:sz w:val="22"/>
              </w:rPr>
              <w:t>405</w:t>
            </w:r>
            <w:r>
              <w:rPr>
                <w:rFonts w:hint="eastAsia"/>
                <w:sz w:val="22"/>
              </w:rPr>
              <w:t>,</w:t>
            </w:r>
            <w:r w:rsidRPr="00E90ED8">
              <w:rPr>
                <w:sz w:val="22"/>
              </w:rPr>
              <w:t>387.61</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jc w:val="right"/>
            </w:pP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rPr>
                <w:sz w:val="22"/>
              </w:rPr>
            </w:pPr>
            <w:r>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spacing w:after="0" w:line="240" w:lineRule="auto"/>
              <w:ind w:left="0" w:firstLine="0"/>
              <w:jc w:val="right"/>
              <w:rPr>
                <w:sz w:val="22"/>
              </w:rPr>
            </w:pPr>
            <w:r>
              <w:rPr>
                <w:rFonts w:hint="eastAsia"/>
                <w:sz w:val="22"/>
              </w:rPr>
              <w:t>62.91</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1,819.74</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303.3</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1.26</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rPr>
                <w:sz w:val="22"/>
              </w:rPr>
            </w:pPr>
            <w:r w:rsidRPr="00FB5776">
              <w:rPr>
                <w:rFonts w:hint="eastAsia"/>
                <w:sz w:val="22"/>
              </w:rPr>
              <w:t>应付交易费用</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3,601.76</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141,370.24</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147,159.21</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jc w:val="right"/>
            </w:pP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5,019,957.85</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238,270.55</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5,258,228.40</w:t>
            </w:r>
          </w:p>
        </w:tc>
      </w:tr>
      <w:tr w:rsidR="00867D3F" w:rsidTr="009A02F5">
        <w:trPr>
          <w:trHeight w:val="295"/>
        </w:trPr>
        <w:tc>
          <w:tcPr>
            <w:tcW w:w="524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vAlign w:val="bottom"/>
          </w:tcPr>
          <w:p w:rsidR="00867D3F" w:rsidRPr="009638E0" w:rsidRDefault="00867D3F" w:rsidP="009A02F5">
            <w:pPr>
              <w:jc w:val="right"/>
              <w:rPr>
                <w:sz w:val="22"/>
              </w:rPr>
            </w:pPr>
            <w:r>
              <w:rPr>
                <w:rFonts w:hint="eastAsia"/>
                <w:sz w:val="22"/>
              </w:rPr>
              <w:t>5,405,387.61</w:t>
            </w:r>
          </w:p>
        </w:tc>
      </w:tr>
    </w:tbl>
    <w:p w:rsidR="00867D3F" w:rsidRDefault="00867D3F" w:rsidP="00867D3F">
      <w:pPr>
        <w:pStyle w:val="1"/>
        <w:ind w:left="10" w:right="62"/>
      </w:pPr>
      <w:bookmarkStart w:id="5" w:name="_Toc12459"/>
    </w:p>
    <w:p w:rsidR="00867D3F" w:rsidRDefault="00867D3F" w:rsidP="00867D3F">
      <w:pPr>
        <w:pStyle w:val="1"/>
        <w:ind w:left="10" w:right="62"/>
      </w:pPr>
      <w:r>
        <w:t>四、清算情况</w:t>
      </w:r>
      <w:bookmarkEnd w:id="5"/>
    </w:p>
    <w:p w:rsidR="00867D3F" w:rsidRDefault="00867D3F" w:rsidP="00867D3F">
      <w:pPr>
        <w:spacing w:after="37" w:line="383" w:lineRule="auto"/>
        <w:ind w:left="-15" w:right="233" w:firstLine="480"/>
        <w:jc w:val="both"/>
      </w:pPr>
      <w:r>
        <w:t>自</w:t>
      </w:r>
      <w:r>
        <w:rPr>
          <w:rFonts w:hint="eastAsia"/>
        </w:rPr>
        <w:t>2018</w:t>
      </w:r>
      <w:r>
        <w:t>年</w:t>
      </w:r>
      <w:r>
        <w:rPr>
          <w:rFonts w:hint="eastAsia"/>
        </w:rPr>
        <w:t>6</w:t>
      </w:r>
      <w:r>
        <w:t>月</w:t>
      </w:r>
      <w:r>
        <w:rPr>
          <w:rFonts w:hint="eastAsia"/>
        </w:rPr>
        <w:t>22</w:t>
      </w:r>
      <w: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止为本次清算期间，基金财产清算组对本基金的基金财产进行清算，全部清算工作按清算原则和清算手续进行。具体清算情况如下：</w:t>
      </w:r>
    </w:p>
    <w:p w:rsidR="00867D3F" w:rsidRDefault="00867D3F" w:rsidP="00867D3F">
      <w:pPr>
        <w:numPr>
          <w:ilvl w:val="0"/>
          <w:numId w:val="1"/>
        </w:numPr>
        <w:spacing w:after="167"/>
        <w:ind w:hanging="720"/>
      </w:pPr>
      <w:r>
        <w:t>清算费用</w:t>
      </w:r>
    </w:p>
    <w:p w:rsidR="00867D3F" w:rsidRDefault="00867D3F" w:rsidP="00867D3F">
      <w:pPr>
        <w:spacing w:after="66" w:line="365" w:lineRule="auto"/>
        <w:ind w:left="-15" w:firstLine="480"/>
      </w:pPr>
      <w:r>
        <w:t>清算费用是指基金财产清算组在进行基金财产清算过程中发生的所有合理费用，包括支付给会计师事务所、律师事务所的费用，分配基金剩余财产的手续费等，根据基金合同的规定，清算费用由基金财产清算组优先从基金财产中支付。</w:t>
      </w:r>
    </w:p>
    <w:p w:rsidR="00867D3F" w:rsidRDefault="00867D3F" w:rsidP="00867D3F">
      <w:pPr>
        <w:numPr>
          <w:ilvl w:val="0"/>
          <w:numId w:val="1"/>
        </w:numPr>
        <w:spacing w:after="199"/>
        <w:ind w:hanging="720"/>
      </w:pPr>
      <w:r>
        <w:t>资产清算情况</w:t>
      </w:r>
    </w:p>
    <w:p w:rsidR="00867D3F" w:rsidRDefault="00867D3F" w:rsidP="00867D3F">
      <w:pPr>
        <w:spacing w:after="35" w:line="386" w:lineRule="auto"/>
        <w:ind w:left="-15" w:firstLine="480"/>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w:t>
      </w:r>
      <w:r w:rsidRPr="00AD6848">
        <w:t>部分资产尚未收回，</w:t>
      </w:r>
      <w:r>
        <w:t>根据基金管理人</w:t>
      </w:r>
      <w:r>
        <w:rPr>
          <w:rFonts w:hint="eastAsia"/>
        </w:rPr>
        <w:t>2018</w:t>
      </w:r>
      <w:r>
        <w:t>年</w:t>
      </w:r>
      <w:r>
        <w:rPr>
          <w:rFonts w:hint="eastAsia"/>
        </w:rPr>
        <w:t>6</w:t>
      </w:r>
      <w:r>
        <w:t>月</w:t>
      </w:r>
      <w:r>
        <w:rPr>
          <w:rFonts w:hint="eastAsia"/>
        </w:rPr>
        <w:t>22</w:t>
      </w:r>
      <w:r>
        <w:t>日发布的《关于</w:t>
      </w:r>
      <w:r w:rsidRPr="00215E88">
        <w:rPr>
          <w:rFonts w:hint="eastAsia"/>
        </w:rPr>
        <w:t>泰达宏利</w:t>
      </w:r>
      <w:r>
        <w:rPr>
          <w:rFonts w:hint="eastAsia"/>
        </w:rPr>
        <w:t>启明</w:t>
      </w:r>
      <w:r w:rsidRPr="00215E88">
        <w:rPr>
          <w:rFonts w:hint="eastAsia"/>
        </w:rPr>
        <w:t>灵活配置</w:t>
      </w:r>
      <w:r w:rsidRPr="00215E88">
        <w:t>混合型</w:t>
      </w:r>
      <w:r>
        <w:t>证券投资基金</w:t>
      </w:r>
      <w:r>
        <w:rPr>
          <w:rFonts w:hint="eastAsia"/>
        </w:rPr>
        <w:t>基金</w:t>
      </w:r>
      <w:r>
        <w:t>合同终止及财产清算的公告》，为了提高清算效率，及时向基金份额持有人分配剩余财产，基金管理人以自有资金对该部分资产进行垫付。各项资产清算情况如下：</w:t>
      </w:r>
    </w:p>
    <w:p w:rsidR="00867D3F" w:rsidRPr="00996941" w:rsidRDefault="00867D3F" w:rsidP="00867D3F">
      <w:pPr>
        <w:numPr>
          <w:ilvl w:val="0"/>
          <w:numId w:val="2"/>
        </w:numPr>
        <w:spacing w:line="409" w:lineRule="auto"/>
        <w:ind w:firstLine="480"/>
      </w:pPr>
      <w:r w:rsidRPr="00AD6848">
        <w:t>本基金最后运作</w:t>
      </w:r>
      <w:r w:rsidRPr="00AD6848">
        <w:rPr>
          <w:rFonts w:hint="eastAsia"/>
        </w:rPr>
        <w:t>日结算备付金</w:t>
      </w:r>
      <w:r w:rsidRPr="00AD6848">
        <w:t>为人民币</w:t>
      </w:r>
      <w:r w:rsidRPr="007A2CB8">
        <w:t>654</w:t>
      </w:r>
      <w:r>
        <w:rPr>
          <w:rFonts w:hint="eastAsia"/>
          <w:sz w:val="22"/>
        </w:rPr>
        <w:t>,</w:t>
      </w:r>
      <w:r w:rsidRPr="007A2CB8">
        <w:t>545.45</w:t>
      </w:r>
      <w:r w:rsidRPr="00AD6848">
        <w:t>元，该款项已于</w:t>
      </w:r>
      <w:r w:rsidRPr="003571A6">
        <w:rPr>
          <w:rFonts w:hint="eastAsia"/>
          <w:color w:val="auto"/>
        </w:rPr>
        <w:t>2018</w:t>
      </w:r>
      <w:r w:rsidRPr="003571A6">
        <w:rPr>
          <w:color w:val="auto"/>
        </w:rPr>
        <w:t>年</w:t>
      </w:r>
      <w:r w:rsidRPr="003571A6">
        <w:rPr>
          <w:rFonts w:hint="eastAsia"/>
          <w:color w:val="auto"/>
        </w:rPr>
        <w:t>7</w:t>
      </w:r>
      <w:r w:rsidRPr="003571A6">
        <w:rPr>
          <w:color w:val="auto"/>
        </w:rPr>
        <w:t>月</w:t>
      </w:r>
      <w:r w:rsidRPr="003571A6">
        <w:rPr>
          <w:rFonts w:hint="eastAsia"/>
          <w:color w:val="auto"/>
        </w:rPr>
        <w:t>3</w:t>
      </w:r>
      <w:r w:rsidRPr="003571A6">
        <w:rPr>
          <w:color w:val="auto"/>
        </w:rPr>
        <w:t>日</w:t>
      </w:r>
      <w:r w:rsidRPr="00AD6848">
        <w:rPr>
          <w:rFonts w:hint="eastAsia"/>
        </w:rPr>
        <w:t>由交易所备付金账户划入</w:t>
      </w:r>
      <w:r w:rsidRPr="00AD6848">
        <w:t>托管账户。</w:t>
      </w:r>
    </w:p>
    <w:p w:rsidR="00867D3F" w:rsidRDefault="00867D3F" w:rsidP="00867D3F">
      <w:pPr>
        <w:numPr>
          <w:ilvl w:val="0"/>
          <w:numId w:val="2"/>
        </w:numPr>
        <w:spacing w:line="409" w:lineRule="auto"/>
        <w:ind w:firstLine="480"/>
      </w:pPr>
      <w:r>
        <w:t>本基金最后运作日存出保证金为人民币</w:t>
      </w:r>
      <w:r w:rsidRPr="007D39E5">
        <w:t>134</w:t>
      </w:r>
      <w:r>
        <w:rPr>
          <w:rFonts w:hint="eastAsia"/>
          <w:sz w:val="22"/>
        </w:rPr>
        <w:t>,</w:t>
      </w:r>
      <w:r w:rsidRPr="007D39E5">
        <w:t>504.14</w:t>
      </w:r>
      <w:r w:rsidRPr="00867382">
        <w:t>元</w:t>
      </w:r>
      <w:r>
        <w:t>，</w:t>
      </w:r>
      <w:r>
        <w:rPr>
          <w:rFonts w:hint="eastAsia"/>
          <w:kern w:val="0"/>
        </w:rPr>
        <w:t>为加快清算速度，基金管理人将以自有资金垫付至托管账户。</w:t>
      </w:r>
    </w:p>
    <w:p w:rsidR="00867D3F" w:rsidRDefault="00867D3F" w:rsidP="00867D3F">
      <w:pPr>
        <w:numPr>
          <w:ilvl w:val="0"/>
          <w:numId w:val="2"/>
        </w:numPr>
        <w:spacing w:line="385" w:lineRule="auto"/>
        <w:ind w:firstLine="480"/>
      </w:pPr>
      <w:r>
        <w:t>本基金最后运作日应收利息为人民币</w:t>
      </w:r>
      <w:r w:rsidRPr="007D39E5">
        <w:t>167.47</w:t>
      </w:r>
      <w:r>
        <w:t>元</w:t>
      </w:r>
      <w:r>
        <w:rPr>
          <w:rFonts w:hint="eastAsia"/>
        </w:rPr>
        <w:t>。其中</w:t>
      </w:r>
      <w:r w:rsidRPr="00AD6848">
        <w:rPr>
          <w:rFonts w:hAnsi="Times New Roman" w:hint="eastAsia"/>
          <w:color w:val="auto"/>
          <w:szCs w:val="24"/>
        </w:rPr>
        <w:t>应收债券利息为</w:t>
      </w:r>
      <w:r w:rsidRPr="00AD6848">
        <w:rPr>
          <w:rFonts w:cstheme="minorBidi"/>
          <w:color w:val="auto"/>
          <w:szCs w:val="24"/>
        </w:rPr>
        <w:t>人民币</w:t>
      </w:r>
      <w:r w:rsidRPr="007D39E5">
        <w:rPr>
          <w:rFonts w:hAnsi="Times New Roman"/>
          <w:color w:val="auto"/>
          <w:szCs w:val="24"/>
        </w:rPr>
        <w:t>52.08</w:t>
      </w:r>
      <w:r w:rsidRPr="00AD6848">
        <w:rPr>
          <w:rFonts w:hAnsi="Times New Roman" w:hint="eastAsia"/>
          <w:color w:val="auto"/>
          <w:szCs w:val="24"/>
        </w:rPr>
        <w:t>元，已于</w:t>
      </w:r>
      <w:r>
        <w:rPr>
          <w:rFonts w:hAnsi="Times New Roman" w:hint="eastAsia"/>
          <w:color w:val="auto"/>
          <w:szCs w:val="24"/>
        </w:rPr>
        <w:t>2018</w:t>
      </w:r>
      <w:r w:rsidRPr="00AD6848">
        <w:rPr>
          <w:rFonts w:hAnsi="Times New Roman" w:hint="eastAsia"/>
          <w:color w:val="auto"/>
          <w:szCs w:val="24"/>
        </w:rPr>
        <w:t>年</w:t>
      </w:r>
      <w:r>
        <w:rPr>
          <w:rFonts w:hAnsi="Times New Roman" w:hint="eastAsia"/>
          <w:color w:val="auto"/>
          <w:szCs w:val="24"/>
        </w:rPr>
        <w:t>6</w:t>
      </w:r>
      <w:r w:rsidRPr="00AD6848">
        <w:rPr>
          <w:rFonts w:hAnsi="Times New Roman" w:hint="eastAsia"/>
          <w:color w:val="auto"/>
          <w:szCs w:val="24"/>
        </w:rPr>
        <w:t>月</w:t>
      </w:r>
      <w:r>
        <w:rPr>
          <w:rFonts w:hAnsi="Times New Roman" w:hint="eastAsia"/>
          <w:color w:val="auto"/>
          <w:szCs w:val="24"/>
        </w:rPr>
        <w:t>22</w:t>
      </w:r>
      <w:r w:rsidRPr="00AD6848">
        <w:rPr>
          <w:rFonts w:hAnsi="Times New Roman" w:hint="eastAsia"/>
          <w:color w:val="auto"/>
          <w:szCs w:val="24"/>
        </w:rPr>
        <w:t>日随债券资产卖出款项划入托管账户；</w:t>
      </w:r>
      <w:r>
        <w:t>应收活期银行存款利息</w:t>
      </w:r>
      <w:r>
        <w:rPr>
          <w:rFonts w:hint="eastAsia"/>
        </w:rPr>
        <w:t>为</w:t>
      </w:r>
      <w:r>
        <w:t>人民币</w:t>
      </w:r>
      <w:r w:rsidRPr="007D39E5">
        <w:t>79.89</w:t>
      </w:r>
      <w:r>
        <w:rPr>
          <w:rFonts w:hint="eastAsia"/>
        </w:rPr>
        <w:t>元</w:t>
      </w:r>
      <w:r>
        <w:t>，应收备付金利息为人民币</w:t>
      </w:r>
      <w:r w:rsidRPr="007D39E5">
        <w:t>29.45</w:t>
      </w:r>
      <w:r>
        <w:rPr>
          <w:rFonts w:hint="eastAsia"/>
        </w:rPr>
        <w:t>元</w:t>
      </w:r>
      <w:r>
        <w:t>，应收保证金利息为人民币</w:t>
      </w:r>
      <w:r w:rsidRPr="007D39E5">
        <w:t>6.05</w:t>
      </w:r>
      <w:r>
        <w:rPr>
          <w:rFonts w:hint="eastAsia"/>
        </w:rPr>
        <w:t>元</w:t>
      </w:r>
      <w:r>
        <w:t>，</w:t>
      </w:r>
      <w:r>
        <w:rPr>
          <w:rFonts w:hint="eastAsia"/>
          <w:kern w:val="0"/>
        </w:rPr>
        <w:t>为加快清算速度，基金管理人将以自有资金垫付至托管账户。</w:t>
      </w:r>
    </w:p>
    <w:p w:rsidR="00867D3F" w:rsidRDefault="00867D3F" w:rsidP="00867D3F">
      <w:pPr>
        <w:numPr>
          <w:ilvl w:val="0"/>
          <w:numId w:val="2"/>
        </w:numPr>
        <w:spacing w:line="385" w:lineRule="auto"/>
        <w:ind w:firstLine="480"/>
      </w:pPr>
      <w:r>
        <w:t>本基金最后运作日持有</w:t>
      </w:r>
      <w:r>
        <w:rPr>
          <w:rFonts w:hint="eastAsia"/>
        </w:rPr>
        <w:t>非停牌</w:t>
      </w:r>
      <w:r w:rsidRPr="00AD6848">
        <w:t>股票资产为人民币</w:t>
      </w:r>
      <w:r w:rsidRPr="002F22D2">
        <w:t>558</w:t>
      </w:r>
      <w:r>
        <w:rPr>
          <w:rFonts w:hint="eastAsia"/>
          <w:sz w:val="22"/>
        </w:rPr>
        <w:t>,</w:t>
      </w:r>
      <w:r w:rsidRPr="002F22D2">
        <w:t>854.3</w:t>
      </w:r>
      <w:r>
        <w:t>0元</w:t>
      </w:r>
      <w:r>
        <w:rPr>
          <w:rFonts w:hint="eastAsia"/>
        </w:rPr>
        <w:t>，</w:t>
      </w:r>
      <w:r>
        <w:t>该资产已于清算期间</w:t>
      </w:r>
      <w:r>
        <w:rPr>
          <w:rFonts w:hint="eastAsia"/>
        </w:rPr>
        <w:t>全部</w:t>
      </w:r>
      <w:r>
        <w:t>卖出，</w:t>
      </w:r>
      <w:r w:rsidRPr="00AD6848">
        <w:rPr>
          <w:rFonts w:hint="eastAsia"/>
        </w:rPr>
        <w:t>变现</w:t>
      </w:r>
      <w:r w:rsidRPr="00531985">
        <w:rPr>
          <w:rFonts w:hint="eastAsia"/>
        </w:rPr>
        <w:t>所得金额共计</w:t>
      </w:r>
      <w:r>
        <w:rPr>
          <w:rFonts w:hint="eastAsia"/>
        </w:rPr>
        <w:t>人民币</w:t>
      </w:r>
      <w:r>
        <w:t>552</w:t>
      </w:r>
      <w:r>
        <w:rPr>
          <w:rFonts w:hint="eastAsia"/>
          <w:sz w:val="22"/>
        </w:rPr>
        <w:t>,</w:t>
      </w:r>
      <w:r>
        <w:t>506.25</w:t>
      </w:r>
      <w:r>
        <w:rPr>
          <w:rFonts w:hint="eastAsia"/>
        </w:rPr>
        <w:t>元；</w:t>
      </w:r>
      <w:r>
        <w:t>本基金最后运作日持有</w:t>
      </w:r>
      <w:r>
        <w:rPr>
          <w:rFonts w:hint="eastAsia"/>
        </w:rPr>
        <w:t>非停牌债券</w:t>
      </w:r>
      <w:r w:rsidRPr="00AD6848">
        <w:t>资产为人民币</w:t>
      </w:r>
      <w:r w:rsidRPr="002F22D2">
        <w:t>63</w:t>
      </w:r>
      <w:r>
        <w:rPr>
          <w:rFonts w:hint="eastAsia"/>
          <w:sz w:val="22"/>
        </w:rPr>
        <w:t>,</w:t>
      </w:r>
      <w:r w:rsidRPr="002F22D2">
        <w:t>061.11</w:t>
      </w:r>
      <w:r>
        <w:t>元</w:t>
      </w:r>
      <w:r>
        <w:rPr>
          <w:rFonts w:hint="eastAsia"/>
        </w:rPr>
        <w:t>，</w:t>
      </w:r>
      <w:r>
        <w:t>该资产已于清算期间</w:t>
      </w:r>
      <w:r>
        <w:rPr>
          <w:rFonts w:hint="eastAsia"/>
        </w:rPr>
        <w:t>全部</w:t>
      </w:r>
      <w:r>
        <w:t>卖出，</w:t>
      </w:r>
      <w:r w:rsidRPr="00AD6848">
        <w:rPr>
          <w:rFonts w:hint="eastAsia"/>
        </w:rPr>
        <w:t>变现所得（含债券利息收入）金额共计</w:t>
      </w:r>
      <w:r w:rsidRPr="00531985">
        <w:rPr>
          <w:rFonts w:hint="eastAsia"/>
        </w:rPr>
        <w:t>共计</w:t>
      </w:r>
      <w:r>
        <w:rPr>
          <w:rFonts w:hint="eastAsia"/>
        </w:rPr>
        <w:t>人民币</w:t>
      </w:r>
      <w:r>
        <w:t>62</w:t>
      </w:r>
      <w:r>
        <w:rPr>
          <w:rFonts w:hint="eastAsia"/>
          <w:sz w:val="22"/>
        </w:rPr>
        <w:t>,</w:t>
      </w:r>
      <w:r>
        <w:t>981.03</w:t>
      </w:r>
      <w:r>
        <w:rPr>
          <w:rFonts w:hint="eastAsia"/>
        </w:rPr>
        <w:t>元。</w:t>
      </w:r>
    </w:p>
    <w:p w:rsidR="00867D3F" w:rsidRDefault="00867D3F" w:rsidP="00867D3F">
      <w:pPr>
        <w:spacing w:after="198"/>
        <w:ind w:left="490"/>
      </w:pPr>
      <w:r>
        <w:t>（三）负债清偿情况</w:t>
      </w:r>
    </w:p>
    <w:p w:rsidR="00867D3F" w:rsidRDefault="00867D3F" w:rsidP="00867D3F">
      <w:pPr>
        <w:numPr>
          <w:ilvl w:val="0"/>
          <w:numId w:val="3"/>
        </w:numPr>
        <w:spacing w:line="404" w:lineRule="auto"/>
        <w:ind w:firstLine="480"/>
      </w:pPr>
      <w:r>
        <w:t>本基金最后运作日应付管理人报酬为人民币</w:t>
      </w:r>
      <w:r w:rsidRPr="006763A4">
        <w:t>1</w:t>
      </w:r>
      <w:r>
        <w:rPr>
          <w:rFonts w:hint="eastAsia"/>
          <w:sz w:val="22"/>
        </w:rPr>
        <w:t>,</w:t>
      </w:r>
      <w:r w:rsidRPr="006763A4">
        <w:t>819.74</w:t>
      </w:r>
      <w:r>
        <w:t>元，该款项已于</w:t>
      </w:r>
      <w:r w:rsidRPr="003571A6">
        <w:rPr>
          <w:rFonts w:hint="eastAsia"/>
          <w:color w:val="auto"/>
        </w:rPr>
        <w:t>2018</w:t>
      </w:r>
      <w:r w:rsidRPr="003571A6">
        <w:rPr>
          <w:color w:val="auto"/>
        </w:rPr>
        <w:t>年</w:t>
      </w:r>
      <w:r w:rsidRPr="003571A6">
        <w:rPr>
          <w:rFonts w:hint="eastAsia"/>
          <w:color w:val="auto"/>
        </w:rPr>
        <w:t>7</w:t>
      </w:r>
      <w:r w:rsidRPr="003571A6">
        <w:rPr>
          <w:color w:val="auto"/>
        </w:rPr>
        <w:t>月</w:t>
      </w:r>
      <w:r w:rsidRPr="003571A6">
        <w:rPr>
          <w:rFonts w:hint="eastAsia"/>
          <w:color w:val="auto"/>
        </w:rPr>
        <w:t>4</w:t>
      </w:r>
      <w:r w:rsidRPr="003571A6">
        <w:rPr>
          <w:color w:val="auto"/>
        </w:rPr>
        <w:t>日</w:t>
      </w:r>
      <w:r>
        <w:t>支付。</w:t>
      </w:r>
    </w:p>
    <w:p w:rsidR="00867D3F" w:rsidRDefault="00867D3F" w:rsidP="00867D3F">
      <w:pPr>
        <w:numPr>
          <w:ilvl w:val="0"/>
          <w:numId w:val="3"/>
        </w:numPr>
        <w:spacing w:line="407" w:lineRule="auto"/>
        <w:ind w:firstLine="480"/>
      </w:pPr>
      <w:r>
        <w:t>本基金最后运作日应付托管费为人民币</w:t>
      </w:r>
      <w:r w:rsidRPr="00E255FD">
        <w:t>303.3</w:t>
      </w:r>
      <w:r>
        <w:t>0元，该款项已于</w:t>
      </w:r>
      <w:r w:rsidRPr="003571A6">
        <w:rPr>
          <w:rFonts w:hint="eastAsia"/>
          <w:color w:val="auto"/>
        </w:rPr>
        <w:t>2018</w:t>
      </w:r>
      <w:r w:rsidRPr="003571A6">
        <w:rPr>
          <w:color w:val="auto"/>
        </w:rPr>
        <w:t>年</w:t>
      </w:r>
      <w:r w:rsidRPr="003571A6">
        <w:rPr>
          <w:rFonts w:hint="eastAsia"/>
          <w:color w:val="auto"/>
        </w:rPr>
        <w:t>7</w:t>
      </w:r>
      <w:r w:rsidRPr="003571A6">
        <w:rPr>
          <w:color w:val="auto"/>
        </w:rPr>
        <w:t>月</w:t>
      </w:r>
      <w:r w:rsidRPr="003571A6">
        <w:rPr>
          <w:rFonts w:hint="eastAsia"/>
          <w:color w:val="auto"/>
        </w:rPr>
        <w:t>4</w:t>
      </w:r>
      <w:r w:rsidRPr="003571A6">
        <w:rPr>
          <w:color w:val="auto"/>
        </w:rPr>
        <w:t>日</w:t>
      </w:r>
      <w:r>
        <w:t>支付。</w:t>
      </w:r>
    </w:p>
    <w:p w:rsidR="00867D3F" w:rsidRDefault="00867D3F" w:rsidP="00867D3F">
      <w:pPr>
        <w:numPr>
          <w:ilvl w:val="0"/>
          <w:numId w:val="3"/>
        </w:numPr>
        <w:spacing w:line="408" w:lineRule="auto"/>
        <w:ind w:firstLine="480"/>
      </w:pPr>
      <w:r>
        <w:t>本基金最后运作日</w:t>
      </w:r>
      <w:r w:rsidRPr="004B0F8D">
        <w:rPr>
          <w:rFonts w:hint="eastAsia"/>
        </w:rPr>
        <w:t>应付销售服务费</w:t>
      </w:r>
      <w:r>
        <w:t>为人民币</w:t>
      </w:r>
      <w:r w:rsidRPr="00E255FD">
        <w:t>1.26</w:t>
      </w:r>
      <w:r>
        <w:t>元，该款项已于</w:t>
      </w:r>
      <w:r w:rsidRPr="003571A6">
        <w:rPr>
          <w:rFonts w:hint="eastAsia"/>
          <w:color w:val="auto"/>
        </w:rPr>
        <w:t>2018</w:t>
      </w:r>
      <w:r w:rsidRPr="003571A6">
        <w:rPr>
          <w:color w:val="auto"/>
        </w:rPr>
        <w:t>年</w:t>
      </w:r>
      <w:r w:rsidRPr="003571A6">
        <w:rPr>
          <w:rFonts w:hint="eastAsia"/>
          <w:color w:val="auto"/>
        </w:rPr>
        <w:t>7</w:t>
      </w:r>
      <w:r w:rsidRPr="003571A6">
        <w:rPr>
          <w:color w:val="auto"/>
        </w:rPr>
        <w:t>月</w:t>
      </w:r>
      <w:r w:rsidRPr="003571A6">
        <w:rPr>
          <w:rFonts w:hint="eastAsia"/>
          <w:color w:val="auto"/>
        </w:rPr>
        <w:t>4</w:t>
      </w:r>
      <w:r w:rsidRPr="003571A6">
        <w:rPr>
          <w:color w:val="auto"/>
        </w:rPr>
        <w:t>日</w:t>
      </w:r>
      <w:r>
        <w:t>支付。</w:t>
      </w:r>
    </w:p>
    <w:p w:rsidR="00867D3F" w:rsidRPr="00122BDE" w:rsidRDefault="00867D3F" w:rsidP="00867D3F">
      <w:pPr>
        <w:numPr>
          <w:ilvl w:val="0"/>
          <w:numId w:val="3"/>
        </w:numPr>
        <w:spacing w:line="408" w:lineRule="auto"/>
        <w:ind w:firstLine="480"/>
      </w:pPr>
      <w:r>
        <w:t>本基金最后运作日</w:t>
      </w:r>
      <w:r w:rsidRPr="004B0F8D">
        <w:rPr>
          <w:rFonts w:hint="eastAsia"/>
        </w:rPr>
        <w:t>应付赎回款</w:t>
      </w:r>
      <w:r>
        <w:t>为人民币</w:t>
      </w:r>
      <w:r w:rsidRPr="00E255FD">
        <w:t>62.91</w:t>
      </w:r>
      <w:r>
        <w:t>元，该款项</w:t>
      </w:r>
      <w:r>
        <w:rPr>
          <w:rFonts w:hint="eastAsia"/>
        </w:rPr>
        <w:t>分别</w:t>
      </w:r>
      <w:r>
        <w:t>于</w:t>
      </w:r>
      <w:r w:rsidRPr="003571A6">
        <w:rPr>
          <w:rFonts w:hint="eastAsia"/>
          <w:color w:val="auto"/>
        </w:rPr>
        <w:t>2018</w:t>
      </w:r>
      <w:r w:rsidRPr="003571A6">
        <w:rPr>
          <w:color w:val="auto"/>
        </w:rPr>
        <w:t>年</w:t>
      </w:r>
      <w:r w:rsidRPr="003571A6">
        <w:rPr>
          <w:rFonts w:hint="eastAsia"/>
          <w:color w:val="auto"/>
        </w:rPr>
        <w:t>6</w:t>
      </w:r>
      <w:r w:rsidRPr="003571A6">
        <w:rPr>
          <w:color w:val="auto"/>
        </w:rPr>
        <w:t>月</w:t>
      </w:r>
      <w:r w:rsidRPr="003571A6">
        <w:rPr>
          <w:rFonts w:hint="eastAsia"/>
          <w:color w:val="auto"/>
        </w:rPr>
        <w:t>22</w:t>
      </w:r>
      <w:r w:rsidRPr="003571A6">
        <w:rPr>
          <w:color w:val="auto"/>
        </w:rPr>
        <w:t>日</w:t>
      </w:r>
      <w:r>
        <w:t>支付。</w:t>
      </w:r>
    </w:p>
    <w:p w:rsidR="00867D3F" w:rsidRPr="00F50B4C" w:rsidRDefault="00867D3F" w:rsidP="00867D3F">
      <w:pPr>
        <w:numPr>
          <w:ilvl w:val="0"/>
          <w:numId w:val="3"/>
        </w:numPr>
        <w:spacing w:line="408" w:lineRule="auto"/>
        <w:ind w:firstLine="480"/>
      </w:pPr>
      <w:r>
        <w:rPr>
          <w:rFonts w:hint="eastAsia"/>
          <w:kern w:val="0"/>
        </w:rPr>
        <w:t>本基金最后运作日应付交易费用为人民币</w:t>
      </w:r>
      <w:r w:rsidRPr="00E255FD">
        <w:rPr>
          <w:kern w:val="0"/>
        </w:rPr>
        <w:t>3</w:t>
      </w:r>
      <w:r>
        <w:rPr>
          <w:rFonts w:hint="eastAsia"/>
          <w:sz w:val="22"/>
        </w:rPr>
        <w:t>,</w:t>
      </w:r>
      <w:r w:rsidRPr="00E255FD">
        <w:rPr>
          <w:kern w:val="0"/>
        </w:rPr>
        <w:t>601.76</w:t>
      </w:r>
      <w:r>
        <w:rPr>
          <w:rFonts w:hint="eastAsia"/>
          <w:kern w:val="0"/>
        </w:rPr>
        <w:t>元，为应付佣金，该款项已于</w:t>
      </w:r>
      <w:r w:rsidRPr="003571A6">
        <w:rPr>
          <w:rFonts w:hint="eastAsia"/>
          <w:color w:val="auto"/>
        </w:rPr>
        <w:t>2018</w:t>
      </w:r>
      <w:r w:rsidRPr="003571A6">
        <w:rPr>
          <w:color w:val="auto"/>
        </w:rPr>
        <w:t>年</w:t>
      </w:r>
      <w:r w:rsidRPr="003571A6">
        <w:rPr>
          <w:rFonts w:hint="eastAsia"/>
          <w:color w:val="auto"/>
        </w:rPr>
        <w:t>7</w:t>
      </w:r>
      <w:r w:rsidRPr="003571A6">
        <w:rPr>
          <w:color w:val="auto"/>
        </w:rPr>
        <w:t>月</w:t>
      </w:r>
      <w:r w:rsidRPr="003571A6">
        <w:rPr>
          <w:rFonts w:hint="eastAsia"/>
          <w:color w:val="auto"/>
        </w:rPr>
        <w:t>4</w:t>
      </w:r>
      <w:r w:rsidRPr="003571A6">
        <w:rPr>
          <w:color w:val="auto"/>
        </w:rPr>
        <w:t>日</w:t>
      </w:r>
      <w:r>
        <w:rPr>
          <w:rFonts w:hint="eastAsia"/>
          <w:kern w:val="0"/>
        </w:rPr>
        <w:t>支付。</w:t>
      </w:r>
    </w:p>
    <w:p w:rsidR="00867D3F" w:rsidRPr="006D0F9A" w:rsidRDefault="00867D3F" w:rsidP="00867D3F">
      <w:pPr>
        <w:numPr>
          <w:ilvl w:val="0"/>
          <w:numId w:val="3"/>
        </w:numPr>
        <w:spacing w:line="398" w:lineRule="auto"/>
        <w:ind w:firstLine="480"/>
      </w:pPr>
      <w:r>
        <w:t>本基金最后运作日其他负债为人民币</w:t>
      </w:r>
      <w:r w:rsidRPr="00E255FD">
        <w:t>141</w:t>
      </w:r>
      <w:r>
        <w:rPr>
          <w:rFonts w:hint="eastAsia"/>
          <w:sz w:val="22"/>
        </w:rPr>
        <w:t>,</w:t>
      </w:r>
      <w:r w:rsidRPr="00E255FD">
        <w:t>370.24</w:t>
      </w:r>
      <w:r>
        <w:rPr>
          <w:sz w:val="22"/>
        </w:rPr>
        <w:t>元，</w:t>
      </w:r>
      <w:r>
        <w:rPr>
          <w:rFonts w:hint="eastAsia"/>
          <w:kern w:val="0"/>
        </w:rPr>
        <w:t>包括应付信息披露费、预提审计费。本基金最后运作日应付信息披露费为人民币</w:t>
      </w:r>
      <w:r w:rsidRPr="00E255FD">
        <w:rPr>
          <w:kern w:val="0"/>
        </w:rPr>
        <w:t>113</w:t>
      </w:r>
      <w:r>
        <w:rPr>
          <w:rFonts w:hint="eastAsia"/>
          <w:sz w:val="22"/>
        </w:rPr>
        <w:t>,</w:t>
      </w:r>
      <w:r w:rsidRPr="00E255FD">
        <w:rPr>
          <w:kern w:val="0"/>
        </w:rPr>
        <w:t>096.88</w:t>
      </w:r>
      <w:r>
        <w:rPr>
          <w:rFonts w:hint="eastAsia"/>
          <w:kern w:val="0"/>
        </w:rPr>
        <w:t>元，该款项已于</w:t>
      </w:r>
      <w:r w:rsidRPr="005A0295">
        <w:rPr>
          <w:rFonts w:hint="eastAsia"/>
          <w:color w:val="auto"/>
          <w:kern w:val="0"/>
        </w:rPr>
        <w:t>2018年7月18日</w:t>
      </w:r>
      <w:r>
        <w:rPr>
          <w:rFonts w:hint="eastAsia"/>
          <w:kern w:val="0"/>
        </w:rPr>
        <w:t>支付；</w:t>
      </w:r>
      <w:r>
        <w:rPr>
          <w:rFonts w:hint="eastAsia"/>
        </w:rPr>
        <w:t>本基金</w:t>
      </w:r>
      <w:r>
        <w:t>最后运作日预提审计费为预提的</w:t>
      </w:r>
      <w:r>
        <w:rPr>
          <w:rFonts w:hint="eastAsia"/>
        </w:rPr>
        <w:t>2018</w:t>
      </w:r>
      <w:r>
        <w:t>年审计费，金额为人民币</w:t>
      </w:r>
      <w:r w:rsidRPr="00E255FD">
        <w:t>28</w:t>
      </w:r>
      <w:r>
        <w:rPr>
          <w:rFonts w:hint="eastAsia"/>
          <w:sz w:val="22"/>
        </w:rPr>
        <w:t>,</w:t>
      </w:r>
      <w:r w:rsidRPr="00E255FD">
        <w:t>273.36</w:t>
      </w:r>
      <w:r>
        <w:t>元，该款项已于</w:t>
      </w:r>
      <w:r w:rsidRPr="005071B2">
        <w:rPr>
          <w:rFonts w:hint="eastAsia"/>
          <w:color w:val="auto"/>
        </w:rPr>
        <w:t>2</w:t>
      </w:r>
      <w:r w:rsidRPr="005071B2">
        <w:rPr>
          <w:color w:val="auto"/>
        </w:rPr>
        <w:t>018</w:t>
      </w:r>
      <w:r w:rsidRPr="005071B2">
        <w:rPr>
          <w:rFonts w:hint="eastAsia"/>
          <w:color w:val="auto"/>
        </w:rPr>
        <w:t>年7</w:t>
      </w:r>
      <w:r w:rsidRPr="005071B2">
        <w:rPr>
          <w:color w:val="auto"/>
        </w:rPr>
        <w:t>月</w:t>
      </w:r>
      <w:r w:rsidRPr="005071B2">
        <w:rPr>
          <w:rFonts w:hint="eastAsia"/>
          <w:color w:val="auto"/>
        </w:rPr>
        <w:t>16</w:t>
      </w:r>
      <w:r w:rsidRPr="005071B2">
        <w:rPr>
          <w:color w:val="auto"/>
        </w:rPr>
        <w:t>日</w:t>
      </w:r>
      <w:r>
        <w:t>支付。</w:t>
      </w:r>
    </w:p>
    <w:p w:rsidR="00867D3F" w:rsidRDefault="00867D3F" w:rsidP="00867D3F">
      <w:pPr>
        <w:spacing w:line="398" w:lineRule="auto"/>
        <w:ind w:left="0" w:firstLine="0"/>
      </w:pPr>
    </w:p>
    <w:p w:rsidR="00867D3F" w:rsidRDefault="00867D3F" w:rsidP="00867D3F">
      <w:pPr>
        <w:spacing w:after="186"/>
        <w:ind w:left="490"/>
      </w:pPr>
      <w:r>
        <w:t>（四）本次清算期间的清算损益情况</w:t>
      </w:r>
    </w:p>
    <w:p w:rsidR="00867D3F" w:rsidRDefault="00867D3F" w:rsidP="00867D3F">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867D3F" w:rsidTr="009A02F5">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867D3F" w:rsidRDefault="00867D3F" w:rsidP="009A02F5">
            <w:pPr>
              <w:spacing w:after="0"/>
              <w:ind w:left="34" w:firstLine="0"/>
            </w:pPr>
            <w:r>
              <w:rPr>
                <w:sz w:val="21"/>
              </w:rPr>
              <w:t>项目</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74" w:firstLine="0"/>
              <w:jc w:val="right"/>
            </w:pPr>
            <w:r>
              <w:rPr>
                <w:sz w:val="21"/>
              </w:rPr>
              <w:t>自</w:t>
            </w:r>
            <w:r>
              <w:rPr>
                <w:rFonts w:hint="eastAsia"/>
                <w:sz w:val="21"/>
              </w:rPr>
              <w:t>2018</w:t>
            </w:r>
            <w:r>
              <w:rPr>
                <w:sz w:val="21"/>
              </w:rPr>
              <w:t>年</w:t>
            </w:r>
            <w:r>
              <w:rPr>
                <w:rFonts w:hint="eastAsia"/>
                <w:sz w:val="21"/>
              </w:rPr>
              <w:t>6</w:t>
            </w:r>
            <w:r>
              <w:rPr>
                <w:sz w:val="21"/>
              </w:rPr>
              <w:t>月</w:t>
            </w:r>
            <w:r>
              <w:rPr>
                <w:rFonts w:hint="eastAsia"/>
                <w:sz w:val="21"/>
              </w:rPr>
              <w:t>22</w:t>
            </w:r>
            <w:r>
              <w:rPr>
                <w:sz w:val="21"/>
              </w:rPr>
              <w:t>日至</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止清算期间</w:t>
            </w: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34" w:firstLine="0"/>
            </w:pPr>
            <w:r>
              <w:rPr>
                <w:sz w:val="21"/>
              </w:rPr>
              <w:t>一、清算</w:t>
            </w:r>
            <w:r>
              <w:rPr>
                <w:rFonts w:hint="eastAsia"/>
                <w:sz w:val="21"/>
              </w:rPr>
              <w:t>期间</w:t>
            </w:r>
            <w:r>
              <w:rPr>
                <w:sz w:val="21"/>
              </w:rPr>
              <w:t>收益</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458" w:firstLine="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rPr>
                <w:rFonts w:hint="eastAsia"/>
              </w:rPr>
              <w:t>3</w:t>
            </w:r>
            <w:r>
              <w:rPr>
                <w:rFonts w:hint="eastAsia"/>
                <w:sz w:val="22"/>
              </w:rPr>
              <w:t>,</w:t>
            </w:r>
            <w:r>
              <w:t>346.81</w:t>
            </w:r>
          </w:p>
        </w:tc>
      </w:tr>
      <w:tr w:rsidR="00867D3F" w:rsidTr="009A02F5">
        <w:trPr>
          <w:trHeight w:val="281"/>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458" w:firstLine="0"/>
            </w:pPr>
            <w:r>
              <w:rPr>
                <w:rFonts w:ascii="Times New Roman" w:eastAsia="Times New Roman" w:hAnsi="Times New Roman" w:cs="Times New Roman"/>
                <w:sz w:val="21"/>
              </w:rPr>
              <w:t>2</w:t>
            </w:r>
            <w:r>
              <w:rPr>
                <w:sz w:val="21"/>
              </w:rPr>
              <w:t>、变现损益（注</w:t>
            </w:r>
            <w:r>
              <w:rPr>
                <w:rFonts w:ascii="Times New Roman" w:eastAsia="Times New Roman" w:hAnsi="Times New Roman" w:cs="Times New Roman"/>
                <w:sz w:val="21"/>
              </w:rPr>
              <w:t>2</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t>-5</w:t>
            </w:r>
            <w:r>
              <w:rPr>
                <w:rFonts w:hint="eastAsia"/>
                <w:sz w:val="22"/>
              </w:rPr>
              <w:t>,</w:t>
            </w:r>
            <w:r>
              <w:t>875.57</w:t>
            </w: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rPr>
                <w:sz w:val="21"/>
              </w:rPr>
            </w:pPr>
            <w:r>
              <w:rPr>
                <w:sz w:val="21"/>
              </w:rPr>
              <w:t>清算</w:t>
            </w:r>
            <w:r>
              <w:rPr>
                <w:rFonts w:hint="eastAsia"/>
                <w:sz w:val="21"/>
              </w:rPr>
              <w:t>期间</w:t>
            </w:r>
            <w:r>
              <w:rPr>
                <w:sz w:val="21"/>
              </w:rPr>
              <w:t>收入小计</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rPr>
                <w:rFonts w:hint="eastAsia"/>
              </w:rPr>
              <w:t>-2</w:t>
            </w:r>
            <w:r>
              <w:rPr>
                <w:rFonts w:hint="eastAsia"/>
                <w:sz w:val="22"/>
              </w:rPr>
              <w:t>,</w:t>
            </w:r>
            <w:r>
              <w:rPr>
                <w:rFonts w:hint="eastAsia"/>
              </w:rPr>
              <w:t>528.76</w:t>
            </w: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1"/>
              </w:rPr>
              <w:t>二、清算</w:t>
            </w:r>
            <w:r>
              <w:rPr>
                <w:rFonts w:hint="eastAsia"/>
                <w:sz w:val="21"/>
              </w:rPr>
              <w:t>期间</w:t>
            </w:r>
            <w:r>
              <w:rPr>
                <w:sz w:val="21"/>
              </w:rPr>
              <w:t>费用</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rPr>
                <w:sz w:val="21"/>
              </w:rPr>
            </w:pPr>
            <w:r>
              <w:rPr>
                <w:rFonts w:hint="eastAsia"/>
                <w:kern w:val="0"/>
                <w:sz w:val="21"/>
              </w:rPr>
              <w:t>清算期间费用小计（</w:t>
            </w:r>
            <w:r>
              <w:rPr>
                <w:sz w:val="21"/>
              </w:rPr>
              <w:t>注</w:t>
            </w:r>
            <w:r>
              <w:rPr>
                <w:rFonts w:ascii="Times New Roman" w:eastAsia="Times New Roman" w:hAnsi="Times New Roman" w:cs="Times New Roman"/>
                <w:sz w:val="21"/>
              </w:rPr>
              <w:t>3</w:t>
            </w:r>
            <w:r>
              <w:rPr>
                <w:rFonts w:hint="eastAsia"/>
                <w:kern w:val="0"/>
                <w:sz w:val="21"/>
              </w:rPr>
              <w:t>）</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rPr>
                <w:rFonts w:hint="eastAsia"/>
              </w:rPr>
              <w:t>10</w:t>
            </w:r>
            <w:r>
              <w:rPr>
                <w:rFonts w:hint="eastAsia"/>
                <w:sz w:val="22"/>
              </w:rPr>
              <w:t>,</w:t>
            </w:r>
            <w:r>
              <w:rPr>
                <w:rFonts w:hint="eastAsia"/>
              </w:rPr>
              <w:t>749.59</w:t>
            </w:r>
          </w:p>
        </w:tc>
      </w:tr>
      <w:tr w:rsidR="00867D3F" w:rsidTr="009A02F5">
        <w:trPr>
          <w:trHeight w:val="283"/>
        </w:trPr>
        <w:tc>
          <w:tcPr>
            <w:tcW w:w="5813"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rFonts w:hint="eastAsia"/>
                <w:sz w:val="21"/>
              </w:rPr>
              <w:t>三</w:t>
            </w:r>
            <w:r>
              <w:rPr>
                <w:sz w:val="21"/>
              </w:rPr>
              <w:t>、清算</w:t>
            </w:r>
            <w:r>
              <w:rPr>
                <w:rFonts w:hint="eastAsia"/>
                <w:sz w:val="21"/>
              </w:rPr>
              <w:t>期间</w:t>
            </w:r>
            <w:r>
              <w:rPr>
                <w:sz w:val="21"/>
              </w:rPr>
              <w:t>净收益</w:t>
            </w:r>
          </w:p>
        </w:tc>
        <w:tc>
          <w:tcPr>
            <w:tcW w:w="2664"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rPr>
                <w:rFonts w:hint="eastAsia"/>
              </w:rPr>
              <w:t>-13</w:t>
            </w:r>
            <w:r>
              <w:rPr>
                <w:rFonts w:hint="eastAsia"/>
                <w:sz w:val="22"/>
              </w:rPr>
              <w:t>,</w:t>
            </w:r>
            <w:r>
              <w:rPr>
                <w:rFonts w:hint="eastAsia"/>
              </w:rPr>
              <w:t>278.35</w:t>
            </w:r>
          </w:p>
        </w:tc>
      </w:tr>
    </w:tbl>
    <w:p w:rsidR="00867D3F" w:rsidRDefault="00867D3F" w:rsidP="00867D3F">
      <w:pPr>
        <w:spacing w:after="196"/>
        <w:ind w:left="430"/>
      </w:pPr>
    </w:p>
    <w:p w:rsidR="00867D3F" w:rsidRDefault="00867D3F" w:rsidP="00867D3F">
      <w:pPr>
        <w:spacing w:after="196"/>
        <w:ind w:left="430"/>
      </w:pPr>
      <w:r>
        <w:rPr>
          <w:rFonts w:hint="eastAsia"/>
        </w:rPr>
        <w:t>注：</w:t>
      </w:r>
    </w:p>
    <w:p w:rsidR="00867D3F" w:rsidRDefault="00867D3F" w:rsidP="00867D3F">
      <w:pPr>
        <w:numPr>
          <w:ilvl w:val="0"/>
          <w:numId w:val="4"/>
        </w:numPr>
        <w:spacing w:after="37" w:line="383" w:lineRule="auto"/>
        <w:ind w:firstLine="410"/>
      </w:pPr>
      <w:r>
        <w:rPr>
          <w:rFonts w:hint="eastAsia"/>
        </w:rPr>
        <w:t xml:space="preserve">利息收入系自 </w:t>
      </w:r>
      <w:r>
        <w:rPr>
          <w:rFonts w:ascii="Times New Roman" w:eastAsiaTheme="minorEastAsia" w:hAnsi="Times New Roman" w:cs="Times New Roman"/>
        </w:rPr>
        <w:t>2018</w:t>
      </w:r>
      <w:r>
        <w:rPr>
          <w:rFonts w:hint="eastAsia"/>
        </w:rPr>
        <w:t>年6月</w:t>
      </w:r>
      <w:r>
        <w:rPr>
          <w:rFonts w:asciiTheme="minorEastAsia" w:eastAsiaTheme="minorEastAsia" w:hAnsiTheme="minorEastAsia" w:cs="Times New Roman" w:hint="eastAsia"/>
        </w:rPr>
        <w:t>22</w:t>
      </w:r>
      <w:r>
        <w:rPr>
          <w:rFonts w:hint="eastAsia"/>
        </w:rPr>
        <w:t>日至</w:t>
      </w:r>
      <w:r>
        <w:rPr>
          <w:rFonts w:ascii="Times New Roman" w:eastAsia="Times New Roman" w:hAnsi="Times New Roman" w:cs="Times New Roman"/>
        </w:rPr>
        <w:t>201</w:t>
      </w:r>
      <w:r>
        <w:rPr>
          <w:rFonts w:asciiTheme="minorEastAsia" w:eastAsiaTheme="minorEastAsia" w:hAnsiTheme="minorEastAsia" w:cs="Times New Roman" w:hint="eastAsia"/>
        </w:rPr>
        <w:t>8</w:t>
      </w:r>
      <w:r>
        <w:rPr>
          <w:rFonts w:hint="eastAsia"/>
        </w:rPr>
        <w:t>年</w:t>
      </w:r>
      <w:r>
        <w:rPr>
          <w:rFonts w:asciiTheme="minorEastAsia" w:eastAsiaTheme="minorEastAsia" w:hAnsiTheme="minorEastAsia" w:cs="Times New Roman" w:hint="eastAsia"/>
        </w:rPr>
        <w:t>7</w:t>
      </w:r>
      <w:r>
        <w:rPr>
          <w:rFonts w:hint="eastAsia"/>
        </w:rPr>
        <w:t>月20日止清算期间的银行存款、备付金、保证金利息以及债券利息收入。</w:t>
      </w:r>
    </w:p>
    <w:p w:rsidR="00867D3F" w:rsidRPr="00867D3F" w:rsidRDefault="00867D3F" w:rsidP="00867D3F">
      <w:pPr>
        <w:numPr>
          <w:ilvl w:val="0"/>
          <w:numId w:val="4"/>
        </w:numPr>
        <w:spacing w:line="415" w:lineRule="auto"/>
        <w:ind w:firstLine="410"/>
      </w:pPr>
      <w:r w:rsidRPr="00AD6848">
        <w:rPr>
          <w:rFonts w:hint="eastAsia"/>
        </w:rPr>
        <w:t>变现损益为股票变现损益和债券变现损益之和，股票变现损益为本次清算期间股票资产变现金额，与最后运作日估值金额相减的差额；债券变现损益为本次清算期间债券资产变现金额扣除清算期间债券利息后，与</w:t>
      </w:r>
      <w:r w:rsidRPr="00531985">
        <w:rPr>
          <w:rFonts w:hint="eastAsia"/>
        </w:rPr>
        <w:t>最后运作日估值金额</w:t>
      </w:r>
      <w:r w:rsidRPr="00AD6848">
        <w:rPr>
          <w:rFonts w:hint="eastAsia"/>
        </w:rPr>
        <w:t>相减</w:t>
      </w:r>
      <w:r w:rsidRPr="00531985">
        <w:rPr>
          <w:rFonts w:hint="eastAsia"/>
        </w:rPr>
        <w:t>的差额</w:t>
      </w:r>
      <w:r>
        <w:rPr>
          <w:rFonts w:hint="eastAsia"/>
        </w:rPr>
        <w:t>。</w:t>
      </w:r>
    </w:p>
    <w:p w:rsidR="00867D3F" w:rsidRDefault="00867D3F" w:rsidP="00867D3F">
      <w:pPr>
        <w:numPr>
          <w:ilvl w:val="0"/>
          <w:numId w:val="4"/>
        </w:numPr>
        <w:spacing w:after="180"/>
        <w:ind w:firstLine="410"/>
      </w:pPr>
      <w:r w:rsidRPr="00A11EB3">
        <w:rPr>
          <w:rFonts w:hint="eastAsia"/>
        </w:rPr>
        <w:t>清算期间费用</w:t>
      </w:r>
      <w:r w:rsidRPr="00AD6848">
        <w:rPr>
          <w:rFonts w:hint="eastAsia"/>
        </w:rPr>
        <w:t>为银行汇划费、交易费用</w:t>
      </w:r>
      <w:r>
        <w:rPr>
          <w:rFonts w:hint="eastAsia"/>
        </w:rPr>
        <w:t>、账户维护费</w:t>
      </w:r>
      <w:r>
        <w:t>、</w:t>
      </w:r>
      <w:r>
        <w:rPr>
          <w:rFonts w:hint="eastAsia"/>
        </w:rPr>
        <w:t>基金卖出缴纳的</w:t>
      </w:r>
      <w:r w:rsidRPr="00AC313C">
        <w:t>红利税</w:t>
      </w:r>
      <w:r w:rsidRPr="00AD6848">
        <w:rPr>
          <w:rFonts w:hint="eastAsia"/>
        </w:rPr>
        <w:t>等</w:t>
      </w:r>
      <w:r>
        <w:rPr>
          <w:rFonts w:hint="eastAsia"/>
        </w:rPr>
        <w:t>。</w:t>
      </w:r>
    </w:p>
    <w:p w:rsidR="00867D3F" w:rsidRDefault="00867D3F" w:rsidP="00867D3F">
      <w:pPr>
        <w:spacing w:after="180"/>
        <w:ind w:left="613" w:firstLine="0"/>
      </w:pPr>
      <w:r>
        <w:t>（五）截至本次清算期结束日的剩余财产情况</w:t>
      </w:r>
    </w:p>
    <w:p w:rsidR="00867D3F" w:rsidRDefault="00867D3F" w:rsidP="00867D3F">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867D3F"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50" w:firstLine="0"/>
              <w:jc w:val="right"/>
            </w:pPr>
            <w:r>
              <w:rPr>
                <w:sz w:val="21"/>
              </w:rPr>
              <w:t>金额</w:t>
            </w:r>
          </w:p>
        </w:tc>
      </w:tr>
      <w:tr w:rsidR="00867D3F"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1"/>
              </w:rPr>
              <w:t>一、最后运作日</w:t>
            </w:r>
            <w:r>
              <w:rPr>
                <w:rFonts w:hint="eastAsia"/>
                <w:sz w:val="21"/>
              </w:rPr>
              <w:t>2018</w:t>
            </w:r>
            <w:r>
              <w:rPr>
                <w:sz w:val="21"/>
              </w:rPr>
              <w:t>年</w:t>
            </w:r>
            <w:r>
              <w:rPr>
                <w:rFonts w:hint="eastAsia"/>
                <w:sz w:val="21"/>
              </w:rPr>
              <w:t>6</w:t>
            </w:r>
            <w:r>
              <w:rPr>
                <w:sz w:val="21"/>
              </w:rPr>
              <w:t>月</w:t>
            </w:r>
            <w:r>
              <w:rPr>
                <w:rFonts w:hint="eastAsia"/>
                <w:sz w:val="21"/>
              </w:rPr>
              <w:t>21</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867D3F" w:rsidRDefault="00867D3F" w:rsidP="009A02F5">
            <w:pPr>
              <w:jc w:val="right"/>
            </w:pPr>
            <w:r w:rsidRPr="000557F7">
              <w:t>5</w:t>
            </w:r>
            <w:r>
              <w:rPr>
                <w:rFonts w:hint="eastAsia"/>
                <w:sz w:val="22"/>
              </w:rPr>
              <w:t>,</w:t>
            </w:r>
            <w:r w:rsidRPr="000557F7">
              <w:t>258</w:t>
            </w:r>
            <w:r>
              <w:rPr>
                <w:rFonts w:hint="eastAsia"/>
                <w:sz w:val="22"/>
              </w:rPr>
              <w:t>,</w:t>
            </w:r>
            <w:r w:rsidRPr="000557F7">
              <w:t>228.4</w:t>
            </w:r>
          </w:p>
        </w:tc>
      </w:tr>
      <w:tr w:rsidR="00867D3F" w:rsidTr="009A02F5">
        <w:trPr>
          <w:trHeight w:val="281"/>
        </w:trPr>
        <w:tc>
          <w:tcPr>
            <w:tcW w:w="538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867D3F" w:rsidRPr="00867D3F" w:rsidRDefault="00867D3F" w:rsidP="00867D3F">
            <w:pPr>
              <w:jc w:val="right"/>
              <w:rPr>
                <w:sz w:val="22"/>
              </w:rPr>
            </w:pPr>
            <w:r>
              <w:rPr>
                <w:rFonts w:hint="eastAsia"/>
              </w:rPr>
              <w:t>-13</w:t>
            </w:r>
            <w:r>
              <w:rPr>
                <w:rFonts w:hint="eastAsia"/>
                <w:sz w:val="22"/>
              </w:rPr>
              <w:t>,</w:t>
            </w:r>
            <w:r>
              <w:rPr>
                <w:rFonts w:hint="eastAsia"/>
              </w:rPr>
              <w:t>278.35</w:t>
            </w:r>
          </w:p>
        </w:tc>
      </w:tr>
      <w:tr w:rsidR="00867D3F"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p>
        </w:tc>
        <w:tc>
          <w:tcPr>
            <w:tcW w:w="311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right="62" w:firstLine="0"/>
              <w:jc w:val="right"/>
            </w:pPr>
            <w:r>
              <w:rPr>
                <w:rFonts w:hint="eastAsia"/>
              </w:rPr>
              <w:t>-</w:t>
            </w:r>
          </w:p>
        </w:tc>
      </w:tr>
      <w:tr w:rsidR="00867D3F" w:rsidTr="009A02F5">
        <w:trPr>
          <w:trHeight w:val="283"/>
        </w:trPr>
        <w:tc>
          <w:tcPr>
            <w:tcW w:w="5388" w:type="dxa"/>
            <w:tcBorders>
              <w:top w:val="single" w:sz="4" w:space="0" w:color="000000"/>
              <w:left w:val="single" w:sz="4" w:space="0" w:color="000000"/>
              <w:bottom w:val="single" w:sz="4" w:space="0" w:color="000000"/>
              <w:right w:val="single" w:sz="4" w:space="0" w:color="000000"/>
            </w:tcBorders>
          </w:tcPr>
          <w:p w:rsidR="00867D3F" w:rsidRDefault="00867D3F" w:rsidP="009A02F5">
            <w:pPr>
              <w:spacing w:after="0"/>
              <w:ind w:left="0" w:firstLine="0"/>
            </w:pPr>
            <w:r>
              <w:rPr>
                <w:sz w:val="21"/>
              </w:rPr>
              <w:t>二、</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rPr>
                <w:sz w:val="21"/>
              </w:rPr>
              <w:t>基金净资产</w:t>
            </w:r>
          </w:p>
        </w:tc>
        <w:tc>
          <w:tcPr>
            <w:tcW w:w="3118" w:type="dxa"/>
            <w:tcBorders>
              <w:top w:val="single" w:sz="4" w:space="0" w:color="000000"/>
              <w:left w:val="single" w:sz="4" w:space="0" w:color="000000"/>
              <w:bottom w:val="single" w:sz="4" w:space="0" w:color="000000"/>
              <w:right w:val="single" w:sz="4" w:space="0" w:color="000000"/>
            </w:tcBorders>
          </w:tcPr>
          <w:p w:rsidR="00867D3F" w:rsidRPr="00E22640" w:rsidRDefault="00867D3F" w:rsidP="009A02F5">
            <w:pPr>
              <w:spacing w:after="0" w:line="240" w:lineRule="auto"/>
              <w:ind w:left="0" w:firstLine="0"/>
              <w:jc w:val="right"/>
              <w:rPr>
                <w:rFonts w:ascii="等线" w:eastAsia="等线" w:hAnsi="等线"/>
                <w:sz w:val="22"/>
              </w:rPr>
            </w:pPr>
            <w:r>
              <w:rPr>
                <w:rFonts w:ascii="等线" w:eastAsia="等线" w:hAnsi="等线" w:hint="eastAsia"/>
                <w:sz w:val="22"/>
              </w:rPr>
              <w:t>5</w:t>
            </w:r>
            <w:r>
              <w:rPr>
                <w:rFonts w:hint="eastAsia"/>
                <w:sz w:val="22"/>
              </w:rPr>
              <w:t>,</w:t>
            </w:r>
            <w:r>
              <w:rPr>
                <w:rFonts w:ascii="等线" w:eastAsia="等线" w:hAnsi="等线" w:hint="eastAsia"/>
                <w:sz w:val="22"/>
              </w:rPr>
              <w:t>244</w:t>
            </w:r>
            <w:r>
              <w:rPr>
                <w:rFonts w:hint="eastAsia"/>
                <w:sz w:val="22"/>
              </w:rPr>
              <w:t>,</w:t>
            </w:r>
            <w:r>
              <w:rPr>
                <w:rFonts w:ascii="等线" w:eastAsia="等线" w:hAnsi="等线" w:hint="eastAsia"/>
                <w:sz w:val="22"/>
              </w:rPr>
              <w:t>950.05</w:t>
            </w:r>
          </w:p>
        </w:tc>
      </w:tr>
    </w:tbl>
    <w:p w:rsidR="00867D3F" w:rsidRDefault="00867D3F" w:rsidP="00867D3F">
      <w:pPr>
        <w:spacing w:after="30" w:line="391" w:lineRule="auto"/>
        <w:ind w:left="574" w:firstLine="480"/>
      </w:pPr>
    </w:p>
    <w:p w:rsidR="00867D3F" w:rsidRDefault="00867D3F" w:rsidP="00867D3F">
      <w:pPr>
        <w:spacing w:after="30" w:line="391" w:lineRule="auto"/>
        <w:ind w:left="574" w:firstLine="480"/>
        <w:rPr>
          <w:rFonts w:ascii="Times New Roman" w:eastAsia="Times New Roman" w:hAnsi="Times New Roman" w:cs="Times New Roman"/>
        </w:rPr>
      </w:pPr>
      <w:r>
        <w:t>截至本次清算期结束日</w:t>
      </w:r>
      <w:r w:rsidRPr="00DC6D69">
        <w:rPr>
          <w:rFonts w:hint="eastAsia"/>
          <w:color w:val="auto"/>
        </w:rPr>
        <w:t>2018</w:t>
      </w:r>
      <w:r w:rsidRPr="00DC6D69">
        <w:rPr>
          <w:color w:val="auto"/>
        </w:rPr>
        <w:t>年</w:t>
      </w:r>
      <w:r w:rsidRPr="00DC6D69">
        <w:rPr>
          <w:rFonts w:hint="eastAsia"/>
          <w:color w:val="auto"/>
        </w:rPr>
        <w:t>7</w:t>
      </w:r>
      <w:r w:rsidRPr="00DC6D69">
        <w:rPr>
          <w:color w:val="auto"/>
        </w:rPr>
        <w:t>月</w:t>
      </w:r>
      <w:r w:rsidRPr="00DC6D69">
        <w:rPr>
          <w:rFonts w:hint="eastAsia"/>
          <w:color w:val="auto"/>
        </w:rPr>
        <w:t>20</w:t>
      </w:r>
      <w:r w:rsidRPr="00DC6D69">
        <w:rPr>
          <w:color w:val="auto"/>
        </w:rPr>
        <w:t>日</w:t>
      </w:r>
      <w:r>
        <w:t>，本基金剩余财产为人民币</w:t>
      </w:r>
      <w:r>
        <w:rPr>
          <w:rFonts w:ascii="等线" w:eastAsia="等线" w:hAnsi="等线" w:hint="eastAsia"/>
          <w:sz w:val="22"/>
        </w:rPr>
        <w:t>5</w:t>
      </w:r>
      <w:r>
        <w:rPr>
          <w:rFonts w:hint="eastAsia"/>
          <w:sz w:val="22"/>
        </w:rPr>
        <w:t>,</w:t>
      </w:r>
      <w:r>
        <w:rPr>
          <w:rFonts w:ascii="等线" w:eastAsia="等线" w:hAnsi="等线" w:hint="eastAsia"/>
          <w:sz w:val="22"/>
        </w:rPr>
        <w:t>244</w:t>
      </w:r>
      <w:r>
        <w:rPr>
          <w:rFonts w:hint="eastAsia"/>
          <w:sz w:val="22"/>
        </w:rPr>
        <w:t>,</w:t>
      </w:r>
      <w:r>
        <w:rPr>
          <w:rFonts w:ascii="等线" w:eastAsia="等线" w:hAnsi="等线" w:hint="eastAsia"/>
          <w:sz w:val="22"/>
        </w:rPr>
        <w:t>950.05</w:t>
      </w:r>
      <w:r>
        <w:t>元。自本次清算期结束日次日</w:t>
      </w:r>
      <w:r w:rsidRPr="005A0295">
        <w:rPr>
          <w:rFonts w:hint="eastAsia"/>
          <w:color w:val="auto"/>
        </w:rPr>
        <w:t>2018</w:t>
      </w:r>
      <w:r w:rsidRPr="005A0295">
        <w:rPr>
          <w:color w:val="auto"/>
        </w:rPr>
        <w:t>年</w:t>
      </w:r>
      <w:r w:rsidRPr="005A0295">
        <w:rPr>
          <w:rFonts w:hint="eastAsia"/>
          <w:color w:val="auto"/>
        </w:rPr>
        <w:t>7</w:t>
      </w:r>
      <w:r w:rsidRPr="005A0295">
        <w:rPr>
          <w:color w:val="auto"/>
        </w:rPr>
        <w:t>月</w:t>
      </w:r>
      <w:r w:rsidRPr="005A0295">
        <w:rPr>
          <w:rFonts w:hint="eastAsia"/>
          <w:color w:val="auto"/>
        </w:rPr>
        <w:t>21</w:t>
      </w:r>
      <w:r w:rsidRPr="005A0295">
        <w:rPr>
          <w:color w:val="auto"/>
        </w:rPr>
        <w:t>日</w:t>
      </w:r>
      <w:r>
        <w:t>至本次清算款划出前一日的银行存款产生的利息（包括基金管理人垫付资金本金产生的利息）亦归基金份额持有人所有。</w:t>
      </w:r>
    </w:p>
    <w:p w:rsidR="00867D3F" w:rsidRDefault="00867D3F" w:rsidP="00867D3F">
      <w:pPr>
        <w:spacing w:after="30" w:line="391" w:lineRule="auto"/>
        <w:ind w:left="574" w:firstLine="480"/>
      </w:pPr>
      <w:r w:rsidRPr="002375C6">
        <w:rPr>
          <w:rFonts w:hint="eastAsia"/>
        </w:rPr>
        <w:t>本基金所有剩余财产将按基金份额持有人持有的基金份额比例进行分配。</w:t>
      </w:r>
    </w:p>
    <w:p w:rsidR="00867D3F" w:rsidRDefault="00867D3F" w:rsidP="00867D3F">
      <w:pPr>
        <w:spacing w:after="30" w:line="391" w:lineRule="auto"/>
        <w:ind w:left="574" w:firstLine="480"/>
      </w:pPr>
    </w:p>
    <w:p w:rsidR="00867D3F" w:rsidRDefault="00867D3F" w:rsidP="00867D3F">
      <w:pPr>
        <w:spacing w:after="170"/>
        <w:ind w:firstLine="0"/>
      </w:pPr>
      <w:r>
        <w:t>（六）基金清算报告的告知及剩余财产分配安排</w:t>
      </w:r>
    </w:p>
    <w:p w:rsidR="00867D3F" w:rsidRDefault="00867D3F" w:rsidP="00867D3F">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867D3F" w:rsidRDefault="00867D3F" w:rsidP="00867D3F">
      <w:pPr>
        <w:pStyle w:val="1"/>
        <w:ind w:left="10" w:right="62"/>
      </w:pPr>
      <w:bookmarkStart w:id="6" w:name="_Toc12460"/>
      <w:r>
        <w:t>五、备查文件</w:t>
      </w:r>
      <w:bookmarkEnd w:id="6"/>
    </w:p>
    <w:p w:rsidR="00867D3F" w:rsidRDefault="00867D3F" w:rsidP="00867D3F">
      <w:pPr>
        <w:spacing w:after="201"/>
        <w:ind w:left="1064"/>
      </w:pPr>
      <w:r>
        <w:t>（一）备查文件目录</w:t>
      </w:r>
    </w:p>
    <w:p w:rsidR="00867D3F" w:rsidRDefault="00867D3F" w:rsidP="00867D3F">
      <w:pPr>
        <w:numPr>
          <w:ilvl w:val="0"/>
          <w:numId w:val="5"/>
        </w:numPr>
        <w:spacing w:after="204"/>
        <w:ind w:hanging="240"/>
      </w:pPr>
      <w:r>
        <w:rPr>
          <w:rFonts w:hint="eastAsia"/>
        </w:rPr>
        <w:t>泰达宏利启明</w:t>
      </w:r>
      <w:r w:rsidRPr="002558CA">
        <w:rPr>
          <w:rFonts w:hint="eastAsia"/>
        </w:rPr>
        <w:t>灵活配置</w:t>
      </w:r>
      <w:r w:rsidRPr="002558CA">
        <w:t>混合型</w:t>
      </w:r>
      <w:r>
        <w:t>证券投资基金清算审计报告</w:t>
      </w:r>
    </w:p>
    <w:p w:rsidR="00867D3F" w:rsidRDefault="00867D3F" w:rsidP="00867D3F">
      <w:pPr>
        <w:numPr>
          <w:ilvl w:val="0"/>
          <w:numId w:val="5"/>
        </w:numPr>
        <w:spacing w:after="202"/>
        <w:ind w:hanging="240"/>
      </w:pPr>
      <w:r>
        <w:t>《关于</w:t>
      </w:r>
      <w:r>
        <w:rPr>
          <w:rFonts w:hint="eastAsia"/>
        </w:rPr>
        <w:t>&lt;泰达宏利启明</w:t>
      </w:r>
      <w:r w:rsidRPr="002558CA">
        <w:rPr>
          <w:rFonts w:hint="eastAsia"/>
        </w:rPr>
        <w:t>灵活配置</w:t>
      </w:r>
      <w:r w:rsidRPr="002558CA">
        <w:t>混合型</w:t>
      </w:r>
      <w:r>
        <w:t>证券投资基金清算</w:t>
      </w:r>
      <w:r>
        <w:rPr>
          <w:rFonts w:hint="eastAsia"/>
        </w:rPr>
        <w:t>报告&gt;</w:t>
      </w:r>
      <w:r>
        <w:t>的法律意见》</w:t>
      </w:r>
    </w:p>
    <w:p w:rsidR="00867D3F" w:rsidRDefault="00867D3F" w:rsidP="00867D3F">
      <w:pPr>
        <w:numPr>
          <w:ilvl w:val="0"/>
          <w:numId w:val="6"/>
        </w:numPr>
        <w:spacing w:line="416" w:lineRule="auto"/>
        <w:ind w:right="760" w:hanging="720"/>
      </w:pPr>
      <w:r>
        <w:t>存放地点备查文件存放于基金管理人、基金托管人处。</w:t>
      </w:r>
    </w:p>
    <w:p w:rsidR="00867D3F" w:rsidRDefault="00867D3F" w:rsidP="00867D3F">
      <w:pPr>
        <w:numPr>
          <w:ilvl w:val="0"/>
          <w:numId w:val="6"/>
        </w:numPr>
        <w:spacing w:after="204"/>
        <w:ind w:right="760" w:hanging="720"/>
      </w:pPr>
      <w:r>
        <w:t>查阅方式</w:t>
      </w:r>
    </w:p>
    <w:p w:rsidR="00867D3F" w:rsidRDefault="00867D3F" w:rsidP="00867D3F">
      <w:pPr>
        <w:spacing w:after="146"/>
        <w:ind w:left="1064"/>
        <w:rPr>
          <w:rFonts w:ascii="Times New Roman" w:eastAsia="Times New Roman" w:hAnsi="Times New Roman" w:cs="Times New Roman"/>
        </w:rPr>
      </w:pPr>
      <w:r>
        <w:t>投资者可在营业时间免费查阅备查文件。</w:t>
      </w:r>
    </w:p>
    <w:p w:rsidR="00867D3F" w:rsidRDefault="00867D3F" w:rsidP="00867D3F">
      <w:pPr>
        <w:spacing w:after="115"/>
        <w:ind w:left="0" w:firstLine="0"/>
        <w:jc w:val="right"/>
        <w:rPr>
          <w:rFonts w:ascii="Times New Roman" w:eastAsia="Times New Roman" w:hAnsi="Times New Roman" w:cs="Times New Roman"/>
        </w:rPr>
      </w:pPr>
    </w:p>
    <w:p w:rsidR="00867D3F" w:rsidRDefault="00867D3F" w:rsidP="00867D3F">
      <w:pPr>
        <w:spacing w:after="115"/>
        <w:ind w:left="0" w:firstLine="0"/>
        <w:jc w:val="right"/>
      </w:pPr>
    </w:p>
    <w:p w:rsidR="00867D3F" w:rsidRDefault="00867D3F" w:rsidP="00867D3F">
      <w:pPr>
        <w:spacing w:line="378" w:lineRule="auto"/>
        <w:ind w:left="2343" w:right="-15"/>
        <w:jc w:val="right"/>
      </w:pPr>
      <w:r>
        <w:rPr>
          <w:rFonts w:hint="eastAsia"/>
        </w:rPr>
        <w:t>泰达宏利启明</w:t>
      </w:r>
      <w:r w:rsidRPr="002558CA">
        <w:rPr>
          <w:rFonts w:hint="eastAsia"/>
        </w:rPr>
        <w:t>灵活配置</w:t>
      </w:r>
      <w:r w:rsidRPr="002558CA">
        <w:t>混合型</w:t>
      </w:r>
      <w:r>
        <w:t>证券投资基金基金财产清算组</w:t>
      </w:r>
    </w:p>
    <w:p w:rsidR="00867D3F" w:rsidRDefault="00867D3F" w:rsidP="00867D3F">
      <w:pPr>
        <w:spacing w:line="378" w:lineRule="auto"/>
        <w:ind w:left="2343" w:right="-15"/>
        <w:jc w:val="right"/>
      </w:pPr>
      <w:r w:rsidRPr="007E13C0">
        <w:rPr>
          <w:color w:val="auto"/>
        </w:rPr>
        <w:t>2018年</w:t>
      </w:r>
      <w:r w:rsidRPr="007E13C0">
        <w:rPr>
          <w:rFonts w:hint="eastAsia"/>
          <w:color w:val="auto"/>
        </w:rPr>
        <w:t>7</w:t>
      </w:r>
      <w:r w:rsidRPr="007E13C0">
        <w:rPr>
          <w:color w:val="auto"/>
        </w:rPr>
        <w:t>月</w:t>
      </w:r>
      <w:r w:rsidRPr="007E13C0">
        <w:rPr>
          <w:rFonts w:hint="eastAsia"/>
          <w:color w:val="auto"/>
        </w:rPr>
        <w:t>20</w:t>
      </w:r>
      <w:r w:rsidRPr="007E13C0">
        <w:rPr>
          <w:color w:val="auto"/>
        </w:rPr>
        <w:t>日</w:t>
      </w:r>
    </w:p>
    <w:p w:rsidR="00867D3F" w:rsidRPr="00F76B40" w:rsidRDefault="00867D3F" w:rsidP="00867D3F">
      <w:pPr>
        <w:ind w:left="0" w:firstLine="0"/>
      </w:pPr>
    </w:p>
    <w:p w:rsidR="00B14629" w:rsidRDefault="00B14629"/>
    <w:sectPr w:rsidR="00B14629"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A6" w:rsidRDefault="00992CA6" w:rsidP="00867D3F">
      <w:pPr>
        <w:spacing w:after="0" w:line="240" w:lineRule="auto"/>
      </w:pPr>
      <w:r>
        <w:separator/>
      </w:r>
    </w:p>
  </w:endnote>
  <w:endnote w:type="continuationSeparator" w:id="1">
    <w:p w:rsidR="00992CA6" w:rsidRDefault="00992CA6" w:rsidP="0086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2C1EAC">
    <w:pPr>
      <w:spacing w:after="0"/>
      <w:ind w:left="0" w:right="61" w:firstLine="0"/>
      <w:jc w:val="center"/>
    </w:pPr>
    <w:r w:rsidRPr="002C1EAC">
      <w:fldChar w:fldCharType="begin"/>
    </w:r>
    <w:r w:rsidR="00677E9E">
      <w:instrText xml:space="preserve"> PAGE   \* MERGEFORMAT </w:instrText>
    </w:r>
    <w:r w:rsidRPr="002C1EAC">
      <w:fldChar w:fldCharType="separate"/>
    </w:r>
    <w:r w:rsidR="00677E9E">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483808">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2C1EAC">
    <w:pPr>
      <w:spacing w:after="0"/>
      <w:ind w:left="0" w:right="61" w:firstLine="0"/>
      <w:jc w:val="center"/>
    </w:pPr>
    <w:r w:rsidRPr="002C1EAC">
      <w:fldChar w:fldCharType="begin"/>
    </w:r>
    <w:r w:rsidR="00677E9E">
      <w:instrText xml:space="preserve"> PAGE   \* MERGEFORMAT </w:instrText>
    </w:r>
    <w:r w:rsidRPr="002C1EAC">
      <w:fldChar w:fldCharType="separate"/>
    </w:r>
    <w:r w:rsidR="00483808" w:rsidRPr="00483808">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483808">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483808">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A6" w:rsidRDefault="00992CA6" w:rsidP="00867D3F">
      <w:pPr>
        <w:spacing w:after="0" w:line="240" w:lineRule="auto"/>
      </w:pPr>
      <w:r>
        <w:separator/>
      </w:r>
    </w:p>
  </w:footnote>
  <w:footnote w:type="continuationSeparator" w:id="1">
    <w:p w:rsidR="00992CA6" w:rsidRDefault="00992CA6" w:rsidP="00867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2C1EAC">
    <w:pPr>
      <w:spacing w:after="0"/>
      <w:ind w:left="0" w:right="60" w:firstLine="0"/>
      <w:jc w:val="right"/>
    </w:pPr>
    <w:r>
      <w:rPr>
        <w:noProof/>
      </w:rPr>
      <w:pict>
        <v:group id="Group 12084" o:spid="_x0000_s2051"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2052"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677E9E">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2C1EAC">
    <w:pPr>
      <w:spacing w:after="0"/>
      <w:ind w:left="0" w:right="60" w:firstLine="0"/>
      <w:jc w:val="right"/>
    </w:pPr>
    <w:r>
      <w:rPr>
        <w:noProof/>
      </w:rPr>
      <w:pict>
        <v:group id="Group 12065" o:spid="_x0000_s2049" style="position:absolute;left:0;text-align:left;margin-left:69.5pt;margin-top:55.2pt;width:455.5pt;height:.5pt;z-index:251660288;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205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677E9E">
      <w:rPr>
        <w:rFonts w:hint="eastAsia"/>
        <w:sz w:val="18"/>
      </w:rPr>
      <w:t>泰达宏利启明</w:t>
    </w:r>
    <w:r w:rsidR="00677E9E" w:rsidRPr="00803EAA">
      <w:rPr>
        <w:rFonts w:hint="eastAsia"/>
        <w:sz w:val="18"/>
      </w:rPr>
      <w:t>灵活配置</w:t>
    </w:r>
    <w:r w:rsidR="00677E9E" w:rsidRPr="00803EAA">
      <w:rPr>
        <w:sz w:val="18"/>
      </w:rPr>
      <w:t>混合型</w:t>
    </w:r>
    <w:r w:rsidR="00677E9E">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483808">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770"/>
    <w:rsid w:val="002C1EAC"/>
    <w:rsid w:val="00483808"/>
    <w:rsid w:val="00542268"/>
    <w:rsid w:val="00677E9E"/>
    <w:rsid w:val="00867D3F"/>
    <w:rsid w:val="00992CA6"/>
    <w:rsid w:val="00B14629"/>
    <w:rsid w:val="00C77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3F"/>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867D3F"/>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867D3F"/>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D3F"/>
    <w:rPr>
      <w:sz w:val="18"/>
      <w:szCs w:val="18"/>
    </w:rPr>
  </w:style>
  <w:style w:type="paragraph" w:styleId="a4">
    <w:name w:val="footer"/>
    <w:basedOn w:val="a"/>
    <w:link w:val="Char0"/>
    <w:uiPriority w:val="99"/>
    <w:unhideWhenUsed/>
    <w:rsid w:val="00867D3F"/>
    <w:pPr>
      <w:tabs>
        <w:tab w:val="center" w:pos="4153"/>
        <w:tab w:val="right" w:pos="8306"/>
      </w:tabs>
      <w:snapToGrid w:val="0"/>
    </w:pPr>
    <w:rPr>
      <w:sz w:val="18"/>
      <w:szCs w:val="18"/>
    </w:rPr>
  </w:style>
  <w:style w:type="character" w:customStyle="1" w:styleId="Char0">
    <w:name w:val="页脚 Char"/>
    <w:basedOn w:val="a0"/>
    <w:link w:val="a4"/>
    <w:uiPriority w:val="99"/>
    <w:rsid w:val="00867D3F"/>
    <w:rPr>
      <w:sz w:val="18"/>
      <w:szCs w:val="18"/>
    </w:rPr>
  </w:style>
  <w:style w:type="character" w:customStyle="1" w:styleId="1Char">
    <w:name w:val="标题 1 Char"/>
    <w:basedOn w:val="a0"/>
    <w:link w:val="1"/>
    <w:uiPriority w:val="9"/>
    <w:rsid w:val="00867D3F"/>
    <w:rPr>
      <w:rFonts w:ascii="宋体" w:eastAsia="宋体" w:hAnsi="宋体" w:cs="宋体"/>
      <w:color w:val="000000"/>
      <w:sz w:val="28"/>
    </w:rPr>
  </w:style>
  <w:style w:type="character" w:customStyle="1" w:styleId="2Char">
    <w:name w:val="标题 2 Char"/>
    <w:basedOn w:val="a0"/>
    <w:link w:val="2"/>
    <w:uiPriority w:val="9"/>
    <w:rsid w:val="00867D3F"/>
    <w:rPr>
      <w:rFonts w:ascii="宋体" w:eastAsia="宋体" w:hAnsi="宋体" w:cs="宋体"/>
      <w:color w:val="000000"/>
      <w:sz w:val="28"/>
    </w:rPr>
  </w:style>
  <w:style w:type="paragraph" w:styleId="10">
    <w:name w:val="toc 1"/>
    <w:hidden/>
    <w:rsid w:val="00867D3F"/>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867D3F"/>
    <w:tblPr>
      <w:tblCellMar>
        <w:top w:w="0" w:type="dxa"/>
        <w:left w:w="0" w:type="dxa"/>
        <w:bottom w:w="0" w:type="dxa"/>
        <w:right w:w="0" w:type="dxa"/>
      </w:tblCellMar>
    </w:tblPr>
  </w:style>
  <w:style w:type="paragraph" w:styleId="a5">
    <w:name w:val="Normal (Web)"/>
    <w:basedOn w:val="a"/>
    <w:rsid w:val="00867D3F"/>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table" w:styleId="a6">
    <w:name w:val="Table Grid"/>
    <w:basedOn w:val="a1"/>
    <w:uiPriority w:val="39"/>
    <w:rsid w:val="0086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7D3F"/>
    <w:pPr>
      <w:spacing w:after="0" w:line="240" w:lineRule="auto"/>
    </w:pPr>
    <w:rPr>
      <w:sz w:val="18"/>
      <w:szCs w:val="18"/>
    </w:rPr>
  </w:style>
  <w:style w:type="character" w:customStyle="1" w:styleId="Char1">
    <w:name w:val="批注框文本 Char"/>
    <w:basedOn w:val="a0"/>
    <w:link w:val="a7"/>
    <w:uiPriority w:val="99"/>
    <w:semiHidden/>
    <w:rsid w:val="00867D3F"/>
    <w:rPr>
      <w:rFonts w:ascii="宋体" w:eastAsia="宋体" w:hAnsi="宋体" w:cs="宋体"/>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3994</Characters>
  <Application>Microsoft Office Word</Application>
  <DocSecurity>4</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杜坤</dc:creator>
  <cp:keywords/>
  <dc:description/>
  <cp:lastModifiedBy>ZHONGM</cp:lastModifiedBy>
  <cp:revision>2</cp:revision>
  <dcterms:created xsi:type="dcterms:W3CDTF">2018-08-24T16:34:00Z</dcterms:created>
  <dcterms:modified xsi:type="dcterms:W3CDTF">2018-08-24T16:34:00Z</dcterms:modified>
</cp:coreProperties>
</file>