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 w:val="44"/>
          <w:szCs w:val="44"/>
        </w:rPr>
      </w:pPr>
    </w:p>
    <w:p w:rsidR="001548F9" w:rsidRPr="00646A7D" w:rsidRDefault="001548F9" w:rsidP="005E17AD">
      <w:pPr>
        <w:spacing w:line="360" w:lineRule="auto"/>
        <w:jc w:val="center"/>
        <w:rPr>
          <w:rFonts w:eastAsiaTheme="minorEastAsia"/>
          <w:b/>
          <w:sz w:val="36"/>
          <w:szCs w:val="36"/>
        </w:rPr>
      </w:pPr>
      <w:r w:rsidRPr="00646A7D">
        <w:rPr>
          <w:rFonts w:eastAsiaTheme="minorEastAsia"/>
          <w:b/>
          <w:sz w:val="36"/>
          <w:szCs w:val="36"/>
        </w:rPr>
        <w:t>国联安睿智定期开放混合型证券投资基金</w:t>
      </w:r>
    </w:p>
    <w:p w:rsidR="001548F9" w:rsidRPr="00646A7D" w:rsidRDefault="001548F9" w:rsidP="005E17AD">
      <w:pPr>
        <w:spacing w:line="360" w:lineRule="auto"/>
        <w:jc w:val="center"/>
        <w:rPr>
          <w:rFonts w:eastAsiaTheme="minorEastAsia"/>
          <w:b/>
          <w:sz w:val="36"/>
          <w:szCs w:val="36"/>
        </w:rPr>
      </w:pPr>
      <w:r w:rsidRPr="00646A7D">
        <w:rPr>
          <w:rFonts w:eastAsiaTheme="minorEastAsia"/>
          <w:b/>
          <w:sz w:val="36"/>
          <w:szCs w:val="36"/>
        </w:rPr>
        <w:t>2018</w:t>
      </w:r>
      <w:r w:rsidRPr="00646A7D">
        <w:rPr>
          <w:rFonts w:eastAsiaTheme="minorEastAsia"/>
          <w:b/>
          <w:sz w:val="36"/>
          <w:szCs w:val="36"/>
        </w:rPr>
        <w:t>年半年度报告</w:t>
      </w:r>
      <w:r w:rsidR="00772876" w:rsidRPr="00646A7D">
        <w:rPr>
          <w:rFonts w:eastAsiaTheme="minorEastAsia"/>
          <w:b/>
          <w:sz w:val="36"/>
          <w:szCs w:val="36"/>
        </w:rPr>
        <w:t>摘要</w:t>
      </w:r>
    </w:p>
    <w:p w:rsidR="001548F9" w:rsidRPr="00646A7D" w:rsidRDefault="001548F9" w:rsidP="005E17AD">
      <w:pPr>
        <w:spacing w:line="360" w:lineRule="auto"/>
        <w:jc w:val="center"/>
        <w:rPr>
          <w:rFonts w:eastAsiaTheme="minorEastAsia"/>
          <w:b/>
          <w:sz w:val="28"/>
          <w:szCs w:val="28"/>
        </w:rPr>
      </w:pPr>
      <w:r w:rsidRPr="00646A7D">
        <w:rPr>
          <w:rFonts w:eastAsiaTheme="minorEastAsia"/>
          <w:b/>
          <w:sz w:val="36"/>
          <w:szCs w:val="36"/>
        </w:rPr>
        <w:t>2018</w:t>
      </w:r>
      <w:r w:rsidRPr="00646A7D">
        <w:rPr>
          <w:rFonts w:eastAsiaTheme="minorEastAsia"/>
          <w:b/>
          <w:sz w:val="36"/>
          <w:szCs w:val="36"/>
        </w:rPr>
        <w:t>年</w:t>
      </w:r>
      <w:r w:rsidRPr="00646A7D">
        <w:rPr>
          <w:rFonts w:eastAsiaTheme="minorEastAsia"/>
          <w:b/>
          <w:sz w:val="36"/>
          <w:szCs w:val="36"/>
        </w:rPr>
        <w:t>6</w:t>
      </w:r>
      <w:r w:rsidRPr="00646A7D">
        <w:rPr>
          <w:rFonts w:eastAsiaTheme="minorEastAsia"/>
          <w:b/>
          <w:sz w:val="36"/>
          <w:szCs w:val="36"/>
        </w:rPr>
        <w:t>月</w:t>
      </w:r>
      <w:r w:rsidRPr="00646A7D">
        <w:rPr>
          <w:rFonts w:eastAsiaTheme="minorEastAsia"/>
          <w:b/>
          <w:sz w:val="36"/>
          <w:szCs w:val="36"/>
        </w:rPr>
        <w:t>30</w:t>
      </w:r>
      <w:r w:rsidRPr="00646A7D">
        <w:rPr>
          <w:rFonts w:eastAsiaTheme="minorEastAsia"/>
          <w:b/>
          <w:sz w:val="36"/>
          <w:szCs w:val="36"/>
        </w:rPr>
        <w:t>日</w:t>
      </w: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rPr>
          <w:rFonts w:eastAsiaTheme="minorEastAsia"/>
          <w:color w:val="000000"/>
          <w:szCs w:val="21"/>
        </w:rPr>
      </w:pP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基金管理人：国联安基金管理有限公司</w:t>
      </w: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基金托管人：平安银行股份有限公司</w:t>
      </w: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报告送出日期：二〇一八年八月二十四日</w:t>
      </w:r>
    </w:p>
    <w:p w:rsidR="001548F9" w:rsidRPr="00646A7D" w:rsidRDefault="001548F9" w:rsidP="005E17AD">
      <w:pPr>
        <w:spacing w:line="288" w:lineRule="auto"/>
        <w:ind w:firstLineChars="900" w:firstLine="1897"/>
        <w:rPr>
          <w:rFonts w:eastAsiaTheme="minorEastAsia"/>
          <w:b/>
          <w:color w:val="000000"/>
          <w:szCs w:val="21"/>
        </w:rPr>
        <w:sectPr w:rsidR="001548F9" w:rsidRPr="00646A7D">
          <w:headerReference w:type="default" r:id="rId8"/>
          <w:pgSz w:w="11926" w:h="15840"/>
          <w:pgMar w:top="1418" w:right="1418" w:bottom="851" w:left="1418" w:header="851" w:footer="992" w:gutter="0"/>
          <w:cols w:space="720"/>
        </w:sectPr>
      </w:pPr>
    </w:p>
    <w:p w:rsidR="001548F9" w:rsidRPr="00646A7D" w:rsidRDefault="001548F9" w:rsidP="00BA6974">
      <w:pPr>
        <w:pStyle w:val="1"/>
        <w:keepNext/>
        <w:keepLines/>
        <w:widowControl w:val="0"/>
        <w:spacing w:beforeLines="100" w:afterLines="100" w:line="360" w:lineRule="auto"/>
        <w:jc w:val="center"/>
        <w:rPr>
          <w:rFonts w:eastAsiaTheme="minorEastAsia"/>
          <w:b/>
          <w:bCs/>
          <w:sz w:val="21"/>
          <w:szCs w:val="21"/>
          <w:lang w:val="en-US"/>
        </w:rPr>
      </w:pPr>
      <w:bookmarkStart w:id="0" w:name="_Toc331410066"/>
      <w:bookmarkStart w:id="1" w:name="_Toc225498243"/>
      <w:r w:rsidRPr="00646A7D">
        <w:rPr>
          <w:rFonts w:eastAsiaTheme="minorEastAsia"/>
          <w:b/>
          <w:bCs/>
          <w:sz w:val="21"/>
          <w:szCs w:val="21"/>
          <w:lang w:val="en-US"/>
        </w:rPr>
        <w:lastRenderedPageBreak/>
        <w:t xml:space="preserve">1  </w:t>
      </w:r>
      <w:r w:rsidRPr="00646A7D">
        <w:rPr>
          <w:rFonts w:eastAsiaTheme="minorEastAsia"/>
          <w:b/>
          <w:bCs/>
          <w:sz w:val="21"/>
          <w:szCs w:val="21"/>
          <w:lang w:val="en-US"/>
        </w:rPr>
        <w:t>重要提示</w:t>
      </w:r>
      <w:bookmarkEnd w:id="0"/>
      <w:bookmarkEnd w:id="1"/>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基金托管人</w:t>
      </w:r>
      <w:r w:rsidRPr="00646A7D">
        <w:rPr>
          <w:rFonts w:eastAsiaTheme="minorEastAsia"/>
          <w:szCs w:val="21"/>
        </w:rPr>
        <w:t>平安银行股份有限公司</w:t>
      </w:r>
      <w:r w:rsidRPr="00646A7D">
        <w:rPr>
          <w:rFonts w:eastAsiaTheme="minorEastAsia"/>
          <w:color w:val="000000"/>
          <w:szCs w:val="21"/>
        </w:rPr>
        <w:t>根据本基金合同规定，于</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8</w:t>
      </w:r>
      <w:r w:rsidRPr="00646A7D">
        <w:rPr>
          <w:rFonts w:eastAsiaTheme="minorEastAsia"/>
          <w:color w:val="000000"/>
          <w:szCs w:val="21"/>
        </w:rPr>
        <w:t>月</w:t>
      </w:r>
      <w:r w:rsidRPr="00646A7D">
        <w:rPr>
          <w:rFonts w:eastAsiaTheme="minorEastAsia"/>
          <w:color w:val="000000"/>
          <w:szCs w:val="21"/>
        </w:rPr>
        <w:t>23</w:t>
      </w:r>
      <w:r w:rsidRPr="00646A7D">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基金管理人承诺以诚实信用、勤勉尽责的原则管理和运用基金资产，但不保证基金一定盈利。</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基金的过往业绩并不代表其未来表现。投资有风险，投资者在作出投资决策前应仔细阅读本基金的招募说明书及其更新。</w:t>
      </w:r>
    </w:p>
    <w:p w:rsidR="00A37EED" w:rsidRPr="00646A7D" w:rsidRDefault="00A37EED" w:rsidP="00A37EED">
      <w:pPr>
        <w:ind w:firstLineChars="200" w:firstLine="420"/>
        <w:rPr>
          <w:rFonts w:eastAsiaTheme="minorEastAsia"/>
          <w:color w:val="000000"/>
          <w:szCs w:val="21"/>
        </w:rPr>
      </w:pPr>
      <w:r w:rsidRPr="00646A7D">
        <w:rPr>
          <w:rFonts w:eastAsiaTheme="minorEastAsia"/>
          <w:color w:val="000000"/>
          <w:szCs w:val="21"/>
        </w:rPr>
        <w:t>本半年度报告摘要摘自半年度报告正文，投资者欲了解详细内容，应阅读半年度报告正文。</w:t>
      </w:r>
    </w:p>
    <w:p w:rsidR="00867117"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本报告中财务资料未经审计。</w:t>
      </w:r>
    </w:p>
    <w:p w:rsidR="00C06734" w:rsidRPr="00C06734" w:rsidRDefault="00C06734" w:rsidP="00C06734">
      <w:pPr>
        <w:spacing w:line="360" w:lineRule="auto"/>
        <w:ind w:firstLineChars="200" w:firstLine="420"/>
        <w:rPr>
          <w:rFonts w:eastAsiaTheme="minorEastAsia"/>
          <w:color w:val="000000"/>
          <w:szCs w:val="21"/>
        </w:rPr>
      </w:pPr>
      <w:r w:rsidRPr="00C06734">
        <w:rPr>
          <w:rFonts w:eastAsiaTheme="minorEastAsia" w:hint="eastAsia"/>
          <w:color w:val="000000"/>
          <w:szCs w:val="21"/>
        </w:rPr>
        <w:t>根据《关于国联安睿智定期开放混合型证券投资基金基金合同终止及基金财产清算的公告》，</w:t>
      </w:r>
      <w:r w:rsidR="004D1B15">
        <w:rPr>
          <w:rFonts w:eastAsiaTheme="minorEastAsia" w:hint="eastAsia"/>
          <w:color w:val="000000"/>
          <w:szCs w:val="21"/>
        </w:rPr>
        <w:t>本</w:t>
      </w:r>
      <w:r w:rsidRPr="00C06734">
        <w:rPr>
          <w:rFonts w:eastAsiaTheme="minorEastAsia" w:hint="eastAsia"/>
          <w:color w:val="000000"/>
          <w:szCs w:val="21"/>
        </w:rPr>
        <w:t>基金于</w:t>
      </w:r>
      <w:r w:rsidRPr="00C06734">
        <w:rPr>
          <w:rFonts w:eastAsiaTheme="minorEastAsia" w:hint="eastAsia"/>
          <w:color w:val="000000"/>
          <w:szCs w:val="21"/>
        </w:rPr>
        <w:t>2018</w:t>
      </w:r>
      <w:r w:rsidRPr="00C06734">
        <w:rPr>
          <w:rFonts w:eastAsiaTheme="minorEastAsia" w:hint="eastAsia"/>
          <w:color w:val="000000"/>
          <w:szCs w:val="21"/>
        </w:rPr>
        <w:t>年</w:t>
      </w:r>
      <w:r w:rsidRPr="00C06734">
        <w:rPr>
          <w:rFonts w:eastAsiaTheme="minorEastAsia" w:hint="eastAsia"/>
          <w:color w:val="000000"/>
          <w:szCs w:val="21"/>
        </w:rPr>
        <w:t>7</w:t>
      </w:r>
      <w:r w:rsidRPr="00C06734">
        <w:rPr>
          <w:rFonts w:eastAsiaTheme="minorEastAsia" w:hint="eastAsia"/>
          <w:color w:val="000000"/>
          <w:szCs w:val="21"/>
        </w:rPr>
        <w:t>月</w:t>
      </w:r>
      <w:r w:rsidRPr="00C06734">
        <w:rPr>
          <w:rFonts w:eastAsiaTheme="minorEastAsia" w:hint="eastAsia"/>
          <w:color w:val="000000"/>
          <w:szCs w:val="21"/>
        </w:rPr>
        <w:t>26</w:t>
      </w:r>
      <w:r w:rsidRPr="00C06734">
        <w:rPr>
          <w:rFonts w:eastAsiaTheme="minorEastAsia" w:hint="eastAsia"/>
          <w:color w:val="000000"/>
          <w:szCs w:val="21"/>
        </w:rPr>
        <w:t>日终止运作，且已于</w:t>
      </w:r>
      <w:r w:rsidRPr="00C06734">
        <w:rPr>
          <w:rFonts w:eastAsiaTheme="minorEastAsia" w:hint="eastAsia"/>
          <w:color w:val="000000"/>
          <w:szCs w:val="21"/>
        </w:rPr>
        <w:t>2018</w:t>
      </w:r>
      <w:r w:rsidRPr="00C06734">
        <w:rPr>
          <w:rFonts w:eastAsiaTheme="minorEastAsia" w:hint="eastAsia"/>
          <w:color w:val="000000"/>
          <w:szCs w:val="21"/>
        </w:rPr>
        <w:t>年</w:t>
      </w:r>
      <w:r w:rsidRPr="00C06734">
        <w:rPr>
          <w:rFonts w:eastAsiaTheme="minorEastAsia" w:hint="eastAsia"/>
          <w:color w:val="000000"/>
          <w:szCs w:val="21"/>
        </w:rPr>
        <w:t>7</w:t>
      </w:r>
      <w:r w:rsidRPr="00C06734">
        <w:rPr>
          <w:rFonts w:eastAsiaTheme="minorEastAsia" w:hint="eastAsia"/>
          <w:color w:val="000000"/>
          <w:szCs w:val="21"/>
        </w:rPr>
        <w:t>月</w:t>
      </w:r>
      <w:r w:rsidRPr="00C06734">
        <w:rPr>
          <w:rFonts w:eastAsiaTheme="minorEastAsia" w:hint="eastAsia"/>
          <w:color w:val="000000"/>
          <w:szCs w:val="21"/>
        </w:rPr>
        <w:t>27</w:t>
      </w:r>
      <w:r w:rsidRPr="00C06734">
        <w:rPr>
          <w:rFonts w:eastAsiaTheme="minorEastAsia" w:hint="eastAsia"/>
          <w:color w:val="000000"/>
          <w:szCs w:val="21"/>
        </w:rPr>
        <w:t>日正式进入清算程序。</w:t>
      </w:r>
    </w:p>
    <w:p w:rsidR="00D261D5" w:rsidRPr="00646A7D" w:rsidRDefault="00D261D5" w:rsidP="00CB05F1">
      <w:pPr>
        <w:spacing w:line="360" w:lineRule="auto"/>
        <w:ind w:firstLineChars="200" w:firstLine="420"/>
        <w:rPr>
          <w:rFonts w:eastAsiaTheme="minorEastAsia"/>
          <w:kern w:val="0"/>
          <w:szCs w:val="21"/>
        </w:rPr>
      </w:pPr>
      <w:r w:rsidRPr="00646A7D">
        <w:rPr>
          <w:rFonts w:eastAsiaTheme="minorEastAsia"/>
          <w:kern w:val="0"/>
          <w:szCs w:val="21"/>
        </w:rPr>
        <w:t>本报告期自</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日起至</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日止。</w:t>
      </w:r>
    </w:p>
    <w:p w:rsidR="00A80289" w:rsidRPr="00646A7D" w:rsidRDefault="00A80289" w:rsidP="005E17AD">
      <w:pPr>
        <w:spacing w:line="288" w:lineRule="auto"/>
        <w:ind w:firstLineChars="200" w:firstLine="420"/>
        <w:rPr>
          <w:rFonts w:eastAsiaTheme="minorEastAsia"/>
          <w:color w:val="000000"/>
          <w:szCs w:val="21"/>
        </w:rPr>
      </w:pPr>
    </w:p>
    <w:p w:rsidR="00A80289" w:rsidRPr="00646A7D" w:rsidRDefault="001548F9" w:rsidP="005E17AD">
      <w:pPr>
        <w:spacing w:line="288" w:lineRule="auto"/>
        <w:ind w:firstLineChars="200" w:firstLine="420"/>
        <w:rPr>
          <w:rFonts w:eastAsiaTheme="minorEastAsia"/>
          <w:b/>
          <w:color w:val="000000"/>
          <w:kern w:val="0"/>
          <w:szCs w:val="21"/>
        </w:rPr>
      </w:pPr>
      <w:r w:rsidRPr="00646A7D">
        <w:rPr>
          <w:rFonts w:eastAsiaTheme="minorEastAsia"/>
          <w:szCs w:val="21"/>
        </w:rPr>
        <w:br w:type="page"/>
      </w:r>
    </w:p>
    <w:p w:rsidR="001548F9" w:rsidRPr="00646A7D" w:rsidRDefault="001548F9" w:rsidP="00BA6974">
      <w:pPr>
        <w:pStyle w:val="1"/>
        <w:keepNext/>
        <w:keepLines/>
        <w:widowControl w:val="0"/>
        <w:spacing w:beforeLines="100" w:afterLines="100" w:line="360" w:lineRule="auto"/>
        <w:jc w:val="center"/>
        <w:rPr>
          <w:rFonts w:eastAsiaTheme="minorEastAsia"/>
          <w:sz w:val="21"/>
          <w:szCs w:val="21"/>
          <w:lang w:val="en-US"/>
        </w:rPr>
      </w:pPr>
      <w:bookmarkStart w:id="2" w:name="_Toc331410068"/>
      <w:bookmarkStart w:id="3" w:name="_Toc225498244"/>
      <w:r w:rsidRPr="00646A7D">
        <w:rPr>
          <w:rFonts w:eastAsiaTheme="minorEastAsia"/>
          <w:b/>
          <w:bCs/>
          <w:sz w:val="21"/>
          <w:szCs w:val="21"/>
          <w:lang w:val="en-US"/>
        </w:rPr>
        <w:lastRenderedPageBreak/>
        <w:t xml:space="preserve">2  </w:t>
      </w:r>
      <w:r w:rsidRPr="00646A7D">
        <w:rPr>
          <w:rFonts w:eastAsiaTheme="minorEastAsia"/>
          <w:b/>
          <w:bCs/>
          <w:sz w:val="21"/>
          <w:szCs w:val="21"/>
          <w:lang w:val="en-US"/>
        </w:rPr>
        <w:t>基金简介</w:t>
      </w:r>
      <w:bookmarkEnd w:id="2"/>
      <w:bookmarkEnd w:id="3"/>
    </w:p>
    <w:p w:rsidR="001548F9" w:rsidRPr="00646A7D" w:rsidRDefault="001548F9" w:rsidP="00CB05F1">
      <w:pPr>
        <w:pStyle w:val="20"/>
        <w:spacing w:before="0" w:after="0"/>
        <w:rPr>
          <w:rFonts w:ascii="Times New Roman" w:eastAsiaTheme="minorEastAsia" w:hAnsi="Times New Roman"/>
          <w:color w:val="000000"/>
          <w:sz w:val="21"/>
          <w:szCs w:val="21"/>
        </w:rPr>
      </w:pPr>
      <w:bookmarkStart w:id="4" w:name="_Toc331410069"/>
      <w:r w:rsidRPr="00646A7D">
        <w:rPr>
          <w:rFonts w:ascii="Times New Roman" w:eastAsiaTheme="minorEastAsia" w:hAnsi="Times New Roman"/>
          <w:kern w:val="0"/>
          <w:sz w:val="21"/>
          <w:szCs w:val="21"/>
        </w:rPr>
        <w:t>2.1</w:t>
      </w:r>
      <w:r w:rsidRPr="00646A7D">
        <w:rPr>
          <w:rFonts w:ascii="Times New Roman" w:eastAsiaTheme="minorEastAsia" w:hAnsi="Times New Roman"/>
          <w:kern w:val="0"/>
          <w:sz w:val="21"/>
          <w:szCs w:val="21"/>
        </w:rPr>
        <w:tab/>
      </w:r>
      <w:r w:rsidRPr="00646A7D">
        <w:rPr>
          <w:rFonts w:ascii="Times New Roman" w:eastAsiaTheme="minorEastAsia" w:hAnsi="Times New Roman"/>
          <w:color w:val="000000"/>
          <w:sz w:val="21"/>
          <w:szCs w:val="21"/>
        </w:rPr>
        <w:t>基金基本情况</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5217"/>
      </w:tblGrid>
      <w:tr w:rsidR="001548F9" w:rsidRPr="00646A7D" w:rsidTr="00646A7D">
        <w:tc>
          <w:tcPr>
            <w:tcW w:w="3491" w:type="dxa"/>
          </w:tcPr>
          <w:p w:rsidR="001548F9" w:rsidRPr="00646A7D" w:rsidRDefault="001548F9">
            <w:pPr>
              <w:rPr>
                <w:rFonts w:eastAsiaTheme="minorEastAsia"/>
                <w:color w:val="000000"/>
                <w:kern w:val="0"/>
                <w:szCs w:val="21"/>
              </w:rPr>
            </w:pPr>
            <w:r w:rsidRPr="00646A7D">
              <w:rPr>
                <w:rFonts w:eastAsiaTheme="minorEastAsia"/>
                <w:szCs w:val="21"/>
              </w:rPr>
              <w:t>基金简称</w:t>
            </w:r>
          </w:p>
        </w:tc>
        <w:tc>
          <w:tcPr>
            <w:tcW w:w="5217" w:type="dxa"/>
            <w:vAlign w:val="center"/>
          </w:tcPr>
          <w:p w:rsidR="001548F9" w:rsidRPr="00646A7D" w:rsidRDefault="001548F9" w:rsidP="0049538A">
            <w:pPr>
              <w:jc w:val="right"/>
              <w:rPr>
                <w:rFonts w:eastAsiaTheme="minorEastAsia"/>
                <w:szCs w:val="21"/>
              </w:rPr>
            </w:pPr>
            <w:r w:rsidRPr="00646A7D">
              <w:rPr>
                <w:rFonts w:eastAsiaTheme="minorEastAsia"/>
                <w:szCs w:val="21"/>
              </w:rPr>
              <w:t>国联安睿智定开混合</w:t>
            </w:r>
          </w:p>
        </w:tc>
      </w:tr>
      <w:tr w:rsidR="001548F9" w:rsidRPr="00646A7D" w:rsidTr="00646A7D">
        <w:tc>
          <w:tcPr>
            <w:tcW w:w="3491" w:type="dxa"/>
            <w:vAlign w:val="center"/>
          </w:tcPr>
          <w:p w:rsidR="001548F9" w:rsidRPr="00646A7D" w:rsidRDefault="001548F9">
            <w:pPr>
              <w:rPr>
                <w:rFonts w:eastAsiaTheme="minorEastAsia"/>
                <w:color w:val="000000"/>
                <w:kern w:val="0"/>
                <w:szCs w:val="21"/>
              </w:rPr>
            </w:pPr>
            <w:r w:rsidRPr="00646A7D">
              <w:rPr>
                <w:rFonts w:eastAsiaTheme="minorEastAsia"/>
                <w:szCs w:val="21"/>
              </w:rPr>
              <w:t>基金主代码</w:t>
            </w:r>
          </w:p>
        </w:tc>
        <w:tc>
          <w:tcPr>
            <w:tcW w:w="5217" w:type="dxa"/>
            <w:vAlign w:val="center"/>
          </w:tcPr>
          <w:p w:rsidR="001548F9" w:rsidRPr="00646A7D" w:rsidRDefault="001548F9" w:rsidP="0049538A">
            <w:pPr>
              <w:jc w:val="right"/>
              <w:rPr>
                <w:rFonts w:eastAsiaTheme="minorEastAsia"/>
                <w:szCs w:val="21"/>
              </w:rPr>
            </w:pPr>
            <w:r w:rsidRPr="00646A7D">
              <w:rPr>
                <w:rFonts w:eastAsiaTheme="minorEastAsia"/>
                <w:szCs w:val="21"/>
              </w:rPr>
              <w:t>003541</w:t>
            </w:r>
          </w:p>
        </w:tc>
        <w:bookmarkStart w:id="5" w:name="_GoBack"/>
        <w:bookmarkEnd w:id="5"/>
      </w:tr>
      <w:tr w:rsidR="00AA2A75" w:rsidRPr="00646A7D" w:rsidTr="00646A7D">
        <w:tc>
          <w:tcPr>
            <w:tcW w:w="3491" w:type="dxa"/>
            <w:vAlign w:val="center"/>
          </w:tcPr>
          <w:p w:rsidR="00AA2A75" w:rsidRPr="00646A7D" w:rsidRDefault="00AA2A75" w:rsidP="00A47B26">
            <w:pPr>
              <w:spacing w:line="360" w:lineRule="auto"/>
              <w:rPr>
                <w:rFonts w:eastAsiaTheme="minorEastAsia"/>
                <w:szCs w:val="21"/>
              </w:rPr>
            </w:pPr>
            <w:r w:rsidRPr="00646A7D">
              <w:rPr>
                <w:rFonts w:eastAsiaTheme="minorEastAsia"/>
                <w:color w:val="000000"/>
                <w:kern w:val="0"/>
                <w:szCs w:val="21"/>
              </w:rPr>
              <w:t>交易代码</w:t>
            </w:r>
          </w:p>
        </w:tc>
        <w:tc>
          <w:tcPr>
            <w:tcW w:w="5217" w:type="dxa"/>
            <w:vAlign w:val="center"/>
          </w:tcPr>
          <w:p w:rsidR="00AA2A75" w:rsidRPr="00646A7D" w:rsidRDefault="00AA2A75" w:rsidP="0049538A">
            <w:pPr>
              <w:spacing w:line="360" w:lineRule="auto"/>
              <w:jc w:val="right"/>
              <w:rPr>
                <w:rFonts w:eastAsiaTheme="minorEastAsia"/>
                <w:szCs w:val="21"/>
              </w:rPr>
            </w:pPr>
            <w:r w:rsidRPr="00646A7D">
              <w:rPr>
                <w:rFonts w:eastAsiaTheme="minorEastAsia"/>
                <w:szCs w:val="21"/>
              </w:rPr>
              <w:t>003541</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基金运作方式</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契约型开放式</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基金合同生效日</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2016</w:t>
            </w:r>
            <w:r w:rsidRPr="00646A7D">
              <w:rPr>
                <w:rFonts w:eastAsiaTheme="minorEastAsia"/>
                <w:szCs w:val="21"/>
              </w:rPr>
              <w:t>年</w:t>
            </w:r>
            <w:r w:rsidRPr="00646A7D">
              <w:rPr>
                <w:rFonts w:eastAsiaTheme="minorEastAsia"/>
                <w:szCs w:val="21"/>
              </w:rPr>
              <w:t>12</w:t>
            </w:r>
            <w:r w:rsidRPr="00646A7D">
              <w:rPr>
                <w:rFonts w:eastAsiaTheme="minorEastAsia"/>
                <w:szCs w:val="21"/>
              </w:rPr>
              <w:t>月</w:t>
            </w:r>
            <w:r w:rsidRPr="00646A7D">
              <w:rPr>
                <w:rFonts w:eastAsiaTheme="minorEastAsia"/>
                <w:szCs w:val="21"/>
              </w:rPr>
              <w:t>29</w:t>
            </w:r>
            <w:r w:rsidRPr="00646A7D">
              <w:rPr>
                <w:rFonts w:eastAsiaTheme="minorEastAsia"/>
                <w:szCs w:val="21"/>
              </w:rPr>
              <w:t>日</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基金管理人</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国联安基金管理有限公司</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基金托管人</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平安银行股份有限公司</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报告期末基金份额总额</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202,324,351.70</w:t>
            </w:r>
            <w:r w:rsidRPr="00646A7D">
              <w:rPr>
                <w:rFonts w:eastAsiaTheme="minorEastAsia"/>
                <w:szCs w:val="21"/>
              </w:rPr>
              <w:t>份</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基金合同存续期</w:t>
            </w:r>
          </w:p>
        </w:tc>
        <w:tc>
          <w:tcPr>
            <w:tcW w:w="5217" w:type="dxa"/>
            <w:vAlign w:val="center"/>
          </w:tcPr>
          <w:p w:rsidR="00AA2A75" w:rsidRPr="00646A7D" w:rsidRDefault="005A58C9" w:rsidP="0049538A">
            <w:pPr>
              <w:jc w:val="right"/>
              <w:rPr>
                <w:rFonts w:eastAsiaTheme="minorEastAsia"/>
                <w:szCs w:val="21"/>
              </w:rPr>
            </w:pPr>
            <w:r>
              <w:rPr>
                <w:rFonts w:eastAsiaTheme="minorEastAsia" w:hint="eastAsia"/>
                <w:szCs w:val="21"/>
              </w:rPr>
              <w:t>不定期</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注：本基金以定期开放方式运作，即以开放期和封闭期相结合的方式运作。本基金的封闭期为自《基金合同》生效之日起（包括《基金合同》生效之日）或自每一开放期结束之日次日起（包括该日）</w:t>
      </w:r>
      <w:r w:rsidRPr="00646A7D">
        <w:rPr>
          <w:rFonts w:eastAsiaTheme="minorEastAsia"/>
          <w:kern w:val="0"/>
          <w:szCs w:val="21"/>
        </w:rPr>
        <w:t>18</w:t>
      </w:r>
      <w:r w:rsidRPr="00646A7D">
        <w:rPr>
          <w:rFonts w:eastAsiaTheme="minorEastAsia"/>
          <w:kern w:val="0"/>
          <w:szCs w:val="21"/>
        </w:rPr>
        <w:t>个月的期间。本基金的第一个封闭期为自《基金合同》生效之日起</w:t>
      </w:r>
      <w:r w:rsidRPr="00646A7D">
        <w:rPr>
          <w:rFonts w:eastAsiaTheme="minorEastAsia"/>
          <w:kern w:val="0"/>
          <w:szCs w:val="21"/>
        </w:rPr>
        <w:t>18</w:t>
      </w:r>
      <w:r w:rsidRPr="00646A7D">
        <w:rPr>
          <w:rFonts w:eastAsiaTheme="minorEastAsia"/>
          <w:kern w:val="0"/>
          <w:szCs w:val="21"/>
        </w:rPr>
        <w:t>个月。下一个封闭期为首个开放期结束之日次日起（包括该日）的</w:t>
      </w:r>
      <w:r w:rsidRPr="00646A7D">
        <w:rPr>
          <w:rFonts w:eastAsiaTheme="minorEastAsia"/>
          <w:kern w:val="0"/>
          <w:szCs w:val="21"/>
        </w:rPr>
        <w:t>18</w:t>
      </w:r>
      <w:r w:rsidRPr="00646A7D">
        <w:rPr>
          <w:rFonts w:eastAsiaTheme="minorEastAsia"/>
          <w:kern w:val="0"/>
          <w:szCs w:val="21"/>
        </w:rPr>
        <w:t>个月，以此类推。如该对应日不存在对应日期的，则顺延至下一日。本基金封闭期内不办理申购与赎回业务，也不上市交易。</w:t>
      </w:r>
    </w:p>
    <w:p w:rsidR="001548F9" w:rsidRPr="00646A7D" w:rsidRDefault="001548F9" w:rsidP="00BA6974">
      <w:pPr>
        <w:pStyle w:val="20"/>
        <w:spacing w:beforeLines="100" w:after="0"/>
        <w:jc w:val="left"/>
        <w:rPr>
          <w:rFonts w:ascii="Times New Roman" w:eastAsiaTheme="minorEastAsia" w:hAnsi="Times New Roman"/>
          <w:color w:val="000000"/>
          <w:sz w:val="21"/>
          <w:szCs w:val="21"/>
        </w:rPr>
      </w:pPr>
      <w:bookmarkStart w:id="6" w:name="_Toc331410070"/>
      <w:r w:rsidRPr="00646A7D">
        <w:rPr>
          <w:rFonts w:ascii="Times New Roman" w:eastAsiaTheme="minorEastAsia" w:hAnsi="Times New Roman"/>
          <w:kern w:val="0"/>
          <w:sz w:val="21"/>
          <w:szCs w:val="21"/>
        </w:rPr>
        <w:t xml:space="preserve">2.2 </w:t>
      </w:r>
      <w:r w:rsidRPr="00646A7D">
        <w:rPr>
          <w:rFonts w:ascii="Times New Roman" w:eastAsiaTheme="minorEastAsia" w:hAnsi="Times New Roman"/>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投资目标</w:t>
            </w:r>
          </w:p>
        </w:tc>
        <w:tc>
          <w:tcPr>
            <w:tcW w:w="6873" w:type="dxa"/>
            <w:vAlign w:val="bottom"/>
          </w:tcPr>
          <w:p w:rsidR="001548F9" w:rsidRPr="00646A7D" w:rsidRDefault="001548F9">
            <w:pPr>
              <w:rPr>
                <w:rFonts w:eastAsiaTheme="minorEastAsia"/>
                <w:szCs w:val="21"/>
              </w:rPr>
            </w:pPr>
            <w:r w:rsidRPr="00646A7D">
              <w:rPr>
                <w:rFonts w:eastAsiaTheme="minorEastAsia"/>
                <w:szCs w:val="21"/>
              </w:rPr>
              <w:t>在控制风险与保持资产流动性的基础上，力争长期内实现超越业绩比较基准的投资回报。</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投资策略</w:t>
            </w:r>
          </w:p>
        </w:tc>
        <w:tc>
          <w:tcPr>
            <w:tcW w:w="6873" w:type="dxa"/>
            <w:vAlign w:val="bottom"/>
          </w:tcPr>
          <w:p w:rsidR="00DF0785" w:rsidRDefault="00311CAE">
            <w:pPr>
              <w:rPr>
                <w:rFonts w:eastAsiaTheme="minorEastAsia"/>
                <w:szCs w:val="21"/>
              </w:rPr>
            </w:pPr>
            <w:r>
              <w:rPr>
                <w:rFonts w:eastAsiaTheme="minorEastAsia"/>
                <w:szCs w:val="21"/>
              </w:rPr>
              <w:t>（</w:t>
            </w:r>
            <w:r>
              <w:rPr>
                <w:rFonts w:eastAsiaTheme="minorEastAsia"/>
                <w:szCs w:val="21"/>
              </w:rPr>
              <w:t>1</w:t>
            </w:r>
            <w:r>
              <w:rPr>
                <w:rFonts w:eastAsiaTheme="minorEastAsia"/>
                <w:szCs w:val="21"/>
              </w:rPr>
              <w:t>）资产配置策略</w:t>
            </w:r>
          </w:p>
          <w:p w:rsidR="00DF0785" w:rsidRDefault="00311CAE">
            <w:pPr>
              <w:rPr>
                <w:rFonts w:eastAsiaTheme="minorEastAsia"/>
                <w:szCs w:val="21"/>
              </w:rPr>
            </w:pPr>
            <w:r>
              <w:rPr>
                <w:rFonts w:eastAsiaTheme="minorEastAsia"/>
                <w:szCs w:val="21"/>
              </w:rPr>
              <w:t>本基金是混合型基金，根据宏观经济发展趋势、政策面因素、金融市场的利率变动和市场情绪，综合运用定性和定量的方法，对股票、债券和现金类资产的预期收益风险及相对投资价值进行评估，确定基金资产在股票、债券及现金类资产等资产类别的分配比例。在有效控制投资风险的前提下，形成大类资产的配置方案。</w:t>
            </w:r>
          </w:p>
          <w:p w:rsidR="00DF0785" w:rsidRDefault="00311CAE">
            <w:pPr>
              <w:rPr>
                <w:rFonts w:eastAsiaTheme="minorEastAsia"/>
                <w:szCs w:val="21"/>
              </w:rPr>
            </w:pPr>
            <w:r>
              <w:rPr>
                <w:rFonts w:eastAsiaTheme="minorEastAsia"/>
                <w:szCs w:val="21"/>
              </w:rPr>
              <w:t>（</w:t>
            </w:r>
            <w:r>
              <w:rPr>
                <w:rFonts w:eastAsiaTheme="minorEastAsia"/>
                <w:szCs w:val="21"/>
              </w:rPr>
              <w:t>2</w:t>
            </w:r>
            <w:r>
              <w:rPr>
                <w:rFonts w:eastAsiaTheme="minorEastAsia"/>
                <w:szCs w:val="21"/>
              </w:rPr>
              <w:t>）股票投资策略</w:t>
            </w:r>
          </w:p>
          <w:p w:rsidR="00DF0785" w:rsidRDefault="00311CAE">
            <w:pPr>
              <w:rPr>
                <w:rFonts w:eastAsiaTheme="minorEastAsia"/>
                <w:szCs w:val="21"/>
              </w:rPr>
            </w:pPr>
            <w:r>
              <w:rPr>
                <w:rFonts w:eastAsiaTheme="minorEastAsia"/>
                <w:szCs w:val="21"/>
              </w:rPr>
              <w:t>在股票投资上本基金主要根据上市公司获利能力、资本成本、增长能力以及股价的估值水平来进行个股选择。同时，适度把握宏观经济情况进行资产配置。具体来说，本基金通过以下步骤进行股票选择：</w:t>
            </w:r>
          </w:p>
          <w:p w:rsidR="00DF0785" w:rsidRDefault="00311CAE">
            <w:pPr>
              <w:rPr>
                <w:rFonts w:eastAsiaTheme="minorEastAsia"/>
                <w:szCs w:val="21"/>
              </w:rPr>
            </w:pPr>
            <w:r>
              <w:rPr>
                <w:rFonts w:eastAsiaTheme="minorEastAsia"/>
                <w:szCs w:val="21"/>
              </w:rPr>
              <w:t>首先，通过</w:t>
            </w:r>
            <w:r>
              <w:rPr>
                <w:rFonts w:eastAsiaTheme="minorEastAsia"/>
                <w:szCs w:val="21"/>
              </w:rPr>
              <w:t>ROIC(Return On Invested Capital)</w:t>
            </w:r>
            <w:r>
              <w:rPr>
                <w:rFonts w:eastAsiaTheme="minorEastAsia"/>
                <w:szCs w:val="21"/>
              </w:rPr>
              <w:t>指标来衡量公司的获利能力，通过</w:t>
            </w:r>
            <w:r>
              <w:rPr>
                <w:rFonts w:eastAsiaTheme="minorEastAsia"/>
                <w:szCs w:val="21"/>
              </w:rPr>
              <w:t>WACC(Weighted Average Cost of Capital)</w:t>
            </w:r>
            <w:r>
              <w:rPr>
                <w:rFonts w:eastAsiaTheme="minorEastAsia"/>
                <w:szCs w:val="21"/>
              </w:rPr>
              <w:t>指标来衡量公司的资本成本；其次，将公司的获利能力和资本成本指标相结合，选择出创造价值的公司；最后，根据公司的成长能力和估值指标，选择股票，构建股票组合。</w:t>
            </w:r>
          </w:p>
          <w:p w:rsidR="00DF0785" w:rsidRDefault="00311CAE">
            <w:pPr>
              <w:rPr>
                <w:rFonts w:eastAsiaTheme="minorEastAsia"/>
                <w:szCs w:val="21"/>
              </w:rPr>
            </w:pPr>
            <w:r>
              <w:rPr>
                <w:rFonts w:eastAsiaTheme="minorEastAsia"/>
                <w:szCs w:val="21"/>
              </w:rPr>
              <w:t>（</w:t>
            </w:r>
            <w:r>
              <w:rPr>
                <w:rFonts w:eastAsiaTheme="minorEastAsia"/>
                <w:szCs w:val="21"/>
              </w:rPr>
              <w:t>3</w:t>
            </w:r>
            <w:r>
              <w:rPr>
                <w:rFonts w:eastAsiaTheme="minorEastAsia"/>
                <w:szCs w:val="21"/>
              </w:rPr>
              <w:t>）普通债券投资策略</w:t>
            </w:r>
          </w:p>
          <w:p w:rsidR="00DF0785" w:rsidRDefault="00311CAE">
            <w:pPr>
              <w:rPr>
                <w:rFonts w:eastAsiaTheme="minorEastAsia"/>
                <w:szCs w:val="21"/>
              </w:rPr>
            </w:pPr>
            <w:r>
              <w:rPr>
                <w:rFonts w:eastAsiaTheme="minorEastAsia"/>
                <w:szCs w:val="21"/>
              </w:rPr>
              <w:t>在债券投资上，本基金将重点关注具有以下一项或者多项特征的债券：</w:t>
            </w:r>
          </w:p>
          <w:p w:rsidR="00DF0785" w:rsidRDefault="00311CAE">
            <w:pPr>
              <w:rPr>
                <w:rFonts w:eastAsiaTheme="minorEastAsia"/>
                <w:szCs w:val="21"/>
              </w:rPr>
            </w:pPr>
            <w:r>
              <w:rPr>
                <w:rFonts w:eastAsiaTheme="minorEastAsia"/>
                <w:szCs w:val="21"/>
              </w:rPr>
              <w:t>1</w:t>
            </w:r>
            <w:r>
              <w:rPr>
                <w:rFonts w:eastAsiaTheme="minorEastAsia"/>
                <w:szCs w:val="21"/>
              </w:rPr>
              <w:t>）信用等级高、流动性好；</w:t>
            </w:r>
          </w:p>
          <w:p w:rsidR="00DF0785" w:rsidRDefault="00311CAE">
            <w:pPr>
              <w:rPr>
                <w:rFonts w:eastAsiaTheme="minorEastAsia"/>
                <w:szCs w:val="21"/>
              </w:rPr>
            </w:pPr>
            <w:r>
              <w:rPr>
                <w:rFonts w:eastAsiaTheme="minorEastAsia"/>
                <w:szCs w:val="21"/>
              </w:rPr>
              <w:t>2</w:t>
            </w:r>
            <w:r>
              <w:rPr>
                <w:rFonts w:eastAsiaTheme="minorEastAsia"/>
                <w:szCs w:val="21"/>
              </w:rPr>
              <w:t>）资信状况良好、未来信用评级趋于稳定或有明显改善的企业发行的债券；</w:t>
            </w:r>
          </w:p>
          <w:p w:rsidR="00DF0785" w:rsidRDefault="00311CAE">
            <w:pPr>
              <w:rPr>
                <w:rFonts w:eastAsiaTheme="minorEastAsia"/>
                <w:szCs w:val="21"/>
              </w:rPr>
            </w:pPr>
            <w:r>
              <w:rPr>
                <w:rFonts w:eastAsiaTheme="minorEastAsia"/>
                <w:szCs w:val="21"/>
              </w:rPr>
              <w:t>3</w:t>
            </w:r>
            <w:r>
              <w:rPr>
                <w:rFonts w:eastAsiaTheme="minorEastAsia"/>
                <w:szCs w:val="21"/>
              </w:rPr>
              <w:t>）在剩余期限和信用等级等因素基本一致的前提下，运用收益率曲线模型或其他相关估值模型进行估值后，市场交易价格被低估的债券；</w:t>
            </w:r>
          </w:p>
          <w:p w:rsidR="00DF0785" w:rsidRDefault="00311CAE">
            <w:pPr>
              <w:rPr>
                <w:rFonts w:eastAsiaTheme="minorEastAsia"/>
                <w:szCs w:val="21"/>
              </w:rPr>
            </w:pPr>
            <w:r>
              <w:rPr>
                <w:rFonts w:eastAsiaTheme="minorEastAsia"/>
                <w:szCs w:val="21"/>
              </w:rPr>
              <w:t>4</w:t>
            </w:r>
            <w:r>
              <w:rPr>
                <w:rFonts w:eastAsiaTheme="minorEastAsia"/>
                <w:szCs w:val="21"/>
              </w:rPr>
              <w:t>）公司基本面良好，具备良好的成长空间与潜力，转股溢价率合理、有一定下行保护的可转债。</w:t>
            </w:r>
          </w:p>
          <w:p w:rsidR="00DF0785" w:rsidRDefault="00311CAE">
            <w:pPr>
              <w:rPr>
                <w:rFonts w:eastAsiaTheme="minorEastAsia"/>
                <w:szCs w:val="21"/>
              </w:rPr>
            </w:pPr>
            <w:r>
              <w:rPr>
                <w:rFonts w:eastAsiaTheme="minorEastAsia"/>
                <w:szCs w:val="21"/>
              </w:rPr>
              <w:t>（</w:t>
            </w:r>
            <w:r>
              <w:rPr>
                <w:rFonts w:eastAsiaTheme="minorEastAsia"/>
                <w:szCs w:val="21"/>
              </w:rPr>
              <w:t>4</w:t>
            </w:r>
            <w:r>
              <w:rPr>
                <w:rFonts w:eastAsiaTheme="minorEastAsia"/>
                <w:szCs w:val="21"/>
              </w:rPr>
              <w:t>）中小企业私募债券投资策略</w:t>
            </w:r>
          </w:p>
          <w:p w:rsidR="00DF0785" w:rsidRDefault="00311CAE">
            <w:pPr>
              <w:rPr>
                <w:rFonts w:eastAsiaTheme="minorEastAsia"/>
                <w:szCs w:val="21"/>
              </w:rPr>
            </w:pPr>
            <w:r>
              <w:rPr>
                <w:rFonts w:eastAsiaTheme="minorEastAsia"/>
                <w:szCs w:val="21"/>
              </w:rPr>
              <w:t>中小企业私募债券本质上为公司债，只是发行主体扩展到未上市的中小型企业，扩大了基金进行债券投资的范围。由于中小企业私募债券发行主体为非上市中小企业，企业管理体制和治理结构弱于普通上市公司，信息披露情况相对滞后，对企业偿债能力的评估难度高于普通上市公司，且定向发行方式限制了合格投资者的数量，会导致一定的流动性风险。因此本基金中小企业私募债券的投资将重点关注信用风险和流动性风险。</w:t>
            </w:r>
          </w:p>
          <w:p w:rsidR="00DF0785" w:rsidRDefault="00311CAE">
            <w:pPr>
              <w:rPr>
                <w:rFonts w:eastAsiaTheme="minorEastAsia"/>
                <w:szCs w:val="21"/>
              </w:rPr>
            </w:pPr>
            <w:r>
              <w:rPr>
                <w:rFonts w:eastAsiaTheme="minorEastAsia"/>
                <w:szCs w:val="21"/>
              </w:rPr>
              <w:t>本基金将在严格控制信用风险的基础上，通过严密的投资决策流程、投资授权审批机制、集中交易制度等保障审慎投资于中小企业私募债券，并通过组合管理、分散化投资、合理谨慎地评估、预测和控制相关风险，实现投资收益的最大化。本基金依靠内部信用评级系统持续跟踪研究发债主体的经营状况、财务指标等情况，对其信用风险进行评估并作出及时反应。内部信用评级以深入的企业基本面分析为基础，结合定性和定量方法，注重对企业未来偿债能力的分析评估，对中小企业私募债券进行分类，以便准确地评估中小企业私募债券的信用风险程度，并及时跟踪其信用风险的变化。</w:t>
            </w:r>
          </w:p>
          <w:p w:rsidR="00DF0785" w:rsidRDefault="00311CAE">
            <w:pPr>
              <w:rPr>
                <w:rFonts w:eastAsiaTheme="minorEastAsia"/>
                <w:szCs w:val="21"/>
              </w:rPr>
            </w:pPr>
            <w:r>
              <w:rPr>
                <w:rFonts w:eastAsiaTheme="minorEastAsia"/>
                <w:szCs w:val="21"/>
              </w:rPr>
              <w:t>本基金根据内部的信用分析方法对可选的中小企业私募债券品种进行筛选过滤，重点分析发行主体的公司背景、竞争地位、治理结构、盈利能力、偿债能力、现金流水平等诸多因素，给予不同因素不同权重，采用数量化方法对主体所发行债券进行打分和投资价值评估，选择发行主体资质优良，估值合理且流通相对充分的品种进行适度投资。</w:t>
            </w:r>
          </w:p>
          <w:p w:rsidR="00DF0785" w:rsidRDefault="00311CAE">
            <w:pPr>
              <w:rPr>
                <w:rFonts w:eastAsiaTheme="minorEastAsia"/>
                <w:szCs w:val="21"/>
              </w:rPr>
            </w:pPr>
            <w:r>
              <w:rPr>
                <w:rFonts w:eastAsiaTheme="minorEastAsia"/>
                <w:szCs w:val="21"/>
              </w:rPr>
              <w:t>（</w:t>
            </w:r>
            <w:r>
              <w:rPr>
                <w:rFonts w:eastAsiaTheme="minorEastAsia"/>
                <w:szCs w:val="21"/>
              </w:rPr>
              <w:t>5</w:t>
            </w:r>
            <w:r>
              <w:rPr>
                <w:rFonts w:eastAsiaTheme="minorEastAsia"/>
                <w:szCs w:val="21"/>
              </w:rPr>
              <w:t>）股指期货投资策略</w:t>
            </w:r>
          </w:p>
          <w:p w:rsidR="00DF0785" w:rsidRDefault="00311CAE">
            <w:pPr>
              <w:rPr>
                <w:rFonts w:eastAsiaTheme="minorEastAsia"/>
                <w:szCs w:val="21"/>
              </w:rPr>
            </w:pPr>
            <w:r>
              <w:rPr>
                <w:rFonts w:eastAsiaTheme="minorEastAsia"/>
                <w:szCs w:val="21"/>
              </w:rPr>
              <w:t>在股指期货投资上，本基金以套期保值和有效管理为目标，在控制风险的前提下，谨慎适当参与股指期货的投资。本基金在进行股指期货投资中，将分析股指期货的收益性、流动性及风险特征，主要选择流动性好、交易活跃的期货合约，通过研究现货和期货市场的发展趋势，运用定价模型对其进行合理估值，谨慎利用股指期货，调整投资组合的风险暴露，及时调整投资组合仓位，以降低组合风险、提高组合的运作效率。</w:t>
            </w:r>
          </w:p>
          <w:p w:rsidR="00DF0785" w:rsidRDefault="00311CAE">
            <w:pPr>
              <w:rPr>
                <w:rFonts w:eastAsiaTheme="minorEastAsia"/>
                <w:szCs w:val="21"/>
              </w:rPr>
            </w:pPr>
            <w:r>
              <w:rPr>
                <w:rFonts w:eastAsiaTheme="minorEastAsia"/>
                <w:szCs w:val="21"/>
              </w:rPr>
              <w:t>（</w:t>
            </w:r>
            <w:r>
              <w:rPr>
                <w:rFonts w:eastAsiaTheme="minorEastAsia"/>
                <w:szCs w:val="21"/>
              </w:rPr>
              <w:t>6</w:t>
            </w:r>
            <w:r>
              <w:rPr>
                <w:rFonts w:eastAsiaTheme="minorEastAsia"/>
                <w:szCs w:val="21"/>
              </w:rPr>
              <w:t>）国债期货投资策略</w:t>
            </w:r>
          </w:p>
          <w:p w:rsidR="00DF0785" w:rsidRDefault="00311CAE">
            <w:pPr>
              <w:rPr>
                <w:rFonts w:eastAsiaTheme="minorEastAsia"/>
                <w:szCs w:val="21"/>
              </w:rPr>
            </w:pPr>
            <w:r>
              <w:rPr>
                <w:rFonts w:eastAsiaTheme="minorEastAsia"/>
                <w:szCs w:val="21"/>
              </w:rPr>
              <w:t>本基金在进行国债期货投资时，将根据风险管理原则，以套期保值为主要目的，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风险、对冲特殊情况下的流动性风险，如大额申购赎回等；利用金融衍生品的杠杆作用，以达到降低投资组合的整体风险的目的。</w:t>
            </w:r>
          </w:p>
          <w:p w:rsidR="00DF0785" w:rsidRDefault="00311CAE">
            <w:pPr>
              <w:rPr>
                <w:rFonts w:eastAsiaTheme="minorEastAsia"/>
                <w:szCs w:val="21"/>
              </w:rPr>
            </w:pPr>
            <w:r>
              <w:rPr>
                <w:rFonts w:eastAsiaTheme="minorEastAsia"/>
                <w:szCs w:val="21"/>
              </w:rPr>
              <w:t>（</w:t>
            </w:r>
            <w:r>
              <w:rPr>
                <w:rFonts w:eastAsiaTheme="minorEastAsia"/>
                <w:szCs w:val="21"/>
              </w:rPr>
              <w:t>7</w:t>
            </w:r>
            <w:r>
              <w:rPr>
                <w:rFonts w:eastAsiaTheme="minorEastAsia"/>
                <w:szCs w:val="21"/>
              </w:rPr>
              <w:t>）权证投资策略</w:t>
            </w:r>
          </w:p>
          <w:p w:rsidR="00DF0785" w:rsidRDefault="00311CAE">
            <w:pPr>
              <w:rPr>
                <w:rFonts w:eastAsiaTheme="minorEastAsia"/>
                <w:szCs w:val="21"/>
              </w:rPr>
            </w:pPr>
            <w:r>
              <w:rPr>
                <w:rFonts w:eastAsiaTheme="minorEastAsia"/>
                <w:szCs w:val="21"/>
              </w:rPr>
              <w:t>本基金将在严格控制风险的前提下，进行权证的投资。</w:t>
            </w:r>
          </w:p>
          <w:p w:rsidR="00DF0785" w:rsidRDefault="00311CAE">
            <w:pPr>
              <w:rPr>
                <w:rFonts w:eastAsiaTheme="minorEastAsia"/>
                <w:szCs w:val="21"/>
              </w:rPr>
            </w:pPr>
            <w:r>
              <w:rPr>
                <w:rFonts w:eastAsiaTheme="minorEastAsia"/>
                <w:szCs w:val="21"/>
              </w:rPr>
              <w:t>1)</w:t>
            </w:r>
            <w:r>
              <w:rPr>
                <w:rFonts w:eastAsiaTheme="minorEastAsia"/>
                <w:szCs w:val="21"/>
              </w:rPr>
              <w:t>综合分析权证的包括执行价格、标的股票波动率、剩余期限等因素在内的定价因素，根据</w:t>
            </w:r>
            <w:r>
              <w:rPr>
                <w:rFonts w:eastAsiaTheme="minorEastAsia"/>
                <w:szCs w:val="21"/>
              </w:rPr>
              <w:t>BS</w:t>
            </w:r>
            <w:r>
              <w:rPr>
                <w:rFonts w:eastAsiaTheme="minorEastAsia"/>
                <w:szCs w:val="21"/>
              </w:rPr>
              <w:t>模型和溢价率对权证的合理价值做出判断，对价值被低估的权证进行投资；</w:t>
            </w:r>
          </w:p>
          <w:p w:rsidR="00DF0785" w:rsidRDefault="00311CAE">
            <w:pPr>
              <w:rPr>
                <w:rFonts w:eastAsiaTheme="minorEastAsia"/>
                <w:szCs w:val="21"/>
              </w:rPr>
            </w:pPr>
            <w:r>
              <w:rPr>
                <w:rFonts w:eastAsiaTheme="minorEastAsia"/>
                <w:szCs w:val="21"/>
              </w:rPr>
              <w:t>2)</w:t>
            </w:r>
            <w:r>
              <w:rPr>
                <w:rFonts w:eastAsiaTheme="minorEastAsia"/>
                <w:szCs w:val="21"/>
              </w:rPr>
              <w:t>基于对权证标的股票未来走势的预期，充分利用权证的杆杆比率高的特点，对权证进行单边投资；</w:t>
            </w:r>
          </w:p>
          <w:p w:rsidR="00DF0785" w:rsidRDefault="00311CAE">
            <w:pPr>
              <w:rPr>
                <w:rFonts w:eastAsiaTheme="minorEastAsia"/>
                <w:szCs w:val="21"/>
              </w:rPr>
            </w:pPr>
            <w:r>
              <w:rPr>
                <w:rFonts w:eastAsiaTheme="minorEastAsia"/>
                <w:szCs w:val="21"/>
              </w:rPr>
              <w:t>3)</w:t>
            </w:r>
            <w:r>
              <w:rPr>
                <w:rFonts w:eastAsiaTheme="minorEastAsia"/>
                <w:szCs w:val="21"/>
              </w:rPr>
              <w:t>基于权证价值对标的价格、波动率的敏感性以及价格未来走势等因素的判断，将权证、标的股票等金融工具合理配置进行结构性组合投资，或利用权证进行风险对冲。</w:t>
            </w:r>
          </w:p>
          <w:p w:rsidR="00DF0785" w:rsidRDefault="00311CAE">
            <w:pPr>
              <w:rPr>
                <w:rFonts w:eastAsiaTheme="minorEastAsia"/>
                <w:szCs w:val="21"/>
              </w:rPr>
            </w:pPr>
            <w:r>
              <w:rPr>
                <w:rFonts w:eastAsiaTheme="minorEastAsia"/>
                <w:szCs w:val="21"/>
              </w:rPr>
              <w:t>（</w:t>
            </w:r>
            <w:r>
              <w:rPr>
                <w:rFonts w:eastAsiaTheme="minorEastAsia"/>
                <w:szCs w:val="21"/>
              </w:rPr>
              <w:t>8</w:t>
            </w:r>
            <w:r>
              <w:rPr>
                <w:rFonts w:eastAsiaTheme="minorEastAsia"/>
                <w:szCs w:val="21"/>
              </w:rPr>
              <w:t>）资产支持证券等品种投资策略</w:t>
            </w:r>
          </w:p>
          <w:p w:rsidR="00DF0785" w:rsidRDefault="00311CAE">
            <w:pPr>
              <w:rPr>
                <w:rFonts w:eastAsiaTheme="minorEastAsia"/>
                <w:szCs w:val="21"/>
              </w:rPr>
            </w:pPr>
            <w:r>
              <w:rPr>
                <w:rFonts w:eastAsiaTheme="minorEastAsia"/>
                <w:szCs w:val="21"/>
              </w:rPr>
              <w:t>资产支持证券包括资产抵押贷款支持证券（</w:t>
            </w:r>
            <w:r>
              <w:rPr>
                <w:rFonts w:eastAsiaTheme="minorEastAsia"/>
                <w:szCs w:val="21"/>
              </w:rPr>
              <w:t>ABS</w:t>
            </w:r>
            <w:r>
              <w:rPr>
                <w:rFonts w:eastAsiaTheme="minorEastAsia"/>
                <w:szCs w:val="21"/>
              </w:rPr>
              <w:t>）、住房抵押贷款支持证券（</w:t>
            </w:r>
            <w:r>
              <w:rPr>
                <w:rFonts w:eastAsiaTheme="minorEastAsia"/>
                <w:szCs w:val="21"/>
              </w:rPr>
              <w:t>MBS</w:t>
            </w:r>
            <w:r>
              <w:rPr>
                <w:rFonts w:eastAsiaTheme="minorEastAsia"/>
                <w:szCs w:val="21"/>
              </w:rPr>
              <w:t>）等，其定价受多种因素影响，包括市场利率、发行条款、支持资产的构成及质量、提前偿还率等。</w:t>
            </w:r>
          </w:p>
          <w:p w:rsidR="00DF0785" w:rsidRDefault="00311CAE">
            <w:pPr>
              <w:rPr>
                <w:rFonts w:eastAsiaTheme="minorEastAsia"/>
                <w:szCs w:val="21"/>
              </w:rPr>
            </w:pPr>
            <w:r>
              <w:rPr>
                <w:rFonts w:eastAsiaTheme="minorEastAsia"/>
                <w:szCs w:val="21"/>
              </w:rPr>
              <w:t>本基金将在基本面分析和债券市场宏观分析的基础上，结合蒙特卡洛模拟等数量化方法，对资产支持证券进行定价，评估其内在价值进行投资。</w:t>
            </w:r>
          </w:p>
          <w:p w:rsidR="001548F9" w:rsidRPr="00646A7D" w:rsidRDefault="001548F9">
            <w:pPr>
              <w:rPr>
                <w:rFonts w:eastAsiaTheme="minorEastAsia"/>
                <w:szCs w:val="21"/>
              </w:rPr>
            </w:pPr>
            <w:r w:rsidRPr="00646A7D">
              <w:rPr>
                <w:rFonts w:eastAsiaTheme="minorEastAsia"/>
                <w:szCs w:val="21"/>
              </w:rPr>
              <w:t>对于监管机构允许基金投资的其他金融工具，本基金将在谨慎分析收益性、风险水平、流动性和金融工具自身特征的基础上进行稳健投资，以降低组合风险，实现基金资产的保值增值。</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业绩比较基准</w:t>
            </w:r>
          </w:p>
        </w:tc>
        <w:tc>
          <w:tcPr>
            <w:tcW w:w="6873" w:type="dxa"/>
            <w:vAlign w:val="bottom"/>
          </w:tcPr>
          <w:p w:rsidR="001548F9" w:rsidRPr="00646A7D" w:rsidRDefault="001548F9">
            <w:pPr>
              <w:rPr>
                <w:rFonts w:eastAsiaTheme="minorEastAsia"/>
                <w:szCs w:val="21"/>
              </w:rPr>
            </w:pPr>
            <w:r w:rsidRPr="00646A7D">
              <w:rPr>
                <w:rFonts w:eastAsiaTheme="minorEastAsia"/>
                <w:szCs w:val="21"/>
              </w:rPr>
              <w:t>沪深</w:t>
            </w:r>
            <w:r w:rsidRPr="00646A7D">
              <w:rPr>
                <w:rFonts w:eastAsiaTheme="minorEastAsia"/>
                <w:szCs w:val="21"/>
              </w:rPr>
              <w:t>300</w:t>
            </w:r>
            <w:r w:rsidRPr="00646A7D">
              <w:rPr>
                <w:rFonts w:eastAsiaTheme="minorEastAsia"/>
                <w:szCs w:val="21"/>
              </w:rPr>
              <w:t>指数收益率</w:t>
            </w:r>
            <w:r w:rsidRPr="00646A7D">
              <w:rPr>
                <w:rFonts w:eastAsiaTheme="minorEastAsia"/>
                <w:szCs w:val="21"/>
              </w:rPr>
              <w:t>×20%+</w:t>
            </w:r>
            <w:r w:rsidRPr="00646A7D">
              <w:rPr>
                <w:rFonts w:eastAsiaTheme="minorEastAsia"/>
                <w:szCs w:val="21"/>
              </w:rPr>
              <w:t>上证国债指数收益率</w:t>
            </w:r>
            <w:r w:rsidRPr="00646A7D">
              <w:rPr>
                <w:rFonts w:eastAsiaTheme="minorEastAsia"/>
                <w:szCs w:val="21"/>
              </w:rPr>
              <w:t>×80%</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风险收益特征</w:t>
            </w:r>
          </w:p>
        </w:tc>
        <w:tc>
          <w:tcPr>
            <w:tcW w:w="6873" w:type="dxa"/>
            <w:vAlign w:val="bottom"/>
          </w:tcPr>
          <w:p w:rsidR="001548F9" w:rsidRPr="00646A7D" w:rsidRDefault="001548F9">
            <w:pPr>
              <w:rPr>
                <w:rFonts w:eastAsiaTheme="minorEastAsia"/>
                <w:szCs w:val="21"/>
              </w:rPr>
            </w:pPr>
            <w:r w:rsidRPr="00646A7D">
              <w:rPr>
                <w:rFonts w:eastAsiaTheme="minorEastAsia"/>
                <w:szCs w:val="21"/>
              </w:rPr>
              <w:t>本基金属于混合型证券投资基金，属于较高预期风险、较高预期收益的证券投资基金，通常预期风险与预期收益水平高于货币市场基金和债券型基金，低于股票型基金。</w:t>
            </w:r>
          </w:p>
        </w:tc>
      </w:tr>
    </w:tbl>
    <w:p w:rsidR="001548F9" w:rsidRPr="00646A7D" w:rsidRDefault="001548F9" w:rsidP="00BA6974">
      <w:pPr>
        <w:pStyle w:val="20"/>
        <w:spacing w:beforeLines="100" w:after="0"/>
        <w:jc w:val="left"/>
        <w:rPr>
          <w:rFonts w:ascii="Times New Roman" w:eastAsiaTheme="minorEastAsia" w:hAnsi="Times New Roman"/>
          <w:kern w:val="0"/>
          <w:sz w:val="21"/>
          <w:szCs w:val="21"/>
        </w:rPr>
      </w:pPr>
      <w:bookmarkStart w:id="7" w:name="_Toc331410071"/>
      <w:bookmarkStart w:id="8" w:name="_Toc225498247"/>
      <w:r w:rsidRPr="00646A7D">
        <w:rPr>
          <w:rFonts w:ascii="Times New Roman" w:eastAsiaTheme="minorEastAsia" w:hAnsi="Times New Roman"/>
          <w:kern w:val="0"/>
          <w:sz w:val="21"/>
          <w:szCs w:val="21"/>
        </w:rPr>
        <w:t xml:space="preserve">2.3 </w:t>
      </w:r>
      <w:r w:rsidRPr="00646A7D">
        <w:rPr>
          <w:rFonts w:ascii="Times New Roman" w:eastAsiaTheme="minorEastAsia" w:hAnsi="Times New Roman"/>
          <w:kern w:val="0"/>
          <w:sz w:val="21"/>
          <w:szCs w:val="21"/>
        </w:rPr>
        <w:t>基金管理人和基金托管人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646A7D" w:rsidTr="00646A7D">
        <w:tc>
          <w:tcPr>
            <w:tcW w:w="2631" w:type="dxa"/>
            <w:gridSpan w:val="2"/>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项目</w:t>
            </w:r>
          </w:p>
        </w:tc>
        <w:tc>
          <w:tcPr>
            <w:tcW w:w="30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基金管理人</w:t>
            </w:r>
          </w:p>
        </w:tc>
        <w:tc>
          <w:tcPr>
            <w:tcW w:w="30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基金托管人</w:t>
            </w:r>
          </w:p>
        </w:tc>
      </w:tr>
      <w:tr w:rsidR="001548F9" w:rsidRPr="00646A7D" w:rsidTr="00646A7D">
        <w:tc>
          <w:tcPr>
            <w:tcW w:w="2631" w:type="dxa"/>
            <w:gridSpan w:val="2"/>
            <w:vAlign w:val="center"/>
          </w:tcPr>
          <w:p w:rsidR="001548F9" w:rsidRPr="00646A7D" w:rsidRDefault="001548F9">
            <w:pPr>
              <w:autoSpaceDE w:val="0"/>
              <w:autoSpaceDN w:val="0"/>
              <w:adjustRightInd w:val="0"/>
              <w:spacing w:before="29" w:line="288" w:lineRule="auto"/>
              <w:ind w:left="15"/>
              <w:rPr>
                <w:rFonts w:eastAsiaTheme="minorEastAsia"/>
                <w:color w:val="000000"/>
                <w:kern w:val="0"/>
                <w:szCs w:val="21"/>
              </w:rPr>
            </w:pPr>
            <w:r w:rsidRPr="00646A7D">
              <w:rPr>
                <w:rFonts w:eastAsiaTheme="minorEastAsia"/>
                <w:color w:val="000000"/>
                <w:kern w:val="0"/>
                <w:szCs w:val="21"/>
              </w:rPr>
              <w:t>名称</w:t>
            </w:r>
          </w:p>
        </w:tc>
        <w:tc>
          <w:tcPr>
            <w:tcW w:w="3060" w:type="dxa"/>
            <w:vAlign w:val="center"/>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国联安基金管理有限公司</w:t>
            </w:r>
          </w:p>
        </w:tc>
        <w:tc>
          <w:tcPr>
            <w:tcW w:w="3060" w:type="dxa"/>
            <w:vAlign w:val="center"/>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平安银行股份有限公司</w:t>
            </w:r>
          </w:p>
        </w:tc>
      </w:tr>
      <w:tr w:rsidR="001548F9" w:rsidRPr="00646A7D" w:rsidTr="00646A7D">
        <w:tc>
          <w:tcPr>
            <w:tcW w:w="1260" w:type="dxa"/>
            <w:vMerge w:val="restart"/>
            <w:vAlign w:val="center"/>
          </w:tcPr>
          <w:p w:rsidR="001548F9" w:rsidRPr="00646A7D" w:rsidRDefault="001548F9">
            <w:pPr>
              <w:autoSpaceDE w:val="0"/>
              <w:autoSpaceDN w:val="0"/>
              <w:adjustRightInd w:val="0"/>
              <w:spacing w:before="29" w:line="360" w:lineRule="auto"/>
              <w:ind w:left="15"/>
              <w:rPr>
                <w:rFonts w:eastAsiaTheme="minorEastAsia"/>
                <w:color w:val="000000"/>
                <w:kern w:val="0"/>
                <w:szCs w:val="21"/>
              </w:rPr>
            </w:pPr>
            <w:r w:rsidRPr="00646A7D">
              <w:rPr>
                <w:rFonts w:eastAsiaTheme="minorEastAsia"/>
                <w:color w:val="000000"/>
                <w:szCs w:val="21"/>
              </w:rPr>
              <w:t>信息披露负责人</w:t>
            </w:r>
          </w:p>
        </w:tc>
        <w:tc>
          <w:tcPr>
            <w:tcW w:w="1371"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姓名</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褚怡之</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方琦</w:t>
            </w:r>
          </w:p>
        </w:tc>
      </w:tr>
      <w:tr w:rsidR="001548F9" w:rsidRPr="00646A7D" w:rsidTr="00646A7D">
        <w:tc>
          <w:tcPr>
            <w:tcW w:w="1260" w:type="dxa"/>
            <w:vMerge/>
            <w:vAlign w:val="center"/>
          </w:tcPr>
          <w:p w:rsidR="001548F9" w:rsidRPr="00646A7D" w:rsidRDefault="001548F9">
            <w:pPr>
              <w:widowControl/>
              <w:jc w:val="left"/>
              <w:rPr>
                <w:rFonts w:eastAsiaTheme="minorEastAsia"/>
                <w:color w:val="000000"/>
                <w:kern w:val="0"/>
                <w:szCs w:val="21"/>
              </w:rPr>
            </w:pPr>
          </w:p>
        </w:tc>
        <w:tc>
          <w:tcPr>
            <w:tcW w:w="1371" w:type="dxa"/>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联系电话</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021-38992807</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0755-22160168</w:t>
            </w:r>
          </w:p>
        </w:tc>
      </w:tr>
      <w:tr w:rsidR="001548F9" w:rsidRPr="00646A7D" w:rsidTr="00646A7D">
        <w:tc>
          <w:tcPr>
            <w:tcW w:w="1260" w:type="dxa"/>
            <w:vMerge/>
            <w:vAlign w:val="center"/>
          </w:tcPr>
          <w:p w:rsidR="001548F9" w:rsidRPr="00646A7D" w:rsidRDefault="001548F9">
            <w:pPr>
              <w:widowControl/>
              <w:jc w:val="left"/>
              <w:rPr>
                <w:rFonts w:eastAsiaTheme="minorEastAsia"/>
                <w:color w:val="000000"/>
                <w:kern w:val="0"/>
                <w:szCs w:val="21"/>
              </w:rPr>
            </w:pPr>
          </w:p>
        </w:tc>
        <w:tc>
          <w:tcPr>
            <w:tcW w:w="1371" w:type="dxa"/>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电子邮箱</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customer.service@cpicfunds.com</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FANGQI275@pingan.com.cn</w:t>
            </w:r>
          </w:p>
        </w:tc>
      </w:tr>
      <w:tr w:rsidR="001548F9" w:rsidRPr="00646A7D" w:rsidTr="00646A7D">
        <w:tc>
          <w:tcPr>
            <w:tcW w:w="2631" w:type="dxa"/>
            <w:gridSpan w:val="2"/>
            <w:vAlign w:val="center"/>
          </w:tcPr>
          <w:p w:rsidR="001548F9" w:rsidRPr="00646A7D" w:rsidRDefault="001548F9">
            <w:pPr>
              <w:rPr>
                <w:rFonts w:eastAsiaTheme="minorEastAsia"/>
                <w:color w:val="000000"/>
                <w:szCs w:val="21"/>
              </w:rPr>
            </w:pPr>
            <w:r w:rsidRPr="00646A7D">
              <w:rPr>
                <w:rFonts w:eastAsiaTheme="minorEastAsia"/>
                <w:color w:val="000000"/>
                <w:szCs w:val="21"/>
              </w:rPr>
              <w:t>客户服务电话</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021-38784766/4007000365</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95511-3</w:t>
            </w:r>
          </w:p>
        </w:tc>
      </w:tr>
      <w:tr w:rsidR="001548F9" w:rsidRPr="00646A7D" w:rsidTr="00646A7D">
        <w:tc>
          <w:tcPr>
            <w:tcW w:w="2631" w:type="dxa"/>
            <w:gridSpan w:val="2"/>
            <w:vAlign w:val="center"/>
          </w:tcPr>
          <w:p w:rsidR="001548F9" w:rsidRPr="00646A7D" w:rsidRDefault="001548F9">
            <w:pPr>
              <w:rPr>
                <w:rFonts w:eastAsiaTheme="minorEastAsia"/>
                <w:color w:val="000000"/>
                <w:szCs w:val="21"/>
              </w:rPr>
            </w:pPr>
            <w:r w:rsidRPr="00646A7D">
              <w:rPr>
                <w:rFonts w:eastAsiaTheme="minorEastAsia"/>
                <w:color w:val="000000"/>
                <w:szCs w:val="21"/>
              </w:rPr>
              <w:t>传真</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021-50151582</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0755-82080387</w:t>
            </w:r>
          </w:p>
        </w:tc>
      </w:tr>
    </w:tbl>
    <w:p w:rsidR="001548F9" w:rsidRPr="00646A7D" w:rsidRDefault="001548F9" w:rsidP="00BA6974">
      <w:pPr>
        <w:pStyle w:val="20"/>
        <w:spacing w:beforeLines="100" w:after="0"/>
        <w:rPr>
          <w:rFonts w:ascii="Times New Roman" w:eastAsiaTheme="minorEastAsia" w:hAnsi="Times New Roman"/>
          <w:kern w:val="0"/>
          <w:sz w:val="21"/>
          <w:szCs w:val="21"/>
        </w:rPr>
      </w:pPr>
      <w:bookmarkStart w:id="9" w:name="_Toc331410072"/>
      <w:bookmarkStart w:id="10" w:name="_Toc225498248"/>
      <w:r w:rsidRPr="00646A7D">
        <w:rPr>
          <w:rFonts w:ascii="Times New Roman" w:eastAsiaTheme="minorEastAsia" w:hAnsi="Times New Roman"/>
          <w:kern w:val="0"/>
          <w:sz w:val="21"/>
          <w:szCs w:val="21"/>
        </w:rPr>
        <w:t xml:space="preserve">2.4 </w:t>
      </w:r>
      <w:r w:rsidRPr="00646A7D">
        <w:rPr>
          <w:rFonts w:ascii="Times New Roman" w:eastAsiaTheme="minorEastAsia" w:hAnsi="Times New Roman"/>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646A7D" w:rsidTr="00646A7D">
        <w:tc>
          <w:tcPr>
            <w:tcW w:w="4820" w:type="dxa"/>
            <w:vAlign w:val="center"/>
          </w:tcPr>
          <w:p w:rsidR="001548F9" w:rsidRPr="00646A7D" w:rsidRDefault="001548F9" w:rsidP="00752ACD">
            <w:pPr>
              <w:tabs>
                <w:tab w:val="left" w:pos="1740"/>
              </w:tabs>
              <w:rPr>
                <w:rFonts w:eastAsiaTheme="minorEastAsia"/>
                <w:color w:val="000000"/>
                <w:szCs w:val="21"/>
              </w:rPr>
            </w:pPr>
            <w:r w:rsidRPr="00646A7D">
              <w:rPr>
                <w:rFonts w:eastAsiaTheme="minorEastAsia"/>
                <w:color w:val="000000"/>
                <w:szCs w:val="21"/>
              </w:rPr>
              <w:t>登载基金</w:t>
            </w:r>
            <w:r w:rsidR="00106605" w:rsidRPr="00646A7D">
              <w:rPr>
                <w:rFonts w:eastAsiaTheme="minorEastAsia"/>
                <w:color w:val="000000"/>
                <w:szCs w:val="21"/>
              </w:rPr>
              <w:t>半</w:t>
            </w:r>
            <w:r w:rsidR="00C7084C" w:rsidRPr="00646A7D">
              <w:rPr>
                <w:rFonts w:eastAsiaTheme="minorEastAsia"/>
                <w:color w:val="000000"/>
                <w:szCs w:val="21"/>
              </w:rPr>
              <w:t>年度报告摘要</w:t>
            </w:r>
            <w:r w:rsidRPr="00646A7D">
              <w:rPr>
                <w:rFonts w:eastAsiaTheme="minorEastAsia"/>
                <w:color w:val="000000"/>
                <w:szCs w:val="21"/>
              </w:rPr>
              <w:t>的管理人互联网网址</w:t>
            </w:r>
          </w:p>
        </w:tc>
        <w:tc>
          <w:tcPr>
            <w:tcW w:w="4180" w:type="dxa"/>
            <w:vAlign w:val="center"/>
          </w:tcPr>
          <w:p w:rsidR="001548F9" w:rsidRPr="00646A7D" w:rsidRDefault="001548F9" w:rsidP="00A9431A">
            <w:pPr>
              <w:tabs>
                <w:tab w:val="left" w:pos="1740"/>
              </w:tabs>
              <w:rPr>
                <w:rFonts w:eastAsiaTheme="minorEastAsia"/>
                <w:color w:val="000000"/>
                <w:szCs w:val="21"/>
              </w:rPr>
            </w:pPr>
            <w:r w:rsidRPr="00646A7D">
              <w:rPr>
                <w:rFonts w:eastAsiaTheme="minorEastAsia"/>
                <w:color w:val="000000"/>
                <w:szCs w:val="21"/>
              </w:rPr>
              <w:t>www.cpicfunds.com</w:t>
            </w:r>
          </w:p>
        </w:tc>
      </w:tr>
      <w:tr w:rsidR="001548F9" w:rsidRPr="00646A7D" w:rsidTr="00646A7D">
        <w:tc>
          <w:tcPr>
            <w:tcW w:w="4820" w:type="dxa"/>
            <w:vAlign w:val="center"/>
          </w:tcPr>
          <w:p w:rsidR="001548F9" w:rsidRPr="00646A7D" w:rsidRDefault="001548F9" w:rsidP="00752ACD">
            <w:pPr>
              <w:tabs>
                <w:tab w:val="left" w:pos="1740"/>
              </w:tabs>
              <w:rPr>
                <w:rFonts w:eastAsiaTheme="minorEastAsia"/>
                <w:color w:val="000000"/>
                <w:szCs w:val="21"/>
              </w:rPr>
            </w:pPr>
            <w:r w:rsidRPr="00646A7D">
              <w:rPr>
                <w:rFonts w:eastAsiaTheme="minorEastAsia"/>
                <w:color w:val="000000"/>
                <w:szCs w:val="21"/>
              </w:rPr>
              <w:t>基金</w:t>
            </w:r>
            <w:r w:rsidR="00813F84" w:rsidRPr="00646A7D">
              <w:rPr>
                <w:rFonts w:eastAsiaTheme="minorEastAsia"/>
                <w:color w:val="000000"/>
                <w:szCs w:val="21"/>
              </w:rPr>
              <w:t>半</w:t>
            </w:r>
            <w:r w:rsidRPr="00646A7D">
              <w:rPr>
                <w:rFonts w:eastAsiaTheme="minorEastAsia"/>
                <w:color w:val="000000"/>
                <w:szCs w:val="21"/>
              </w:rPr>
              <w:t>年度报告备置地点</w:t>
            </w:r>
          </w:p>
        </w:tc>
        <w:tc>
          <w:tcPr>
            <w:tcW w:w="4180" w:type="dxa"/>
            <w:vAlign w:val="center"/>
          </w:tcPr>
          <w:p w:rsidR="001548F9" w:rsidRPr="00646A7D" w:rsidRDefault="001548F9" w:rsidP="00A9431A">
            <w:pPr>
              <w:tabs>
                <w:tab w:val="left" w:pos="1740"/>
              </w:tabs>
              <w:rPr>
                <w:rFonts w:eastAsiaTheme="minorEastAsia"/>
                <w:color w:val="000000"/>
                <w:szCs w:val="21"/>
              </w:rPr>
            </w:pPr>
            <w:r w:rsidRPr="00646A7D">
              <w:rPr>
                <w:rFonts w:eastAsiaTheme="minorEastAsia"/>
                <w:color w:val="000000"/>
                <w:szCs w:val="21"/>
              </w:rPr>
              <w:t>中国（上海）自由贸易试验区陆家嘴环路</w:t>
            </w:r>
            <w:r w:rsidRPr="00646A7D">
              <w:rPr>
                <w:rFonts w:eastAsiaTheme="minorEastAsia"/>
                <w:color w:val="000000"/>
                <w:szCs w:val="21"/>
              </w:rPr>
              <w:t xml:space="preserve"> 1318 </w:t>
            </w:r>
            <w:r w:rsidRPr="00646A7D">
              <w:rPr>
                <w:rFonts w:eastAsiaTheme="minorEastAsia"/>
                <w:color w:val="000000"/>
                <w:szCs w:val="21"/>
              </w:rPr>
              <w:t>号</w:t>
            </w:r>
            <w:r w:rsidRPr="00646A7D">
              <w:rPr>
                <w:rFonts w:eastAsiaTheme="minorEastAsia"/>
                <w:color w:val="000000"/>
                <w:szCs w:val="21"/>
              </w:rPr>
              <w:t xml:space="preserve"> 9 </w:t>
            </w:r>
            <w:r w:rsidRPr="00646A7D">
              <w:rPr>
                <w:rFonts w:eastAsiaTheme="minorEastAsia"/>
                <w:color w:val="000000"/>
                <w:szCs w:val="21"/>
              </w:rPr>
              <w:t>楼</w:t>
            </w:r>
          </w:p>
        </w:tc>
      </w:tr>
    </w:tbl>
    <w:p w:rsidR="001548F9" w:rsidRPr="00646A7D" w:rsidRDefault="001548F9" w:rsidP="00BA6974">
      <w:pPr>
        <w:pStyle w:val="1"/>
        <w:keepNext/>
        <w:keepLines/>
        <w:widowControl w:val="0"/>
        <w:spacing w:beforeLines="100" w:afterLines="100" w:line="360" w:lineRule="auto"/>
        <w:jc w:val="center"/>
        <w:rPr>
          <w:rFonts w:eastAsiaTheme="minorEastAsia"/>
          <w:b/>
          <w:bCs/>
          <w:sz w:val="21"/>
          <w:szCs w:val="21"/>
          <w:lang w:val="en-US"/>
        </w:rPr>
      </w:pPr>
      <w:bookmarkStart w:id="11" w:name="_Toc225498250"/>
      <w:bookmarkStart w:id="12" w:name="_Toc331410074"/>
      <w:bookmarkStart w:id="13" w:name="_Toc194312019"/>
      <w:bookmarkStart w:id="14" w:name="_Toc193947512"/>
      <w:r w:rsidRPr="00646A7D">
        <w:rPr>
          <w:rFonts w:eastAsiaTheme="minorEastAsia"/>
          <w:b/>
          <w:bCs/>
          <w:sz w:val="21"/>
          <w:szCs w:val="21"/>
          <w:lang w:val="en-US"/>
        </w:rPr>
        <w:t xml:space="preserve">3  </w:t>
      </w:r>
      <w:r w:rsidRPr="00646A7D">
        <w:rPr>
          <w:rFonts w:eastAsiaTheme="minorEastAsia"/>
          <w:b/>
          <w:bCs/>
          <w:sz w:val="21"/>
          <w:szCs w:val="21"/>
          <w:lang w:val="en-US"/>
        </w:rPr>
        <w:t>主要财务指标和基金净值表现</w:t>
      </w:r>
      <w:bookmarkEnd w:id="11"/>
      <w:bookmarkEnd w:id="12"/>
    </w:p>
    <w:p w:rsidR="001548F9" w:rsidRPr="00646A7D" w:rsidRDefault="001548F9" w:rsidP="003576C9">
      <w:pPr>
        <w:pStyle w:val="20"/>
        <w:spacing w:before="0" w:after="0"/>
        <w:rPr>
          <w:rFonts w:ascii="Times New Roman" w:eastAsiaTheme="minorEastAsia" w:hAnsi="Times New Roman"/>
          <w:kern w:val="0"/>
          <w:sz w:val="21"/>
          <w:szCs w:val="21"/>
        </w:rPr>
      </w:pPr>
      <w:bookmarkStart w:id="15" w:name="_Toc286996129"/>
      <w:r w:rsidRPr="00646A7D">
        <w:rPr>
          <w:rFonts w:ascii="Times New Roman" w:eastAsiaTheme="minorEastAsia" w:hAnsi="Times New Roman"/>
          <w:kern w:val="0"/>
          <w:sz w:val="21"/>
          <w:szCs w:val="21"/>
        </w:rPr>
        <w:t xml:space="preserve">3.1 </w:t>
      </w:r>
      <w:r w:rsidRPr="00646A7D">
        <w:rPr>
          <w:rFonts w:ascii="Times New Roman" w:eastAsiaTheme="minorEastAsia" w:hAnsi="Times New Roman"/>
          <w:kern w:val="0"/>
          <w:sz w:val="21"/>
          <w:szCs w:val="21"/>
        </w:rPr>
        <w:t>主要会计数据和财务指标</w:t>
      </w:r>
      <w:bookmarkEnd w:id="15"/>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744"/>
      </w:tblGrid>
      <w:tr w:rsidR="001548F9" w:rsidRPr="00646A7D" w:rsidTr="00646A7D">
        <w:trPr>
          <w:trHeight w:val="487"/>
        </w:trPr>
        <w:tc>
          <w:tcPr>
            <w:tcW w:w="4509" w:type="dxa"/>
            <w:vAlign w:val="center"/>
          </w:tcPr>
          <w:p w:rsidR="001548F9" w:rsidRPr="00646A7D" w:rsidRDefault="001548F9">
            <w:pPr>
              <w:rPr>
                <w:rFonts w:eastAsiaTheme="minorEastAsia"/>
                <w:b/>
                <w:szCs w:val="21"/>
              </w:rPr>
            </w:pPr>
            <w:r w:rsidRPr="00646A7D">
              <w:rPr>
                <w:rFonts w:eastAsiaTheme="minorEastAsia"/>
                <w:b/>
                <w:szCs w:val="21"/>
              </w:rPr>
              <w:t xml:space="preserve">3.1.1 </w:t>
            </w:r>
            <w:r w:rsidRPr="00646A7D">
              <w:rPr>
                <w:rFonts w:eastAsiaTheme="minorEastAsia"/>
                <w:b/>
                <w:szCs w:val="21"/>
              </w:rPr>
              <w:t>期间数据和指标</w:t>
            </w:r>
          </w:p>
        </w:tc>
        <w:tc>
          <w:tcPr>
            <w:tcW w:w="4744" w:type="dxa"/>
            <w:vAlign w:val="center"/>
          </w:tcPr>
          <w:p w:rsidR="001548F9" w:rsidRPr="00646A7D" w:rsidRDefault="001548F9" w:rsidP="0070173B">
            <w:pPr>
              <w:jc w:val="center"/>
              <w:rPr>
                <w:rFonts w:eastAsiaTheme="minorEastAsia"/>
                <w:b/>
                <w:szCs w:val="21"/>
              </w:rPr>
            </w:pPr>
            <w:r w:rsidRPr="00646A7D">
              <w:rPr>
                <w:rFonts w:eastAsiaTheme="minorEastAsia"/>
                <w:b/>
                <w:szCs w:val="21"/>
              </w:rPr>
              <w:t>报告期（</w:t>
            </w:r>
            <w:r w:rsidR="00A43357" w:rsidRPr="00646A7D">
              <w:rPr>
                <w:rFonts w:eastAsiaTheme="minorEastAsia"/>
                <w:b/>
                <w:szCs w:val="21"/>
              </w:rPr>
              <w:t>2018</w:t>
            </w:r>
            <w:r w:rsidR="00A43357" w:rsidRPr="00646A7D">
              <w:rPr>
                <w:rFonts w:eastAsiaTheme="minorEastAsia"/>
                <w:b/>
                <w:szCs w:val="21"/>
              </w:rPr>
              <w:t>年</w:t>
            </w:r>
            <w:r w:rsidR="00A43357" w:rsidRPr="00646A7D">
              <w:rPr>
                <w:rFonts w:eastAsiaTheme="minorEastAsia"/>
                <w:b/>
                <w:szCs w:val="21"/>
              </w:rPr>
              <w:t>1</w:t>
            </w:r>
            <w:r w:rsidR="00A43357" w:rsidRPr="00646A7D">
              <w:rPr>
                <w:rFonts w:eastAsiaTheme="minorEastAsia"/>
                <w:b/>
                <w:szCs w:val="21"/>
              </w:rPr>
              <w:t>月</w:t>
            </w:r>
            <w:r w:rsidR="00A43357" w:rsidRPr="00646A7D">
              <w:rPr>
                <w:rFonts w:eastAsiaTheme="minorEastAsia"/>
                <w:b/>
                <w:szCs w:val="21"/>
              </w:rPr>
              <w:t>1</w:t>
            </w:r>
            <w:r w:rsidR="00A43357" w:rsidRPr="00646A7D">
              <w:rPr>
                <w:rFonts w:eastAsiaTheme="minorEastAsia"/>
                <w:b/>
                <w:szCs w:val="21"/>
              </w:rPr>
              <w:t>日至</w:t>
            </w:r>
            <w:r w:rsidRPr="00646A7D">
              <w:rPr>
                <w:rFonts w:eastAsiaTheme="minorEastAsia"/>
                <w:b/>
                <w:szCs w:val="21"/>
              </w:rPr>
              <w:t>2018</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本期已实现收益</w:t>
            </w:r>
          </w:p>
        </w:tc>
        <w:tc>
          <w:tcPr>
            <w:tcW w:w="4744" w:type="dxa"/>
            <w:vAlign w:val="bottom"/>
          </w:tcPr>
          <w:p w:rsidR="001548F9" w:rsidRPr="00646A7D" w:rsidRDefault="001548F9" w:rsidP="008A1B95">
            <w:pPr>
              <w:jc w:val="right"/>
              <w:rPr>
                <w:rFonts w:eastAsiaTheme="minorEastAsia"/>
                <w:szCs w:val="21"/>
              </w:rPr>
            </w:pPr>
            <w:r w:rsidRPr="00646A7D">
              <w:rPr>
                <w:rFonts w:eastAsiaTheme="minorEastAsia"/>
                <w:szCs w:val="21"/>
              </w:rPr>
              <w:t>2,194,391.48</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3,043,006.32</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加权平均基金份额本期利润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0.0150</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本期基金份额净值增长率</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1.46%</w:t>
            </w:r>
          </w:p>
        </w:tc>
      </w:tr>
      <w:tr w:rsidR="001548F9" w:rsidRPr="00646A7D" w:rsidTr="00646A7D">
        <w:tc>
          <w:tcPr>
            <w:tcW w:w="4509" w:type="dxa"/>
            <w:vAlign w:val="center"/>
          </w:tcPr>
          <w:p w:rsidR="001548F9" w:rsidRPr="00646A7D" w:rsidRDefault="001548F9">
            <w:pPr>
              <w:rPr>
                <w:rFonts w:eastAsiaTheme="minorEastAsia"/>
                <w:b/>
                <w:szCs w:val="21"/>
              </w:rPr>
            </w:pPr>
            <w:r w:rsidRPr="00646A7D">
              <w:rPr>
                <w:rFonts w:eastAsiaTheme="minorEastAsia"/>
                <w:b/>
                <w:szCs w:val="21"/>
              </w:rPr>
              <w:t xml:space="preserve">3.1.2 </w:t>
            </w:r>
            <w:r w:rsidRPr="00646A7D">
              <w:rPr>
                <w:rFonts w:eastAsiaTheme="minorEastAsia"/>
                <w:b/>
                <w:szCs w:val="21"/>
              </w:rPr>
              <w:t>期末数据和指标</w:t>
            </w:r>
          </w:p>
        </w:tc>
        <w:tc>
          <w:tcPr>
            <w:tcW w:w="4744" w:type="dxa"/>
            <w:vAlign w:val="center"/>
          </w:tcPr>
          <w:p w:rsidR="001548F9" w:rsidRPr="00646A7D" w:rsidRDefault="001548F9" w:rsidP="00973C23">
            <w:pPr>
              <w:jc w:val="center"/>
              <w:rPr>
                <w:rFonts w:eastAsiaTheme="minorEastAsia"/>
                <w:b/>
                <w:szCs w:val="21"/>
              </w:rPr>
            </w:pPr>
            <w:r w:rsidRPr="00646A7D">
              <w:rPr>
                <w:rFonts w:eastAsiaTheme="minorEastAsia"/>
                <w:b/>
                <w:szCs w:val="21"/>
              </w:rPr>
              <w:t>报告期末</w:t>
            </w:r>
            <w:r w:rsidRPr="00646A7D">
              <w:rPr>
                <w:rFonts w:eastAsiaTheme="minorEastAsia"/>
                <w:b/>
                <w:szCs w:val="21"/>
              </w:rPr>
              <w:t>(2018</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r w:rsidRPr="00646A7D">
              <w:rPr>
                <w:rFonts w:eastAsiaTheme="minorEastAsia"/>
                <w:b/>
                <w:szCs w:val="21"/>
              </w:rPr>
              <w:t>)</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期末可供分配基金份额利润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0.0429</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期末基金资产净值</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211,005,593.69</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期末基金份额净值</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1.0429</w:t>
            </w:r>
          </w:p>
        </w:tc>
      </w:tr>
    </w:tbl>
    <w:bookmarkEnd w:id="13"/>
    <w:bookmarkEnd w:id="14"/>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、上述基金业绩指标不包括持有人交易基金的各项费用，例如，开放式基金的申购赎回费等，计入费用后实际收益要低于所列数字；</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3</w:t>
      </w:r>
      <w:r w:rsidRPr="00646A7D">
        <w:rPr>
          <w:rFonts w:eastAsiaTheme="minorEastAsia"/>
          <w:kern w:val="0"/>
          <w:szCs w:val="21"/>
        </w:rPr>
        <w:t>、对期末可供分配利润，采用期末资产负债表中未分配利润与未分配利润中已实现部分的孰低数。</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16" w:name="_Toc331410076"/>
      <w:bookmarkStart w:id="17" w:name="_Toc225498252"/>
      <w:r w:rsidRPr="00646A7D">
        <w:rPr>
          <w:rFonts w:ascii="Times New Roman" w:eastAsiaTheme="minorEastAsia" w:hAnsi="Times New Roman"/>
          <w:kern w:val="0"/>
          <w:sz w:val="21"/>
          <w:szCs w:val="21"/>
        </w:rPr>
        <w:t xml:space="preserve">3.2 </w:t>
      </w:r>
      <w:r w:rsidRPr="00646A7D">
        <w:rPr>
          <w:rFonts w:ascii="Times New Roman" w:eastAsiaTheme="minorEastAsia" w:hAnsi="Times New Roman"/>
          <w:kern w:val="0"/>
          <w:sz w:val="21"/>
          <w:szCs w:val="21"/>
        </w:rPr>
        <w:t>基金净值表现</w:t>
      </w:r>
      <w:bookmarkEnd w:id="16"/>
      <w:bookmarkEnd w:id="17"/>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3.2.1 </w:t>
      </w:r>
      <w:r w:rsidRPr="00646A7D">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646A7D" w:rsidTr="00646A7D">
        <w:tc>
          <w:tcPr>
            <w:tcW w:w="162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阶段</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份额净值增长率</w:t>
            </w:r>
            <w:r w:rsidRPr="00646A7D">
              <w:rPr>
                <w:rFonts w:ascii="宋体" w:hAnsi="宋体" w:cs="宋体" w:hint="eastAsia"/>
                <w:color w:val="000000"/>
                <w:szCs w:val="21"/>
              </w:rPr>
              <w:t>①</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份额净值增长率标准差</w:t>
            </w:r>
            <w:r w:rsidRPr="00646A7D">
              <w:rPr>
                <w:rFonts w:ascii="宋体" w:hAnsi="宋体" w:cs="宋体" w:hint="eastAsia"/>
                <w:color w:val="000000"/>
                <w:szCs w:val="21"/>
              </w:rPr>
              <w:t>②</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业绩比较基准收益率</w:t>
            </w:r>
            <w:r w:rsidRPr="00646A7D">
              <w:rPr>
                <w:rFonts w:ascii="宋体" w:hAnsi="宋体" w:cs="宋体" w:hint="eastAsia"/>
                <w:color w:val="000000"/>
                <w:szCs w:val="21"/>
              </w:rPr>
              <w:t>③</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业绩比较基准收益率标准差</w:t>
            </w:r>
            <w:r w:rsidRPr="00646A7D">
              <w:rPr>
                <w:rFonts w:ascii="宋体" w:hAnsi="宋体" w:cs="宋体" w:hint="eastAsia"/>
                <w:color w:val="000000"/>
                <w:szCs w:val="21"/>
              </w:rPr>
              <w:t>④</w:t>
            </w:r>
          </w:p>
        </w:tc>
        <w:tc>
          <w:tcPr>
            <w:tcW w:w="1350" w:type="dxa"/>
            <w:vAlign w:val="center"/>
          </w:tcPr>
          <w:p w:rsidR="001548F9" w:rsidRPr="00646A7D" w:rsidRDefault="001548F9">
            <w:pPr>
              <w:jc w:val="center"/>
              <w:rPr>
                <w:rFonts w:eastAsiaTheme="minorEastAsia"/>
                <w:color w:val="000000"/>
                <w:szCs w:val="21"/>
              </w:rPr>
            </w:pPr>
            <w:r w:rsidRPr="00646A7D">
              <w:rPr>
                <w:rFonts w:ascii="宋体" w:hAnsi="宋体" w:cs="宋体" w:hint="eastAsia"/>
                <w:color w:val="000000"/>
                <w:szCs w:val="21"/>
              </w:rPr>
              <w:t>①</w:t>
            </w:r>
            <w:r w:rsidRPr="00646A7D">
              <w:rPr>
                <w:rFonts w:eastAsiaTheme="minorEastAsia"/>
                <w:color w:val="000000"/>
                <w:szCs w:val="21"/>
              </w:rPr>
              <w:t>－</w:t>
            </w:r>
            <w:r w:rsidRPr="00646A7D">
              <w:rPr>
                <w:rFonts w:ascii="宋体" w:hAnsi="宋体" w:cs="宋体" w:hint="eastAsia"/>
                <w:color w:val="000000"/>
                <w:szCs w:val="21"/>
              </w:rPr>
              <w:t>③</w:t>
            </w:r>
          </w:p>
        </w:tc>
        <w:tc>
          <w:tcPr>
            <w:tcW w:w="1350" w:type="dxa"/>
            <w:vAlign w:val="center"/>
          </w:tcPr>
          <w:p w:rsidR="001548F9" w:rsidRPr="00646A7D" w:rsidRDefault="001548F9">
            <w:pPr>
              <w:jc w:val="center"/>
              <w:rPr>
                <w:rFonts w:eastAsiaTheme="minorEastAsia"/>
                <w:color w:val="000000"/>
                <w:szCs w:val="21"/>
              </w:rPr>
            </w:pPr>
            <w:r w:rsidRPr="00646A7D">
              <w:rPr>
                <w:rFonts w:ascii="宋体" w:hAnsi="宋体" w:cs="宋体" w:hint="eastAsia"/>
                <w:color w:val="000000"/>
                <w:szCs w:val="21"/>
              </w:rPr>
              <w:t>②</w:t>
            </w:r>
            <w:r w:rsidRPr="00646A7D">
              <w:rPr>
                <w:rFonts w:eastAsiaTheme="minorEastAsia"/>
                <w:color w:val="000000"/>
                <w:szCs w:val="21"/>
              </w:rPr>
              <w:t>－</w:t>
            </w:r>
            <w:r w:rsidRPr="00646A7D">
              <w:rPr>
                <w:rFonts w:ascii="宋体" w:hAnsi="宋体" w:cs="宋体" w:hint="eastAsia"/>
                <w:color w:val="000000"/>
                <w:szCs w:val="21"/>
              </w:rPr>
              <w:t>④</w:t>
            </w:r>
          </w:p>
        </w:tc>
      </w:tr>
      <w:tr w:rsidR="00DF0785">
        <w:tc>
          <w:tcPr>
            <w:tcW w:w="1620" w:type="dxa"/>
            <w:vAlign w:val="center"/>
          </w:tcPr>
          <w:p w:rsidR="00DF0785" w:rsidRDefault="00311CAE">
            <w:pPr>
              <w:jc w:val="left"/>
            </w:pPr>
            <w:r>
              <w:rPr>
                <w:rFonts w:eastAsiaTheme="minorEastAsia"/>
                <w:color w:val="000000"/>
                <w:szCs w:val="21"/>
              </w:rPr>
              <w:t>过去一个月</w:t>
            </w:r>
          </w:p>
        </w:tc>
        <w:tc>
          <w:tcPr>
            <w:tcW w:w="1350" w:type="dxa"/>
            <w:vAlign w:val="center"/>
          </w:tcPr>
          <w:p w:rsidR="00DF0785" w:rsidRDefault="00311CAE">
            <w:pPr>
              <w:jc w:val="center"/>
            </w:pPr>
            <w:r>
              <w:rPr>
                <w:rFonts w:eastAsiaTheme="minorEastAsia"/>
                <w:color w:val="000000"/>
                <w:szCs w:val="21"/>
              </w:rPr>
              <w:t>0.10%</w:t>
            </w:r>
          </w:p>
        </w:tc>
        <w:tc>
          <w:tcPr>
            <w:tcW w:w="1350" w:type="dxa"/>
            <w:vAlign w:val="center"/>
          </w:tcPr>
          <w:p w:rsidR="00DF0785" w:rsidRDefault="00311CAE">
            <w:pPr>
              <w:jc w:val="center"/>
            </w:pPr>
            <w:r>
              <w:rPr>
                <w:rFonts w:eastAsiaTheme="minorEastAsia"/>
                <w:color w:val="000000"/>
                <w:szCs w:val="21"/>
              </w:rPr>
              <w:t>0.01%</w:t>
            </w:r>
          </w:p>
        </w:tc>
        <w:tc>
          <w:tcPr>
            <w:tcW w:w="1350" w:type="dxa"/>
            <w:vAlign w:val="center"/>
          </w:tcPr>
          <w:p w:rsidR="00DF0785" w:rsidRDefault="00311CAE">
            <w:pPr>
              <w:jc w:val="center"/>
            </w:pPr>
            <w:r>
              <w:rPr>
                <w:rFonts w:eastAsiaTheme="minorEastAsia"/>
                <w:color w:val="000000"/>
                <w:szCs w:val="21"/>
              </w:rPr>
              <w:t>-1.20%</w:t>
            </w:r>
          </w:p>
        </w:tc>
        <w:tc>
          <w:tcPr>
            <w:tcW w:w="1350" w:type="dxa"/>
            <w:vAlign w:val="center"/>
          </w:tcPr>
          <w:p w:rsidR="00DF0785" w:rsidRDefault="00311CAE">
            <w:pPr>
              <w:jc w:val="center"/>
            </w:pPr>
            <w:r>
              <w:rPr>
                <w:rFonts w:eastAsiaTheme="minorEastAsia"/>
                <w:color w:val="000000"/>
                <w:szCs w:val="21"/>
              </w:rPr>
              <w:t>0.26%</w:t>
            </w:r>
          </w:p>
        </w:tc>
        <w:tc>
          <w:tcPr>
            <w:tcW w:w="1350" w:type="dxa"/>
            <w:vAlign w:val="center"/>
          </w:tcPr>
          <w:p w:rsidR="00DF0785" w:rsidRDefault="00311CAE">
            <w:pPr>
              <w:jc w:val="center"/>
            </w:pPr>
            <w:r>
              <w:rPr>
                <w:rFonts w:eastAsiaTheme="minorEastAsia"/>
                <w:color w:val="000000"/>
                <w:szCs w:val="21"/>
              </w:rPr>
              <w:t>1.30%</w:t>
            </w:r>
          </w:p>
        </w:tc>
        <w:tc>
          <w:tcPr>
            <w:tcW w:w="1350" w:type="dxa"/>
            <w:vAlign w:val="center"/>
          </w:tcPr>
          <w:p w:rsidR="00DF0785" w:rsidRDefault="00311CAE">
            <w:pPr>
              <w:jc w:val="center"/>
            </w:pPr>
            <w:r>
              <w:rPr>
                <w:rFonts w:eastAsiaTheme="minorEastAsia"/>
                <w:color w:val="000000"/>
                <w:szCs w:val="21"/>
              </w:rPr>
              <w:t>-0.25%</w:t>
            </w:r>
          </w:p>
        </w:tc>
      </w:tr>
      <w:tr w:rsidR="00DF0785">
        <w:tc>
          <w:tcPr>
            <w:tcW w:w="1620" w:type="dxa"/>
            <w:vAlign w:val="center"/>
          </w:tcPr>
          <w:p w:rsidR="00DF0785" w:rsidRDefault="00311CAE">
            <w:pPr>
              <w:jc w:val="left"/>
            </w:pPr>
            <w:r>
              <w:rPr>
                <w:rFonts w:eastAsiaTheme="minorEastAsia"/>
                <w:color w:val="000000"/>
                <w:szCs w:val="21"/>
              </w:rPr>
              <w:t>过去三个月</w:t>
            </w:r>
          </w:p>
        </w:tc>
        <w:tc>
          <w:tcPr>
            <w:tcW w:w="1350" w:type="dxa"/>
            <w:vAlign w:val="center"/>
          </w:tcPr>
          <w:p w:rsidR="00DF0785" w:rsidRDefault="00311CAE">
            <w:pPr>
              <w:jc w:val="center"/>
            </w:pPr>
            <w:r>
              <w:rPr>
                <w:rFonts w:eastAsiaTheme="minorEastAsia"/>
                <w:color w:val="000000"/>
                <w:szCs w:val="21"/>
              </w:rPr>
              <w:t>0.55%</w:t>
            </w:r>
          </w:p>
        </w:tc>
        <w:tc>
          <w:tcPr>
            <w:tcW w:w="1350" w:type="dxa"/>
            <w:vAlign w:val="center"/>
          </w:tcPr>
          <w:p w:rsidR="00DF0785" w:rsidRDefault="00311CAE">
            <w:pPr>
              <w:jc w:val="center"/>
            </w:pPr>
            <w:r>
              <w:rPr>
                <w:rFonts w:eastAsiaTheme="minorEastAsia"/>
                <w:color w:val="000000"/>
                <w:szCs w:val="21"/>
              </w:rPr>
              <w:t>0.01%</w:t>
            </w:r>
          </w:p>
        </w:tc>
        <w:tc>
          <w:tcPr>
            <w:tcW w:w="1350" w:type="dxa"/>
            <w:vAlign w:val="center"/>
          </w:tcPr>
          <w:p w:rsidR="00DF0785" w:rsidRDefault="00311CAE">
            <w:pPr>
              <w:jc w:val="center"/>
            </w:pPr>
            <w:r>
              <w:rPr>
                <w:rFonts w:eastAsiaTheme="minorEastAsia"/>
                <w:color w:val="000000"/>
                <w:szCs w:val="21"/>
              </w:rPr>
              <w:t>-0.82%</w:t>
            </w:r>
          </w:p>
        </w:tc>
        <w:tc>
          <w:tcPr>
            <w:tcW w:w="1350" w:type="dxa"/>
            <w:vAlign w:val="center"/>
          </w:tcPr>
          <w:p w:rsidR="00DF0785" w:rsidRDefault="00311CAE">
            <w:pPr>
              <w:jc w:val="center"/>
            </w:pPr>
            <w:r>
              <w:rPr>
                <w:rFonts w:eastAsiaTheme="minorEastAsia"/>
                <w:color w:val="000000"/>
                <w:szCs w:val="21"/>
              </w:rPr>
              <w:t>0.23%</w:t>
            </w:r>
          </w:p>
        </w:tc>
        <w:tc>
          <w:tcPr>
            <w:tcW w:w="1350" w:type="dxa"/>
            <w:vAlign w:val="center"/>
          </w:tcPr>
          <w:p w:rsidR="00DF0785" w:rsidRDefault="00311CAE">
            <w:pPr>
              <w:jc w:val="center"/>
            </w:pPr>
            <w:r>
              <w:rPr>
                <w:rFonts w:eastAsiaTheme="minorEastAsia"/>
                <w:color w:val="000000"/>
                <w:szCs w:val="21"/>
              </w:rPr>
              <w:t>1.37%</w:t>
            </w:r>
          </w:p>
        </w:tc>
        <w:tc>
          <w:tcPr>
            <w:tcW w:w="1350" w:type="dxa"/>
            <w:vAlign w:val="center"/>
          </w:tcPr>
          <w:p w:rsidR="00DF0785" w:rsidRDefault="00311CAE">
            <w:pPr>
              <w:jc w:val="center"/>
            </w:pPr>
            <w:r>
              <w:rPr>
                <w:rFonts w:eastAsiaTheme="minorEastAsia"/>
                <w:color w:val="000000"/>
                <w:szCs w:val="21"/>
              </w:rPr>
              <w:t>-0.22%</w:t>
            </w:r>
          </w:p>
        </w:tc>
      </w:tr>
      <w:tr w:rsidR="00DF0785">
        <w:tc>
          <w:tcPr>
            <w:tcW w:w="1620" w:type="dxa"/>
            <w:vAlign w:val="center"/>
          </w:tcPr>
          <w:p w:rsidR="00DF0785" w:rsidRDefault="00311CAE">
            <w:pPr>
              <w:jc w:val="left"/>
            </w:pPr>
            <w:r>
              <w:rPr>
                <w:rFonts w:eastAsiaTheme="minorEastAsia"/>
                <w:color w:val="000000"/>
                <w:szCs w:val="21"/>
              </w:rPr>
              <w:t>过去六个月</w:t>
            </w:r>
          </w:p>
        </w:tc>
        <w:tc>
          <w:tcPr>
            <w:tcW w:w="1350" w:type="dxa"/>
            <w:vAlign w:val="center"/>
          </w:tcPr>
          <w:p w:rsidR="00DF0785" w:rsidRDefault="00311CAE">
            <w:pPr>
              <w:jc w:val="center"/>
            </w:pPr>
            <w:r>
              <w:rPr>
                <w:rFonts w:eastAsiaTheme="minorEastAsia"/>
                <w:color w:val="000000"/>
                <w:szCs w:val="21"/>
              </w:rPr>
              <w:t>1.46%</w:t>
            </w:r>
          </w:p>
        </w:tc>
        <w:tc>
          <w:tcPr>
            <w:tcW w:w="1350" w:type="dxa"/>
            <w:vAlign w:val="center"/>
          </w:tcPr>
          <w:p w:rsidR="00DF0785" w:rsidRDefault="00311CAE">
            <w:pPr>
              <w:jc w:val="center"/>
            </w:pPr>
            <w:r>
              <w:rPr>
                <w:rFonts w:eastAsiaTheme="minorEastAsia"/>
                <w:color w:val="000000"/>
                <w:szCs w:val="21"/>
              </w:rPr>
              <w:t>0.03%</w:t>
            </w:r>
          </w:p>
        </w:tc>
        <w:tc>
          <w:tcPr>
            <w:tcW w:w="1350" w:type="dxa"/>
            <w:vAlign w:val="center"/>
          </w:tcPr>
          <w:p w:rsidR="00DF0785" w:rsidRDefault="00311CAE">
            <w:pPr>
              <w:jc w:val="center"/>
            </w:pPr>
            <w:r>
              <w:rPr>
                <w:rFonts w:eastAsiaTheme="minorEastAsia"/>
                <w:color w:val="000000"/>
                <w:szCs w:val="21"/>
              </w:rPr>
              <w:t>-0.38%</w:t>
            </w:r>
          </w:p>
        </w:tc>
        <w:tc>
          <w:tcPr>
            <w:tcW w:w="1350" w:type="dxa"/>
            <w:vAlign w:val="center"/>
          </w:tcPr>
          <w:p w:rsidR="00DF0785" w:rsidRDefault="00311CAE">
            <w:pPr>
              <w:jc w:val="center"/>
            </w:pPr>
            <w:r>
              <w:rPr>
                <w:rFonts w:eastAsiaTheme="minorEastAsia"/>
                <w:color w:val="000000"/>
                <w:szCs w:val="21"/>
              </w:rPr>
              <w:t>0.23%</w:t>
            </w:r>
          </w:p>
        </w:tc>
        <w:tc>
          <w:tcPr>
            <w:tcW w:w="1350" w:type="dxa"/>
            <w:vAlign w:val="center"/>
          </w:tcPr>
          <w:p w:rsidR="00DF0785" w:rsidRDefault="00311CAE">
            <w:pPr>
              <w:jc w:val="center"/>
            </w:pPr>
            <w:r>
              <w:rPr>
                <w:rFonts w:eastAsiaTheme="minorEastAsia"/>
                <w:color w:val="000000"/>
                <w:szCs w:val="21"/>
              </w:rPr>
              <w:t>1.84%</w:t>
            </w:r>
          </w:p>
        </w:tc>
        <w:tc>
          <w:tcPr>
            <w:tcW w:w="1350" w:type="dxa"/>
            <w:vAlign w:val="center"/>
          </w:tcPr>
          <w:p w:rsidR="00DF0785" w:rsidRDefault="00311CAE">
            <w:pPr>
              <w:jc w:val="center"/>
            </w:pPr>
            <w:r>
              <w:rPr>
                <w:rFonts w:eastAsiaTheme="minorEastAsia"/>
                <w:color w:val="000000"/>
                <w:szCs w:val="21"/>
              </w:rPr>
              <w:t>-0.20%</w:t>
            </w:r>
          </w:p>
        </w:tc>
      </w:tr>
      <w:tr w:rsidR="00DF0785">
        <w:tc>
          <w:tcPr>
            <w:tcW w:w="1620" w:type="dxa"/>
            <w:vAlign w:val="center"/>
          </w:tcPr>
          <w:p w:rsidR="00DF0785" w:rsidRDefault="00311CAE">
            <w:pPr>
              <w:jc w:val="left"/>
            </w:pPr>
            <w:r>
              <w:rPr>
                <w:rFonts w:eastAsiaTheme="minorEastAsia"/>
                <w:color w:val="000000"/>
                <w:szCs w:val="21"/>
              </w:rPr>
              <w:t>过去一年</w:t>
            </w:r>
          </w:p>
        </w:tc>
        <w:tc>
          <w:tcPr>
            <w:tcW w:w="1350" w:type="dxa"/>
            <w:vAlign w:val="center"/>
          </w:tcPr>
          <w:p w:rsidR="00DF0785" w:rsidRDefault="00311CAE">
            <w:pPr>
              <w:jc w:val="center"/>
            </w:pPr>
            <w:r>
              <w:rPr>
                <w:rFonts w:eastAsiaTheme="minorEastAsia"/>
                <w:color w:val="000000"/>
                <w:szCs w:val="21"/>
              </w:rPr>
              <w:t>2.80%</w:t>
            </w:r>
          </w:p>
        </w:tc>
        <w:tc>
          <w:tcPr>
            <w:tcW w:w="1350" w:type="dxa"/>
            <w:vAlign w:val="center"/>
          </w:tcPr>
          <w:p w:rsidR="00DF0785" w:rsidRDefault="00311CAE">
            <w:pPr>
              <w:jc w:val="center"/>
            </w:pPr>
            <w:r>
              <w:rPr>
                <w:rFonts w:eastAsiaTheme="minorEastAsia"/>
                <w:color w:val="000000"/>
                <w:szCs w:val="21"/>
              </w:rPr>
              <w:t>0.03%</w:t>
            </w:r>
          </w:p>
        </w:tc>
        <w:tc>
          <w:tcPr>
            <w:tcW w:w="1350" w:type="dxa"/>
            <w:vAlign w:val="center"/>
          </w:tcPr>
          <w:p w:rsidR="00DF0785" w:rsidRDefault="00311CAE">
            <w:pPr>
              <w:jc w:val="center"/>
            </w:pPr>
            <w:r>
              <w:rPr>
                <w:rFonts w:eastAsiaTheme="minorEastAsia"/>
                <w:color w:val="000000"/>
                <w:szCs w:val="21"/>
              </w:rPr>
              <w:t>1.80%</w:t>
            </w:r>
          </w:p>
        </w:tc>
        <w:tc>
          <w:tcPr>
            <w:tcW w:w="1350" w:type="dxa"/>
            <w:vAlign w:val="center"/>
          </w:tcPr>
          <w:p w:rsidR="00DF0785" w:rsidRDefault="00311CAE">
            <w:pPr>
              <w:jc w:val="center"/>
            </w:pPr>
            <w:r>
              <w:rPr>
                <w:rFonts w:eastAsiaTheme="minorEastAsia"/>
                <w:color w:val="000000"/>
                <w:szCs w:val="21"/>
              </w:rPr>
              <w:t>0.19%</w:t>
            </w:r>
          </w:p>
        </w:tc>
        <w:tc>
          <w:tcPr>
            <w:tcW w:w="1350" w:type="dxa"/>
            <w:vAlign w:val="center"/>
          </w:tcPr>
          <w:p w:rsidR="00DF0785" w:rsidRDefault="00311CAE">
            <w:pPr>
              <w:jc w:val="center"/>
            </w:pPr>
            <w:r>
              <w:rPr>
                <w:rFonts w:eastAsiaTheme="minorEastAsia"/>
                <w:color w:val="000000"/>
                <w:szCs w:val="21"/>
              </w:rPr>
              <w:t>1.00%</w:t>
            </w:r>
          </w:p>
        </w:tc>
        <w:tc>
          <w:tcPr>
            <w:tcW w:w="1350" w:type="dxa"/>
            <w:vAlign w:val="center"/>
          </w:tcPr>
          <w:p w:rsidR="00DF0785" w:rsidRDefault="00311CAE">
            <w:pPr>
              <w:jc w:val="center"/>
            </w:pPr>
            <w:r>
              <w:rPr>
                <w:rFonts w:eastAsiaTheme="minorEastAsia"/>
                <w:color w:val="000000"/>
                <w:szCs w:val="21"/>
              </w:rPr>
              <w:t>-0.16%</w:t>
            </w:r>
          </w:p>
        </w:tc>
      </w:tr>
      <w:tr w:rsidR="00DF0785">
        <w:tc>
          <w:tcPr>
            <w:tcW w:w="1620" w:type="dxa"/>
            <w:vAlign w:val="center"/>
          </w:tcPr>
          <w:p w:rsidR="00DF0785" w:rsidRDefault="00311CAE">
            <w:pPr>
              <w:jc w:val="left"/>
            </w:pPr>
            <w:r>
              <w:rPr>
                <w:rFonts w:eastAsiaTheme="minorEastAsia"/>
                <w:color w:val="000000"/>
                <w:szCs w:val="21"/>
              </w:rPr>
              <w:t>过去三年</w:t>
            </w:r>
          </w:p>
        </w:tc>
        <w:tc>
          <w:tcPr>
            <w:tcW w:w="1350" w:type="dxa"/>
            <w:vAlign w:val="center"/>
          </w:tcPr>
          <w:p w:rsidR="00DF0785" w:rsidRDefault="00311CAE">
            <w:pPr>
              <w:jc w:val="center"/>
            </w:pPr>
            <w:r>
              <w:rPr>
                <w:rFonts w:eastAsiaTheme="minorEastAsia"/>
                <w:color w:val="000000"/>
                <w:szCs w:val="21"/>
              </w:rPr>
              <w:t>-</w:t>
            </w:r>
          </w:p>
        </w:tc>
        <w:tc>
          <w:tcPr>
            <w:tcW w:w="1350" w:type="dxa"/>
            <w:vAlign w:val="center"/>
          </w:tcPr>
          <w:p w:rsidR="00DF0785" w:rsidRDefault="00311CAE">
            <w:pPr>
              <w:jc w:val="center"/>
            </w:pPr>
            <w:r>
              <w:rPr>
                <w:rFonts w:eastAsiaTheme="minorEastAsia"/>
                <w:color w:val="000000"/>
                <w:szCs w:val="21"/>
              </w:rPr>
              <w:t>-</w:t>
            </w:r>
          </w:p>
        </w:tc>
        <w:tc>
          <w:tcPr>
            <w:tcW w:w="1350" w:type="dxa"/>
            <w:vAlign w:val="center"/>
          </w:tcPr>
          <w:p w:rsidR="00DF0785" w:rsidRDefault="00311CAE">
            <w:pPr>
              <w:jc w:val="center"/>
            </w:pPr>
            <w:r>
              <w:rPr>
                <w:rFonts w:eastAsiaTheme="minorEastAsia"/>
                <w:color w:val="000000"/>
                <w:szCs w:val="21"/>
              </w:rPr>
              <w:t>-</w:t>
            </w:r>
          </w:p>
        </w:tc>
        <w:tc>
          <w:tcPr>
            <w:tcW w:w="1350" w:type="dxa"/>
            <w:vAlign w:val="center"/>
          </w:tcPr>
          <w:p w:rsidR="00DF0785" w:rsidRDefault="00311CAE">
            <w:pPr>
              <w:jc w:val="center"/>
            </w:pPr>
            <w:r>
              <w:rPr>
                <w:rFonts w:eastAsiaTheme="minorEastAsia"/>
                <w:color w:val="000000"/>
                <w:szCs w:val="21"/>
              </w:rPr>
              <w:t>-</w:t>
            </w:r>
          </w:p>
        </w:tc>
        <w:tc>
          <w:tcPr>
            <w:tcW w:w="1350" w:type="dxa"/>
            <w:vAlign w:val="center"/>
          </w:tcPr>
          <w:p w:rsidR="00DF0785" w:rsidRDefault="00311CAE">
            <w:pPr>
              <w:jc w:val="center"/>
            </w:pPr>
            <w:r>
              <w:rPr>
                <w:rFonts w:eastAsiaTheme="minorEastAsia"/>
                <w:color w:val="000000"/>
                <w:szCs w:val="21"/>
              </w:rPr>
              <w:t>-</w:t>
            </w:r>
          </w:p>
        </w:tc>
        <w:tc>
          <w:tcPr>
            <w:tcW w:w="1350" w:type="dxa"/>
            <w:vAlign w:val="center"/>
          </w:tcPr>
          <w:p w:rsidR="00DF0785" w:rsidRDefault="00311CAE">
            <w:pPr>
              <w:jc w:val="center"/>
            </w:pPr>
            <w:r>
              <w:rPr>
                <w:rFonts w:eastAsiaTheme="minorEastAsia"/>
                <w:color w:val="000000"/>
                <w:szCs w:val="21"/>
              </w:rPr>
              <w:t>-</w:t>
            </w:r>
          </w:p>
        </w:tc>
      </w:tr>
      <w:tr w:rsidR="00DF0785">
        <w:tc>
          <w:tcPr>
            <w:tcW w:w="1620" w:type="dxa"/>
            <w:vAlign w:val="center"/>
          </w:tcPr>
          <w:p w:rsidR="00DF0785" w:rsidRDefault="00311CAE">
            <w:pPr>
              <w:jc w:val="left"/>
            </w:pPr>
            <w:r>
              <w:rPr>
                <w:rFonts w:eastAsiaTheme="minorEastAsia"/>
                <w:color w:val="000000"/>
                <w:szCs w:val="21"/>
              </w:rPr>
              <w:t>自基金合同生效起至今</w:t>
            </w:r>
          </w:p>
        </w:tc>
        <w:tc>
          <w:tcPr>
            <w:tcW w:w="1350" w:type="dxa"/>
            <w:vAlign w:val="center"/>
          </w:tcPr>
          <w:p w:rsidR="00DF0785" w:rsidRDefault="00311CAE">
            <w:pPr>
              <w:jc w:val="center"/>
            </w:pPr>
            <w:r>
              <w:rPr>
                <w:rFonts w:eastAsiaTheme="minorEastAsia"/>
                <w:color w:val="000000"/>
                <w:szCs w:val="21"/>
              </w:rPr>
              <w:t>4.29%</w:t>
            </w:r>
          </w:p>
        </w:tc>
        <w:tc>
          <w:tcPr>
            <w:tcW w:w="1350" w:type="dxa"/>
            <w:vAlign w:val="center"/>
          </w:tcPr>
          <w:p w:rsidR="00DF0785" w:rsidRDefault="00311CAE">
            <w:pPr>
              <w:jc w:val="center"/>
            </w:pPr>
            <w:r>
              <w:rPr>
                <w:rFonts w:eastAsiaTheme="minorEastAsia"/>
                <w:color w:val="000000"/>
                <w:szCs w:val="21"/>
              </w:rPr>
              <w:t>0.03%</w:t>
            </w:r>
          </w:p>
        </w:tc>
        <w:tc>
          <w:tcPr>
            <w:tcW w:w="1350" w:type="dxa"/>
            <w:vAlign w:val="center"/>
          </w:tcPr>
          <w:p w:rsidR="00DF0785" w:rsidRDefault="00311CAE">
            <w:pPr>
              <w:jc w:val="center"/>
            </w:pPr>
            <w:r>
              <w:rPr>
                <w:rFonts w:eastAsiaTheme="minorEastAsia"/>
                <w:color w:val="000000"/>
                <w:szCs w:val="21"/>
              </w:rPr>
              <w:t>4.46%</w:t>
            </w:r>
          </w:p>
        </w:tc>
        <w:tc>
          <w:tcPr>
            <w:tcW w:w="1350" w:type="dxa"/>
            <w:vAlign w:val="center"/>
          </w:tcPr>
          <w:p w:rsidR="00DF0785" w:rsidRDefault="00311CAE">
            <w:pPr>
              <w:jc w:val="center"/>
            </w:pPr>
            <w:r>
              <w:rPr>
                <w:rFonts w:eastAsiaTheme="minorEastAsia"/>
                <w:color w:val="000000"/>
                <w:szCs w:val="21"/>
              </w:rPr>
              <w:t>0.17%</w:t>
            </w:r>
          </w:p>
        </w:tc>
        <w:tc>
          <w:tcPr>
            <w:tcW w:w="1350" w:type="dxa"/>
            <w:vAlign w:val="center"/>
          </w:tcPr>
          <w:p w:rsidR="00DF0785" w:rsidRDefault="00311CAE">
            <w:pPr>
              <w:jc w:val="center"/>
            </w:pPr>
            <w:r>
              <w:rPr>
                <w:rFonts w:eastAsiaTheme="minorEastAsia"/>
                <w:color w:val="000000"/>
                <w:szCs w:val="21"/>
              </w:rPr>
              <w:t>-0.17%</w:t>
            </w:r>
          </w:p>
        </w:tc>
        <w:tc>
          <w:tcPr>
            <w:tcW w:w="1350" w:type="dxa"/>
            <w:vAlign w:val="center"/>
          </w:tcPr>
          <w:p w:rsidR="00DF0785" w:rsidRDefault="00311CAE">
            <w:pPr>
              <w:jc w:val="center"/>
            </w:pPr>
            <w:r>
              <w:rPr>
                <w:rFonts w:eastAsiaTheme="minorEastAsia"/>
                <w:color w:val="000000"/>
                <w:szCs w:val="21"/>
              </w:rPr>
              <w:t>-0.14%</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注：上述基金业绩指标不包括持有人认购或交易基金的各项费用，计入费用后实际收益水平要低于所列数字。</w:t>
      </w:r>
    </w:p>
    <w:p w:rsidR="001548F9" w:rsidRPr="00646A7D" w:rsidRDefault="001548F9" w:rsidP="00BA6974">
      <w:pPr>
        <w:spacing w:beforeLines="100" w:line="360" w:lineRule="auto"/>
        <w:rPr>
          <w:rFonts w:eastAsiaTheme="minorEastAsia"/>
          <w:b/>
          <w:kern w:val="0"/>
          <w:szCs w:val="21"/>
        </w:rPr>
      </w:pPr>
      <w:r w:rsidRPr="00646A7D">
        <w:rPr>
          <w:rFonts w:eastAsiaTheme="minorEastAsia"/>
          <w:b/>
          <w:kern w:val="0"/>
          <w:szCs w:val="21"/>
        </w:rPr>
        <w:t>3.2.2</w:t>
      </w:r>
      <w:r w:rsidR="00582653" w:rsidRPr="00646A7D">
        <w:rPr>
          <w:rStyle w:val="af8"/>
          <w:rFonts w:eastAsiaTheme="minorEastAsia"/>
          <w:color w:val="000000"/>
          <w:szCs w:val="21"/>
          <w:shd w:val="clear" w:color="auto" w:fill="FFFFFF"/>
        </w:rPr>
        <w:t>自基金合同生效以来</w:t>
      </w:r>
      <w:r w:rsidRPr="00646A7D">
        <w:rPr>
          <w:rFonts w:eastAsiaTheme="minorEastAsia"/>
          <w:b/>
          <w:kern w:val="0"/>
          <w:szCs w:val="21"/>
        </w:rPr>
        <w:t>基金份额累计净值增长率变动及其与同期业绩比较基准收益率变动的比较</w:t>
      </w:r>
    </w:p>
    <w:p w:rsidR="001548F9" w:rsidRPr="00646A7D" w:rsidRDefault="001548F9" w:rsidP="003576C9">
      <w:pPr>
        <w:spacing w:line="360" w:lineRule="auto"/>
        <w:ind w:firstLine="420"/>
        <w:jc w:val="center"/>
        <w:rPr>
          <w:rFonts w:eastAsiaTheme="minorEastAsia"/>
          <w:kern w:val="0"/>
          <w:szCs w:val="21"/>
        </w:rPr>
      </w:pPr>
      <w:r w:rsidRPr="00646A7D">
        <w:rPr>
          <w:rFonts w:eastAsiaTheme="minorEastAsia"/>
          <w:kern w:val="0"/>
          <w:szCs w:val="21"/>
        </w:rPr>
        <w:t>国联安睿智定期开放混合型证券投资基金</w:t>
      </w:r>
    </w:p>
    <w:p w:rsidR="001548F9" w:rsidRPr="00646A7D" w:rsidRDefault="00CE3047" w:rsidP="003576C9">
      <w:pPr>
        <w:spacing w:line="360" w:lineRule="auto"/>
        <w:ind w:firstLine="420"/>
        <w:jc w:val="center"/>
        <w:rPr>
          <w:rFonts w:eastAsiaTheme="minorEastAsia"/>
          <w:kern w:val="0"/>
          <w:szCs w:val="21"/>
        </w:rPr>
      </w:pPr>
      <w:r w:rsidRPr="00646A7D">
        <w:rPr>
          <w:rFonts w:eastAsiaTheme="minorEastAsia"/>
          <w:kern w:val="0"/>
          <w:szCs w:val="21"/>
        </w:rPr>
        <w:t>份额累计净值增长率与业绩比较基准收益率</w:t>
      </w:r>
      <w:r w:rsidR="001548F9" w:rsidRPr="00646A7D">
        <w:rPr>
          <w:rFonts w:eastAsiaTheme="minorEastAsia"/>
          <w:kern w:val="0"/>
          <w:szCs w:val="21"/>
        </w:rPr>
        <w:t>历史走势对比图</w:t>
      </w:r>
    </w:p>
    <w:p w:rsidR="001548F9" w:rsidRPr="00646A7D" w:rsidRDefault="00777C63" w:rsidP="003576C9">
      <w:pPr>
        <w:pStyle w:val="a5"/>
        <w:snapToGrid w:val="0"/>
        <w:spacing w:line="360" w:lineRule="auto"/>
        <w:ind w:firstLine="480"/>
        <w:jc w:val="center"/>
        <w:rPr>
          <w:rFonts w:ascii="Times New Roman" w:eastAsiaTheme="minorEastAsia" w:hAnsi="Times New Roman"/>
        </w:rPr>
      </w:pPr>
      <w:r w:rsidRPr="00646A7D">
        <w:rPr>
          <w:rFonts w:ascii="Times New Roman" w:eastAsiaTheme="minorEastAsia" w:hAnsi="Times New Roman"/>
        </w:rPr>
        <w:t>（</w:t>
      </w:r>
      <w:r w:rsidR="001548F9" w:rsidRPr="00646A7D">
        <w:rPr>
          <w:rFonts w:ascii="Times New Roman" w:eastAsiaTheme="minorEastAsia" w:hAnsi="Times New Roman"/>
        </w:rPr>
        <w:t>2016</w:t>
      </w:r>
      <w:r w:rsidR="001548F9" w:rsidRPr="00646A7D">
        <w:rPr>
          <w:rFonts w:ascii="Times New Roman" w:eastAsiaTheme="minorEastAsia" w:hAnsi="Times New Roman"/>
        </w:rPr>
        <w:t>年</w:t>
      </w:r>
      <w:r w:rsidR="001548F9" w:rsidRPr="00646A7D">
        <w:rPr>
          <w:rFonts w:ascii="Times New Roman" w:eastAsiaTheme="minorEastAsia" w:hAnsi="Times New Roman"/>
        </w:rPr>
        <w:t>12</w:t>
      </w:r>
      <w:r w:rsidR="001548F9" w:rsidRPr="00646A7D">
        <w:rPr>
          <w:rFonts w:ascii="Times New Roman" w:eastAsiaTheme="minorEastAsia" w:hAnsi="Times New Roman"/>
        </w:rPr>
        <w:t>月</w:t>
      </w:r>
      <w:r w:rsidR="001548F9" w:rsidRPr="00646A7D">
        <w:rPr>
          <w:rFonts w:ascii="Times New Roman" w:eastAsiaTheme="minorEastAsia" w:hAnsi="Times New Roman"/>
        </w:rPr>
        <w:t>29</w:t>
      </w:r>
      <w:r w:rsidR="001548F9" w:rsidRPr="00646A7D">
        <w:rPr>
          <w:rFonts w:ascii="Times New Roman" w:eastAsiaTheme="minorEastAsia" w:hAnsi="Times New Roman"/>
        </w:rPr>
        <w:t>日至</w:t>
      </w:r>
      <w:r w:rsidRPr="00646A7D">
        <w:rPr>
          <w:rFonts w:ascii="Times New Roman" w:eastAsiaTheme="minorEastAsia" w:hAnsi="Times New Roman"/>
        </w:rPr>
        <w:t>2018</w:t>
      </w:r>
      <w:r w:rsidRPr="00646A7D">
        <w:rPr>
          <w:rFonts w:ascii="Times New Roman" w:eastAsiaTheme="minorEastAsia" w:hAnsi="Times New Roman"/>
        </w:rPr>
        <w:t>年</w:t>
      </w:r>
      <w:r w:rsidRPr="00646A7D">
        <w:rPr>
          <w:rFonts w:ascii="Times New Roman" w:eastAsiaTheme="minorEastAsia" w:hAnsi="Times New Roman"/>
        </w:rPr>
        <w:t>6</w:t>
      </w:r>
      <w:r w:rsidRPr="00646A7D">
        <w:rPr>
          <w:rFonts w:ascii="Times New Roman" w:eastAsiaTheme="minorEastAsia" w:hAnsi="Times New Roman"/>
        </w:rPr>
        <w:t>月</w:t>
      </w:r>
      <w:r w:rsidRPr="00646A7D">
        <w:rPr>
          <w:rFonts w:ascii="Times New Roman" w:eastAsiaTheme="minorEastAsia" w:hAnsi="Times New Roman"/>
        </w:rPr>
        <w:t>30</w:t>
      </w:r>
      <w:r w:rsidRPr="00646A7D">
        <w:rPr>
          <w:rFonts w:ascii="Times New Roman" w:eastAsiaTheme="minorEastAsia" w:hAnsi="Times New Roman"/>
        </w:rPr>
        <w:t>日）</w:t>
      </w:r>
    </w:p>
    <w:p w:rsidR="001548F9" w:rsidRPr="00646A7D" w:rsidRDefault="00D07362" w:rsidP="00D82066">
      <w:pPr>
        <w:spacing w:line="360" w:lineRule="auto"/>
        <w:jc w:val="center"/>
        <w:rPr>
          <w:rFonts w:eastAsiaTheme="minorEastAsia"/>
          <w:color w:val="000000"/>
          <w:szCs w:val="21"/>
        </w:rPr>
      </w:pPr>
      <w:r w:rsidRPr="00646A7D">
        <w:rPr>
          <w:rFonts w:eastAsia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、本基金业绩比较基准为：沪深</w:t>
      </w:r>
      <w:r>
        <w:rPr>
          <w:rFonts w:eastAsiaTheme="minorEastAsia"/>
          <w:kern w:val="0"/>
          <w:szCs w:val="21"/>
        </w:rPr>
        <w:t xml:space="preserve">300 </w:t>
      </w:r>
      <w:r>
        <w:rPr>
          <w:rFonts w:eastAsiaTheme="minorEastAsia"/>
          <w:kern w:val="0"/>
          <w:szCs w:val="21"/>
        </w:rPr>
        <w:t>指数收益率</w:t>
      </w:r>
      <w:r>
        <w:rPr>
          <w:rFonts w:eastAsiaTheme="minorEastAsia"/>
          <w:kern w:val="0"/>
          <w:szCs w:val="21"/>
        </w:rPr>
        <w:t>×20%+</w:t>
      </w:r>
      <w:r>
        <w:rPr>
          <w:rFonts w:eastAsiaTheme="minorEastAsia"/>
          <w:kern w:val="0"/>
          <w:szCs w:val="21"/>
        </w:rPr>
        <w:t>上证国债指数收益率</w:t>
      </w:r>
      <w:r>
        <w:rPr>
          <w:rFonts w:eastAsiaTheme="minorEastAsia"/>
          <w:kern w:val="0"/>
          <w:szCs w:val="21"/>
        </w:rPr>
        <w:t>×80%</w:t>
      </w:r>
      <w:r>
        <w:rPr>
          <w:rFonts w:eastAsiaTheme="minorEastAsia"/>
          <w:kern w:val="0"/>
          <w:szCs w:val="21"/>
        </w:rPr>
        <w:t>；</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、本基金基金合同于</w:t>
      </w:r>
      <w:r>
        <w:rPr>
          <w:rFonts w:eastAsiaTheme="minorEastAsia"/>
          <w:kern w:val="0"/>
          <w:szCs w:val="21"/>
        </w:rPr>
        <w:t>2016</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29</w:t>
      </w:r>
      <w:r>
        <w:rPr>
          <w:rFonts w:eastAsiaTheme="minorEastAsia"/>
          <w:kern w:val="0"/>
          <w:szCs w:val="21"/>
        </w:rPr>
        <w:t>日生效。本基金建仓期为自基金合同生效之日起的</w:t>
      </w:r>
      <w:r>
        <w:rPr>
          <w:rFonts w:eastAsiaTheme="minorEastAsia"/>
          <w:kern w:val="0"/>
          <w:szCs w:val="21"/>
        </w:rPr>
        <w:t>6</w:t>
      </w:r>
      <w:r>
        <w:rPr>
          <w:rFonts w:eastAsiaTheme="minorEastAsia"/>
          <w:kern w:val="0"/>
          <w:szCs w:val="21"/>
        </w:rPr>
        <w:t>个月，建仓期结束时各项资产配置符合合同约定；</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3</w:t>
      </w:r>
      <w:r w:rsidRPr="00646A7D">
        <w:rPr>
          <w:rFonts w:eastAsiaTheme="minorEastAsia"/>
          <w:kern w:val="0"/>
          <w:szCs w:val="21"/>
        </w:rPr>
        <w:t>、上述基金业绩指标不包括持有人认购或交易基金的各项费用，计入费用后实际收益水平要低于所列数字。</w:t>
      </w:r>
    </w:p>
    <w:p w:rsidR="001548F9" w:rsidRPr="00646A7D" w:rsidRDefault="001548F9" w:rsidP="00BA6974">
      <w:pPr>
        <w:pStyle w:val="1"/>
        <w:keepNext/>
        <w:keepLines/>
        <w:widowControl w:val="0"/>
        <w:spacing w:beforeLines="100" w:afterLines="100" w:line="360" w:lineRule="auto"/>
        <w:jc w:val="center"/>
        <w:rPr>
          <w:rFonts w:eastAsiaTheme="minorEastAsia"/>
          <w:b/>
          <w:bCs/>
          <w:sz w:val="21"/>
          <w:szCs w:val="21"/>
          <w:lang w:val="en-US"/>
        </w:rPr>
      </w:pPr>
      <w:bookmarkStart w:id="18" w:name="_Toc331410078"/>
      <w:bookmarkStart w:id="19" w:name="_Toc225498254"/>
      <w:r w:rsidRPr="00646A7D">
        <w:rPr>
          <w:rFonts w:eastAsiaTheme="minorEastAsia"/>
          <w:b/>
          <w:bCs/>
          <w:sz w:val="21"/>
          <w:szCs w:val="21"/>
          <w:lang w:val="en-US"/>
        </w:rPr>
        <w:t xml:space="preserve">4  </w:t>
      </w:r>
      <w:r w:rsidRPr="00646A7D">
        <w:rPr>
          <w:rFonts w:eastAsiaTheme="minorEastAsia"/>
          <w:b/>
          <w:bCs/>
          <w:sz w:val="21"/>
          <w:szCs w:val="21"/>
          <w:lang w:val="en-US"/>
        </w:rPr>
        <w:t>管理人报告</w:t>
      </w:r>
      <w:bookmarkEnd w:id="18"/>
      <w:bookmarkEnd w:id="19"/>
    </w:p>
    <w:p w:rsidR="001548F9" w:rsidRPr="00646A7D" w:rsidRDefault="001548F9" w:rsidP="003576C9">
      <w:pPr>
        <w:pStyle w:val="20"/>
        <w:spacing w:before="0" w:after="0"/>
        <w:rPr>
          <w:rFonts w:ascii="Times New Roman" w:eastAsiaTheme="minorEastAsia" w:hAnsi="Times New Roman"/>
          <w:kern w:val="0"/>
          <w:sz w:val="21"/>
          <w:szCs w:val="21"/>
        </w:rPr>
      </w:pPr>
      <w:bookmarkStart w:id="20" w:name="_Toc331410079"/>
      <w:r w:rsidRPr="00646A7D">
        <w:rPr>
          <w:rFonts w:ascii="Times New Roman" w:eastAsiaTheme="minorEastAsia" w:hAnsi="Times New Roman"/>
          <w:kern w:val="0"/>
          <w:sz w:val="21"/>
          <w:szCs w:val="21"/>
        </w:rPr>
        <w:t xml:space="preserve">4.1 </w:t>
      </w:r>
      <w:r w:rsidRPr="00646A7D">
        <w:rPr>
          <w:rFonts w:ascii="Times New Roman" w:eastAsiaTheme="minorEastAsia" w:hAnsi="Times New Roman"/>
          <w:kern w:val="0"/>
          <w:sz w:val="21"/>
          <w:szCs w:val="21"/>
        </w:rPr>
        <w:t>基金管理人及基金经理情况</w:t>
      </w:r>
      <w:bookmarkEnd w:id="20"/>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4.1.1 </w:t>
      </w:r>
      <w:r w:rsidRPr="00646A7D">
        <w:rPr>
          <w:rFonts w:eastAsiaTheme="minorEastAsia"/>
          <w:b/>
          <w:color w:val="000000"/>
          <w:kern w:val="0"/>
          <w:szCs w:val="21"/>
        </w:rPr>
        <w:t>基金管理人及其管理基金的经验</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国联安基金管理有限公司是中国第一家获准筹建的中外合资基金管理公司，其中方股东为太平洋资产管理有限责任公司，由中国太平洋保险（集团）股份有限公司控股；外方股东为德国安联集团，是全球顶级综合性金融集团之一。截至本报告期末，公司共管理三十七只开放式基金。国联安基金管理有限公司拥有国际化的基金管理团队，借鉴外方先进的公司治理和风险管理经验，结合本地投资研究与客户服务的成功实践，秉持</w:t>
      </w:r>
      <w:r w:rsidRPr="00646A7D">
        <w:rPr>
          <w:rFonts w:eastAsiaTheme="minorEastAsia"/>
          <w:color w:val="000000"/>
          <w:szCs w:val="21"/>
        </w:rPr>
        <w:t>“</w:t>
      </w:r>
      <w:r w:rsidRPr="00646A7D">
        <w:rPr>
          <w:rFonts w:eastAsiaTheme="minorEastAsia"/>
          <w:color w:val="000000"/>
          <w:szCs w:val="21"/>
        </w:rPr>
        <w:t>稳健、专业、卓越、信赖</w:t>
      </w:r>
      <w:r w:rsidRPr="00646A7D">
        <w:rPr>
          <w:rFonts w:eastAsiaTheme="minorEastAsia"/>
          <w:color w:val="000000"/>
          <w:szCs w:val="21"/>
        </w:rPr>
        <w:t>”</w:t>
      </w:r>
      <w:r w:rsidRPr="00646A7D">
        <w:rPr>
          <w:rFonts w:eastAsiaTheme="minorEastAsia"/>
          <w:color w:val="000000"/>
          <w:szCs w:val="21"/>
        </w:rPr>
        <w:t>的经营理念，力争成为中国基金业最佳基金管理公司之一。</w:t>
      </w:r>
    </w:p>
    <w:p w:rsidR="001548F9" w:rsidRPr="00646A7D" w:rsidRDefault="001548F9" w:rsidP="00BA6974">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color w:val="000000"/>
          <w:kern w:val="0"/>
          <w:szCs w:val="21"/>
        </w:rPr>
        <w:t xml:space="preserve">4.1.2 </w:t>
      </w:r>
      <w:r w:rsidRPr="00646A7D">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646A7D" w:rsidTr="00646A7D">
        <w:tc>
          <w:tcPr>
            <w:tcW w:w="1090"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姓名</w:t>
            </w:r>
          </w:p>
        </w:tc>
        <w:tc>
          <w:tcPr>
            <w:tcW w:w="1500"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职务</w:t>
            </w:r>
          </w:p>
        </w:tc>
        <w:tc>
          <w:tcPr>
            <w:tcW w:w="2450" w:type="dxa"/>
            <w:gridSpan w:val="2"/>
          </w:tcPr>
          <w:p w:rsidR="001728F8" w:rsidRPr="00646A7D" w:rsidRDefault="001548F9">
            <w:pPr>
              <w:jc w:val="center"/>
              <w:rPr>
                <w:rFonts w:eastAsiaTheme="minorEastAsia"/>
                <w:color w:val="000000"/>
                <w:szCs w:val="21"/>
              </w:rPr>
            </w:pPr>
            <w:r w:rsidRPr="00646A7D">
              <w:rPr>
                <w:rFonts w:eastAsiaTheme="minorEastAsia"/>
                <w:color w:val="000000"/>
                <w:szCs w:val="21"/>
              </w:rPr>
              <w:t>任本基金的基金经理</w:t>
            </w:r>
          </w:p>
          <w:p w:rsidR="001548F9" w:rsidRPr="00646A7D" w:rsidRDefault="001548F9">
            <w:pPr>
              <w:jc w:val="center"/>
              <w:rPr>
                <w:rFonts w:eastAsiaTheme="minorEastAsia"/>
                <w:color w:val="000000"/>
                <w:szCs w:val="21"/>
              </w:rPr>
            </w:pPr>
            <w:r w:rsidRPr="00646A7D">
              <w:rPr>
                <w:rFonts w:eastAsiaTheme="minorEastAsia"/>
                <w:color w:val="000000"/>
                <w:szCs w:val="21"/>
              </w:rPr>
              <w:t>（助理）期限</w:t>
            </w:r>
          </w:p>
        </w:tc>
        <w:tc>
          <w:tcPr>
            <w:tcW w:w="1236"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证券从业年限</w:t>
            </w:r>
          </w:p>
        </w:tc>
        <w:tc>
          <w:tcPr>
            <w:tcW w:w="3264"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说明</w:t>
            </w:r>
          </w:p>
        </w:tc>
      </w:tr>
      <w:tr w:rsidR="001548F9" w:rsidRPr="00646A7D" w:rsidTr="00646A7D">
        <w:tc>
          <w:tcPr>
            <w:tcW w:w="1090" w:type="dxa"/>
            <w:vMerge/>
            <w:vAlign w:val="center"/>
          </w:tcPr>
          <w:p w:rsidR="001548F9" w:rsidRPr="00646A7D" w:rsidRDefault="001548F9">
            <w:pPr>
              <w:widowControl/>
              <w:jc w:val="left"/>
              <w:rPr>
                <w:rFonts w:eastAsiaTheme="minorEastAsia"/>
                <w:color w:val="000000"/>
                <w:szCs w:val="21"/>
              </w:rPr>
            </w:pPr>
          </w:p>
        </w:tc>
        <w:tc>
          <w:tcPr>
            <w:tcW w:w="1500" w:type="dxa"/>
            <w:vMerge/>
            <w:vAlign w:val="center"/>
          </w:tcPr>
          <w:p w:rsidR="001548F9" w:rsidRPr="00646A7D" w:rsidRDefault="001548F9">
            <w:pPr>
              <w:widowControl/>
              <w:jc w:val="left"/>
              <w:rPr>
                <w:rFonts w:eastAsiaTheme="minorEastAsia"/>
                <w:color w:val="000000"/>
                <w:szCs w:val="21"/>
              </w:rPr>
            </w:pPr>
          </w:p>
        </w:tc>
        <w:tc>
          <w:tcPr>
            <w:tcW w:w="119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任职日期</w:t>
            </w:r>
          </w:p>
        </w:tc>
        <w:tc>
          <w:tcPr>
            <w:tcW w:w="12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离任日期</w:t>
            </w:r>
          </w:p>
        </w:tc>
        <w:tc>
          <w:tcPr>
            <w:tcW w:w="1236" w:type="dxa"/>
            <w:vMerge/>
            <w:vAlign w:val="center"/>
          </w:tcPr>
          <w:p w:rsidR="001548F9" w:rsidRPr="00646A7D" w:rsidRDefault="001548F9">
            <w:pPr>
              <w:widowControl/>
              <w:jc w:val="left"/>
              <w:rPr>
                <w:rFonts w:eastAsiaTheme="minorEastAsia"/>
                <w:color w:val="000000"/>
                <w:szCs w:val="21"/>
              </w:rPr>
            </w:pPr>
          </w:p>
        </w:tc>
        <w:tc>
          <w:tcPr>
            <w:tcW w:w="3264" w:type="dxa"/>
            <w:vMerge/>
            <w:vAlign w:val="center"/>
          </w:tcPr>
          <w:p w:rsidR="001548F9" w:rsidRPr="00646A7D" w:rsidRDefault="001548F9">
            <w:pPr>
              <w:widowControl/>
              <w:jc w:val="left"/>
              <w:rPr>
                <w:rFonts w:eastAsiaTheme="minorEastAsia"/>
                <w:color w:val="000000"/>
                <w:szCs w:val="21"/>
              </w:rPr>
            </w:pPr>
          </w:p>
        </w:tc>
      </w:tr>
      <w:tr w:rsidR="00DF0785">
        <w:tc>
          <w:tcPr>
            <w:tcW w:w="1090" w:type="dxa"/>
            <w:vAlign w:val="center"/>
          </w:tcPr>
          <w:p w:rsidR="00DF0785" w:rsidRDefault="00311CAE">
            <w:pPr>
              <w:jc w:val="center"/>
            </w:pPr>
            <w:r>
              <w:rPr>
                <w:rFonts w:eastAsiaTheme="minorEastAsia"/>
                <w:color w:val="000000"/>
                <w:szCs w:val="21"/>
              </w:rPr>
              <w:t>薛琳</w:t>
            </w:r>
          </w:p>
        </w:tc>
        <w:tc>
          <w:tcPr>
            <w:tcW w:w="1500" w:type="dxa"/>
            <w:vAlign w:val="center"/>
          </w:tcPr>
          <w:p w:rsidR="00DF0785" w:rsidRDefault="00311CAE">
            <w:pPr>
              <w:jc w:val="center"/>
            </w:pPr>
            <w:r>
              <w:rPr>
                <w:rFonts w:eastAsiaTheme="minorEastAsia"/>
                <w:color w:val="000000"/>
                <w:szCs w:val="21"/>
              </w:rPr>
              <w:t>本基金基金经理、兼任国联安添鑫灵活配置混合型证券投资基金基金经理、国联安通盈灵活配置混合型证券投资基金、国联安鑫享灵活配置混合型证券投资基金基金经理、国联安鑫汇混合型证券投资基金基金经理、国联安鑫乾混合型证券投资基金基金经理、国联安鑫隆混合型证券投资基金基金经理、国联安鑫发混合型证券投资基金基金经理、国联安信心增益债券型证券投资基金基金经理。</w:t>
            </w:r>
          </w:p>
        </w:tc>
        <w:tc>
          <w:tcPr>
            <w:tcW w:w="1190" w:type="dxa"/>
            <w:vAlign w:val="center"/>
          </w:tcPr>
          <w:p w:rsidR="00DF0785" w:rsidRDefault="00311CAE">
            <w:pPr>
              <w:jc w:val="center"/>
            </w:pPr>
            <w:r>
              <w:rPr>
                <w:rFonts w:eastAsiaTheme="minorEastAsia"/>
                <w:color w:val="000000"/>
                <w:szCs w:val="21"/>
              </w:rPr>
              <w:t>2016-12-29</w:t>
            </w:r>
          </w:p>
        </w:tc>
        <w:tc>
          <w:tcPr>
            <w:tcW w:w="1260" w:type="dxa"/>
            <w:vAlign w:val="center"/>
          </w:tcPr>
          <w:p w:rsidR="00DF0785" w:rsidRDefault="00311CAE">
            <w:pPr>
              <w:jc w:val="center"/>
            </w:pPr>
            <w:r>
              <w:rPr>
                <w:rFonts w:eastAsiaTheme="minorEastAsia"/>
                <w:color w:val="000000"/>
                <w:szCs w:val="21"/>
              </w:rPr>
              <w:t>-</w:t>
            </w:r>
          </w:p>
        </w:tc>
        <w:tc>
          <w:tcPr>
            <w:tcW w:w="1236" w:type="dxa"/>
            <w:vAlign w:val="center"/>
          </w:tcPr>
          <w:p w:rsidR="00DF0785" w:rsidRDefault="00311CAE">
            <w:pPr>
              <w:jc w:val="center"/>
            </w:pPr>
            <w:r>
              <w:rPr>
                <w:rFonts w:eastAsiaTheme="minorEastAsia"/>
                <w:color w:val="000000"/>
                <w:szCs w:val="21"/>
              </w:rPr>
              <w:t>12</w:t>
            </w:r>
            <w:r>
              <w:rPr>
                <w:rFonts w:eastAsiaTheme="minorEastAsia"/>
                <w:color w:val="000000"/>
                <w:szCs w:val="21"/>
              </w:rPr>
              <w:t>年（自</w:t>
            </w:r>
            <w:r>
              <w:rPr>
                <w:rFonts w:eastAsiaTheme="minorEastAsia"/>
                <w:color w:val="000000"/>
                <w:szCs w:val="21"/>
              </w:rPr>
              <w:t>2006</w:t>
            </w:r>
            <w:r>
              <w:rPr>
                <w:rFonts w:eastAsiaTheme="minorEastAsia"/>
                <w:color w:val="000000"/>
                <w:szCs w:val="21"/>
              </w:rPr>
              <w:t>年起）</w:t>
            </w:r>
          </w:p>
        </w:tc>
        <w:tc>
          <w:tcPr>
            <w:tcW w:w="3264" w:type="dxa"/>
            <w:vAlign w:val="center"/>
          </w:tcPr>
          <w:p w:rsidR="00DF0785" w:rsidRDefault="00311CAE">
            <w:r>
              <w:rPr>
                <w:rFonts w:eastAsiaTheme="minorEastAsia"/>
                <w:color w:val="000000"/>
                <w:szCs w:val="21"/>
              </w:rPr>
              <w:t>薛琳女士，硕士学位。</w:t>
            </w:r>
            <w:r>
              <w:rPr>
                <w:rFonts w:eastAsiaTheme="minorEastAsia"/>
                <w:color w:val="000000"/>
                <w:szCs w:val="21"/>
              </w:rPr>
              <w:t>2006</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2006</w:t>
            </w:r>
            <w:r>
              <w:rPr>
                <w:rFonts w:eastAsiaTheme="minorEastAsia"/>
                <w:color w:val="000000"/>
                <w:szCs w:val="21"/>
              </w:rPr>
              <w:t>年</w:t>
            </w:r>
            <w:r>
              <w:rPr>
                <w:rFonts w:eastAsiaTheme="minorEastAsia"/>
                <w:color w:val="000000"/>
                <w:szCs w:val="21"/>
              </w:rPr>
              <w:t>12</w:t>
            </w:r>
            <w:r>
              <w:rPr>
                <w:rFonts w:eastAsiaTheme="minorEastAsia"/>
                <w:color w:val="000000"/>
                <w:szCs w:val="21"/>
              </w:rPr>
              <w:t>月在上海红顶金融研究中心公司担任项目管理工作。</w:t>
            </w:r>
            <w:r>
              <w:rPr>
                <w:rFonts w:eastAsiaTheme="minorEastAsia"/>
                <w:color w:val="000000"/>
                <w:szCs w:val="21"/>
              </w:rPr>
              <w:t>2006</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2008</w:t>
            </w:r>
            <w:r>
              <w:rPr>
                <w:rFonts w:eastAsiaTheme="minorEastAsia"/>
                <w:color w:val="000000"/>
                <w:szCs w:val="21"/>
              </w:rPr>
              <w:t>年</w:t>
            </w:r>
            <w:r>
              <w:rPr>
                <w:rFonts w:eastAsiaTheme="minorEastAsia"/>
                <w:color w:val="000000"/>
                <w:szCs w:val="21"/>
              </w:rPr>
              <w:t>6</w:t>
            </w:r>
            <w:r>
              <w:rPr>
                <w:rFonts w:eastAsiaTheme="minorEastAsia"/>
                <w:color w:val="000000"/>
                <w:szCs w:val="21"/>
              </w:rPr>
              <w:t>月在上海国利货币有限公司担任债券交易员。</w:t>
            </w:r>
            <w:r>
              <w:rPr>
                <w:rFonts w:eastAsiaTheme="minorEastAsia"/>
                <w:color w:val="000000"/>
                <w:szCs w:val="21"/>
              </w:rPr>
              <w:t>2008</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6</w:t>
            </w:r>
            <w:r>
              <w:rPr>
                <w:rFonts w:eastAsiaTheme="minorEastAsia"/>
                <w:color w:val="000000"/>
                <w:szCs w:val="21"/>
              </w:rPr>
              <w:t>月在上海长江养老保险股份有限公司担任债券交易员。自</w:t>
            </w:r>
            <w:r>
              <w:rPr>
                <w:rFonts w:eastAsiaTheme="minorEastAsia"/>
                <w:color w:val="000000"/>
                <w:szCs w:val="21"/>
              </w:rPr>
              <w:t>2010</w:t>
            </w:r>
            <w:r>
              <w:rPr>
                <w:rFonts w:eastAsiaTheme="minorEastAsia"/>
                <w:color w:val="000000"/>
                <w:szCs w:val="21"/>
              </w:rPr>
              <w:t>年</w:t>
            </w:r>
            <w:r>
              <w:rPr>
                <w:rFonts w:eastAsiaTheme="minorEastAsia"/>
                <w:color w:val="000000"/>
                <w:szCs w:val="21"/>
              </w:rPr>
              <w:t>6</w:t>
            </w:r>
            <w:r>
              <w:rPr>
                <w:rFonts w:eastAsiaTheme="minorEastAsia"/>
                <w:color w:val="000000"/>
                <w:szCs w:val="21"/>
              </w:rPr>
              <w:t>月起，加盟国联安基金管理有限公司，先后担任债券交易员、债券组合管理部基金经理助理职务。</w:t>
            </w:r>
            <w:r>
              <w:rPr>
                <w:rFonts w:eastAsiaTheme="minorEastAsia"/>
                <w:color w:val="000000"/>
                <w:szCs w:val="21"/>
              </w:rPr>
              <w:t>2012</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1</w:t>
            </w:r>
            <w:r>
              <w:rPr>
                <w:rFonts w:eastAsiaTheme="minorEastAsia"/>
                <w:color w:val="000000"/>
                <w:szCs w:val="21"/>
              </w:rPr>
              <w:t>月担任国联安货币市场证券投资基金基金经理。</w:t>
            </w:r>
            <w:r>
              <w:rPr>
                <w:rFonts w:eastAsiaTheme="minorEastAsia"/>
                <w:color w:val="000000"/>
                <w:szCs w:val="21"/>
              </w:rPr>
              <w:t>2012</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11</w:t>
            </w:r>
            <w:r>
              <w:rPr>
                <w:rFonts w:eastAsiaTheme="minorEastAsia"/>
                <w:color w:val="000000"/>
                <w:szCs w:val="21"/>
              </w:rPr>
              <w:t>月兼任国联安中债信用债指数增强型发起式证券投资基金基金经理。</w:t>
            </w:r>
            <w:r>
              <w:rPr>
                <w:rFonts w:eastAsiaTheme="minorEastAsia"/>
                <w:color w:val="000000"/>
                <w:szCs w:val="21"/>
              </w:rPr>
              <w:t>2013</w:t>
            </w:r>
            <w:r>
              <w:rPr>
                <w:rFonts w:eastAsiaTheme="minorEastAsia"/>
                <w:color w:val="000000"/>
                <w:szCs w:val="21"/>
              </w:rPr>
              <w:t>年</w:t>
            </w:r>
            <w:r>
              <w:rPr>
                <w:rFonts w:eastAsiaTheme="minorEastAsia"/>
                <w:color w:val="000000"/>
                <w:szCs w:val="21"/>
              </w:rPr>
              <w:t>6</w:t>
            </w:r>
            <w:r>
              <w:rPr>
                <w:rFonts w:eastAsiaTheme="minorEastAsia"/>
                <w:color w:val="000000"/>
                <w:szCs w:val="21"/>
              </w:rPr>
              <w:t>月起兼任国联安中证股债动态策略指数证券投资基金基金经理助理。</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月起兼任国联安鑫享灵活配置混合型证券投资基金基金经理。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月任国联安鑫悦灵活配置混合型证券投资基金基金经理。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2017</w:t>
            </w:r>
            <w:r>
              <w:rPr>
                <w:rFonts w:eastAsiaTheme="minorEastAsia"/>
                <w:color w:val="000000"/>
                <w:szCs w:val="21"/>
              </w:rPr>
              <w:t>年</w:t>
            </w:r>
            <w:r>
              <w:rPr>
                <w:rFonts w:eastAsiaTheme="minorEastAsia"/>
                <w:color w:val="000000"/>
                <w:szCs w:val="21"/>
              </w:rPr>
              <w:t>10</w:t>
            </w:r>
            <w:r>
              <w:rPr>
                <w:rFonts w:eastAsiaTheme="minorEastAsia"/>
                <w:color w:val="000000"/>
                <w:szCs w:val="21"/>
              </w:rPr>
              <w:t>月兼任国联安鑫瑞混合型证券投资基金基金经理。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月起兼任国联安通盈灵活配置混合型证券投资基金基金经理。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月起兼任国联安添鑫灵活配置混合型证券投资基金基金经理。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12</w:t>
            </w:r>
            <w:r>
              <w:rPr>
                <w:rFonts w:eastAsiaTheme="minorEastAsia"/>
                <w:color w:val="000000"/>
                <w:szCs w:val="21"/>
              </w:rPr>
              <w:t>月起兼任国联安睿智定期开放混合型证券投资基金基金经理。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月起兼任国联安鑫汇混合型证券投资基金基金经理。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月起兼任国联安鑫乾混合型证券投资基金基金经理。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月起兼任国联安鑫发混合型证券投资基金基金经理。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月起兼任国联安鑫隆混合型证券投资基金基金经理。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9</w:t>
            </w:r>
            <w:r>
              <w:rPr>
                <w:rFonts w:eastAsiaTheme="minorEastAsia"/>
                <w:color w:val="000000"/>
                <w:szCs w:val="21"/>
              </w:rPr>
              <w:t>月起兼任国联安信心增益债券型证券投资基金基金经理。</w:t>
            </w:r>
          </w:p>
        </w:tc>
      </w:tr>
      <w:tr w:rsidR="00DF0785">
        <w:tc>
          <w:tcPr>
            <w:tcW w:w="1090" w:type="dxa"/>
            <w:vAlign w:val="center"/>
          </w:tcPr>
          <w:p w:rsidR="00DF0785" w:rsidRDefault="00311CAE">
            <w:pPr>
              <w:jc w:val="center"/>
            </w:pPr>
            <w:r>
              <w:rPr>
                <w:rFonts w:eastAsiaTheme="minorEastAsia"/>
                <w:color w:val="000000"/>
                <w:szCs w:val="21"/>
              </w:rPr>
              <w:t>吕中凡</w:t>
            </w:r>
          </w:p>
        </w:tc>
        <w:tc>
          <w:tcPr>
            <w:tcW w:w="1500" w:type="dxa"/>
            <w:vAlign w:val="center"/>
          </w:tcPr>
          <w:p w:rsidR="00DF0785" w:rsidRDefault="00311CAE">
            <w:pPr>
              <w:jc w:val="center"/>
            </w:pPr>
            <w:r>
              <w:rPr>
                <w:rFonts w:eastAsiaTheme="minorEastAsia"/>
                <w:color w:val="000000"/>
                <w:szCs w:val="21"/>
              </w:rPr>
              <w:t>本基金基金经理助理</w:t>
            </w:r>
          </w:p>
        </w:tc>
        <w:tc>
          <w:tcPr>
            <w:tcW w:w="1190" w:type="dxa"/>
            <w:vAlign w:val="center"/>
          </w:tcPr>
          <w:p w:rsidR="00DF0785" w:rsidRDefault="00311CAE">
            <w:pPr>
              <w:jc w:val="center"/>
            </w:pPr>
            <w:r>
              <w:rPr>
                <w:rFonts w:eastAsiaTheme="minorEastAsia"/>
                <w:color w:val="000000"/>
                <w:szCs w:val="21"/>
              </w:rPr>
              <w:t>2016-12-29</w:t>
            </w:r>
          </w:p>
        </w:tc>
        <w:tc>
          <w:tcPr>
            <w:tcW w:w="1260" w:type="dxa"/>
            <w:vAlign w:val="center"/>
          </w:tcPr>
          <w:p w:rsidR="00DF0785" w:rsidRDefault="00311CAE">
            <w:pPr>
              <w:jc w:val="center"/>
            </w:pPr>
            <w:r>
              <w:rPr>
                <w:rFonts w:eastAsiaTheme="minorEastAsia"/>
                <w:color w:val="000000"/>
                <w:szCs w:val="21"/>
              </w:rPr>
              <w:t>-</w:t>
            </w:r>
          </w:p>
        </w:tc>
        <w:tc>
          <w:tcPr>
            <w:tcW w:w="1236" w:type="dxa"/>
            <w:vAlign w:val="center"/>
          </w:tcPr>
          <w:p w:rsidR="00DF0785" w:rsidRDefault="00311CAE">
            <w:pPr>
              <w:jc w:val="center"/>
            </w:pPr>
            <w:r>
              <w:rPr>
                <w:rFonts w:eastAsiaTheme="minorEastAsia"/>
                <w:color w:val="000000"/>
                <w:szCs w:val="21"/>
              </w:rPr>
              <w:t>7</w:t>
            </w:r>
            <w:r>
              <w:rPr>
                <w:rFonts w:eastAsiaTheme="minorEastAsia"/>
                <w:color w:val="000000"/>
                <w:szCs w:val="21"/>
              </w:rPr>
              <w:t>年（自</w:t>
            </w:r>
            <w:r>
              <w:rPr>
                <w:rFonts w:eastAsiaTheme="minorEastAsia"/>
                <w:color w:val="000000"/>
                <w:szCs w:val="21"/>
              </w:rPr>
              <w:t>2011</w:t>
            </w:r>
            <w:r>
              <w:rPr>
                <w:rFonts w:eastAsiaTheme="minorEastAsia"/>
                <w:color w:val="000000"/>
                <w:szCs w:val="21"/>
              </w:rPr>
              <w:t>年起）</w:t>
            </w:r>
          </w:p>
        </w:tc>
        <w:tc>
          <w:tcPr>
            <w:tcW w:w="3264" w:type="dxa"/>
            <w:vAlign w:val="center"/>
          </w:tcPr>
          <w:p w:rsidR="00DF0785" w:rsidRDefault="00311CAE">
            <w:r>
              <w:rPr>
                <w:rFonts w:eastAsiaTheme="minorEastAsia"/>
                <w:color w:val="000000"/>
                <w:szCs w:val="21"/>
              </w:rPr>
              <w:t>-</w:t>
            </w:r>
          </w:p>
        </w:tc>
      </w:tr>
    </w:tbl>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、基金经理的任职日期和离职日期为公司对外公告之日；</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2</w:t>
      </w:r>
      <w:r w:rsidRPr="00646A7D">
        <w:rPr>
          <w:rFonts w:eastAsiaTheme="minorEastAsia"/>
          <w:kern w:val="0"/>
          <w:szCs w:val="21"/>
        </w:rPr>
        <w:t>、证券从业年限的统计标准为证券行业的工作经历年限。</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21" w:name="_Toc331410080"/>
      <w:bookmarkStart w:id="22" w:name="_Toc225498256"/>
      <w:r w:rsidRPr="00646A7D">
        <w:rPr>
          <w:rFonts w:ascii="Times New Roman" w:eastAsiaTheme="minorEastAsia" w:hAnsi="Times New Roman"/>
          <w:kern w:val="0"/>
          <w:sz w:val="21"/>
          <w:szCs w:val="21"/>
        </w:rPr>
        <w:t xml:space="preserve">4.2 </w:t>
      </w:r>
      <w:r w:rsidRPr="00646A7D">
        <w:rPr>
          <w:rFonts w:ascii="Times New Roman" w:eastAsiaTheme="minorEastAsia" w:hAnsi="Times New Roman"/>
          <w:kern w:val="0"/>
          <w:sz w:val="21"/>
          <w:szCs w:val="21"/>
        </w:rPr>
        <w:t>管理人对报告期内本基金运作遵规守信情况的说明</w:t>
      </w:r>
      <w:bookmarkEnd w:id="21"/>
      <w:bookmarkEnd w:id="22"/>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管理人严格遵守《中华人民共和国证券投资基金法》、《国联安睿智定期开放混合型证券投资基金基金合同》及其他相关法律法规、法律文件的规定，本着诚实信用、勤勉尽责的原则管理和运用基金财产，在严格控制风险的前提下，为基金份额持有人谋求最大利益。本基金运作管理符合有关法律法规和基金合同的规定和约定，无损害基金份额持有人利益的行为。</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23" w:name="_Toc331410081"/>
      <w:bookmarkStart w:id="24" w:name="_Toc225498257"/>
      <w:r w:rsidRPr="00646A7D">
        <w:rPr>
          <w:rFonts w:ascii="Times New Roman" w:eastAsiaTheme="minorEastAsia" w:hAnsi="Times New Roman"/>
          <w:kern w:val="0"/>
          <w:sz w:val="21"/>
          <w:szCs w:val="21"/>
        </w:rPr>
        <w:t xml:space="preserve">4.3 </w:t>
      </w:r>
      <w:r w:rsidRPr="00646A7D">
        <w:rPr>
          <w:rFonts w:ascii="Times New Roman" w:eastAsiaTheme="minorEastAsia" w:hAnsi="Times New Roman"/>
          <w:kern w:val="0"/>
          <w:sz w:val="21"/>
          <w:szCs w:val="21"/>
        </w:rPr>
        <w:t>管理人对报告期内公平交易情况的专项说明</w:t>
      </w:r>
      <w:bookmarkEnd w:id="23"/>
      <w:bookmarkEnd w:id="24"/>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4.3.1 </w:t>
      </w:r>
      <w:r w:rsidRPr="00646A7D">
        <w:rPr>
          <w:rFonts w:eastAsiaTheme="minorEastAsia"/>
          <w:b/>
          <w:color w:val="000000"/>
          <w:kern w:val="0"/>
          <w:szCs w:val="21"/>
        </w:rPr>
        <w:t>公平交易制度的执行情况</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本基金管理人遵照相应法律法规和内部规章，制定并完善了《国联安基金管理有限公司公平交易制度》（以下简称</w:t>
      </w:r>
      <w:r>
        <w:rPr>
          <w:rFonts w:eastAsiaTheme="minorEastAsia"/>
          <w:color w:val="000000"/>
          <w:szCs w:val="21"/>
        </w:rPr>
        <w:t>“</w:t>
      </w:r>
      <w:r>
        <w:rPr>
          <w:rFonts w:eastAsiaTheme="minorEastAsia"/>
          <w:color w:val="000000"/>
          <w:szCs w:val="21"/>
        </w:rPr>
        <w:t>公平交易制度</w:t>
      </w:r>
      <w:r>
        <w:rPr>
          <w:rFonts w:eastAsiaTheme="minorEastAsia"/>
          <w:color w:val="000000"/>
          <w:szCs w:val="21"/>
        </w:rPr>
        <w:t>”</w:t>
      </w:r>
      <w:r>
        <w:rPr>
          <w:rFonts w:eastAsiaTheme="minorEastAsia"/>
          <w:color w:val="000000"/>
          <w:szCs w:val="21"/>
        </w:rPr>
        <w:t>），用以规范包括投资授权、研究分析、投资决策、交易执行以及投资管理过程中涉及的实施效果与业绩评估等投资管理活动相关的各个环节。</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本报告期内，本基金管理人严格执行公平交易制度的规定，公平对待不同投资组合，确保各投资组合在获得投资信息、投资建议和投资决策等方面均享有平等机会；在交易环节严格按照时间优先，价格优先的原则执行指令；如遇指令价位相同或指令价位不同但市场条件都满足时，及时执行交易系统中的公平交易模块；采用公平交易分析系统对不同投资组合的交易价差进行定期分析；对投资流程独立稽核等。</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本报告期内，公司旗下所有投资组合参与的交易所公开竞价同日反向交易成交较少的单边交易量未发现有超过该证券当日成交量</w:t>
      </w:r>
      <w:r w:rsidRPr="00646A7D">
        <w:rPr>
          <w:rFonts w:eastAsiaTheme="minorEastAsia"/>
          <w:color w:val="000000"/>
          <w:szCs w:val="21"/>
        </w:rPr>
        <w:t>5%</w:t>
      </w:r>
      <w:r w:rsidRPr="00646A7D">
        <w:rPr>
          <w:rFonts w:eastAsiaTheme="minorEastAsia"/>
          <w:color w:val="000000"/>
          <w:szCs w:val="21"/>
        </w:rPr>
        <w:t>的情况。公平交易制度总体执行情况良好。</w:t>
      </w:r>
    </w:p>
    <w:p w:rsidR="001548F9" w:rsidRPr="00646A7D" w:rsidRDefault="001548F9" w:rsidP="00BA6974">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color w:val="000000"/>
          <w:kern w:val="0"/>
          <w:szCs w:val="21"/>
        </w:rPr>
        <w:t xml:space="preserve">4.3.2 </w:t>
      </w:r>
      <w:r w:rsidRPr="00646A7D">
        <w:rPr>
          <w:rFonts w:eastAsiaTheme="minorEastAsia"/>
          <w:b/>
          <w:color w:val="000000"/>
          <w:kern w:val="0"/>
          <w:szCs w:val="21"/>
        </w:rPr>
        <w:t>异常交易行为的专项说明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本报告期内未发现存在可能导致不公平交易和利益输送的无法解释的异常交易行为。</w:t>
      </w:r>
    </w:p>
    <w:p w:rsidR="00C02A8F" w:rsidRPr="00646A7D" w:rsidRDefault="001548F9" w:rsidP="00BA6974">
      <w:pPr>
        <w:pStyle w:val="20"/>
        <w:spacing w:beforeLines="100" w:after="0"/>
        <w:rPr>
          <w:rFonts w:ascii="Times New Roman" w:eastAsiaTheme="minorEastAsia" w:hAnsi="Times New Roman"/>
          <w:kern w:val="0"/>
          <w:sz w:val="21"/>
          <w:szCs w:val="21"/>
        </w:rPr>
      </w:pPr>
      <w:bookmarkStart w:id="25" w:name="_Toc331410082"/>
      <w:bookmarkStart w:id="26" w:name="_Toc225498258"/>
      <w:r w:rsidRPr="00646A7D">
        <w:rPr>
          <w:rFonts w:ascii="Times New Roman" w:eastAsiaTheme="minorEastAsia" w:hAnsi="Times New Roman"/>
          <w:kern w:val="0"/>
          <w:sz w:val="21"/>
          <w:szCs w:val="21"/>
        </w:rPr>
        <w:t xml:space="preserve">4.4 </w:t>
      </w:r>
      <w:r w:rsidRPr="00646A7D">
        <w:rPr>
          <w:rFonts w:ascii="Times New Roman" w:eastAsiaTheme="minorEastAsia" w:hAnsi="Times New Roman"/>
          <w:kern w:val="0"/>
          <w:sz w:val="21"/>
          <w:szCs w:val="21"/>
        </w:rPr>
        <w:t>管理人对报告期内基金的投资策略和业绩表现的说明</w:t>
      </w:r>
      <w:bookmarkEnd w:id="25"/>
      <w:bookmarkEnd w:id="26"/>
    </w:p>
    <w:p w:rsidR="00C02A8F" w:rsidRPr="00646A7D" w:rsidRDefault="00C02A8F" w:rsidP="003576C9">
      <w:pPr>
        <w:spacing w:line="360" w:lineRule="auto"/>
        <w:rPr>
          <w:rFonts w:eastAsiaTheme="minorEastAsia"/>
          <w:b/>
          <w:szCs w:val="21"/>
        </w:rPr>
      </w:pPr>
      <w:r w:rsidRPr="00646A7D">
        <w:rPr>
          <w:rFonts w:eastAsiaTheme="minorEastAsia"/>
          <w:b/>
          <w:szCs w:val="21"/>
        </w:rPr>
        <w:t>4.4.1</w:t>
      </w:r>
      <w:r w:rsidRPr="00646A7D">
        <w:rPr>
          <w:rFonts w:eastAsiaTheme="minorEastAsia"/>
          <w:b/>
          <w:szCs w:val="21"/>
        </w:rPr>
        <w:t>报告期内基金投资策略和运作分析</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中国</w:t>
      </w:r>
      <w:r>
        <w:rPr>
          <w:rFonts w:eastAsiaTheme="minorEastAsia"/>
          <w:color w:val="000000"/>
          <w:szCs w:val="21"/>
        </w:rPr>
        <w:t>6</w:t>
      </w:r>
      <w:r>
        <w:rPr>
          <w:rFonts w:eastAsiaTheme="minorEastAsia"/>
          <w:color w:val="000000"/>
          <w:szCs w:val="21"/>
        </w:rPr>
        <w:t>月</w:t>
      </w:r>
      <w:r>
        <w:rPr>
          <w:rFonts w:eastAsiaTheme="minorEastAsia"/>
          <w:color w:val="000000"/>
          <w:szCs w:val="21"/>
        </w:rPr>
        <w:t>CPI</w:t>
      </w:r>
      <w:r>
        <w:rPr>
          <w:rFonts w:eastAsiaTheme="minorEastAsia"/>
          <w:color w:val="000000"/>
          <w:szCs w:val="21"/>
        </w:rPr>
        <w:t>同比上涨</w:t>
      </w:r>
      <w:r>
        <w:rPr>
          <w:rFonts w:eastAsiaTheme="minorEastAsia"/>
          <w:color w:val="000000"/>
          <w:szCs w:val="21"/>
        </w:rPr>
        <w:t>1.9%</w:t>
      </w:r>
      <w:r>
        <w:rPr>
          <w:rFonts w:eastAsiaTheme="minorEastAsia"/>
          <w:color w:val="000000"/>
          <w:szCs w:val="21"/>
        </w:rPr>
        <w:t>，前值</w:t>
      </w:r>
      <w:r>
        <w:rPr>
          <w:rFonts w:eastAsiaTheme="minorEastAsia"/>
          <w:color w:val="000000"/>
          <w:szCs w:val="21"/>
        </w:rPr>
        <w:t>1.8%</w:t>
      </w:r>
      <w:r>
        <w:rPr>
          <w:rFonts w:eastAsiaTheme="minorEastAsia"/>
          <w:color w:val="000000"/>
          <w:szCs w:val="21"/>
        </w:rPr>
        <w:t>，预期</w:t>
      </w:r>
      <w:r>
        <w:rPr>
          <w:rFonts w:eastAsiaTheme="minorEastAsia"/>
          <w:color w:val="000000"/>
          <w:szCs w:val="21"/>
        </w:rPr>
        <w:t>1.9%</w:t>
      </w:r>
      <w:r>
        <w:rPr>
          <w:rFonts w:eastAsiaTheme="minorEastAsia"/>
          <w:color w:val="000000"/>
          <w:szCs w:val="21"/>
        </w:rPr>
        <w:t>；</w:t>
      </w:r>
      <w:r>
        <w:rPr>
          <w:rFonts w:eastAsiaTheme="minorEastAsia"/>
          <w:color w:val="000000"/>
          <w:szCs w:val="21"/>
        </w:rPr>
        <w:t>6</w:t>
      </w:r>
      <w:r>
        <w:rPr>
          <w:rFonts w:eastAsiaTheme="minorEastAsia"/>
          <w:color w:val="000000"/>
          <w:szCs w:val="21"/>
        </w:rPr>
        <w:t>月</w:t>
      </w:r>
      <w:r>
        <w:rPr>
          <w:rFonts w:eastAsiaTheme="minorEastAsia"/>
          <w:color w:val="000000"/>
          <w:szCs w:val="21"/>
        </w:rPr>
        <w:t>PPI</w:t>
      </w:r>
      <w:r>
        <w:rPr>
          <w:rFonts w:eastAsiaTheme="minorEastAsia"/>
          <w:color w:val="000000"/>
          <w:szCs w:val="21"/>
        </w:rPr>
        <w:t>同比增</w:t>
      </w:r>
      <w:r>
        <w:rPr>
          <w:rFonts w:eastAsiaTheme="minorEastAsia"/>
          <w:color w:val="000000"/>
          <w:szCs w:val="21"/>
        </w:rPr>
        <w:t>4.7%</w:t>
      </w:r>
      <w:r>
        <w:rPr>
          <w:rFonts w:eastAsiaTheme="minorEastAsia"/>
          <w:color w:val="000000"/>
          <w:szCs w:val="21"/>
        </w:rPr>
        <w:t>，增速创年内新高，前值</w:t>
      </w:r>
      <w:r>
        <w:rPr>
          <w:rFonts w:eastAsiaTheme="minorEastAsia"/>
          <w:color w:val="000000"/>
          <w:szCs w:val="21"/>
        </w:rPr>
        <w:t>4.1%</w:t>
      </w:r>
      <w:r>
        <w:rPr>
          <w:rFonts w:eastAsiaTheme="minorEastAsia"/>
          <w:color w:val="000000"/>
          <w:szCs w:val="21"/>
        </w:rPr>
        <w:t>，预期</w:t>
      </w:r>
      <w:r>
        <w:rPr>
          <w:rFonts w:eastAsiaTheme="minorEastAsia"/>
          <w:color w:val="000000"/>
          <w:szCs w:val="21"/>
        </w:rPr>
        <w:t>4.5%</w:t>
      </w:r>
      <w:r>
        <w:rPr>
          <w:rFonts w:eastAsiaTheme="minorEastAsia"/>
          <w:color w:val="000000"/>
          <w:szCs w:val="21"/>
        </w:rPr>
        <w:t>；</w:t>
      </w:r>
      <w:r>
        <w:rPr>
          <w:rFonts w:eastAsiaTheme="minorEastAsia"/>
          <w:color w:val="000000"/>
          <w:szCs w:val="21"/>
        </w:rPr>
        <w:t>6</w:t>
      </w:r>
      <w:r>
        <w:rPr>
          <w:rFonts w:eastAsiaTheme="minorEastAsia"/>
          <w:color w:val="000000"/>
          <w:szCs w:val="21"/>
        </w:rPr>
        <w:t>月新增社融总量</w:t>
      </w:r>
      <w:r>
        <w:rPr>
          <w:rFonts w:eastAsiaTheme="minorEastAsia"/>
          <w:color w:val="000000"/>
          <w:szCs w:val="21"/>
        </w:rPr>
        <w:t xml:space="preserve">1.18 </w:t>
      </w:r>
      <w:r>
        <w:rPr>
          <w:rFonts w:eastAsiaTheme="minorEastAsia"/>
          <w:color w:val="000000"/>
          <w:szCs w:val="21"/>
        </w:rPr>
        <w:t>万亿，同比少增约</w:t>
      </w:r>
      <w:r>
        <w:rPr>
          <w:rFonts w:eastAsiaTheme="minorEastAsia"/>
          <w:color w:val="000000"/>
          <w:szCs w:val="21"/>
        </w:rPr>
        <w:t>6000</w:t>
      </w:r>
      <w:r>
        <w:rPr>
          <w:rFonts w:eastAsiaTheme="minorEastAsia"/>
          <w:color w:val="000000"/>
          <w:szCs w:val="21"/>
        </w:rPr>
        <w:t>亿，社会融资规模存量增速继续大降至</w:t>
      </w:r>
      <w:r>
        <w:rPr>
          <w:rFonts w:eastAsiaTheme="minorEastAsia"/>
          <w:color w:val="000000"/>
          <w:szCs w:val="21"/>
        </w:rPr>
        <w:t>9.8%</w:t>
      </w:r>
      <w:r>
        <w:rPr>
          <w:rFonts w:eastAsiaTheme="minorEastAsia"/>
          <w:color w:val="000000"/>
          <w:szCs w:val="21"/>
        </w:rPr>
        <w:t>。其中</w:t>
      </w:r>
      <w:r>
        <w:rPr>
          <w:rFonts w:eastAsiaTheme="minorEastAsia"/>
          <w:color w:val="000000"/>
          <w:szCs w:val="21"/>
        </w:rPr>
        <w:t>6</w:t>
      </w:r>
      <w:r>
        <w:rPr>
          <w:rFonts w:eastAsiaTheme="minorEastAsia"/>
          <w:color w:val="000000"/>
          <w:szCs w:val="21"/>
        </w:rPr>
        <w:t>月虽然对实体发放贷款增加</w:t>
      </w:r>
      <w:r>
        <w:rPr>
          <w:rFonts w:eastAsiaTheme="minorEastAsia"/>
          <w:color w:val="000000"/>
          <w:szCs w:val="21"/>
        </w:rPr>
        <w:t>1.67</w:t>
      </w:r>
      <w:r>
        <w:rPr>
          <w:rFonts w:eastAsiaTheme="minorEastAsia"/>
          <w:color w:val="000000"/>
          <w:szCs w:val="21"/>
        </w:rPr>
        <w:t>万亿，同比多增</w:t>
      </w:r>
      <w:r>
        <w:rPr>
          <w:rFonts w:eastAsiaTheme="minorEastAsia"/>
          <w:color w:val="000000"/>
          <w:szCs w:val="21"/>
        </w:rPr>
        <w:t>2300</w:t>
      </w:r>
      <w:r>
        <w:rPr>
          <w:rFonts w:eastAsiaTheme="minorEastAsia"/>
          <w:color w:val="000000"/>
          <w:szCs w:val="21"/>
        </w:rPr>
        <w:t>亿，但表外非标融资继续大幅萎缩，委托、信托贷款、未贴现银行承兑汇票合计减少了</w:t>
      </w:r>
      <w:r>
        <w:rPr>
          <w:rFonts w:eastAsiaTheme="minorEastAsia"/>
          <w:color w:val="000000"/>
          <w:szCs w:val="21"/>
        </w:rPr>
        <w:t>6900</w:t>
      </w:r>
      <w:r>
        <w:rPr>
          <w:rFonts w:eastAsiaTheme="minorEastAsia"/>
          <w:color w:val="000000"/>
          <w:szCs w:val="21"/>
        </w:rPr>
        <w:t>多亿，同比少增</w:t>
      </w:r>
      <w:r>
        <w:rPr>
          <w:rFonts w:eastAsiaTheme="minorEastAsia"/>
          <w:color w:val="000000"/>
          <w:szCs w:val="21"/>
        </w:rPr>
        <w:t>9100</w:t>
      </w:r>
      <w:r>
        <w:rPr>
          <w:rFonts w:eastAsiaTheme="minorEastAsia"/>
          <w:color w:val="000000"/>
          <w:szCs w:val="21"/>
        </w:rPr>
        <w:t>亿。大部分表外融资需求难以向表内转移，是拖累社融的主因。上半年由于资金情况宽松，债券收益率普遍下降，尤其是中长短利率债收益率曲线向下走势更为陡峭。</w:t>
      </w:r>
    </w:p>
    <w:p w:rsidR="001548F9" w:rsidRPr="00646A7D" w:rsidRDefault="00C02A8F"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本基金管理人在维持低风险基础配置的基础上积极参与债券投资，同时更加注重固定收益管理部分的流动性管理和信用风险管理，争取为基金份额持有人创造符合其投资预期目标值的合理投资回报。</w:t>
      </w:r>
    </w:p>
    <w:p w:rsidR="001548F9" w:rsidRPr="00646A7D" w:rsidRDefault="001548F9" w:rsidP="00BA6974">
      <w:pPr>
        <w:autoSpaceDE w:val="0"/>
        <w:autoSpaceDN w:val="0"/>
        <w:adjustRightInd w:val="0"/>
        <w:spacing w:beforeLines="100" w:line="360" w:lineRule="auto"/>
        <w:jc w:val="left"/>
        <w:rPr>
          <w:rFonts w:eastAsiaTheme="minorEastAsia"/>
          <w:b/>
          <w:szCs w:val="21"/>
        </w:rPr>
      </w:pPr>
      <w:r w:rsidRPr="00646A7D">
        <w:rPr>
          <w:rFonts w:eastAsiaTheme="minorEastAsia"/>
          <w:b/>
          <w:szCs w:val="21"/>
        </w:rPr>
        <w:t xml:space="preserve">4.4.2 </w:t>
      </w:r>
      <w:r w:rsidRPr="00646A7D">
        <w:rPr>
          <w:rFonts w:eastAsiaTheme="minorEastAsia"/>
          <w:b/>
          <w:szCs w:val="21"/>
        </w:rPr>
        <w:t>报告期内基金的业绩表现</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本报告期内，本基金的份额净值增长率为</w:t>
      </w:r>
      <w:r w:rsidRPr="00646A7D">
        <w:rPr>
          <w:rFonts w:eastAsiaTheme="minorEastAsia"/>
          <w:color w:val="000000"/>
          <w:szCs w:val="21"/>
        </w:rPr>
        <w:t>1.46%</w:t>
      </w:r>
      <w:r w:rsidRPr="00646A7D">
        <w:rPr>
          <w:rFonts w:eastAsiaTheme="minorEastAsia"/>
          <w:color w:val="000000"/>
          <w:szCs w:val="21"/>
        </w:rPr>
        <w:t>，同期业绩比较基准收益率为</w:t>
      </w:r>
      <w:r w:rsidRPr="00646A7D">
        <w:rPr>
          <w:rFonts w:eastAsiaTheme="minorEastAsia"/>
          <w:color w:val="000000"/>
          <w:szCs w:val="21"/>
        </w:rPr>
        <w:t>-0.38%</w:t>
      </w:r>
      <w:r w:rsidRPr="00646A7D">
        <w:rPr>
          <w:rFonts w:eastAsiaTheme="minorEastAsia"/>
          <w:color w:val="000000"/>
          <w:szCs w:val="21"/>
        </w:rPr>
        <w:t>。</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27" w:name="_Toc331410083"/>
      <w:bookmarkStart w:id="28" w:name="_Toc225498259"/>
      <w:r w:rsidRPr="00646A7D">
        <w:rPr>
          <w:rFonts w:ascii="Times New Roman" w:eastAsiaTheme="minorEastAsia" w:hAnsi="Times New Roman"/>
          <w:kern w:val="0"/>
          <w:sz w:val="21"/>
          <w:szCs w:val="21"/>
        </w:rPr>
        <w:t xml:space="preserve">4.5 </w:t>
      </w:r>
      <w:r w:rsidRPr="00646A7D">
        <w:rPr>
          <w:rFonts w:ascii="Times New Roman" w:eastAsiaTheme="minorEastAsia" w:hAnsi="Times New Roman"/>
          <w:kern w:val="0"/>
          <w:sz w:val="21"/>
          <w:szCs w:val="21"/>
        </w:rPr>
        <w:t>管理人对宏观经济、证券市场及行业走势的简要展望</w:t>
      </w:r>
      <w:bookmarkEnd w:id="27"/>
      <w:bookmarkEnd w:id="28"/>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季度</w:t>
      </w:r>
      <w:r w:rsidRPr="00646A7D">
        <w:rPr>
          <w:rFonts w:eastAsiaTheme="minorEastAsia"/>
          <w:color w:val="000000"/>
          <w:szCs w:val="21"/>
        </w:rPr>
        <w:t>GDP</w:t>
      </w:r>
      <w:r w:rsidRPr="00646A7D">
        <w:rPr>
          <w:rFonts w:eastAsiaTheme="minorEastAsia"/>
          <w:color w:val="000000"/>
          <w:szCs w:val="21"/>
        </w:rPr>
        <w:t>同比增长</w:t>
      </w:r>
      <w:r w:rsidRPr="00646A7D">
        <w:rPr>
          <w:rFonts w:eastAsiaTheme="minorEastAsia"/>
          <w:color w:val="000000"/>
          <w:szCs w:val="21"/>
        </w:rPr>
        <w:t>6.7%</w:t>
      </w:r>
      <w:r w:rsidRPr="00646A7D">
        <w:rPr>
          <w:rFonts w:eastAsiaTheme="minorEastAsia"/>
          <w:color w:val="000000"/>
          <w:szCs w:val="21"/>
        </w:rPr>
        <w:t>，前值</w:t>
      </w:r>
      <w:r w:rsidRPr="00646A7D">
        <w:rPr>
          <w:rFonts w:eastAsiaTheme="minorEastAsia"/>
          <w:color w:val="000000"/>
          <w:szCs w:val="21"/>
        </w:rPr>
        <w:t>6.8%</w:t>
      </w:r>
      <w:r w:rsidRPr="00646A7D">
        <w:rPr>
          <w:rFonts w:eastAsiaTheme="minorEastAsia"/>
          <w:color w:val="000000"/>
          <w:szCs w:val="21"/>
        </w:rPr>
        <w:t>，</w:t>
      </w:r>
      <w:r w:rsidRPr="00646A7D">
        <w:rPr>
          <w:rFonts w:eastAsiaTheme="minorEastAsia"/>
          <w:color w:val="000000"/>
          <w:szCs w:val="21"/>
        </w:rPr>
        <w:t>6</w:t>
      </w:r>
      <w:r w:rsidRPr="00646A7D">
        <w:rPr>
          <w:rFonts w:eastAsiaTheme="minorEastAsia"/>
          <w:color w:val="000000"/>
          <w:szCs w:val="21"/>
        </w:rPr>
        <w:t>月规模以上工业增加值同比增长</w:t>
      </w:r>
      <w:r w:rsidRPr="00646A7D">
        <w:rPr>
          <w:rFonts w:eastAsiaTheme="minorEastAsia"/>
          <w:color w:val="000000"/>
          <w:szCs w:val="21"/>
        </w:rPr>
        <w:t>6.0%</w:t>
      </w:r>
      <w:r w:rsidRPr="00646A7D">
        <w:rPr>
          <w:rFonts w:eastAsiaTheme="minorEastAsia"/>
          <w:color w:val="000000"/>
          <w:szCs w:val="21"/>
        </w:rPr>
        <w:t>，前值</w:t>
      </w:r>
      <w:r w:rsidRPr="00646A7D">
        <w:rPr>
          <w:rFonts w:eastAsiaTheme="minorEastAsia"/>
          <w:color w:val="000000"/>
          <w:szCs w:val="21"/>
        </w:rPr>
        <w:t>6.8%</w:t>
      </w:r>
      <w:r w:rsidRPr="00646A7D">
        <w:rPr>
          <w:rFonts w:eastAsiaTheme="minorEastAsia"/>
          <w:color w:val="000000"/>
          <w:szCs w:val="21"/>
        </w:rPr>
        <w:t>，</w:t>
      </w:r>
      <w:r w:rsidRPr="00646A7D">
        <w:rPr>
          <w:rFonts w:eastAsiaTheme="minorEastAsia"/>
          <w:color w:val="000000"/>
          <w:szCs w:val="21"/>
        </w:rPr>
        <w:t>1-6</w:t>
      </w:r>
      <w:r w:rsidRPr="00646A7D">
        <w:rPr>
          <w:rFonts w:eastAsiaTheme="minorEastAsia"/>
          <w:color w:val="000000"/>
          <w:szCs w:val="21"/>
        </w:rPr>
        <w:t>月固定资产投资同比增长</w:t>
      </w:r>
      <w:r w:rsidRPr="00646A7D">
        <w:rPr>
          <w:rFonts w:eastAsiaTheme="minorEastAsia"/>
          <w:color w:val="000000"/>
          <w:szCs w:val="21"/>
        </w:rPr>
        <w:t>6.0%</w:t>
      </w:r>
      <w:r w:rsidRPr="00646A7D">
        <w:rPr>
          <w:rFonts w:eastAsiaTheme="minorEastAsia"/>
          <w:color w:val="000000"/>
          <w:szCs w:val="21"/>
        </w:rPr>
        <w:t>，前值</w:t>
      </w:r>
      <w:r w:rsidRPr="00646A7D">
        <w:rPr>
          <w:rFonts w:eastAsiaTheme="minorEastAsia"/>
          <w:color w:val="000000"/>
          <w:szCs w:val="21"/>
        </w:rPr>
        <w:t>6.1%</w:t>
      </w:r>
      <w:r w:rsidRPr="00646A7D">
        <w:rPr>
          <w:rFonts w:eastAsiaTheme="minorEastAsia"/>
          <w:color w:val="000000"/>
          <w:szCs w:val="21"/>
        </w:rPr>
        <w:t>，</w:t>
      </w:r>
      <w:r w:rsidRPr="00646A7D">
        <w:rPr>
          <w:rFonts w:eastAsiaTheme="minorEastAsia"/>
          <w:color w:val="000000"/>
          <w:szCs w:val="21"/>
        </w:rPr>
        <w:t>6</w:t>
      </w:r>
      <w:r w:rsidRPr="00646A7D">
        <w:rPr>
          <w:rFonts w:eastAsiaTheme="minorEastAsia"/>
          <w:color w:val="000000"/>
          <w:szCs w:val="21"/>
        </w:rPr>
        <w:t>月社会消费品零售总额名义同比增长</w:t>
      </w:r>
      <w:r w:rsidRPr="00646A7D">
        <w:rPr>
          <w:rFonts w:eastAsiaTheme="minorEastAsia"/>
          <w:color w:val="000000"/>
          <w:szCs w:val="21"/>
        </w:rPr>
        <w:t>9.0%</w:t>
      </w:r>
      <w:r w:rsidRPr="00646A7D">
        <w:rPr>
          <w:rFonts w:eastAsiaTheme="minorEastAsia"/>
          <w:color w:val="000000"/>
          <w:szCs w:val="21"/>
        </w:rPr>
        <w:t>，前值</w:t>
      </w:r>
      <w:r w:rsidRPr="00646A7D">
        <w:rPr>
          <w:rFonts w:eastAsiaTheme="minorEastAsia"/>
          <w:color w:val="000000"/>
          <w:szCs w:val="21"/>
        </w:rPr>
        <w:t>8.5%</w:t>
      </w:r>
      <w:r w:rsidRPr="00646A7D">
        <w:rPr>
          <w:rFonts w:eastAsiaTheme="minorEastAsia"/>
          <w:color w:val="000000"/>
          <w:szCs w:val="21"/>
        </w:rPr>
        <w:t>。基建投资成为主要拖累，地产投资小幅回落。随着需求端放缓逐渐传导至供给端，下半年经济下行压力将逐渐增大。目前等待中央经济工作会议是否会进一步发布政策，本基金管理人预计整个下半年资金面仍为宽松状态，继续看好中等久期利率债和高等级信用债。财政宽松预期会缩窄信用债评级估值上的利差，但配置中低评级债仍需谨慎。</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29" w:name="_Toc331410085"/>
      <w:bookmarkStart w:id="30" w:name="_Toc247959457"/>
      <w:bookmarkStart w:id="31" w:name="_Toc225570083"/>
      <w:r w:rsidRPr="00646A7D">
        <w:rPr>
          <w:rFonts w:ascii="Times New Roman" w:eastAsiaTheme="minorEastAsia" w:hAnsi="Times New Roman"/>
          <w:kern w:val="0"/>
          <w:sz w:val="21"/>
          <w:szCs w:val="21"/>
        </w:rPr>
        <w:t xml:space="preserve">4.6 </w:t>
      </w:r>
      <w:r w:rsidRPr="00646A7D">
        <w:rPr>
          <w:rFonts w:ascii="Times New Roman" w:eastAsiaTheme="minorEastAsia" w:hAnsi="Times New Roman"/>
          <w:kern w:val="0"/>
          <w:sz w:val="21"/>
          <w:szCs w:val="21"/>
        </w:rPr>
        <w:t>管理人对报告期内基金估值程序等事项的说明</w:t>
      </w:r>
      <w:bookmarkEnd w:id="29"/>
      <w:bookmarkEnd w:id="30"/>
      <w:bookmarkEnd w:id="31"/>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公司内部建立估值工作小组对证券估值负责。估值工作小组由公司运营部、权益投资部、交易部、监察稽核部、风险管理部、量化投资部、研究部部门经理组成，并根据业务分工履行相应的职责，所有成员都具备丰富的专业能力和估值经验，参与估值流程各方不存在重大利益冲突。基金经理不直接参与估值决策，估值决策由估值工作小组成员</w:t>
      </w:r>
      <w:r w:rsidRPr="00646A7D">
        <w:rPr>
          <w:rFonts w:eastAsiaTheme="minorEastAsia"/>
          <w:color w:val="000000"/>
          <w:szCs w:val="21"/>
        </w:rPr>
        <w:t>1/2</w:t>
      </w:r>
      <w:r w:rsidRPr="00646A7D">
        <w:rPr>
          <w:rFonts w:eastAsiaTheme="minorEastAsia"/>
          <w:color w:val="000000"/>
          <w:szCs w:val="21"/>
        </w:rPr>
        <w:t>以上多数票通过，量化投资部、研究部、权益投资部对估值决策必须达成一致，估值决策由公司总经理签署后生效。对于估值政策，公司和基金托管银行有充分沟通，积极商讨达成一致意见；对于估值结果，公司和基金托管银行有详细的核对流程，达成一致意见后才能对外披露。会计师事务所认可公司基金估值的政策和流程的适当性与合理性。</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32" w:name="_Toc331410086"/>
      <w:bookmarkStart w:id="33" w:name="_Toc247959458"/>
      <w:bookmarkStart w:id="34" w:name="_Toc225570084"/>
      <w:r w:rsidRPr="00646A7D">
        <w:rPr>
          <w:rFonts w:ascii="Times New Roman" w:eastAsiaTheme="minorEastAsia" w:hAnsi="Times New Roman"/>
          <w:kern w:val="0"/>
          <w:sz w:val="21"/>
          <w:szCs w:val="21"/>
        </w:rPr>
        <w:t xml:space="preserve">4.7 </w:t>
      </w:r>
      <w:r w:rsidRPr="00646A7D">
        <w:rPr>
          <w:rFonts w:ascii="Times New Roman" w:eastAsiaTheme="minorEastAsia" w:hAnsi="Times New Roman"/>
          <w:kern w:val="0"/>
          <w:sz w:val="21"/>
          <w:szCs w:val="21"/>
        </w:rPr>
        <w:t>管理人对报告期内基金利润分配情况的说明</w:t>
      </w:r>
      <w:bookmarkEnd w:id="32"/>
      <w:bookmarkEnd w:id="33"/>
      <w:bookmarkEnd w:id="34"/>
    </w:p>
    <w:p w:rsidR="001548F9"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根据法律法规的规定和本基金基金合同的约定，以及本基金实际运作情况，本基金本报告期未进行利润分配，符合本基金基金合同的相关规定。</w:t>
      </w:r>
    </w:p>
    <w:p w:rsidR="000A1C93" w:rsidRPr="00C56D9D" w:rsidRDefault="000A1C93" w:rsidP="00BA6974">
      <w:pPr>
        <w:pStyle w:val="20"/>
        <w:spacing w:beforeLines="100" w:after="0"/>
        <w:rPr>
          <w:rFonts w:eastAsiaTheme="minorEastAsia"/>
          <w:color w:val="000000" w:themeColor="text1"/>
          <w:szCs w:val="21"/>
        </w:rPr>
      </w:pPr>
      <w:r w:rsidRPr="00065120">
        <w:rPr>
          <w:rFonts w:ascii="Times New Roman" w:eastAsiaTheme="minorEastAsia" w:hAnsi="Times New Roman" w:hint="eastAsia"/>
          <w:kern w:val="0"/>
          <w:sz w:val="21"/>
          <w:szCs w:val="21"/>
        </w:rPr>
        <w:t xml:space="preserve">4.8 </w:t>
      </w:r>
      <w:r w:rsidRPr="00065120">
        <w:rPr>
          <w:rFonts w:ascii="Times New Roman" w:eastAsiaTheme="minorEastAsia" w:hAnsi="Times New Roman" w:hint="eastAsia"/>
          <w:kern w:val="0"/>
          <w:sz w:val="21"/>
          <w:szCs w:val="21"/>
        </w:rPr>
        <w:t>报告期内管理人对本基金持有人数或基金资产净值预警情形的说明</w:t>
      </w:r>
    </w:p>
    <w:p w:rsidR="000A1C93" w:rsidRPr="00646A7D" w:rsidRDefault="000A1C93" w:rsidP="000A1C93">
      <w:pPr>
        <w:spacing w:line="360" w:lineRule="auto"/>
        <w:ind w:firstLineChars="200" w:firstLine="420"/>
        <w:rPr>
          <w:rFonts w:eastAsiaTheme="minorEastAsia"/>
          <w:color w:val="000000"/>
          <w:szCs w:val="21"/>
        </w:rPr>
      </w:pPr>
      <w:r w:rsidRPr="00C56D9D">
        <w:rPr>
          <w:rFonts w:eastAsiaTheme="minorEastAsia"/>
          <w:color w:val="000000" w:themeColor="text1"/>
          <w:kern w:val="0"/>
          <w:szCs w:val="21"/>
        </w:rPr>
        <w:t>无。</w:t>
      </w:r>
    </w:p>
    <w:p w:rsidR="001548F9" w:rsidRPr="00646A7D" w:rsidRDefault="001548F9" w:rsidP="00BA6974">
      <w:pPr>
        <w:pStyle w:val="1"/>
        <w:keepNext/>
        <w:keepLines/>
        <w:widowControl w:val="0"/>
        <w:spacing w:beforeLines="100" w:afterLines="100" w:line="360" w:lineRule="auto"/>
        <w:jc w:val="center"/>
        <w:rPr>
          <w:rFonts w:eastAsiaTheme="minorEastAsia"/>
          <w:b/>
          <w:bCs/>
          <w:sz w:val="21"/>
          <w:szCs w:val="21"/>
          <w:lang w:val="en-US"/>
        </w:rPr>
      </w:pPr>
      <w:bookmarkStart w:id="35" w:name="_Toc331410088"/>
      <w:bookmarkStart w:id="36" w:name="_Toc225498263"/>
      <w:r w:rsidRPr="00646A7D">
        <w:rPr>
          <w:rFonts w:eastAsiaTheme="minorEastAsia"/>
          <w:b/>
          <w:bCs/>
          <w:sz w:val="21"/>
          <w:szCs w:val="21"/>
          <w:lang w:val="en-US"/>
        </w:rPr>
        <w:t xml:space="preserve">5  </w:t>
      </w:r>
      <w:r w:rsidRPr="00646A7D">
        <w:rPr>
          <w:rFonts w:eastAsiaTheme="minorEastAsia"/>
          <w:b/>
          <w:bCs/>
          <w:sz w:val="21"/>
          <w:szCs w:val="21"/>
          <w:lang w:val="en-US"/>
        </w:rPr>
        <w:t>托管人报告</w:t>
      </w:r>
      <w:bookmarkEnd w:id="35"/>
      <w:bookmarkEnd w:id="36"/>
    </w:p>
    <w:p w:rsidR="001548F9" w:rsidRPr="00646A7D" w:rsidRDefault="001548F9" w:rsidP="003576C9">
      <w:pPr>
        <w:pStyle w:val="20"/>
        <w:spacing w:before="0" w:after="0"/>
        <w:rPr>
          <w:rFonts w:ascii="Times New Roman" w:eastAsiaTheme="minorEastAsia" w:hAnsi="Times New Roman"/>
          <w:kern w:val="0"/>
          <w:sz w:val="21"/>
          <w:szCs w:val="21"/>
        </w:rPr>
      </w:pPr>
      <w:bookmarkStart w:id="37" w:name="_Toc331410089"/>
      <w:bookmarkStart w:id="38" w:name="_Toc225498264"/>
      <w:r w:rsidRPr="00646A7D">
        <w:rPr>
          <w:rFonts w:ascii="Times New Roman" w:eastAsiaTheme="minorEastAsia" w:hAnsi="Times New Roman"/>
          <w:kern w:val="0"/>
          <w:sz w:val="21"/>
          <w:szCs w:val="21"/>
        </w:rPr>
        <w:t xml:space="preserve">5.1 </w:t>
      </w:r>
      <w:r w:rsidRPr="00646A7D">
        <w:rPr>
          <w:rFonts w:ascii="Times New Roman" w:eastAsiaTheme="minorEastAsia" w:hAnsi="Times New Roman"/>
          <w:kern w:val="0"/>
          <w:sz w:val="21"/>
          <w:szCs w:val="21"/>
        </w:rPr>
        <w:t>报告期内本基金托管人遵规守信情况声明</w:t>
      </w:r>
      <w:bookmarkEnd w:id="37"/>
      <w:bookmarkEnd w:id="38"/>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本报告期内，平安银行股份有限公司（以下称</w:t>
      </w:r>
      <w:r w:rsidRPr="00646A7D">
        <w:rPr>
          <w:rFonts w:eastAsiaTheme="minorEastAsia"/>
          <w:color w:val="000000"/>
          <w:szCs w:val="21"/>
        </w:rPr>
        <w:t>“</w:t>
      </w:r>
      <w:r w:rsidRPr="00646A7D">
        <w:rPr>
          <w:rFonts w:eastAsiaTheme="minorEastAsia"/>
          <w:color w:val="000000"/>
          <w:szCs w:val="21"/>
        </w:rPr>
        <w:t>本托管人</w:t>
      </w:r>
      <w:r w:rsidRPr="00646A7D">
        <w:rPr>
          <w:rFonts w:eastAsiaTheme="minorEastAsia"/>
          <w:color w:val="000000"/>
          <w:szCs w:val="21"/>
        </w:rPr>
        <w:t>”</w:t>
      </w:r>
      <w:r w:rsidRPr="00646A7D">
        <w:rPr>
          <w:rFonts w:eastAsiaTheme="minorEastAsia"/>
          <w:color w:val="000000"/>
          <w:szCs w:val="21"/>
        </w:rPr>
        <w:t>）在国联安睿智定期开放混合型证券投资基金（以下称</w:t>
      </w:r>
      <w:r w:rsidRPr="00646A7D">
        <w:rPr>
          <w:rFonts w:eastAsiaTheme="minorEastAsia"/>
          <w:color w:val="000000"/>
          <w:szCs w:val="21"/>
        </w:rPr>
        <w:t>“</w:t>
      </w:r>
      <w:r w:rsidRPr="00646A7D">
        <w:rPr>
          <w:rFonts w:eastAsiaTheme="minorEastAsia"/>
          <w:color w:val="000000"/>
          <w:szCs w:val="21"/>
        </w:rPr>
        <w:t>本基金</w:t>
      </w:r>
      <w:r w:rsidRPr="00646A7D">
        <w:rPr>
          <w:rFonts w:eastAsiaTheme="minorEastAsia"/>
          <w:color w:val="000000"/>
          <w:szCs w:val="21"/>
        </w:rPr>
        <w:t>”</w:t>
      </w:r>
      <w:r w:rsidRPr="00646A7D">
        <w:rPr>
          <w:rFonts w:eastAsiaTheme="minorEastAsia"/>
          <w:color w:val="000000"/>
          <w:szCs w:val="21"/>
        </w:rPr>
        <w:t>）的托管过程中，严格遵守《证券投资基金法》及其他有关法律法规、基金合同和托管协议的有关规定，不存在损害基金份额持有人利益的行为，完全尽职尽责地履行了应尽的义务。</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39" w:name="_Toc225498265"/>
      <w:bookmarkStart w:id="40" w:name="_Toc331410090"/>
      <w:r w:rsidRPr="00646A7D">
        <w:rPr>
          <w:rFonts w:ascii="Times New Roman" w:eastAsiaTheme="minorEastAsia" w:hAnsi="Times New Roman"/>
          <w:kern w:val="0"/>
          <w:sz w:val="21"/>
          <w:szCs w:val="21"/>
        </w:rPr>
        <w:t xml:space="preserve">5.2 </w:t>
      </w:r>
      <w:r w:rsidRPr="00646A7D">
        <w:rPr>
          <w:rFonts w:ascii="Times New Roman" w:eastAsiaTheme="minorEastAsia" w:hAnsi="Times New Roman"/>
          <w:kern w:val="0"/>
          <w:sz w:val="21"/>
          <w:szCs w:val="21"/>
        </w:rPr>
        <w:t>托管人对报告期内本基金投资运作遵规守信、净值计算、利润分配等情况的</w:t>
      </w:r>
      <w:bookmarkEnd w:id="39"/>
      <w:r w:rsidRPr="00646A7D">
        <w:rPr>
          <w:rFonts w:ascii="Times New Roman" w:eastAsiaTheme="minorEastAsia" w:hAnsi="Times New Roman"/>
          <w:kern w:val="0"/>
          <w:sz w:val="21"/>
          <w:szCs w:val="21"/>
        </w:rPr>
        <w:t>说明</w:t>
      </w:r>
      <w:bookmarkEnd w:id="40"/>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托管人根据《证券投资基金法》及其他有关法律法规、基金合同和托管协议的规定，对本基金的投资运作进行了必要的监督，对基金资产净值的计算、基金份额申购赎回价格的计算以及基金费用开支等方面进行了认真地复核，未发现本基金管理人存在损害基金份额持有人利益的行为。该基金本报告期内未进行利润分配。</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41" w:name="_Toc331410091"/>
      <w:bookmarkStart w:id="42" w:name="_Toc225498266"/>
      <w:r w:rsidRPr="00646A7D">
        <w:rPr>
          <w:rFonts w:ascii="Times New Roman" w:eastAsiaTheme="minorEastAsia" w:hAnsi="Times New Roman"/>
          <w:kern w:val="0"/>
          <w:sz w:val="21"/>
          <w:szCs w:val="21"/>
        </w:rPr>
        <w:t xml:space="preserve">5.3 </w:t>
      </w:r>
      <w:r w:rsidRPr="00646A7D">
        <w:rPr>
          <w:rFonts w:ascii="Times New Roman" w:eastAsiaTheme="minorEastAsia" w:hAnsi="Times New Roman"/>
          <w:kern w:val="0"/>
          <w:sz w:val="21"/>
          <w:szCs w:val="21"/>
        </w:rPr>
        <w:t>托管人对本半年度报告中财务信息等内容的真实、准确和完整发表意见</w:t>
      </w:r>
      <w:bookmarkEnd w:id="41"/>
      <w:bookmarkEnd w:id="42"/>
    </w:p>
    <w:p w:rsidR="001548F9" w:rsidRPr="00646A7D"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本报告期内，由国联安基金管理有限公司编制本托管人复核的本报告中的财务指标、净值表现、财务会计报告（注：财务会计报告中的</w:t>
      </w:r>
      <w:r w:rsidRPr="00646A7D">
        <w:rPr>
          <w:rFonts w:eastAsiaTheme="minorEastAsia"/>
          <w:color w:val="000000"/>
          <w:szCs w:val="21"/>
        </w:rPr>
        <w:t>“</w:t>
      </w:r>
      <w:r w:rsidRPr="00646A7D">
        <w:rPr>
          <w:rFonts w:eastAsiaTheme="minorEastAsia"/>
          <w:color w:val="000000"/>
          <w:szCs w:val="21"/>
        </w:rPr>
        <w:t>金融工具风险及管理</w:t>
      </w:r>
      <w:r w:rsidRPr="00646A7D">
        <w:rPr>
          <w:rFonts w:eastAsiaTheme="minorEastAsia"/>
          <w:color w:val="000000"/>
          <w:szCs w:val="21"/>
        </w:rPr>
        <w:t>”</w:t>
      </w:r>
      <w:r w:rsidRPr="00646A7D">
        <w:rPr>
          <w:rFonts w:eastAsiaTheme="minorEastAsia"/>
          <w:color w:val="000000"/>
          <w:szCs w:val="21"/>
        </w:rPr>
        <w:t>部分未在托管人复核范围内）、投资组合报告等内容真实、准确、完整。</w:t>
      </w:r>
    </w:p>
    <w:p w:rsidR="001548F9" w:rsidRPr="00646A7D" w:rsidRDefault="001548F9" w:rsidP="00BA6974">
      <w:pPr>
        <w:pStyle w:val="1"/>
        <w:keepNext/>
        <w:keepLines/>
        <w:widowControl w:val="0"/>
        <w:spacing w:beforeLines="100" w:afterLines="100" w:line="360" w:lineRule="auto"/>
        <w:jc w:val="center"/>
        <w:rPr>
          <w:rFonts w:eastAsiaTheme="minorEastAsia"/>
          <w:b/>
          <w:bCs/>
          <w:sz w:val="21"/>
          <w:szCs w:val="21"/>
          <w:lang w:val="en-US"/>
        </w:rPr>
      </w:pPr>
      <w:bookmarkStart w:id="43" w:name="_Toc331410096"/>
      <w:r w:rsidRPr="00646A7D">
        <w:rPr>
          <w:rFonts w:eastAsiaTheme="minorEastAsia"/>
          <w:b/>
          <w:bCs/>
          <w:sz w:val="21"/>
          <w:szCs w:val="21"/>
          <w:lang w:val="en-US"/>
        </w:rPr>
        <w:t>6</w:t>
      </w:r>
      <w:bookmarkEnd w:id="43"/>
      <w:r w:rsidRPr="00646A7D">
        <w:rPr>
          <w:rFonts w:eastAsiaTheme="minorEastAsia"/>
          <w:b/>
          <w:bCs/>
          <w:sz w:val="21"/>
          <w:szCs w:val="21"/>
          <w:lang w:val="en-US"/>
        </w:rPr>
        <w:tab/>
      </w:r>
      <w:r w:rsidRPr="00646A7D">
        <w:rPr>
          <w:rFonts w:eastAsiaTheme="minorEastAsia"/>
          <w:b/>
          <w:bCs/>
          <w:sz w:val="21"/>
          <w:szCs w:val="21"/>
          <w:lang w:val="en-US"/>
        </w:rPr>
        <w:t>半年度财务会计报告（未经审计）</w:t>
      </w:r>
    </w:p>
    <w:p w:rsidR="001548F9" w:rsidRPr="00646A7D" w:rsidRDefault="001548F9" w:rsidP="003576C9">
      <w:pPr>
        <w:pStyle w:val="20"/>
        <w:spacing w:before="0" w:after="0"/>
        <w:rPr>
          <w:rFonts w:ascii="Times New Roman" w:eastAsiaTheme="minorEastAsia" w:hAnsi="Times New Roman"/>
          <w:kern w:val="0"/>
          <w:sz w:val="21"/>
          <w:szCs w:val="21"/>
        </w:rPr>
      </w:pPr>
      <w:bookmarkStart w:id="44" w:name="_Toc331410097"/>
      <w:bookmarkStart w:id="45" w:name="_Toc225498268"/>
      <w:r w:rsidRPr="00646A7D">
        <w:rPr>
          <w:rFonts w:ascii="Times New Roman" w:eastAsiaTheme="minorEastAsia" w:hAnsi="Times New Roman"/>
          <w:kern w:val="0"/>
          <w:sz w:val="21"/>
          <w:szCs w:val="21"/>
        </w:rPr>
        <w:t xml:space="preserve">6.1 </w:t>
      </w:r>
      <w:r w:rsidRPr="00646A7D">
        <w:rPr>
          <w:rFonts w:ascii="Times New Roman" w:eastAsiaTheme="minorEastAsia" w:hAnsi="Times New Roman"/>
          <w:kern w:val="0"/>
          <w:sz w:val="21"/>
          <w:szCs w:val="21"/>
        </w:rPr>
        <w:t>资产负债表</w:t>
      </w:r>
      <w:bookmarkEnd w:id="44"/>
      <w:bookmarkEnd w:id="45"/>
    </w:p>
    <w:p w:rsidR="001548F9" w:rsidRPr="00646A7D" w:rsidRDefault="001548F9" w:rsidP="003576C9">
      <w:pPr>
        <w:spacing w:line="360" w:lineRule="auto"/>
        <w:rPr>
          <w:rFonts w:eastAsiaTheme="minorEastAsia"/>
          <w:color w:val="000000"/>
          <w:szCs w:val="21"/>
        </w:rPr>
      </w:pPr>
      <w:r w:rsidRPr="00646A7D">
        <w:rPr>
          <w:rFonts w:eastAsiaTheme="minorEastAsia"/>
          <w:color w:val="000000"/>
          <w:szCs w:val="21"/>
        </w:rPr>
        <w:t>会计主体：国联安睿智定期开放混合型证券投资基金</w:t>
      </w:r>
    </w:p>
    <w:p w:rsidR="001548F9" w:rsidRPr="00646A7D" w:rsidRDefault="001548F9" w:rsidP="003576C9">
      <w:pPr>
        <w:spacing w:line="360" w:lineRule="auto"/>
        <w:rPr>
          <w:rFonts w:eastAsiaTheme="minorEastAsia"/>
          <w:color w:val="000000"/>
          <w:szCs w:val="21"/>
        </w:rPr>
      </w:pPr>
      <w:r w:rsidRPr="00646A7D">
        <w:rPr>
          <w:rFonts w:eastAsiaTheme="minorEastAsia"/>
          <w:color w:val="000000"/>
          <w:szCs w:val="21"/>
        </w:rPr>
        <w:t>报告截止日：</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0"/>
        <w:gridCol w:w="40"/>
        <w:gridCol w:w="2511"/>
        <w:gridCol w:w="9"/>
        <w:gridCol w:w="2740"/>
      </w:tblGrid>
      <w:tr w:rsidR="00FC027C" w:rsidRPr="00646A7D" w:rsidTr="00646A7D">
        <w:tc>
          <w:tcPr>
            <w:tcW w:w="3601" w:type="dxa"/>
            <w:vAlign w:val="center"/>
          </w:tcPr>
          <w:p w:rsidR="00FC027C" w:rsidRPr="00646A7D" w:rsidRDefault="00FC027C"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资产</w:t>
            </w:r>
          </w:p>
        </w:tc>
        <w:tc>
          <w:tcPr>
            <w:tcW w:w="2551"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2018</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8"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2017</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FC027C" w:rsidRPr="00646A7D" w:rsidTr="00646A7D">
        <w:tc>
          <w:tcPr>
            <w:tcW w:w="3601" w:type="dxa"/>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资产：</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银行存款</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208,905,294.15</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2,759,982.29</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结算备付金</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2,331,818.19</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存出保证金</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25,450.15</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8,140.93</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交易性金融资产</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175,525,451.73</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其中：股票投资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5E17AD">
            <w:pPr>
              <w:pStyle w:val="af6"/>
              <w:ind w:firstLineChars="300" w:firstLine="630"/>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基金投资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5E17AD">
            <w:pPr>
              <w:ind w:firstLineChars="300" w:firstLine="630"/>
              <w:rPr>
                <w:rFonts w:eastAsiaTheme="minorEastAsia"/>
                <w:color w:val="000000"/>
                <w:szCs w:val="21"/>
              </w:rPr>
            </w:pPr>
            <w:r w:rsidRPr="00646A7D">
              <w:rPr>
                <w:rFonts w:eastAsiaTheme="minorEastAsia"/>
                <w:color w:val="000000"/>
                <w:szCs w:val="21"/>
              </w:rPr>
              <w:t>债券投资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175,525,451.73</w:t>
            </w:r>
          </w:p>
        </w:tc>
      </w:tr>
      <w:tr w:rsidR="00FC027C" w:rsidRPr="00646A7D" w:rsidTr="00646A7D">
        <w:tc>
          <w:tcPr>
            <w:tcW w:w="3601" w:type="dxa"/>
            <w:vAlign w:val="center"/>
          </w:tcPr>
          <w:p w:rsidR="00FC027C" w:rsidRPr="00646A7D" w:rsidRDefault="00FC027C" w:rsidP="005E17AD">
            <w:pPr>
              <w:ind w:firstLineChars="300" w:firstLine="630"/>
              <w:rPr>
                <w:rFonts w:eastAsiaTheme="minorEastAsia"/>
                <w:color w:val="000000"/>
                <w:szCs w:val="21"/>
              </w:rPr>
            </w:pPr>
            <w:r w:rsidRPr="00646A7D">
              <w:rPr>
                <w:rFonts w:eastAsiaTheme="minorEastAsia"/>
                <w:color w:val="000000"/>
                <w:szCs w:val="21"/>
              </w:rPr>
              <w:t>资产支持证券投资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A47B26">
            <w:pPr>
              <w:spacing w:line="360" w:lineRule="auto"/>
              <w:ind w:firstLineChars="300" w:firstLine="630"/>
              <w:rPr>
                <w:rFonts w:eastAsiaTheme="minorEastAsia"/>
                <w:color w:val="000000"/>
                <w:szCs w:val="21"/>
              </w:rPr>
            </w:pPr>
            <w:r w:rsidRPr="00646A7D">
              <w:rPr>
                <w:rFonts w:eastAsiaTheme="minorEastAsia"/>
              </w:rPr>
              <w:t>贵金属投资</w:t>
            </w:r>
          </w:p>
        </w:tc>
        <w:tc>
          <w:tcPr>
            <w:tcW w:w="2551" w:type="dxa"/>
            <w:gridSpan w:val="2"/>
            <w:vAlign w:val="center"/>
          </w:tcPr>
          <w:p w:rsidR="007D04A6" w:rsidRPr="00646A7D" w:rsidRDefault="007D04A6" w:rsidP="0049538A">
            <w:pPr>
              <w:spacing w:line="360" w:lineRule="auto"/>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spacing w:line="360" w:lineRule="auto"/>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衍生金融资产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买入返售金融资产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20,000,150.00</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应收证券清算款</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6,009,665.75</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应收利息</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41,865.84</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4,114,461.90</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应收股利</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应收申购款</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递延所得税资产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其他资产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b/>
                <w:color w:val="000000"/>
                <w:szCs w:val="21"/>
              </w:rPr>
            </w:pPr>
            <w:r w:rsidRPr="00646A7D">
              <w:rPr>
                <w:rFonts w:eastAsiaTheme="minorEastAsia"/>
                <w:b/>
                <w:color w:val="000000"/>
                <w:szCs w:val="21"/>
              </w:rPr>
              <w:t>资产总计</w:t>
            </w:r>
          </w:p>
        </w:tc>
        <w:tc>
          <w:tcPr>
            <w:tcW w:w="2551" w:type="dxa"/>
            <w:gridSpan w:val="2"/>
            <w:vAlign w:val="center"/>
          </w:tcPr>
          <w:p w:rsidR="007D04A6" w:rsidRPr="00646A7D" w:rsidRDefault="007D04A6" w:rsidP="0049538A">
            <w:pPr>
              <w:jc w:val="right"/>
              <w:rPr>
                <w:rFonts w:eastAsiaTheme="minorEastAsia"/>
                <w:b/>
                <w:color w:val="000000"/>
                <w:szCs w:val="21"/>
              </w:rPr>
            </w:pPr>
            <w:r w:rsidRPr="00646A7D">
              <w:rPr>
                <w:rFonts w:eastAsiaTheme="minorEastAsia"/>
                <w:b/>
                <w:color w:val="000000"/>
                <w:szCs w:val="21"/>
              </w:rPr>
              <w:t>211,304,428.33</w:t>
            </w:r>
          </w:p>
        </w:tc>
        <w:tc>
          <w:tcPr>
            <w:tcW w:w="2748" w:type="dxa"/>
            <w:gridSpan w:val="2"/>
            <w:vAlign w:val="center"/>
          </w:tcPr>
          <w:p w:rsidR="007D04A6" w:rsidRPr="00646A7D" w:rsidRDefault="007D04A6" w:rsidP="0049538A">
            <w:pPr>
              <w:jc w:val="right"/>
              <w:rPr>
                <w:rFonts w:eastAsiaTheme="minorEastAsia"/>
                <w:b/>
                <w:color w:val="000000"/>
                <w:szCs w:val="21"/>
              </w:rPr>
            </w:pPr>
            <w:r w:rsidRPr="00646A7D">
              <w:rPr>
                <w:rFonts w:eastAsiaTheme="minorEastAsia"/>
                <w:b/>
                <w:color w:val="000000"/>
                <w:szCs w:val="21"/>
              </w:rPr>
              <w:t>208,417,852.60</w:t>
            </w:r>
          </w:p>
        </w:tc>
      </w:tr>
      <w:tr w:rsidR="00FC027C" w:rsidRPr="00646A7D" w:rsidTr="00646A7D">
        <w:tc>
          <w:tcPr>
            <w:tcW w:w="3641" w:type="dxa"/>
            <w:gridSpan w:val="2"/>
            <w:vAlign w:val="center"/>
          </w:tcPr>
          <w:p w:rsidR="00FC027C" w:rsidRPr="00646A7D" w:rsidRDefault="00FC027C"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负债和所有者权益</w:t>
            </w:r>
          </w:p>
        </w:tc>
        <w:tc>
          <w:tcPr>
            <w:tcW w:w="2520"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2018</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0"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2017</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短期借款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交易性金融负债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衍生金融负债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卖出回购金融资产款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应付证券清算款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应付赎回款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应付管理人报酬</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121,377.88</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123,624.27</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应付托管费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26,009.54</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26,490.96</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应付销售服务费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应付交易费用</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200.00</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150.00</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应交税费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应付利息</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应付利润</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递延所得税负债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其他负债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151,247.22</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305,000.00</w:t>
            </w:r>
          </w:p>
        </w:tc>
      </w:tr>
      <w:tr w:rsidR="00FC027C" w:rsidRPr="00646A7D" w:rsidTr="00646A7D">
        <w:tc>
          <w:tcPr>
            <w:tcW w:w="3641" w:type="dxa"/>
            <w:gridSpan w:val="2"/>
            <w:vAlign w:val="center"/>
          </w:tcPr>
          <w:p w:rsidR="00FC027C" w:rsidRPr="00646A7D" w:rsidRDefault="00FC027C" w:rsidP="00F73D0C">
            <w:pPr>
              <w:pStyle w:val="af6"/>
              <w:jc w:val="both"/>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负债合计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298,834.64</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455,265.23</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所有者权益：</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实收基金</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202,324,351.70</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202,324,351.70</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未分配利润</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8,681,241.99</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5,638,235.67</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所有者权益合计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211,005,593.69</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207,962,587.37</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负债和所有者权益总计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211,304,428.33</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208,417,852.60</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注：报告截止</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日，基金份额净值</w:t>
      </w:r>
      <w:r w:rsidRPr="00646A7D">
        <w:rPr>
          <w:rFonts w:eastAsiaTheme="minorEastAsia"/>
          <w:kern w:val="0"/>
          <w:szCs w:val="21"/>
        </w:rPr>
        <w:t>1.0429</w:t>
      </w:r>
      <w:r w:rsidRPr="00646A7D">
        <w:rPr>
          <w:rFonts w:eastAsiaTheme="minorEastAsia"/>
          <w:kern w:val="0"/>
          <w:szCs w:val="21"/>
        </w:rPr>
        <w:t>元，基金份额总额</w:t>
      </w:r>
      <w:r w:rsidRPr="00646A7D">
        <w:rPr>
          <w:rFonts w:eastAsiaTheme="minorEastAsia"/>
          <w:kern w:val="0"/>
          <w:szCs w:val="21"/>
        </w:rPr>
        <w:t>202,324,351.70</w:t>
      </w:r>
      <w:r w:rsidRPr="00646A7D">
        <w:rPr>
          <w:rFonts w:eastAsiaTheme="minorEastAsia"/>
          <w:kern w:val="0"/>
          <w:szCs w:val="21"/>
        </w:rPr>
        <w:t>份。</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46" w:name="_Toc331410098"/>
      <w:bookmarkStart w:id="47" w:name="_Toc225498269"/>
      <w:r w:rsidRPr="00646A7D">
        <w:rPr>
          <w:rFonts w:ascii="Times New Roman" w:eastAsiaTheme="minorEastAsia" w:hAnsi="Times New Roman"/>
          <w:kern w:val="0"/>
          <w:sz w:val="21"/>
          <w:szCs w:val="21"/>
        </w:rPr>
        <w:t xml:space="preserve">6.2 </w:t>
      </w:r>
      <w:r w:rsidRPr="00646A7D">
        <w:rPr>
          <w:rFonts w:ascii="Times New Roman" w:eastAsiaTheme="minorEastAsia" w:hAnsi="Times New Roman"/>
          <w:kern w:val="0"/>
          <w:sz w:val="21"/>
          <w:szCs w:val="21"/>
        </w:rPr>
        <w:t>利润表</w:t>
      </w:r>
      <w:bookmarkEnd w:id="46"/>
      <w:bookmarkEnd w:id="47"/>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国联安睿智定期开放混合型证券投资基金</w:t>
      </w:r>
    </w:p>
    <w:p w:rsidR="001548F9" w:rsidRPr="00646A7D" w:rsidRDefault="001548F9" w:rsidP="003576C9">
      <w:pPr>
        <w:spacing w:line="360" w:lineRule="auto"/>
        <w:rPr>
          <w:rFonts w:eastAsiaTheme="minorEastAsia"/>
          <w:color w:val="000000"/>
          <w:kern w:val="0"/>
          <w:szCs w:val="21"/>
        </w:rPr>
      </w:pPr>
      <w:r w:rsidRPr="00646A7D">
        <w:rPr>
          <w:rFonts w:eastAsiaTheme="minorEastAsia"/>
          <w:color w:val="000000"/>
          <w:szCs w:val="21"/>
        </w:rPr>
        <w:t>本报告期：</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5"/>
        <w:gridCol w:w="2383"/>
        <w:gridCol w:w="2437"/>
      </w:tblGrid>
      <w:tr w:rsidR="00FC027C" w:rsidRPr="00646A7D" w:rsidTr="00646A7D">
        <w:tc>
          <w:tcPr>
            <w:tcW w:w="4075" w:type="dxa"/>
            <w:vAlign w:val="center"/>
          </w:tcPr>
          <w:p w:rsidR="00FC027C" w:rsidRPr="00646A7D" w:rsidRDefault="00FC027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项目</w:t>
            </w:r>
          </w:p>
        </w:tc>
        <w:tc>
          <w:tcPr>
            <w:tcW w:w="2383"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w:t>
            </w:r>
          </w:p>
          <w:p w:rsidR="00FC027C" w:rsidRPr="00646A7D" w:rsidRDefault="00FC027C" w:rsidP="00DB683F">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2018</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2018</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c>
          <w:tcPr>
            <w:tcW w:w="2437"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上年度可比期间</w:t>
            </w:r>
          </w:p>
          <w:p w:rsidR="00FC027C" w:rsidRPr="00646A7D" w:rsidRDefault="00FC027C">
            <w:pPr>
              <w:pStyle w:val="af6"/>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2017</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日至</w:t>
            </w:r>
            <w:r w:rsidRPr="00646A7D">
              <w:rPr>
                <w:rFonts w:ascii="Times New Roman" w:eastAsiaTheme="minorEastAsia" w:hAnsi="Times New Roman"/>
                <w:b/>
                <w:color w:val="000000"/>
                <w:sz w:val="21"/>
                <w:szCs w:val="21"/>
              </w:rPr>
              <w:t>2017</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FC027C" w:rsidRPr="00646A7D" w:rsidTr="00646A7D">
        <w:tc>
          <w:tcPr>
            <w:tcW w:w="4075" w:type="dxa"/>
            <w:vAlign w:val="center"/>
          </w:tcPr>
          <w:p w:rsidR="00FC027C" w:rsidRPr="00646A7D" w:rsidRDefault="00FC027C" w:rsidP="0049538A">
            <w:pPr>
              <w:rPr>
                <w:rFonts w:eastAsiaTheme="minorEastAsia"/>
                <w:b/>
                <w:color w:val="000000"/>
                <w:szCs w:val="21"/>
              </w:rPr>
            </w:pPr>
            <w:r w:rsidRPr="00646A7D">
              <w:rPr>
                <w:rFonts w:eastAsiaTheme="minorEastAsia"/>
                <w:b/>
                <w:color w:val="000000"/>
                <w:szCs w:val="21"/>
              </w:rPr>
              <w:t>一、收入</w:t>
            </w:r>
          </w:p>
        </w:tc>
        <w:tc>
          <w:tcPr>
            <w:tcW w:w="2383"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4,105,719.19</w:t>
            </w:r>
          </w:p>
        </w:tc>
        <w:tc>
          <w:tcPr>
            <w:tcW w:w="2437"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3,966,296.64</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1.</w:t>
            </w:r>
            <w:r w:rsidRPr="00646A7D">
              <w:rPr>
                <w:rFonts w:eastAsiaTheme="minorEastAsia"/>
                <w:color w:val="000000"/>
                <w:szCs w:val="21"/>
              </w:rPr>
              <w:t>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4,002,405.14</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4,043,953.60</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其中：存款利息收入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122,771.28</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3,353,451.21</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债券利息收入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2,005,928.44</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584,841.74</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资产支持证券利息收入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买入返售金融资产收入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1,873,705.42</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105,660.65</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其他利息收入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投资收益（损失以</w:t>
            </w:r>
            <w:r w:rsidRPr="00646A7D">
              <w:rPr>
                <w:rFonts w:eastAsiaTheme="minorEastAsia"/>
                <w:color w:val="000000"/>
                <w:szCs w:val="21"/>
              </w:rPr>
              <w:t>“-”</w:t>
            </w:r>
            <w:r w:rsidRPr="00646A7D">
              <w:rPr>
                <w:rFonts w:eastAsiaTheme="minorEastAsia"/>
                <w:color w:val="000000"/>
                <w:szCs w:val="21"/>
              </w:rPr>
              <w:t>填列）</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-745,300.79</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87,811.68</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其中：股票投资收益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基金投资收益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债券投资收益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-745,300.79</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87,811.68</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资产支持证券投资收益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spacing w:line="360" w:lineRule="auto"/>
              <w:ind w:firstLineChars="300" w:firstLine="630"/>
              <w:rPr>
                <w:rFonts w:eastAsiaTheme="minorEastAsia"/>
                <w:color w:val="000000"/>
                <w:szCs w:val="21"/>
              </w:rPr>
            </w:pPr>
            <w:r w:rsidRPr="00646A7D">
              <w:rPr>
                <w:rFonts w:eastAsiaTheme="minorEastAsia"/>
              </w:rPr>
              <w:t>贵金属投资收益</w:t>
            </w:r>
          </w:p>
        </w:tc>
        <w:tc>
          <w:tcPr>
            <w:tcW w:w="2383" w:type="dxa"/>
            <w:vAlign w:val="center"/>
          </w:tcPr>
          <w:p w:rsidR="00CB0C51" w:rsidRPr="00646A7D" w:rsidRDefault="00CB0C51" w:rsidP="0049538A">
            <w:pPr>
              <w:spacing w:line="360" w:lineRule="auto"/>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spacing w:line="360" w:lineRule="auto"/>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ind w:firstLineChars="300" w:firstLine="630"/>
              <w:rPr>
                <w:rFonts w:eastAsiaTheme="minorEastAsia"/>
                <w:color w:val="000000"/>
                <w:szCs w:val="21"/>
              </w:rPr>
            </w:pPr>
            <w:r w:rsidRPr="00646A7D">
              <w:rPr>
                <w:rFonts w:eastAsiaTheme="minorEastAsia"/>
                <w:color w:val="000000"/>
                <w:szCs w:val="21"/>
              </w:rPr>
              <w:t>衍生工具收益</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ind w:firstLineChars="300" w:firstLine="630"/>
              <w:rPr>
                <w:rFonts w:eastAsiaTheme="minorEastAsia"/>
                <w:color w:val="000000"/>
                <w:szCs w:val="21"/>
              </w:rPr>
            </w:pPr>
            <w:r w:rsidRPr="00646A7D">
              <w:rPr>
                <w:rFonts w:eastAsiaTheme="minorEastAsia"/>
                <w:color w:val="000000"/>
                <w:szCs w:val="21"/>
              </w:rPr>
              <w:t>股利收益</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3.</w:t>
            </w:r>
            <w:r w:rsidRPr="00646A7D">
              <w:rPr>
                <w:rFonts w:eastAsiaTheme="minorEastAsia"/>
                <w:color w:val="000000"/>
                <w:szCs w:val="21"/>
              </w:rPr>
              <w:t>公允价值变动收益（损失以</w:t>
            </w:r>
            <w:r w:rsidRPr="00646A7D">
              <w:rPr>
                <w:rFonts w:eastAsiaTheme="minorEastAsia"/>
                <w:color w:val="000000"/>
                <w:szCs w:val="21"/>
              </w:rPr>
              <w:t>“-”</w:t>
            </w:r>
            <w:r w:rsidRPr="00646A7D">
              <w:rPr>
                <w:rFonts w:eastAsiaTheme="minorEastAsia"/>
                <w:color w:val="000000"/>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848,614.84</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-165,468.64</w:t>
            </w:r>
          </w:p>
        </w:tc>
      </w:tr>
      <w:tr w:rsidR="00CB0C51" w:rsidRPr="00646A7D" w:rsidTr="00646A7D">
        <w:tc>
          <w:tcPr>
            <w:tcW w:w="4075" w:type="dxa"/>
            <w:vAlign w:val="center"/>
          </w:tcPr>
          <w:p w:rsidR="00CB0C51" w:rsidRPr="00646A7D" w:rsidRDefault="00CB0C51" w:rsidP="0049538A">
            <w:pPr>
              <w:pStyle w:val="af6"/>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4.</w:t>
            </w:r>
            <w:r w:rsidRPr="00646A7D">
              <w:rPr>
                <w:rFonts w:ascii="Times New Roman" w:eastAsiaTheme="minorEastAsia" w:hAnsi="Times New Roman"/>
                <w:color w:val="000000"/>
                <w:sz w:val="21"/>
                <w:szCs w:val="21"/>
              </w:rPr>
              <w:t>汇兑收益（损失以</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5.</w:t>
            </w:r>
            <w:r w:rsidRPr="00646A7D">
              <w:rPr>
                <w:rFonts w:eastAsiaTheme="minorEastAsia"/>
                <w:color w:val="000000"/>
                <w:szCs w:val="21"/>
              </w:rPr>
              <w:t>其他收入（损失以</w:t>
            </w:r>
            <w:r w:rsidRPr="00646A7D">
              <w:rPr>
                <w:rFonts w:eastAsiaTheme="minorEastAsia"/>
                <w:color w:val="000000"/>
                <w:szCs w:val="21"/>
              </w:rPr>
              <w:t>“-”</w:t>
            </w:r>
            <w:r w:rsidRPr="00646A7D">
              <w:rPr>
                <w:rFonts w:eastAsiaTheme="minorEastAsia"/>
                <w:color w:val="000000"/>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b/>
                <w:color w:val="000000"/>
                <w:szCs w:val="21"/>
              </w:rPr>
            </w:pPr>
            <w:r w:rsidRPr="00646A7D">
              <w:rPr>
                <w:rFonts w:eastAsiaTheme="minorEastAsia"/>
                <w:b/>
                <w:color w:val="000000"/>
                <w:szCs w:val="21"/>
              </w:rPr>
              <w:t>减：二、费用</w:t>
            </w:r>
          </w:p>
        </w:tc>
        <w:tc>
          <w:tcPr>
            <w:tcW w:w="2383"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1,062,712.87</w:t>
            </w:r>
          </w:p>
        </w:tc>
        <w:tc>
          <w:tcPr>
            <w:tcW w:w="2437"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1,070,549.77</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1</w:t>
            </w:r>
            <w:r w:rsidRPr="00646A7D">
              <w:rPr>
                <w:rFonts w:eastAsiaTheme="minorEastAsia"/>
                <w:color w:val="000000"/>
                <w:szCs w:val="21"/>
              </w:rPr>
              <w:t>．管理人报酬</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728,536.24</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707,006.10</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．托管费</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156,114.97</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151,501.26</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3</w:t>
            </w:r>
            <w:r w:rsidRPr="00646A7D">
              <w:rPr>
                <w:rFonts w:eastAsiaTheme="minorEastAsia"/>
                <w:color w:val="000000"/>
                <w:szCs w:val="21"/>
              </w:rPr>
              <w:t>．销售服务费</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4</w:t>
            </w:r>
            <w:r w:rsidRPr="00646A7D">
              <w:rPr>
                <w:rFonts w:eastAsiaTheme="minorEastAsia"/>
                <w:color w:val="000000"/>
                <w:szCs w:val="21"/>
              </w:rPr>
              <w:t>．交易费用</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1,645.04</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1,038.11</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5</w:t>
            </w:r>
            <w:r w:rsidRPr="00646A7D">
              <w:rPr>
                <w:rFonts w:eastAsiaTheme="minorEastAsia"/>
                <w:color w:val="000000"/>
                <w:szCs w:val="21"/>
              </w:rPr>
              <w:t>．利息支出</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64,969.06</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其中：卖出回购金融资产支出</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64,969.06</w:t>
            </w:r>
          </w:p>
        </w:tc>
      </w:tr>
      <w:tr w:rsidR="00543553" w:rsidRPr="00646A7D" w:rsidTr="00646A7D">
        <w:tc>
          <w:tcPr>
            <w:tcW w:w="4075" w:type="dxa"/>
            <w:vAlign w:val="center"/>
          </w:tcPr>
          <w:p w:rsidR="00543553" w:rsidRPr="00646A7D" w:rsidRDefault="00543553" w:rsidP="0049538A">
            <w:pPr>
              <w:rPr>
                <w:rFonts w:eastAsiaTheme="minorEastAsia"/>
                <w:color w:val="000000"/>
                <w:szCs w:val="21"/>
              </w:rPr>
            </w:pPr>
            <w:r w:rsidRPr="00543553">
              <w:rPr>
                <w:rFonts w:eastAsiaTheme="minorEastAsia" w:hint="eastAsia"/>
                <w:color w:val="000000"/>
                <w:szCs w:val="21"/>
              </w:rPr>
              <w:t>6</w:t>
            </w:r>
            <w:r w:rsidRPr="00543553">
              <w:rPr>
                <w:rFonts w:eastAsiaTheme="minorEastAsia" w:hint="eastAsia"/>
                <w:color w:val="000000"/>
                <w:szCs w:val="21"/>
              </w:rPr>
              <w:t>．税金及附加</w:t>
            </w:r>
          </w:p>
        </w:tc>
        <w:tc>
          <w:tcPr>
            <w:tcW w:w="2383" w:type="dxa"/>
            <w:vAlign w:val="center"/>
          </w:tcPr>
          <w:p w:rsidR="00543553" w:rsidRPr="00646A7D" w:rsidRDefault="00C34883" w:rsidP="0049538A">
            <w:pPr>
              <w:jc w:val="right"/>
              <w:rPr>
                <w:rFonts w:eastAsiaTheme="minorEastAsia"/>
                <w:color w:val="000000"/>
                <w:szCs w:val="21"/>
              </w:rPr>
            </w:pPr>
            <w:r w:rsidRPr="00C34883">
              <w:rPr>
                <w:rFonts w:eastAsiaTheme="minorEastAsia"/>
                <w:color w:val="000000"/>
                <w:szCs w:val="21"/>
              </w:rPr>
              <w:t>6,569.40</w:t>
            </w:r>
          </w:p>
        </w:tc>
        <w:tc>
          <w:tcPr>
            <w:tcW w:w="2437" w:type="dxa"/>
            <w:vAlign w:val="center"/>
          </w:tcPr>
          <w:p w:rsidR="00543553" w:rsidRPr="00646A7D" w:rsidRDefault="00543553"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543553" w:rsidP="0049538A">
            <w:pPr>
              <w:rPr>
                <w:rFonts w:eastAsiaTheme="minorEastAsia"/>
                <w:color w:val="000000"/>
                <w:szCs w:val="21"/>
              </w:rPr>
            </w:pPr>
            <w:r>
              <w:rPr>
                <w:rFonts w:eastAsiaTheme="minorEastAsia" w:hint="eastAsia"/>
                <w:color w:val="000000"/>
                <w:szCs w:val="21"/>
              </w:rPr>
              <w:t>7</w:t>
            </w:r>
            <w:r w:rsidR="00CB0C51" w:rsidRPr="00646A7D">
              <w:rPr>
                <w:rFonts w:eastAsiaTheme="minorEastAsia"/>
                <w:color w:val="000000"/>
                <w:szCs w:val="21"/>
              </w:rPr>
              <w:t>．其他费用</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169,847.22</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146,035.24</w:t>
            </w:r>
          </w:p>
        </w:tc>
      </w:tr>
      <w:tr w:rsidR="00CB0C51" w:rsidRPr="00646A7D" w:rsidTr="00646A7D">
        <w:tc>
          <w:tcPr>
            <w:tcW w:w="4075" w:type="dxa"/>
            <w:vAlign w:val="center"/>
          </w:tcPr>
          <w:p w:rsidR="00CB0C51" w:rsidRPr="00646A7D" w:rsidRDefault="00CB0C51" w:rsidP="0049538A">
            <w:pPr>
              <w:rPr>
                <w:rFonts w:eastAsiaTheme="minorEastAsia"/>
                <w:b/>
                <w:color w:val="000000"/>
                <w:szCs w:val="21"/>
              </w:rPr>
            </w:pPr>
            <w:r w:rsidRPr="00646A7D">
              <w:rPr>
                <w:rFonts w:eastAsiaTheme="minorEastAsia"/>
                <w:b/>
                <w:color w:val="000000"/>
                <w:szCs w:val="21"/>
              </w:rPr>
              <w:t>三、利润总额（亏损总额以</w:t>
            </w:r>
            <w:r w:rsidRPr="00646A7D">
              <w:rPr>
                <w:rFonts w:eastAsiaTheme="minorEastAsia"/>
                <w:b/>
                <w:color w:val="000000"/>
                <w:szCs w:val="21"/>
              </w:rPr>
              <w:t>“-”</w:t>
            </w:r>
            <w:r w:rsidRPr="00646A7D">
              <w:rPr>
                <w:rFonts w:eastAsiaTheme="minorEastAsia"/>
                <w:b/>
                <w:color w:val="000000"/>
                <w:szCs w:val="21"/>
              </w:rPr>
              <w:t>号填列）</w:t>
            </w:r>
          </w:p>
        </w:tc>
        <w:tc>
          <w:tcPr>
            <w:tcW w:w="2383"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3,043,006.32</w:t>
            </w:r>
          </w:p>
        </w:tc>
        <w:tc>
          <w:tcPr>
            <w:tcW w:w="2437"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2,895,746.87</w:t>
            </w:r>
          </w:p>
        </w:tc>
      </w:tr>
      <w:tr w:rsidR="00CB0C51" w:rsidRPr="00646A7D" w:rsidTr="00646A7D">
        <w:tc>
          <w:tcPr>
            <w:tcW w:w="4075" w:type="dxa"/>
            <w:vAlign w:val="center"/>
          </w:tcPr>
          <w:p w:rsidR="00CB0C51" w:rsidRPr="00646A7D" w:rsidRDefault="00CB0C51" w:rsidP="0049538A">
            <w:pPr>
              <w:rPr>
                <w:rFonts w:eastAsiaTheme="minorEastAsia"/>
                <w:b/>
                <w:color w:val="000000"/>
                <w:szCs w:val="21"/>
              </w:rPr>
            </w:pPr>
            <w:r w:rsidRPr="00646A7D">
              <w:rPr>
                <w:rFonts w:eastAsiaTheme="minorEastAsia"/>
                <w:szCs w:val="21"/>
              </w:rPr>
              <w:t>减：所得税费用</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b/>
                <w:color w:val="000000"/>
                <w:szCs w:val="21"/>
              </w:rPr>
            </w:pPr>
            <w:r w:rsidRPr="00646A7D">
              <w:rPr>
                <w:rFonts w:eastAsiaTheme="minorEastAsia"/>
                <w:b/>
                <w:color w:val="000000"/>
                <w:szCs w:val="21"/>
              </w:rPr>
              <w:t>四、净利润（净亏损以</w:t>
            </w:r>
            <w:r w:rsidRPr="00646A7D">
              <w:rPr>
                <w:rFonts w:eastAsiaTheme="minorEastAsia"/>
                <w:b/>
                <w:color w:val="000000"/>
                <w:szCs w:val="21"/>
              </w:rPr>
              <w:t>“-”</w:t>
            </w:r>
            <w:r w:rsidRPr="00646A7D">
              <w:rPr>
                <w:rFonts w:eastAsiaTheme="minorEastAsia"/>
                <w:b/>
                <w:color w:val="000000"/>
                <w:szCs w:val="21"/>
              </w:rPr>
              <w:t>号填列）</w:t>
            </w:r>
          </w:p>
        </w:tc>
        <w:tc>
          <w:tcPr>
            <w:tcW w:w="2383"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3,043,006.32</w:t>
            </w:r>
          </w:p>
        </w:tc>
        <w:tc>
          <w:tcPr>
            <w:tcW w:w="2437"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2,895,746.87</w:t>
            </w:r>
          </w:p>
        </w:tc>
      </w:tr>
    </w:tbl>
    <w:p w:rsidR="001548F9" w:rsidRPr="00646A7D" w:rsidRDefault="001548F9" w:rsidP="00BA6974">
      <w:pPr>
        <w:pStyle w:val="20"/>
        <w:spacing w:beforeLines="100" w:after="0"/>
        <w:rPr>
          <w:rFonts w:ascii="Times New Roman" w:eastAsiaTheme="minorEastAsia" w:hAnsi="Times New Roman"/>
          <w:kern w:val="0"/>
          <w:sz w:val="21"/>
          <w:szCs w:val="21"/>
        </w:rPr>
      </w:pPr>
      <w:bookmarkStart w:id="48" w:name="_Toc331410099"/>
      <w:bookmarkStart w:id="49" w:name="_Toc225498270"/>
      <w:r w:rsidRPr="00646A7D">
        <w:rPr>
          <w:rFonts w:ascii="Times New Roman" w:eastAsiaTheme="minorEastAsia" w:hAnsi="Times New Roman"/>
          <w:kern w:val="0"/>
          <w:sz w:val="21"/>
          <w:szCs w:val="21"/>
        </w:rPr>
        <w:t xml:space="preserve">6.3 </w:t>
      </w:r>
      <w:r w:rsidRPr="00646A7D">
        <w:rPr>
          <w:rFonts w:ascii="Times New Roman" w:eastAsiaTheme="minorEastAsia" w:hAnsi="Times New Roman"/>
          <w:kern w:val="0"/>
          <w:sz w:val="21"/>
          <w:szCs w:val="21"/>
        </w:rPr>
        <w:t>所有者权益（基金净值）变动表</w:t>
      </w:r>
      <w:bookmarkEnd w:id="48"/>
      <w:bookmarkEnd w:id="49"/>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国联安睿智定期开放混合型证券投资基金</w:t>
      </w:r>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本报告期：</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646A7D" w:rsidTr="001A4BE3">
        <w:tc>
          <w:tcPr>
            <w:tcW w:w="2552" w:type="dxa"/>
            <w:vMerge w:val="restart"/>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本期</w:t>
            </w:r>
          </w:p>
          <w:p w:rsidR="001548F9" w:rsidRPr="00646A7D" w:rsidRDefault="001548F9">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2018</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2018</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r>
      <w:tr w:rsidR="001548F9" w:rsidRPr="00646A7D" w:rsidTr="001A4BE3">
        <w:tc>
          <w:tcPr>
            <w:tcW w:w="2552" w:type="dxa"/>
            <w:vMerge/>
            <w:vAlign w:val="center"/>
          </w:tcPr>
          <w:p w:rsidR="001548F9" w:rsidRPr="00646A7D" w:rsidRDefault="001548F9">
            <w:pPr>
              <w:widowControl/>
              <w:jc w:val="left"/>
              <w:rPr>
                <w:rFonts w:eastAsiaTheme="minorEastAsia"/>
                <w:b/>
                <w:color w:val="000000"/>
                <w:szCs w:val="21"/>
              </w:rPr>
            </w:pPr>
          </w:p>
        </w:tc>
        <w:tc>
          <w:tcPr>
            <w:tcW w:w="2149"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实收基金</w:t>
            </w:r>
          </w:p>
        </w:tc>
        <w:tc>
          <w:tcPr>
            <w:tcW w:w="2149"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未分配利润</w:t>
            </w:r>
          </w:p>
        </w:tc>
        <w:tc>
          <w:tcPr>
            <w:tcW w:w="2150" w:type="dxa"/>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所有者权益合计</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202,324,351.70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5,638,235.67</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207,962,587.37</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3,043,006.32</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3,043,006.32</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202,324,351.70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8,681,241.99</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211,005,593.69</w:t>
            </w:r>
          </w:p>
        </w:tc>
      </w:tr>
      <w:tr w:rsidR="001548F9" w:rsidRPr="00646A7D" w:rsidTr="001A4BE3">
        <w:tc>
          <w:tcPr>
            <w:tcW w:w="2552" w:type="dxa"/>
            <w:vMerge w:val="restart"/>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上年度可比期间</w:t>
            </w:r>
          </w:p>
          <w:p w:rsidR="001548F9" w:rsidRPr="00646A7D" w:rsidRDefault="001548F9">
            <w:pPr>
              <w:pStyle w:val="af6"/>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2017</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日至</w:t>
            </w:r>
            <w:r w:rsidRPr="00646A7D">
              <w:rPr>
                <w:rFonts w:ascii="Times New Roman" w:eastAsiaTheme="minorEastAsia" w:hAnsi="Times New Roman"/>
                <w:b/>
                <w:color w:val="000000"/>
                <w:sz w:val="21"/>
                <w:szCs w:val="21"/>
              </w:rPr>
              <w:t>2017</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1548F9" w:rsidRPr="00646A7D" w:rsidTr="001A4BE3">
        <w:tc>
          <w:tcPr>
            <w:tcW w:w="2552" w:type="dxa"/>
            <w:vMerge/>
            <w:vAlign w:val="center"/>
          </w:tcPr>
          <w:p w:rsidR="001548F9" w:rsidRPr="00646A7D" w:rsidRDefault="001548F9">
            <w:pPr>
              <w:widowControl/>
              <w:jc w:val="left"/>
              <w:rPr>
                <w:rFonts w:eastAsiaTheme="minorEastAsia"/>
                <w:color w:val="000000"/>
                <w:szCs w:val="21"/>
              </w:rPr>
            </w:pPr>
          </w:p>
        </w:tc>
        <w:tc>
          <w:tcPr>
            <w:tcW w:w="2149" w:type="dxa"/>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实收基金</w:t>
            </w:r>
          </w:p>
        </w:tc>
        <w:tc>
          <w:tcPr>
            <w:tcW w:w="2149" w:type="dxa"/>
          </w:tcPr>
          <w:p w:rsidR="001548F9" w:rsidRPr="00646A7D" w:rsidRDefault="001548F9">
            <w:pPr>
              <w:jc w:val="center"/>
              <w:rPr>
                <w:rFonts w:eastAsiaTheme="minorEastAsia"/>
                <w:color w:val="000000"/>
                <w:szCs w:val="21"/>
              </w:rPr>
            </w:pPr>
            <w:r w:rsidRPr="00646A7D">
              <w:rPr>
                <w:rFonts w:eastAsiaTheme="minorEastAsia"/>
                <w:b/>
                <w:color w:val="000000"/>
                <w:szCs w:val="21"/>
              </w:rPr>
              <w:t>未分配利润</w:t>
            </w:r>
          </w:p>
        </w:tc>
        <w:tc>
          <w:tcPr>
            <w:tcW w:w="2150"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所有者权益合计</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202,324,351.70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47,752.94</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202,372,104.64</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2,895,746.87</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2,895,746.87</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202,324,351.70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2,943,499.81</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205,267,851.51</w:t>
            </w:r>
          </w:p>
        </w:tc>
      </w:tr>
    </w:tbl>
    <w:p w:rsidR="002A630A" w:rsidRPr="00646A7D" w:rsidRDefault="002A630A" w:rsidP="00BA6974">
      <w:pPr>
        <w:spacing w:beforeLines="100" w:line="360" w:lineRule="auto"/>
        <w:rPr>
          <w:rFonts w:eastAsiaTheme="minorEastAsia"/>
          <w:szCs w:val="21"/>
        </w:rPr>
      </w:pPr>
      <w:r w:rsidRPr="00646A7D">
        <w:rPr>
          <w:rFonts w:eastAsiaTheme="minorEastAsia"/>
          <w:szCs w:val="21"/>
        </w:rPr>
        <w:t>报表附注为财务报表的组成部分。</w:t>
      </w:r>
    </w:p>
    <w:p w:rsidR="002A630A" w:rsidRPr="00646A7D" w:rsidRDefault="002A630A" w:rsidP="003576C9">
      <w:pPr>
        <w:spacing w:line="360" w:lineRule="auto"/>
        <w:rPr>
          <w:rFonts w:eastAsiaTheme="minorEastAsia"/>
          <w:szCs w:val="21"/>
        </w:rPr>
      </w:pPr>
      <w:r w:rsidRPr="00646A7D">
        <w:rPr>
          <w:rFonts w:eastAsiaTheme="minorEastAsia"/>
          <w:szCs w:val="21"/>
        </w:rPr>
        <w:t>本报告</w:t>
      </w:r>
      <w:r w:rsidRPr="00646A7D">
        <w:rPr>
          <w:rFonts w:eastAsiaTheme="minorEastAsia"/>
          <w:szCs w:val="21"/>
        </w:rPr>
        <w:t>6.1</w:t>
      </w:r>
      <w:r w:rsidRPr="00646A7D">
        <w:rPr>
          <w:rFonts w:eastAsiaTheme="minorEastAsia"/>
          <w:szCs w:val="21"/>
        </w:rPr>
        <w:t>至</w:t>
      </w:r>
      <w:r w:rsidRPr="00646A7D">
        <w:rPr>
          <w:rFonts w:eastAsiaTheme="minorEastAsia"/>
          <w:szCs w:val="21"/>
        </w:rPr>
        <w:t>6.4</w:t>
      </w:r>
      <w:r w:rsidRPr="00646A7D">
        <w:rPr>
          <w:rFonts w:eastAsiaTheme="minorEastAsia"/>
          <w:szCs w:val="21"/>
        </w:rPr>
        <w:t>，财务报表由下列负责人签署：</w:t>
      </w:r>
    </w:p>
    <w:p w:rsidR="001548F9" w:rsidRPr="00646A7D" w:rsidRDefault="002D20E4" w:rsidP="00646A7D">
      <w:pPr>
        <w:spacing w:line="360" w:lineRule="auto"/>
        <w:rPr>
          <w:rFonts w:eastAsiaTheme="minorEastAsia"/>
          <w:szCs w:val="21"/>
        </w:rPr>
      </w:pPr>
      <w:r w:rsidRPr="00646A7D">
        <w:rPr>
          <w:rFonts w:eastAsiaTheme="minorEastAsia"/>
          <w:szCs w:val="21"/>
        </w:rPr>
        <w:t>基金管理人</w:t>
      </w:r>
      <w:r w:rsidR="002A630A" w:rsidRPr="00646A7D">
        <w:rPr>
          <w:rFonts w:eastAsiaTheme="minorEastAsia"/>
          <w:szCs w:val="21"/>
        </w:rPr>
        <w:t>负责人：孟朝霞，主管会计工作负责人：李柯，会计机构负责人：仲晓峰</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50" w:name="_Toc331410100"/>
      <w:bookmarkStart w:id="51" w:name="_Toc225498271"/>
      <w:r w:rsidRPr="00646A7D">
        <w:rPr>
          <w:rFonts w:ascii="Times New Roman" w:eastAsiaTheme="minorEastAsia" w:hAnsi="Times New Roman"/>
          <w:kern w:val="0"/>
          <w:sz w:val="21"/>
          <w:szCs w:val="21"/>
        </w:rPr>
        <w:t xml:space="preserve">6.4 </w:t>
      </w:r>
      <w:r w:rsidRPr="00646A7D">
        <w:rPr>
          <w:rFonts w:ascii="Times New Roman" w:eastAsiaTheme="minorEastAsia" w:hAnsi="Times New Roman"/>
          <w:kern w:val="0"/>
          <w:sz w:val="21"/>
          <w:szCs w:val="21"/>
        </w:rPr>
        <w:t>报表附注</w:t>
      </w:r>
      <w:bookmarkEnd w:id="50"/>
      <w:bookmarkEnd w:id="51"/>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6.4.1 </w:t>
      </w:r>
      <w:r w:rsidRPr="00646A7D">
        <w:rPr>
          <w:rFonts w:eastAsiaTheme="minorEastAsia"/>
          <w:b/>
          <w:color w:val="000000"/>
          <w:kern w:val="0"/>
          <w:szCs w:val="21"/>
        </w:rPr>
        <w:t>基金基本情况</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国联安睿智定期开放混合型证券投资基金</w:t>
      </w:r>
      <w:r>
        <w:rPr>
          <w:rFonts w:eastAsiaTheme="minorEastAsia"/>
          <w:color w:val="000000"/>
          <w:szCs w:val="21"/>
        </w:rPr>
        <w:t xml:space="preserve"> (</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 xml:space="preserve">”) </w:t>
      </w:r>
      <w:r>
        <w:rPr>
          <w:rFonts w:eastAsiaTheme="minorEastAsia"/>
          <w:color w:val="000000"/>
          <w:szCs w:val="21"/>
        </w:rPr>
        <w:t>经中国证券监督管理委员会</w:t>
      </w:r>
      <w:r>
        <w:rPr>
          <w:rFonts w:eastAsiaTheme="minorEastAsia"/>
          <w:color w:val="000000"/>
          <w:szCs w:val="21"/>
        </w:rPr>
        <w:t xml:space="preserve"> (</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《关于准予国联安睿智定期开放混合型证券投资基金注册的批复》</w:t>
      </w:r>
      <w:r>
        <w:rPr>
          <w:rFonts w:eastAsiaTheme="minorEastAsia"/>
          <w:color w:val="000000"/>
          <w:szCs w:val="21"/>
        </w:rPr>
        <w:t>(</w:t>
      </w:r>
      <w:r>
        <w:rPr>
          <w:rFonts w:eastAsiaTheme="minorEastAsia"/>
          <w:color w:val="000000"/>
          <w:szCs w:val="21"/>
        </w:rPr>
        <w:t>证监许可</w:t>
      </w:r>
      <w:r>
        <w:rPr>
          <w:rFonts w:eastAsiaTheme="minorEastAsia"/>
          <w:color w:val="000000"/>
          <w:szCs w:val="21"/>
        </w:rPr>
        <w:t xml:space="preserve"> [2016] 2285</w:t>
      </w:r>
      <w:r>
        <w:rPr>
          <w:rFonts w:eastAsiaTheme="minorEastAsia"/>
          <w:color w:val="000000"/>
          <w:szCs w:val="21"/>
        </w:rPr>
        <w:t>号文</w:t>
      </w:r>
      <w:r>
        <w:rPr>
          <w:rFonts w:eastAsiaTheme="minorEastAsia"/>
          <w:color w:val="000000"/>
          <w:szCs w:val="21"/>
        </w:rPr>
        <w:t xml:space="preserve">) </w:t>
      </w:r>
      <w:r>
        <w:rPr>
          <w:rFonts w:eastAsiaTheme="minorEastAsia"/>
          <w:color w:val="000000"/>
          <w:szCs w:val="21"/>
        </w:rPr>
        <w:t>批准，由国联安基金管理有限公司依照《中华人民共和国证券投资基金法》及其配套规则和《国联安睿智定期开放混合型证券投资基金基金合同》发售，基金合同于</w:t>
      </w:r>
      <w:r>
        <w:rPr>
          <w:rFonts w:eastAsiaTheme="minorEastAsia"/>
          <w:color w:val="000000"/>
          <w:szCs w:val="21"/>
        </w:rPr>
        <w:t>2016</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29</w:t>
      </w:r>
      <w:r>
        <w:rPr>
          <w:rFonts w:eastAsiaTheme="minorEastAsia"/>
          <w:color w:val="000000"/>
          <w:szCs w:val="21"/>
        </w:rPr>
        <w:t>日生效。本基金为契约型开放式，存续期限不定，首次设立募集规模为</w:t>
      </w:r>
      <w:r>
        <w:rPr>
          <w:rFonts w:eastAsiaTheme="minorEastAsia"/>
          <w:color w:val="000000"/>
          <w:szCs w:val="21"/>
        </w:rPr>
        <w:t>202,324,351.70</w:t>
      </w:r>
      <w:r>
        <w:rPr>
          <w:rFonts w:eastAsiaTheme="minorEastAsia"/>
          <w:color w:val="000000"/>
          <w:szCs w:val="21"/>
        </w:rPr>
        <w:t>份基金份额。本基金的基金管理人为国联安基金管理有限公司，基金托管人为平安银行股份有限公司。</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及其配套规则、《国联安睿智定期开放混合型证券投资基金基金合同》和《国联安睿智定期开放混合型证券投资基金招募说明书》的有关规定，本基金的投资范围为：具有良好流动性的金融工具，包括国内依法发行上市的股票（包括中小板、创业板及其他中国证监会核准上市的股票）、债券（国债、金融债、企业债、公司债、次级债、可转换债券（含分离交易可转债）、可交换债券、央行票据、短期融资券、超短期融资券、中期票据、中小企业私募债等）、资产支持证券、债券回购、同业存单、银行存款、货币市场工具、股指期货、国债期货、权证以及法律法规或中国证监会允许基金投资的其他金融工具（但须符合中国证监会相关规定）。在正常市场情况下，本基金投资组合的比例范围为：股票投资占基金资产的</w:t>
      </w:r>
      <w:r>
        <w:rPr>
          <w:rFonts w:eastAsiaTheme="minorEastAsia"/>
          <w:color w:val="000000"/>
          <w:szCs w:val="21"/>
        </w:rPr>
        <w:t>0% - 25%</w:t>
      </w:r>
      <w:r>
        <w:rPr>
          <w:rFonts w:eastAsiaTheme="minorEastAsia"/>
          <w:color w:val="000000"/>
          <w:szCs w:val="21"/>
        </w:rPr>
        <w:t>；权证投资占基金资产净值的</w:t>
      </w:r>
      <w:r>
        <w:rPr>
          <w:rFonts w:eastAsiaTheme="minorEastAsia"/>
          <w:color w:val="000000"/>
          <w:szCs w:val="21"/>
        </w:rPr>
        <w:t>0% - 3%</w:t>
      </w:r>
      <w:r>
        <w:rPr>
          <w:rFonts w:eastAsiaTheme="minorEastAsia"/>
          <w:color w:val="000000"/>
          <w:szCs w:val="21"/>
        </w:rPr>
        <w:t>；在开放期，每个交易日日终扣除股指期货和国债期货合约需缴纳的交易保证金后，现金或到期日在一年以内的政府债券的投资比例不低于基金资产净值的</w:t>
      </w:r>
      <w:r>
        <w:rPr>
          <w:rFonts w:eastAsiaTheme="minorEastAsia"/>
          <w:color w:val="000000"/>
          <w:szCs w:val="21"/>
        </w:rPr>
        <w:t xml:space="preserve">5% </w:t>
      </w:r>
      <w:r>
        <w:rPr>
          <w:rFonts w:eastAsiaTheme="minorEastAsia"/>
          <w:color w:val="000000"/>
          <w:szCs w:val="21"/>
        </w:rPr>
        <w:t>。在封闭期，本基金不受前述</w:t>
      </w:r>
      <w:r>
        <w:rPr>
          <w:rFonts w:eastAsiaTheme="minorEastAsia"/>
          <w:color w:val="000000"/>
          <w:szCs w:val="21"/>
        </w:rPr>
        <w:t>5%</w:t>
      </w:r>
      <w:r>
        <w:rPr>
          <w:rFonts w:eastAsiaTheme="minorEastAsia"/>
          <w:color w:val="000000"/>
          <w:szCs w:val="21"/>
        </w:rPr>
        <w:t>的限制，但每个交易日日终在扣除股指期货和国债期货合约需缴纳的交易保证金后，应当保持不低于交易保证金一倍的现金。本基金的业绩比较基准为：沪深</w:t>
      </w:r>
      <w:r>
        <w:rPr>
          <w:rFonts w:eastAsiaTheme="minorEastAsia"/>
          <w:color w:val="000000"/>
          <w:szCs w:val="21"/>
        </w:rPr>
        <w:t>300</w:t>
      </w:r>
      <w:r>
        <w:rPr>
          <w:rFonts w:eastAsiaTheme="minorEastAsia"/>
          <w:color w:val="000000"/>
          <w:szCs w:val="21"/>
        </w:rPr>
        <w:t>指数收益率</w:t>
      </w:r>
      <w:r>
        <w:rPr>
          <w:rFonts w:eastAsiaTheme="minorEastAsia"/>
          <w:color w:val="000000"/>
          <w:szCs w:val="21"/>
        </w:rPr>
        <w:t>×20%+</w:t>
      </w:r>
      <w:r>
        <w:rPr>
          <w:rFonts w:eastAsiaTheme="minorEastAsia"/>
          <w:color w:val="000000"/>
          <w:szCs w:val="21"/>
        </w:rPr>
        <w:t>上证国债指数收益率</w:t>
      </w:r>
      <w:r>
        <w:rPr>
          <w:rFonts w:eastAsiaTheme="minorEastAsia"/>
          <w:color w:val="000000"/>
          <w:szCs w:val="21"/>
        </w:rPr>
        <w:t xml:space="preserve">×80% </w:t>
      </w:r>
      <w:r>
        <w:rPr>
          <w:rFonts w:eastAsiaTheme="minorEastAsia"/>
          <w:color w:val="000000"/>
          <w:szCs w:val="21"/>
        </w:rPr>
        <w:t>。</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根据《关于国联安睿智定期开放混合型证券投资基金基金合同终止及基金财产清算的公告》，</w:t>
      </w:r>
      <w:r w:rsidR="004D1B15">
        <w:rPr>
          <w:rFonts w:eastAsiaTheme="minorEastAsia" w:hint="eastAsia"/>
          <w:color w:val="000000"/>
          <w:szCs w:val="21"/>
        </w:rPr>
        <w:t>本</w:t>
      </w:r>
      <w:r>
        <w:rPr>
          <w:rFonts w:eastAsiaTheme="minorEastAsia"/>
          <w:color w:val="000000"/>
          <w:szCs w:val="21"/>
        </w:rPr>
        <w:t>基金于</w:t>
      </w:r>
      <w:r>
        <w:rPr>
          <w:rFonts w:eastAsiaTheme="minorEastAsia"/>
          <w:color w:val="000000"/>
          <w:szCs w:val="21"/>
        </w:rPr>
        <w:t>2018</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26</w:t>
      </w:r>
      <w:r>
        <w:rPr>
          <w:rFonts w:eastAsiaTheme="minorEastAsia"/>
          <w:color w:val="000000"/>
          <w:szCs w:val="21"/>
        </w:rPr>
        <w:t>日终止运作，且已于</w:t>
      </w:r>
      <w:r>
        <w:rPr>
          <w:rFonts w:eastAsiaTheme="minorEastAsia"/>
          <w:color w:val="000000"/>
          <w:szCs w:val="21"/>
        </w:rPr>
        <w:t>2018</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27</w:t>
      </w:r>
      <w:r>
        <w:rPr>
          <w:rFonts w:eastAsiaTheme="minorEastAsia"/>
          <w:color w:val="000000"/>
          <w:szCs w:val="21"/>
        </w:rPr>
        <w:t>日正式进入清算程序。</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根据《证券投资基金信息披露管理办法》，本基金定期报告在公开披露的第二个工作日，报中国证监会和基金管理人主要办公场所所在地中国证监会派出机构备案。</w:t>
      </w:r>
    </w:p>
    <w:p w:rsidR="001548F9" w:rsidRPr="00646A7D" w:rsidRDefault="001548F9" w:rsidP="00BA6974">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6.4.2 </w:t>
      </w:r>
      <w:r w:rsidRPr="00646A7D">
        <w:rPr>
          <w:rFonts w:eastAsiaTheme="minorEastAsia"/>
          <w:b/>
          <w:color w:val="000000"/>
          <w:kern w:val="0"/>
          <w:szCs w:val="21"/>
        </w:rPr>
        <w:t>会计报表的编制基础</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如本财务报表附注</w:t>
      </w:r>
      <w:r>
        <w:rPr>
          <w:rFonts w:eastAsiaTheme="minorEastAsia"/>
          <w:color w:val="000000"/>
          <w:szCs w:val="21"/>
        </w:rPr>
        <w:t xml:space="preserve">6.4.1 </w:t>
      </w:r>
      <w:r>
        <w:rPr>
          <w:rFonts w:eastAsiaTheme="minorEastAsia"/>
          <w:color w:val="000000"/>
          <w:szCs w:val="21"/>
        </w:rPr>
        <w:t>所述，根据《关于国联安睿智定期开放混合型证券投资基金基金合同终止及基金财产清算的公告》，</w:t>
      </w:r>
      <w:r w:rsidR="004D1B15">
        <w:rPr>
          <w:rFonts w:eastAsiaTheme="minorEastAsia" w:hint="eastAsia"/>
          <w:color w:val="000000"/>
          <w:szCs w:val="21"/>
        </w:rPr>
        <w:t>本</w:t>
      </w:r>
      <w:r>
        <w:rPr>
          <w:rFonts w:eastAsiaTheme="minorEastAsia"/>
          <w:color w:val="000000"/>
          <w:szCs w:val="21"/>
        </w:rPr>
        <w:t>基金于</w:t>
      </w:r>
      <w:r>
        <w:rPr>
          <w:rFonts w:eastAsiaTheme="minorEastAsia"/>
          <w:color w:val="000000"/>
          <w:szCs w:val="21"/>
        </w:rPr>
        <w:t>2018</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26</w:t>
      </w:r>
      <w:r>
        <w:rPr>
          <w:rFonts w:eastAsiaTheme="minorEastAsia"/>
          <w:color w:val="000000"/>
          <w:szCs w:val="21"/>
        </w:rPr>
        <w:t>日终止运作，且已于</w:t>
      </w:r>
      <w:r>
        <w:rPr>
          <w:rFonts w:eastAsiaTheme="minorEastAsia"/>
          <w:color w:val="000000"/>
          <w:szCs w:val="21"/>
        </w:rPr>
        <w:t>2018</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27</w:t>
      </w:r>
      <w:r>
        <w:rPr>
          <w:rFonts w:eastAsiaTheme="minorEastAsia"/>
          <w:color w:val="000000"/>
          <w:szCs w:val="21"/>
        </w:rPr>
        <w:t>日正式进入清算程序。因此，本基金财务报表以非持续经营为基础编制。本基金已将账面价值高于预计可收回金额（该金额未预计未来交易的手续费及相关税费，以下简称</w:t>
      </w:r>
      <w:r>
        <w:rPr>
          <w:rFonts w:eastAsiaTheme="minorEastAsia"/>
          <w:color w:val="000000"/>
          <w:szCs w:val="21"/>
        </w:rPr>
        <w:t>“</w:t>
      </w:r>
      <w:r>
        <w:rPr>
          <w:rFonts w:eastAsiaTheme="minorEastAsia"/>
          <w:color w:val="000000"/>
          <w:szCs w:val="21"/>
        </w:rPr>
        <w:t>预计可收回金额</w:t>
      </w:r>
      <w:r>
        <w:rPr>
          <w:rFonts w:eastAsiaTheme="minorEastAsia"/>
          <w:color w:val="000000"/>
          <w:szCs w:val="21"/>
        </w:rPr>
        <w:t>”</w:t>
      </w:r>
      <w:r>
        <w:rPr>
          <w:rFonts w:eastAsiaTheme="minorEastAsia"/>
          <w:color w:val="000000"/>
          <w:szCs w:val="21"/>
        </w:rPr>
        <w:t>）的资产调整至预计可收回金额，并按预计结算金额计量负债。</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本财务报表符合中华人民共和国财政部</w:t>
      </w:r>
      <w:r w:rsidRPr="00646A7D">
        <w:rPr>
          <w:rFonts w:eastAsiaTheme="minorEastAsia"/>
          <w:color w:val="000000"/>
          <w:szCs w:val="21"/>
        </w:rPr>
        <w:t xml:space="preserve"> (</w:t>
      </w:r>
      <w:r w:rsidRPr="00646A7D">
        <w:rPr>
          <w:rFonts w:eastAsiaTheme="minorEastAsia"/>
          <w:color w:val="000000"/>
          <w:szCs w:val="21"/>
        </w:rPr>
        <w:t>以下简称</w:t>
      </w:r>
      <w:r w:rsidRPr="00646A7D">
        <w:rPr>
          <w:rFonts w:eastAsiaTheme="minorEastAsia"/>
          <w:color w:val="000000"/>
          <w:szCs w:val="21"/>
        </w:rPr>
        <w:t>“</w:t>
      </w:r>
      <w:r w:rsidRPr="00646A7D">
        <w:rPr>
          <w:rFonts w:eastAsiaTheme="minorEastAsia"/>
          <w:color w:val="000000"/>
          <w:szCs w:val="21"/>
        </w:rPr>
        <w:t>财政部</w:t>
      </w:r>
      <w:r w:rsidRPr="00646A7D">
        <w:rPr>
          <w:rFonts w:eastAsiaTheme="minorEastAsia"/>
          <w:color w:val="000000"/>
          <w:szCs w:val="21"/>
        </w:rPr>
        <w:t xml:space="preserve">”) </w:t>
      </w:r>
      <w:r w:rsidRPr="00646A7D">
        <w:rPr>
          <w:rFonts w:eastAsiaTheme="minorEastAsia"/>
          <w:color w:val="000000"/>
          <w:szCs w:val="21"/>
        </w:rPr>
        <w:t>颁布的企业会计准则的要求，同时亦按照中国证监会颁布的《证券投资基金信息披露</w:t>
      </w:r>
      <w:r w:rsidRPr="00646A7D">
        <w:rPr>
          <w:rFonts w:eastAsiaTheme="minorEastAsia"/>
          <w:color w:val="000000"/>
          <w:szCs w:val="21"/>
        </w:rPr>
        <w:t>XBRL</w:t>
      </w:r>
      <w:r w:rsidRPr="00646A7D">
        <w:rPr>
          <w:rFonts w:eastAsiaTheme="minorEastAsia"/>
          <w:color w:val="000000"/>
          <w:szCs w:val="21"/>
        </w:rPr>
        <w:t>模板第</w:t>
      </w:r>
      <w:r w:rsidRPr="00646A7D">
        <w:rPr>
          <w:rFonts w:eastAsiaTheme="minorEastAsia"/>
          <w:color w:val="000000"/>
          <w:szCs w:val="21"/>
        </w:rPr>
        <w:t>3</w:t>
      </w:r>
      <w:r w:rsidRPr="00646A7D">
        <w:rPr>
          <w:rFonts w:eastAsiaTheme="minorEastAsia"/>
          <w:color w:val="000000"/>
          <w:szCs w:val="21"/>
        </w:rPr>
        <w:t>号</w:t>
      </w:r>
      <w:r w:rsidRPr="00646A7D">
        <w:rPr>
          <w:rFonts w:eastAsiaTheme="minorEastAsia"/>
          <w:color w:val="000000"/>
          <w:szCs w:val="21"/>
        </w:rPr>
        <w:t>&lt;</w:t>
      </w:r>
      <w:r w:rsidRPr="00646A7D">
        <w:rPr>
          <w:rFonts w:eastAsiaTheme="minorEastAsia"/>
          <w:color w:val="000000"/>
          <w:szCs w:val="21"/>
        </w:rPr>
        <w:t>年度报告和半年度报告</w:t>
      </w:r>
      <w:r w:rsidRPr="00646A7D">
        <w:rPr>
          <w:rFonts w:eastAsiaTheme="minorEastAsia"/>
          <w:color w:val="000000"/>
          <w:szCs w:val="21"/>
        </w:rPr>
        <w:t>&gt;</w:t>
      </w:r>
      <w:r w:rsidRPr="00646A7D">
        <w:rPr>
          <w:rFonts w:eastAsiaTheme="minorEastAsia"/>
          <w:color w:val="000000"/>
          <w:szCs w:val="21"/>
        </w:rPr>
        <w:t>》以及中国证券投资基金业协会于</w:t>
      </w:r>
      <w:r w:rsidRPr="00646A7D">
        <w:rPr>
          <w:rFonts w:eastAsiaTheme="minorEastAsia"/>
          <w:color w:val="000000"/>
          <w:szCs w:val="21"/>
        </w:rPr>
        <w:t>2012</w:t>
      </w:r>
      <w:r w:rsidRPr="00646A7D">
        <w:rPr>
          <w:rFonts w:eastAsiaTheme="minorEastAsia"/>
          <w:color w:val="000000"/>
          <w:szCs w:val="21"/>
        </w:rPr>
        <w:t>年</w:t>
      </w:r>
      <w:r w:rsidRPr="00646A7D">
        <w:rPr>
          <w:rFonts w:eastAsiaTheme="minorEastAsia"/>
          <w:color w:val="000000"/>
          <w:szCs w:val="21"/>
        </w:rPr>
        <w:t>11</w:t>
      </w:r>
      <w:r w:rsidRPr="00646A7D">
        <w:rPr>
          <w:rFonts w:eastAsiaTheme="minorEastAsia"/>
          <w:color w:val="000000"/>
          <w:szCs w:val="21"/>
        </w:rPr>
        <w:t>月</w:t>
      </w:r>
      <w:r w:rsidRPr="00646A7D">
        <w:rPr>
          <w:rFonts w:eastAsiaTheme="minorEastAsia"/>
          <w:color w:val="000000"/>
          <w:szCs w:val="21"/>
        </w:rPr>
        <w:t>16</w:t>
      </w:r>
      <w:r w:rsidRPr="00646A7D">
        <w:rPr>
          <w:rFonts w:eastAsiaTheme="minorEastAsia"/>
          <w:color w:val="000000"/>
          <w:szCs w:val="21"/>
        </w:rPr>
        <w:t>日颁布的《证券投资基金会计核算业务指引》编制财务报表。</w:t>
      </w:r>
    </w:p>
    <w:p w:rsidR="001548F9" w:rsidRPr="00646A7D" w:rsidRDefault="001548F9" w:rsidP="00BA6974">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6.4.3 </w:t>
      </w:r>
      <w:r w:rsidRPr="00646A7D">
        <w:rPr>
          <w:rFonts w:eastAsiaTheme="minorEastAsia"/>
          <w:b/>
          <w:color w:val="000000"/>
          <w:kern w:val="0"/>
          <w:szCs w:val="21"/>
        </w:rPr>
        <w:t>遵循企业会计准则及其他有关规定的声明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本财务报表符合财政部颁布的企业会计准则及附注</w:t>
      </w:r>
      <w:r w:rsidRPr="00646A7D">
        <w:rPr>
          <w:rFonts w:eastAsiaTheme="minorEastAsia"/>
          <w:color w:val="000000"/>
          <w:szCs w:val="21"/>
        </w:rPr>
        <w:t>6.4.2</w:t>
      </w:r>
      <w:r w:rsidRPr="00646A7D">
        <w:rPr>
          <w:rFonts w:eastAsiaTheme="minorEastAsia"/>
          <w:color w:val="000000"/>
          <w:szCs w:val="21"/>
        </w:rPr>
        <w:t>中所列示的中国证监会和中国证券投资基金业协会发布的有关基金行业实务操作的规定的要求，真实、完整地反映了本基金</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日的财务状况、</w:t>
      </w:r>
      <w:r w:rsidRPr="00646A7D">
        <w:rPr>
          <w:rFonts w:eastAsiaTheme="minorEastAsia"/>
          <w:color w:val="000000"/>
          <w:szCs w:val="21"/>
        </w:rPr>
        <w:t>2018</w:t>
      </w:r>
      <w:r w:rsidRPr="00646A7D">
        <w:rPr>
          <w:rFonts w:eastAsiaTheme="minorEastAsia"/>
          <w:color w:val="000000"/>
          <w:szCs w:val="21"/>
        </w:rPr>
        <w:t>年上半年度的经营成果和基金净值变动情况。</w:t>
      </w:r>
    </w:p>
    <w:p w:rsidR="001548F9" w:rsidRPr="00646A7D" w:rsidRDefault="001548F9" w:rsidP="00BA6974">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6.4.4 </w:t>
      </w:r>
      <w:r w:rsidR="008D1564" w:rsidRPr="00646A7D">
        <w:rPr>
          <w:rFonts w:eastAsiaTheme="minorEastAsia"/>
          <w:b/>
          <w:kern w:val="0"/>
          <w:szCs w:val="21"/>
        </w:rPr>
        <w:t>本报告期所采用的会计政策、会计估计与最近一期年度报告相一致的说明</w:t>
      </w:r>
    </w:p>
    <w:p w:rsidR="006260B3"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本报告期所采用的会计政策、会计估计与最近一期年度报告相一致。</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6.4.5</w:t>
      </w:r>
      <w:r w:rsidR="00DD4BC2" w:rsidRPr="00DD4BC2">
        <w:rPr>
          <w:rFonts w:eastAsiaTheme="minorEastAsia"/>
          <w:b/>
          <w:color w:val="000000"/>
          <w:kern w:val="0"/>
          <w:szCs w:val="21"/>
        </w:rPr>
        <w:t>会计政策和会计估计变更以及差错更正的说明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本基金在本报告期内无会计政策和会计估计变更，未发生过会计差错。</w:t>
      </w:r>
    </w:p>
    <w:p w:rsidR="001548F9" w:rsidRPr="00646A7D" w:rsidRDefault="001548F9" w:rsidP="00BA6974">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6.4.6 </w:t>
      </w:r>
      <w:r w:rsidRPr="00646A7D">
        <w:rPr>
          <w:rFonts w:eastAsiaTheme="minorEastAsia"/>
          <w:b/>
          <w:color w:val="000000"/>
          <w:kern w:val="0"/>
          <w:szCs w:val="21"/>
        </w:rPr>
        <w:t>税项</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根据财税</w:t>
      </w:r>
      <w:r>
        <w:rPr>
          <w:rFonts w:eastAsiaTheme="minorEastAsia"/>
          <w:color w:val="000000"/>
          <w:szCs w:val="21"/>
        </w:rPr>
        <w:t xml:space="preserve"> [2004] 78</w:t>
      </w:r>
      <w:r>
        <w:rPr>
          <w:rFonts w:eastAsiaTheme="minorEastAsia"/>
          <w:color w:val="000000"/>
          <w:szCs w:val="21"/>
        </w:rPr>
        <w:t>号文《关于证券投资基金税收政策的通知》、财税</w:t>
      </w:r>
      <w:r>
        <w:rPr>
          <w:rFonts w:eastAsiaTheme="minorEastAsia"/>
          <w:color w:val="000000"/>
          <w:szCs w:val="21"/>
        </w:rPr>
        <w:t xml:space="preserve"> [2012] 85</w:t>
      </w:r>
      <w:r>
        <w:rPr>
          <w:rFonts w:eastAsiaTheme="minorEastAsia"/>
          <w:color w:val="000000"/>
          <w:szCs w:val="21"/>
        </w:rPr>
        <w:t>号文《财政部、国家税务总局、证监会关于实施上市公司股息红利差别化个人所得税政策有关问题的通知》、财税</w:t>
      </w:r>
      <w:r>
        <w:rPr>
          <w:rFonts w:eastAsiaTheme="minorEastAsia"/>
          <w:color w:val="000000"/>
          <w:szCs w:val="21"/>
        </w:rPr>
        <w:t xml:space="preserve"> [2015] 101</w:t>
      </w:r>
      <w:r>
        <w:rPr>
          <w:rFonts w:eastAsiaTheme="minorEastAsia"/>
          <w:color w:val="000000"/>
          <w:szCs w:val="21"/>
        </w:rPr>
        <w:t>号《财政部、国家税务总局、证监会关于上市公司股息红利差别化个人所得税政策有关问题的通知》、财税</w:t>
      </w:r>
      <w:r>
        <w:rPr>
          <w:rFonts w:eastAsiaTheme="minorEastAsia"/>
          <w:color w:val="000000"/>
          <w:szCs w:val="21"/>
        </w:rPr>
        <w:t xml:space="preserve"> [2005] 103</w:t>
      </w:r>
      <w:r>
        <w:rPr>
          <w:rFonts w:eastAsiaTheme="minorEastAsia"/>
          <w:color w:val="000000"/>
          <w:szCs w:val="21"/>
        </w:rPr>
        <w:t>号文《关于股权分置试点改革有关税收政策问题的通知》、上证交字</w:t>
      </w:r>
      <w:r>
        <w:rPr>
          <w:rFonts w:eastAsiaTheme="minorEastAsia"/>
          <w:color w:val="000000"/>
          <w:szCs w:val="21"/>
        </w:rPr>
        <w:t xml:space="preserve"> [2008] 16</w:t>
      </w:r>
      <w:r>
        <w:rPr>
          <w:rFonts w:eastAsiaTheme="minorEastAsia"/>
          <w:color w:val="000000"/>
          <w:szCs w:val="21"/>
        </w:rPr>
        <w:t>号《关于做好调整证券交易印花税税率相关工作的通知》及深圳证券交易所于</w:t>
      </w:r>
      <w:r>
        <w:rPr>
          <w:rFonts w:eastAsiaTheme="minorEastAsia"/>
          <w:color w:val="000000"/>
          <w:szCs w:val="21"/>
        </w:rPr>
        <w:t>2008</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18</w:t>
      </w:r>
      <w:r>
        <w:rPr>
          <w:rFonts w:eastAsiaTheme="minorEastAsia"/>
          <w:color w:val="000000"/>
          <w:szCs w:val="21"/>
        </w:rPr>
        <w:t>日发布的《深圳证券交易所关于做好证券交易印花税征收方式调整工作的通知》、财税</w:t>
      </w:r>
      <w:r>
        <w:rPr>
          <w:rFonts w:eastAsiaTheme="minorEastAsia"/>
          <w:color w:val="000000"/>
          <w:szCs w:val="21"/>
        </w:rPr>
        <w:t xml:space="preserve"> [2008] 1</w:t>
      </w:r>
      <w:r>
        <w:rPr>
          <w:rFonts w:eastAsiaTheme="minorEastAsia"/>
          <w:color w:val="000000"/>
          <w:szCs w:val="21"/>
        </w:rPr>
        <w:t>号文《财政部、国家税务总局关于企业所得税若干优惠政策的通知》、财税</w:t>
      </w:r>
      <w:r>
        <w:rPr>
          <w:rFonts w:eastAsiaTheme="minorEastAsia"/>
          <w:color w:val="000000"/>
          <w:szCs w:val="21"/>
        </w:rPr>
        <w:t xml:space="preserve"> [2016] 36</w:t>
      </w:r>
      <w:r>
        <w:rPr>
          <w:rFonts w:eastAsiaTheme="minorEastAsia"/>
          <w:color w:val="000000"/>
          <w:szCs w:val="21"/>
        </w:rPr>
        <w:t>号文《财政部、国家税务总局关于全面推开营业税改征增值税试点的通知》、财税</w:t>
      </w:r>
      <w:r>
        <w:rPr>
          <w:rFonts w:eastAsiaTheme="minorEastAsia"/>
          <w:color w:val="000000"/>
          <w:szCs w:val="21"/>
        </w:rPr>
        <w:t xml:space="preserve"> [2016] 140</w:t>
      </w:r>
      <w:r>
        <w:rPr>
          <w:rFonts w:eastAsiaTheme="minorEastAsia"/>
          <w:color w:val="000000"/>
          <w:szCs w:val="21"/>
        </w:rPr>
        <w:t>号文《关于明确金融、房地产开发、教育辅助服务等增值税政策的通知》、财税</w:t>
      </w:r>
      <w:r>
        <w:rPr>
          <w:rFonts w:eastAsiaTheme="minorEastAsia"/>
          <w:color w:val="000000"/>
          <w:szCs w:val="21"/>
        </w:rPr>
        <w:t xml:space="preserve"> [2017] 2</w:t>
      </w:r>
      <w:r>
        <w:rPr>
          <w:rFonts w:eastAsiaTheme="minorEastAsia"/>
          <w:color w:val="000000"/>
          <w:szCs w:val="21"/>
        </w:rPr>
        <w:t>号文《关于资管产品增值税政策有关问题的补充通知》、财税</w:t>
      </w:r>
      <w:r>
        <w:rPr>
          <w:rFonts w:eastAsiaTheme="minorEastAsia"/>
          <w:color w:val="000000"/>
          <w:szCs w:val="21"/>
        </w:rPr>
        <w:t xml:space="preserve"> [2017] 56</w:t>
      </w:r>
      <w:r>
        <w:rPr>
          <w:rFonts w:eastAsiaTheme="minorEastAsia"/>
          <w:color w:val="000000"/>
          <w:szCs w:val="21"/>
        </w:rPr>
        <w:t>号《关于资管产品增值税有关问题的通知》及其他相关税务法规和实务操作，本基金适用的主要税项列示如下：</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(a)</w:t>
      </w:r>
      <w:r>
        <w:rPr>
          <w:rFonts w:eastAsiaTheme="minorEastAsia"/>
          <w:color w:val="000000"/>
          <w:szCs w:val="21"/>
        </w:rPr>
        <w:t>证券投资基金管理人运用基金买卖股票、债券的差价收入暂免征收营业税和企业所得税。</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(b)</w:t>
      </w:r>
      <w:r>
        <w:rPr>
          <w:rFonts w:eastAsiaTheme="minorEastAsia"/>
          <w:color w:val="000000"/>
          <w:szCs w:val="21"/>
        </w:rPr>
        <w:t>自</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1</w:t>
      </w:r>
      <w:r>
        <w:rPr>
          <w:rFonts w:eastAsiaTheme="minorEastAsia"/>
          <w:color w:val="000000"/>
          <w:szCs w:val="21"/>
        </w:rPr>
        <w:t>日起，在全国范围内全面推开营业税改征增值税</w:t>
      </w:r>
      <w:r>
        <w:rPr>
          <w:rFonts w:eastAsiaTheme="minorEastAsia"/>
          <w:color w:val="000000"/>
          <w:szCs w:val="21"/>
        </w:rPr>
        <w:t xml:space="preserve"> (</w:t>
      </w:r>
      <w:r>
        <w:rPr>
          <w:rFonts w:eastAsiaTheme="minorEastAsia"/>
          <w:color w:val="000000"/>
          <w:szCs w:val="21"/>
        </w:rPr>
        <w:t>以下称营改增</w:t>
      </w:r>
      <w:r>
        <w:rPr>
          <w:rFonts w:eastAsiaTheme="minorEastAsia"/>
          <w:color w:val="000000"/>
          <w:szCs w:val="21"/>
        </w:rPr>
        <w:t xml:space="preserve">) </w:t>
      </w:r>
      <w:r>
        <w:rPr>
          <w:rFonts w:eastAsiaTheme="minorEastAsia"/>
          <w:color w:val="000000"/>
          <w:szCs w:val="21"/>
        </w:rPr>
        <w:t>试点，建筑业、房地产业、金融业、生活服务业等全部营业税纳税人，纳入试点范围，由缴纳营业税改为缴纳增值税。</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w:t>
      </w:r>
      <w:r>
        <w:rPr>
          <w:rFonts w:eastAsiaTheme="minorEastAsia"/>
          <w:color w:val="000000"/>
          <w:szCs w:val="21"/>
        </w:rPr>
        <w:t xml:space="preserve"> (</w:t>
      </w:r>
      <w:r>
        <w:rPr>
          <w:rFonts w:eastAsiaTheme="minorEastAsia"/>
          <w:color w:val="000000"/>
          <w:szCs w:val="21"/>
        </w:rPr>
        <w:t>含</w:t>
      </w:r>
      <w:r>
        <w:rPr>
          <w:rFonts w:eastAsiaTheme="minorEastAsia"/>
          <w:color w:val="000000"/>
          <w:szCs w:val="21"/>
        </w:rPr>
        <w:t xml:space="preserve">) </w:t>
      </w:r>
      <w:r>
        <w:rPr>
          <w:rFonts w:eastAsiaTheme="minorEastAsia"/>
          <w:color w:val="000000"/>
          <w:szCs w:val="21"/>
        </w:rPr>
        <w:t>以后，资管产品管理人</w:t>
      </w:r>
      <w:r>
        <w:rPr>
          <w:rFonts w:eastAsiaTheme="minorEastAsia"/>
          <w:color w:val="000000"/>
          <w:szCs w:val="21"/>
        </w:rPr>
        <w:t xml:space="preserve"> (</w:t>
      </w:r>
      <w:r>
        <w:rPr>
          <w:rFonts w:eastAsiaTheme="minorEastAsia"/>
          <w:color w:val="000000"/>
          <w:szCs w:val="21"/>
        </w:rPr>
        <w:t>以下称管理人</w:t>
      </w:r>
      <w:r>
        <w:rPr>
          <w:rFonts w:eastAsiaTheme="minorEastAsia"/>
          <w:color w:val="000000"/>
          <w:szCs w:val="21"/>
        </w:rPr>
        <w:t xml:space="preserve">) </w:t>
      </w:r>
      <w:r>
        <w:rPr>
          <w:rFonts w:eastAsiaTheme="minorEastAsia"/>
          <w:color w:val="000000"/>
          <w:szCs w:val="21"/>
        </w:rPr>
        <w:t>运营基金过程中发生的增值税应税行为，以管理人为增值税纳税人，暂适用简易计税方法，按照</w:t>
      </w:r>
      <w:r>
        <w:rPr>
          <w:rFonts w:eastAsiaTheme="minorEastAsia"/>
          <w:color w:val="000000"/>
          <w:szCs w:val="21"/>
        </w:rPr>
        <w:t>3%</w:t>
      </w:r>
      <w:r>
        <w:rPr>
          <w:rFonts w:eastAsiaTheme="minorEastAsia"/>
          <w:color w:val="000000"/>
          <w:szCs w:val="21"/>
        </w:rPr>
        <w:t>的征收率缴纳增值税。对基金在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日前运营过程中发生的增值税应税行为，未缴纳增值税的，不再缴纳；已缴纳增值税的，已纳税额从管理人以后月份的增值税应纳税额中抵减。</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证券投资基金管理人运用基金买卖股票、债券收入免征增值税。</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(c)</w:t>
      </w:r>
      <w:r>
        <w:rPr>
          <w:rFonts w:eastAsiaTheme="minorEastAsia"/>
          <w:color w:val="000000"/>
          <w:szCs w:val="21"/>
        </w:rPr>
        <w:t>基金作为流通股股东在股权分置改革过程中收到由非流通股股东支付的股份、现金对价，暂免征收印花税、企业所得税和个人所得税。</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(d)</w:t>
      </w:r>
      <w:r>
        <w:rPr>
          <w:rFonts w:eastAsiaTheme="minorEastAsia"/>
          <w:color w:val="000000"/>
          <w:szCs w:val="21"/>
        </w:rPr>
        <w:t>对基金取得的股票的股息、红利收入，由上市公司在向基金支付上述收入时代扣代缴</w:t>
      </w:r>
      <w:r>
        <w:rPr>
          <w:rFonts w:eastAsiaTheme="minorEastAsia"/>
          <w:color w:val="000000"/>
          <w:szCs w:val="21"/>
        </w:rPr>
        <w:t>20%</w:t>
      </w:r>
      <w:r>
        <w:rPr>
          <w:rFonts w:eastAsiaTheme="minorEastAsia"/>
          <w:color w:val="000000"/>
          <w:szCs w:val="21"/>
        </w:rPr>
        <w:t>的个人所得税。自</w:t>
      </w:r>
      <w:r>
        <w:rPr>
          <w:rFonts w:eastAsiaTheme="minorEastAsia"/>
          <w:color w:val="000000"/>
          <w:szCs w:val="21"/>
        </w:rPr>
        <w:t>2013</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日起，对所取得的股息红利收入根据持股期限差别化计算个人所得税的应纳税所得额：持股期限在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 xml:space="preserve"> (</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 xml:space="preserve">) </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 xml:space="preserve"> (</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 xml:space="preserve">) </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年的，股权登记日为自</w:t>
      </w:r>
      <w:r>
        <w:rPr>
          <w:rFonts w:eastAsiaTheme="minorEastAsia"/>
          <w:color w:val="000000"/>
          <w:szCs w:val="21"/>
        </w:rPr>
        <w:t>2013</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日起至</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7</w:t>
      </w:r>
      <w:r>
        <w:rPr>
          <w:rFonts w:eastAsiaTheme="minorEastAsia"/>
          <w:color w:val="000000"/>
          <w:szCs w:val="21"/>
        </w:rPr>
        <w:t>日期间的，暂减按</w:t>
      </w:r>
      <w:r>
        <w:rPr>
          <w:rFonts w:eastAsiaTheme="minorEastAsia"/>
          <w:color w:val="000000"/>
          <w:szCs w:val="21"/>
        </w:rPr>
        <w:t>25%</w:t>
      </w:r>
      <w:r>
        <w:rPr>
          <w:rFonts w:eastAsiaTheme="minorEastAsia"/>
          <w:color w:val="000000"/>
          <w:szCs w:val="21"/>
        </w:rPr>
        <w:t>计入应纳税所得额，股权登记日在</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8</w:t>
      </w:r>
      <w:r>
        <w:rPr>
          <w:rFonts w:eastAsiaTheme="minorEastAsia"/>
          <w:color w:val="000000"/>
          <w:szCs w:val="21"/>
        </w:rPr>
        <w:t>日及以后的，暂免征收个人所得税。</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(e)</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(f)</w:t>
      </w:r>
      <w:r>
        <w:rPr>
          <w:rFonts w:eastAsiaTheme="minorEastAsia"/>
          <w:color w:val="000000"/>
          <w:szCs w:val="21"/>
        </w:rPr>
        <w:t>对投资者</w:t>
      </w:r>
      <w:r>
        <w:rPr>
          <w:rFonts w:eastAsiaTheme="minorEastAsia"/>
          <w:color w:val="000000"/>
          <w:szCs w:val="21"/>
        </w:rPr>
        <w:t xml:space="preserve"> (</w:t>
      </w:r>
      <w:r>
        <w:rPr>
          <w:rFonts w:eastAsiaTheme="minorEastAsia"/>
          <w:color w:val="000000"/>
          <w:szCs w:val="21"/>
        </w:rPr>
        <w:t>包括个人和机构投资者</w:t>
      </w:r>
      <w:r>
        <w:rPr>
          <w:rFonts w:eastAsiaTheme="minorEastAsia"/>
          <w:color w:val="000000"/>
          <w:szCs w:val="21"/>
        </w:rPr>
        <w:t xml:space="preserve">) </w:t>
      </w:r>
      <w:r>
        <w:rPr>
          <w:rFonts w:eastAsiaTheme="minorEastAsia"/>
          <w:color w:val="000000"/>
          <w:szCs w:val="21"/>
        </w:rPr>
        <w:t>从基金分配中取得的收入，暂不征收企业所得税。</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(g)</w:t>
      </w:r>
      <w:r>
        <w:rPr>
          <w:rFonts w:eastAsiaTheme="minorEastAsia"/>
          <w:color w:val="000000"/>
          <w:szCs w:val="21"/>
        </w:rPr>
        <w:t>对基金在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w:t>
      </w:r>
      <w:r>
        <w:rPr>
          <w:rFonts w:eastAsiaTheme="minorEastAsia"/>
          <w:color w:val="000000"/>
          <w:szCs w:val="21"/>
        </w:rPr>
        <w:t xml:space="preserve"> (</w:t>
      </w:r>
      <w:r>
        <w:rPr>
          <w:rFonts w:eastAsiaTheme="minorEastAsia"/>
          <w:color w:val="000000"/>
          <w:szCs w:val="21"/>
        </w:rPr>
        <w:t>含</w:t>
      </w:r>
      <w:r>
        <w:rPr>
          <w:rFonts w:eastAsiaTheme="minorEastAsia"/>
          <w:color w:val="000000"/>
          <w:szCs w:val="21"/>
        </w:rPr>
        <w:t xml:space="preserve">) </w:t>
      </w:r>
      <w:r>
        <w:rPr>
          <w:rFonts w:eastAsiaTheme="minorEastAsia"/>
          <w:color w:val="000000"/>
          <w:szCs w:val="21"/>
        </w:rPr>
        <w:t>以后运营过程中缴纳的增值税，按照证券投资基金管理人所在地适用的城市维护建设税税率，计算缴纳城市维护建设税。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(h)</w:t>
      </w:r>
      <w:r w:rsidRPr="00646A7D">
        <w:rPr>
          <w:rFonts w:eastAsiaTheme="minorEastAsia"/>
          <w:color w:val="000000"/>
          <w:szCs w:val="21"/>
        </w:rPr>
        <w:t>对基金在</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w:t>
      </w:r>
      <w:r w:rsidRPr="00646A7D">
        <w:rPr>
          <w:rFonts w:eastAsiaTheme="minorEastAsia"/>
          <w:color w:val="000000"/>
          <w:szCs w:val="21"/>
        </w:rPr>
        <w:t xml:space="preserve"> (</w:t>
      </w:r>
      <w:r w:rsidRPr="00646A7D">
        <w:rPr>
          <w:rFonts w:eastAsiaTheme="minorEastAsia"/>
          <w:color w:val="000000"/>
          <w:szCs w:val="21"/>
        </w:rPr>
        <w:t>含</w:t>
      </w:r>
      <w:r w:rsidRPr="00646A7D">
        <w:rPr>
          <w:rFonts w:eastAsiaTheme="minorEastAsia"/>
          <w:color w:val="000000"/>
          <w:szCs w:val="21"/>
        </w:rPr>
        <w:t xml:space="preserve">) </w:t>
      </w:r>
      <w:r w:rsidRPr="00646A7D">
        <w:rPr>
          <w:rFonts w:eastAsiaTheme="minorEastAsia"/>
          <w:color w:val="000000"/>
          <w:szCs w:val="21"/>
        </w:rPr>
        <w:t>以后运营过程中缴纳的增值税，分别按照证券投资基金管理人所在地适用的费率计算缴纳教育费附加、地方教育费附加。</w:t>
      </w:r>
    </w:p>
    <w:p w:rsidR="001548F9" w:rsidRPr="00646A7D" w:rsidRDefault="001548F9" w:rsidP="00BA6974">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6.4.7 </w:t>
      </w:r>
      <w:r w:rsidRPr="00646A7D">
        <w:rPr>
          <w:rFonts w:eastAsiaTheme="minorEastAsia"/>
          <w:b/>
          <w:color w:val="000000"/>
          <w:kern w:val="0"/>
          <w:szCs w:val="21"/>
        </w:rPr>
        <w:t>关联方关系</w:t>
      </w:r>
    </w:p>
    <w:p w:rsidR="001548F9" w:rsidRPr="00646A7D" w:rsidRDefault="001548F9" w:rsidP="003576C9">
      <w:pPr>
        <w:spacing w:line="360" w:lineRule="auto"/>
        <w:rPr>
          <w:rFonts w:eastAsiaTheme="minorEastAsia"/>
          <w:b/>
          <w:kern w:val="0"/>
          <w:szCs w:val="21"/>
        </w:rPr>
      </w:pPr>
      <w:r w:rsidRPr="00646A7D">
        <w:rPr>
          <w:rFonts w:eastAsiaTheme="minorEastAsia"/>
          <w:b/>
          <w:bCs/>
          <w:color w:val="000000"/>
          <w:kern w:val="0"/>
          <w:szCs w:val="21"/>
        </w:rPr>
        <w:t>6.4.7.1</w:t>
      </w:r>
      <w:r w:rsidRPr="00646A7D">
        <w:rPr>
          <w:rFonts w:eastAsiaTheme="minorEastAsia"/>
          <w:b/>
          <w:kern w:val="0"/>
          <w:szCs w:val="21"/>
        </w:rPr>
        <w:t>本报告期存在控制关系或其他重大利害关系的关联方发生变化的情况</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本报告期内，本基金管理人原控股股东国泰君安证券股份有限公司已将其所持有的公司</w:t>
      </w:r>
      <w:r>
        <w:rPr>
          <w:rFonts w:eastAsiaTheme="minorEastAsia"/>
          <w:color w:val="000000"/>
          <w:szCs w:val="21"/>
        </w:rPr>
        <w:t>51%</w:t>
      </w:r>
      <w:r>
        <w:rPr>
          <w:rFonts w:eastAsiaTheme="minorEastAsia"/>
          <w:color w:val="000000"/>
          <w:szCs w:val="21"/>
        </w:rPr>
        <w:t>股权转让给太平洋资产管理有限责任公司。截至</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4</w:t>
      </w:r>
      <w:r>
        <w:rPr>
          <w:rFonts w:eastAsiaTheme="minorEastAsia"/>
          <w:color w:val="000000"/>
          <w:szCs w:val="21"/>
        </w:rPr>
        <w:t>日，本基金管理人已正式完成上海市工商局变更登记，变更其控股股东为太平洋资产管理有限责任公司。同时，本基金管理人新增关联方：中国太平洋保险</w:t>
      </w:r>
      <w:r>
        <w:rPr>
          <w:rFonts w:eastAsiaTheme="minorEastAsia"/>
          <w:color w:val="000000"/>
          <w:szCs w:val="21"/>
        </w:rPr>
        <w:t>(</w:t>
      </w:r>
      <w:r>
        <w:rPr>
          <w:rFonts w:eastAsiaTheme="minorEastAsia"/>
          <w:color w:val="000000"/>
          <w:szCs w:val="21"/>
        </w:rPr>
        <w:t>集团</w:t>
      </w:r>
      <w:r>
        <w:rPr>
          <w:rFonts w:eastAsiaTheme="minorEastAsia"/>
          <w:color w:val="000000"/>
          <w:szCs w:val="21"/>
        </w:rPr>
        <w:t>)</w:t>
      </w:r>
      <w:r>
        <w:rPr>
          <w:rFonts w:eastAsiaTheme="minorEastAsia"/>
          <w:color w:val="000000"/>
          <w:szCs w:val="21"/>
        </w:rPr>
        <w:t>股份有限公司，为本基金管理人的最终控制人。</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本报告期存在控制关系或其他重大利害关系的其他关联方无变化。</w:t>
      </w:r>
    </w:p>
    <w:p w:rsidR="001548F9" w:rsidRPr="00646A7D" w:rsidRDefault="001548F9" w:rsidP="00BA6974">
      <w:pPr>
        <w:autoSpaceDE w:val="0"/>
        <w:autoSpaceDN w:val="0"/>
        <w:adjustRightInd w:val="0"/>
        <w:spacing w:beforeLines="100" w:line="360" w:lineRule="auto"/>
        <w:jc w:val="left"/>
        <w:rPr>
          <w:rFonts w:eastAsiaTheme="minorEastAsia"/>
          <w:b/>
          <w:kern w:val="0"/>
          <w:szCs w:val="21"/>
        </w:rPr>
      </w:pPr>
      <w:r w:rsidRPr="00646A7D">
        <w:rPr>
          <w:rFonts w:eastAsiaTheme="minorEastAsia"/>
          <w:b/>
          <w:bCs/>
          <w:color w:val="000000"/>
          <w:kern w:val="0"/>
          <w:szCs w:val="21"/>
        </w:rPr>
        <w:t xml:space="preserve">6.4.7.2 </w:t>
      </w:r>
      <w:r w:rsidRPr="00646A7D">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646A7D" w:rsidTr="0070173B">
        <w:tc>
          <w:tcPr>
            <w:tcW w:w="5220"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关联方名称</w:t>
            </w:r>
          </w:p>
        </w:tc>
        <w:tc>
          <w:tcPr>
            <w:tcW w:w="3780"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与本基金的关系</w:t>
            </w:r>
          </w:p>
        </w:tc>
      </w:tr>
      <w:tr w:rsidR="00DF0785">
        <w:tc>
          <w:tcPr>
            <w:tcW w:w="5220" w:type="dxa"/>
            <w:vAlign w:val="center"/>
          </w:tcPr>
          <w:p w:rsidR="00DF0785" w:rsidRDefault="00311CAE">
            <w:pPr>
              <w:jc w:val="left"/>
            </w:pPr>
            <w:r>
              <w:rPr>
                <w:rFonts w:eastAsiaTheme="minorEastAsia"/>
                <w:color w:val="000000"/>
                <w:szCs w:val="21"/>
              </w:rPr>
              <w:t>国联安基金管理有限公司</w:t>
            </w:r>
          </w:p>
        </w:tc>
        <w:tc>
          <w:tcPr>
            <w:tcW w:w="3780" w:type="dxa"/>
            <w:vAlign w:val="center"/>
          </w:tcPr>
          <w:p w:rsidR="00DF0785" w:rsidRDefault="00311CAE">
            <w:pPr>
              <w:jc w:val="left"/>
            </w:pPr>
            <w:r>
              <w:rPr>
                <w:rFonts w:eastAsiaTheme="minorEastAsia"/>
                <w:color w:val="000000"/>
                <w:szCs w:val="21"/>
              </w:rPr>
              <w:t>基金管理人</w:t>
            </w:r>
          </w:p>
        </w:tc>
      </w:tr>
      <w:tr w:rsidR="00DF0785">
        <w:tc>
          <w:tcPr>
            <w:tcW w:w="5220" w:type="dxa"/>
            <w:vAlign w:val="center"/>
          </w:tcPr>
          <w:p w:rsidR="00DF0785" w:rsidRDefault="00311CAE">
            <w:pPr>
              <w:jc w:val="left"/>
            </w:pPr>
            <w:r>
              <w:rPr>
                <w:rFonts w:eastAsiaTheme="minorEastAsia"/>
                <w:color w:val="000000"/>
                <w:szCs w:val="21"/>
              </w:rPr>
              <w:t>平安银行股份有限公司</w:t>
            </w:r>
            <w:r>
              <w:rPr>
                <w:rFonts w:eastAsiaTheme="minorEastAsia"/>
                <w:color w:val="000000"/>
                <w:szCs w:val="21"/>
              </w:rPr>
              <w:t>(“</w:t>
            </w:r>
            <w:r>
              <w:rPr>
                <w:rFonts w:eastAsiaTheme="minorEastAsia"/>
                <w:color w:val="000000"/>
                <w:szCs w:val="21"/>
              </w:rPr>
              <w:t>平安银行</w:t>
            </w:r>
            <w:r>
              <w:rPr>
                <w:rFonts w:eastAsiaTheme="minorEastAsia"/>
                <w:color w:val="000000"/>
                <w:szCs w:val="21"/>
              </w:rPr>
              <w:t>”)</w:t>
            </w:r>
          </w:p>
        </w:tc>
        <w:tc>
          <w:tcPr>
            <w:tcW w:w="3780" w:type="dxa"/>
            <w:vAlign w:val="center"/>
          </w:tcPr>
          <w:p w:rsidR="00DF0785" w:rsidRDefault="00311CAE">
            <w:pPr>
              <w:jc w:val="left"/>
            </w:pPr>
            <w:r>
              <w:rPr>
                <w:rFonts w:eastAsiaTheme="minorEastAsia"/>
                <w:color w:val="000000"/>
                <w:szCs w:val="21"/>
              </w:rPr>
              <w:t>基金托管人</w:t>
            </w:r>
          </w:p>
        </w:tc>
      </w:tr>
      <w:tr w:rsidR="00DF0785">
        <w:tc>
          <w:tcPr>
            <w:tcW w:w="5220" w:type="dxa"/>
            <w:vAlign w:val="center"/>
          </w:tcPr>
          <w:p w:rsidR="00DF0785" w:rsidRDefault="00311CAE">
            <w:pPr>
              <w:jc w:val="left"/>
            </w:pPr>
            <w:r>
              <w:rPr>
                <w:rFonts w:eastAsiaTheme="minorEastAsia"/>
                <w:color w:val="000000"/>
                <w:szCs w:val="21"/>
              </w:rPr>
              <w:t>太平洋资产管理有限责任公司</w:t>
            </w:r>
          </w:p>
        </w:tc>
        <w:tc>
          <w:tcPr>
            <w:tcW w:w="3780" w:type="dxa"/>
            <w:vAlign w:val="center"/>
          </w:tcPr>
          <w:p w:rsidR="00DF0785" w:rsidRDefault="00311CAE">
            <w:pPr>
              <w:jc w:val="left"/>
            </w:pPr>
            <w:r>
              <w:rPr>
                <w:rFonts w:eastAsiaTheme="minorEastAsia"/>
                <w:color w:val="000000"/>
                <w:szCs w:val="21"/>
              </w:rPr>
              <w:t>基金管理人的股东（自</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4</w:t>
            </w:r>
            <w:r>
              <w:rPr>
                <w:rFonts w:eastAsiaTheme="minorEastAsia"/>
                <w:color w:val="000000"/>
                <w:szCs w:val="21"/>
              </w:rPr>
              <w:t>日起）</w:t>
            </w:r>
          </w:p>
        </w:tc>
      </w:tr>
      <w:tr w:rsidR="00DF0785">
        <w:tc>
          <w:tcPr>
            <w:tcW w:w="5220" w:type="dxa"/>
            <w:vAlign w:val="center"/>
          </w:tcPr>
          <w:p w:rsidR="00DF0785" w:rsidRDefault="00311CAE">
            <w:pPr>
              <w:jc w:val="left"/>
            </w:pPr>
            <w:r>
              <w:rPr>
                <w:rFonts w:eastAsiaTheme="minorEastAsia"/>
                <w:color w:val="000000"/>
                <w:szCs w:val="21"/>
              </w:rPr>
              <w:t>国泰君安证券股份有限公司</w:t>
            </w:r>
            <w:r>
              <w:rPr>
                <w:rFonts w:eastAsiaTheme="minorEastAsia"/>
                <w:color w:val="000000"/>
                <w:szCs w:val="21"/>
              </w:rPr>
              <w:t>(“</w:t>
            </w:r>
            <w:r>
              <w:rPr>
                <w:rFonts w:eastAsiaTheme="minorEastAsia"/>
                <w:color w:val="000000"/>
                <w:szCs w:val="21"/>
              </w:rPr>
              <w:t>国泰君安</w:t>
            </w:r>
            <w:r>
              <w:rPr>
                <w:rFonts w:eastAsiaTheme="minorEastAsia"/>
                <w:color w:val="000000"/>
                <w:szCs w:val="21"/>
              </w:rPr>
              <w:t>”)</w:t>
            </w:r>
          </w:p>
        </w:tc>
        <w:tc>
          <w:tcPr>
            <w:tcW w:w="3780" w:type="dxa"/>
            <w:vAlign w:val="center"/>
          </w:tcPr>
          <w:p w:rsidR="00DF0785" w:rsidRDefault="00311CAE">
            <w:pPr>
              <w:jc w:val="left"/>
            </w:pPr>
            <w:r>
              <w:rPr>
                <w:rFonts w:eastAsiaTheme="minorEastAsia"/>
                <w:color w:val="000000"/>
                <w:szCs w:val="21"/>
              </w:rPr>
              <w:t>基金管理人的股东（截止至</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3</w:t>
            </w:r>
            <w:r>
              <w:rPr>
                <w:rFonts w:eastAsiaTheme="minorEastAsia"/>
                <w:color w:val="000000"/>
                <w:szCs w:val="21"/>
              </w:rPr>
              <w:t>日）</w:t>
            </w:r>
          </w:p>
        </w:tc>
      </w:tr>
      <w:tr w:rsidR="00DF0785">
        <w:tc>
          <w:tcPr>
            <w:tcW w:w="5220" w:type="dxa"/>
            <w:vAlign w:val="center"/>
          </w:tcPr>
          <w:p w:rsidR="00DF0785" w:rsidRDefault="00311CAE">
            <w:pPr>
              <w:jc w:val="left"/>
            </w:pPr>
            <w:r>
              <w:rPr>
                <w:rFonts w:eastAsiaTheme="minorEastAsia"/>
                <w:color w:val="000000"/>
                <w:szCs w:val="21"/>
              </w:rPr>
              <w:t>安联集团</w:t>
            </w:r>
          </w:p>
        </w:tc>
        <w:tc>
          <w:tcPr>
            <w:tcW w:w="3780" w:type="dxa"/>
            <w:vAlign w:val="center"/>
          </w:tcPr>
          <w:p w:rsidR="00DF0785" w:rsidRDefault="00311CAE">
            <w:pPr>
              <w:jc w:val="left"/>
            </w:pPr>
            <w:r>
              <w:rPr>
                <w:rFonts w:eastAsiaTheme="minorEastAsia"/>
                <w:color w:val="000000"/>
                <w:szCs w:val="21"/>
              </w:rPr>
              <w:t>基金管理人的股东</w:t>
            </w:r>
          </w:p>
        </w:tc>
      </w:tr>
      <w:tr w:rsidR="00DF0785">
        <w:tc>
          <w:tcPr>
            <w:tcW w:w="5220" w:type="dxa"/>
            <w:vAlign w:val="center"/>
          </w:tcPr>
          <w:p w:rsidR="00DF0785" w:rsidRDefault="00311CAE">
            <w:pPr>
              <w:jc w:val="left"/>
            </w:pPr>
            <w:r>
              <w:rPr>
                <w:rFonts w:eastAsiaTheme="minorEastAsia"/>
                <w:color w:val="000000"/>
                <w:szCs w:val="21"/>
              </w:rPr>
              <w:t>中国太平洋保险</w:t>
            </w:r>
            <w:r>
              <w:rPr>
                <w:rFonts w:eastAsiaTheme="minorEastAsia"/>
                <w:color w:val="000000"/>
                <w:szCs w:val="21"/>
              </w:rPr>
              <w:t>(</w:t>
            </w:r>
            <w:r>
              <w:rPr>
                <w:rFonts w:eastAsiaTheme="minorEastAsia"/>
                <w:color w:val="000000"/>
                <w:szCs w:val="21"/>
              </w:rPr>
              <w:t>集团</w:t>
            </w:r>
            <w:r>
              <w:rPr>
                <w:rFonts w:eastAsiaTheme="minorEastAsia"/>
                <w:color w:val="000000"/>
                <w:szCs w:val="21"/>
              </w:rPr>
              <w:t>)</w:t>
            </w:r>
            <w:r>
              <w:rPr>
                <w:rFonts w:eastAsiaTheme="minorEastAsia"/>
                <w:color w:val="000000"/>
                <w:szCs w:val="21"/>
              </w:rPr>
              <w:t>股份有限公司</w:t>
            </w:r>
          </w:p>
        </w:tc>
        <w:tc>
          <w:tcPr>
            <w:tcW w:w="3780" w:type="dxa"/>
            <w:vAlign w:val="center"/>
          </w:tcPr>
          <w:p w:rsidR="00DF0785" w:rsidRDefault="00311CAE">
            <w:pPr>
              <w:jc w:val="left"/>
            </w:pPr>
            <w:r>
              <w:rPr>
                <w:rFonts w:eastAsiaTheme="minorEastAsia"/>
                <w:color w:val="000000"/>
                <w:szCs w:val="21"/>
              </w:rPr>
              <w:t>基金管理人的最终控制人（自</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4</w:t>
            </w:r>
            <w:r>
              <w:rPr>
                <w:rFonts w:eastAsiaTheme="minorEastAsia"/>
                <w:color w:val="000000"/>
                <w:szCs w:val="21"/>
              </w:rPr>
              <w:t>日起）</w:t>
            </w:r>
          </w:p>
        </w:tc>
      </w:tr>
    </w:tbl>
    <w:p w:rsidR="001548F9" w:rsidRPr="00646A7D" w:rsidRDefault="001548F9" w:rsidP="00BA6974">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 </w:t>
      </w:r>
      <w:r w:rsidRPr="00646A7D">
        <w:rPr>
          <w:rFonts w:eastAsiaTheme="minorEastAsia"/>
          <w:b/>
          <w:color w:val="000000"/>
          <w:kern w:val="0"/>
          <w:szCs w:val="21"/>
        </w:rPr>
        <w:t>本报告期及上年度可比期间的关联方交易</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下述关联交易均根据正常的商业交易条件进行，并以一般交易价格为定价基础。</w:t>
      </w:r>
    </w:p>
    <w:p w:rsidR="001548F9"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如在报表附注</w:t>
      </w:r>
      <w:r w:rsidR="00D44E39">
        <w:rPr>
          <w:rFonts w:eastAsiaTheme="minorEastAsia"/>
          <w:color w:val="000000"/>
          <w:szCs w:val="21"/>
        </w:rPr>
        <w:t>6.4.</w:t>
      </w:r>
      <w:r w:rsidR="00D44E39">
        <w:rPr>
          <w:rFonts w:eastAsiaTheme="minorEastAsia" w:hint="eastAsia"/>
          <w:color w:val="000000"/>
          <w:szCs w:val="21"/>
        </w:rPr>
        <w:t>7</w:t>
      </w:r>
      <w:r w:rsidRPr="00646A7D">
        <w:rPr>
          <w:rFonts w:eastAsiaTheme="minorEastAsia"/>
          <w:color w:val="000000"/>
          <w:szCs w:val="21"/>
        </w:rPr>
        <w:t>.1</w:t>
      </w:r>
      <w:r w:rsidRPr="00646A7D">
        <w:rPr>
          <w:rFonts w:eastAsiaTheme="minorEastAsia"/>
          <w:color w:val="000000"/>
          <w:szCs w:val="21"/>
        </w:rPr>
        <w:t>中所述，自</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5</w:t>
      </w:r>
      <w:r w:rsidRPr="00646A7D">
        <w:rPr>
          <w:rFonts w:eastAsiaTheme="minorEastAsia"/>
          <w:color w:val="000000"/>
          <w:szCs w:val="21"/>
        </w:rPr>
        <w:t>月</w:t>
      </w:r>
      <w:r w:rsidRPr="00646A7D">
        <w:rPr>
          <w:rFonts w:eastAsiaTheme="minorEastAsia"/>
          <w:color w:val="000000"/>
          <w:szCs w:val="21"/>
        </w:rPr>
        <w:t>4</w:t>
      </w:r>
      <w:r w:rsidRPr="00646A7D">
        <w:rPr>
          <w:rFonts w:eastAsiaTheme="minorEastAsia"/>
          <w:color w:val="000000"/>
          <w:szCs w:val="21"/>
        </w:rPr>
        <w:t>日起，本基金管理人的控股股东由国泰君安证券股份有限公司变更为太平洋资产管理有限责任公司，因此自</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5</w:t>
      </w:r>
      <w:r w:rsidRPr="00646A7D">
        <w:rPr>
          <w:rFonts w:eastAsiaTheme="minorEastAsia"/>
          <w:color w:val="000000"/>
          <w:szCs w:val="21"/>
        </w:rPr>
        <w:t>月</w:t>
      </w:r>
      <w:r w:rsidRPr="00646A7D">
        <w:rPr>
          <w:rFonts w:eastAsiaTheme="minorEastAsia"/>
          <w:color w:val="000000"/>
          <w:szCs w:val="21"/>
        </w:rPr>
        <w:t>4</w:t>
      </w:r>
      <w:r w:rsidRPr="00646A7D">
        <w:rPr>
          <w:rFonts w:eastAsiaTheme="minorEastAsia"/>
          <w:color w:val="000000"/>
          <w:szCs w:val="21"/>
        </w:rPr>
        <w:t>日起，国泰君安证券股份有限公司不再属于本基金的关联方，太平洋资产管理有限责任公司和中国太平洋保险</w:t>
      </w:r>
      <w:r w:rsidRPr="00646A7D">
        <w:rPr>
          <w:rFonts w:eastAsiaTheme="minorEastAsia"/>
          <w:color w:val="000000"/>
          <w:szCs w:val="21"/>
        </w:rPr>
        <w:t>(</w:t>
      </w:r>
      <w:r w:rsidRPr="00646A7D">
        <w:rPr>
          <w:rFonts w:eastAsiaTheme="minorEastAsia"/>
          <w:color w:val="000000"/>
          <w:szCs w:val="21"/>
        </w:rPr>
        <w:t>集团</w:t>
      </w:r>
      <w:r w:rsidRPr="00646A7D">
        <w:rPr>
          <w:rFonts w:eastAsiaTheme="minorEastAsia"/>
          <w:color w:val="000000"/>
          <w:szCs w:val="21"/>
        </w:rPr>
        <w:t>)</w:t>
      </w:r>
      <w:r w:rsidRPr="00646A7D">
        <w:rPr>
          <w:rFonts w:eastAsiaTheme="minorEastAsia"/>
          <w:color w:val="000000"/>
          <w:szCs w:val="21"/>
        </w:rPr>
        <w:t>股份有限公司属于本基金的关联方。本半年度报告所披露的与国泰君安证券股份有限公司之间的关联方交易均为发生在截至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5</w:t>
      </w:r>
      <w:r w:rsidRPr="00646A7D">
        <w:rPr>
          <w:rFonts w:eastAsiaTheme="minorEastAsia"/>
          <w:color w:val="000000"/>
          <w:szCs w:val="21"/>
        </w:rPr>
        <w:t>月</w:t>
      </w:r>
      <w:r w:rsidRPr="00646A7D">
        <w:rPr>
          <w:rFonts w:eastAsiaTheme="minorEastAsia"/>
          <w:color w:val="000000"/>
          <w:szCs w:val="21"/>
        </w:rPr>
        <w:t>3</w:t>
      </w:r>
      <w:r w:rsidRPr="00646A7D">
        <w:rPr>
          <w:rFonts w:eastAsiaTheme="minorEastAsia"/>
          <w:color w:val="000000"/>
          <w:szCs w:val="21"/>
        </w:rPr>
        <w:t>日止期间的交易，所披露的与太平洋资产管理有限责任公司、中国太平洋保险</w:t>
      </w:r>
      <w:r w:rsidRPr="00646A7D">
        <w:rPr>
          <w:rFonts w:eastAsiaTheme="minorEastAsia"/>
          <w:color w:val="000000"/>
          <w:szCs w:val="21"/>
        </w:rPr>
        <w:t>(</w:t>
      </w:r>
      <w:r w:rsidRPr="00646A7D">
        <w:rPr>
          <w:rFonts w:eastAsiaTheme="minorEastAsia"/>
          <w:color w:val="000000"/>
          <w:szCs w:val="21"/>
        </w:rPr>
        <w:t>集团</w:t>
      </w:r>
      <w:r w:rsidRPr="00646A7D">
        <w:rPr>
          <w:rFonts w:eastAsiaTheme="minorEastAsia"/>
          <w:color w:val="000000"/>
          <w:szCs w:val="21"/>
        </w:rPr>
        <w:t>)</w:t>
      </w:r>
      <w:r w:rsidRPr="00646A7D">
        <w:rPr>
          <w:rFonts w:eastAsiaTheme="minorEastAsia"/>
          <w:color w:val="000000"/>
          <w:szCs w:val="21"/>
        </w:rPr>
        <w:t>股份有限公司之间的关联方交易均为发生在自</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5</w:t>
      </w:r>
      <w:r w:rsidRPr="00646A7D">
        <w:rPr>
          <w:rFonts w:eastAsiaTheme="minorEastAsia"/>
          <w:color w:val="000000"/>
          <w:szCs w:val="21"/>
        </w:rPr>
        <w:t>月</w:t>
      </w:r>
      <w:r w:rsidRPr="00646A7D">
        <w:rPr>
          <w:rFonts w:eastAsiaTheme="minorEastAsia"/>
          <w:color w:val="000000"/>
          <w:szCs w:val="21"/>
        </w:rPr>
        <w:t>4</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日止期间的交易。</w:t>
      </w:r>
    </w:p>
    <w:p w:rsidR="009C3E60" w:rsidRPr="00646A7D" w:rsidRDefault="009C3E60" w:rsidP="009C3E60">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6.4.8.1 </w:t>
      </w:r>
      <w:r w:rsidRPr="00646A7D">
        <w:rPr>
          <w:rFonts w:eastAsiaTheme="minorEastAsia"/>
          <w:b/>
          <w:color w:val="000000"/>
          <w:kern w:val="0"/>
          <w:szCs w:val="21"/>
        </w:rPr>
        <w:t>通过关联方交易单元进行的交易</w:t>
      </w:r>
    </w:p>
    <w:p w:rsidR="001548F9" w:rsidRPr="00646A7D" w:rsidRDefault="001548F9" w:rsidP="003576C9">
      <w:pPr>
        <w:spacing w:line="360" w:lineRule="auto"/>
        <w:rPr>
          <w:rFonts w:eastAsiaTheme="minorEastAsia"/>
          <w:color w:val="000000"/>
          <w:szCs w:val="21"/>
        </w:rPr>
      </w:pPr>
      <w:r w:rsidRPr="00646A7D">
        <w:rPr>
          <w:rFonts w:eastAsiaTheme="minorEastAsia"/>
          <w:b/>
          <w:bCs/>
          <w:color w:val="000000"/>
          <w:kern w:val="0"/>
          <w:szCs w:val="21"/>
        </w:rPr>
        <w:t xml:space="preserve">6.4.8.1.1 </w:t>
      </w:r>
      <w:r w:rsidRPr="00646A7D">
        <w:rPr>
          <w:rFonts w:eastAsiaTheme="minorEastAsia"/>
          <w:b/>
          <w:color w:val="000000"/>
          <w:szCs w:val="21"/>
        </w:rPr>
        <w:t>股票交易</w:t>
      </w:r>
    </w:p>
    <w:p w:rsidR="001548F9" w:rsidRPr="00646A7D" w:rsidRDefault="004D0D2C"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本报告期内及上年度可比期间，本基金与关联方无股票交易。</w:t>
      </w:r>
    </w:p>
    <w:p w:rsidR="001548F9" w:rsidRPr="00646A7D" w:rsidRDefault="001548F9" w:rsidP="00BA6974">
      <w:pPr>
        <w:spacing w:beforeLines="100" w:line="360" w:lineRule="auto"/>
        <w:rPr>
          <w:rFonts w:eastAsiaTheme="minorEastAsia"/>
          <w:b/>
          <w:color w:val="000000"/>
          <w:szCs w:val="21"/>
        </w:rPr>
      </w:pPr>
      <w:r w:rsidRPr="00646A7D">
        <w:rPr>
          <w:rFonts w:eastAsiaTheme="minorEastAsia"/>
          <w:b/>
          <w:bCs/>
          <w:color w:val="000000"/>
          <w:kern w:val="0"/>
          <w:szCs w:val="21"/>
        </w:rPr>
        <w:t xml:space="preserve">6.4.8.1.2 </w:t>
      </w:r>
      <w:r w:rsidRPr="00646A7D">
        <w:rPr>
          <w:rFonts w:eastAsiaTheme="minorEastAsia"/>
          <w:b/>
          <w:color w:val="000000"/>
          <w:szCs w:val="21"/>
        </w:rPr>
        <w:t>权证交易</w:t>
      </w:r>
    </w:p>
    <w:p w:rsidR="001548F9" w:rsidRPr="00646A7D" w:rsidRDefault="00EF520B"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本报告期内及上年度可比期间，本基金与关联方无权证交易。</w:t>
      </w:r>
    </w:p>
    <w:p w:rsidR="001548F9" w:rsidRPr="00646A7D" w:rsidRDefault="001548F9" w:rsidP="00BA6974">
      <w:pPr>
        <w:spacing w:beforeLines="100" w:line="360" w:lineRule="auto"/>
        <w:rPr>
          <w:rFonts w:eastAsiaTheme="minorEastAsia"/>
          <w:b/>
          <w:color w:val="000000"/>
          <w:szCs w:val="21"/>
        </w:rPr>
      </w:pPr>
      <w:r w:rsidRPr="00646A7D">
        <w:rPr>
          <w:rFonts w:eastAsiaTheme="minorEastAsia"/>
          <w:b/>
          <w:bCs/>
          <w:color w:val="000000"/>
          <w:kern w:val="0"/>
          <w:szCs w:val="21"/>
        </w:rPr>
        <w:t xml:space="preserve">6.4.8.1.3 </w:t>
      </w:r>
      <w:r w:rsidRPr="00646A7D">
        <w:rPr>
          <w:rFonts w:eastAsiaTheme="minorEastAsia"/>
          <w:b/>
          <w:color w:val="000000"/>
          <w:szCs w:val="21"/>
        </w:rPr>
        <w:t>债券交易</w:t>
      </w:r>
    </w:p>
    <w:p w:rsidR="001548F9" w:rsidRPr="00646A7D" w:rsidRDefault="00A1308A"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本报告期内及上年度可比期间，本基金与关联方无债券交易。</w:t>
      </w:r>
    </w:p>
    <w:p w:rsidR="001548F9" w:rsidRPr="00646A7D" w:rsidRDefault="001548F9" w:rsidP="00BA6974">
      <w:pPr>
        <w:spacing w:beforeLines="100" w:line="360" w:lineRule="auto"/>
        <w:rPr>
          <w:rFonts w:eastAsiaTheme="minorEastAsia"/>
          <w:b/>
          <w:color w:val="000000"/>
          <w:szCs w:val="21"/>
        </w:rPr>
      </w:pPr>
      <w:r w:rsidRPr="00646A7D">
        <w:rPr>
          <w:rFonts w:eastAsiaTheme="minorEastAsia"/>
          <w:b/>
          <w:bCs/>
          <w:color w:val="000000"/>
          <w:kern w:val="0"/>
          <w:szCs w:val="21"/>
        </w:rPr>
        <w:t xml:space="preserve">6.4.8.1.4 </w:t>
      </w:r>
      <w:r w:rsidRPr="00646A7D">
        <w:rPr>
          <w:rFonts w:eastAsiaTheme="minorEastAsia"/>
          <w:b/>
          <w:color w:val="000000"/>
          <w:szCs w:val="21"/>
        </w:rPr>
        <w:t>债券回购交易</w:t>
      </w:r>
    </w:p>
    <w:p w:rsidR="001548F9" w:rsidRDefault="00E9372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本报告期内及上年度可比期间，本基金与关联方无债券回购交易。</w:t>
      </w:r>
    </w:p>
    <w:p w:rsidR="001548F9" w:rsidRPr="00646A7D" w:rsidRDefault="001548F9" w:rsidP="00BA6974">
      <w:pPr>
        <w:spacing w:beforeLines="100" w:line="360" w:lineRule="auto"/>
        <w:rPr>
          <w:rFonts w:eastAsiaTheme="minorEastAsia"/>
          <w:b/>
          <w:color w:val="000000"/>
          <w:szCs w:val="21"/>
        </w:rPr>
      </w:pPr>
      <w:r w:rsidRPr="00646A7D">
        <w:rPr>
          <w:rFonts w:eastAsiaTheme="minorEastAsia"/>
          <w:b/>
          <w:bCs/>
          <w:color w:val="000000"/>
          <w:kern w:val="0"/>
          <w:szCs w:val="21"/>
        </w:rPr>
        <w:t xml:space="preserve">6.4.8.1.5 </w:t>
      </w:r>
      <w:r w:rsidRPr="00646A7D">
        <w:rPr>
          <w:rFonts w:eastAsiaTheme="minorEastAsia"/>
          <w:b/>
          <w:color w:val="000000"/>
          <w:szCs w:val="21"/>
        </w:rPr>
        <w:t>应支付关联方的佣金</w:t>
      </w:r>
    </w:p>
    <w:p w:rsidR="001548F9" w:rsidRPr="00646A7D" w:rsidRDefault="001B731C"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本报告期内及上年度可比期间，本基金无应支付关联方的佣金。</w:t>
      </w:r>
    </w:p>
    <w:p w:rsidR="001548F9" w:rsidRPr="00646A7D" w:rsidRDefault="001548F9" w:rsidP="00BA6974">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6.4.8.2 </w:t>
      </w:r>
      <w:r w:rsidRPr="00646A7D">
        <w:rPr>
          <w:rFonts w:eastAsiaTheme="minorEastAsia"/>
          <w:b/>
          <w:color w:val="000000"/>
          <w:kern w:val="0"/>
          <w:szCs w:val="21"/>
        </w:rPr>
        <w:t>关联方报酬</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6.4.8.2.1 </w:t>
      </w:r>
      <w:r w:rsidRPr="00646A7D">
        <w:rPr>
          <w:rFonts w:eastAsiaTheme="minorEastAsia"/>
          <w:b/>
          <w:color w:val="000000"/>
          <w:kern w:val="0"/>
          <w:szCs w:val="21"/>
        </w:rPr>
        <w:t>基金管理费</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646A7D" w:rsidTr="00B945E3">
        <w:tc>
          <w:tcPr>
            <w:tcW w:w="3686"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1548F9"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2018</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2018</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1548F9"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2017</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2017</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548F9" w:rsidRPr="00646A7D" w:rsidTr="00B945E3">
        <w:tc>
          <w:tcPr>
            <w:tcW w:w="3686" w:type="dxa"/>
            <w:vAlign w:val="center"/>
          </w:tcPr>
          <w:p w:rsidR="001548F9" w:rsidRPr="00646A7D" w:rsidRDefault="001548F9" w:rsidP="00505CB1">
            <w:pPr>
              <w:rPr>
                <w:rFonts w:eastAsiaTheme="minorEastAsia"/>
                <w:color w:val="000000"/>
                <w:szCs w:val="21"/>
              </w:rPr>
            </w:pPr>
            <w:r w:rsidRPr="00646A7D">
              <w:rPr>
                <w:rFonts w:eastAsiaTheme="minorEastAsia"/>
                <w:szCs w:val="21"/>
              </w:rPr>
              <w:t>当期发生的基金应支付的管理费</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728,536.24</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707,006.10</w:t>
            </w:r>
          </w:p>
        </w:tc>
      </w:tr>
      <w:tr w:rsidR="001548F9" w:rsidRPr="00646A7D" w:rsidTr="00B945E3">
        <w:tc>
          <w:tcPr>
            <w:tcW w:w="3686" w:type="dxa"/>
            <w:vAlign w:val="center"/>
          </w:tcPr>
          <w:p w:rsidR="001548F9" w:rsidRPr="00646A7D" w:rsidRDefault="001548F9" w:rsidP="00505CB1">
            <w:pPr>
              <w:rPr>
                <w:rFonts w:eastAsiaTheme="minorEastAsia"/>
                <w:color w:val="000000"/>
                <w:szCs w:val="21"/>
              </w:rPr>
            </w:pPr>
            <w:r w:rsidRPr="00646A7D">
              <w:rPr>
                <w:rFonts w:eastAsiaTheme="minorEastAsia"/>
                <w:szCs w:val="21"/>
              </w:rPr>
              <w:t>其中：支付销售机构的客户维护费</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246,853.88</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239,550.41</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注：本基金支付基金管理人国联安基金管理有限公司的基金管理费按前一日基金资产净值的</w:t>
      </w:r>
      <w:r w:rsidRPr="00646A7D">
        <w:rPr>
          <w:rFonts w:eastAsiaTheme="minorEastAsia"/>
          <w:kern w:val="0"/>
          <w:szCs w:val="21"/>
        </w:rPr>
        <w:t>0.7%</w:t>
      </w:r>
      <w:r w:rsidRPr="00646A7D">
        <w:rPr>
          <w:rFonts w:eastAsiaTheme="minorEastAsia"/>
          <w:kern w:val="0"/>
          <w:szCs w:val="21"/>
        </w:rPr>
        <w:t>年费率计提，逐日累计至每月月末，按月支付。计算公式为：每日应计提的基金管理费</w:t>
      </w:r>
      <w:r w:rsidRPr="00646A7D">
        <w:rPr>
          <w:rFonts w:eastAsiaTheme="minorEastAsia"/>
          <w:kern w:val="0"/>
          <w:szCs w:val="21"/>
        </w:rPr>
        <w:t>=</w:t>
      </w:r>
      <w:r w:rsidRPr="00646A7D">
        <w:rPr>
          <w:rFonts w:eastAsiaTheme="minorEastAsia"/>
          <w:kern w:val="0"/>
          <w:szCs w:val="21"/>
        </w:rPr>
        <w:t>前一日基金资产净值</w:t>
      </w:r>
      <w:r w:rsidRPr="00646A7D">
        <w:rPr>
          <w:rFonts w:eastAsiaTheme="minorEastAsia"/>
          <w:kern w:val="0"/>
          <w:szCs w:val="21"/>
        </w:rPr>
        <w:t>×0.70%/</w:t>
      </w:r>
      <w:r w:rsidRPr="00646A7D">
        <w:rPr>
          <w:rFonts w:eastAsiaTheme="minorEastAsia"/>
          <w:kern w:val="0"/>
          <w:szCs w:val="21"/>
        </w:rPr>
        <w:t>当年天数。</w:t>
      </w:r>
    </w:p>
    <w:p w:rsidR="001548F9" w:rsidRPr="00646A7D" w:rsidRDefault="001548F9" w:rsidP="00BA6974">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6.4.8.2.2 </w:t>
      </w:r>
      <w:r w:rsidRPr="00646A7D">
        <w:rPr>
          <w:rFonts w:eastAsiaTheme="minorEastAsia"/>
          <w:b/>
          <w:color w:val="000000"/>
          <w:kern w:val="0"/>
          <w:szCs w:val="21"/>
        </w:rPr>
        <w:t>基金托管费</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646A7D" w:rsidTr="00B945E3">
        <w:tc>
          <w:tcPr>
            <w:tcW w:w="3686"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1548F9"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2018</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2018</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1548F9"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2017</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2017</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548F9" w:rsidRPr="00646A7D" w:rsidTr="00B945E3">
        <w:tc>
          <w:tcPr>
            <w:tcW w:w="3686" w:type="dxa"/>
            <w:vAlign w:val="center"/>
          </w:tcPr>
          <w:p w:rsidR="001548F9" w:rsidRPr="00646A7D" w:rsidRDefault="001548F9" w:rsidP="0070173B">
            <w:pPr>
              <w:rPr>
                <w:rFonts w:eastAsiaTheme="minorEastAsia"/>
                <w:color w:val="000000"/>
                <w:szCs w:val="21"/>
              </w:rPr>
            </w:pPr>
            <w:r w:rsidRPr="00646A7D">
              <w:rPr>
                <w:rFonts w:eastAsiaTheme="minorEastAsia"/>
                <w:szCs w:val="21"/>
              </w:rPr>
              <w:t>当期发生的基金应支付的托管费</w:t>
            </w:r>
          </w:p>
        </w:tc>
        <w:tc>
          <w:tcPr>
            <w:tcW w:w="2657" w:type="dxa"/>
            <w:vAlign w:val="center"/>
          </w:tcPr>
          <w:p w:rsidR="001548F9" w:rsidRPr="00646A7D" w:rsidRDefault="001548F9" w:rsidP="0070173B">
            <w:pPr>
              <w:jc w:val="right"/>
              <w:rPr>
                <w:rFonts w:eastAsiaTheme="minorEastAsia"/>
                <w:color w:val="000000"/>
                <w:kern w:val="0"/>
                <w:szCs w:val="21"/>
              </w:rPr>
            </w:pPr>
            <w:r w:rsidRPr="00646A7D">
              <w:rPr>
                <w:rFonts w:eastAsiaTheme="minorEastAsia"/>
                <w:szCs w:val="21"/>
              </w:rPr>
              <w:t>156,114.97</w:t>
            </w:r>
          </w:p>
        </w:tc>
        <w:tc>
          <w:tcPr>
            <w:tcW w:w="2657" w:type="dxa"/>
            <w:vAlign w:val="center"/>
          </w:tcPr>
          <w:p w:rsidR="001548F9" w:rsidRPr="00646A7D" w:rsidRDefault="001548F9" w:rsidP="00B56418">
            <w:pPr>
              <w:jc w:val="right"/>
              <w:rPr>
                <w:rFonts w:eastAsiaTheme="minorEastAsia"/>
                <w:color w:val="000000"/>
                <w:szCs w:val="21"/>
              </w:rPr>
            </w:pPr>
            <w:r w:rsidRPr="00646A7D">
              <w:rPr>
                <w:rFonts w:eastAsiaTheme="minorEastAsia"/>
                <w:szCs w:val="21"/>
              </w:rPr>
              <w:t>151,501.26</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注：本基金支付基金托管人平安银行的基金托管费按前一日基金资产净值的</w:t>
      </w:r>
      <w:r w:rsidRPr="00646A7D">
        <w:rPr>
          <w:rFonts w:eastAsiaTheme="minorEastAsia"/>
          <w:kern w:val="0"/>
          <w:szCs w:val="21"/>
        </w:rPr>
        <w:t>0.15%</w:t>
      </w:r>
      <w:r w:rsidRPr="00646A7D">
        <w:rPr>
          <w:rFonts w:eastAsiaTheme="minorEastAsia"/>
          <w:kern w:val="0"/>
          <w:szCs w:val="21"/>
        </w:rPr>
        <w:t>的年费率计提，逐日累计至每月月末，按月支付。计算公式为：每日应计提的基金托管费</w:t>
      </w:r>
      <w:r w:rsidRPr="00646A7D">
        <w:rPr>
          <w:rFonts w:eastAsiaTheme="minorEastAsia"/>
          <w:kern w:val="0"/>
          <w:szCs w:val="21"/>
        </w:rPr>
        <w:t>=</w:t>
      </w:r>
      <w:r w:rsidRPr="00646A7D">
        <w:rPr>
          <w:rFonts w:eastAsiaTheme="minorEastAsia"/>
          <w:kern w:val="0"/>
          <w:szCs w:val="21"/>
        </w:rPr>
        <w:t>前一日的基金资产净值</w:t>
      </w:r>
      <w:r w:rsidRPr="00646A7D">
        <w:rPr>
          <w:rFonts w:eastAsiaTheme="minorEastAsia"/>
          <w:kern w:val="0"/>
          <w:szCs w:val="21"/>
        </w:rPr>
        <w:t>×0.15%/</w:t>
      </w:r>
      <w:r w:rsidRPr="00646A7D">
        <w:rPr>
          <w:rFonts w:eastAsiaTheme="minorEastAsia"/>
          <w:kern w:val="0"/>
          <w:szCs w:val="21"/>
        </w:rPr>
        <w:t>当年天数。</w:t>
      </w:r>
    </w:p>
    <w:p w:rsidR="001548F9" w:rsidRPr="00646A7D" w:rsidRDefault="001548F9" w:rsidP="00BA6974">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6.4.8.3 </w:t>
      </w:r>
      <w:r w:rsidRPr="00646A7D">
        <w:rPr>
          <w:rFonts w:eastAsiaTheme="minorEastAsia"/>
          <w:b/>
          <w:bCs/>
          <w:color w:val="000000"/>
          <w:szCs w:val="21"/>
        </w:rPr>
        <w:t>与关联方进行银行间同业市场的债券</w:t>
      </w:r>
      <w:r w:rsidRPr="00646A7D">
        <w:rPr>
          <w:rFonts w:eastAsiaTheme="minorEastAsia"/>
          <w:b/>
          <w:bCs/>
          <w:color w:val="000000"/>
          <w:szCs w:val="21"/>
        </w:rPr>
        <w:t>(</w:t>
      </w:r>
      <w:r w:rsidRPr="00646A7D">
        <w:rPr>
          <w:rFonts w:eastAsiaTheme="minorEastAsia"/>
          <w:b/>
          <w:bCs/>
          <w:color w:val="000000"/>
          <w:szCs w:val="21"/>
        </w:rPr>
        <w:t>含回购</w:t>
      </w:r>
      <w:r w:rsidRPr="00646A7D">
        <w:rPr>
          <w:rFonts w:eastAsiaTheme="minorEastAsia"/>
          <w:b/>
          <w:bCs/>
          <w:color w:val="000000"/>
          <w:szCs w:val="21"/>
        </w:rPr>
        <w:t>)</w:t>
      </w:r>
      <w:r w:rsidRPr="00646A7D">
        <w:rPr>
          <w:rFonts w:eastAsiaTheme="minorEastAsia"/>
          <w:b/>
          <w:bCs/>
          <w:color w:val="000000"/>
          <w:szCs w:val="21"/>
        </w:rPr>
        <w:t>交易</w:t>
      </w:r>
    </w:p>
    <w:p w:rsidR="001548F9" w:rsidRPr="00646A7D" w:rsidRDefault="008E635D"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本报告期内及上年度可比期间，本基金均未与关联方通过银行间同业市场进行债券</w:t>
      </w:r>
      <w:r w:rsidRPr="00646A7D">
        <w:rPr>
          <w:rFonts w:eastAsiaTheme="minorEastAsia"/>
          <w:kern w:val="0"/>
          <w:szCs w:val="21"/>
        </w:rPr>
        <w:t>(</w:t>
      </w:r>
      <w:r w:rsidRPr="00646A7D">
        <w:rPr>
          <w:rFonts w:eastAsiaTheme="minorEastAsia"/>
          <w:kern w:val="0"/>
          <w:szCs w:val="21"/>
        </w:rPr>
        <w:t>含回购</w:t>
      </w:r>
      <w:r w:rsidRPr="00646A7D">
        <w:rPr>
          <w:rFonts w:eastAsiaTheme="minorEastAsia"/>
          <w:kern w:val="0"/>
          <w:szCs w:val="21"/>
        </w:rPr>
        <w:t>)</w:t>
      </w:r>
      <w:r w:rsidRPr="00646A7D">
        <w:rPr>
          <w:rFonts w:eastAsiaTheme="minorEastAsia"/>
          <w:kern w:val="0"/>
          <w:szCs w:val="21"/>
        </w:rPr>
        <w:t>交易。</w:t>
      </w:r>
    </w:p>
    <w:p w:rsidR="001548F9" w:rsidRPr="00646A7D" w:rsidRDefault="001548F9" w:rsidP="00BA6974">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6.4.8.4 </w:t>
      </w:r>
      <w:r w:rsidRPr="00646A7D">
        <w:rPr>
          <w:rFonts w:eastAsiaTheme="minorEastAsia"/>
          <w:b/>
          <w:bCs/>
          <w:color w:val="000000"/>
          <w:szCs w:val="21"/>
        </w:rPr>
        <w:t>各关联方投资本基金的情况</w:t>
      </w:r>
    </w:p>
    <w:p w:rsidR="001548F9" w:rsidRPr="00646A7D" w:rsidRDefault="001548F9" w:rsidP="003576C9">
      <w:pPr>
        <w:adjustRightInd w:val="0"/>
        <w:snapToGrid w:val="0"/>
        <w:spacing w:line="360" w:lineRule="auto"/>
        <w:jc w:val="left"/>
        <w:rPr>
          <w:rFonts w:eastAsiaTheme="minorEastAsia"/>
          <w:b/>
          <w:bCs/>
          <w:color w:val="000000"/>
          <w:szCs w:val="21"/>
        </w:rPr>
      </w:pPr>
      <w:r w:rsidRPr="00646A7D">
        <w:rPr>
          <w:rFonts w:eastAsiaTheme="minorEastAsia"/>
          <w:b/>
          <w:bCs/>
          <w:color w:val="000000"/>
          <w:kern w:val="0"/>
          <w:szCs w:val="21"/>
        </w:rPr>
        <w:t xml:space="preserve">6.4.8.4.1 </w:t>
      </w:r>
      <w:r w:rsidRPr="00646A7D">
        <w:rPr>
          <w:rFonts w:eastAsiaTheme="minorEastAsia"/>
          <w:b/>
          <w:bCs/>
          <w:color w:val="000000"/>
          <w:szCs w:val="21"/>
        </w:rPr>
        <w:t>报告期内基金管理人运用固有资金投资本基金的情况</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本报告期内及上年度可比期间内，基金管理人未投资本基金。</w:t>
      </w:r>
    </w:p>
    <w:p w:rsidR="001548F9" w:rsidRPr="00646A7D" w:rsidRDefault="001548F9" w:rsidP="00BA6974">
      <w:pPr>
        <w:adjustRightInd w:val="0"/>
        <w:snapToGrid w:val="0"/>
        <w:spacing w:beforeLines="100" w:line="360" w:lineRule="auto"/>
        <w:rPr>
          <w:rFonts w:eastAsiaTheme="minorEastAsia"/>
          <w:b/>
          <w:bCs/>
          <w:color w:val="000000"/>
          <w:szCs w:val="21"/>
        </w:rPr>
      </w:pPr>
      <w:r w:rsidRPr="00646A7D">
        <w:rPr>
          <w:rFonts w:eastAsiaTheme="minorEastAsia"/>
          <w:b/>
          <w:bCs/>
          <w:color w:val="000000"/>
          <w:kern w:val="0"/>
          <w:szCs w:val="21"/>
        </w:rPr>
        <w:t xml:space="preserve">6.4.8.4.2 </w:t>
      </w:r>
      <w:r w:rsidRPr="00646A7D">
        <w:rPr>
          <w:rFonts w:eastAsiaTheme="minorEastAsia"/>
          <w:b/>
          <w:bCs/>
          <w:color w:val="000000"/>
          <w:szCs w:val="21"/>
        </w:rPr>
        <w:t>报告期末除基金管理人之外的其他关联方投资本基金的情况</w:t>
      </w:r>
    </w:p>
    <w:p w:rsidR="001548F9" w:rsidRPr="00646A7D" w:rsidRDefault="00F31BCF"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本期末及上年度末，其他关联方均未投资本基金。</w:t>
      </w:r>
    </w:p>
    <w:p w:rsidR="001548F9" w:rsidRPr="00646A7D" w:rsidRDefault="001548F9" w:rsidP="00BA6974">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6.4.8.5 </w:t>
      </w:r>
      <w:r w:rsidRPr="00646A7D">
        <w:rPr>
          <w:rFonts w:eastAsiaTheme="minorEastAsia"/>
          <w:b/>
          <w:bCs/>
          <w:color w:val="000000"/>
          <w:szCs w:val="21"/>
        </w:rPr>
        <w:t>由关联方保管的银行存款余额及当期产生的利息收入</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646A7D" w:rsidTr="003C0ECA">
        <w:tc>
          <w:tcPr>
            <w:tcW w:w="2694" w:type="dxa"/>
            <w:vMerge w:val="restart"/>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关联方名称</w:t>
            </w:r>
          </w:p>
        </w:tc>
        <w:tc>
          <w:tcPr>
            <w:tcW w:w="3153" w:type="dxa"/>
            <w:gridSpan w:val="2"/>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本期</w:t>
            </w:r>
          </w:p>
          <w:p w:rsidR="00300128" w:rsidRPr="00646A7D" w:rsidRDefault="00300128" w:rsidP="003C0ECA">
            <w:pPr>
              <w:widowControl/>
              <w:autoSpaceDE w:val="0"/>
              <w:autoSpaceDN w:val="0"/>
              <w:spacing w:line="360" w:lineRule="auto"/>
              <w:ind w:right="-15"/>
              <w:jc w:val="center"/>
              <w:textAlignment w:val="bottom"/>
              <w:rPr>
                <w:rFonts w:eastAsiaTheme="minorEastAsia"/>
                <w:color w:val="00000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c>
          <w:tcPr>
            <w:tcW w:w="3153" w:type="dxa"/>
            <w:gridSpan w:val="2"/>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上年度可比期间</w:t>
            </w:r>
          </w:p>
          <w:p w:rsidR="00300128" w:rsidRPr="00646A7D"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646A7D">
              <w:rPr>
                <w:rFonts w:eastAsiaTheme="minorEastAsia"/>
                <w:color w:val="000000"/>
                <w:szCs w:val="21"/>
              </w:rPr>
              <w:t>2017</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2017</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300128" w:rsidRPr="00646A7D" w:rsidTr="003C0ECA">
        <w:tc>
          <w:tcPr>
            <w:tcW w:w="2694" w:type="dxa"/>
            <w:vMerge/>
            <w:vAlign w:val="center"/>
          </w:tcPr>
          <w:p w:rsidR="00300128" w:rsidRPr="00646A7D" w:rsidRDefault="00300128" w:rsidP="003C0ECA">
            <w:pPr>
              <w:widowControl/>
              <w:spacing w:line="360" w:lineRule="auto"/>
              <w:jc w:val="left"/>
              <w:rPr>
                <w:rFonts w:eastAsiaTheme="minorEastAsia"/>
                <w:color w:val="000000"/>
                <w:szCs w:val="21"/>
              </w:rPr>
            </w:pPr>
          </w:p>
        </w:tc>
        <w:tc>
          <w:tcPr>
            <w:tcW w:w="1417"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36"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c>
          <w:tcPr>
            <w:tcW w:w="1383"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70"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r>
      <w:tr w:rsidR="00DF0785">
        <w:tc>
          <w:tcPr>
            <w:tcW w:w="2694" w:type="dxa"/>
            <w:vAlign w:val="center"/>
          </w:tcPr>
          <w:p w:rsidR="00DF0785" w:rsidRDefault="00311CAE">
            <w:pPr>
              <w:jc w:val="left"/>
            </w:pPr>
            <w:r>
              <w:rPr>
                <w:rFonts w:eastAsiaTheme="minorEastAsia"/>
                <w:szCs w:val="21"/>
              </w:rPr>
              <w:t>平安银行</w:t>
            </w:r>
          </w:p>
        </w:tc>
        <w:tc>
          <w:tcPr>
            <w:tcW w:w="1417" w:type="dxa"/>
            <w:vAlign w:val="center"/>
          </w:tcPr>
          <w:p w:rsidR="00DF0785" w:rsidRDefault="00311CAE">
            <w:pPr>
              <w:jc w:val="right"/>
            </w:pPr>
            <w:r>
              <w:rPr>
                <w:rFonts w:eastAsiaTheme="minorEastAsia"/>
                <w:szCs w:val="21"/>
              </w:rPr>
              <w:t>208,905,294.15</w:t>
            </w:r>
          </w:p>
        </w:tc>
        <w:tc>
          <w:tcPr>
            <w:tcW w:w="1736" w:type="dxa"/>
            <w:vAlign w:val="center"/>
          </w:tcPr>
          <w:p w:rsidR="00DF0785" w:rsidRDefault="00311CAE">
            <w:pPr>
              <w:jc w:val="right"/>
            </w:pPr>
            <w:r>
              <w:rPr>
                <w:rFonts w:eastAsiaTheme="minorEastAsia"/>
                <w:szCs w:val="21"/>
              </w:rPr>
              <w:t>110,342.33</w:t>
            </w:r>
          </w:p>
        </w:tc>
        <w:tc>
          <w:tcPr>
            <w:tcW w:w="1383" w:type="dxa"/>
            <w:vAlign w:val="center"/>
          </w:tcPr>
          <w:p w:rsidR="00DF0785" w:rsidRDefault="00311CAE">
            <w:pPr>
              <w:jc w:val="right"/>
            </w:pPr>
            <w:r>
              <w:rPr>
                <w:rFonts w:eastAsiaTheme="minorEastAsia"/>
                <w:szCs w:val="21"/>
              </w:rPr>
              <w:t>721,249.81</w:t>
            </w:r>
          </w:p>
        </w:tc>
        <w:tc>
          <w:tcPr>
            <w:tcW w:w="1770" w:type="dxa"/>
            <w:vAlign w:val="center"/>
          </w:tcPr>
          <w:p w:rsidR="00DF0785" w:rsidRDefault="00311CAE">
            <w:pPr>
              <w:jc w:val="right"/>
            </w:pPr>
            <w:r>
              <w:rPr>
                <w:rFonts w:eastAsiaTheme="minorEastAsia"/>
                <w:szCs w:val="21"/>
              </w:rPr>
              <w:t>47,427.11</w:t>
            </w:r>
          </w:p>
        </w:tc>
      </w:tr>
    </w:tbl>
    <w:p w:rsidR="001548F9" w:rsidRPr="00646A7D" w:rsidRDefault="00300128"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注：本基金通过</w:t>
      </w:r>
      <w:r w:rsidRPr="00646A7D">
        <w:rPr>
          <w:rFonts w:eastAsiaTheme="minorEastAsia"/>
          <w:kern w:val="0"/>
          <w:szCs w:val="21"/>
        </w:rPr>
        <w:t>“</w:t>
      </w:r>
      <w:r w:rsidRPr="00646A7D">
        <w:rPr>
          <w:rFonts w:eastAsiaTheme="minorEastAsia"/>
          <w:kern w:val="0"/>
          <w:szCs w:val="21"/>
        </w:rPr>
        <w:t>平安银行基金托管结算资金专用存款账户</w:t>
      </w:r>
      <w:r w:rsidRPr="00646A7D">
        <w:rPr>
          <w:rFonts w:eastAsiaTheme="minorEastAsia"/>
          <w:kern w:val="0"/>
          <w:szCs w:val="21"/>
        </w:rPr>
        <w:t>”</w:t>
      </w:r>
      <w:r w:rsidRPr="00646A7D">
        <w:rPr>
          <w:rFonts w:eastAsiaTheme="minorEastAsia"/>
          <w:kern w:val="0"/>
          <w:szCs w:val="21"/>
        </w:rPr>
        <w:t>转存于中国证券登记结算有限责任公司的结算备付金，于</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日的相关余额为人民币</w:t>
      </w:r>
      <w:r w:rsidRPr="00646A7D">
        <w:rPr>
          <w:rFonts w:eastAsiaTheme="minorEastAsia"/>
          <w:kern w:val="0"/>
          <w:szCs w:val="21"/>
        </w:rPr>
        <w:t>2,331,818.19</w:t>
      </w:r>
      <w:r w:rsidRPr="00646A7D">
        <w:rPr>
          <w:rFonts w:eastAsiaTheme="minorEastAsia"/>
          <w:kern w:val="0"/>
          <w:szCs w:val="21"/>
        </w:rPr>
        <w:t>元。</w:t>
      </w:r>
      <w:r w:rsidRPr="00646A7D">
        <w:rPr>
          <w:rFonts w:eastAsiaTheme="minorEastAsia"/>
          <w:kern w:val="0"/>
          <w:szCs w:val="21"/>
        </w:rPr>
        <w:t>(2017</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日：人民币</w:t>
      </w:r>
      <w:r w:rsidRPr="00646A7D">
        <w:rPr>
          <w:rFonts w:eastAsiaTheme="minorEastAsia"/>
          <w:kern w:val="0"/>
          <w:szCs w:val="21"/>
        </w:rPr>
        <w:t>709,902.51</w:t>
      </w:r>
      <w:r w:rsidRPr="00646A7D">
        <w:rPr>
          <w:rFonts w:eastAsiaTheme="minorEastAsia"/>
          <w:kern w:val="0"/>
          <w:szCs w:val="21"/>
        </w:rPr>
        <w:t>元</w:t>
      </w:r>
      <w:r w:rsidRPr="00646A7D">
        <w:rPr>
          <w:rFonts w:eastAsiaTheme="minorEastAsia"/>
          <w:kern w:val="0"/>
          <w:szCs w:val="21"/>
        </w:rPr>
        <w:t>)</w:t>
      </w:r>
    </w:p>
    <w:p w:rsidR="00D519CE" w:rsidRPr="00646A7D" w:rsidRDefault="00D519CE" w:rsidP="00BA6974">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6.4.8.6 </w:t>
      </w:r>
      <w:r w:rsidRPr="00646A7D">
        <w:rPr>
          <w:rFonts w:eastAsiaTheme="minorEastAsia"/>
          <w:b/>
          <w:bCs/>
          <w:color w:val="000000"/>
          <w:szCs w:val="21"/>
        </w:rPr>
        <w:t>本基金在承销期内参与关联方承销证券的情况</w:t>
      </w:r>
    </w:p>
    <w:p w:rsidR="001548F9" w:rsidRPr="00646A7D" w:rsidRDefault="00D519CE"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本报告期内及上年度可比期间，本基金均未在承销期内购入过由关联方承销的证券。</w:t>
      </w:r>
    </w:p>
    <w:p w:rsidR="001548F9" w:rsidRPr="00646A7D" w:rsidRDefault="001548F9" w:rsidP="00BA6974">
      <w:pPr>
        <w:adjustRightInd w:val="0"/>
        <w:snapToGrid w:val="0"/>
        <w:spacing w:beforeLines="100" w:line="360" w:lineRule="auto"/>
        <w:jc w:val="left"/>
        <w:rPr>
          <w:rFonts w:eastAsiaTheme="minorEastAsia"/>
          <w:b/>
          <w:color w:val="000000"/>
          <w:szCs w:val="21"/>
        </w:rPr>
      </w:pPr>
      <w:r w:rsidRPr="00646A7D">
        <w:rPr>
          <w:rFonts w:eastAsiaTheme="minorEastAsia"/>
          <w:b/>
          <w:bCs/>
          <w:color w:val="000000"/>
          <w:kern w:val="0"/>
          <w:szCs w:val="21"/>
        </w:rPr>
        <w:t xml:space="preserve">6.4.8.7 </w:t>
      </w:r>
      <w:r w:rsidRPr="00646A7D">
        <w:rPr>
          <w:rFonts w:eastAsiaTheme="minorEastAsia"/>
          <w:b/>
          <w:color w:val="000000"/>
          <w:szCs w:val="21"/>
        </w:rPr>
        <w:t>其他关联交易事项的说明</w:t>
      </w:r>
    </w:p>
    <w:p w:rsidR="001548F9" w:rsidRPr="00646A7D" w:rsidRDefault="001548F9" w:rsidP="00FE09AD">
      <w:pPr>
        <w:spacing w:line="360" w:lineRule="auto"/>
        <w:ind w:firstLineChars="200" w:firstLine="420"/>
        <w:rPr>
          <w:rFonts w:eastAsiaTheme="minorEastAsia"/>
          <w:color w:val="000000"/>
          <w:szCs w:val="21"/>
        </w:rPr>
      </w:pPr>
      <w:r w:rsidRPr="00646A7D">
        <w:rPr>
          <w:rFonts w:eastAsiaTheme="minorEastAsia"/>
          <w:color w:val="000000"/>
          <w:szCs w:val="21"/>
        </w:rPr>
        <w:t>本报告期内及上年度可比期间，本基金无其他关联交易事项。</w:t>
      </w:r>
    </w:p>
    <w:p w:rsidR="001548F9" w:rsidRPr="00646A7D" w:rsidRDefault="001548F9" w:rsidP="00BA6974">
      <w:pPr>
        <w:adjustRightInd w:val="0"/>
        <w:snapToGrid w:val="0"/>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6.4.9 </w:t>
      </w:r>
      <w:r w:rsidRPr="00646A7D">
        <w:rPr>
          <w:rFonts w:eastAsiaTheme="minorEastAsia"/>
          <w:b/>
          <w:bCs/>
          <w:color w:val="000000"/>
          <w:szCs w:val="21"/>
        </w:rPr>
        <w:t>期末（</w:t>
      </w:r>
      <w:r w:rsidRPr="00646A7D">
        <w:rPr>
          <w:rFonts w:eastAsiaTheme="minorEastAsia"/>
          <w:b/>
          <w:bCs/>
          <w:color w:val="000000"/>
          <w:szCs w:val="21"/>
        </w:rPr>
        <w:t>2018</w:t>
      </w:r>
      <w:r w:rsidRPr="00646A7D">
        <w:rPr>
          <w:rFonts w:eastAsiaTheme="minorEastAsia"/>
          <w:b/>
          <w:bCs/>
          <w:color w:val="000000"/>
          <w:szCs w:val="21"/>
        </w:rPr>
        <w:t>年</w:t>
      </w:r>
      <w:r w:rsidRPr="00646A7D">
        <w:rPr>
          <w:rFonts w:eastAsiaTheme="minorEastAsia"/>
          <w:b/>
          <w:bCs/>
          <w:color w:val="000000"/>
          <w:szCs w:val="21"/>
        </w:rPr>
        <w:t>6</w:t>
      </w:r>
      <w:r w:rsidRPr="00646A7D">
        <w:rPr>
          <w:rFonts w:eastAsiaTheme="minorEastAsia"/>
          <w:b/>
          <w:bCs/>
          <w:color w:val="000000"/>
          <w:szCs w:val="21"/>
        </w:rPr>
        <w:t>月</w:t>
      </w:r>
      <w:r w:rsidRPr="00646A7D">
        <w:rPr>
          <w:rFonts w:eastAsiaTheme="minorEastAsia"/>
          <w:b/>
          <w:bCs/>
          <w:color w:val="000000"/>
          <w:szCs w:val="21"/>
        </w:rPr>
        <w:t>30</w:t>
      </w:r>
      <w:r w:rsidRPr="00646A7D">
        <w:rPr>
          <w:rFonts w:eastAsiaTheme="minorEastAsia"/>
          <w:b/>
          <w:bCs/>
          <w:color w:val="000000"/>
          <w:szCs w:val="21"/>
        </w:rPr>
        <w:t>日）本基金持有的流通受限证券</w:t>
      </w:r>
    </w:p>
    <w:p w:rsidR="001548F9" w:rsidRPr="00646A7D" w:rsidRDefault="001548F9" w:rsidP="003576C9">
      <w:pPr>
        <w:spacing w:line="360" w:lineRule="auto"/>
        <w:jc w:val="left"/>
        <w:rPr>
          <w:rFonts w:eastAsiaTheme="minorEastAsia"/>
          <w:b/>
          <w:bCs/>
          <w:color w:val="000000"/>
          <w:szCs w:val="21"/>
        </w:rPr>
      </w:pPr>
      <w:r w:rsidRPr="00646A7D">
        <w:rPr>
          <w:rFonts w:eastAsiaTheme="minorEastAsia"/>
          <w:b/>
          <w:bCs/>
          <w:color w:val="000000"/>
          <w:kern w:val="0"/>
          <w:szCs w:val="21"/>
        </w:rPr>
        <w:t xml:space="preserve">6.4.9.1 </w:t>
      </w:r>
      <w:r w:rsidRPr="00646A7D">
        <w:rPr>
          <w:rFonts w:eastAsiaTheme="minorEastAsia"/>
          <w:b/>
          <w:bCs/>
          <w:color w:val="000000"/>
          <w:szCs w:val="21"/>
        </w:rPr>
        <w:t>因认购新发</w:t>
      </w:r>
      <w:r w:rsidRPr="00646A7D">
        <w:rPr>
          <w:rFonts w:eastAsiaTheme="minorEastAsia"/>
          <w:b/>
          <w:bCs/>
          <w:color w:val="000000"/>
          <w:szCs w:val="21"/>
        </w:rPr>
        <w:t>/</w:t>
      </w:r>
      <w:r w:rsidRPr="00646A7D">
        <w:rPr>
          <w:rFonts w:eastAsiaTheme="minorEastAsia"/>
          <w:b/>
          <w:bCs/>
          <w:color w:val="000000"/>
          <w:szCs w:val="21"/>
        </w:rPr>
        <w:t>增发证券而于期末持有的流通受限证券</w:t>
      </w:r>
    </w:p>
    <w:p w:rsidR="001548F9" w:rsidRPr="00FE09AD" w:rsidRDefault="001548F9"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本基金本报告期末未持有因认购新发</w:t>
      </w:r>
      <w:r w:rsidRPr="00646A7D">
        <w:rPr>
          <w:rFonts w:eastAsiaTheme="minorEastAsia"/>
          <w:kern w:val="0"/>
          <w:szCs w:val="21"/>
        </w:rPr>
        <w:t>/</w:t>
      </w:r>
      <w:r w:rsidRPr="00646A7D">
        <w:rPr>
          <w:rFonts w:eastAsiaTheme="minorEastAsia"/>
          <w:kern w:val="0"/>
          <w:szCs w:val="21"/>
        </w:rPr>
        <w:t>增发而流通受限的证券。</w:t>
      </w:r>
    </w:p>
    <w:p w:rsidR="001548F9" w:rsidRPr="00646A7D" w:rsidRDefault="001548F9" w:rsidP="00BA6974">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6.4.9.2 </w:t>
      </w:r>
      <w:r w:rsidRPr="00646A7D">
        <w:rPr>
          <w:rFonts w:eastAsiaTheme="minorEastAsia"/>
          <w:b/>
          <w:bCs/>
          <w:color w:val="000000"/>
          <w:szCs w:val="21"/>
        </w:rPr>
        <w:t>期末持有的暂时停牌等流通受限股票</w:t>
      </w:r>
    </w:p>
    <w:p w:rsidR="001548F9" w:rsidRPr="00FE09AD" w:rsidRDefault="001548F9"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本基金本报告期末未持有暂时停牌等流通受限股票。</w:t>
      </w:r>
    </w:p>
    <w:p w:rsidR="001548F9" w:rsidRPr="00646A7D" w:rsidRDefault="001548F9" w:rsidP="00BA6974">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6.4.9.3 </w:t>
      </w:r>
      <w:r w:rsidRPr="00646A7D">
        <w:rPr>
          <w:rFonts w:eastAsiaTheme="minorEastAsia"/>
          <w:b/>
          <w:bCs/>
          <w:color w:val="000000"/>
          <w:szCs w:val="21"/>
        </w:rPr>
        <w:t>期末债券正回购交易中作为抵押的债券</w:t>
      </w:r>
    </w:p>
    <w:p w:rsidR="001548F9" w:rsidRPr="00646A7D" w:rsidRDefault="001548F9" w:rsidP="003576C9">
      <w:pPr>
        <w:spacing w:line="360" w:lineRule="auto"/>
        <w:rPr>
          <w:rFonts w:eastAsiaTheme="minorEastAsia"/>
          <w:b/>
          <w:bCs/>
          <w:color w:val="000000"/>
          <w:szCs w:val="21"/>
        </w:rPr>
      </w:pPr>
      <w:r w:rsidRPr="00646A7D">
        <w:rPr>
          <w:rFonts w:eastAsiaTheme="minorEastAsia"/>
          <w:b/>
          <w:bCs/>
          <w:color w:val="000000"/>
          <w:kern w:val="0"/>
          <w:szCs w:val="21"/>
        </w:rPr>
        <w:t xml:space="preserve">6.4.9.3.1 </w:t>
      </w:r>
      <w:r w:rsidRPr="00646A7D">
        <w:rPr>
          <w:rFonts w:eastAsiaTheme="minorEastAsia"/>
          <w:b/>
          <w:bCs/>
          <w:color w:val="000000"/>
          <w:szCs w:val="21"/>
        </w:rPr>
        <w:t>银行间市场债券正回购</w:t>
      </w:r>
    </w:p>
    <w:p w:rsidR="001548F9" w:rsidRPr="00646A7D"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截至本报告期末，本基金从事银行间市场债券正回购交易形成的卖出回购证券款余额为</w:t>
      </w:r>
      <w:r w:rsidRPr="00646A7D">
        <w:rPr>
          <w:rFonts w:eastAsiaTheme="minorEastAsia"/>
          <w:color w:val="000000"/>
          <w:szCs w:val="21"/>
        </w:rPr>
        <w:t xml:space="preserve">0 </w:t>
      </w:r>
      <w:r w:rsidRPr="00646A7D">
        <w:rPr>
          <w:rFonts w:eastAsiaTheme="minorEastAsia"/>
          <w:color w:val="000000"/>
          <w:szCs w:val="21"/>
        </w:rPr>
        <w:t>元，因此没有作为抵押的债券。</w:t>
      </w:r>
    </w:p>
    <w:p w:rsidR="001548F9" w:rsidRPr="00646A7D" w:rsidRDefault="001548F9" w:rsidP="00BA6974">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6.4.9.3.2 </w:t>
      </w:r>
      <w:r w:rsidRPr="00646A7D">
        <w:rPr>
          <w:rFonts w:eastAsiaTheme="minorEastAsia"/>
          <w:b/>
          <w:bCs/>
          <w:color w:val="000000"/>
          <w:szCs w:val="21"/>
        </w:rPr>
        <w:t>交易所市场债券正回购</w:t>
      </w:r>
    </w:p>
    <w:p w:rsidR="001548F9" w:rsidRPr="00FE09AD" w:rsidRDefault="001548F9" w:rsidP="00FE09AD">
      <w:pPr>
        <w:spacing w:line="360" w:lineRule="auto"/>
        <w:ind w:firstLineChars="200" w:firstLine="420"/>
        <w:rPr>
          <w:rFonts w:eastAsiaTheme="minorEastAsia"/>
          <w:color w:val="000000"/>
          <w:szCs w:val="21"/>
        </w:rPr>
      </w:pPr>
      <w:r w:rsidRPr="00646A7D">
        <w:rPr>
          <w:rFonts w:eastAsiaTheme="minorEastAsia"/>
          <w:color w:val="000000"/>
          <w:szCs w:val="21"/>
        </w:rPr>
        <w:t>截至本报告期末，基金从事证券交易所债券正回购交易形成的卖出回购证券款余额</w:t>
      </w:r>
      <w:r w:rsidRPr="00646A7D">
        <w:rPr>
          <w:rFonts w:eastAsiaTheme="minorEastAsia"/>
          <w:color w:val="000000"/>
          <w:szCs w:val="21"/>
        </w:rPr>
        <w:t xml:space="preserve">0 </w:t>
      </w:r>
      <w:r w:rsidRPr="00646A7D">
        <w:rPr>
          <w:rFonts w:eastAsiaTheme="minorEastAsia"/>
          <w:color w:val="000000"/>
          <w:szCs w:val="21"/>
        </w:rPr>
        <w:t>元，因此没有作为抵押的债券。该类交易要求本基金在回购期内持有的证券交易所交易的债券和</w:t>
      </w:r>
      <w:r w:rsidRPr="00646A7D">
        <w:rPr>
          <w:rFonts w:eastAsiaTheme="minorEastAsia"/>
          <w:color w:val="000000"/>
          <w:szCs w:val="21"/>
        </w:rPr>
        <w:t>/</w:t>
      </w:r>
      <w:r w:rsidRPr="00646A7D">
        <w:rPr>
          <w:rFonts w:eastAsiaTheme="minorEastAsia"/>
          <w:color w:val="000000"/>
          <w:szCs w:val="21"/>
        </w:rPr>
        <w:t>或在新质押式回购下转入质押库的债券，按证券交易所规定的比例折算为标准券后，不低于债券回购交易的余额。</w:t>
      </w:r>
    </w:p>
    <w:p w:rsidR="001548F9" w:rsidRPr="00646A7D" w:rsidRDefault="001548F9" w:rsidP="00BA6974">
      <w:pPr>
        <w:pStyle w:val="1"/>
        <w:keepNext/>
        <w:keepLines/>
        <w:widowControl w:val="0"/>
        <w:spacing w:beforeLines="100" w:afterLines="100" w:line="360" w:lineRule="auto"/>
        <w:jc w:val="center"/>
        <w:rPr>
          <w:rFonts w:eastAsiaTheme="minorEastAsia"/>
          <w:b/>
          <w:bCs/>
          <w:sz w:val="21"/>
          <w:szCs w:val="21"/>
          <w:lang w:val="en-US"/>
        </w:rPr>
      </w:pPr>
      <w:bookmarkStart w:id="52" w:name="_Toc331410101"/>
      <w:bookmarkStart w:id="53" w:name="_Toc225498272"/>
      <w:r w:rsidRPr="00646A7D">
        <w:rPr>
          <w:rFonts w:eastAsiaTheme="minorEastAsia"/>
          <w:b/>
          <w:bCs/>
          <w:sz w:val="21"/>
          <w:szCs w:val="21"/>
          <w:lang w:val="en-US"/>
        </w:rPr>
        <w:t xml:space="preserve">7  </w:t>
      </w:r>
      <w:r w:rsidRPr="00646A7D">
        <w:rPr>
          <w:rFonts w:eastAsiaTheme="minorEastAsia"/>
          <w:b/>
          <w:bCs/>
          <w:sz w:val="21"/>
          <w:szCs w:val="21"/>
          <w:lang w:val="en-US"/>
        </w:rPr>
        <w:t>投资组合报告</w:t>
      </w:r>
      <w:bookmarkEnd w:id="52"/>
      <w:bookmarkEnd w:id="53"/>
    </w:p>
    <w:p w:rsidR="001548F9" w:rsidRPr="00646A7D" w:rsidRDefault="001548F9" w:rsidP="003576C9">
      <w:pPr>
        <w:pStyle w:val="20"/>
        <w:spacing w:before="0" w:after="0"/>
        <w:rPr>
          <w:rFonts w:ascii="Times New Roman" w:eastAsiaTheme="minorEastAsia" w:hAnsi="Times New Roman"/>
          <w:kern w:val="0"/>
          <w:sz w:val="21"/>
          <w:szCs w:val="21"/>
        </w:rPr>
      </w:pPr>
      <w:bookmarkStart w:id="54" w:name="_Toc331410102"/>
      <w:bookmarkStart w:id="55" w:name="_Toc225498273"/>
      <w:r w:rsidRPr="00646A7D">
        <w:rPr>
          <w:rFonts w:ascii="Times New Roman" w:eastAsiaTheme="minorEastAsia" w:hAnsi="Times New Roman"/>
          <w:bCs w:val="0"/>
          <w:color w:val="000000"/>
          <w:kern w:val="0"/>
          <w:sz w:val="21"/>
          <w:szCs w:val="21"/>
        </w:rPr>
        <w:t xml:space="preserve">7.1 </w:t>
      </w:r>
      <w:r w:rsidRPr="00646A7D">
        <w:rPr>
          <w:rFonts w:ascii="Times New Roman" w:eastAsiaTheme="minorEastAsia" w:hAnsi="Times New Roman"/>
          <w:kern w:val="0"/>
          <w:sz w:val="21"/>
          <w:szCs w:val="21"/>
        </w:rPr>
        <w:t>期末基金资产组合情况</w:t>
      </w:r>
      <w:bookmarkEnd w:id="54"/>
      <w:bookmarkEnd w:id="55"/>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420"/>
        <w:gridCol w:w="2520"/>
        <w:gridCol w:w="1980"/>
      </w:tblGrid>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序号</w:t>
            </w:r>
          </w:p>
        </w:tc>
        <w:tc>
          <w:tcPr>
            <w:tcW w:w="342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项目</w:t>
            </w:r>
          </w:p>
        </w:tc>
        <w:tc>
          <w:tcPr>
            <w:tcW w:w="252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金额</w:t>
            </w:r>
          </w:p>
        </w:tc>
        <w:tc>
          <w:tcPr>
            <w:tcW w:w="198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占基金总资产的比例（</w:t>
            </w:r>
            <w:r w:rsidRPr="00646A7D">
              <w:rPr>
                <w:rFonts w:eastAsiaTheme="minorEastAsia"/>
                <w:color w:val="000000"/>
                <w:szCs w:val="21"/>
              </w:rPr>
              <w:t>%</w:t>
            </w: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szCs w:val="21"/>
              </w:rPr>
              <w:t>1</w:t>
            </w: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权益投资</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其中：股票</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072735" w:rsidRPr="00646A7D" w:rsidTr="00A47B26">
        <w:tc>
          <w:tcPr>
            <w:tcW w:w="1080" w:type="dxa"/>
            <w:vAlign w:val="center"/>
          </w:tcPr>
          <w:p w:rsidR="00072735" w:rsidRPr="002468B4" w:rsidRDefault="00072735" w:rsidP="00D44E39">
            <w:pPr>
              <w:spacing w:line="276" w:lineRule="auto"/>
              <w:jc w:val="center"/>
              <w:rPr>
                <w:rFonts w:eastAsiaTheme="minorEastAsia"/>
                <w:color w:val="000000" w:themeColor="text1"/>
                <w:szCs w:val="21"/>
              </w:rPr>
            </w:pPr>
            <w:r w:rsidRPr="002468B4">
              <w:rPr>
                <w:rFonts w:eastAsiaTheme="minorEastAsia" w:hint="eastAsia"/>
                <w:color w:val="000000" w:themeColor="text1"/>
                <w:szCs w:val="21"/>
              </w:rPr>
              <w:t>2</w:t>
            </w:r>
          </w:p>
        </w:tc>
        <w:tc>
          <w:tcPr>
            <w:tcW w:w="3420" w:type="dxa"/>
            <w:vAlign w:val="center"/>
          </w:tcPr>
          <w:p w:rsidR="00072735" w:rsidRPr="002468B4" w:rsidRDefault="00072735" w:rsidP="00D44E39">
            <w:pPr>
              <w:spacing w:line="276" w:lineRule="auto"/>
              <w:ind w:leftChars="50" w:left="105"/>
              <w:rPr>
                <w:rFonts w:eastAsiaTheme="minorEastAsia"/>
                <w:color w:val="000000" w:themeColor="text1"/>
                <w:szCs w:val="21"/>
              </w:rPr>
            </w:pPr>
            <w:r w:rsidRPr="002468B4">
              <w:rPr>
                <w:rFonts w:eastAsiaTheme="minorEastAsia" w:hint="eastAsia"/>
                <w:color w:val="000000" w:themeColor="text1"/>
                <w:szCs w:val="21"/>
              </w:rPr>
              <w:t>基金投资</w:t>
            </w:r>
          </w:p>
        </w:tc>
        <w:tc>
          <w:tcPr>
            <w:tcW w:w="2520" w:type="dxa"/>
            <w:vAlign w:val="center"/>
          </w:tcPr>
          <w:p w:rsidR="00072735" w:rsidRPr="002468B4" w:rsidRDefault="00072735" w:rsidP="00D44E39">
            <w:pPr>
              <w:spacing w:before="29" w:line="276" w:lineRule="auto"/>
              <w:ind w:left="17"/>
              <w:jc w:val="right"/>
              <w:rPr>
                <w:rFonts w:eastAsiaTheme="minorEastAsia"/>
                <w:color w:val="000000" w:themeColor="text1"/>
                <w:szCs w:val="21"/>
              </w:rPr>
            </w:pPr>
            <w:r w:rsidRPr="002468B4">
              <w:rPr>
                <w:rFonts w:eastAsiaTheme="minorEastAsia" w:hint="eastAsia"/>
                <w:color w:val="000000" w:themeColor="text1"/>
                <w:szCs w:val="21"/>
              </w:rPr>
              <w:t>-</w:t>
            </w:r>
          </w:p>
        </w:tc>
        <w:tc>
          <w:tcPr>
            <w:tcW w:w="1980" w:type="dxa"/>
            <w:vAlign w:val="center"/>
          </w:tcPr>
          <w:p w:rsidR="00072735" w:rsidRPr="002468B4" w:rsidRDefault="00072735" w:rsidP="00D44E39">
            <w:pPr>
              <w:spacing w:before="29" w:line="276" w:lineRule="auto"/>
              <w:ind w:left="17"/>
              <w:jc w:val="right"/>
              <w:rPr>
                <w:rFonts w:eastAsiaTheme="minorEastAsia"/>
                <w:color w:val="000000" w:themeColor="text1"/>
                <w:szCs w:val="21"/>
              </w:rPr>
            </w:pPr>
            <w:r w:rsidRPr="002468B4">
              <w:rPr>
                <w:rFonts w:eastAsiaTheme="minorEastAsia" w:hint="eastAsia"/>
                <w:color w:val="000000" w:themeColor="text1"/>
                <w:szCs w:val="21"/>
              </w:rPr>
              <w:t>-</w:t>
            </w:r>
          </w:p>
        </w:tc>
      </w:tr>
      <w:tr w:rsidR="00FD7A40" w:rsidRPr="00646A7D" w:rsidTr="00A47B26">
        <w:tc>
          <w:tcPr>
            <w:tcW w:w="1080" w:type="dxa"/>
            <w:vAlign w:val="center"/>
          </w:tcPr>
          <w:p w:rsidR="00FD7A40" w:rsidRPr="00646A7D" w:rsidRDefault="00072735" w:rsidP="00A47B26">
            <w:pPr>
              <w:jc w:val="center"/>
              <w:rPr>
                <w:rFonts w:eastAsiaTheme="minorEastAsia"/>
                <w:color w:val="000000"/>
                <w:szCs w:val="21"/>
              </w:rPr>
            </w:pPr>
            <w:r>
              <w:rPr>
                <w:rFonts w:eastAsiaTheme="minorEastAsia" w:hint="eastAsia"/>
                <w:szCs w:val="21"/>
              </w:rPr>
              <w:t>3</w:t>
            </w: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固定收益投资</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其中：债券</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FE09AD">
            <w:pPr>
              <w:ind w:leftChars="50" w:left="105" w:firstLineChars="300" w:firstLine="630"/>
              <w:rPr>
                <w:rFonts w:eastAsiaTheme="minorEastAsia"/>
                <w:color w:val="000000"/>
                <w:szCs w:val="21"/>
              </w:rPr>
            </w:pPr>
            <w:r w:rsidRPr="00646A7D">
              <w:rPr>
                <w:rFonts w:eastAsiaTheme="minorEastAsia"/>
                <w:szCs w:val="21"/>
              </w:rPr>
              <w:t>资产支持证券</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tcPr>
          <w:p w:rsidR="00F25613" w:rsidRPr="00646A7D" w:rsidRDefault="00072735" w:rsidP="00A47B26">
            <w:pPr>
              <w:spacing w:line="360" w:lineRule="auto"/>
              <w:jc w:val="center"/>
              <w:rPr>
                <w:rFonts w:eastAsiaTheme="minorEastAsia"/>
                <w:szCs w:val="21"/>
              </w:rPr>
            </w:pPr>
            <w:r>
              <w:rPr>
                <w:rFonts w:eastAsiaTheme="minorEastAsia" w:hint="eastAsia"/>
                <w:szCs w:val="21"/>
              </w:rPr>
              <w:t>4</w:t>
            </w:r>
          </w:p>
        </w:tc>
        <w:tc>
          <w:tcPr>
            <w:tcW w:w="3420" w:type="dxa"/>
          </w:tcPr>
          <w:p w:rsidR="00F25613" w:rsidRPr="00646A7D" w:rsidRDefault="00F25613" w:rsidP="00A47B26">
            <w:pPr>
              <w:spacing w:line="360" w:lineRule="auto"/>
              <w:ind w:leftChars="50" w:left="105"/>
              <w:rPr>
                <w:rFonts w:eastAsiaTheme="minorEastAsia"/>
                <w:szCs w:val="21"/>
              </w:rPr>
            </w:pPr>
            <w:r w:rsidRPr="00646A7D">
              <w:rPr>
                <w:rFonts w:eastAsiaTheme="minorEastAsia"/>
                <w:szCs w:val="21"/>
              </w:rPr>
              <w:t>贵金属投资</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072735" w:rsidP="00A47B26">
            <w:pPr>
              <w:jc w:val="center"/>
              <w:rPr>
                <w:rFonts w:eastAsiaTheme="minorEastAsia"/>
                <w:color w:val="000000"/>
                <w:szCs w:val="21"/>
              </w:rPr>
            </w:pPr>
            <w:r>
              <w:rPr>
                <w:rFonts w:eastAsiaTheme="minorEastAsia" w:hint="eastAsia"/>
                <w:szCs w:val="21"/>
              </w:rPr>
              <w:t>5</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金融衍生品投资</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072735" w:rsidP="00A47B26">
            <w:pPr>
              <w:jc w:val="center"/>
              <w:rPr>
                <w:rFonts w:eastAsiaTheme="minorEastAsia"/>
                <w:color w:val="000000"/>
                <w:szCs w:val="21"/>
              </w:rPr>
            </w:pPr>
            <w:r>
              <w:rPr>
                <w:rFonts w:eastAsiaTheme="minorEastAsia" w:hint="eastAsia"/>
                <w:szCs w:val="21"/>
              </w:rPr>
              <w:t>6</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买入返售金融资产</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其中：买断式回购的买入返售金融资产</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072735" w:rsidP="00A47B26">
            <w:pPr>
              <w:jc w:val="center"/>
              <w:rPr>
                <w:rFonts w:eastAsiaTheme="minorEastAsia"/>
                <w:color w:val="000000"/>
                <w:szCs w:val="21"/>
              </w:rPr>
            </w:pPr>
            <w:r>
              <w:rPr>
                <w:rFonts w:eastAsiaTheme="minorEastAsia" w:hint="eastAsia"/>
                <w:szCs w:val="21"/>
              </w:rPr>
              <w:t>7</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银行存款和结算备付金合计</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211,237,112.34</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99.97</w:t>
            </w:r>
          </w:p>
        </w:tc>
      </w:tr>
      <w:tr w:rsidR="00F25613" w:rsidRPr="00646A7D" w:rsidTr="00A47B26">
        <w:tc>
          <w:tcPr>
            <w:tcW w:w="1080" w:type="dxa"/>
            <w:vAlign w:val="center"/>
          </w:tcPr>
          <w:p w:rsidR="00F25613" w:rsidRPr="00646A7D" w:rsidRDefault="00072735" w:rsidP="00F25613">
            <w:pPr>
              <w:spacing w:before="29" w:line="360" w:lineRule="auto"/>
              <w:ind w:left="17"/>
              <w:jc w:val="center"/>
              <w:rPr>
                <w:rFonts w:eastAsiaTheme="minorEastAsia"/>
                <w:color w:val="000000"/>
                <w:szCs w:val="21"/>
              </w:rPr>
            </w:pPr>
            <w:r>
              <w:rPr>
                <w:rFonts w:eastAsiaTheme="minorEastAsia" w:hint="eastAsia"/>
                <w:color w:val="000000"/>
                <w:szCs w:val="21"/>
              </w:rPr>
              <w:t>8</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其他各项资产</w:t>
            </w:r>
          </w:p>
        </w:tc>
        <w:tc>
          <w:tcPr>
            <w:tcW w:w="252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67,315.99</w:t>
            </w:r>
          </w:p>
        </w:tc>
        <w:tc>
          <w:tcPr>
            <w:tcW w:w="198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0.03</w:t>
            </w:r>
          </w:p>
        </w:tc>
      </w:tr>
      <w:tr w:rsidR="00F25613" w:rsidRPr="00646A7D" w:rsidTr="00A47B26">
        <w:tc>
          <w:tcPr>
            <w:tcW w:w="1080" w:type="dxa"/>
            <w:vAlign w:val="center"/>
          </w:tcPr>
          <w:p w:rsidR="00F25613" w:rsidRPr="00646A7D" w:rsidRDefault="00072735" w:rsidP="00F25613">
            <w:pPr>
              <w:spacing w:before="29" w:line="360" w:lineRule="auto"/>
              <w:ind w:left="17"/>
              <w:jc w:val="center"/>
              <w:rPr>
                <w:rFonts w:eastAsiaTheme="minorEastAsia"/>
                <w:color w:val="000000"/>
                <w:szCs w:val="21"/>
              </w:rPr>
            </w:pPr>
            <w:r>
              <w:rPr>
                <w:rFonts w:eastAsiaTheme="minorEastAsia" w:hint="eastAsia"/>
                <w:color w:val="000000"/>
                <w:szCs w:val="21"/>
              </w:rPr>
              <w:t>9</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合计</w:t>
            </w:r>
          </w:p>
        </w:tc>
        <w:tc>
          <w:tcPr>
            <w:tcW w:w="252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211,304,428.33</w:t>
            </w:r>
          </w:p>
        </w:tc>
        <w:tc>
          <w:tcPr>
            <w:tcW w:w="198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100.00</w:t>
            </w:r>
          </w:p>
        </w:tc>
      </w:tr>
    </w:tbl>
    <w:p w:rsidR="00FD7A40" w:rsidRPr="00646A7D" w:rsidRDefault="00FD7A40" w:rsidP="00FD7A40">
      <w:pPr>
        <w:tabs>
          <w:tab w:val="left" w:pos="426"/>
        </w:tabs>
        <w:spacing w:line="360" w:lineRule="auto"/>
        <w:jc w:val="left"/>
        <w:rPr>
          <w:rFonts w:eastAsiaTheme="minorEastAsia"/>
          <w:kern w:val="0"/>
          <w:szCs w:val="21"/>
        </w:rPr>
      </w:pPr>
    </w:p>
    <w:p w:rsidR="007F61F6" w:rsidRPr="00FE09AD" w:rsidRDefault="00FD7A40"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注：由于四舍五入的原因，分项之和与合计项可能存在尾差。</w:t>
      </w:r>
      <w:r w:rsidRPr="00646A7D">
        <w:rPr>
          <w:rFonts w:eastAsiaTheme="minorEastAsia"/>
          <w:kern w:val="0"/>
          <w:szCs w:val="21"/>
        </w:rPr>
        <w:tab/>
      </w:r>
    </w:p>
    <w:p w:rsidR="001548F9" w:rsidRDefault="001548F9" w:rsidP="00BA6974">
      <w:pPr>
        <w:pStyle w:val="20"/>
        <w:spacing w:beforeLines="100" w:after="0"/>
        <w:rPr>
          <w:rFonts w:ascii="Times New Roman" w:eastAsiaTheme="minorEastAsia" w:hAnsi="Times New Roman"/>
          <w:kern w:val="0"/>
          <w:sz w:val="21"/>
          <w:szCs w:val="21"/>
        </w:rPr>
      </w:pPr>
      <w:bookmarkStart w:id="56" w:name="_Toc331410103"/>
      <w:bookmarkStart w:id="57" w:name="_Toc225498274"/>
      <w:r w:rsidRPr="00646A7D">
        <w:rPr>
          <w:rFonts w:ascii="Times New Roman" w:eastAsiaTheme="minorEastAsia" w:hAnsi="Times New Roman"/>
          <w:kern w:val="0"/>
          <w:sz w:val="21"/>
          <w:szCs w:val="21"/>
        </w:rPr>
        <w:t xml:space="preserve">7.2 </w:t>
      </w:r>
      <w:r w:rsidR="0058483C" w:rsidRPr="00606780">
        <w:rPr>
          <w:rFonts w:ascii="Times New Roman" w:eastAsiaTheme="minorEastAsia" w:hAnsi="Times New Roman" w:hint="eastAsia"/>
          <w:kern w:val="0"/>
          <w:sz w:val="21"/>
          <w:szCs w:val="21"/>
        </w:rPr>
        <w:t>报告</w:t>
      </w:r>
      <w:r w:rsidRPr="00646A7D">
        <w:rPr>
          <w:rFonts w:ascii="Times New Roman" w:eastAsiaTheme="minorEastAsia" w:hAnsi="Times New Roman"/>
          <w:kern w:val="0"/>
          <w:sz w:val="21"/>
          <w:szCs w:val="21"/>
        </w:rPr>
        <w:t>期末按行业分类的股票投资组合</w:t>
      </w:r>
      <w:bookmarkEnd w:id="56"/>
      <w:bookmarkEnd w:id="57"/>
    </w:p>
    <w:p w:rsidR="00A43A9D" w:rsidRPr="00A43A9D" w:rsidRDefault="00A43A9D" w:rsidP="00A43A9D">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p w:rsidR="001548F9" w:rsidRPr="00646A7D"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本基金本报告期末未持有股票。</w:t>
      </w:r>
    </w:p>
    <w:p w:rsidR="00A43A9D" w:rsidRDefault="00A43A9D" w:rsidP="00BA6974">
      <w:pPr>
        <w:spacing w:beforeLines="100" w:line="360" w:lineRule="auto"/>
        <w:rPr>
          <w:rFonts w:eastAsiaTheme="minorEastAsia"/>
          <w:b/>
          <w:bCs/>
          <w:kern w:val="0"/>
          <w:szCs w:val="21"/>
        </w:rPr>
      </w:pPr>
      <w:r w:rsidRPr="00723729">
        <w:rPr>
          <w:rFonts w:eastAsiaTheme="minorEastAsia"/>
          <w:b/>
          <w:color w:val="000000"/>
          <w:szCs w:val="21"/>
        </w:rPr>
        <w:t>7.2.2</w:t>
      </w:r>
      <w:r w:rsidRPr="00FB2B87">
        <w:rPr>
          <w:rFonts w:eastAsiaTheme="minorEastAsia" w:hint="eastAsia"/>
          <w:b/>
          <w:bCs/>
          <w:kern w:val="0"/>
          <w:szCs w:val="21"/>
        </w:rPr>
        <w:t>报告期末按行业分类的</w:t>
      </w:r>
      <w:r w:rsidR="0080395C">
        <w:rPr>
          <w:rFonts w:eastAsiaTheme="minorEastAsia" w:hint="eastAsia"/>
          <w:b/>
          <w:bCs/>
          <w:kern w:val="0"/>
          <w:szCs w:val="21"/>
        </w:rPr>
        <w:t>港股通</w:t>
      </w:r>
      <w:r w:rsidRPr="00FB2B87">
        <w:rPr>
          <w:rFonts w:eastAsiaTheme="minorEastAsia" w:hint="eastAsia"/>
          <w:b/>
          <w:bCs/>
          <w:kern w:val="0"/>
          <w:szCs w:val="21"/>
        </w:rPr>
        <w:t>投资股票投资组合</w:t>
      </w:r>
    </w:p>
    <w:p w:rsidR="00A43A9D" w:rsidRPr="000356E3" w:rsidRDefault="00A43A9D" w:rsidP="00A43A9D">
      <w:pPr>
        <w:tabs>
          <w:tab w:val="left" w:pos="426"/>
        </w:tabs>
        <w:spacing w:line="360" w:lineRule="auto"/>
        <w:jc w:val="left"/>
        <w:rPr>
          <w:rFonts w:eastAsiaTheme="minorEastAsia"/>
          <w:kern w:val="0"/>
          <w:szCs w:val="21"/>
        </w:rPr>
      </w:pPr>
      <w:r w:rsidRPr="00282C32">
        <w:rPr>
          <w:rFonts w:eastAsiaTheme="minorEastAsia"/>
          <w:szCs w:val="21"/>
        </w:rPr>
        <w:t>本基金本报告期末未持有港股通股票投资。</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58" w:name="_Toc331410104"/>
      <w:r w:rsidRPr="00646A7D">
        <w:rPr>
          <w:rFonts w:ascii="Times New Roman" w:eastAsiaTheme="minorEastAsia" w:hAnsi="Times New Roman"/>
          <w:kern w:val="0"/>
          <w:sz w:val="21"/>
          <w:szCs w:val="21"/>
        </w:rPr>
        <w:t xml:space="preserve">7.3 </w:t>
      </w:r>
      <w:r w:rsidR="00867117" w:rsidRPr="00646A7D">
        <w:rPr>
          <w:rFonts w:ascii="Times New Roman" w:eastAsiaTheme="minorEastAsia" w:hAnsi="Times New Roman"/>
          <w:kern w:val="0"/>
          <w:sz w:val="21"/>
          <w:szCs w:val="21"/>
        </w:rPr>
        <w:t>期末按公允价值占基金资产净值比例大小排序的前十名</w:t>
      </w:r>
      <w:r w:rsidRPr="00646A7D">
        <w:rPr>
          <w:rFonts w:ascii="Times New Roman" w:eastAsiaTheme="minorEastAsia" w:hAnsi="Times New Roman"/>
          <w:kern w:val="0"/>
          <w:sz w:val="21"/>
          <w:szCs w:val="21"/>
        </w:rPr>
        <w:t>股票投资明细</w:t>
      </w:r>
      <w:bookmarkEnd w:id="58"/>
    </w:p>
    <w:p w:rsidR="0021533D" w:rsidRPr="00646A7D" w:rsidRDefault="0021533D" w:rsidP="00072735">
      <w:pPr>
        <w:spacing w:line="360" w:lineRule="auto"/>
        <w:ind w:firstLineChars="200" w:firstLine="420"/>
        <w:rPr>
          <w:rFonts w:eastAsiaTheme="minorEastAsia"/>
        </w:rPr>
      </w:pPr>
      <w:r w:rsidRPr="00646A7D">
        <w:rPr>
          <w:rFonts w:eastAsiaTheme="minorEastAsia"/>
        </w:rPr>
        <w:t>本基金本报告期末未持有股票。</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59" w:name="_Toc331410105"/>
      <w:r w:rsidRPr="00646A7D">
        <w:rPr>
          <w:rFonts w:ascii="Times New Roman" w:eastAsiaTheme="minorEastAsia" w:hAnsi="Times New Roman"/>
          <w:kern w:val="0"/>
          <w:sz w:val="21"/>
          <w:szCs w:val="21"/>
        </w:rPr>
        <w:t>7.4</w:t>
      </w:r>
      <w:bookmarkStart w:id="60" w:name="_Toc234814103"/>
      <w:r w:rsidRPr="00646A7D">
        <w:rPr>
          <w:rFonts w:ascii="Times New Roman" w:eastAsiaTheme="minorEastAsia" w:hAnsi="Times New Roman"/>
          <w:kern w:val="0"/>
          <w:sz w:val="21"/>
          <w:szCs w:val="21"/>
        </w:rPr>
        <w:t>报告期内股票投资组合的重大变动</w:t>
      </w:r>
      <w:bookmarkEnd w:id="59"/>
      <w:bookmarkEnd w:id="60"/>
    </w:p>
    <w:p w:rsidR="001548F9" w:rsidRPr="00646A7D" w:rsidRDefault="001548F9" w:rsidP="00431E19">
      <w:pPr>
        <w:spacing w:line="360" w:lineRule="auto"/>
        <w:rPr>
          <w:rFonts w:eastAsiaTheme="minorEastAsia"/>
          <w:b/>
          <w:bCs/>
          <w:color w:val="000000"/>
          <w:szCs w:val="21"/>
        </w:rPr>
      </w:pPr>
      <w:r w:rsidRPr="00646A7D">
        <w:rPr>
          <w:rFonts w:eastAsiaTheme="minorEastAsia"/>
          <w:b/>
          <w:color w:val="000000"/>
          <w:szCs w:val="21"/>
        </w:rPr>
        <w:t xml:space="preserve">7.4.1 </w:t>
      </w:r>
      <w:r w:rsidR="001D15E2" w:rsidRPr="00646A7D">
        <w:rPr>
          <w:rFonts w:eastAsiaTheme="minorEastAsia"/>
          <w:b/>
          <w:bCs/>
          <w:color w:val="000000"/>
          <w:szCs w:val="21"/>
        </w:rPr>
        <w:t>累计买入金额超出</w:t>
      </w:r>
      <w:r w:rsidR="001D15E2" w:rsidRPr="00646A7D">
        <w:rPr>
          <w:rFonts w:eastAsiaTheme="minorEastAsia"/>
          <w:b/>
          <w:color w:val="000000"/>
          <w:kern w:val="0"/>
          <w:szCs w:val="21"/>
        </w:rPr>
        <w:t>期初</w:t>
      </w:r>
      <w:r w:rsidRPr="00646A7D">
        <w:rPr>
          <w:rFonts w:eastAsiaTheme="minorEastAsia"/>
          <w:b/>
          <w:bCs/>
          <w:color w:val="000000"/>
          <w:szCs w:val="21"/>
        </w:rPr>
        <w:t>基金资产净值</w:t>
      </w:r>
      <w:r w:rsidR="00AD1469"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本报告期内，本基金未发生股票交易。</w:t>
      </w:r>
    </w:p>
    <w:p w:rsidR="001548F9" w:rsidRPr="00646A7D" w:rsidRDefault="001548F9" w:rsidP="00BA6974">
      <w:pPr>
        <w:spacing w:beforeLines="100" w:line="360" w:lineRule="auto"/>
        <w:rPr>
          <w:rFonts w:eastAsiaTheme="minorEastAsia"/>
          <w:b/>
          <w:bCs/>
          <w:color w:val="000000"/>
          <w:szCs w:val="21"/>
        </w:rPr>
      </w:pPr>
      <w:r w:rsidRPr="00646A7D">
        <w:rPr>
          <w:rFonts w:eastAsiaTheme="minorEastAsia"/>
          <w:b/>
          <w:color w:val="000000"/>
          <w:szCs w:val="21"/>
        </w:rPr>
        <w:t xml:space="preserve">7.4.2 </w:t>
      </w:r>
      <w:r w:rsidR="001D15E2" w:rsidRPr="00646A7D">
        <w:rPr>
          <w:rFonts w:eastAsiaTheme="minorEastAsia"/>
          <w:b/>
          <w:bCs/>
          <w:color w:val="000000"/>
          <w:szCs w:val="21"/>
        </w:rPr>
        <w:t>累计卖出金额超出</w:t>
      </w:r>
      <w:r w:rsidR="001D15E2" w:rsidRPr="00646A7D">
        <w:rPr>
          <w:rFonts w:eastAsiaTheme="minorEastAsia"/>
          <w:b/>
          <w:color w:val="000000"/>
          <w:kern w:val="0"/>
          <w:szCs w:val="21"/>
        </w:rPr>
        <w:t>期初</w:t>
      </w:r>
      <w:r w:rsidRPr="00646A7D">
        <w:rPr>
          <w:rFonts w:eastAsiaTheme="minorEastAsia"/>
          <w:b/>
          <w:bCs/>
          <w:color w:val="000000"/>
          <w:szCs w:val="21"/>
        </w:rPr>
        <w:t>基金资产净值</w:t>
      </w:r>
      <w:r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本报告期内，本基金未发生股票交易。</w:t>
      </w:r>
    </w:p>
    <w:p w:rsidR="001548F9" w:rsidRPr="00646A7D" w:rsidRDefault="001548F9" w:rsidP="00BA6974">
      <w:pPr>
        <w:spacing w:beforeLines="100" w:line="360" w:lineRule="auto"/>
        <w:rPr>
          <w:rFonts w:eastAsiaTheme="minorEastAsia"/>
          <w:b/>
          <w:bCs/>
          <w:color w:val="000000"/>
          <w:szCs w:val="21"/>
        </w:rPr>
      </w:pPr>
      <w:r w:rsidRPr="00646A7D">
        <w:rPr>
          <w:rFonts w:eastAsiaTheme="minorEastAsia"/>
          <w:b/>
          <w:color w:val="000000"/>
          <w:szCs w:val="21"/>
        </w:rPr>
        <w:t xml:space="preserve">7.4.3 </w:t>
      </w:r>
      <w:r w:rsidRPr="00646A7D">
        <w:rPr>
          <w:rFonts w:eastAsiaTheme="minorEastAsia"/>
          <w:b/>
          <w:bCs/>
          <w:color w:val="000000"/>
          <w:szCs w:val="21"/>
        </w:rPr>
        <w:t>买入股票的成本总额及卖出股票的收入总额</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本报告期内，本基金未发生股票交易。</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61" w:name="_Toc331410106"/>
      <w:bookmarkStart w:id="62" w:name="_Toc234814104"/>
      <w:r w:rsidRPr="00646A7D">
        <w:rPr>
          <w:rFonts w:ascii="Times New Roman" w:eastAsiaTheme="minorEastAsia" w:hAnsi="Times New Roman"/>
          <w:kern w:val="0"/>
          <w:sz w:val="21"/>
          <w:szCs w:val="21"/>
        </w:rPr>
        <w:t xml:space="preserve">7.5 </w:t>
      </w:r>
      <w:r w:rsidRPr="00646A7D">
        <w:rPr>
          <w:rFonts w:ascii="Times New Roman" w:eastAsiaTheme="minorEastAsia" w:hAnsi="Times New Roman"/>
          <w:kern w:val="0"/>
          <w:sz w:val="21"/>
          <w:szCs w:val="21"/>
        </w:rPr>
        <w:t>期末按债券品种分类的债券投资组合</w:t>
      </w:r>
      <w:bookmarkEnd w:id="61"/>
      <w:bookmarkEnd w:id="62"/>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本基金本报告期末未持有债券。</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63" w:name="_Toc331410107"/>
      <w:r w:rsidRPr="00646A7D">
        <w:rPr>
          <w:rFonts w:ascii="Times New Roman" w:eastAsiaTheme="minorEastAsia" w:hAnsi="Times New Roman"/>
          <w:kern w:val="0"/>
          <w:sz w:val="21"/>
          <w:szCs w:val="21"/>
        </w:rPr>
        <w:t>7.6</w:t>
      </w:r>
      <w:bookmarkStart w:id="64" w:name="_Toc234814105"/>
      <w:r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的前五名债券投资明细</w:t>
      </w:r>
      <w:bookmarkEnd w:id="63"/>
      <w:bookmarkEnd w:id="64"/>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本基金本报告期末未持有债券。</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65" w:name="_Toc331410108"/>
      <w:r w:rsidRPr="00646A7D">
        <w:rPr>
          <w:rFonts w:ascii="Times New Roman" w:eastAsiaTheme="minorEastAsia" w:hAnsi="Times New Roman"/>
          <w:kern w:val="0"/>
          <w:sz w:val="21"/>
          <w:szCs w:val="21"/>
        </w:rPr>
        <w:t xml:space="preserve">7.7 </w:t>
      </w:r>
      <w:r w:rsidR="00867117"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00867117" w:rsidRPr="00646A7D">
        <w:rPr>
          <w:rFonts w:ascii="Times New Roman" w:eastAsiaTheme="minorEastAsia" w:hAnsi="Times New Roman"/>
          <w:kern w:val="0"/>
          <w:sz w:val="21"/>
          <w:szCs w:val="21"/>
        </w:rPr>
        <w:t>的前十名</w:t>
      </w:r>
      <w:r w:rsidRPr="00646A7D">
        <w:rPr>
          <w:rFonts w:ascii="Times New Roman" w:eastAsiaTheme="minorEastAsia" w:hAnsi="Times New Roman"/>
          <w:kern w:val="0"/>
          <w:sz w:val="21"/>
          <w:szCs w:val="21"/>
        </w:rPr>
        <w:t>资产支持证券投资明细</w:t>
      </w:r>
      <w:bookmarkEnd w:id="65"/>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本基金本报告期末未持有资产支持证券。</w:t>
      </w:r>
    </w:p>
    <w:p w:rsidR="00F5279B" w:rsidRPr="00646A7D" w:rsidRDefault="00F5279B" w:rsidP="00BA6974">
      <w:pPr>
        <w:pStyle w:val="20"/>
        <w:spacing w:beforeLines="100" w:after="0"/>
        <w:rPr>
          <w:rFonts w:ascii="Times New Roman" w:eastAsiaTheme="minorEastAsia" w:hAnsi="Times New Roman"/>
          <w:kern w:val="0"/>
          <w:sz w:val="21"/>
          <w:szCs w:val="21"/>
        </w:rPr>
      </w:pPr>
      <w:bookmarkStart w:id="66" w:name="_Toc390421264"/>
      <w:r w:rsidRPr="00646A7D">
        <w:rPr>
          <w:rFonts w:ascii="Times New Roman" w:eastAsiaTheme="minorEastAsia" w:hAnsi="Times New Roman"/>
          <w:kern w:val="0"/>
          <w:sz w:val="21"/>
          <w:szCs w:val="21"/>
        </w:rPr>
        <w:t xml:space="preserve">7.8 </w:t>
      </w:r>
      <w:r w:rsidRPr="00646A7D">
        <w:rPr>
          <w:rFonts w:ascii="Times New Roman" w:eastAsiaTheme="minorEastAsia" w:hAnsi="Times New Roman"/>
          <w:kern w:val="0"/>
          <w:sz w:val="21"/>
          <w:szCs w:val="21"/>
        </w:rPr>
        <w:t>报告期末按公允价值占基金资产净值比例大小排序的前五名贵金属投资明细</w:t>
      </w:r>
      <w:bookmarkEnd w:id="66"/>
    </w:p>
    <w:p w:rsidR="002C0050" w:rsidRPr="000356E3" w:rsidRDefault="00F5279B" w:rsidP="000356E3">
      <w:pPr>
        <w:widowControl/>
        <w:spacing w:line="360" w:lineRule="auto"/>
        <w:ind w:firstLineChars="200" w:firstLine="420"/>
        <w:jc w:val="left"/>
        <w:rPr>
          <w:rFonts w:eastAsiaTheme="minorEastAsia"/>
          <w:szCs w:val="21"/>
        </w:rPr>
      </w:pPr>
      <w:r w:rsidRPr="00646A7D">
        <w:rPr>
          <w:rFonts w:eastAsiaTheme="minorEastAsia"/>
          <w:szCs w:val="21"/>
        </w:rPr>
        <w:t>本基金本报告期末未持有贵金属。</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67" w:name="_Toc331410109"/>
      <w:r w:rsidRPr="00646A7D">
        <w:rPr>
          <w:rFonts w:ascii="Times New Roman" w:eastAsiaTheme="minorEastAsia" w:hAnsi="Times New Roman"/>
          <w:kern w:val="0"/>
          <w:sz w:val="21"/>
          <w:szCs w:val="21"/>
        </w:rPr>
        <w:t xml:space="preserve">7.9 </w:t>
      </w:r>
      <w:r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的前五名权证投资明细</w:t>
      </w:r>
      <w:bookmarkEnd w:id="67"/>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本基金本报告期末未持有权证。</w:t>
      </w:r>
    </w:p>
    <w:p w:rsidR="001548F9" w:rsidRPr="00646A7D" w:rsidRDefault="001548F9" w:rsidP="00BA6974">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7.10 </w:t>
      </w:r>
      <w:r w:rsidRPr="00646A7D">
        <w:rPr>
          <w:rFonts w:ascii="Times New Roman" w:eastAsiaTheme="minorEastAsia" w:hAnsi="Times New Roman"/>
          <w:kern w:val="0"/>
          <w:sz w:val="21"/>
          <w:szCs w:val="21"/>
        </w:rPr>
        <w:t>报告期末本基金投资的股指期货交易情况说明</w:t>
      </w:r>
    </w:p>
    <w:p w:rsidR="001548F9" w:rsidRPr="00646A7D" w:rsidRDefault="001548F9" w:rsidP="00431E19">
      <w:pPr>
        <w:adjustRightInd w:val="0"/>
        <w:snapToGrid w:val="0"/>
        <w:spacing w:line="360" w:lineRule="auto"/>
        <w:rPr>
          <w:rFonts w:eastAsiaTheme="minorEastAsia"/>
          <w:b/>
          <w:szCs w:val="21"/>
        </w:rPr>
      </w:pPr>
      <w:r w:rsidRPr="00646A7D">
        <w:rPr>
          <w:rFonts w:eastAsiaTheme="minorEastAsia"/>
          <w:b/>
          <w:szCs w:val="21"/>
        </w:rPr>
        <w:t xml:space="preserve">7.10.1 </w:t>
      </w:r>
      <w:r w:rsidRPr="00646A7D">
        <w:rPr>
          <w:rFonts w:eastAsiaTheme="minorEastAsia"/>
          <w:b/>
          <w:szCs w:val="21"/>
        </w:rPr>
        <w:t>报告期末本基金投资的股指期货持仓和损益明细</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本基金本报告期末未持有股指期货。</w:t>
      </w:r>
    </w:p>
    <w:p w:rsidR="001548F9" w:rsidRPr="00646A7D" w:rsidRDefault="001548F9" w:rsidP="00BA6974">
      <w:pPr>
        <w:adjustRightInd w:val="0"/>
        <w:snapToGrid w:val="0"/>
        <w:spacing w:beforeLines="100" w:line="360" w:lineRule="auto"/>
        <w:rPr>
          <w:rFonts w:eastAsiaTheme="minorEastAsia"/>
          <w:b/>
          <w:szCs w:val="21"/>
        </w:rPr>
      </w:pPr>
      <w:r w:rsidRPr="00646A7D">
        <w:rPr>
          <w:rFonts w:eastAsiaTheme="minorEastAsia"/>
          <w:b/>
          <w:szCs w:val="21"/>
        </w:rPr>
        <w:t xml:space="preserve">7.10.2 </w:t>
      </w:r>
      <w:r w:rsidRPr="00646A7D">
        <w:rPr>
          <w:rFonts w:eastAsiaTheme="minorEastAsia"/>
          <w:b/>
          <w:szCs w:val="21"/>
        </w:rPr>
        <w:t>本基金投资股指期货的投资政策</w:t>
      </w:r>
    </w:p>
    <w:p w:rsidR="001548F9" w:rsidRPr="00646A7D" w:rsidRDefault="001548F9" w:rsidP="000356E3">
      <w:pPr>
        <w:spacing w:line="360" w:lineRule="auto"/>
        <w:ind w:firstLineChars="200" w:firstLine="420"/>
        <w:rPr>
          <w:rFonts w:eastAsiaTheme="minorEastAsia"/>
          <w:color w:val="000000"/>
          <w:szCs w:val="21"/>
        </w:rPr>
      </w:pPr>
      <w:r w:rsidRPr="00646A7D">
        <w:rPr>
          <w:rFonts w:eastAsiaTheme="minorEastAsia"/>
          <w:color w:val="000000"/>
          <w:szCs w:val="21"/>
        </w:rPr>
        <w:t>在股指期货投资上，本基金以套期保值和有效管理为目标，在控制风险的前提下，谨慎适当参与股指期货的投资。本基金在进行股指期货投资中，将分析股指期货的收益性、流动性及风险特征，主要选择流动性好、交易活跃的期货合约，通过研究现货和期货市场的发展趋势，运用定价模型对其进行合理估值，谨慎利用股指期货，调整投资组合的风险暴露，及时调整投资组合仓位，以降低组合风险、提高组合的运作效率。</w:t>
      </w:r>
    </w:p>
    <w:p w:rsidR="00FB427F" w:rsidRPr="00646A7D" w:rsidRDefault="00FB427F" w:rsidP="00BA6974">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7.11</w:t>
      </w:r>
      <w:r w:rsidRPr="00646A7D">
        <w:rPr>
          <w:rFonts w:ascii="Times New Roman" w:eastAsiaTheme="minorEastAsia" w:hAnsi="Times New Roman"/>
          <w:kern w:val="0"/>
          <w:sz w:val="21"/>
          <w:szCs w:val="21"/>
        </w:rPr>
        <w:t>报告期末本基金投资的国债期货交易情况说明</w:t>
      </w:r>
    </w:p>
    <w:p w:rsidR="00FB427F" w:rsidRPr="00646A7D" w:rsidRDefault="00FB427F" w:rsidP="00BB5BB5">
      <w:pPr>
        <w:adjustRightInd w:val="0"/>
        <w:snapToGrid w:val="0"/>
        <w:spacing w:line="360" w:lineRule="auto"/>
        <w:rPr>
          <w:rFonts w:eastAsiaTheme="minorEastAsia"/>
          <w:b/>
          <w:szCs w:val="21"/>
        </w:rPr>
      </w:pPr>
      <w:r w:rsidRPr="00646A7D">
        <w:rPr>
          <w:rFonts w:eastAsiaTheme="minorEastAsia"/>
          <w:b/>
          <w:szCs w:val="21"/>
        </w:rPr>
        <w:t xml:space="preserve">7.11.1 </w:t>
      </w:r>
      <w:r w:rsidRPr="00646A7D">
        <w:rPr>
          <w:rFonts w:eastAsiaTheme="minorEastAsia"/>
          <w:b/>
          <w:szCs w:val="21"/>
        </w:rPr>
        <w:t>本期国债期货投资政策</w:t>
      </w:r>
    </w:p>
    <w:p w:rsidR="00FB427F" w:rsidRPr="00646A7D" w:rsidRDefault="00FB427F" w:rsidP="00BB5BB5">
      <w:pPr>
        <w:spacing w:line="360" w:lineRule="auto"/>
        <w:ind w:firstLineChars="200" w:firstLine="420"/>
        <w:rPr>
          <w:rFonts w:eastAsiaTheme="minorEastAsia"/>
          <w:color w:val="000000"/>
          <w:szCs w:val="21"/>
        </w:rPr>
      </w:pPr>
      <w:r w:rsidRPr="00646A7D">
        <w:rPr>
          <w:rFonts w:eastAsiaTheme="minorEastAsia"/>
          <w:color w:val="000000"/>
          <w:szCs w:val="21"/>
        </w:rPr>
        <w:t>本基金在进行国债期货投资时，将根据风险管理原则，以套期保值为主要目的，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风险、对冲特殊情况下的流动性风险，如大额申购赎回等；利用金融衍生品的杠杆作用，以达到降低投资组合的整体风险的目的。</w:t>
      </w:r>
    </w:p>
    <w:p w:rsidR="00FB427F" w:rsidRPr="00646A7D" w:rsidRDefault="00FB427F" w:rsidP="00BB5BB5">
      <w:pPr>
        <w:autoSpaceDE w:val="0"/>
        <w:autoSpaceDN w:val="0"/>
        <w:adjustRightInd w:val="0"/>
        <w:spacing w:line="360" w:lineRule="auto"/>
        <w:jc w:val="left"/>
        <w:rPr>
          <w:rFonts w:eastAsiaTheme="minorEastAsia"/>
          <w:b/>
          <w:szCs w:val="21"/>
        </w:rPr>
      </w:pPr>
      <w:r w:rsidRPr="00646A7D">
        <w:rPr>
          <w:rFonts w:eastAsiaTheme="minorEastAsia"/>
          <w:b/>
          <w:szCs w:val="21"/>
        </w:rPr>
        <w:t xml:space="preserve">7.11.2 </w:t>
      </w:r>
      <w:r w:rsidRPr="00646A7D">
        <w:rPr>
          <w:rFonts w:eastAsiaTheme="minorEastAsia"/>
          <w:b/>
          <w:szCs w:val="21"/>
        </w:rPr>
        <w:t>报告期末本基金投资的国债期货持仓和损益明细</w:t>
      </w:r>
    </w:p>
    <w:p w:rsidR="00FB427F" w:rsidRPr="00646A7D" w:rsidRDefault="00FB427F"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本基金本报告期末未持有国债期货。</w:t>
      </w:r>
    </w:p>
    <w:p w:rsidR="00FB427F" w:rsidRPr="00646A7D" w:rsidRDefault="00FB427F" w:rsidP="00BB5BB5">
      <w:pPr>
        <w:adjustRightInd w:val="0"/>
        <w:snapToGrid w:val="0"/>
        <w:spacing w:line="360" w:lineRule="auto"/>
        <w:rPr>
          <w:rFonts w:eastAsiaTheme="minorEastAsia"/>
          <w:b/>
          <w:szCs w:val="21"/>
        </w:rPr>
      </w:pPr>
      <w:r w:rsidRPr="00646A7D">
        <w:rPr>
          <w:rFonts w:eastAsiaTheme="minorEastAsia"/>
          <w:b/>
          <w:szCs w:val="21"/>
        </w:rPr>
        <w:t xml:space="preserve">7.11.3 </w:t>
      </w:r>
      <w:r w:rsidRPr="00646A7D">
        <w:rPr>
          <w:rFonts w:eastAsiaTheme="minorEastAsia"/>
          <w:b/>
          <w:szCs w:val="21"/>
        </w:rPr>
        <w:t>本期国债期货投资评价</w:t>
      </w:r>
    </w:p>
    <w:p w:rsidR="00FB427F" w:rsidRPr="00646A7D" w:rsidRDefault="00FB427F" w:rsidP="000356E3">
      <w:pPr>
        <w:spacing w:line="360" w:lineRule="auto"/>
        <w:ind w:firstLineChars="200" w:firstLine="420"/>
        <w:rPr>
          <w:rFonts w:eastAsiaTheme="minorEastAsia"/>
          <w:color w:val="000000"/>
          <w:szCs w:val="21"/>
        </w:rPr>
      </w:pPr>
      <w:r w:rsidRPr="00646A7D">
        <w:rPr>
          <w:rFonts w:eastAsiaTheme="minorEastAsia"/>
          <w:color w:val="000000"/>
          <w:szCs w:val="21"/>
        </w:rPr>
        <w:t>本基金本报告期末未持有国债期货，没有相关投资评价。</w:t>
      </w:r>
    </w:p>
    <w:p w:rsidR="001548F9" w:rsidRPr="00646A7D" w:rsidRDefault="001548F9" w:rsidP="00BA6974">
      <w:pPr>
        <w:pStyle w:val="20"/>
        <w:spacing w:beforeLines="100" w:after="0"/>
        <w:rPr>
          <w:rFonts w:ascii="Times New Roman" w:eastAsiaTheme="minorEastAsia" w:hAnsi="Times New Roman"/>
          <w:kern w:val="0"/>
          <w:sz w:val="21"/>
          <w:szCs w:val="21"/>
        </w:rPr>
      </w:pPr>
      <w:bookmarkStart w:id="68" w:name="_Toc331410110"/>
      <w:r w:rsidRPr="00646A7D">
        <w:rPr>
          <w:rFonts w:ascii="Times New Roman" w:eastAsiaTheme="minorEastAsia" w:hAnsi="Times New Roman"/>
          <w:kern w:val="0"/>
          <w:sz w:val="21"/>
          <w:szCs w:val="21"/>
        </w:rPr>
        <w:t xml:space="preserve">7.12 </w:t>
      </w:r>
      <w:r w:rsidRPr="00646A7D">
        <w:rPr>
          <w:rFonts w:ascii="Times New Roman" w:eastAsiaTheme="minorEastAsia" w:hAnsi="Times New Roman"/>
          <w:kern w:val="0"/>
          <w:sz w:val="21"/>
          <w:szCs w:val="21"/>
        </w:rPr>
        <w:t>投资组合报告附注</w:t>
      </w:r>
      <w:bookmarkEnd w:id="68"/>
    </w:p>
    <w:p w:rsidR="001548F9" w:rsidRPr="00646A7D" w:rsidRDefault="001548F9" w:rsidP="00AE7535">
      <w:pPr>
        <w:spacing w:line="360" w:lineRule="auto"/>
        <w:rPr>
          <w:rFonts w:eastAsiaTheme="minorEastAsia"/>
          <w:color w:val="000000"/>
          <w:szCs w:val="21"/>
        </w:rPr>
      </w:pPr>
      <w:r w:rsidRPr="00646A7D">
        <w:rPr>
          <w:rFonts w:eastAsiaTheme="minorEastAsia"/>
          <w:color w:val="000000"/>
          <w:szCs w:val="21"/>
        </w:rPr>
        <w:t>7.12.1</w:t>
      </w:r>
      <w:r w:rsidRPr="00646A7D">
        <w:rPr>
          <w:rFonts w:eastAsiaTheme="minorEastAsia"/>
          <w:color w:val="000000"/>
          <w:szCs w:val="21"/>
        </w:rPr>
        <w:t>本报告期内，经查询上海证券交易所、深圳证券交易所等机构公开信息披露平台，本基金投资的前十名证券的发行主体没有出现被监管部门立案调查，或在本报告编制日前一年内受到公开谴责、处罚的情形。</w:t>
      </w:r>
    </w:p>
    <w:p w:rsidR="001548F9" w:rsidRPr="00646A7D" w:rsidRDefault="001548F9" w:rsidP="00AE7535">
      <w:pPr>
        <w:spacing w:line="360" w:lineRule="auto"/>
        <w:rPr>
          <w:rFonts w:eastAsiaTheme="minorEastAsia"/>
          <w:color w:val="000000"/>
          <w:szCs w:val="21"/>
        </w:rPr>
      </w:pPr>
      <w:r w:rsidRPr="00646A7D">
        <w:rPr>
          <w:rFonts w:eastAsiaTheme="minorEastAsia"/>
          <w:color w:val="000000"/>
          <w:szCs w:val="21"/>
        </w:rPr>
        <w:t>7.12.2</w:t>
      </w:r>
      <w:r w:rsidRPr="00646A7D">
        <w:rPr>
          <w:rFonts w:eastAsiaTheme="minorEastAsia"/>
          <w:color w:val="000000"/>
          <w:szCs w:val="21"/>
        </w:rPr>
        <w:t>本基金投资的前十名股票中，没有投资于超出基金合同规定备选股票库之外的股票。</w:t>
      </w:r>
    </w:p>
    <w:p w:rsidR="001548F9" w:rsidRPr="00646A7D" w:rsidRDefault="001548F9" w:rsidP="00AE7535">
      <w:pPr>
        <w:spacing w:line="360" w:lineRule="auto"/>
        <w:rPr>
          <w:rFonts w:eastAsiaTheme="minorEastAsia"/>
          <w:b/>
          <w:bCs/>
          <w:color w:val="000000"/>
          <w:szCs w:val="21"/>
        </w:rPr>
      </w:pPr>
      <w:r w:rsidRPr="00646A7D">
        <w:rPr>
          <w:rFonts w:eastAsiaTheme="minorEastAsia"/>
          <w:b/>
          <w:color w:val="000000"/>
          <w:szCs w:val="21"/>
        </w:rPr>
        <w:t>7.12.3</w:t>
      </w:r>
      <w:r w:rsidRPr="00646A7D">
        <w:rPr>
          <w:rFonts w:eastAsiaTheme="minorEastAsia"/>
          <w:b/>
          <w:bCs/>
          <w:color w:val="000000"/>
          <w:szCs w:val="21"/>
        </w:rPr>
        <w:t>期末其他各项资产构成</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序号</w:t>
            </w:r>
          </w:p>
        </w:tc>
        <w:tc>
          <w:tcPr>
            <w:tcW w:w="4117"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名称</w:t>
            </w:r>
          </w:p>
        </w:tc>
        <w:tc>
          <w:tcPr>
            <w:tcW w:w="4118"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金额</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1</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存出保证金</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25,450.15</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2</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应收证券清算款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3</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应收股利</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4</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应收利息</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41,865.84</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5</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应收申购款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6</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其他应收款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7</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待摊费用</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8</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其他</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9</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合计</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67,315.99</w:t>
            </w:r>
          </w:p>
        </w:tc>
      </w:tr>
    </w:tbl>
    <w:p w:rsidR="001548F9" w:rsidRPr="00646A7D" w:rsidRDefault="001548F9" w:rsidP="00BA6974">
      <w:pPr>
        <w:spacing w:beforeLines="100" w:line="360" w:lineRule="auto"/>
        <w:rPr>
          <w:rFonts w:eastAsiaTheme="minorEastAsia"/>
          <w:b/>
          <w:bCs/>
          <w:color w:val="000000"/>
          <w:szCs w:val="21"/>
        </w:rPr>
      </w:pPr>
      <w:r w:rsidRPr="00646A7D">
        <w:rPr>
          <w:rFonts w:eastAsiaTheme="minorEastAsia"/>
          <w:b/>
          <w:color w:val="000000"/>
          <w:szCs w:val="21"/>
        </w:rPr>
        <w:t>7.12.4</w:t>
      </w:r>
      <w:r w:rsidRPr="00646A7D">
        <w:rPr>
          <w:rFonts w:eastAsiaTheme="minorEastAsia"/>
          <w:b/>
          <w:bCs/>
          <w:color w:val="000000"/>
          <w:szCs w:val="21"/>
        </w:rPr>
        <w:t>期末持有的处于转股期的可转换债券明细</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本基金本报告期末未持有处于转股期的可转换债券。</w:t>
      </w:r>
    </w:p>
    <w:p w:rsidR="001548F9" w:rsidRPr="00646A7D" w:rsidRDefault="001548F9" w:rsidP="00BA6974">
      <w:pPr>
        <w:spacing w:beforeLines="100" w:line="360" w:lineRule="auto"/>
        <w:rPr>
          <w:rFonts w:eastAsiaTheme="minorEastAsia"/>
          <w:b/>
          <w:bCs/>
          <w:color w:val="000000"/>
          <w:szCs w:val="21"/>
        </w:rPr>
      </w:pPr>
      <w:r w:rsidRPr="00646A7D">
        <w:rPr>
          <w:rFonts w:eastAsiaTheme="minorEastAsia"/>
          <w:b/>
          <w:color w:val="000000"/>
          <w:szCs w:val="21"/>
        </w:rPr>
        <w:t xml:space="preserve">7.12.5 </w:t>
      </w:r>
      <w:r w:rsidRPr="00646A7D">
        <w:rPr>
          <w:rFonts w:eastAsiaTheme="minorEastAsia"/>
          <w:b/>
          <w:bCs/>
          <w:color w:val="000000"/>
          <w:szCs w:val="21"/>
        </w:rPr>
        <w:t>期末前十名股票中存在流通受限情况的说明</w:t>
      </w:r>
    </w:p>
    <w:p w:rsidR="001548F9" w:rsidRPr="00646A7D"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本基金本报告期末前十名股票中不存在流通受限情况。</w:t>
      </w:r>
    </w:p>
    <w:p w:rsidR="001548F9" w:rsidRPr="00646A7D" w:rsidRDefault="001548F9" w:rsidP="00BA6974">
      <w:pPr>
        <w:pStyle w:val="1"/>
        <w:keepNext/>
        <w:keepLines/>
        <w:widowControl w:val="0"/>
        <w:spacing w:beforeLines="100" w:afterLines="100" w:line="360" w:lineRule="auto"/>
        <w:jc w:val="center"/>
        <w:rPr>
          <w:rFonts w:eastAsiaTheme="minorEastAsia"/>
          <w:b/>
          <w:bCs/>
          <w:sz w:val="21"/>
          <w:szCs w:val="21"/>
          <w:lang w:val="en-US"/>
        </w:rPr>
      </w:pPr>
      <w:bookmarkStart w:id="69" w:name="_Toc331410111"/>
      <w:bookmarkStart w:id="70" w:name="_Toc225500050"/>
      <w:r w:rsidRPr="00646A7D">
        <w:rPr>
          <w:rFonts w:eastAsiaTheme="minorEastAsia"/>
          <w:b/>
          <w:bCs/>
          <w:sz w:val="21"/>
          <w:szCs w:val="21"/>
          <w:lang w:val="en-US"/>
        </w:rPr>
        <w:t xml:space="preserve">8  </w:t>
      </w:r>
      <w:r w:rsidRPr="00646A7D">
        <w:rPr>
          <w:rFonts w:eastAsiaTheme="minorEastAsia"/>
          <w:b/>
          <w:bCs/>
          <w:sz w:val="21"/>
          <w:szCs w:val="21"/>
          <w:lang w:val="en-US"/>
        </w:rPr>
        <w:t>基金份额持有人信息</w:t>
      </w:r>
      <w:bookmarkEnd w:id="69"/>
      <w:bookmarkEnd w:id="70"/>
    </w:p>
    <w:p w:rsidR="001548F9" w:rsidRPr="00646A7D" w:rsidRDefault="001548F9" w:rsidP="00AE7535">
      <w:pPr>
        <w:pStyle w:val="20"/>
        <w:spacing w:before="0" w:after="0"/>
        <w:rPr>
          <w:rFonts w:ascii="Times New Roman" w:eastAsiaTheme="minorEastAsia" w:hAnsi="Times New Roman"/>
          <w:kern w:val="0"/>
          <w:sz w:val="21"/>
          <w:szCs w:val="21"/>
        </w:rPr>
      </w:pPr>
      <w:bookmarkStart w:id="71" w:name="_Toc331410112"/>
      <w:bookmarkStart w:id="72" w:name="_Toc225500051"/>
      <w:r w:rsidRPr="00646A7D">
        <w:rPr>
          <w:rFonts w:ascii="Times New Roman" w:eastAsiaTheme="minorEastAsia" w:hAnsi="Times New Roman"/>
          <w:kern w:val="0"/>
          <w:sz w:val="21"/>
          <w:szCs w:val="21"/>
        </w:rPr>
        <w:t xml:space="preserve">8.1 </w:t>
      </w:r>
      <w:r w:rsidRPr="00646A7D">
        <w:rPr>
          <w:rFonts w:ascii="Times New Roman" w:eastAsiaTheme="minorEastAsia" w:hAnsi="Times New Roman"/>
          <w:kern w:val="0"/>
          <w:sz w:val="21"/>
          <w:szCs w:val="21"/>
        </w:rPr>
        <w:t>期末基金份额持有人户数及持有人结构</w:t>
      </w:r>
      <w:bookmarkEnd w:id="71"/>
      <w:bookmarkEnd w:id="72"/>
    </w:p>
    <w:p w:rsidR="00206CBB" w:rsidRPr="00646A7D" w:rsidRDefault="00206CBB" w:rsidP="00206CB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份额单位：份</w:t>
      </w:r>
    </w:p>
    <w:p w:rsidR="00206CBB" w:rsidRPr="00646A7D" w:rsidRDefault="00206CBB" w:rsidP="00206CBB">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tblPr>
      <w:tblGrid>
        <w:gridCol w:w="2049"/>
        <w:gridCol w:w="1463"/>
        <w:gridCol w:w="1757"/>
        <w:gridCol w:w="1129"/>
        <w:gridCol w:w="1792"/>
        <w:gridCol w:w="1096"/>
      </w:tblGrid>
      <w:tr w:rsidR="00072735" w:rsidRPr="00646A7D" w:rsidTr="00072735">
        <w:tc>
          <w:tcPr>
            <w:tcW w:w="964" w:type="pct"/>
            <w:vMerge w:val="restart"/>
            <w:tcBorders>
              <w:top w:val="single" w:sz="8" w:space="0" w:color="000000"/>
              <w:left w:val="single" w:sz="8" w:space="0" w:color="000000"/>
              <w:right w:val="single" w:sz="8" w:space="0" w:color="000000"/>
            </w:tcBorders>
            <w:vAlign w:val="center"/>
          </w:tcPr>
          <w:p w:rsidR="00DF0785" w:rsidRDefault="00311CAE">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持有人结构</w:t>
            </w:r>
          </w:p>
        </w:tc>
      </w:tr>
      <w:tr w:rsidR="00072735" w:rsidRPr="00646A7D" w:rsidTr="00072735">
        <w:tc>
          <w:tcPr>
            <w:tcW w:w="964" w:type="pct"/>
            <w:vMerge/>
            <w:tcBorders>
              <w:left w:val="single" w:sz="8" w:space="0" w:color="000000"/>
              <w:right w:val="single" w:sz="8" w:space="0" w:color="000000"/>
            </w:tcBorders>
            <w:vAlign w:val="center"/>
          </w:tcPr>
          <w:p w:rsidR="00DF0785" w:rsidRDefault="00DF0785">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个人投资者</w:t>
            </w:r>
          </w:p>
        </w:tc>
      </w:tr>
      <w:tr w:rsidR="00072735" w:rsidRPr="00646A7D" w:rsidTr="00072735">
        <w:tc>
          <w:tcPr>
            <w:tcW w:w="964" w:type="pct"/>
            <w:vMerge/>
            <w:tcBorders>
              <w:left w:val="single" w:sz="8" w:space="0" w:color="000000"/>
              <w:bottom w:val="single" w:sz="8" w:space="0" w:color="000000"/>
              <w:right w:val="single" w:sz="8" w:space="0" w:color="000000"/>
            </w:tcBorders>
            <w:vAlign w:val="center"/>
          </w:tcPr>
          <w:p w:rsidR="00DF0785" w:rsidRDefault="00DF0785">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r>
      <w:tr w:rsidR="00072735" w:rsidRPr="00646A7D" w:rsidTr="00072735">
        <w:tc>
          <w:tcPr>
            <w:tcW w:w="964" w:type="pct"/>
            <w:tcBorders>
              <w:top w:val="single" w:sz="8" w:space="0" w:color="000000"/>
              <w:left w:val="single" w:sz="8" w:space="0" w:color="000000"/>
              <w:bottom w:val="single" w:sz="8" w:space="0" w:color="000000"/>
              <w:right w:val="single" w:sz="8" w:space="0" w:color="000000"/>
            </w:tcBorders>
            <w:vAlign w:val="center"/>
          </w:tcPr>
          <w:p w:rsidR="00DF0785" w:rsidRDefault="00311CAE">
            <w:pPr>
              <w:jc w:val="center"/>
            </w:pPr>
            <w:r>
              <w:rPr>
                <w:rFonts w:eastAsiaTheme="minorEastAsia"/>
                <w:bCs/>
                <w:color w:val="000000"/>
                <w:szCs w:val="21"/>
              </w:rPr>
              <w:t>1,365</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148,222.97</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50,012,500.00</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24.72%</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152,311,851.70</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75.28%</w:t>
            </w:r>
          </w:p>
        </w:tc>
      </w:tr>
    </w:tbl>
    <w:p w:rsidR="001548F9" w:rsidRPr="00646A7D" w:rsidRDefault="00D47C07" w:rsidP="00BA6974">
      <w:pPr>
        <w:pStyle w:val="20"/>
        <w:spacing w:beforeLines="100" w:after="0"/>
        <w:rPr>
          <w:rFonts w:ascii="Times New Roman" w:eastAsiaTheme="minorEastAsia" w:hAnsi="Times New Roman"/>
          <w:kern w:val="0"/>
          <w:sz w:val="21"/>
          <w:szCs w:val="21"/>
        </w:rPr>
      </w:pPr>
      <w:bookmarkStart w:id="73" w:name="_Toc331410113"/>
      <w:r w:rsidRPr="00646A7D">
        <w:rPr>
          <w:rFonts w:ascii="Times New Roman" w:eastAsiaTheme="minorEastAsia" w:hAnsi="Times New Roman"/>
          <w:kern w:val="0"/>
          <w:sz w:val="21"/>
          <w:szCs w:val="21"/>
        </w:rPr>
        <w:t>8.2</w:t>
      </w:r>
      <w:r w:rsidR="001548F9" w:rsidRPr="00646A7D">
        <w:rPr>
          <w:rFonts w:ascii="Times New Roman" w:eastAsiaTheme="minorEastAsia" w:hAnsi="Times New Roman"/>
          <w:kern w:val="0"/>
          <w:sz w:val="21"/>
          <w:szCs w:val="21"/>
        </w:rPr>
        <w:t>期末基金管理人的从业人员持有本基金的情况</w:t>
      </w:r>
      <w:bookmarkEnd w:id="73"/>
    </w:p>
    <w:p w:rsidR="00705EC3"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截止本报告期末，基金管理人的从业人员未持有本基金。</w:t>
      </w:r>
    </w:p>
    <w:p w:rsidR="00A93A73" w:rsidRPr="00646A7D" w:rsidRDefault="00A93A73" w:rsidP="00BA6974">
      <w:pPr>
        <w:pStyle w:val="20"/>
        <w:spacing w:beforeLines="100" w:after="0" w:line="240" w:lineRule="auto"/>
        <w:rPr>
          <w:rFonts w:ascii="Times New Roman" w:eastAsiaTheme="minorEastAsia" w:hAnsi="Times New Roman"/>
          <w:sz w:val="21"/>
          <w:szCs w:val="21"/>
        </w:rPr>
      </w:pPr>
      <w:r w:rsidRPr="00646A7D">
        <w:rPr>
          <w:rFonts w:ascii="Times New Roman" w:eastAsiaTheme="minorEastAsia" w:hAnsi="Times New Roman"/>
          <w:kern w:val="0"/>
          <w:sz w:val="21"/>
          <w:szCs w:val="21"/>
        </w:rPr>
        <w:t>8.3</w:t>
      </w:r>
      <w:r w:rsidRPr="00646A7D">
        <w:rPr>
          <w:rFonts w:ascii="Times New Roman" w:eastAsiaTheme="minorEastAsia" w:hAnsi="Times New Roman"/>
          <w:sz w:val="21"/>
          <w:szCs w:val="21"/>
        </w:rPr>
        <w:t>期末基金管理人的从业人员持有本开放式基金份额总量区间的情况</w:t>
      </w:r>
    </w:p>
    <w:p w:rsidR="00A93A73" w:rsidRPr="000356E3" w:rsidRDefault="00A93A73" w:rsidP="000356E3">
      <w:pPr>
        <w:spacing w:line="288" w:lineRule="auto"/>
        <w:ind w:firstLineChars="200" w:firstLine="420"/>
        <w:rPr>
          <w:rFonts w:eastAsiaTheme="minorEastAsia"/>
          <w:color w:val="000000"/>
          <w:szCs w:val="21"/>
        </w:rPr>
      </w:pPr>
      <w:r w:rsidRPr="00646A7D">
        <w:rPr>
          <w:rFonts w:eastAsiaTheme="minorEastAsia"/>
          <w:kern w:val="0"/>
          <w:szCs w:val="21"/>
        </w:rPr>
        <w:t>截止本报告期末，本公司高级管理人员、基金投资和研究部门负责人持有本基金份额总量的数量区间均为</w:t>
      </w:r>
      <w:r w:rsidRPr="00646A7D">
        <w:rPr>
          <w:rFonts w:eastAsiaTheme="minorEastAsia"/>
          <w:kern w:val="0"/>
          <w:szCs w:val="21"/>
        </w:rPr>
        <w:t>0</w:t>
      </w:r>
      <w:r w:rsidRPr="00646A7D">
        <w:rPr>
          <w:rFonts w:eastAsiaTheme="minorEastAsia"/>
          <w:kern w:val="0"/>
          <w:szCs w:val="21"/>
        </w:rPr>
        <w:t>；本基金基金经理持有本基金份额总量的数量区间为</w:t>
      </w:r>
      <w:r w:rsidRPr="00646A7D">
        <w:rPr>
          <w:rFonts w:eastAsiaTheme="minorEastAsia"/>
          <w:kern w:val="0"/>
          <w:szCs w:val="21"/>
        </w:rPr>
        <w:t>0</w:t>
      </w:r>
      <w:r w:rsidRPr="00646A7D">
        <w:rPr>
          <w:rFonts w:eastAsiaTheme="minorEastAsia"/>
          <w:kern w:val="0"/>
          <w:szCs w:val="21"/>
        </w:rPr>
        <w:t>。</w:t>
      </w:r>
    </w:p>
    <w:p w:rsidR="009C1535" w:rsidRPr="003133A7" w:rsidRDefault="001548F9" w:rsidP="00BA6974">
      <w:pPr>
        <w:pStyle w:val="1"/>
        <w:keepNext/>
        <w:keepLines/>
        <w:widowControl w:val="0"/>
        <w:spacing w:beforeLines="100" w:line="360" w:lineRule="auto"/>
        <w:jc w:val="center"/>
        <w:rPr>
          <w:rFonts w:eastAsiaTheme="minorEastAsia"/>
          <w:b/>
          <w:bCs/>
          <w:sz w:val="21"/>
          <w:szCs w:val="21"/>
          <w:lang w:val="en-US"/>
        </w:rPr>
      </w:pPr>
      <w:bookmarkStart w:id="74" w:name="_Toc331410115"/>
      <w:bookmarkStart w:id="75" w:name="_Toc225500053"/>
      <w:r w:rsidRPr="00646A7D">
        <w:rPr>
          <w:rFonts w:eastAsiaTheme="minorEastAsia"/>
          <w:b/>
          <w:bCs/>
          <w:sz w:val="21"/>
          <w:szCs w:val="21"/>
          <w:lang w:val="en-US"/>
        </w:rPr>
        <w:t>9</w:t>
      </w:r>
      <w:r w:rsidRPr="00646A7D">
        <w:rPr>
          <w:rFonts w:eastAsiaTheme="minorEastAsia"/>
          <w:b/>
          <w:bCs/>
          <w:sz w:val="21"/>
          <w:szCs w:val="21"/>
          <w:lang w:val="en-US"/>
        </w:rPr>
        <w:t>开放式基金份额变动</w:t>
      </w:r>
      <w:bookmarkEnd w:id="74"/>
      <w:bookmarkEnd w:id="75"/>
    </w:p>
    <w:p w:rsidR="001548F9" w:rsidRPr="00646A7D" w:rsidRDefault="001548F9" w:rsidP="008971E9">
      <w:pPr>
        <w:jc w:val="right"/>
        <w:rPr>
          <w:rFonts w:eastAsiaTheme="minorEastAsia"/>
          <w:szCs w:val="21"/>
        </w:rPr>
      </w:pPr>
      <w:r w:rsidRPr="00646A7D">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075"/>
      </w:tblGrid>
      <w:tr w:rsidR="001548F9" w:rsidRPr="00646A7D" w:rsidTr="003133A7">
        <w:tc>
          <w:tcPr>
            <w:tcW w:w="2806" w:type="pct"/>
          </w:tcPr>
          <w:p w:rsidR="001548F9" w:rsidRPr="00646A7D" w:rsidRDefault="001548F9" w:rsidP="00545824">
            <w:pPr>
              <w:rPr>
                <w:rFonts w:eastAsiaTheme="minorEastAsia"/>
                <w:szCs w:val="21"/>
              </w:rPr>
            </w:pPr>
            <w:r w:rsidRPr="00646A7D">
              <w:rPr>
                <w:rFonts w:eastAsiaTheme="minorEastAsia"/>
                <w:szCs w:val="21"/>
              </w:rPr>
              <w:t>基金合同生效日（</w:t>
            </w:r>
            <w:r w:rsidRPr="00646A7D">
              <w:rPr>
                <w:rFonts w:eastAsiaTheme="minorEastAsia"/>
                <w:szCs w:val="21"/>
              </w:rPr>
              <w:t>2016</w:t>
            </w:r>
            <w:r w:rsidRPr="00646A7D">
              <w:rPr>
                <w:rFonts w:eastAsiaTheme="minorEastAsia"/>
                <w:szCs w:val="21"/>
              </w:rPr>
              <w:t>年</w:t>
            </w:r>
            <w:r w:rsidRPr="00646A7D">
              <w:rPr>
                <w:rFonts w:eastAsiaTheme="minorEastAsia"/>
                <w:szCs w:val="21"/>
              </w:rPr>
              <w:t>12</w:t>
            </w:r>
            <w:r w:rsidRPr="00646A7D">
              <w:rPr>
                <w:rFonts w:eastAsiaTheme="minorEastAsia"/>
                <w:szCs w:val="21"/>
              </w:rPr>
              <w:t>月</w:t>
            </w:r>
            <w:r w:rsidRPr="00646A7D">
              <w:rPr>
                <w:rFonts w:eastAsiaTheme="minorEastAsia"/>
                <w:szCs w:val="21"/>
              </w:rPr>
              <w:t>29</w:t>
            </w:r>
            <w:r w:rsidRPr="00646A7D">
              <w:rPr>
                <w:rFonts w:eastAsiaTheme="minorEastAsia"/>
                <w:szCs w:val="21"/>
              </w:rPr>
              <w:t>日）基金份额总额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 xml:space="preserve">202,324,351.70 </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本报告期期初基金份额总额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202,324,351.70</w:t>
            </w:r>
          </w:p>
        </w:tc>
      </w:tr>
      <w:tr w:rsidR="001548F9" w:rsidRPr="00646A7D" w:rsidTr="003133A7">
        <w:tc>
          <w:tcPr>
            <w:tcW w:w="2806" w:type="pct"/>
            <w:vAlign w:val="center"/>
          </w:tcPr>
          <w:p w:rsidR="001548F9" w:rsidRPr="00646A7D" w:rsidRDefault="005151E7" w:rsidP="005A09F2">
            <w:pPr>
              <w:rPr>
                <w:rFonts w:eastAsiaTheme="minorEastAsia"/>
                <w:szCs w:val="21"/>
              </w:rPr>
            </w:pPr>
            <w:r w:rsidRPr="00646A7D">
              <w:rPr>
                <w:rFonts w:eastAsiaTheme="minorEastAsia"/>
                <w:szCs w:val="21"/>
              </w:rPr>
              <w:t>本报告期</w:t>
            </w:r>
            <w:r w:rsidR="001548F9" w:rsidRPr="00646A7D">
              <w:rPr>
                <w:rFonts w:eastAsiaTheme="minorEastAsia"/>
                <w:szCs w:val="21"/>
              </w:rPr>
              <w:t>基金总申购份额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减：</w:t>
            </w:r>
            <w:r w:rsidR="005151E7" w:rsidRPr="00646A7D">
              <w:rPr>
                <w:rFonts w:eastAsiaTheme="minorEastAsia"/>
                <w:szCs w:val="21"/>
              </w:rPr>
              <w:t>本报告期</w:t>
            </w:r>
            <w:r w:rsidRPr="00646A7D">
              <w:rPr>
                <w:rFonts w:eastAsiaTheme="minorEastAsia"/>
                <w:szCs w:val="21"/>
              </w:rPr>
              <w:t>基金总赎回份额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w:t>
            </w:r>
          </w:p>
        </w:tc>
      </w:tr>
      <w:tr w:rsidR="001548F9" w:rsidRPr="00646A7D" w:rsidTr="003133A7">
        <w:tc>
          <w:tcPr>
            <w:tcW w:w="2806" w:type="pct"/>
            <w:vAlign w:val="center"/>
          </w:tcPr>
          <w:p w:rsidR="001548F9" w:rsidRPr="00646A7D" w:rsidRDefault="005151E7" w:rsidP="005A09F2">
            <w:pPr>
              <w:rPr>
                <w:rFonts w:eastAsiaTheme="minorEastAsia"/>
                <w:szCs w:val="21"/>
              </w:rPr>
            </w:pPr>
            <w:r w:rsidRPr="00646A7D">
              <w:rPr>
                <w:rFonts w:eastAsiaTheme="minorEastAsia"/>
                <w:szCs w:val="21"/>
              </w:rPr>
              <w:t>本报告期</w:t>
            </w:r>
            <w:r w:rsidR="001548F9" w:rsidRPr="00646A7D">
              <w:rPr>
                <w:rFonts w:eastAsiaTheme="minorEastAsia"/>
                <w:szCs w:val="21"/>
              </w:rPr>
              <w:t>基金拆分变动份额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本报告期期末基金份额总额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202,324,351.70</w:t>
            </w:r>
          </w:p>
        </w:tc>
      </w:tr>
    </w:tbl>
    <w:p w:rsidR="005A09F2" w:rsidRPr="00646A7D" w:rsidRDefault="005A09F2" w:rsidP="005A09F2">
      <w:pPr>
        <w:spacing w:line="360" w:lineRule="auto"/>
        <w:rPr>
          <w:rFonts w:eastAsiaTheme="minorEastAsia"/>
          <w:szCs w:val="21"/>
        </w:rPr>
      </w:pPr>
    </w:p>
    <w:p w:rsidR="005A09F2" w:rsidRPr="00646A7D" w:rsidRDefault="005A09F2" w:rsidP="00410E12">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注：总申购份额包含本报告期内发生的转换入和红利再投资份额；总赎回份额包含本报告期内发生的转换出份额。</w:t>
      </w:r>
    </w:p>
    <w:p w:rsidR="001548F9" w:rsidRPr="00646A7D" w:rsidRDefault="001548F9" w:rsidP="00BA6974">
      <w:pPr>
        <w:pStyle w:val="1"/>
        <w:keepNext/>
        <w:keepLines/>
        <w:widowControl w:val="0"/>
        <w:spacing w:beforeLines="100" w:afterLines="100" w:line="360" w:lineRule="auto"/>
        <w:jc w:val="center"/>
        <w:rPr>
          <w:rFonts w:eastAsiaTheme="minorEastAsia"/>
          <w:b/>
          <w:bCs/>
          <w:sz w:val="21"/>
          <w:szCs w:val="21"/>
          <w:lang w:val="en-US"/>
        </w:rPr>
      </w:pPr>
      <w:bookmarkStart w:id="76" w:name="_Toc331410116"/>
      <w:bookmarkStart w:id="77" w:name="_Toc225500054"/>
      <w:r w:rsidRPr="00646A7D">
        <w:rPr>
          <w:rFonts w:eastAsiaTheme="minorEastAsia"/>
          <w:b/>
          <w:bCs/>
          <w:sz w:val="21"/>
          <w:szCs w:val="21"/>
          <w:lang w:val="en-US"/>
        </w:rPr>
        <w:t xml:space="preserve">10  </w:t>
      </w:r>
      <w:r w:rsidRPr="00646A7D">
        <w:rPr>
          <w:rFonts w:eastAsiaTheme="minorEastAsia"/>
          <w:b/>
          <w:bCs/>
          <w:sz w:val="21"/>
          <w:szCs w:val="21"/>
          <w:lang w:val="en-US"/>
        </w:rPr>
        <w:t>重大事件揭示</w:t>
      </w:r>
      <w:bookmarkEnd w:id="76"/>
      <w:bookmarkEnd w:id="77"/>
    </w:p>
    <w:p w:rsidR="001548F9" w:rsidRPr="00646A7D" w:rsidRDefault="001548F9" w:rsidP="00AE7535">
      <w:pPr>
        <w:pStyle w:val="20"/>
        <w:spacing w:before="0" w:after="0"/>
        <w:rPr>
          <w:rFonts w:ascii="Times New Roman" w:eastAsiaTheme="minorEastAsia" w:hAnsi="Times New Roman"/>
          <w:kern w:val="0"/>
          <w:sz w:val="21"/>
          <w:szCs w:val="21"/>
        </w:rPr>
      </w:pPr>
      <w:bookmarkStart w:id="78" w:name="_Toc331410117"/>
      <w:r w:rsidRPr="00646A7D">
        <w:rPr>
          <w:rFonts w:ascii="Times New Roman" w:eastAsiaTheme="minorEastAsia" w:hAnsi="Times New Roman"/>
          <w:kern w:val="0"/>
          <w:sz w:val="21"/>
          <w:szCs w:val="21"/>
        </w:rPr>
        <w:t xml:space="preserve">10.1 </w:t>
      </w:r>
      <w:r w:rsidRPr="00646A7D">
        <w:rPr>
          <w:rFonts w:ascii="Times New Roman" w:eastAsiaTheme="minorEastAsia" w:hAnsi="Times New Roman"/>
          <w:kern w:val="0"/>
          <w:sz w:val="21"/>
          <w:szCs w:val="21"/>
        </w:rPr>
        <w:t>基金份额持有人大会决议</w:t>
      </w:r>
      <w:bookmarkEnd w:id="78"/>
    </w:p>
    <w:p w:rsidR="001548F9" w:rsidRPr="00646A7D" w:rsidRDefault="001548F9" w:rsidP="00AE7535">
      <w:pPr>
        <w:spacing w:line="360" w:lineRule="auto"/>
        <w:ind w:firstLineChars="200" w:firstLine="420"/>
        <w:rPr>
          <w:rFonts w:eastAsiaTheme="minorEastAsia"/>
          <w:color w:val="000000"/>
          <w:szCs w:val="21"/>
        </w:rPr>
      </w:pPr>
      <w:bookmarkStart w:id="79" w:name="_Toc331410118"/>
      <w:r w:rsidRPr="00646A7D">
        <w:rPr>
          <w:rFonts w:eastAsiaTheme="minorEastAsia"/>
          <w:color w:val="000000"/>
          <w:szCs w:val="21"/>
        </w:rPr>
        <w:t>本报告期内无基金份额持有人大会决议。</w:t>
      </w:r>
    </w:p>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10.2 </w:t>
      </w:r>
      <w:r w:rsidRPr="00646A7D">
        <w:rPr>
          <w:rFonts w:ascii="Times New Roman" w:eastAsiaTheme="minorEastAsia" w:hAnsi="Times New Roman"/>
          <w:kern w:val="0"/>
          <w:sz w:val="21"/>
          <w:szCs w:val="21"/>
        </w:rPr>
        <w:t>基金管理人、基金托管人的专门基金托管部门的重大人事变动</w:t>
      </w:r>
      <w:bookmarkEnd w:id="79"/>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w:t>
      </w:r>
      <w:r>
        <w:rPr>
          <w:rFonts w:eastAsiaTheme="minorEastAsia"/>
          <w:color w:val="000000"/>
          <w:szCs w:val="21"/>
        </w:rPr>
        <w:t>2018</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27</w:t>
      </w:r>
      <w:r>
        <w:rPr>
          <w:rFonts w:eastAsiaTheme="minorEastAsia"/>
          <w:color w:val="000000"/>
          <w:szCs w:val="21"/>
        </w:rPr>
        <w:t>日，基金管理人发布《国联安基金管理有限公司关于董事长及法定代表人变更公告》，于业明先生担任公司董事长及法定代表人，庹启斌先生不再担任公司董事长及法定代表人。</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w:t>
      </w:r>
      <w:r>
        <w:rPr>
          <w:rFonts w:eastAsiaTheme="minorEastAsia"/>
          <w:color w:val="000000"/>
          <w:szCs w:val="21"/>
        </w:rPr>
        <w:t>2018</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27</w:t>
      </w:r>
      <w:r>
        <w:rPr>
          <w:rFonts w:eastAsiaTheme="minorEastAsia"/>
          <w:color w:val="000000"/>
          <w:szCs w:val="21"/>
        </w:rPr>
        <w:t>日，基金管理人发布《国联安基金管理有限公司董事、独立董事变更公告》，于业明先生、杨一君先生、</w:t>
      </w:r>
      <w:r>
        <w:rPr>
          <w:rFonts w:eastAsiaTheme="minorEastAsia"/>
          <w:color w:val="000000"/>
          <w:szCs w:val="21"/>
        </w:rPr>
        <w:t>Jiachen Fu</w:t>
      </w:r>
      <w:r>
        <w:rPr>
          <w:rFonts w:eastAsiaTheme="minorEastAsia"/>
          <w:color w:val="000000"/>
          <w:szCs w:val="21"/>
        </w:rPr>
        <w:t>女士和</w:t>
      </w:r>
      <w:r>
        <w:rPr>
          <w:rFonts w:eastAsiaTheme="minorEastAsia"/>
          <w:color w:val="000000"/>
          <w:szCs w:val="21"/>
        </w:rPr>
        <w:t>Eugen Loeffler</w:t>
      </w:r>
      <w:r>
        <w:rPr>
          <w:rFonts w:eastAsiaTheme="minorEastAsia"/>
          <w:color w:val="000000"/>
          <w:szCs w:val="21"/>
        </w:rPr>
        <w:t>先生担任公司第五届董事会董事，公司总经理孟朝霞女士继续担任公司第五届董事会董事；贝多广先生、岳志明先生担任公司第五届董事会独立董事，胡斌先生继续担任公司第五届董事会独立董事。庹启斌先生、汪卫杰先生不再担任本公司董事；程静萍女士不再担任本公司独立董事。</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30</w:t>
      </w:r>
      <w:r>
        <w:rPr>
          <w:rFonts w:eastAsiaTheme="minorEastAsia"/>
          <w:color w:val="000000"/>
          <w:szCs w:val="21"/>
        </w:rPr>
        <w:t>日，基金管理人发布《国联安基金管理有限公司高级管理人员变更公告》，刘轶先生不再担任公司督察长职务，由总经理孟朝霞女士代行督察长职务。</w:t>
      </w:r>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w:t>
      </w:r>
      <w:r>
        <w:rPr>
          <w:rFonts w:eastAsiaTheme="minorEastAsia"/>
          <w:color w:val="000000"/>
          <w:szCs w:val="21"/>
        </w:rPr>
        <w:t>2018</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28</w:t>
      </w:r>
      <w:r>
        <w:rPr>
          <w:rFonts w:eastAsiaTheme="minorEastAsia"/>
          <w:color w:val="000000"/>
          <w:szCs w:val="21"/>
        </w:rPr>
        <w:t>日，基金管理人发布《国联安基金管理有限公司高级管理人员变更公告》，满黎先生不再担任公司副总经理职务。</w:t>
      </w:r>
    </w:p>
    <w:p w:rsidR="001548F9" w:rsidRPr="00646A7D" w:rsidRDefault="001548F9" w:rsidP="00AE7535">
      <w:pPr>
        <w:spacing w:line="360" w:lineRule="auto"/>
        <w:ind w:firstLineChars="200" w:firstLine="420"/>
        <w:rPr>
          <w:rFonts w:eastAsiaTheme="minorEastAsia"/>
          <w:color w:val="000000"/>
          <w:szCs w:val="21"/>
        </w:rPr>
      </w:pPr>
      <w:bookmarkStart w:id="80" w:name="_Toc331410119"/>
      <w:r w:rsidRPr="00646A7D">
        <w:rPr>
          <w:rFonts w:eastAsiaTheme="minorEastAsia"/>
          <w:color w:val="000000"/>
          <w:szCs w:val="21"/>
        </w:rPr>
        <w:t>5</w:t>
      </w:r>
      <w:r w:rsidRPr="00646A7D">
        <w:rPr>
          <w:rFonts w:eastAsiaTheme="minorEastAsia"/>
          <w:color w:val="000000"/>
          <w:szCs w:val="21"/>
        </w:rPr>
        <w:t>、本报告期内，本基金托管人的专门基金托管部门无重大人事变动。</w:t>
      </w:r>
    </w:p>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10.3 </w:t>
      </w:r>
      <w:r w:rsidRPr="00646A7D">
        <w:rPr>
          <w:rFonts w:ascii="Times New Roman" w:eastAsiaTheme="minorEastAsia" w:hAnsi="Times New Roman"/>
          <w:kern w:val="0"/>
          <w:sz w:val="21"/>
          <w:szCs w:val="21"/>
        </w:rPr>
        <w:t>涉及基金管理人、基金财产、基金托管业务的诉讼</w:t>
      </w:r>
      <w:bookmarkEnd w:id="80"/>
    </w:p>
    <w:p w:rsidR="001548F9" w:rsidRPr="00646A7D" w:rsidRDefault="001548F9" w:rsidP="00AE7535">
      <w:pPr>
        <w:spacing w:line="360" w:lineRule="auto"/>
        <w:ind w:firstLineChars="200" w:firstLine="420"/>
        <w:rPr>
          <w:rFonts w:eastAsiaTheme="minorEastAsia"/>
          <w:color w:val="000000"/>
          <w:szCs w:val="21"/>
        </w:rPr>
      </w:pPr>
      <w:bookmarkStart w:id="81" w:name="_Toc331410120"/>
      <w:r w:rsidRPr="00646A7D">
        <w:rPr>
          <w:rFonts w:eastAsiaTheme="minorEastAsia"/>
          <w:color w:val="000000"/>
          <w:szCs w:val="21"/>
        </w:rPr>
        <w:t>本报告期内未发生涉及基金管理人、基金财产、基金托管业务的诉讼。</w:t>
      </w:r>
    </w:p>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10.4 </w:t>
      </w:r>
      <w:r w:rsidRPr="00646A7D">
        <w:rPr>
          <w:rFonts w:ascii="Times New Roman" w:eastAsiaTheme="minorEastAsia" w:hAnsi="Times New Roman"/>
          <w:kern w:val="0"/>
          <w:sz w:val="21"/>
          <w:szCs w:val="21"/>
        </w:rPr>
        <w:t>基金投资策略的改变</w:t>
      </w:r>
      <w:bookmarkEnd w:id="81"/>
    </w:p>
    <w:p w:rsidR="001548F9" w:rsidRPr="00646A7D" w:rsidRDefault="001548F9" w:rsidP="00AE7535">
      <w:pPr>
        <w:spacing w:line="360" w:lineRule="auto"/>
        <w:ind w:firstLineChars="200" w:firstLine="420"/>
        <w:rPr>
          <w:rFonts w:eastAsiaTheme="minorEastAsia"/>
          <w:color w:val="000000"/>
          <w:szCs w:val="21"/>
        </w:rPr>
      </w:pPr>
      <w:bookmarkStart w:id="82" w:name="_Toc331410121"/>
      <w:r w:rsidRPr="00646A7D">
        <w:rPr>
          <w:rFonts w:eastAsiaTheme="minorEastAsia"/>
          <w:color w:val="000000"/>
          <w:szCs w:val="21"/>
        </w:rPr>
        <w:t>本报告期内未发生基金投资策略的改变。</w:t>
      </w:r>
    </w:p>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10.5</w:t>
      </w:r>
      <w:bookmarkEnd w:id="82"/>
      <w:r w:rsidR="00A75F34" w:rsidRPr="00A75F34">
        <w:rPr>
          <w:rFonts w:ascii="Times New Roman" w:eastAsiaTheme="minorEastAsia" w:hAnsi="Times New Roman" w:hint="eastAsia"/>
          <w:sz w:val="21"/>
          <w:szCs w:val="21"/>
        </w:rPr>
        <w:t>为基金进行审计的会计师事务所情况</w:t>
      </w:r>
    </w:p>
    <w:p w:rsidR="001548F9" w:rsidRPr="00646A7D" w:rsidRDefault="001548F9" w:rsidP="00AE7535">
      <w:pPr>
        <w:spacing w:line="360" w:lineRule="auto"/>
        <w:ind w:firstLineChars="200" w:firstLine="420"/>
        <w:rPr>
          <w:rFonts w:eastAsiaTheme="minorEastAsia"/>
          <w:color w:val="000000"/>
          <w:szCs w:val="21"/>
        </w:rPr>
      </w:pPr>
      <w:bookmarkStart w:id="83" w:name="OLE_LINK3"/>
      <w:bookmarkStart w:id="84" w:name="_Toc331410122"/>
      <w:r w:rsidRPr="00646A7D">
        <w:rPr>
          <w:rFonts w:eastAsiaTheme="minorEastAsia"/>
          <w:color w:val="000000"/>
          <w:szCs w:val="21"/>
        </w:rPr>
        <w:t>本报告期内基金未有改聘为其审计的会计师事务所的情况。</w:t>
      </w:r>
    </w:p>
    <w:bookmarkEnd w:id="83"/>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10.6</w:t>
      </w:r>
      <w:r w:rsidR="00A242EE" w:rsidRPr="00646A7D">
        <w:rPr>
          <w:rFonts w:ascii="Times New Roman" w:eastAsiaTheme="minorEastAsia" w:hAnsi="Times New Roman"/>
          <w:sz w:val="21"/>
          <w:szCs w:val="21"/>
        </w:rPr>
        <w:t>管理人、托管人及其高级管理人员受稽查或处罚等情况</w:t>
      </w:r>
      <w:bookmarkEnd w:id="84"/>
    </w:p>
    <w:p w:rsidR="00DF0785" w:rsidRDefault="00311CAE">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本报告期内，中国证券监督管理委员会上海监管局就现场检查中发现的问题下发了《关于对国联安基金管理有限公司采取责令改正措施的决定》。对此，本基金管理人高度重视，对相关制度流程进行了全面梳理，针对性的制定了整改执行方案，逐条落实，彻底排查了业务中存在的风险，并就整改情况向中国证券监督管理委员会上海监管局提交了整改报告。</w:t>
      </w:r>
    </w:p>
    <w:p w:rsidR="001548F9" w:rsidRPr="00646A7D" w:rsidRDefault="001548F9" w:rsidP="00AE7535">
      <w:pPr>
        <w:spacing w:line="360" w:lineRule="auto"/>
        <w:ind w:firstLineChars="200" w:firstLine="420"/>
        <w:rPr>
          <w:rFonts w:eastAsiaTheme="minorEastAsia"/>
          <w:color w:val="000000"/>
          <w:szCs w:val="21"/>
        </w:rPr>
      </w:pPr>
      <w:bookmarkStart w:id="85" w:name="_Toc331410123"/>
      <w:r w:rsidRPr="00646A7D">
        <w:rPr>
          <w:rFonts w:eastAsiaTheme="minorEastAsia"/>
          <w:color w:val="000000"/>
          <w:szCs w:val="21"/>
        </w:rPr>
        <w:t>2</w:t>
      </w:r>
      <w:r w:rsidRPr="00646A7D">
        <w:rPr>
          <w:rFonts w:eastAsiaTheme="minorEastAsia"/>
          <w:color w:val="000000"/>
          <w:szCs w:val="21"/>
        </w:rPr>
        <w:t>、本报告期内，本基金托管人的托管业务部门及其相关高级管理人员无受稽查或处罚等情况。</w:t>
      </w:r>
    </w:p>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10.7 </w:t>
      </w:r>
      <w:r w:rsidRPr="00646A7D">
        <w:rPr>
          <w:rFonts w:ascii="Times New Roman" w:eastAsiaTheme="minorEastAsia" w:hAnsi="Times New Roman"/>
          <w:kern w:val="0"/>
          <w:sz w:val="21"/>
          <w:szCs w:val="21"/>
        </w:rPr>
        <w:t>基金租用证券公司交易单元的有关情况</w:t>
      </w:r>
      <w:bookmarkEnd w:id="85"/>
    </w:p>
    <w:p w:rsidR="001548F9" w:rsidRPr="00646A7D" w:rsidRDefault="001548F9" w:rsidP="00AE7535">
      <w:pPr>
        <w:spacing w:line="360" w:lineRule="auto"/>
        <w:rPr>
          <w:rFonts w:eastAsiaTheme="minorEastAsia"/>
          <w:b/>
          <w:szCs w:val="21"/>
        </w:rPr>
      </w:pPr>
      <w:bookmarkStart w:id="86" w:name="_Toc249760070"/>
      <w:r w:rsidRPr="00646A7D">
        <w:rPr>
          <w:rFonts w:eastAsiaTheme="minorEastAsia"/>
          <w:b/>
          <w:szCs w:val="21"/>
        </w:rPr>
        <w:t xml:space="preserve">10.7.1 </w:t>
      </w:r>
      <w:r w:rsidRPr="00646A7D">
        <w:rPr>
          <w:rFonts w:eastAsiaTheme="minorEastAsia"/>
          <w:b/>
          <w:szCs w:val="21"/>
        </w:rPr>
        <w:t>基金租用证券公司交易单元进行股票投资及佣金支付情况</w:t>
      </w:r>
      <w:bookmarkEnd w:id="86"/>
    </w:p>
    <w:p w:rsidR="00B932B3" w:rsidRPr="00646A7D" w:rsidRDefault="00B932B3" w:rsidP="00B932B3">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80"/>
        <w:gridCol w:w="1800"/>
        <w:gridCol w:w="1080"/>
        <w:gridCol w:w="1620"/>
        <w:gridCol w:w="1080"/>
        <w:gridCol w:w="1080"/>
      </w:tblGrid>
      <w:tr w:rsidR="001548F9" w:rsidRPr="00646A7D" w:rsidTr="0070173B">
        <w:tc>
          <w:tcPr>
            <w:tcW w:w="1560" w:type="dxa"/>
            <w:vMerge w:val="restart"/>
            <w:vAlign w:val="center"/>
          </w:tcPr>
          <w:p w:rsidR="001548F9" w:rsidRPr="00646A7D" w:rsidRDefault="001548F9" w:rsidP="0070173B">
            <w:pPr>
              <w:jc w:val="center"/>
              <w:rPr>
                <w:rFonts w:eastAsiaTheme="minorEastAsia"/>
                <w:color w:val="000000"/>
                <w:szCs w:val="21"/>
              </w:rPr>
            </w:pPr>
            <w:bookmarkStart w:id="87" w:name="_Toc249760071"/>
            <w:r w:rsidRPr="00646A7D">
              <w:rPr>
                <w:rFonts w:eastAsiaTheme="minorEastAsia"/>
                <w:color w:val="000000"/>
                <w:szCs w:val="21"/>
              </w:rPr>
              <w:t>券商名称</w:t>
            </w:r>
          </w:p>
        </w:tc>
        <w:tc>
          <w:tcPr>
            <w:tcW w:w="780" w:type="dxa"/>
            <w:vMerge w:val="restart"/>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交易单元数量</w:t>
            </w:r>
          </w:p>
        </w:tc>
        <w:tc>
          <w:tcPr>
            <w:tcW w:w="2880" w:type="dxa"/>
            <w:gridSpan w:val="2"/>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股票交易</w:t>
            </w:r>
          </w:p>
        </w:tc>
        <w:tc>
          <w:tcPr>
            <w:tcW w:w="2700" w:type="dxa"/>
            <w:gridSpan w:val="2"/>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应支付该券商的佣金</w:t>
            </w:r>
          </w:p>
        </w:tc>
        <w:tc>
          <w:tcPr>
            <w:tcW w:w="1080" w:type="dxa"/>
            <w:vMerge w:val="restart"/>
            <w:vAlign w:val="center"/>
          </w:tcPr>
          <w:p w:rsidR="001548F9" w:rsidRPr="00646A7D" w:rsidRDefault="001548F9" w:rsidP="0070173B">
            <w:pPr>
              <w:jc w:val="center"/>
              <w:rPr>
                <w:rFonts w:eastAsiaTheme="minorEastAsia"/>
                <w:color w:val="000000"/>
                <w:kern w:val="0"/>
                <w:szCs w:val="21"/>
              </w:rPr>
            </w:pPr>
            <w:r w:rsidRPr="00646A7D">
              <w:rPr>
                <w:rFonts w:eastAsiaTheme="minorEastAsia"/>
                <w:color w:val="000000"/>
                <w:kern w:val="0"/>
                <w:szCs w:val="21"/>
              </w:rPr>
              <w:t>备注</w:t>
            </w:r>
          </w:p>
        </w:tc>
      </w:tr>
      <w:tr w:rsidR="001548F9" w:rsidRPr="00646A7D" w:rsidTr="0070173B">
        <w:tc>
          <w:tcPr>
            <w:tcW w:w="9000" w:type="dxa"/>
            <w:vMerge/>
            <w:vAlign w:val="center"/>
          </w:tcPr>
          <w:p w:rsidR="001548F9" w:rsidRPr="00646A7D" w:rsidRDefault="001548F9" w:rsidP="0070173B">
            <w:pPr>
              <w:widowControl/>
              <w:jc w:val="left"/>
              <w:rPr>
                <w:rFonts w:eastAsiaTheme="minorEastAsia"/>
                <w:color w:val="000000"/>
                <w:szCs w:val="21"/>
              </w:rPr>
            </w:pPr>
          </w:p>
        </w:tc>
        <w:tc>
          <w:tcPr>
            <w:tcW w:w="780" w:type="dxa"/>
            <w:vMerge/>
            <w:vAlign w:val="center"/>
          </w:tcPr>
          <w:p w:rsidR="001548F9" w:rsidRPr="00646A7D" w:rsidRDefault="001548F9" w:rsidP="0070173B">
            <w:pPr>
              <w:widowControl/>
              <w:jc w:val="left"/>
              <w:rPr>
                <w:rFonts w:eastAsiaTheme="minorEastAsia"/>
                <w:color w:val="000000"/>
                <w:szCs w:val="21"/>
              </w:rPr>
            </w:pPr>
          </w:p>
        </w:tc>
        <w:tc>
          <w:tcPr>
            <w:tcW w:w="180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成交金额</w:t>
            </w:r>
          </w:p>
        </w:tc>
        <w:tc>
          <w:tcPr>
            <w:tcW w:w="10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占当期股票成交总额的比例</w:t>
            </w:r>
          </w:p>
        </w:tc>
        <w:tc>
          <w:tcPr>
            <w:tcW w:w="1620" w:type="dxa"/>
            <w:vAlign w:val="center"/>
          </w:tcPr>
          <w:p w:rsidR="001548F9" w:rsidRPr="00646A7D" w:rsidRDefault="001548F9" w:rsidP="0070173B">
            <w:pPr>
              <w:jc w:val="center"/>
              <w:rPr>
                <w:rFonts w:eastAsiaTheme="minorEastAsia"/>
                <w:color w:val="000000"/>
                <w:kern w:val="0"/>
                <w:szCs w:val="21"/>
              </w:rPr>
            </w:pPr>
            <w:r w:rsidRPr="00646A7D">
              <w:rPr>
                <w:rFonts w:eastAsiaTheme="minorEastAsia"/>
                <w:color w:val="000000"/>
                <w:kern w:val="0"/>
                <w:szCs w:val="21"/>
              </w:rPr>
              <w:t>佣金</w:t>
            </w:r>
          </w:p>
        </w:tc>
        <w:tc>
          <w:tcPr>
            <w:tcW w:w="10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占当期佣金总量的比例</w:t>
            </w:r>
          </w:p>
        </w:tc>
        <w:tc>
          <w:tcPr>
            <w:tcW w:w="1080" w:type="dxa"/>
            <w:vMerge/>
            <w:vAlign w:val="center"/>
          </w:tcPr>
          <w:p w:rsidR="001548F9" w:rsidRPr="00646A7D" w:rsidRDefault="001548F9" w:rsidP="0070173B">
            <w:pPr>
              <w:widowControl/>
              <w:jc w:val="left"/>
              <w:rPr>
                <w:rFonts w:eastAsiaTheme="minorEastAsia"/>
                <w:color w:val="000000"/>
                <w:kern w:val="0"/>
                <w:szCs w:val="21"/>
              </w:rPr>
            </w:pPr>
          </w:p>
        </w:tc>
      </w:tr>
      <w:tr w:rsidR="00DF0785">
        <w:tc>
          <w:tcPr>
            <w:tcW w:w="1560" w:type="dxa"/>
            <w:vAlign w:val="center"/>
          </w:tcPr>
          <w:p w:rsidR="00DF0785" w:rsidRDefault="00311CAE">
            <w:pPr>
              <w:jc w:val="center"/>
            </w:pPr>
            <w:r>
              <w:rPr>
                <w:rFonts w:eastAsiaTheme="minorEastAsia"/>
                <w:color w:val="000000"/>
                <w:szCs w:val="21"/>
              </w:rPr>
              <w:t>海通证券</w:t>
            </w:r>
          </w:p>
        </w:tc>
        <w:tc>
          <w:tcPr>
            <w:tcW w:w="780" w:type="dxa"/>
            <w:vAlign w:val="center"/>
          </w:tcPr>
          <w:p w:rsidR="00DF0785" w:rsidRDefault="00311CAE">
            <w:pPr>
              <w:jc w:val="center"/>
            </w:pPr>
            <w:r>
              <w:rPr>
                <w:rFonts w:eastAsiaTheme="minorEastAsia"/>
                <w:color w:val="000000"/>
                <w:szCs w:val="21"/>
              </w:rPr>
              <w:t>2</w:t>
            </w:r>
          </w:p>
        </w:tc>
        <w:tc>
          <w:tcPr>
            <w:tcW w:w="1800" w:type="dxa"/>
            <w:vAlign w:val="center"/>
          </w:tcPr>
          <w:p w:rsidR="00DF0785" w:rsidRDefault="00311CAE">
            <w:pPr>
              <w:jc w:val="right"/>
            </w:pPr>
            <w:r>
              <w:rPr>
                <w:rFonts w:eastAsiaTheme="minorEastAsia"/>
                <w:color w:val="000000"/>
                <w:szCs w:val="21"/>
              </w:rPr>
              <w:t>-</w:t>
            </w:r>
          </w:p>
        </w:tc>
        <w:tc>
          <w:tcPr>
            <w:tcW w:w="1080" w:type="dxa"/>
            <w:vAlign w:val="center"/>
          </w:tcPr>
          <w:p w:rsidR="00DF0785" w:rsidRDefault="00311CAE">
            <w:pPr>
              <w:jc w:val="right"/>
            </w:pPr>
            <w:r>
              <w:rPr>
                <w:rFonts w:eastAsiaTheme="minorEastAsia"/>
                <w:color w:val="000000"/>
                <w:szCs w:val="21"/>
              </w:rPr>
              <w:t>-</w:t>
            </w:r>
          </w:p>
        </w:tc>
        <w:tc>
          <w:tcPr>
            <w:tcW w:w="1620" w:type="dxa"/>
            <w:vAlign w:val="center"/>
          </w:tcPr>
          <w:p w:rsidR="00DF0785" w:rsidRDefault="00311CAE">
            <w:pPr>
              <w:jc w:val="right"/>
            </w:pPr>
            <w:r>
              <w:rPr>
                <w:rFonts w:eastAsiaTheme="minorEastAsia"/>
                <w:color w:val="000000"/>
                <w:szCs w:val="21"/>
              </w:rPr>
              <w:t>-</w:t>
            </w:r>
          </w:p>
        </w:tc>
        <w:tc>
          <w:tcPr>
            <w:tcW w:w="1080" w:type="dxa"/>
            <w:vAlign w:val="center"/>
          </w:tcPr>
          <w:p w:rsidR="00DF0785" w:rsidRDefault="00311CAE">
            <w:pPr>
              <w:jc w:val="right"/>
            </w:pPr>
            <w:r>
              <w:rPr>
                <w:rFonts w:eastAsiaTheme="minorEastAsia"/>
                <w:color w:val="000000"/>
                <w:szCs w:val="21"/>
              </w:rPr>
              <w:t>-</w:t>
            </w:r>
          </w:p>
        </w:tc>
        <w:tc>
          <w:tcPr>
            <w:tcW w:w="1080" w:type="dxa"/>
            <w:vAlign w:val="center"/>
          </w:tcPr>
          <w:p w:rsidR="00DF0785" w:rsidRDefault="00311CAE">
            <w:pPr>
              <w:jc w:val="left"/>
            </w:pPr>
            <w:r>
              <w:rPr>
                <w:rFonts w:eastAsiaTheme="minorEastAsia"/>
                <w:color w:val="000000"/>
                <w:szCs w:val="21"/>
              </w:rPr>
              <w:t>-</w:t>
            </w:r>
          </w:p>
        </w:tc>
      </w:tr>
    </w:tbl>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、专用交易单元的选择标准和程序</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）选择使用基金专用交易单元的证券经营机构的选择标准</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基金管理人负责选择证券经营机构，选用其专用交易单元供本基金买卖证券专用，选用标准为：</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A </w:t>
      </w:r>
      <w:r>
        <w:rPr>
          <w:rFonts w:eastAsiaTheme="minorEastAsia"/>
          <w:kern w:val="0"/>
          <w:szCs w:val="21"/>
        </w:rPr>
        <w:t>实力雄厚，信誉良好，注册资本不少于</w:t>
      </w:r>
      <w:r>
        <w:rPr>
          <w:rFonts w:eastAsiaTheme="minorEastAsia"/>
          <w:kern w:val="0"/>
          <w:szCs w:val="21"/>
        </w:rPr>
        <w:t>3</w:t>
      </w:r>
      <w:r>
        <w:rPr>
          <w:rFonts w:eastAsiaTheme="minorEastAsia"/>
          <w:kern w:val="0"/>
          <w:szCs w:val="21"/>
        </w:rPr>
        <w:t>亿元人民币。</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B </w:t>
      </w:r>
      <w:r>
        <w:rPr>
          <w:rFonts w:eastAsiaTheme="minorEastAsia"/>
          <w:kern w:val="0"/>
          <w:szCs w:val="21"/>
        </w:rPr>
        <w:t>财务状况良好，各项财务指标显示公司经营状况稳定。</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C </w:t>
      </w:r>
      <w:r>
        <w:rPr>
          <w:rFonts w:eastAsiaTheme="minorEastAsia"/>
          <w:kern w:val="0"/>
          <w:szCs w:val="21"/>
        </w:rPr>
        <w:t>经营行为规范，近一年未发生重大违规行为而受到证监会处罚。</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D </w:t>
      </w:r>
      <w:r>
        <w:rPr>
          <w:rFonts w:eastAsiaTheme="minorEastAsia"/>
          <w:kern w:val="0"/>
          <w:szCs w:val="21"/>
        </w:rPr>
        <w:t>内部管理规范、严格，具备健全的内部控制制度，并能满足基金运作高度保密的要求。</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E </w:t>
      </w:r>
      <w:r>
        <w:rPr>
          <w:rFonts w:eastAsiaTheme="minorEastAsia"/>
          <w:kern w:val="0"/>
          <w:szCs w:val="21"/>
        </w:rPr>
        <w:t>具备基金运作所需的高效、安全的通讯条件，交易设备符合代理本基金进行证券交易的要求，并能为本基金提供全面的信息服务。</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F </w:t>
      </w:r>
      <w:r>
        <w:rPr>
          <w:rFonts w:eastAsiaTheme="minorEastAsia"/>
          <w:kern w:val="0"/>
          <w:szCs w:val="21"/>
        </w:rPr>
        <w:t>研究实力较强，有固定的研究机构和专门的研究人员，能及时为本基金提供周到的咨询服务。</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）选择使用基金专用交易单元的证券经营机构的程序</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根据上述标准考察证券经营机构后，与被选中的证券经营机构签订交易单元使用协议，通知基金托管人协同办理相关交易单元租用手续。之后，基金管理人将根据各证券经营机构的研究报告、信息服务质量等情况，根据如下选择标准细化的评价体系进行评比排名：</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A </w:t>
      </w:r>
      <w:r>
        <w:rPr>
          <w:rFonts w:eastAsiaTheme="minorEastAsia"/>
          <w:kern w:val="0"/>
          <w:szCs w:val="21"/>
        </w:rPr>
        <w:t>提供的研究报告质量和数量；</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B </w:t>
      </w:r>
      <w:r>
        <w:rPr>
          <w:rFonts w:eastAsiaTheme="minorEastAsia"/>
          <w:kern w:val="0"/>
          <w:szCs w:val="21"/>
        </w:rPr>
        <w:t>研究报告被基金采纳的情况；</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C </w:t>
      </w:r>
      <w:r>
        <w:rPr>
          <w:rFonts w:eastAsiaTheme="minorEastAsia"/>
          <w:kern w:val="0"/>
          <w:szCs w:val="21"/>
        </w:rPr>
        <w:t>因采纳其报告而为基金运作带来的直接效益和间接效益；</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D </w:t>
      </w:r>
      <w:r>
        <w:rPr>
          <w:rFonts w:eastAsiaTheme="minorEastAsia"/>
          <w:kern w:val="0"/>
          <w:szCs w:val="21"/>
        </w:rPr>
        <w:t>因采纳其报告而为基金运作避免或减少的损失；</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E </w:t>
      </w:r>
      <w:r>
        <w:rPr>
          <w:rFonts w:eastAsiaTheme="minorEastAsia"/>
          <w:kern w:val="0"/>
          <w:szCs w:val="21"/>
        </w:rPr>
        <w:t>由基金管理人提出课题，证券经营机构提供的研究论文质量；</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F </w:t>
      </w:r>
      <w:r>
        <w:rPr>
          <w:rFonts w:eastAsiaTheme="minorEastAsia"/>
          <w:kern w:val="0"/>
          <w:szCs w:val="21"/>
        </w:rPr>
        <w:t>证券经营机构协助我公司研究员调研情况；</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G </w:t>
      </w:r>
      <w:r>
        <w:rPr>
          <w:rFonts w:eastAsiaTheme="minorEastAsia"/>
          <w:kern w:val="0"/>
          <w:szCs w:val="21"/>
        </w:rPr>
        <w:t>与证券经营机构研究员交流和共享研究资料情况；</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H </w:t>
      </w:r>
      <w:r>
        <w:rPr>
          <w:rFonts w:eastAsiaTheme="minorEastAsia"/>
          <w:kern w:val="0"/>
          <w:szCs w:val="21"/>
        </w:rPr>
        <w:t>其他可评价的量化标准。</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不但对已使用交易单元的证券经营机构进行排名，同时亦关注并接受其他证券经营机构的研究报告和信息资讯。对于达到有关标准的证券经营机构将继续保留，并对排名靠前的证券经营机构在交易量的分配上采取适当的倾斜政策。对于不能达到有关标准的证券经营机构则将退出基金管理人的选择名单，基金管理人将重新选择其它经营稳健、研究能力强、信息服务质量高的证券经营机构，租用其交易单元。若证券经营机构所提供的研究报告及其他信息服务不符合要求，基金管理人有权提前中止租用其交易单元。</w:t>
      </w:r>
    </w:p>
    <w:p w:rsidR="00DF0785" w:rsidRDefault="00311CAE">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、报告期内租用证券公司交易单元的变更情况</w:t>
      </w:r>
    </w:p>
    <w:p w:rsidR="001548F9" w:rsidRPr="00410E12" w:rsidRDefault="001548F9" w:rsidP="00410E12">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报告期内本基金租用证券公司的交易单元无变更。</w:t>
      </w:r>
    </w:p>
    <w:p w:rsidR="001548F9" w:rsidRPr="00646A7D" w:rsidRDefault="001548F9" w:rsidP="00BA6974">
      <w:pPr>
        <w:spacing w:beforeLines="100" w:line="360" w:lineRule="auto"/>
        <w:rPr>
          <w:rFonts w:eastAsiaTheme="minorEastAsia"/>
          <w:b/>
          <w:szCs w:val="21"/>
        </w:rPr>
      </w:pPr>
      <w:r w:rsidRPr="00646A7D">
        <w:rPr>
          <w:rFonts w:eastAsiaTheme="minorEastAsia"/>
          <w:b/>
          <w:szCs w:val="21"/>
        </w:rPr>
        <w:t xml:space="preserve">10.7.2 </w:t>
      </w:r>
      <w:r w:rsidRPr="00646A7D">
        <w:rPr>
          <w:rFonts w:eastAsiaTheme="minorEastAsia"/>
          <w:b/>
          <w:szCs w:val="21"/>
        </w:rPr>
        <w:t>基金租用证券公司交易单元进行其他证券投资的情况</w:t>
      </w:r>
      <w:bookmarkEnd w:id="87"/>
    </w:p>
    <w:p w:rsidR="001548F9" w:rsidRPr="00646A7D" w:rsidRDefault="001548F9" w:rsidP="008971E9">
      <w:pPr>
        <w:wordWrap w:val="0"/>
        <w:ind w:firstLine="420"/>
        <w:jc w:val="right"/>
        <w:rPr>
          <w:rFonts w:eastAsiaTheme="minorEastAsia"/>
          <w:color w:val="000000"/>
          <w:szCs w:val="21"/>
        </w:rPr>
      </w:pPr>
      <w:bookmarkStart w:id="88" w:name="_Toc249707408"/>
      <w:r w:rsidRPr="00646A7D">
        <w:rPr>
          <w:rFonts w:eastAsiaTheme="minorEastAsia"/>
          <w:szCs w:val="21"/>
        </w:rPr>
        <w:t>金额单位</w:t>
      </w:r>
      <w:r w:rsidRPr="00646A7D">
        <w:rPr>
          <w:rFonts w:eastAsiaTheme="minorEastAsia"/>
          <w:color w:val="000000"/>
          <w:kern w:val="0"/>
          <w:szCs w:val="21"/>
        </w:rPr>
        <w:t>：</w:t>
      </w:r>
      <w:r w:rsidRPr="00646A7D">
        <w:rPr>
          <w:rFonts w:eastAsiaTheme="minorEastAsia"/>
          <w:color w:val="000000"/>
          <w:kern w:val="0"/>
          <w:szCs w:val="21"/>
          <w:lang w:val="zh-CN"/>
        </w:rPr>
        <w:t>人民币元</w:t>
      </w:r>
      <w:bookmarkEnd w:id="8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320"/>
        <w:gridCol w:w="1080"/>
        <w:gridCol w:w="1143"/>
        <w:gridCol w:w="1197"/>
        <w:gridCol w:w="1497"/>
        <w:gridCol w:w="1203"/>
      </w:tblGrid>
      <w:tr w:rsidR="00FD7A40" w:rsidRPr="00646A7D" w:rsidTr="00A47B26">
        <w:tc>
          <w:tcPr>
            <w:tcW w:w="1560" w:type="dxa"/>
            <w:vMerge w:val="restart"/>
            <w:vAlign w:val="center"/>
          </w:tcPr>
          <w:p w:rsidR="00FD7A40" w:rsidRPr="00646A7D" w:rsidRDefault="00FD7A40" w:rsidP="00A47B26">
            <w:pPr>
              <w:spacing w:line="360" w:lineRule="auto"/>
              <w:jc w:val="center"/>
              <w:rPr>
                <w:rFonts w:eastAsiaTheme="minorEastAsia"/>
                <w:color w:val="000000"/>
                <w:kern w:val="0"/>
                <w:szCs w:val="21"/>
              </w:rPr>
            </w:pPr>
            <w:bookmarkStart w:id="89" w:name="_Toc331410125"/>
            <w:r w:rsidRPr="00646A7D">
              <w:rPr>
                <w:rFonts w:eastAsiaTheme="minorEastAsia"/>
                <w:color w:val="000000"/>
                <w:szCs w:val="21"/>
              </w:rPr>
              <w:t>券商名称</w:t>
            </w:r>
          </w:p>
        </w:tc>
        <w:tc>
          <w:tcPr>
            <w:tcW w:w="240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债券交易</w:t>
            </w:r>
          </w:p>
        </w:tc>
        <w:tc>
          <w:tcPr>
            <w:tcW w:w="234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回购交易</w:t>
            </w:r>
          </w:p>
        </w:tc>
        <w:tc>
          <w:tcPr>
            <w:tcW w:w="270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权证交易</w:t>
            </w:r>
          </w:p>
        </w:tc>
      </w:tr>
      <w:tr w:rsidR="00FD7A40" w:rsidRPr="00646A7D" w:rsidTr="00A47B26">
        <w:tc>
          <w:tcPr>
            <w:tcW w:w="1560" w:type="dxa"/>
            <w:vMerge/>
            <w:vAlign w:val="center"/>
          </w:tcPr>
          <w:p w:rsidR="00FD7A40" w:rsidRPr="00646A7D" w:rsidRDefault="00FD7A40" w:rsidP="00A47B26">
            <w:pPr>
              <w:widowControl/>
              <w:spacing w:line="360" w:lineRule="auto"/>
              <w:jc w:val="left"/>
              <w:rPr>
                <w:rFonts w:eastAsiaTheme="minorEastAsia"/>
                <w:color w:val="000000"/>
                <w:kern w:val="0"/>
                <w:szCs w:val="21"/>
              </w:rPr>
            </w:pPr>
          </w:p>
        </w:tc>
        <w:tc>
          <w:tcPr>
            <w:tcW w:w="1320"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080"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占当期债券成交总额的比例</w:t>
            </w:r>
          </w:p>
        </w:tc>
        <w:tc>
          <w:tcPr>
            <w:tcW w:w="1143"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197"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占当期回购成交总额的比例</w:t>
            </w:r>
          </w:p>
        </w:tc>
        <w:tc>
          <w:tcPr>
            <w:tcW w:w="1497"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203"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占当期权证成交总额的比例</w:t>
            </w:r>
          </w:p>
        </w:tc>
      </w:tr>
      <w:tr w:rsidR="00DF0785">
        <w:tc>
          <w:tcPr>
            <w:tcW w:w="1560" w:type="dxa"/>
            <w:vAlign w:val="center"/>
          </w:tcPr>
          <w:p w:rsidR="00DF0785" w:rsidRDefault="00311CAE">
            <w:pPr>
              <w:jc w:val="center"/>
            </w:pPr>
            <w:r>
              <w:rPr>
                <w:rFonts w:eastAsiaTheme="minorEastAsia"/>
                <w:color w:val="000000"/>
                <w:szCs w:val="21"/>
              </w:rPr>
              <w:t>海通证券</w:t>
            </w:r>
          </w:p>
        </w:tc>
        <w:tc>
          <w:tcPr>
            <w:tcW w:w="1320" w:type="dxa"/>
            <w:vAlign w:val="center"/>
          </w:tcPr>
          <w:p w:rsidR="00DF0785" w:rsidRDefault="00311CAE">
            <w:pPr>
              <w:jc w:val="right"/>
            </w:pPr>
            <w:r>
              <w:rPr>
                <w:rFonts w:eastAsiaTheme="minorEastAsia"/>
                <w:color w:val="000000"/>
                <w:szCs w:val="21"/>
              </w:rPr>
              <w:t>172,850,207.36</w:t>
            </w:r>
          </w:p>
        </w:tc>
        <w:tc>
          <w:tcPr>
            <w:tcW w:w="1080" w:type="dxa"/>
            <w:vAlign w:val="center"/>
          </w:tcPr>
          <w:p w:rsidR="00DF0785" w:rsidRDefault="00311CAE">
            <w:pPr>
              <w:jc w:val="right"/>
            </w:pPr>
            <w:r>
              <w:rPr>
                <w:rFonts w:eastAsiaTheme="minorEastAsia"/>
                <w:color w:val="000000"/>
                <w:szCs w:val="21"/>
              </w:rPr>
              <w:t>100.00%</w:t>
            </w:r>
          </w:p>
        </w:tc>
        <w:tc>
          <w:tcPr>
            <w:tcW w:w="1143" w:type="dxa"/>
            <w:vAlign w:val="center"/>
          </w:tcPr>
          <w:p w:rsidR="00DF0785" w:rsidRDefault="00311CAE">
            <w:pPr>
              <w:jc w:val="right"/>
            </w:pPr>
            <w:r>
              <w:rPr>
                <w:rFonts w:eastAsiaTheme="minorEastAsia"/>
                <w:color w:val="000000"/>
                <w:szCs w:val="21"/>
              </w:rPr>
              <w:t>1,814,800,000.00</w:t>
            </w:r>
          </w:p>
        </w:tc>
        <w:tc>
          <w:tcPr>
            <w:tcW w:w="1197" w:type="dxa"/>
            <w:vAlign w:val="center"/>
          </w:tcPr>
          <w:p w:rsidR="00DF0785" w:rsidRDefault="00311CAE">
            <w:pPr>
              <w:jc w:val="right"/>
            </w:pPr>
            <w:r>
              <w:rPr>
                <w:rFonts w:eastAsiaTheme="minorEastAsia"/>
                <w:color w:val="000000"/>
                <w:szCs w:val="21"/>
              </w:rPr>
              <w:t>100.00%</w:t>
            </w:r>
          </w:p>
        </w:tc>
        <w:tc>
          <w:tcPr>
            <w:tcW w:w="1497" w:type="dxa"/>
            <w:vAlign w:val="center"/>
          </w:tcPr>
          <w:p w:rsidR="00DF0785" w:rsidRDefault="00311CAE">
            <w:pPr>
              <w:jc w:val="right"/>
            </w:pPr>
            <w:r>
              <w:rPr>
                <w:rFonts w:eastAsiaTheme="minorEastAsia"/>
                <w:color w:val="000000"/>
                <w:szCs w:val="21"/>
              </w:rPr>
              <w:t>-</w:t>
            </w:r>
          </w:p>
        </w:tc>
        <w:tc>
          <w:tcPr>
            <w:tcW w:w="1203" w:type="dxa"/>
            <w:vAlign w:val="center"/>
          </w:tcPr>
          <w:p w:rsidR="00DF0785" w:rsidRDefault="00311CAE">
            <w:pPr>
              <w:jc w:val="right"/>
            </w:pPr>
            <w:r>
              <w:rPr>
                <w:rFonts w:eastAsiaTheme="minorEastAsia"/>
                <w:color w:val="000000"/>
                <w:szCs w:val="21"/>
              </w:rPr>
              <w:t>-</w:t>
            </w:r>
          </w:p>
        </w:tc>
      </w:tr>
    </w:tbl>
    <w:p w:rsidR="00FD7A40" w:rsidRPr="00646A7D" w:rsidRDefault="00FD7A40" w:rsidP="00FD7A40">
      <w:pPr>
        <w:autoSpaceDE w:val="0"/>
        <w:autoSpaceDN w:val="0"/>
        <w:adjustRightInd w:val="0"/>
        <w:spacing w:line="360" w:lineRule="auto"/>
        <w:jc w:val="left"/>
        <w:rPr>
          <w:rFonts w:eastAsiaTheme="minorEastAsia"/>
          <w:color w:val="000000"/>
          <w:szCs w:val="21"/>
        </w:rPr>
      </w:pPr>
    </w:p>
    <w:bookmarkEnd w:id="89"/>
    <w:p w:rsidR="008811F1" w:rsidRDefault="008811F1" w:rsidP="00BA6974">
      <w:pPr>
        <w:pStyle w:val="1"/>
        <w:keepNext/>
        <w:keepLines/>
        <w:widowControl w:val="0"/>
        <w:spacing w:beforeLines="100" w:afterLines="100" w:line="360" w:lineRule="auto"/>
        <w:jc w:val="center"/>
        <w:rPr>
          <w:rFonts w:eastAsiaTheme="minorEastAsia"/>
          <w:b/>
          <w:bCs/>
          <w:sz w:val="21"/>
          <w:szCs w:val="21"/>
          <w:lang w:val="en-US"/>
        </w:rPr>
      </w:pPr>
      <w:r>
        <w:rPr>
          <w:rFonts w:eastAsiaTheme="minorEastAsia"/>
          <w:b/>
          <w:bCs/>
          <w:sz w:val="21"/>
          <w:szCs w:val="21"/>
          <w:lang w:val="en-US"/>
        </w:rPr>
        <w:t xml:space="preserve">11  </w:t>
      </w:r>
      <w:r>
        <w:rPr>
          <w:rFonts w:eastAsiaTheme="minorEastAsia" w:hint="eastAsia"/>
          <w:b/>
          <w:bCs/>
          <w:sz w:val="21"/>
          <w:szCs w:val="21"/>
          <w:lang w:val="en-US"/>
        </w:rPr>
        <w:t>影响投资者决策的其他重要信息</w:t>
      </w:r>
    </w:p>
    <w:p w:rsidR="008811F1" w:rsidRDefault="008811F1" w:rsidP="008811F1">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11.1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1"/>
        <w:gridCol w:w="1843"/>
        <w:gridCol w:w="851"/>
        <w:gridCol w:w="850"/>
        <w:gridCol w:w="1134"/>
        <w:gridCol w:w="1419"/>
        <w:gridCol w:w="1130"/>
      </w:tblGrid>
      <w:tr w:rsidR="008811F1" w:rsidTr="008811F1">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811F1" w:rsidRDefault="008811F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8811F1" w:rsidRDefault="008811F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8811F1" w:rsidRDefault="008811F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8811F1" w:rsidTr="008811F1">
        <w:tc>
          <w:tcPr>
            <w:tcW w:w="993" w:type="dxa"/>
            <w:vMerge/>
            <w:tcBorders>
              <w:top w:val="single" w:sz="4" w:space="0" w:color="auto"/>
              <w:left w:val="single" w:sz="4" w:space="0" w:color="auto"/>
              <w:bottom w:val="single" w:sz="4" w:space="0" w:color="auto"/>
              <w:right w:val="single" w:sz="4" w:space="0" w:color="auto"/>
            </w:tcBorders>
            <w:vAlign w:val="center"/>
            <w:hideMark/>
          </w:tcPr>
          <w:p w:rsidR="008811F1" w:rsidRDefault="008811F1">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811F1" w:rsidRDefault="008811F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11F1" w:rsidRDefault="008811F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8811F1" w:rsidRDefault="008811F1">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8811F1" w:rsidRDefault="008811F1">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11F1" w:rsidRDefault="008811F1">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11F1" w:rsidRDefault="008811F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8811F1" w:rsidRDefault="008811F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DF0785">
        <w:tc>
          <w:tcPr>
            <w:tcW w:w="992" w:type="dxa"/>
          </w:tcPr>
          <w:p w:rsidR="00DF0785" w:rsidRDefault="00DF0785"/>
          <w:p w:rsidR="00DF0785" w:rsidRDefault="00311CAE">
            <w:r>
              <w:rPr>
                <w:rFonts w:ascii="宋体" w:hAnsi="宋体" w:hint="eastAsia"/>
                <w:bCs/>
                <w:color w:val="000000"/>
                <w:kern w:val="0"/>
                <w:szCs w:val="21"/>
              </w:rPr>
              <w:t>机构</w:t>
            </w:r>
          </w:p>
        </w:tc>
        <w:tc>
          <w:tcPr>
            <w:tcW w:w="991" w:type="dxa"/>
            <w:vAlign w:val="center"/>
          </w:tcPr>
          <w:p w:rsidR="00DF0785" w:rsidRDefault="00311CAE">
            <w:pPr>
              <w:jc w:val="center"/>
            </w:pPr>
            <w:r>
              <w:rPr>
                <w:rFonts w:ascii="宋体" w:hAnsi="宋体" w:hint="eastAsia"/>
                <w:color w:val="000000"/>
                <w:kern w:val="0"/>
                <w:szCs w:val="21"/>
              </w:rPr>
              <w:t>1</w:t>
            </w:r>
          </w:p>
        </w:tc>
        <w:tc>
          <w:tcPr>
            <w:tcW w:w="1843" w:type="dxa"/>
            <w:vAlign w:val="center"/>
          </w:tcPr>
          <w:p w:rsidR="00DF0785" w:rsidRDefault="00311CAE">
            <w:pPr>
              <w:jc w:val="center"/>
            </w:pPr>
            <w:r>
              <w:rPr>
                <w:rFonts w:ascii="宋体" w:hAnsi="宋体" w:hint="eastAsia"/>
                <w:color w:val="000000"/>
                <w:kern w:val="0"/>
                <w:szCs w:val="21"/>
              </w:rPr>
              <w:t>2018年1月1日至2018年6月30日</w:t>
            </w:r>
          </w:p>
        </w:tc>
        <w:tc>
          <w:tcPr>
            <w:tcW w:w="851" w:type="dxa"/>
            <w:vAlign w:val="center"/>
          </w:tcPr>
          <w:p w:rsidR="00DF0785" w:rsidRDefault="00311CAE">
            <w:pPr>
              <w:jc w:val="center"/>
            </w:pPr>
            <w:r>
              <w:rPr>
                <w:rFonts w:ascii="宋体" w:hAnsi="宋体" w:hint="eastAsia"/>
                <w:color w:val="000000"/>
                <w:kern w:val="0"/>
                <w:szCs w:val="21"/>
              </w:rPr>
              <w:t>50,012,500.00</w:t>
            </w:r>
          </w:p>
        </w:tc>
        <w:tc>
          <w:tcPr>
            <w:tcW w:w="850" w:type="dxa"/>
            <w:vAlign w:val="center"/>
          </w:tcPr>
          <w:p w:rsidR="00DF0785" w:rsidRDefault="00311CAE">
            <w:pPr>
              <w:jc w:val="center"/>
            </w:pPr>
            <w:r>
              <w:rPr>
                <w:rFonts w:ascii="宋体" w:hAnsi="宋体" w:hint="eastAsia"/>
                <w:color w:val="000000"/>
                <w:kern w:val="0"/>
                <w:szCs w:val="21"/>
              </w:rPr>
              <w:t>0.00</w:t>
            </w:r>
          </w:p>
        </w:tc>
        <w:tc>
          <w:tcPr>
            <w:tcW w:w="1134" w:type="dxa"/>
            <w:vAlign w:val="center"/>
          </w:tcPr>
          <w:p w:rsidR="00DF0785" w:rsidRDefault="00311CAE">
            <w:pPr>
              <w:jc w:val="center"/>
            </w:pPr>
            <w:r>
              <w:rPr>
                <w:rFonts w:ascii="宋体" w:hAnsi="宋体" w:hint="eastAsia"/>
                <w:color w:val="000000"/>
                <w:kern w:val="0"/>
                <w:szCs w:val="21"/>
              </w:rPr>
              <w:t>0.00</w:t>
            </w:r>
          </w:p>
        </w:tc>
        <w:tc>
          <w:tcPr>
            <w:tcW w:w="1419" w:type="dxa"/>
            <w:vAlign w:val="center"/>
          </w:tcPr>
          <w:p w:rsidR="00DF0785" w:rsidRDefault="00311CAE">
            <w:pPr>
              <w:jc w:val="center"/>
            </w:pPr>
            <w:r>
              <w:rPr>
                <w:rFonts w:ascii="宋体" w:hAnsi="宋体" w:hint="eastAsia"/>
                <w:color w:val="000000"/>
                <w:kern w:val="0"/>
                <w:szCs w:val="21"/>
              </w:rPr>
              <w:t>50,012,500.00</w:t>
            </w:r>
          </w:p>
        </w:tc>
        <w:tc>
          <w:tcPr>
            <w:tcW w:w="1130" w:type="dxa"/>
            <w:vAlign w:val="center"/>
          </w:tcPr>
          <w:p w:rsidR="00DF0785" w:rsidRDefault="00311CAE">
            <w:pPr>
              <w:jc w:val="center"/>
            </w:pPr>
            <w:r>
              <w:rPr>
                <w:rFonts w:ascii="宋体" w:hAnsi="宋体" w:hint="eastAsia"/>
                <w:color w:val="000000"/>
                <w:kern w:val="0"/>
                <w:szCs w:val="21"/>
              </w:rPr>
              <w:t>24.72%</w:t>
            </w:r>
          </w:p>
        </w:tc>
      </w:tr>
      <w:tr w:rsidR="008811F1" w:rsidTr="008811F1">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8811F1" w:rsidRDefault="008811F1">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8811F1" w:rsidTr="008811F1">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DF0785" w:rsidRDefault="00311CAE">
            <w:pPr>
              <w:autoSpaceDE w:val="0"/>
              <w:autoSpaceDN w:val="0"/>
              <w:adjustRightInd w:val="0"/>
              <w:jc w:val="left"/>
              <w:rPr>
                <w:rFonts w:ascii="宋体" w:hAnsi="宋体"/>
                <w:kern w:val="0"/>
                <w:szCs w:val="21"/>
              </w:rPr>
            </w:pPr>
            <w:r>
              <w:rPr>
                <w:rFonts w:ascii="宋体" w:hAnsi="宋体" w:hint="eastAsia"/>
                <w:kern w:val="0"/>
                <w:szCs w:val="21"/>
              </w:rPr>
              <w:t>（1）持有份额比例较高的投资者（“高比例投资者”）大额赎回时易使本基金发生巨额赎回或连续巨额赎回，中小投资者可能面临赎回申请需要与高比例投资者按同比例部分延期办理的风险，赎回款项延期获得。</w:t>
            </w:r>
          </w:p>
          <w:p w:rsidR="00DF0785" w:rsidRDefault="00311CAE">
            <w:pPr>
              <w:autoSpaceDE w:val="0"/>
              <w:autoSpaceDN w:val="0"/>
              <w:adjustRightInd w:val="0"/>
              <w:jc w:val="left"/>
              <w:rPr>
                <w:rFonts w:ascii="宋体" w:hAnsi="宋体"/>
                <w:kern w:val="0"/>
                <w:szCs w:val="21"/>
              </w:rPr>
            </w:pPr>
            <w:r>
              <w:rPr>
                <w:rFonts w:ascii="宋体" w:hAnsi="宋体" w:hint="eastAsia"/>
                <w:kern w:val="0"/>
                <w:szCs w:val="21"/>
              </w:rPr>
              <w:t>（2）基金净值大幅波动的风险</w:t>
            </w:r>
          </w:p>
          <w:p w:rsidR="00DF0785" w:rsidRDefault="00311CAE">
            <w:pPr>
              <w:autoSpaceDE w:val="0"/>
              <w:autoSpaceDN w:val="0"/>
              <w:adjustRightInd w:val="0"/>
              <w:jc w:val="left"/>
              <w:rPr>
                <w:rFonts w:ascii="宋体" w:hAnsi="宋体"/>
                <w:kern w:val="0"/>
                <w:szCs w:val="21"/>
              </w:rPr>
            </w:pPr>
            <w:r>
              <w:rPr>
                <w:rFonts w:ascii="宋体" w:hAnsi="宋体" w:hint="eastAsia"/>
                <w:kern w:val="0"/>
                <w:szCs w:val="21"/>
              </w:rPr>
              <w:t>高比例投资者大额赎回时，基金管理人进行基金财产变现可能会对基金资产净值造成较大波动；若高比例投资者赎回的基金份额收取赎回费，相应的赎回费用按约定将部分或全部归入基金资产，可能对基金资产净值造成较大波动。</w:t>
            </w:r>
          </w:p>
          <w:p w:rsidR="00DF0785" w:rsidRDefault="00311CAE">
            <w:pPr>
              <w:autoSpaceDE w:val="0"/>
              <w:autoSpaceDN w:val="0"/>
              <w:adjustRightInd w:val="0"/>
              <w:jc w:val="left"/>
              <w:rPr>
                <w:rFonts w:ascii="宋体" w:hAnsi="宋体"/>
                <w:kern w:val="0"/>
                <w:szCs w:val="21"/>
              </w:rPr>
            </w:pPr>
            <w:r>
              <w:rPr>
                <w:rFonts w:ascii="宋体" w:hAnsi="宋体" w:hint="eastAsia"/>
                <w:kern w:val="0"/>
                <w:szCs w:val="21"/>
              </w:rPr>
              <w:t>（3）基金规模较小导致的风险</w:t>
            </w:r>
          </w:p>
          <w:p w:rsidR="008811F1" w:rsidRDefault="00311CAE" w:rsidP="0067769B">
            <w:pPr>
              <w:autoSpaceDE w:val="0"/>
              <w:autoSpaceDN w:val="0"/>
              <w:adjustRightInd w:val="0"/>
              <w:jc w:val="left"/>
              <w:rPr>
                <w:rFonts w:ascii="宋体" w:hAnsi="宋体"/>
                <w:kern w:val="0"/>
                <w:szCs w:val="21"/>
              </w:rPr>
            </w:pPr>
            <w:r>
              <w:rPr>
                <w:rFonts w:ascii="宋体" w:hAnsi="宋体" w:hint="eastAsia"/>
                <w:kern w:val="0"/>
                <w:szCs w:val="21"/>
              </w:rPr>
              <w:t>高比例投资者赎回后，可能导致基金规模较小，从而使得基金投资及运作管理的难度增加。本基金管理人将继续勤勉尽责，执行相关投资策略，力争实现投资目标。</w:t>
            </w:r>
          </w:p>
        </w:tc>
      </w:tr>
    </w:tbl>
    <w:p w:rsidR="008811F1" w:rsidRDefault="008811F1" w:rsidP="008811F1">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11.2 影响投资者决策的其他重要信息</w:t>
      </w:r>
    </w:p>
    <w:p w:rsidR="008811F1" w:rsidRDefault="008811F1" w:rsidP="008811F1">
      <w:pPr>
        <w:spacing w:line="360" w:lineRule="auto"/>
        <w:ind w:firstLineChars="200" w:firstLine="420"/>
        <w:rPr>
          <w:rFonts w:ascii="宋体" w:hAnsi="宋体"/>
          <w:color w:val="000000"/>
          <w:szCs w:val="21"/>
        </w:rPr>
      </w:pPr>
      <w:r>
        <w:rPr>
          <w:rFonts w:ascii="宋体" w:hAnsi="宋体" w:hint="eastAsia"/>
          <w:color w:val="000000"/>
          <w:szCs w:val="21"/>
        </w:rPr>
        <w:t>本基金管理人于2018年5月4日发布公告，经本基金管理人股东会第五十五次会议决议通过，并经中国证券监督管理委员会批复核准（证监许可[2018]557号），本基金管理人原股东国泰君安证券股份有限公司将所持51%股权转让给太平洋资产管理有限责任公司。上述事项涉及的相关工商变更登记等事宜，已按规定办理完毕。变更后，本基金管理人的股东为太平洋资产管理有限责任公司和安联集团。</w:t>
      </w:r>
    </w:p>
    <w:p w:rsidR="001548F9" w:rsidRPr="00646A7D" w:rsidRDefault="001548F9" w:rsidP="005E17AD">
      <w:pPr>
        <w:ind w:firstLineChars="150" w:firstLine="315"/>
        <w:rPr>
          <w:rFonts w:eastAsiaTheme="minorEastAsia"/>
          <w:bCs/>
          <w:color w:val="000000"/>
          <w:szCs w:val="21"/>
        </w:rPr>
      </w:pPr>
    </w:p>
    <w:p w:rsidR="001548F9" w:rsidRPr="00646A7D" w:rsidRDefault="001548F9" w:rsidP="005E17AD">
      <w:pPr>
        <w:ind w:firstLineChars="150" w:firstLine="315"/>
        <w:rPr>
          <w:rFonts w:eastAsiaTheme="minorEastAsia"/>
          <w:bCs/>
          <w:color w:val="000000"/>
          <w:szCs w:val="21"/>
        </w:rPr>
      </w:pPr>
    </w:p>
    <w:p w:rsidR="001548F9" w:rsidRPr="00646A7D" w:rsidRDefault="001548F9" w:rsidP="005E17AD">
      <w:pPr>
        <w:ind w:firstLineChars="150" w:firstLine="315"/>
        <w:rPr>
          <w:rFonts w:eastAsiaTheme="minorEastAsia"/>
          <w:bCs/>
          <w:color w:val="000000"/>
          <w:szCs w:val="21"/>
        </w:rPr>
      </w:pPr>
    </w:p>
    <w:p w:rsidR="001548F9" w:rsidRPr="00646A7D" w:rsidRDefault="001548F9" w:rsidP="005E17AD">
      <w:pPr>
        <w:ind w:firstLineChars="150" w:firstLine="315"/>
        <w:rPr>
          <w:rFonts w:eastAsiaTheme="minorEastAsia"/>
          <w:bCs/>
          <w:color w:val="000000"/>
          <w:szCs w:val="21"/>
        </w:rPr>
      </w:pPr>
    </w:p>
    <w:p w:rsidR="001548F9" w:rsidRPr="00646A7D" w:rsidRDefault="001548F9" w:rsidP="005E17AD">
      <w:pPr>
        <w:ind w:firstLineChars="150" w:firstLine="315"/>
        <w:rPr>
          <w:rFonts w:eastAsiaTheme="minorEastAsia"/>
          <w:bCs/>
          <w:color w:val="000000"/>
          <w:szCs w:val="21"/>
        </w:rPr>
      </w:pPr>
    </w:p>
    <w:p w:rsidR="001548F9" w:rsidRPr="00646A7D" w:rsidRDefault="001548F9" w:rsidP="005E17AD">
      <w:pPr>
        <w:ind w:firstLineChars="150" w:firstLine="315"/>
        <w:rPr>
          <w:rFonts w:eastAsiaTheme="minorEastAsia"/>
          <w:bCs/>
          <w:color w:val="000000"/>
          <w:szCs w:val="21"/>
        </w:rPr>
      </w:pPr>
    </w:p>
    <w:p w:rsidR="001548F9" w:rsidRPr="00646A7D" w:rsidRDefault="001548F9" w:rsidP="005E17AD">
      <w:pPr>
        <w:ind w:firstLineChars="150" w:firstLine="315"/>
        <w:rPr>
          <w:rFonts w:eastAsiaTheme="minorEastAsia"/>
          <w:bCs/>
          <w:color w:val="000000"/>
          <w:szCs w:val="21"/>
        </w:rPr>
      </w:pPr>
    </w:p>
    <w:p w:rsidR="001548F9" w:rsidRPr="00646A7D" w:rsidRDefault="001548F9" w:rsidP="008971E9">
      <w:pPr>
        <w:spacing w:line="360" w:lineRule="auto"/>
        <w:ind w:left="840"/>
        <w:jc w:val="right"/>
        <w:rPr>
          <w:rFonts w:eastAsiaTheme="minorEastAsia"/>
          <w:b/>
          <w:bCs/>
          <w:szCs w:val="21"/>
        </w:rPr>
      </w:pPr>
      <w:r w:rsidRPr="00646A7D">
        <w:rPr>
          <w:rFonts w:eastAsiaTheme="minorEastAsia"/>
          <w:b/>
          <w:bCs/>
          <w:szCs w:val="21"/>
        </w:rPr>
        <w:t>国联安基金管理有限公司</w:t>
      </w:r>
    </w:p>
    <w:p w:rsidR="001548F9" w:rsidRPr="00646A7D" w:rsidRDefault="001548F9" w:rsidP="00631B2E">
      <w:pPr>
        <w:spacing w:line="360" w:lineRule="auto"/>
        <w:ind w:left="840"/>
        <w:jc w:val="right"/>
        <w:rPr>
          <w:rFonts w:eastAsiaTheme="minorEastAsia"/>
          <w:b/>
          <w:bCs/>
          <w:szCs w:val="21"/>
        </w:rPr>
      </w:pPr>
      <w:r w:rsidRPr="00646A7D">
        <w:rPr>
          <w:rFonts w:eastAsiaTheme="minorEastAsia"/>
          <w:b/>
          <w:bCs/>
          <w:szCs w:val="21"/>
        </w:rPr>
        <w:t>二〇一八年八月二十四日</w:t>
      </w:r>
    </w:p>
    <w:sectPr w:rsidR="001548F9" w:rsidRPr="00646A7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E0AA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0AA87" w16cid:durableId="1F25BE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065" w:rsidRDefault="003E4065">
      <w:r>
        <w:separator/>
      </w:r>
    </w:p>
  </w:endnote>
  <w:endnote w:type="continuationSeparator" w:id="1">
    <w:p w:rsidR="003E4065" w:rsidRDefault="003E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39" w:rsidRDefault="00164B21" w:rsidP="00C03B3A">
    <w:pPr>
      <w:pStyle w:val="a6"/>
      <w:framePr w:wrap="around" w:vAnchor="text" w:hAnchor="margin" w:xAlign="right" w:y="1"/>
      <w:rPr>
        <w:rStyle w:val="a7"/>
      </w:rPr>
    </w:pPr>
    <w:r>
      <w:rPr>
        <w:rStyle w:val="a7"/>
      </w:rPr>
      <w:fldChar w:fldCharType="begin"/>
    </w:r>
    <w:r w:rsidR="00D44E39">
      <w:rPr>
        <w:rStyle w:val="a7"/>
      </w:rPr>
      <w:instrText xml:space="preserve">PAGE  </w:instrText>
    </w:r>
    <w:r>
      <w:rPr>
        <w:rStyle w:val="a7"/>
      </w:rPr>
      <w:fldChar w:fldCharType="end"/>
    </w:r>
  </w:p>
  <w:p w:rsidR="00D44E39" w:rsidRDefault="00D44E39"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39" w:rsidRDefault="00D44E39" w:rsidP="00C03B3A">
    <w:pPr>
      <w:pStyle w:val="a6"/>
      <w:ind w:right="360"/>
      <w:jc w:val="center"/>
    </w:pPr>
    <w:r>
      <w:rPr>
        <w:rFonts w:hint="eastAsia"/>
        <w:kern w:val="0"/>
        <w:szCs w:val="21"/>
      </w:rPr>
      <w:t>第</w:t>
    </w:r>
    <w:r w:rsidR="00164B21">
      <w:rPr>
        <w:kern w:val="0"/>
        <w:szCs w:val="21"/>
      </w:rPr>
      <w:fldChar w:fldCharType="begin"/>
    </w:r>
    <w:r>
      <w:rPr>
        <w:kern w:val="0"/>
        <w:szCs w:val="21"/>
      </w:rPr>
      <w:instrText xml:space="preserve"> PAGE </w:instrText>
    </w:r>
    <w:r w:rsidR="00164B21">
      <w:rPr>
        <w:kern w:val="0"/>
        <w:szCs w:val="21"/>
      </w:rPr>
      <w:fldChar w:fldCharType="separate"/>
    </w:r>
    <w:r w:rsidR="00BA6974">
      <w:rPr>
        <w:noProof/>
        <w:kern w:val="0"/>
        <w:szCs w:val="21"/>
      </w:rPr>
      <w:t>2</w:t>
    </w:r>
    <w:r w:rsidR="00164B21">
      <w:rPr>
        <w:kern w:val="0"/>
        <w:szCs w:val="21"/>
      </w:rPr>
      <w:fldChar w:fldCharType="end"/>
    </w:r>
    <w:r>
      <w:rPr>
        <w:rFonts w:hint="eastAsia"/>
        <w:kern w:val="0"/>
        <w:szCs w:val="21"/>
      </w:rPr>
      <w:t>页共</w:t>
    </w:r>
    <w:r w:rsidR="00164B21">
      <w:rPr>
        <w:kern w:val="0"/>
        <w:szCs w:val="21"/>
      </w:rPr>
      <w:fldChar w:fldCharType="begin"/>
    </w:r>
    <w:r>
      <w:rPr>
        <w:kern w:val="0"/>
        <w:szCs w:val="21"/>
      </w:rPr>
      <w:instrText xml:space="preserve"> NUMPAGES </w:instrText>
    </w:r>
    <w:r w:rsidR="00164B21">
      <w:rPr>
        <w:kern w:val="0"/>
        <w:szCs w:val="21"/>
      </w:rPr>
      <w:fldChar w:fldCharType="separate"/>
    </w:r>
    <w:r w:rsidR="00BA6974">
      <w:rPr>
        <w:noProof/>
        <w:kern w:val="0"/>
        <w:szCs w:val="21"/>
      </w:rPr>
      <w:t>2</w:t>
    </w:r>
    <w:r w:rsidR="00164B21">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065" w:rsidRDefault="003E4065">
      <w:r>
        <w:separator/>
      </w:r>
    </w:p>
  </w:footnote>
  <w:footnote w:type="continuationSeparator" w:id="1">
    <w:p w:rsidR="003E4065" w:rsidRDefault="003E4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39" w:rsidRPr="0049538A" w:rsidRDefault="00D44E39" w:rsidP="002243A3">
    <w:pPr>
      <w:pStyle w:val="a9"/>
      <w:pBdr>
        <w:bottom w:val="single" w:sz="6" w:space="0" w:color="auto"/>
      </w:pBdr>
      <w:jc w:val="right"/>
    </w:pPr>
    <w:r w:rsidRPr="0049538A">
      <w:t>国联安睿智定期开放混合型证券投资基金</w:t>
    </w:r>
    <w:r w:rsidRPr="0049538A">
      <w:t>2018</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Vini">
    <w15:presenceInfo w15:providerId="Windows Live" w15:userId="4c148c7a0dfab1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6E3"/>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5120"/>
    <w:rsid w:val="00066524"/>
    <w:rsid w:val="000671A3"/>
    <w:rsid w:val="00070CD1"/>
    <w:rsid w:val="00071022"/>
    <w:rsid w:val="0007171B"/>
    <w:rsid w:val="000717A1"/>
    <w:rsid w:val="00071E9D"/>
    <w:rsid w:val="000726DE"/>
    <w:rsid w:val="00072735"/>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2498"/>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085"/>
    <w:rsid w:val="000A13A2"/>
    <w:rsid w:val="000A1448"/>
    <w:rsid w:val="000A14B6"/>
    <w:rsid w:val="000A1BD6"/>
    <w:rsid w:val="000A1BFB"/>
    <w:rsid w:val="000A1C93"/>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3145"/>
    <w:rsid w:val="000D36D1"/>
    <w:rsid w:val="000D4AAD"/>
    <w:rsid w:val="000D52DC"/>
    <w:rsid w:val="000D55E8"/>
    <w:rsid w:val="000D6054"/>
    <w:rsid w:val="000D619B"/>
    <w:rsid w:val="000D65CA"/>
    <w:rsid w:val="000D75FD"/>
    <w:rsid w:val="000D788B"/>
    <w:rsid w:val="000D7BDE"/>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38AB"/>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21"/>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978D8"/>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5E0"/>
    <w:rsid w:val="001D5045"/>
    <w:rsid w:val="001D53C4"/>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21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4B"/>
    <w:rsid w:val="002A3DFD"/>
    <w:rsid w:val="002A46A7"/>
    <w:rsid w:val="002A5C6B"/>
    <w:rsid w:val="002A5D31"/>
    <w:rsid w:val="002A630A"/>
    <w:rsid w:val="002A714F"/>
    <w:rsid w:val="002A75D7"/>
    <w:rsid w:val="002A7B1F"/>
    <w:rsid w:val="002B09C0"/>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350"/>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1CAE"/>
    <w:rsid w:val="00312C47"/>
    <w:rsid w:val="00312DAE"/>
    <w:rsid w:val="003132DB"/>
    <w:rsid w:val="00313336"/>
    <w:rsid w:val="003133A7"/>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8B2"/>
    <w:rsid w:val="0034096C"/>
    <w:rsid w:val="003410A1"/>
    <w:rsid w:val="00341188"/>
    <w:rsid w:val="0034147B"/>
    <w:rsid w:val="003424CB"/>
    <w:rsid w:val="00342B06"/>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B65EC"/>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06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3AC"/>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0E12"/>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1E19"/>
    <w:rsid w:val="00432B7F"/>
    <w:rsid w:val="00432D0B"/>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302"/>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60F"/>
    <w:rsid w:val="0047237D"/>
    <w:rsid w:val="00472561"/>
    <w:rsid w:val="004731F1"/>
    <w:rsid w:val="00473EB5"/>
    <w:rsid w:val="0047456B"/>
    <w:rsid w:val="00475251"/>
    <w:rsid w:val="004755BD"/>
    <w:rsid w:val="004773B6"/>
    <w:rsid w:val="00477400"/>
    <w:rsid w:val="00477EE7"/>
    <w:rsid w:val="00480BC8"/>
    <w:rsid w:val="00481265"/>
    <w:rsid w:val="004814BF"/>
    <w:rsid w:val="00482649"/>
    <w:rsid w:val="00482BDC"/>
    <w:rsid w:val="00483630"/>
    <w:rsid w:val="004836EA"/>
    <w:rsid w:val="00483BB4"/>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B73"/>
    <w:rsid w:val="0049538A"/>
    <w:rsid w:val="00495A03"/>
    <w:rsid w:val="00495E28"/>
    <w:rsid w:val="00497079"/>
    <w:rsid w:val="00497450"/>
    <w:rsid w:val="004976A0"/>
    <w:rsid w:val="00497F30"/>
    <w:rsid w:val="00497F49"/>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15"/>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553"/>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653"/>
    <w:rsid w:val="00582FAD"/>
    <w:rsid w:val="00583489"/>
    <w:rsid w:val="0058391F"/>
    <w:rsid w:val="00583A80"/>
    <w:rsid w:val="00584188"/>
    <w:rsid w:val="0058483C"/>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52"/>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77D"/>
    <w:rsid w:val="005A48ED"/>
    <w:rsid w:val="005A4AFF"/>
    <w:rsid w:val="005A4E6A"/>
    <w:rsid w:val="005A52BE"/>
    <w:rsid w:val="005A539E"/>
    <w:rsid w:val="005A58C9"/>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2BF6"/>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3CE1"/>
    <w:rsid w:val="006440ED"/>
    <w:rsid w:val="0064467C"/>
    <w:rsid w:val="00644AB5"/>
    <w:rsid w:val="00645213"/>
    <w:rsid w:val="00645293"/>
    <w:rsid w:val="006468CB"/>
    <w:rsid w:val="00646A7D"/>
    <w:rsid w:val="006475F3"/>
    <w:rsid w:val="00651B78"/>
    <w:rsid w:val="00652263"/>
    <w:rsid w:val="0065238F"/>
    <w:rsid w:val="0065278C"/>
    <w:rsid w:val="00652881"/>
    <w:rsid w:val="00652985"/>
    <w:rsid w:val="006533AE"/>
    <w:rsid w:val="00654982"/>
    <w:rsid w:val="006551AE"/>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9C0"/>
    <w:rsid w:val="00673F6D"/>
    <w:rsid w:val="00674850"/>
    <w:rsid w:val="00675116"/>
    <w:rsid w:val="00675D03"/>
    <w:rsid w:val="00676016"/>
    <w:rsid w:val="00676EA7"/>
    <w:rsid w:val="0067769B"/>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40FA"/>
    <w:rsid w:val="00744201"/>
    <w:rsid w:val="00744B78"/>
    <w:rsid w:val="00745FCE"/>
    <w:rsid w:val="00746130"/>
    <w:rsid w:val="007461FB"/>
    <w:rsid w:val="00746A40"/>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C3"/>
    <w:rsid w:val="00757A4C"/>
    <w:rsid w:val="00760895"/>
    <w:rsid w:val="007613D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2FCE"/>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395C"/>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1F1"/>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3E60"/>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3C9C"/>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3357"/>
    <w:rsid w:val="00A43389"/>
    <w:rsid w:val="00A434A7"/>
    <w:rsid w:val="00A43A9D"/>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9C0"/>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4"/>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10A"/>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2DE4"/>
    <w:rsid w:val="00B33825"/>
    <w:rsid w:val="00B33E8F"/>
    <w:rsid w:val="00B34BB2"/>
    <w:rsid w:val="00B34E7C"/>
    <w:rsid w:val="00B35AF6"/>
    <w:rsid w:val="00B35F37"/>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A52"/>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974"/>
    <w:rsid w:val="00BA6E49"/>
    <w:rsid w:val="00BB0187"/>
    <w:rsid w:val="00BB0E56"/>
    <w:rsid w:val="00BB1EB3"/>
    <w:rsid w:val="00BB236B"/>
    <w:rsid w:val="00BB2678"/>
    <w:rsid w:val="00BB3077"/>
    <w:rsid w:val="00BB313F"/>
    <w:rsid w:val="00BB33A8"/>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318"/>
    <w:rsid w:val="00C05B5F"/>
    <w:rsid w:val="00C06734"/>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4883"/>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05C"/>
    <w:rsid w:val="00C50F61"/>
    <w:rsid w:val="00C521D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F5F"/>
    <w:rsid w:val="00C97055"/>
    <w:rsid w:val="00C97BC8"/>
    <w:rsid w:val="00CA02E8"/>
    <w:rsid w:val="00CA194C"/>
    <w:rsid w:val="00CA1DDD"/>
    <w:rsid w:val="00CA2B4F"/>
    <w:rsid w:val="00CA30C3"/>
    <w:rsid w:val="00CA5927"/>
    <w:rsid w:val="00CA635E"/>
    <w:rsid w:val="00CA6BB0"/>
    <w:rsid w:val="00CA70CE"/>
    <w:rsid w:val="00CA79EC"/>
    <w:rsid w:val="00CB002C"/>
    <w:rsid w:val="00CB05F1"/>
    <w:rsid w:val="00CB0C51"/>
    <w:rsid w:val="00CB1C35"/>
    <w:rsid w:val="00CB1E4B"/>
    <w:rsid w:val="00CB259F"/>
    <w:rsid w:val="00CB39C2"/>
    <w:rsid w:val="00CB3E85"/>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D01344"/>
    <w:rsid w:val="00D01B90"/>
    <w:rsid w:val="00D024CD"/>
    <w:rsid w:val="00D034DA"/>
    <w:rsid w:val="00D03538"/>
    <w:rsid w:val="00D0421D"/>
    <w:rsid w:val="00D046FD"/>
    <w:rsid w:val="00D047F7"/>
    <w:rsid w:val="00D049B8"/>
    <w:rsid w:val="00D04C8A"/>
    <w:rsid w:val="00D04D63"/>
    <w:rsid w:val="00D0516C"/>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4205E"/>
    <w:rsid w:val="00D42F05"/>
    <w:rsid w:val="00D43056"/>
    <w:rsid w:val="00D44D36"/>
    <w:rsid w:val="00D44E39"/>
    <w:rsid w:val="00D453F2"/>
    <w:rsid w:val="00D45A1D"/>
    <w:rsid w:val="00D465B2"/>
    <w:rsid w:val="00D47399"/>
    <w:rsid w:val="00D47BB2"/>
    <w:rsid w:val="00D47C07"/>
    <w:rsid w:val="00D47D04"/>
    <w:rsid w:val="00D5056A"/>
    <w:rsid w:val="00D510A0"/>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4BC2"/>
    <w:rsid w:val="00DD6F2E"/>
    <w:rsid w:val="00DD72E1"/>
    <w:rsid w:val="00DD7EA2"/>
    <w:rsid w:val="00DE00F2"/>
    <w:rsid w:val="00DE117F"/>
    <w:rsid w:val="00DE2813"/>
    <w:rsid w:val="00DE2D17"/>
    <w:rsid w:val="00DE353C"/>
    <w:rsid w:val="00DE401C"/>
    <w:rsid w:val="00DE6E2F"/>
    <w:rsid w:val="00DE6F47"/>
    <w:rsid w:val="00DE7D13"/>
    <w:rsid w:val="00DF0785"/>
    <w:rsid w:val="00DF141D"/>
    <w:rsid w:val="00DF1EAE"/>
    <w:rsid w:val="00DF205A"/>
    <w:rsid w:val="00DF2BD1"/>
    <w:rsid w:val="00DF3816"/>
    <w:rsid w:val="00DF3818"/>
    <w:rsid w:val="00DF3F94"/>
    <w:rsid w:val="00DF4369"/>
    <w:rsid w:val="00DF5970"/>
    <w:rsid w:val="00DF5B14"/>
    <w:rsid w:val="00DF5C7F"/>
    <w:rsid w:val="00DF60F6"/>
    <w:rsid w:val="00DF63FA"/>
    <w:rsid w:val="00DF66E2"/>
    <w:rsid w:val="00DF7255"/>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2B0D"/>
    <w:rsid w:val="00EF30E0"/>
    <w:rsid w:val="00EF3A6C"/>
    <w:rsid w:val="00EF3D05"/>
    <w:rsid w:val="00EF42CF"/>
    <w:rsid w:val="00EF520B"/>
    <w:rsid w:val="00EF5403"/>
    <w:rsid w:val="00EF567D"/>
    <w:rsid w:val="00EF5F11"/>
    <w:rsid w:val="00EF6111"/>
    <w:rsid w:val="00EF63F4"/>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034"/>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1FA"/>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5871"/>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9AD"/>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5826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582653"/>
    <w:rPr>
      <w:b/>
      <w:bCs/>
    </w:rPr>
  </w:style>
</w:styles>
</file>

<file path=word/webSettings.xml><?xml version="1.0" encoding="utf-8"?>
<w:webSettings xmlns:r="http://schemas.openxmlformats.org/officeDocument/2006/relationships" xmlns:w="http://schemas.openxmlformats.org/wordprocessingml/2006/main">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1336884418">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76A8-AA15-45B7-9025-3E098003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3322</Words>
  <Characters>18936</Characters>
  <Application>Microsoft Office Word</Application>
  <DocSecurity>4</DocSecurity>
  <Lines>157</Lines>
  <Paragraphs>44</Paragraphs>
  <ScaleCrop>false</ScaleCrop>
  <Company>Lenovo</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2018-08-23T17:12:00Z</dcterms:created>
  <dcterms:modified xsi:type="dcterms:W3CDTF">2018-08-23T17:12:00Z</dcterms:modified>
</cp:coreProperties>
</file>