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7386" w:rsidRDefault="00317386">
      <w:pPr>
        <w:spacing w:line="360" w:lineRule="auto"/>
        <w:jc w:val="center"/>
        <w:rPr>
          <w:rStyle w:val="aa"/>
          <w:rFonts w:ascii="宋体" w:hAnsi="宋体"/>
          <w:color w:val="000000"/>
          <w:sz w:val="36"/>
          <w:szCs w:val="36"/>
        </w:rPr>
      </w:pPr>
    </w:p>
    <w:p w:rsidR="00470EFA" w:rsidRDefault="00470EFA">
      <w:pPr>
        <w:spacing w:line="360" w:lineRule="auto"/>
        <w:jc w:val="center"/>
        <w:rPr>
          <w:rFonts w:ascii="宋体" w:hAnsi="宋体"/>
          <w:b/>
          <w:bCs/>
          <w:color w:val="000000"/>
          <w:sz w:val="36"/>
          <w:szCs w:val="36"/>
        </w:rPr>
      </w:pPr>
      <w:r>
        <w:rPr>
          <w:rFonts w:ascii="宋体" w:hAnsi="宋体" w:hint="eastAsia"/>
          <w:b/>
          <w:bCs/>
          <w:color w:val="000000"/>
          <w:sz w:val="36"/>
          <w:szCs w:val="36"/>
        </w:rPr>
        <w:t>信诚永丰一年定期开放混合型证券投资基金</w:t>
      </w:r>
    </w:p>
    <w:p w:rsidR="00317386" w:rsidRDefault="00317386">
      <w:pPr>
        <w:spacing w:line="360" w:lineRule="auto"/>
        <w:jc w:val="center"/>
        <w:rPr>
          <w:rStyle w:val="aa"/>
          <w:rFonts w:ascii="宋体" w:hAnsi="宋体"/>
          <w:color w:val="000000"/>
          <w:sz w:val="36"/>
          <w:szCs w:val="36"/>
        </w:rPr>
      </w:pPr>
      <w:r>
        <w:rPr>
          <w:rStyle w:val="aa"/>
          <w:rFonts w:ascii="宋体" w:hAnsi="宋体" w:hint="eastAsia"/>
          <w:color w:val="000000"/>
          <w:sz w:val="36"/>
          <w:szCs w:val="36"/>
        </w:rPr>
        <w:t>清算报告</w:t>
      </w: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rPr>
          <w:rFonts w:ascii="宋体" w:hAnsi="宋体"/>
          <w:b/>
          <w:bCs/>
          <w:color w:val="000000"/>
          <w:sz w:val="36"/>
          <w:szCs w:val="36"/>
        </w:rPr>
      </w:pPr>
    </w:p>
    <w:p w:rsidR="005C2AF1" w:rsidRPr="00D85A0A" w:rsidRDefault="005C2AF1" w:rsidP="005C2AF1">
      <w:pPr>
        <w:spacing w:line="360" w:lineRule="auto"/>
        <w:jc w:val="center"/>
        <w:rPr>
          <w:rFonts w:ascii="宋体" w:hAnsi="宋体"/>
          <w:b/>
          <w:bCs/>
          <w:color w:val="000000"/>
          <w:sz w:val="36"/>
          <w:szCs w:val="36"/>
        </w:rPr>
      </w:pPr>
    </w:p>
    <w:p w:rsidR="005C2AF1" w:rsidRPr="00D85A0A" w:rsidRDefault="005C2AF1" w:rsidP="005C2AF1">
      <w:pPr>
        <w:jc w:val="center"/>
        <w:rPr>
          <w:b/>
          <w:sz w:val="28"/>
        </w:rPr>
      </w:pPr>
      <w:r w:rsidRPr="00D85A0A">
        <w:rPr>
          <w:rFonts w:hint="eastAsia"/>
          <w:b/>
          <w:sz w:val="28"/>
        </w:rPr>
        <w:t>基金管理人：中信保诚基金管理有限公司</w:t>
      </w:r>
    </w:p>
    <w:p w:rsidR="005C2AF1" w:rsidRPr="00D85A0A" w:rsidRDefault="005C2AF1" w:rsidP="005C2AF1">
      <w:pPr>
        <w:jc w:val="center"/>
        <w:rPr>
          <w:b/>
          <w:sz w:val="28"/>
        </w:rPr>
      </w:pPr>
      <w:r w:rsidRPr="00D85A0A">
        <w:rPr>
          <w:rFonts w:hint="eastAsia"/>
          <w:b/>
          <w:sz w:val="28"/>
        </w:rPr>
        <w:t>基金托管人：中</w:t>
      </w:r>
      <w:r>
        <w:rPr>
          <w:rFonts w:hint="eastAsia"/>
          <w:b/>
          <w:sz w:val="28"/>
        </w:rPr>
        <w:t>信</w:t>
      </w:r>
      <w:r w:rsidRPr="00D85A0A">
        <w:rPr>
          <w:rFonts w:hint="eastAsia"/>
          <w:b/>
          <w:sz w:val="28"/>
        </w:rPr>
        <w:t>银行股份有限公司</w:t>
      </w:r>
      <w:r w:rsidRPr="00D85A0A">
        <w:rPr>
          <w:rFonts w:hint="eastAsia"/>
          <w:b/>
          <w:sz w:val="28"/>
        </w:rPr>
        <w:br/>
      </w:r>
      <w:r w:rsidRPr="00D85A0A">
        <w:rPr>
          <w:rFonts w:hint="eastAsia"/>
          <w:b/>
          <w:sz w:val="28"/>
        </w:rPr>
        <w:t>清算报告出具日期：二〇一八年</w:t>
      </w:r>
      <w:r>
        <w:rPr>
          <w:rFonts w:hint="eastAsia"/>
          <w:b/>
          <w:sz w:val="28"/>
        </w:rPr>
        <w:t>七</w:t>
      </w:r>
      <w:r w:rsidRPr="00D85A0A">
        <w:rPr>
          <w:rFonts w:hint="eastAsia"/>
          <w:b/>
          <w:sz w:val="28"/>
        </w:rPr>
        <w:t>月</w:t>
      </w:r>
      <w:r>
        <w:rPr>
          <w:rFonts w:hint="eastAsia"/>
          <w:b/>
          <w:sz w:val="28"/>
        </w:rPr>
        <w:t>五</w:t>
      </w:r>
      <w:r w:rsidRPr="00D85A0A">
        <w:rPr>
          <w:rFonts w:hint="eastAsia"/>
          <w:b/>
          <w:sz w:val="28"/>
        </w:rPr>
        <w:t>日</w:t>
      </w:r>
      <w:r w:rsidRPr="00D85A0A">
        <w:rPr>
          <w:rFonts w:hint="eastAsia"/>
          <w:b/>
          <w:sz w:val="28"/>
        </w:rPr>
        <w:t> </w:t>
      </w:r>
      <w:r w:rsidRPr="00D85A0A">
        <w:rPr>
          <w:rFonts w:hint="eastAsia"/>
          <w:b/>
          <w:sz w:val="28"/>
        </w:rPr>
        <w:br/>
      </w:r>
      <w:r w:rsidRPr="00D85A0A">
        <w:rPr>
          <w:rFonts w:hint="eastAsia"/>
          <w:b/>
          <w:sz w:val="28"/>
        </w:rPr>
        <w:t>清算报告公告日期：二〇一八年八月</w:t>
      </w:r>
      <w:r>
        <w:rPr>
          <w:rFonts w:hint="eastAsia"/>
          <w:b/>
          <w:sz w:val="28"/>
        </w:rPr>
        <w:t>二十</w:t>
      </w:r>
      <w:r w:rsidR="00D95961">
        <w:rPr>
          <w:rFonts w:hint="eastAsia"/>
          <w:b/>
          <w:sz w:val="28"/>
        </w:rPr>
        <w:t>三</w:t>
      </w:r>
      <w:r w:rsidRPr="00D85A0A">
        <w:rPr>
          <w:rFonts w:hint="eastAsia"/>
          <w:b/>
          <w:sz w:val="28"/>
        </w:rPr>
        <w:t>日</w:t>
      </w:r>
    </w:p>
    <w:p w:rsidR="00317386" w:rsidRPr="005C2AF1" w:rsidRDefault="00317386">
      <w:pPr>
        <w:spacing w:line="360" w:lineRule="auto"/>
        <w:rPr>
          <w:rStyle w:val="aa"/>
          <w:rFonts w:ascii="宋体" w:hAnsi="宋体"/>
          <w:color w:val="000000"/>
          <w:sz w:val="36"/>
          <w:szCs w:val="36"/>
        </w:rPr>
      </w:pPr>
    </w:p>
    <w:p w:rsidR="00317386" w:rsidRDefault="00317386">
      <w:pPr>
        <w:spacing w:line="360" w:lineRule="auto"/>
        <w:rPr>
          <w:rStyle w:val="aa"/>
          <w:rFonts w:ascii="宋体" w:hAnsi="宋体"/>
          <w:color w:val="000000"/>
          <w:sz w:val="36"/>
          <w:szCs w:val="36"/>
        </w:rPr>
      </w:pPr>
    </w:p>
    <w:p w:rsidR="00317386" w:rsidRDefault="00317386">
      <w:pPr>
        <w:pStyle w:val="ad"/>
        <w:spacing w:line="360" w:lineRule="auto"/>
        <w:ind w:firstLineChars="0" w:firstLine="0"/>
        <w:jc w:val="center"/>
        <w:rPr>
          <w:rStyle w:val="aa"/>
          <w:rFonts w:ascii="宋体" w:hAnsi="宋体"/>
          <w:color w:val="000000"/>
          <w:sz w:val="24"/>
        </w:rPr>
      </w:pPr>
      <w:r>
        <w:rPr>
          <w:rStyle w:val="aa"/>
          <w:rFonts w:ascii="宋体" w:hAnsi="宋体" w:hint="eastAsia"/>
          <w:color w:val="000000"/>
          <w:sz w:val="24"/>
        </w:rPr>
        <w:lastRenderedPageBreak/>
        <w:t>1、重要提示</w:t>
      </w:r>
    </w:p>
    <w:p w:rsidR="00317386" w:rsidRPr="00317386" w:rsidRDefault="00317386" w:rsidP="00E75B43">
      <w:pPr>
        <w:spacing w:line="360" w:lineRule="auto"/>
        <w:ind w:firstLineChars="200" w:firstLine="480"/>
        <w:rPr>
          <w:rFonts w:ascii="宋体" w:hAnsi="宋体"/>
          <w:bCs/>
          <w:color w:val="000000"/>
          <w:sz w:val="24"/>
        </w:rPr>
      </w:pPr>
      <w:r w:rsidRPr="00317386">
        <w:rPr>
          <w:rFonts w:ascii="宋体" w:hAnsi="宋体" w:hint="eastAsia"/>
          <w:bCs/>
          <w:color w:val="000000"/>
          <w:sz w:val="24"/>
        </w:rPr>
        <w:t>信诚基金管理有限公司经中国证监会批准于2005年9月30日注册成立。因业务发展需要，经国家工商行政</w:t>
      </w:r>
      <w:r w:rsidRPr="00317386">
        <w:rPr>
          <w:rFonts w:ascii="宋体" w:hAnsi="宋体"/>
          <w:bCs/>
          <w:color w:val="000000"/>
          <w:sz w:val="24"/>
        </w:rPr>
        <w:t>管理</w:t>
      </w:r>
      <w:r w:rsidRPr="00317386">
        <w:rPr>
          <w:rFonts w:ascii="宋体" w:hAnsi="宋体" w:hint="eastAsia"/>
          <w:bCs/>
          <w:color w:val="000000"/>
          <w:sz w:val="24"/>
        </w:rPr>
        <w:t>总局核准，公司名称由“信诚基金管理有限公司”变更为“中信保诚基金管理有限公司”（以下简称“我司”），并由上海市工商行政管理局于2017年12月18日核发新的营业执照。</w:t>
      </w:r>
    </w:p>
    <w:p w:rsidR="00317386" w:rsidRPr="00317386" w:rsidRDefault="00317386" w:rsidP="00E75B43">
      <w:pPr>
        <w:spacing w:line="360" w:lineRule="auto"/>
        <w:ind w:firstLineChars="200" w:firstLine="480"/>
        <w:rPr>
          <w:rFonts w:ascii="宋体" w:hAnsi="宋体"/>
          <w:bCs/>
          <w:color w:val="000000"/>
          <w:sz w:val="24"/>
        </w:rPr>
      </w:pPr>
      <w:r w:rsidRPr="00317386">
        <w:rPr>
          <w:rFonts w:ascii="宋体" w:hAnsi="宋体" w:hint="eastAsia"/>
          <w:bCs/>
          <w:color w:val="000000"/>
          <w:sz w:val="24"/>
        </w:rPr>
        <w:t>根据《中华人民共和国合同法》第七十六条的规定，合同当事人名称变动不影响合同义务的履行。本次我司名称变更后，以“信诚基金管理有限公司”或“中信保诚基金管理有限公司” 签署的法律文件（包括但不限于公司合同、公告等，以下简称“原法律文件”）不受任何影响，我司将按照原法律文件</w:t>
      </w:r>
      <w:r w:rsidRPr="00317386">
        <w:rPr>
          <w:rFonts w:ascii="宋体" w:hAnsi="宋体"/>
          <w:bCs/>
          <w:color w:val="000000"/>
          <w:sz w:val="24"/>
        </w:rPr>
        <w:t>的</w:t>
      </w:r>
      <w:r w:rsidRPr="00317386">
        <w:rPr>
          <w:rFonts w:ascii="宋体" w:hAnsi="宋体" w:hint="eastAsia"/>
          <w:bCs/>
          <w:color w:val="000000"/>
          <w:sz w:val="24"/>
        </w:rPr>
        <w:t>约定行使权利、履行义务。如原法律文件对生效条件、有效期限进行特别说明的，以原法律文件的说明为准。</w:t>
      </w:r>
    </w:p>
    <w:p w:rsidR="00317386" w:rsidRPr="00317386" w:rsidRDefault="004109D3" w:rsidP="00E75B43">
      <w:pPr>
        <w:spacing w:line="360" w:lineRule="auto"/>
        <w:ind w:firstLineChars="200" w:firstLine="480"/>
        <w:rPr>
          <w:rStyle w:val="aa"/>
          <w:rFonts w:ascii="宋体" w:hAnsi="宋体"/>
          <w:b w:val="0"/>
          <w:color w:val="000000"/>
          <w:sz w:val="24"/>
        </w:rPr>
      </w:pPr>
      <w:r w:rsidRPr="004109D3">
        <w:rPr>
          <w:rFonts w:ascii="宋体" w:hAnsi="宋体" w:hint="eastAsia"/>
          <w:bCs/>
          <w:color w:val="000000"/>
          <w:sz w:val="24"/>
        </w:rPr>
        <w:t>中信保诚基金管理有限公司依据中国证监会</w:t>
      </w:r>
      <w:r w:rsidR="00E170F2" w:rsidRPr="00E170F2">
        <w:rPr>
          <w:rFonts w:ascii="宋体" w:hAnsi="宋体" w:hint="eastAsia"/>
          <w:bCs/>
          <w:color w:val="000000"/>
          <w:sz w:val="24"/>
        </w:rPr>
        <w:t>证监许可[2016]</w:t>
      </w:r>
      <w:r w:rsidR="00470EFA" w:rsidRPr="00470EFA">
        <w:rPr>
          <w:rFonts w:ascii="宋体" w:hAnsi="宋体"/>
          <w:bCs/>
          <w:color w:val="000000"/>
          <w:sz w:val="24"/>
        </w:rPr>
        <w:t>2920</w:t>
      </w:r>
      <w:r w:rsidR="00E170F2" w:rsidRPr="00E170F2">
        <w:rPr>
          <w:rFonts w:ascii="宋体" w:hAnsi="宋体" w:hint="eastAsia"/>
          <w:bCs/>
          <w:color w:val="000000"/>
          <w:sz w:val="24"/>
        </w:rPr>
        <w:t>号</w:t>
      </w:r>
      <w:r w:rsidR="00E170F2">
        <w:rPr>
          <w:rFonts w:ascii="宋体" w:hAnsi="宋体" w:hint="eastAsia"/>
          <w:bCs/>
          <w:color w:val="000000"/>
          <w:sz w:val="24"/>
        </w:rPr>
        <w:t>文</w:t>
      </w:r>
      <w:r w:rsidRPr="004109D3">
        <w:rPr>
          <w:rFonts w:ascii="宋体" w:hAnsi="宋体" w:hint="eastAsia"/>
          <w:bCs/>
          <w:color w:val="000000"/>
          <w:sz w:val="24"/>
        </w:rPr>
        <w:t>注册的</w:t>
      </w:r>
      <w:r w:rsidR="00470EFA">
        <w:rPr>
          <w:rFonts w:ascii="宋体" w:hAnsi="宋体" w:hint="eastAsia"/>
          <w:bCs/>
          <w:color w:val="000000"/>
          <w:sz w:val="24"/>
        </w:rPr>
        <w:t>信诚永丰一年定期开放混合型证券投资基金</w:t>
      </w:r>
      <w:r w:rsidRPr="004109D3">
        <w:rPr>
          <w:rFonts w:ascii="宋体" w:hAnsi="宋体" w:hint="eastAsia"/>
          <w:bCs/>
          <w:color w:val="000000"/>
          <w:sz w:val="24"/>
        </w:rPr>
        <w:t>（以下简称</w:t>
      </w:r>
      <w:r w:rsidRPr="004109D3">
        <w:rPr>
          <w:rFonts w:ascii="宋体" w:hAnsi="宋体"/>
          <w:bCs/>
          <w:color w:val="000000"/>
          <w:sz w:val="24"/>
        </w:rPr>
        <w:t>“</w:t>
      </w:r>
      <w:r w:rsidRPr="004109D3">
        <w:rPr>
          <w:rFonts w:ascii="宋体" w:hAnsi="宋体" w:hint="eastAsia"/>
          <w:bCs/>
          <w:color w:val="000000"/>
          <w:sz w:val="24"/>
        </w:rPr>
        <w:t>本基金</w:t>
      </w:r>
      <w:r w:rsidRPr="004109D3">
        <w:rPr>
          <w:rFonts w:ascii="宋体" w:hAnsi="宋体"/>
          <w:bCs/>
          <w:color w:val="000000"/>
          <w:sz w:val="24"/>
        </w:rPr>
        <w:t>”</w:t>
      </w:r>
      <w:r w:rsidRPr="004109D3">
        <w:rPr>
          <w:rFonts w:ascii="宋体" w:hAnsi="宋体" w:hint="eastAsia"/>
          <w:bCs/>
          <w:color w:val="000000"/>
          <w:sz w:val="24"/>
        </w:rPr>
        <w:t>）的基金合同于</w:t>
      </w:r>
      <w:r w:rsidR="00470EFA" w:rsidRPr="00470EFA">
        <w:rPr>
          <w:rFonts w:ascii="宋体" w:hAnsi="宋体" w:hint="eastAsia"/>
          <w:bCs/>
          <w:color w:val="000000"/>
          <w:sz w:val="24"/>
        </w:rPr>
        <w:t>2017年3月1日</w:t>
      </w:r>
      <w:r w:rsidRPr="004109D3">
        <w:rPr>
          <w:rFonts w:ascii="宋体" w:hAnsi="宋体" w:hint="eastAsia"/>
          <w:bCs/>
          <w:color w:val="000000"/>
          <w:sz w:val="24"/>
        </w:rPr>
        <w:t>生效。</w:t>
      </w:r>
      <w:r w:rsidR="00317386" w:rsidRPr="00317386">
        <w:rPr>
          <w:rFonts w:ascii="宋体" w:hAnsi="宋体" w:cs="宋体" w:hint="eastAsia"/>
          <w:color w:val="000000"/>
          <w:kern w:val="0"/>
          <w:sz w:val="24"/>
        </w:rPr>
        <w:t>本基金的基金管理人为中信保诚基金管理有限公司（以下简称“基金管理人”），基金托管人为中</w:t>
      </w:r>
      <w:r>
        <w:rPr>
          <w:rFonts w:ascii="宋体" w:hAnsi="宋体" w:cs="宋体" w:hint="eastAsia"/>
          <w:color w:val="000000"/>
          <w:kern w:val="0"/>
          <w:sz w:val="24"/>
        </w:rPr>
        <w:t>信</w:t>
      </w:r>
      <w:r w:rsidR="00317386" w:rsidRPr="00317386">
        <w:rPr>
          <w:rFonts w:ascii="宋体" w:hAnsi="宋体" w:cs="宋体" w:hint="eastAsia"/>
          <w:color w:val="000000"/>
          <w:kern w:val="0"/>
          <w:sz w:val="24"/>
        </w:rPr>
        <w:t>银行股份有限公司（以下简称“基金托管人”）</w:t>
      </w:r>
      <w:r w:rsidR="00317386" w:rsidRPr="00317386">
        <w:rPr>
          <w:rStyle w:val="aa"/>
          <w:rFonts w:ascii="宋体" w:hAnsi="宋体" w:hint="eastAsia"/>
          <w:b w:val="0"/>
          <w:color w:val="000000"/>
          <w:sz w:val="24"/>
        </w:rPr>
        <w:t>。</w:t>
      </w:r>
    </w:p>
    <w:p w:rsidR="00317386" w:rsidRPr="00317386" w:rsidRDefault="00317386" w:rsidP="00E75B43">
      <w:pPr>
        <w:spacing w:line="360" w:lineRule="auto"/>
        <w:ind w:firstLineChars="200" w:firstLine="480"/>
        <w:rPr>
          <w:rFonts w:ascii="宋体" w:hAnsi="宋体" w:cs="宋体"/>
          <w:color w:val="000000"/>
          <w:kern w:val="0"/>
          <w:sz w:val="24"/>
        </w:rPr>
      </w:pPr>
      <w:r w:rsidRPr="00317386">
        <w:rPr>
          <w:rStyle w:val="aa"/>
          <w:rFonts w:ascii="宋体" w:hAnsi="宋体" w:hint="eastAsia"/>
          <w:b w:val="0"/>
          <w:color w:val="000000"/>
          <w:sz w:val="24"/>
        </w:rPr>
        <w:t>鉴于市场环境的变化，为保护基金份额持有人利益，根据《中华人民共和国证券投资基金法》、《公开募集</w:t>
      </w:r>
      <w:r w:rsidR="004109D3">
        <w:rPr>
          <w:rStyle w:val="aa"/>
          <w:rFonts w:ascii="宋体" w:hAnsi="宋体" w:hint="eastAsia"/>
          <w:b w:val="0"/>
          <w:color w:val="000000"/>
          <w:sz w:val="24"/>
        </w:rPr>
        <w:t>证券投资基金运作管理办法》和《基金合同》的有关规定，本基金</w:t>
      </w:r>
      <w:r w:rsidRPr="00317386">
        <w:rPr>
          <w:rStyle w:val="aa"/>
          <w:rFonts w:ascii="宋体" w:hAnsi="宋体" w:hint="eastAsia"/>
          <w:b w:val="0"/>
          <w:color w:val="000000"/>
          <w:sz w:val="24"/>
        </w:rPr>
        <w:t>以通讯方式召开基金份额持有人大会，审议</w:t>
      </w:r>
      <w:r w:rsidR="00026625">
        <w:rPr>
          <w:rFonts w:ascii="宋体" w:hAnsi="宋体" w:hint="eastAsia"/>
          <w:kern w:val="0"/>
          <w:sz w:val="24"/>
        </w:rPr>
        <w:t>并</w:t>
      </w:r>
      <w:r w:rsidR="00026625" w:rsidRPr="00026625">
        <w:rPr>
          <w:rFonts w:ascii="宋体" w:hAnsi="宋体" w:cs="宋体" w:hint="eastAsia"/>
          <w:color w:val="000000"/>
          <w:kern w:val="0"/>
          <w:sz w:val="24"/>
        </w:rPr>
        <w:t>表决通过了</w:t>
      </w:r>
      <w:r w:rsidR="00635576" w:rsidRPr="00635576">
        <w:rPr>
          <w:rFonts w:ascii="宋体" w:hAnsi="宋体" w:cs="宋体" w:hint="eastAsia"/>
          <w:color w:val="000000"/>
          <w:kern w:val="0"/>
          <w:sz w:val="24"/>
        </w:rPr>
        <w:t>《关于终止</w:t>
      </w:r>
      <w:r w:rsidR="00470EFA">
        <w:rPr>
          <w:rFonts w:ascii="宋体" w:hAnsi="宋体" w:cs="宋体" w:hint="eastAsia"/>
          <w:color w:val="000000"/>
          <w:kern w:val="0"/>
          <w:sz w:val="24"/>
        </w:rPr>
        <w:t>信诚永丰一年定期开放混合型证券投资基金</w:t>
      </w:r>
      <w:r w:rsidR="00635576" w:rsidRPr="00635576">
        <w:rPr>
          <w:rFonts w:ascii="宋体" w:hAnsi="宋体" w:cs="宋体" w:hint="eastAsia"/>
          <w:color w:val="000000"/>
          <w:kern w:val="0"/>
          <w:sz w:val="24"/>
        </w:rPr>
        <w:t>基金合同有关事项的议案》</w:t>
      </w:r>
      <w:r w:rsidRPr="00317386">
        <w:rPr>
          <w:rStyle w:val="aa"/>
          <w:rFonts w:ascii="宋体" w:hAnsi="宋体" w:hint="eastAsia"/>
          <w:b w:val="0"/>
          <w:color w:val="000000"/>
          <w:sz w:val="24"/>
        </w:rPr>
        <w:t>。</w:t>
      </w:r>
      <w:r w:rsidR="00026625" w:rsidRPr="00026625">
        <w:rPr>
          <w:rStyle w:val="aa"/>
          <w:rFonts w:ascii="宋体" w:hAnsi="宋体" w:hint="eastAsia"/>
          <w:b w:val="0"/>
          <w:color w:val="000000"/>
          <w:sz w:val="24"/>
        </w:rPr>
        <w:t>基金份额持有人大会表决结果暨决议生效公告</w:t>
      </w:r>
      <w:r w:rsidRPr="00317386">
        <w:rPr>
          <w:rFonts w:ascii="宋体" w:hAnsi="宋体" w:cs="宋体" w:hint="eastAsia"/>
          <w:color w:val="000000"/>
          <w:kern w:val="0"/>
          <w:sz w:val="24"/>
        </w:rPr>
        <w:t>详见2018年</w:t>
      </w:r>
      <w:r w:rsidR="00635576">
        <w:rPr>
          <w:rFonts w:ascii="宋体" w:hAnsi="宋体" w:cs="宋体" w:hint="eastAsia"/>
          <w:color w:val="000000"/>
          <w:kern w:val="0"/>
          <w:sz w:val="24"/>
        </w:rPr>
        <w:t>6</w:t>
      </w:r>
      <w:r w:rsidRPr="00317386">
        <w:rPr>
          <w:rFonts w:ascii="宋体" w:hAnsi="宋体" w:cs="宋体" w:hint="eastAsia"/>
          <w:color w:val="000000"/>
          <w:kern w:val="0"/>
          <w:sz w:val="24"/>
        </w:rPr>
        <w:t>月</w:t>
      </w:r>
      <w:r w:rsidR="00E170F2">
        <w:rPr>
          <w:rFonts w:ascii="宋体" w:hAnsi="宋体" w:cs="宋体" w:hint="eastAsia"/>
          <w:color w:val="000000"/>
          <w:kern w:val="0"/>
          <w:sz w:val="24"/>
        </w:rPr>
        <w:t>26</w:t>
      </w:r>
      <w:r w:rsidRPr="00317386">
        <w:rPr>
          <w:rFonts w:ascii="宋体" w:hAnsi="宋体" w:cs="宋体" w:hint="eastAsia"/>
          <w:color w:val="000000"/>
          <w:kern w:val="0"/>
          <w:sz w:val="24"/>
        </w:rPr>
        <w:t>日刊登在</w:t>
      </w:r>
      <w:r w:rsidR="00E170F2">
        <w:rPr>
          <w:rFonts w:ascii="宋体" w:hAnsi="宋体" w:cs="宋体" w:hint="eastAsia"/>
          <w:color w:val="000000"/>
          <w:kern w:val="0"/>
          <w:sz w:val="24"/>
        </w:rPr>
        <w:t>《中国证券报》、《上海证券报》、</w:t>
      </w:r>
      <w:r w:rsidR="004109D3">
        <w:rPr>
          <w:rFonts w:ascii="宋体" w:hAnsi="宋体" w:cs="宋体" w:hint="eastAsia"/>
          <w:color w:val="000000"/>
          <w:kern w:val="0"/>
          <w:sz w:val="24"/>
        </w:rPr>
        <w:t>《证券</w:t>
      </w:r>
      <w:r w:rsidR="00E170F2">
        <w:rPr>
          <w:rFonts w:ascii="宋体" w:hAnsi="宋体" w:cs="宋体" w:hint="eastAsia"/>
          <w:color w:val="000000"/>
          <w:kern w:val="0"/>
          <w:sz w:val="24"/>
        </w:rPr>
        <w:t>时</w:t>
      </w:r>
      <w:r w:rsidRPr="00317386">
        <w:rPr>
          <w:rFonts w:ascii="宋体" w:hAnsi="宋体" w:cs="宋体" w:hint="eastAsia"/>
          <w:color w:val="000000"/>
          <w:kern w:val="0"/>
          <w:sz w:val="24"/>
        </w:rPr>
        <w:t>报》和基金管理人网站上的《中信保诚基金管理有限公司关于</w:t>
      </w:r>
      <w:r w:rsidR="00470EFA">
        <w:rPr>
          <w:rFonts w:ascii="宋体" w:hAnsi="宋体" w:cs="宋体" w:hint="eastAsia"/>
          <w:color w:val="000000"/>
          <w:kern w:val="0"/>
          <w:sz w:val="24"/>
        </w:rPr>
        <w:t>信诚永丰一年定期开放混合型证券投资基金</w:t>
      </w:r>
      <w:r w:rsidRPr="00317386">
        <w:rPr>
          <w:rFonts w:ascii="宋体" w:hAnsi="宋体" w:cs="宋体" w:hint="eastAsia"/>
          <w:color w:val="000000"/>
          <w:kern w:val="0"/>
          <w:sz w:val="24"/>
        </w:rPr>
        <w:t>基金份额持有人大会表决结果暨决议生效的公告》。本基金管理人按照《基金合同》约定，组织成立基金财产清算小组履行基金财产清算程序。本基金的最后运作日定为2018年</w:t>
      </w:r>
      <w:r w:rsidR="00635576">
        <w:rPr>
          <w:rFonts w:ascii="宋体" w:hAnsi="宋体" w:cs="宋体" w:hint="eastAsia"/>
          <w:color w:val="000000"/>
          <w:kern w:val="0"/>
          <w:sz w:val="24"/>
        </w:rPr>
        <w:t>6</w:t>
      </w:r>
      <w:r w:rsidRPr="00317386">
        <w:rPr>
          <w:rFonts w:ascii="宋体" w:hAnsi="宋体" w:cs="宋体" w:hint="eastAsia"/>
          <w:color w:val="000000"/>
          <w:kern w:val="0"/>
          <w:sz w:val="24"/>
        </w:rPr>
        <w:t>月</w:t>
      </w:r>
      <w:r w:rsidR="00E170F2">
        <w:rPr>
          <w:rFonts w:ascii="宋体" w:hAnsi="宋体" w:cs="宋体" w:hint="eastAsia"/>
          <w:color w:val="000000"/>
          <w:kern w:val="0"/>
          <w:sz w:val="24"/>
        </w:rPr>
        <w:t>25</w:t>
      </w:r>
      <w:r w:rsidRPr="00317386">
        <w:rPr>
          <w:rFonts w:ascii="宋体" w:hAnsi="宋体" w:cs="宋体" w:hint="eastAsia"/>
          <w:color w:val="000000"/>
          <w:kern w:val="0"/>
          <w:sz w:val="24"/>
        </w:rPr>
        <w:t>日，并于2018年</w:t>
      </w:r>
      <w:r w:rsidR="00635576">
        <w:rPr>
          <w:rFonts w:ascii="宋体" w:hAnsi="宋体" w:cs="宋体" w:hint="eastAsia"/>
          <w:color w:val="000000"/>
          <w:kern w:val="0"/>
          <w:sz w:val="24"/>
        </w:rPr>
        <w:t>6</w:t>
      </w:r>
      <w:r w:rsidRPr="00317386">
        <w:rPr>
          <w:rFonts w:ascii="宋体" w:hAnsi="宋体" w:cs="宋体" w:hint="eastAsia"/>
          <w:color w:val="000000"/>
          <w:kern w:val="0"/>
          <w:sz w:val="24"/>
        </w:rPr>
        <w:t>月</w:t>
      </w:r>
      <w:r w:rsidR="00E170F2">
        <w:rPr>
          <w:rFonts w:ascii="宋体" w:hAnsi="宋体" w:cs="宋体" w:hint="eastAsia"/>
          <w:color w:val="000000"/>
          <w:kern w:val="0"/>
          <w:sz w:val="24"/>
        </w:rPr>
        <w:t>26</w:t>
      </w:r>
      <w:r w:rsidRPr="00317386">
        <w:rPr>
          <w:rFonts w:ascii="宋体" w:hAnsi="宋体" w:cs="宋体" w:hint="eastAsia"/>
          <w:color w:val="000000"/>
          <w:kern w:val="0"/>
          <w:sz w:val="24"/>
        </w:rPr>
        <w:t>日进入清算期。</w:t>
      </w:r>
    </w:p>
    <w:p w:rsidR="00317386" w:rsidRPr="00317386" w:rsidRDefault="00317386" w:rsidP="00E75B43">
      <w:pPr>
        <w:spacing w:line="360" w:lineRule="auto"/>
        <w:ind w:firstLineChars="200" w:firstLine="480"/>
        <w:rPr>
          <w:rStyle w:val="aa"/>
          <w:rFonts w:ascii="宋体" w:hAnsi="宋体"/>
          <w:b w:val="0"/>
          <w:color w:val="000000"/>
          <w:sz w:val="24"/>
        </w:rPr>
      </w:pPr>
      <w:r w:rsidRPr="00317386">
        <w:rPr>
          <w:rStyle w:val="aa"/>
          <w:rFonts w:ascii="宋体" w:hAnsi="宋体" w:hint="eastAsia"/>
          <w:b w:val="0"/>
          <w:color w:val="000000"/>
          <w:sz w:val="24"/>
        </w:rPr>
        <w:t>本基金管理人中信保诚基金管理有限公司、基金托管人中</w:t>
      </w:r>
      <w:r w:rsidR="004109D3">
        <w:rPr>
          <w:rStyle w:val="aa"/>
          <w:rFonts w:ascii="宋体" w:hAnsi="宋体" w:hint="eastAsia"/>
          <w:b w:val="0"/>
          <w:color w:val="000000"/>
          <w:sz w:val="24"/>
        </w:rPr>
        <w:t>信</w:t>
      </w:r>
      <w:r w:rsidRPr="00317386">
        <w:rPr>
          <w:rStyle w:val="aa"/>
          <w:rFonts w:ascii="宋体" w:hAnsi="宋体" w:hint="eastAsia"/>
          <w:b w:val="0"/>
          <w:color w:val="000000"/>
          <w:sz w:val="24"/>
        </w:rPr>
        <w:t>银行股份有限公司、普华永道中天会计师事务所（特殊普通合伙）和</w:t>
      </w:r>
      <w:r w:rsidRPr="00317386">
        <w:rPr>
          <w:rStyle w:val="aa"/>
          <w:rFonts w:ascii="宋体" w:hAnsi="宋体"/>
          <w:b w:val="0"/>
          <w:color w:val="000000"/>
          <w:sz w:val="24"/>
        </w:rPr>
        <w:t>上海</w:t>
      </w:r>
      <w:r w:rsidR="004109D3">
        <w:rPr>
          <w:rStyle w:val="aa"/>
          <w:rFonts w:ascii="宋体" w:hAnsi="宋体" w:hint="eastAsia"/>
          <w:b w:val="0"/>
          <w:color w:val="000000"/>
          <w:sz w:val="24"/>
        </w:rPr>
        <w:t>源泰</w:t>
      </w:r>
      <w:r w:rsidRPr="00317386">
        <w:rPr>
          <w:rStyle w:val="aa"/>
          <w:rFonts w:ascii="宋体" w:hAnsi="宋体"/>
          <w:b w:val="0"/>
          <w:color w:val="000000"/>
          <w:sz w:val="24"/>
        </w:rPr>
        <w:t>律师事务所</w:t>
      </w:r>
      <w:r w:rsidRPr="00317386">
        <w:rPr>
          <w:rStyle w:val="aa"/>
          <w:rFonts w:ascii="宋体" w:hAnsi="宋体" w:hint="eastAsia"/>
          <w:b w:val="0"/>
          <w:color w:val="000000"/>
          <w:sz w:val="24"/>
        </w:rPr>
        <w:t>于2018年</w:t>
      </w:r>
      <w:r w:rsidR="00635576">
        <w:rPr>
          <w:rStyle w:val="aa"/>
          <w:rFonts w:ascii="宋体" w:hAnsi="宋体" w:hint="eastAsia"/>
          <w:b w:val="0"/>
          <w:color w:val="000000"/>
          <w:sz w:val="24"/>
        </w:rPr>
        <w:t>6</w:t>
      </w:r>
      <w:r w:rsidRPr="00317386">
        <w:rPr>
          <w:rStyle w:val="aa"/>
          <w:rFonts w:ascii="宋体" w:hAnsi="宋体" w:hint="eastAsia"/>
          <w:b w:val="0"/>
          <w:color w:val="000000"/>
          <w:sz w:val="24"/>
        </w:rPr>
        <w:t>月</w:t>
      </w:r>
      <w:r w:rsidR="00E170F2">
        <w:rPr>
          <w:rStyle w:val="aa"/>
          <w:rFonts w:ascii="宋体" w:hAnsi="宋体" w:hint="eastAsia"/>
          <w:b w:val="0"/>
          <w:color w:val="000000"/>
          <w:sz w:val="24"/>
        </w:rPr>
        <w:t>26</w:t>
      </w:r>
      <w:r w:rsidRPr="00317386">
        <w:rPr>
          <w:rStyle w:val="aa"/>
          <w:rFonts w:ascii="宋体" w:hAnsi="宋体" w:hint="eastAsia"/>
          <w:b w:val="0"/>
          <w:color w:val="000000"/>
          <w:sz w:val="24"/>
        </w:rPr>
        <w:t>日组成基金财产清算小组履行基金财产清算程序，并由普华永道中天会计师事务所（特殊普通合伙）对本基金进行清算审计、上海</w:t>
      </w:r>
      <w:r w:rsidR="004109D3">
        <w:rPr>
          <w:rStyle w:val="aa"/>
          <w:rFonts w:ascii="宋体" w:hAnsi="宋体" w:hint="eastAsia"/>
          <w:b w:val="0"/>
          <w:color w:val="000000"/>
          <w:sz w:val="24"/>
        </w:rPr>
        <w:t>源泰</w:t>
      </w:r>
      <w:r w:rsidRPr="00317386">
        <w:rPr>
          <w:rStyle w:val="aa"/>
          <w:rFonts w:ascii="宋体" w:hAnsi="宋体" w:hint="eastAsia"/>
          <w:b w:val="0"/>
          <w:color w:val="000000"/>
          <w:sz w:val="24"/>
        </w:rPr>
        <w:t>律师事务所对清算报告出具法律意见。</w:t>
      </w:r>
    </w:p>
    <w:p w:rsidR="00317386" w:rsidRPr="00317386" w:rsidRDefault="00317386">
      <w:pPr>
        <w:spacing w:line="360" w:lineRule="auto"/>
        <w:ind w:firstLineChars="1150" w:firstLine="2771"/>
        <w:rPr>
          <w:rStyle w:val="aa"/>
          <w:rFonts w:ascii="宋体" w:hAnsi="宋体"/>
          <w:color w:val="000000"/>
          <w:sz w:val="24"/>
        </w:rPr>
      </w:pPr>
    </w:p>
    <w:p w:rsidR="00317386" w:rsidRPr="00317386" w:rsidRDefault="00317386" w:rsidP="005C2AF1">
      <w:pPr>
        <w:pStyle w:val="ad"/>
        <w:spacing w:line="360" w:lineRule="auto"/>
        <w:ind w:left="-142" w:firstLineChars="0" w:firstLine="0"/>
        <w:jc w:val="center"/>
        <w:rPr>
          <w:rStyle w:val="aa"/>
          <w:rFonts w:ascii="宋体" w:hAnsi="宋体"/>
          <w:color w:val="000000"/>
          <w:sz w:val="24"/>
        </w:rPr>
      </w:pPr>
      <w:r w:rsidRPr="00317386">
        <w:rPr>
          <w:rStyle w:val="aa"/>
          <w:rFonts w:ascii="宋体" w:hAnsi="宋体" w:hint="eastAsia"/>
          <w:color w:val="000000"/>
          <w:sz w:val="24"/>
        </w:rPr>
        <w:t>2、基金概况</w:t>
      </w:r>
    </w:p>
    <w:p w:rsidR="00317386" w:rsidRPr="00317386" w:rsidRDefault="00317386">
      <w:pPr>
        <w:spacing w:line="360" w:lineRule="auto"/>
        <w:rPr>
          <w:rStyle w:val="aa"/>
          <w:rFonts w:ascii="宋体" w:hAnsi="宋体"/>
          <w:color w:val="000000"/>
          <w:sz w:val="24"/>
        </w:rPr>
      </w:pPr>
      <w:r w:rsidRPr="00317386">
        <w:rPr>
          <w:rStyle w:val="aa"/>
          <w:rFonts w:ascii="宋体" w:hAnsi="宋体" w:hint="eastAsia"/>
          <w:color w:val="000000"/>
          <w:sz w:val="24"/>
        </w:rPr>
        <w:t>2.1基金基本情况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69"/>
        <w:gridCol w:w="5653"/>
      </w:tblGrid>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基金名称</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470EFA" w:rsidP="00E75B43">
            <w:pPr>
              <w:spacing w:line="360" w:lineRule="auto"/>
              <w:jc w:val="center"/>
              <w:rPr>
                <w:rStyle w:val="aa"/>
                <w:rFonts w:ascii="宋体" w:hAnsi="宋体"/>
                <w:b w:val="0"/>
                <w:sz w:val="24"/>
              </w:rPr>
            </w:pPr>
            <w:r w:rsidRPr="008B0B33">
              <w:rPr>
                <w:rStyle w:val="aa"/>
                <w:rFonts w:ascii="宋体" w:hAnsi="宋体" w:hint="eastAsia"/>
                <w:b w:val="0"/>
                <w:sz w:val="24"/>
              </w:rPr>
              <w:t>信诚永丰一年定期开放混合型证券投资基金</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基金简称</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470EFA" w:rsidP="00E75B43">
            <w:pPr>
              <w:spacing w:line="360" w:lineRule="auto"/>
              <w:jc w:val="center"/>
              <w:rPr>
                <w:rStyle w:val="aa"/>
                <w:rFonts w:ascii="宋体" w:hAnsi="宋体"/>
                <w:b w:val="0"/>
                <w:sz w:val="24"/>
              </w:rPr>
            </w:pPr>
            <w:r w:rsidRPr="008B0B33">
              <w:rPr>
                <w:rStyle w:val="aa"/>
                <w:rFonts w:ascii="宋体" w:hAnsi="宋体" w:hint="eastAsia"/>
                <w:b w:val="0"/>
                <w:sz w:val="24"/>
              </w:rPr>
              <w:t>信诚永丰</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vAlign w:val="center"/>
          </w:tcPr>
          <w:p w:rsidR="00317386" w:rsidRPr="008B0B33" w:rsidRDefault="004109D3" w:rsidP="00E75B43">
            <w:pPr>
              <w:spacing w:line="360" w:lineRule="auto"/>
              <w:rPr>
                <w:rStyle w:val="aa"/>
                <w:rFonts w:ascii="宋体" w:hAnsi="宋体"/>
                <w:b w:val="0"/>
                <w:sz w:val="24"/>
              </w:rPr>
            </w:pPr>
            <w:r w:rsidRPr="008B0B33">
              <w:rPr>
                <w:rStyle w:val="aa"/>
                <w:rFonts w:ascii="宋体" w:hAnsi="宋体"/>
                <w:b w:val="0"/>
                <w:sz w:val="24"/>
              </w:rPr>
              <w:t>基金</w:t>
            </w:r>
            <w:r w:rsidR="00317386" w:rsidRPr="008B0B33">
              <w:rPr>
                <w:rStyle w:val="aa"/>
                <w:rFonts w:ascii="宋体" w:hAnsi="宋体"/>
                <w:b w:val="0"/>
                <w:sz w:val="24"/>
              </w:rPr>
              <w:t>代码</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470EFA" w:rsidP="00E75B43">
            <w:pPr>
              <w:spacing w:line="360" w:lineRule="auto"/>
              <w:jc w:val="center"/>
              <w:rPr>
                <w:rStyle w:val="aa"/>
                <w:rFonts w:ascii="宋体" w:hAnsi="宋体"/>
                <w:b w:val="0"/>
                <w:sz w:val="24"/>
              </w:rPr>
            </w:pPr>
            <w:r w:rsidRPr="008B0B33">
              <w:rPr>
                <w:rStyle w:val="aa"/>
                <w:rFonts w:ascii="宋体" w:hAnsi="宋体"/>
                <w:b w:val="0"/>
                <w:sz w:val="24"/>
              </w:rPr>
              <w:t>004378</w:t>
            </w:r>
            <w:r w:rsidR="008627D2" w:rsidRPr="008B0B33">
              <w:rPr>
                <w:rStyle w:val="aa"/>
                <w:rFonts w:ascii="宋体" w:hAnsi="宋体" w:hint="eastAsia"/>
                <w:b w:val="0"/>
                <w:sz w:val="24"/>
              </w:rPr>
              <w:t>（</w:t>
            </w:r>
            <w:r w:rsidR="00E170F2" w:rsidRPr="008B0B33">
              <w:rPr>
                <w:rStyle w:val="aa"/>
                <w:rFonts w:ascii="宋体" w:hAnsi="宋体" w:hint="eastAsia"/>
                <w:b w:val="0"/>
                <w:sz w:val="24"/>
              </w:rPr>
              <w:t>信诚</w:t>
            </w:r>
            <w:r w:rsidRPr="008B0B33">
              <w:rPr>
                <w:rStyle w:val="aa"/>
                <w:rFonts w:ascii="宋体" w:hAnsi="宋体" w:hint="eastAsia"/>
                <w:b w:val="0"/>
                <w:sz w:val="24"/>
              </w:rPr>
              <w:t>永丰</w:t>
            </w:r>
            <w:r w:rsidR="004109D3" w:rsidRPr="008B0B33">
              <w:rPr>
                <w:rStyle w:val="aa"/>
                <w:rFonts w:ascii="宋体" w:hAnsi="宋体" w:hint="eastAsia"/>
                <w:b w:val="0"/>
                <w:sz w:val="24"/>
              </w:rPr>
              <w:t>A：</w:t>
            </w:r>
            <w:r w:rsidRPr="008B0B33">
              <w:rPr>
                <w:rStyle w:val="aa"/>
                <w:rFonts w:ascii="宋体" w:hAnsi="宋体"/>
                <w:b w:val="0"/>
                <w:sz w:val="24"/>
              </w:rPr>
              <w:t>004378</w:t>
            </w:r>
            <w:r w:rsidR="004109D3" w:rsidRPr="008B0B33">
              <w:rPr>
                <w:rStyle w:val="aa"/>
                <w:rFonts w:ascii="宋体" w:hAnsi="宋体" w:hint="eastAsia"/>
                <w:b w:val="0"/>
                <w:sz w:val="24"/>
              </w:rPr>
              <w:t>；</w:t>
            </w:r>
            <w:r w:rsidR="00E170F2" w:rsidRPr="008B0B33">
              <w:rPr>
                <w:rStyle w:val="aa"/>
                <w:rFonts w:ascii="宋体" w:hAnsi="宋体" w:hint="eastAsia"/>
                <w:b w:val="0"/>
                <w:sz w:val="24"/>
              </w:rPr>
              <w:t>信诚</w:t>
            </w:r>
            <w:r w:rsidRPr="008B0B33">
              <w:rPr>
                <w:rStyle w:val="aa"/>
                <w:rFonts w:ascii="宋体" w:hAnsi="宋体" w:hint="eastAsia"/>
                <w:b w:val="0"/>
                <w:sz w:val="24"/>
              </w:rPr>
              <w:t>永丰</w:t>
            </w:r>
            <w:r w:rsidR="004109D3" w:rsidRPr="008B0B33">
              <w:rPr>
                <w:rStyle w:val="aa"/>
                <w:rFonts w:ascii="宋体" w:hAnsi="宋体" w:hint="eastAsia"/>
                <w:b w:val="0"/>
                <w:sz w:val="24"/>
              </w:rPr>
              <w:t>C：</w:t>
            </w:r>
            <w:r w:rsidRPr="008B0B33">
              <w:rPr>
                <w:rStyle w:val="aa"/>
                <w:rFonts w:ascii="宋体" w:hAnsi="宋体"/>
                <w:b w:val="0"/>
                <w:sz w:val="24"/>
              </w:rPr>
              <w:t>004379</w:t>
            </w:r>
            <w:r w:rsidR="008627D2" w:rsidRPr="008B0B33">
              <w:rPr>
                <w:rStyle w:val="aa"/>
                <w:rFonts w:ascii="宋体" w:hAnsi="宋体" w:hint="eastAsia"/>
                <w:b w:val="0"/>
                <w:sz w:val="24"/>
              </w:rPr>
              <w:t>）</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基金运作方式</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470EFA" w:rsidP="00E75B43">
            <w:pPr>
              <w:spacing w:line="360" w:lineRule="auto"/>
              <w:jc w:val="center"/>
              <w:rPr>
                <w:rStyle w:val="aa"/>
                <w:rFonts w:ascii="宋体" w:hAnsi="宋体"/>
                <w:b w:val="0"/>
                <w:sz w:val="24"/>
              </w:rPr>
            </w:pPr>
            <w:r w:rsidRPr="008B0B33">
              <w:rPr>
                <w:rFonts w:ascii="宋体" w:hAnsi="宋体"/>
                <w:sz w:val="24"/>
              </w:rPr>
              <w:t>契约型</w:t>
            </w:r>
            <w:r w:rsidRPr="008B0B33">
              <w:rPr>
                <w:rFonts w:ascii="宋体" w:hAnsi="宋体" w:hint="eastAsia"/>
                <w:sz w:val="24"/>
              </w:rPr>
              <w:t>、</w:t>
            </w:r>
            <w:r w:rsidRPr="008B0B33">
              <w:rPr>
                <w:rFonts w:ascii="宋体" w:hAnsi="宋体"/>
                <w:sz w:val="24"/>
              </w:rPr>
              <w:t>定期开放式</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基金合同生效日</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470EFA" w:rsidP="00E75B43">
            <w:pPr>
              <w:spacing w:line="360" w:lineRule="auto"/>
              <w:jc w:val="center"/>
              <w:rPr>
                <w:rStyle w:val="aa"/>
                <w:rFonts w:ascii="宋体" w:hAnsi="宋体"/>
                <w:b w:val="0"/>
                <w:sz w:val="24"/>
              </w:rPr>
            </w:pPr>
            <w:r w:rsidRPr="008B0B33">
              <w:rPr>
                <w:rFonts w:ascii="宋体" w:hAnsi="宋体" w:hint="eastAsia"/>
                <w:bCs/>
                <w:color w:val="000000"/>
                <w:sz w:val="24"/>
              </w:rPr>
              <w:t>2017年3月1日</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基金管理人</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317386" w:rsidP="00E75B43">
            <w:pPr>
              <w:spacing w:line="360" w:lineRule="auto"/>
              <w:jc w:val="center"/>
              <w:rPr>
                <w:rStyle w:val="aa"/>
                <w:rFonts w:ascii="宋体" w:hAnsi="宋体"/>
                <w:b w:val="0"/>
                <w:sz w:val="24"/>
              </w:rPr>
            </w:pPr>
            <w:r w:rsidRPr="008B0B33">
              <w:rPr>
                <w:rStyle w:val="aa"/>
                <w:rFonts w:ascii="宋体" w:hAnsi="宋体" w:hint="eastAsia"/>
                <w:b w:val="0"/>
                <w:color w:val="000000"/>
                <w:sz w:val="24"/>
              </w:rPr>
              <w:t>中信保诚基金管理有限公司</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基金托管人</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317386" w:rsidP="00E75B43">
            <w:pPr>
              <w:spacing w:line="360" w:lineRule="auto"/>
              <w:jc w:val="center"/>
              <w:rPr>
                <w:rStyle w:val="aa"/>
                <w:rFonts w:ascii="宋体" w:hAnsi="宋体"/>
                <w:b w:val="0"/>
                <w:sz w:val="24"/>
              </w:rPr>
            </w:pPr>
            <w:r w:rsidRPr="008B0B33">
              <w:rPr>
                <w:rStyle w:val="aa"/>
                <w:rFonts w:ascii="宋体" w:hAnsi="宋体" w:hint="eastAsia"/>
                <w:b w:val="0"/>
                <w:sz w:val="24"/>
              </w:rPr>
              <w:t>中</w:t>
            </w:r>
            <w:r w:rsidR="004109D3" w:rsidRPr="008B0B33">
              <w:rPr>
                <w:rStyle w:val="aa"/>
                <w:rFonts w:ascii="宋体" w:hAnsi="宋体" w:hint="eastAsia"/>
                <w:b w:val="0"/>
                <w:sz w:val="24"/>
              </w:rPr>
              <w:t>信</w:t>
            </w:r>
            <w:r w:rsidRPr="008B0B33">
              <w:rPr>
                <w:rStyle w:val="aa"/>
                <w:rFonts w:ascii="宋体" w:hAnsi="宋体" w:hint="eastAsia"/>
                <w:b w:val="0"/>
                <w:sz w:val="24"/>
              </w:rPr>
              <w:t>银行股份有限公司</w:t>
            </w:r>
          </w:p>
        </w:tc>
      </w:tr>
      <w:tr w:rsidR="00317386" w:rsidRPr="008B0B33" w:rsidTr="001F2003">
        <w:trPr>
          <w:jc w:val="center"/>
        </w:trPr>
        <w:tc>
          <w:tcPr>
            <w:tcW w:w="1683" w:type="pct"/>
            <w:tcBorders>
              <w:top w:val="single" w:sz="4" w:space="0" w:color="000000"/>
              <w:left w:val="single" w:sz="4" w:space="0" w:color="000000"/>
              <w:bottom w:val="single" w:sz="4" w:space="0" w:color="000000"/>
              <w:right w:val="single" w:sz="4" w:space="0" w:color="000000"/>
            </w:tcBorders>
          </w:tcPr>
          <w:p w:rsidR="00317386" w:rsidRPr="008B0B33" w:rsidRDefault="00317386" w:rsidP="00E75B43">
            <w:pPr>
              <w:spacing w:line="360" w:lineRule="auto"/>
              <w:rPr>
                <w:rStyle w:val="aa"/>
                <w:rFonts w:ascii="宋体" w:hAnsi="宋体"/>
                <w:b w:val="0"/>
                <w:sz w:val="24"/>
              </w:rPr>
            </w:pPr>
            <w:r w:rsidRPr="008B0B33">
              <w:rPr>
                <w:rStyle w:val="aa"/>
                <w:rFonts w:ascii="宋体" w:hAnsi="宋体"/>
                <w:b w:val="0"/>
                <w:sz w:val="24"/>
              </w:rPr>
              <w:t>基金合同存续期</w:t>
            </w:r>
          </w:p>
        </w:tc>
        <w:tc>
          <w:tcPr>
            <w:tcW w:w="3317" w:type="pct"/>
            <w:tcBorders>
              <w:top w:val="single" w:sz="4" w:space="0" w:color="000000"/>
              <w:left w:val="single" w:sz="4" w:space="0" w:color="000000"/>
              <w:bottom w:val="single" w:sz="4" w:space="0" w:color="000000"/>
              <w:right w:val="single" w:sz="4" w:space="0" w:color="000000"/>
            </w:tcBorders>
            <w:vAlign w:val="bottom"/>
          </w:tcPr>
          <w:p w:rsidR="00317386" w:rsidRPr="008B0B33" w:rsidRDefault="00317386" w:rsidP="00E75B43">
            <w:pPr>
              <w:spacing w:line="360" w:lineRule="auto"/>
              <w:jc w:val="center"/>
              <w:rPr>
                <w:rStyle w:val="aa"/>
                <w:rFonts w:ascii="宋体" w:hAnsi="宋体"/>
                <w:b w:val="0"/>
                <w:sz w:val="24"/>
              </w:rPr>
            </w:pPr>
            <w:r w:rsidRPr="008B0B33">
              <w:rPr>
                <w:rStyle w:val="aa"/>
                <w:rFonts w:ascii="宋体" w:hAnsi="宋体"/>
                <w:b w:val="0"/>
                <w:sz w:val="24"/>
              </w:rPr>
              <w:t>不定期</w:t>
            </w:r>
          </w:p>
        </w:tc>
      </w:tr>
    </w:tbl>
    <w:p w:rsidR="00E75B43" w:rsidRDefault="00E75B43" w:rsidP="00E75B43">
      <w:pPr>
        <w:spacing w:line="360" w:lineRule="auto"/>
        <w:rPr>
          <w:rStyle w:val="aa"/>
          <w:rFonts w:ascii="宋体" w:hAnsi="宋体"/>
          <w:color w:val="000000"/>
          <w:sz w:val="24"/>
        </w:rPr>
      </w:pPr>
      <w:bookmarkStart w:id="0" w:name="_Toc415156891"/>
    </w:p>
    <w:p w:rsidR="00317386" w:rsidRPr="00E75B43" w:rsidRDefault="00317386" w:rsidP="00E75B43">
      <w:pPr>
        <w:spacing w:line="360" w:lineRule="auto"/>
        <w:rPr>
          <w:rStyle w:val="aa"/>
          <w:rFonts w:ascii="宋体" w:hAnsi="宋体"/>
          <w:color w:val="000000"/>
          <w:sz w:val="24"/>
        </w:rPr>
      </w:pPr>
      <w:r w:rsidRPr="00E75B43">
        <w:rPr>
          <w:rStyle w:val="aa"/>
          <w:rFonts w:ascii="宋体" w:hAnsi="宋体"/>
          <w:color w:val="000000"/>
          <w:sz w:val="24"/>
        </w:rPr>
        <w:t>2.2 基金产品说明</w:t>
      </w:r>
      <w:bookmarkEnd w:id="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20"/>
        <w:gridCol w:w="6702"/>
      </w:tblGrid>
      <w:tr w:rsidR="00317386" w:rsidRPr="00317386" w:rsidTr="001F2003">
        <w:trPr>
          <w:jc w:val="center"/>
        </w:trPr>
        <w:tc>
          <w:tcPr>
            <w:tcW w:w="1068" w:type="pct"/>
            <w:tcBorders>
              <w:top w:val="single" w:sz="4" w:space="0" w:color="000000"/>
              <w:left w:val="single" w:sz="4" w:space="0" w:color="000000"/>
              <w:bottom w:val="single" w:sz="4" w:space="0" w:color="000000"/>
              <w:right w:val="single" w:sz="4" w:space="0" w:color="000000"/>
            </w:tcBorders>
            <w:vAlign w:val="center"/>
          </w:tcPr>
          <w:p w:rsidR="00317386" w:rsidRPr="00317386" w:rsidRDefault="00317386">
            <w:pPr>
              <w:spacing w:line="360" w:lineRule="auto"/>
              <w:rPr>
                <w:rStyle w:val="aa"/>
                <w:rFonts w:ascii="宋体" w:hAnsi="宋体"/>
                <w:b w:val="0"/>
                <w:sz w:val="24"/>
              </w:rPr>
            </w:pPr>
            <w:r w:rsidRPr="00317386">
              <w:rPr>
                <w:rStyle w:val="aa"/>
                <w:rFonts w:ascii="宋体" w:hAnsi="宋体"/>
                <w:b w:val="0"/>
                <w:sz w:val="24"/>
              </w:rPr>
              <w:t>投资目标</w:t>
            </w:r>
          </w:p>
        </w:tc>
        <w:tc>
          <w:tcPr>
            <w:tcW w:w="3932" w:type="pct"/>
            <w:tcBorders>
              <w:top w:val="single" w:sz="4" w:space="0" w:color="000000"/>
              <w:left w:val="single" w:sz="4" w:space="0" w:color="000000"/>
              <w:bottom w:val="single" w:sz="4" w:space="0" w:color="000000"/>
              <w:right w:val="single" w:sz="4" w:space="0" w:color="000000"/>
            </w:tcBorders>
            <w:vAlign w:val="bottom"/>
          </w:tcPr>
          <w:p w:rsidR="00317386" w:rsidRPr="008627D2" w:rsidRDefault="008627D2" w:rsidP="00BE0DDE">
            <w:pPr>
              <w:spacing w:line="360" w:lineRule="auto"/>
              <w:rPr>
                <w:rStyle w:val="aa"/>
                <w:rFonts w:ascii="宋体" w:hAnsi="宋体"/>
                <w:b w:val="0"/>
                <w:sz w:val="24"/>
              </w:rPr>
            </w:pPr>
            <w:r w:rsidRPr="008627D2">
              <w:rPr>
                <w:rFonts w:hint="eastAsia"/>
                <w:bCs/>
                <w:sz w:val="24"/>
              </w:rPr>
              <w:t>在严格控制风险的前提下，通过合理的资产配置，综合运用多种投资策略，力争获得超越业绩比较基准的回报。</w:t>
            </w:r>
          </w:p>
        </w:tc>
      </w:tr>
      <w:tr w:rsidR="00317386" w:rsidRPr="00317386" w:rsidTr="001F2003">
        <w:trPr>
          <w:jc w:val="center"/>
        </w:trPr>
        <w:tc>
          <w:tcPr>
            <w:tcW w:w="1068" w:type="pct"/>
            <w:tcBorders>
              <w:top w:val="single" w:sz="4" w:space="0" w:color="000000"/>
              <w:left w:val="single" w:sz="4" w:space="0" w:color="000000"/>
              <w:bottom w:val="single" w:sz="4" w:space="0" w:color="000000"/>
              <w:right w:val="single" w:sz="4" w:space="0" w:color="000000"/>
            </w:tcBorders>
            <w:vAlign w:val="center"/>
          </w:tcPr>
          <w:p w:rsidR="00317386" w:rsidRPr="00317386" w:rsidRDefault="00317386">
            <w:pPr>
              <w:spacing w:line="360" w:lineRule="auto"/>
              <w:rPr>
                <w:rStyle w:val="aa"/>
                <w:rFonts w:ascii="宋体" w:hAnsi="宋体"/>
                <w:b w:val="0"/>
                <w:sz w:val="24"/>
              </w:rPr>
            </w:pPr>
            <w:r w:rsidRPr="00317386">
              <w:rPr>
                <w:rStyle w:val="aa"/>
                <w:rFonts w:ascii="宋体" w:hAnsi="宋体"/>
                <w:b w:val="0"/>
                <w:sz w:val="24"/>
              </w:rPr>
              <w:t>投资策略</w:t>
            </w:r>
            <w:r w:rsidR="00635576">
              <w:rPr>
                <w:rStyle w:val="aa"/>
                <w:rFonts w:ascii="宋体" w:hAnsi="宋体" w:hint="eastAsia"/>
                <w:b w:val="0"/>
                <w:sz w:val="24"/>
              </w:rPr>
              <w:t>概述</w:t>
            </w:r>
          </w:p>
        </w:tc>
        <w:tc>
          <w:tcPr>
            <w:tcW w:w="3932" w:type="pct"/>
            <w:tcBorders>
              <w:top w:val="single" w:sz="4" w:space="0" w:color="000000"/>
              <w:left w:val="single" w:sz="4" w:space="0" w:color="000000"/>
              <w:bottom w:val="single" w:sz="4" w:space="0" w:color="000000"/>
              <w:right w:val="single" w:sz="4" w:space="0" w:color="000000"/>
            </w:tcBorders>
          </w:tcPr>
          <w:p w:rsidR="00470EFA" w:rsidRPr="00670561" w:rsidRDefault="00470EFA" w:rsidP="00470EFA">
            <w:pPr>
              <w:spacing w:line="360" w:lineRule="auto"/>
              <w:ind w:firstLineChars="200" w:firstLine="480"/>
              <w:rPr>
                <w:bCs/>
                <w:color w:val="000000"/>
                <w:sz w:val="24"/>
              </w:rPr>
            </w:pPr>
            <w:r w:rsidRPr="00670561">
              <w:rPr>
                <w:bCs/>
                <w:color w:val="000000"/>
                <w:sz w:val="24"/>
              </w:rPr>
              <w:t>1</w:t>
            </w:r>
            <w:r w:rsidRPr="00670561">
              <w:rPr>
                <w:bCs/>
                <w:color w:val="000000"/>
                <w:sz w:val="24"/>
              </w:rPr>
              <w:t>、资产配置策略</w:t>
            </w:r>
          </w:p>
          <w:p w:rsidR="00470EFA" w:rsidRPr="00670561" w:rsidRDefault="00470EFA" w:rsidP="00470EFA">
            <w:pPr>
              <w:spacing w:line="360" w:lineRule="auto"/>
              <w:ind w:firstLineChars="200" w:firstLine="480"/>
              <w:rPr>
                <w:bCs/>
                <w:color w:val="000000"/>
                <w:sz w:val="24"/>
              </w:rPr>
            </w:pPr>
            <w:r w:rsidRPr="00670561">
              <w:rPr>
                <w:bCs/>
                <w:color w:val="000000"/>
                <w:sz w:val="24"/>
              </w:rPr>
              <w:t>本基金主要通过对宏观经济运行状况、国家财政和货币政策、国家产业政策以及资本市场资金环境、证券市场走势的分析，</w:t>
            </w:r>
            <w:r w:rsidRPr="00670561">
              <w:rPr>
                <w:rFonts w:hint="eastAsia"/>
                <w:bCs/>
                <w:color w:val="000000"/>
                <w:sz w:val="24"/>
              </w:rPr>
              <w:t>在</w:t>
            </w:r>
            <w:r w:rsidRPr="00670561">
              <w:rPr>
                <w:bCs/>
                <w:color w:val="000000"/>
                <w:sz w:val="24"/>
              </w:rPr>
              <w:t>评价未来一段时间股票、债券市场相对收益率</w:t>
            </w:r>
            <w:r w:rsidRPr="00670561">
              <w:rPr>
                <w:rFonts w:hint="eastAsia"/>
                <w:bCs/>
                <w:color w:val="000000"/>
                <w:sz w:val="24"/>
              </w:rPr>
              <w:t>的基础上</w:t>
            </w:r>
            <w:r w:rsidRPr="00670561">
              <w:rPr>
                <w:bCs/>
                <w:color w:val="000000"/>
                <w:sz w:val="24"/>
              </w:rPr>
              <w:t>，</w:t>
            </w:r>
            <w:r w:rsidRPr="00670561">
              <w:rPr>
                <w:rFonts w:hint="eastAsia"/>
                <w:bCs/>
                <w:color w:val="000000"/>
                <w:sz w:val="24"/>
              </w:rPr>
              <w:t>动态优化</w:t>
            </w:r>
            <w:r w:rsidRPr="00670561">
              <w:rPr>
                <w:bCs/>
                <w:color w:val="000000"/>
                <w:sz w:val="24"/>
              </w:rPr>
              <w:t>调整</w:t>
            </w:r>
            <w:r w:rsidRPr="00670561">
              <w:rPr>
                <w:rFonts w:hint="eastAsia"/>
                <w:bCs/>
                <w:color w:val="000000"/>
                <w:sz w:val="24"/>
              </w:rPr>
              <w:t>权益类</w:t>
            </w:r>
            <w:r w:rsidRPr="00670561">
              <w:rPr>
                <w:bCs/>
                <w:color w:val="000000"/>
                <w:sz w:val="24"/>
              </w:rPr>
              <w:t>、</w:t>
            </w:r>
            <w:r w:rsidRPr="00670561">
              <w:rPr>
                <w:rFonts w:hint="eastAsia"/>
                <w:bCs/>
                <w:color w:val="000000"/>
                <w:sz w:val="24"/>
              </w:rPr>
              <w:t>固定收益</w:t>
            </w:r>
            <w:r w:rsidRPr="00670561">
              <w:rPr>
                <w:bCs/>
                <w:color w:val="000000"/>
                <w:sz w:val="24"/>
              </w:rPr>
              <w:t>类</w:t>
            </w:r>
            <w:r w:rsidRPr="00670561">
              <w:rPr>
                <w:rFonts w:hint="eastAsia"/>
                <w:bCs/>
                <w:color w:val="000000"/>
                <w:sz w:val="24"/>
              </w:rPr>
              <w:t>等大类</w:t>
            </w:r>
            <w:r w:rsidRPr="00670561">
              <w:rPr>
                <w:bCs/>
                <w:color w:val="000000"/>
                <w:sz w:val="24"/>
              </w:rPr>
              <w:t>资产</w:t>
            </w:r>
            <w:r w:rsidRPr="00670561">
              <w:rPr>
                <w:rFonts w:hint="eastAsia"/>
                <w:bCs/>
                <w:color w:val="000000"/>
                <w:sz w:val="24"/>
              </w:rPr>
              <w:t>的</w:t>
            </w:r>
            <w:r w:rsidRPr="00670561">
              <w:rPr>
                <w:bCs/>
                <w:color w:val="000000"/>
                <w:sz w:val="24"/>
              </w:rPr>
              <w:t>配置。</w:t>
            </w:r>
            <w:r w:rsidRPr="00670561">
              <w:rPr>
                <w:rFonts w:hint="eastAsia"/>
                <w:bCs/>
                <w:color w:val="000000"/>
                <w:sz w:val="24"/>
              </w:rPr>
              <w:t>在严格控制风险的前提下，力争获得超越业绩比较基准的绝对回报。</w:t>
            </w:r>
          </w:p>
          <w:p w:rsidR="00470EFA" w:rsidRPr="00670561" w:rsidRDefault="00470EFA" w:rsidP="00470EFA">
            <w:pPr>
              <w:spacing w:line="360" w:lineRule="auto"/>
              <w:ind w:firstLineChars="200" w:firstLine="480"/>
              <w:rPr>
                <w:bCs/>
                <w:color w:val="000000"/>
                <w:sz w:val="24"/>
              </w:rPr>
            </w:pPr>
            <w:r w:rsidRPr="00670561">
              <w:rPr>
                <w:rFonts w:hint="eastAsia"/>
                <w:bCs/>
                <w:color w:val="000000"/>
                <w:sz w:val="24"/>
              </w:rPr>
              <w:t>2</w:t>
            </w:r>
            <w:r w:rsidRPr="00670561">
              <w:rPr>
                <w:rFonts w:hint="eastAsia"/>
                <w:bCs/>
                <w:color w:val="000000"/>
                <w:sz w:val="24"/>
              </w:rPr>
              <w:t>、股票投资策略</w:t>
            </w:r>
          </w:p>
          <w:p w:rsidR="00470EFA" w:rsidRPr="00670561" w:rsidRDefault="00470EFA" w:rsidP="00470EFA">
            <w:pPr>
              <w:spacing w:line="360" w:lineRule="auto"/>
              <w:ind w:firstLineChars="200" w:firstLine="480"/>
              <w:rPr>
                <w:bCs/>
                <w:color w:val="000000"/>
                <w:sz w:val="24"/>
              </w:rPr>
            </w:pPr>
            <w:r w:rsidRPr="00670561">
              <w:rPr>
                <w:rFonts w:hint="eastAsia"/>
                <w:bCs/>
                <w:color w:val="000000"/>
                <w:sz w:val="24"/>
              </w:rPr>
              <w:t>在灵活的类别资产配置的基础上，</w:t>
            </w:r>
            <w:r w:rsidRPr="00670561">
              <w:rPr>
                <w:bCs/>
                <w:color w:val="000000"/>
                <w:sz w:val="24"/>
              </w:rPr>
              <w:t>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r w:rsidRPr="00670561">
              <w:rPr>
                <w:rFonts w:hint="eastAsia"/>
                <w:bCs/>
                <w:color w:val="000000"/>
                <w:sz w:val="24"/>
              </w:rPr>
              <w:t>。</w:t>
            </w:r>
          </w:p>
          <w:p w:rsidR="00470EFA" w:rsidRPr="00670561" w:rsidRDefault="00470EFA" w:rsidP="00470EFA">
            <w:pPr>
              <w:spacing w:line="360" w:lineRule="auto"/>
              <w:ind w:firstLineChars="200" w:firstLine="480"/>
              <w:rPr>
                <w:bCs/>
                <w:color w:val="000000"/>
                <w:sz w:val="24"/>
              </w:rPr>
            </w:pPr>
            <w:r w:rsidRPr="00670561">
              <w:rPr>
                <w:rFonts w:hint="eastAsia"/>
                <w:bCs/>
                <w:color w:val="000000"/>
                <w:sz w:val="24"/>
              </w:rPr>
              <w:t>3</w:t>
            </w:r>
            <w:r w:rsidRPr="00670561">
              <w:rPr>
                <w:rFonts w:hint="eastAsia"/>
                <w:bCs/>
                <w:color w:val="000000"/>
                <w:sz w:val="24"/>
              </w:rPr>
              <w:t>、</w:t>
            </w:r>
            <w:r>
              <w:rPr>
                <w:rFonts w:hint="eastAsia"/>
                <w:bCs/>
                <w:color w:val="000000"/>
                <w:sz w:val="24"/>
              </w:rPr>
              <w:t>债券</w:t>
            </w:r>
            <w:r w:rsidRPr="00670561">
              <w:rPr>
                <w:rFonts w:hint="eastAsia"/>
                <w:bCs/>
                <w:color w:val="000000"/>
                <w:sz w:val="24"/>
              </w:rPr>
              <w:t>投资策略</w:t>
            </w:r>
          </w:p>
          <w:p w:rsidR="00470EFA" w:rsidRPr="00670561" w:rsidRDefault="00470EFA" w:rsidP="00470EFA">
            <w:pPr>
              <w:spacing w:line="360" w:lineRule="auto"/>
              <w:ind w:firstLine="480"/>
              <w:rPr>
                <w:color w:val="000000"/>
                <w:sz w:val="24"/>
              </w:rPr>
            </w:pPr>
            <w:r w:rsidRPr="00670561">
              <w:rPr>
                <w:color w:val="000000"/>
                <w:sz w:val="24"/>
              </w:rPr>
              <w:t>本</w:t>
            </w:r>
            <w:r w:rsidRPr="00670561">
              <w:rPr>
                <w:rFonts w:hint="eastAsia"/>
                <w:color w:val="000000"/>
                <w:sz w:val="24"/>
              </w:rPr>
              <w:t>基金</w:t>
            </w:r>
            <w:r w:rsidRPr="00670561">
              <w:rPr>
                <w:color w:val="000000"/>
                <w:sz w:val="24"/>
              </w:rPr>
              <w:t>将根据当前宏观经济形势、金融市场环境，运用基于债券研究的各种投资分析技术，</w:t>
            </w:r>
            <w:r w:rsidRPr="00670561">
              <w:rPr>
                <w:rFonts w:hint="eastAsia"/>
                <w:color w:val="000000"/>
                <w:sz w:val="24"/>
              </w:rPr>
              <w:t>进行</w:t>
            </w:r>
            <w:r w:rsidRPr="00670561">
              <w:rPr>
                <w:rFonts w:hint="eastAsia"/>
                <w:bCs/>
                <w:color w:val="000000"/>
                <w:sz w:val="24"/>
              </w:rPr>
              <w:t>个券精选</w:t>
            </w:r>
            <w:r w:rsidRPr="00670561">
              <w:rPr>
                <w:color w:val="000000"/>
                <w:sz w:val="24"/>
              </w:rPr>
              <w:t>。</w:t>
            </w:r>
            <w:r w:rsidRPr="00AD66A4">
              <w:rPr>
                <w:rFonts w:hAnsi="宋体" w:hint="eastAsia"/>
                <w:bCs/>
                <w:sz w:val="24"/>
              </w:rPr>
              <w:t>对于普通债券，本基金将在严格控制目标久期及保证基金资产流动性的前提下，采用目标久期控制、期限结构配置、信用利差策略、相对价值配置、回购放大策略等策略进行主动投资。</w:t>
            </w:r>
          </w:p>
          <w:p w:rsidR="00470EFA" w:rsidRPr="00973F2B" w:rsidRDefault="00470EFA" w:rsidP="00470EFA">
            <w:pPr>
              <w:spacing w:line="360" w:lineRule="auto"/>
              <w:ind w:firstLineChars="200" w:firstLine="480"/>
              <w:rPr>
                <w:bCs/>
                <w:color w:val="000000"/>
                <w:sz w:val="24"/>
              </w:rPr>
            </w:pPr>
            <w:r w:rsidRPr="00670561">
              <w:rPr>
                <w:rFonts w:hint="eastAsia"/>
                <w:bCs/>
                <w:color w:val="000000"/>
                <w:sz w:val="24"/>
              </w:rPr>
              <w:t>4</w:t>
            </w:r>
            <w:r w:rsidRPr="00670561">
              <w:rPr>
                <w:rFonts w:hint="eastAsia"/>
                <w:bCs/>
                <w:color w:val="000000"/>
                <w:sz w:val="24"/>
              </w:rPr>
              <w:t>、</w:t>
            </w:r>
            <w:r w:rsidRPr="00973F2B">
              <w:rPr>
                <w:rFonts w:hint="eastAsia"/>
                <w:bCs/>
                <w:color w:val="000000"/>
                <w:sz w:val="24"/>
              </w:rPr>
              <w:t>资产支持证券投资策略</w:t>
            </w:r>
          </w:p>
          <w:p w:rsidR="00470EFA" w:rsidRPr="00973F2B" w:rsidRDefault="00470EFA" w:rsidP="00470EFA">
            <w:pPr>
              <w:spacing w:line="360" w:lineRule="auto"/>
              <w:ind w:firstLineChars="200" w:firstLine="480"/>
              <w:rPr>
                <w:bCs/>
                <w:color w:val="000000"/>
                <w:sz w:val="24"/>
              </w:rPr>
            </w:pPr>
            <w:r w:rsidRPr="00973F2B">
              <w:rPr>
                <w:rFonts w:hint="eastAsia"/>
                <w:bCs/>
                <w:color w:val="000000"/>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470EFA" w:rsidRPr="00670561" w:rsidRDefault="00470EFA" w:rsidP="00470EFA">
            <w:pPr>
              <w:spacing w:line="360" w:lineRule="auto"/>
              <w:ind w:firstLineChars="200" w:firstLine="480"/>
              <w:rPr>
                <w:bCs/>
                <w:color w:val="000000"/>
                <w:sz w:val="24"/>
              </w:rPr>
            </w:pPr>
            <w:r>
              <w:rPr>
                <w:rFonts w:hint="eastAsia"/>
                <w:bCs/>
                <w:color w:val="000000"/>
                <w:sz w:val="24"/>
              </w:rPr>
              <w:t>5</w:t>
            </w:r>
            <w:r w:rsidRPr="00973F2B">
              <w:rPr>
                <w:rFonts w:hint="eastAsia"/>
                <w:bCs/>
                <w:color w:val="000000"/>
                <w:sz w:val="24"/>
              </w:rPr>
              <w:t>、</w:t>
            </w:r>
            <w:r w:rsidRPr="00670561">
              <w:rPr>
                <w:bCs/>
                <w:color w:val="000000"/>
                <w:sz w:val="24"/>
              </w:rPr>
              <w:t>股指期货投资策略</w:t>
            </w:r>
          </w:p>
          <w:p w:rsidR="00470EFA" w:rsidRPr="00670561" w:rsidRDefault="00470EFA" w:rsidP="00470EFA">
            <w:pPr>
              <w:spacing w:line="360" w:lineRule="auto"/>
              <w:ind w:firstLineChars="200" w:firstLine="480"/>
              <w:rPr>
                <w:bCs/>
                <w:color w:val="000000"/>
                <w:sz w:val="24"/>
              </w:rPr>
            </w:pPr>
            <w:r w:rsidRPr="00670561">
              <w:rPr>
                <w:rFonts w:hint="eastAsia"/>
                <w:bCs/>
                <w:color w:val="000000"/>
                <w:sz w:val="24"/>
              </w:rPr>
              <w:t>基金管理人可运用股指期货，以提高投资效率更好地达到本基金的投资目标。本基金在股指期货投资中将根据风险管理的原则，以套期保值为目的，在风险可控的前提下，本着谨慎原则，参与股指期货的投资，以管理投资组合的系统性风险，改善组合的风险收益特性。此外，本基金还将运用股指期货来对冲诸如预期大额申购赎回、大量分红等特殊情况下的流动性风险以进行有效的现金管理。</w:t>
            </w:r>
          </w:p>
          <w:p w:rsidR="00470EFA" w:rsidRPr="00670561" w:rsidRDefault="00470EFA" w:rsidP="00470EFA">
            <w:pPr>
              <w:spacing w:line="360" w:lineRule="auto"/>
              <w:ind w:firstLineChars="200" w:firstLine="480"/>
              <w:rPr>
                <w:bCs/>
                <w:color w:val="000000"/>
                <w:sz w:val="24"/>
              </w:rPr>
            </w:pPr>
            <w:r>
              <w:rPr>
                <w:rFonts w:hint="eastAsia"/>
                <w:bCs/>
                <w:color w:val="000000"/>
                <w:sz w:val="24"/>
              </w:rPr>
              <w:t>6</w:t>
            </w:r>
            <w:r w:rsidRPr="00670561">
              <w:rPr>
                <w:rFonts w:hint="eastAsia"/>
                <w:bCs/>
                <w:color w:val="000000"/>
                <w:sz w:val="24"/>
              </w:rPr>
              <w:t>、</w:t>
            </w:r>
            <w:r w:rsidRPr="00670561">
              <w:rPr>
                <w:bCs/>
                <w:color w:val="000000"/>
                <w:sz w:val="24"/>
              </w:rPr>
              <w:t>权证投资策略</w:t>
            </w:r>
          </w:p>
          <w:p w:rsidR="00470EFA" w:rsidRPr="00670561" w:rsidRDefault="00470EFA" w:rsidP="00470EFA">
            <w:pPr>
              <w:spacing w:line="360" w:lineRule="auto"/>
              <w:ind w:firstLineChars="200" w:firstLine="480"/>
              <w:rPr>
                <w:bCs/>
                <w:color w:val="000000"/>
                <w:sz w:val="24"/>
              </w:rPr>
            </w:pPr>
            <w:r w:rsidRPr="00670561">
              <w:rPr>
                <w:rFonts w:hint="eastAsia"/>
                <w:bCs/>
                <w:color w:val="000000"/>
                <w:sz w:val="24"/>
              </w:rPr>
              <w:t>本基金将按照相关法律法规通过利用权证进行套利、避险交易，控制基金组合风险，获取超额收益。本基金进行权证投资时，将在对权证标的证券进行基本面研究及估值的基础上，结合股价波动率等参数，运用数量化定价模型，确定其合理内在价值，构建交易组合。</w:t>
            </w:r>
          </w:p>
          <w:p w:rsidR="00317386" w:rsidRPr="00317386" w:rsidRDefault="00470EFA" w:rsidP="008627D2">
            <w:pPr>
              <w:spacing w:line="360" w:lineRule="auto"/>
              <w:ind w:firstLineChars="200" w:firstLine="480"/>
              <w:rPr>
                <w:rFonts w:ascii="宋体" w:hAnsi="宋体"/>
                <w:sz w:val="24"/>
              </w:rPr>
            </w:pPr>
            <w:r w:rsidRPr="00670561">
              <w:rPr>
                <w:bCs/>
                <w:color w:val="000000"/>
                <w:sz w:val="24"/>
              </w:rPr>
              <w:t>如法律法规或监管机构以后允许基金投资其他品种，基金管理人在履行适当程序后，可以将其纳入投资范围</w:t>
            </w:r>
            <w:r w:rsidRPr="00670561">
              <w:rPr>
                <w:rFonts w:hint="eastAsia"/>
                <w:bCs/>
                <w:color w:val="000000"/>
                <w:sz w:val="24"/>
              </w:rPr>
              <w:t>，本基金可以相应调整和更新相关投资策略，并在招募说明书更新或相关公告中公告。</w:t>
            </w:r>
          </w:p>
        </w:tc>
      </w:tr>
      <w:tr w:rsidR="00317386" w:rsidRPr="00317386" w:rsidTr="001F2003">
        <w:trPr>
          <w:jc w:val="center"/>
        </w:trPr>
        <w:tc>
          <w:tcPr>
            <w:tcW w:w="1068" w:type="pct"/>
            <w:tcBorders>
              <w:top w:val="single" w:sz="4" w:space="0" w:color="000000"/>
              <w:left w:val="single" w:sz="4" w:space="0" w:color="000000"/>
              <w:bottom w:val="single" w:sz="4" w:space="0" w:color="000000"/>
              <w:right w:val="single" w:sz="4" w:space="0" w:color="000000"/>
            </w:tcBorders>
            <w:vAlign w:val="center"/>
          </w:tcPr>
          <w:p w:rsidR="00317386" w:rsidRPr="00317386" w:rsidRDefault="00317386">
            <w:pPr>
              <w:spacing w:line="360" w:lineRule="auto"/>
              <w:rPr>
                <w:rStyle w:val="aa"/>
                <w:rFonts w:ascii="宋体" w:hAnsi="宋体"/>
                <w:b w:val="0"/>
                <w:sz w:val="24"/>
              </w:rPr>
            </w:pPr>
            <w:r w:rsidRPr="00317386">
              <w:rPr>
                <w:rStyle w:val="aa"/>
                <w:rFonts w:ascii="宋体" w:hAnsi="宋体"/>
                <w:b w:val="0"/>
                <w:sz w:val="24"/>
              </w:rPr>
              <w:t>风险收益特征</w:t>
            </w:r>
          </w:p>
        </w:tc>
        <w:tc>
          <w:tcPr>
            <w:tcW w:w="3932" w:type="pct"/>
            <w:tcBorders>
              <w:top w:val="single" w:sz="4" w:space="0" w:color="000000"/>
              <w:left w:val="single" w:sz="4" w:space="0" w:color="000000"/>
              <w:bottom w:val="single" w:sz="4" w:space="0" w:color="000000"/>
              <w:right w:val="single" w:sz="4" w:space="0" w:color="000000"/>
            </w:tcBorders>
            <w:vAlign w:val="bottom"/>
          </w:tcPr>
          <w:p w:rsidR="00317386" w:rsidRPr="008627D2" w:rsidRDefault="008627D2">
            <w:pPr>
              <w:adjustRightInd w:val="0"/>
              <w:snapToGrid w:val="0"/>
              <w:spacing w:line="360" w:lineRule="auto"/>
              <w:rPr>
                <w:rStyle w:val="aa"/>
                <w:rFonts w:ascii="宋体" w:hAnsi="宋体"/>
                <w:b w:val="0"/>
                <w:bCs w:val="0"/>
                <w:sz w:val="24"/>
              </w:rPr>
            </w:pPr>
            <w:r w:rsidRPr="008627D2">
              <w:rPr>
                <w:rFonts w:hint="eastAsia"/>
                <w:bCs/>
                <w:sz w:val="24"/>
              </w:rPr>
              <w:t>本基金为混合型基金，其预期风险、预期收益高于货币市场基金和债券型基金，低于股票型基金。</w:t>
            </w:r>
          </w:p>
        </w:tc>
      </w:tr>
    </w:tbl>
    <w:p w:rsidR="00317386" w:rsidRPr="00317386" w:rsidRDefault="00317386">
      <w:pPr>
        <w:pStyle w:val="ad"/>
        <w:spacing w:line="360" w:lineRule="auto"/>
        <w:ind w:firstLineChars="0" w:firstLine="0"/>
        <w:rPr>
          <w:rStyle w:val="aa"/>
          <w:rFonts w:ascii="宋体" w:hAnsi="宋体"/>
          <w:b w:val="0"/>
          <w:color w:val="000000"/>
          <w:sz w:val="24"/>
        </w:rPr>
      </w:pPr>
    </w:p>
    <w:p w:rsidR="00317386" w:rsidRPr="00317386" w:rsidRDefault="00317386">
      <w:pPr>
        <w:pStyle w:val="ad"/>
        <w:spacing w:line="360" w:lineRule="auto"/>
        <w:ind w:firstLineChars="0" w:firstLine="0"/>
        <w:jc w:val="center"/>
        <w:rPr>
          <w:rStyle w:val="aa"/>
          <w:rFonts w:ascii="宋体" w:hAnsi="宋体"/>
          <w:color w:val="000000"/>
          <w:sz w:val="24"/>
        </w:rPr>
      </w:pPr>
      <w:r w:rsidRPr="00317386">
        <w:rPr>
          <w:rStyle w:val="aa"/>
          <w:rFonts w:ascii="宋体" w:hAnsi="宋体" w:hint="eastAsia"/>
          <w:color w:val="000000"/>
          <w:sz w:val="24"/>
        </w:rPr>
        <w:t>3、基金运作情况概述</w:t>
      </w:r>
    </w:p>
    <w:p w:rsidR="00317386" w:rsidRPr="00317386" w:rsidRDefault="00470EFA" w:rsidP="00E75B43">
      <w:pPr>
        <w:spacing w:line="360" w:lineRule="auto"/>
        <w:ind w:firstLineChars="200" w:firstLine="480"/>
        <w:rPr>
          <w:rStyle w:val="aa"/>
          <w:rFonts w:ascii="宋体" w:hAnsi="宋体"/>
          <w:b w:val="0"/>
          <w:color w:val="000000"/>
          <w:sz w:val="24"/>
        </w:rPr>
      </w:pPr>
      <w:r>
        <w:rPr>
          <w:rStyle w:val="aa"/>
          <w:rFonts w:ascii="宋体" w:hAnsi="宋体" w:hint="eastAsia"/>
          <w:b w:val="0"/>
          <w:color w:val="000000"/>
          <w:sz w:val="24"/>
        </w:rPr>
        <w:t>信诚永丰一年定期开放混合型证券投资基金</w:t>
      </w:r>
      <w:r w:rsidR="00317386" w:rsidRPr="00317386">
        <w:rPr>
          <w:rStyle w:val="aa"/>
          <w:rFonts w:ascii="宋体" w:hAnsi="宋体" w:hint="eastAsia"/>
          <w:b w:val="0"/>
          <w:color w:val="000000"/>
          <w:sz w:val="24"/>
        </w:rPr>
        <w:t>经中国证监会</w:t>
      </w:r>
      <w:r w:rsidR="00635576" w:rsidRPr="00635576">
        <w:rPr>
          <w:rStyle w:val="aa"/>
          <w:rFonts w:ascii="宋体" w:hAnsi="宋体" w:hint="eastAsia"/>
          <w:b w:val="0"/>
          <w:color w:val="000000"/>
          <w:sz w:val="24"/>
        </w:rPr>
        <w:t>证监许可</w:t>
      </w:r>
      <w:r w:rsidR="008627D2" w:rsidRPr="008627D2">
        <w:rPr>
          <w:rStyle w:val="aa"/>
          <w:rFonts w:ascii="宋体" w:hAnsi="宋体"/>
          <w:b w:val="0"/>
          <w:color w:val="000000"/>
          <w:sz w:val="24"/>
        </w:rPr>
        <w:t>[2016]</w:t>
      </w:r>
      <w:r w:rsidRPr="00470EFA">
        <w:rPr>
          <w:rStyle w:val="aa"/>
          <w:rFonts w:ascii="宋体" w:hAnsi="宋体"/>
          <w:b w:val="0"/>
          <w:color w:val="000000"/>
          <w:sz w:val="24"/>
        </w:rPr>
        <w:t>2920</w:t>
      </w:r>
      <w:r w:rsidR="00635576" w:rsidRPr="00635576">
        <w:rPr>
          <w:rStyle w:val="aa"/>
          <w:rFonts w:ascii="宋体" w:hAnsi="宋体" w:hint="eastAsia"/>
          <w:b w:val="0"/>
          <w:color w:val="000000"/>
          <w:sz w:val="24"/>
        </w:rPr>
        <w:t>号</w:t>
      </w:r>
      <w:r w:rsidR="00317386" w:rsidRPr="00317386">
        <w:rPr>
          <w:rStyle w:val="aa"/>
          <w:rFonts w:ascii="宋体" w:hAnsi="宋体" w:hint="eastAsia"/>
          <w:b w:val="0"/>
          <w:color w:val="000000"/>
          <w:sz w:val="24"/>
        </w:rPr>
        <w:t>文准予注册，由基金管理人</w:t>
      </w:r>
      <w:r w:rsidRPr="00470EFA">
        <w:rPr>
          <w:rStyle w:val="aa"/>
          <w:rFonts w:ascii="宋体" w:hAnsi="宋体" w:hint="eastAsia"/>
          <w:b w:val="0"/>
          <w:color w:val="000000"/>
          <w:sz w:val="24"/>
        </w:rPr>
        <w:t>自2017年2月17日至2017年2月24日止</w:t>
      </w:r>
      <w:r w:rsidR="00317386" w:rsidRPr="00317386">
        <w:rPr>
          <w:rStyle w:val="aa"/>
          <w:rFonts w:ascii="宋体" w:hAnsi="宋体" w:hint="eastAsia"/>
          <w:b w:val="0"/>
          <w:color w:val="000000"/>
          <w:sz w:val="24"/>
        </w:rPr>
        <w:t>向社会公开发行募集，《</w:t>
      </w:r>
      <w:r>
        <w:rPr>
          <w:rStyle w:val="aa"/>
          <w:rFonts w:ascii="宋体" w:hAnsi="宋体" w:hint="eastAsia"/>
          <w:b w:val="0"/>
          <w:color w:val="000000"/>
          <w:sz w:val="24"/>
        </w:rPr>
        <w:t>信诚永丰一年定期开放混合型证券投资基金</w:t>
      </w:r>
      <w:r w:rsidR="00317386" w:rsidRPr="00317386">
        <w:rPr>
          <w:rStyle w:val="aa"/>
          <w:rFonts w:ascii="宋体" w:hAnsi="宋体" w:hint="eastAsia"/>
          <w:b w:val="0"/>
          <w:color w:val="000000"/>
          <w:sz w:val="24"/>
        </w:rPr>
        <w:t>基金合同》于</w:t>
      </w:r>
      <w:r w:rsidRPr="00470EFA">
        <w:rPr>
          <w:rStyle w:val="aa"/>
          <w:rFonts w:ascii="宋体" w:hAnsi="宋体" w:hint="eastAsia"/>
          <w:b w:val="0"/>
          <w:color w:val="000000"/>
          <w:sz w:val="24"/>
        </w:rPr>
        <w:t>2017年3月1日</w:t>
      </w:r>
      <w:r w:rsidR="00317386" w:rsidRPr="00317386">
        <w:rPr>
          <w:rStyle w:val="aa"/>
          <w:rFonts w:ascii="宋体" w:hAnsi="宋体" w:hint="eastAsia"/>
          <w:b w:val="0"/>
          <w:color w:val="000000"/>
          <w:sz w:val="24"/>
        </w:rPr>
        <w:t>正式生效，募集规模为</w:t>
      </w:r>
      <w:r w:rsidRPr="00470EFA">
        <w:rPr>
          <w:rStyle w:val="aa"/>
          <w:rFonts w:ascii="宋体" w:hAnsi="宋体"/>
          <w:b w:val="0"/>
          <w:color w:val="000000"/>
          <w:sz w:val="24"/>
        </w:rPr>
        <w:t>600,046,289.34</w:t>
      </w:r>
      <w:r w:rsidR="008627D2">
        <w:rPr>
          <w:rStyle w:val="aa"/>
          <w:rFonts w:ascii="宋体" w:hAnsi="宋体" w:hint="eastAsia"/>
          <w:b w:val="0"/>
          <w:color w:val="000000"/>
          <w:sz w:val="24"/>
        </w:rPr>
        <w:t>份</w:t>
      </w:r>
      <w:r w:rsidR="00317386" w:rsidRPr="00317386">
        <w:rPr>
          <w:rStyle w:val="aa"/>
          <w:rFonts w:ascii="宋体" w:hAnsi="宋体" w:hint="eastAsia"/>
          <w:b w:val="0"/>
          <w:color w:val="000000"/>
          <w:sz w:val="24"/>
        </w:rPr>
        <w:t>基金份额。</w:t>
      </w:r>
    </w:p>
    <w:p w:rsidR="00317386" w:rsidRPr="00317386" w:rsidRDefault="00317386" w:rsidP="00E75B43">
      <w:pPr>
        <w:spacing w:line="360" w:lineRule="auto"/>
        <w:ind w:firstLineChars="200" w:firstLine="480"/>
        <w:rPr>
          <w:rStyle w:val="aa"/>
          <w:rFonts w:ascii="宋体" w:hAnsi="宋体"/>
          <w:b w:val="0"/>
          <w:color w:val="000000"/>
          <w:sz w:val="24"/>
        </w:rPr>
      </w:pPr>
      <w:r w:rsidRPr="00317386">
        <w:rPr>
          <w:rFonts w:ascii="宋体" w:hAnsi="宋体" w:cs="宋体" w:hint="eastAsia"/>
          <w:color w:val="000000"/>
          <w:kern w:val="0"/>
          <w:sz w:val="24"/>
        </w:rPr>
        <w:t>鉴于市场环境的变化，为保护基金份额持有人利益，根据《中华人民共和国证券投资基金法》、《公开募集证券投资基金运作管理办法》和《基金合同》有关规定，本基金</w:t>
      </w:r>
      <w:r w:rsidR="008627D2" w:rsidRPr="00317386">
        <w:rPr>
          <w:rFonts w:ascii="宋体" w:hAnsi="宋体" w:cs="宋体" w:hint="eastAsia"/>
          <w:color w:val="000000"/>
          <w:kern w:val="0"/>
          <w:sz w:val="24"/>
        </w:rPr>
        <w:t>以通讯方式召开</w:t>
      </w:r>
      <w:r w:rsidRPr="00317386">
        <w:rPr>
          <w:rFonts w:ascii="宋体" w:hAnsi="宋体" w:cs="宋体" w:hint="eastAsia"/>
          <w:color w:val="000000"/>
          <w:kern w:val="0"/>
          <w:sz w:val="24"/>
        </w:rPr>
        <w:t>基金份额持有人大会，审议并通过了《关于</w:t>
      </w:r>
      <w:r w:rsidRPr="00317386">
        <w:rPr>
          <w:rFonts w:ascii="宋体" w:hAnsi="宋体" w:cs="宋体"/>
          <w:color w:val="000000"/>
          <w:kern w:val="0"/>
          <w:sz w:val="24"/>
        </w:rPr>
        <w:t>终止</w:t>
      </w:r>
      <w:r w:rsidR="00470EFA">
        <w:rPr>
          <w:rStyle w:val="aa"/>
          <w:rFonts w:ascii="宋体" w:hAnsi="宋体" w:hint="eastAsia"/>
          <w:b w:val="0"/>
          <w:color w:val="000000"/>
          <w:sz w:val="24"/>
        </w:rPr>
        <w:t>信诚永丰一年定期开放混合型证券投资基金</w:t>
      </w:r>
      <w:r w:rsidRPr="00317386">
        <w:rPr>
          <w:rFonts w:ascii="宋体" w:hAnsi="宋体" w:cs="宋体" w:hint="eastAsia"/>
          <w:color w:val="000000"/>
          <w:kern w:val="0"/>
          <w:sz w:val="24"/>
        </w:rPr>
        <w:t>基金合同有关事项的议案》。本基金的最后运作日为2018年</w:t>
      </w:r>
      <w:r w:rsidR="00635576">
        <w:rPr>
          <w:rFonts w:ascii="宋体" w:hAnsi="宋体" w:cs="宋体" w:hint="eastAsia"/>
          <w:color w:val="000000"/>
          <w:kern w:val="0"/>
          <w:sz w:val="24"/>
        </w:rPr>
        <w:t>6</w:t>
      </w:r>
      <w:r w:rsidRPr="00317386">
        <w:rPr>
          <w:rFonts w:ascii="宋体" w:hAnsi="宋体" w:cs="宋体" w:hint="eastAsia"/>
          <w:color w:val="000000"/>
          <w:kern w:val="0"/>
          <w:sz w:val="24"/>
        </w:rPr>
        <w:t>月</w:t>
      </w:r>
      <w:r w:rsidR="00E170F2">
        <w:rPr>
          <w:rFonts w:ascii="宋体" w:hAnsi="宋体" w:cs="宋体" w:hint="eastAsia"/>
          <w:color w:val="000000"/>
          <w:kern w:val="0"/>
          <w:sz w:val="24"/>
        </w:rPr>
        <w:t>25</w:t>
      </w:r>
      <w:r w:rsidRPr="00317386">
        <w:rPr>
          <w:rFonts w:ascii="宋体" w:hAnsi="宋体" w:cs="宋体" w:hint="eastAsia"/>
          <w:color w:val="000000"/>
          <w:kern w:val="0"/>
          <w:sz w:val="24"/>
        </w:rPr>
        <w:t>日，自 2018年</w:t>
      </w:r>
      <w:r w:rsidR="00635576">
        <w:rPr>
          <w:rFonts w:ascii="宋体" w:hAnsi="宋体" w:cs="宋体" w:hint="eastAsia"/>
          <w:color w:val="000000"/>
          <w:kern w:val="0"/>
          <w:sz w:val="24"/>
        </w:rPr>
        <w:t>6</w:t>
      </w:r>
      <w:r w:rsidRPr="00317386">
        <w:rPr>
          <w:rFonts w:ascii="宋体" w:hAnsi="宋体" w:cs="宋体" w:hint="eastAsia"/>
          <w:color w:val="000000"/>
          <w:kern w:val="0"/>
          <w:sz w:val="24"/>
        </w:rPr>
        <w:t>月</w:t>
      </w:r>
      <w:r w:rsidR="00E170F2">
        <w:rPr>
          <w:rFonts w:ascii="宋体" w:hAnsi="宋体" w:cs="宋体" w:hint="eastAsia"/>
          <w:color w:val="000000"/>
          <w:kern w:val="0"/>
          <w:sz w:val="24"/>
        </w:rPr>
        <w:t>26</w:t>
      </w:r>
      <w:r w:rsidRPr="00317386">
        <w:rPr>
          <w:rFonts w:ascii="宋体" w:hAnsi="宋体" w:cs="宋体" w:hint="eastAsia"/>
          <w:color w:val="000000"/>
          <w:kern w:val="0"/>
          <w:sz w:val="24"/>
        </w:rPr>
        <w:t>日起进入清算期</w:t>
      </w:r>
      <w:r w:rsidRPr="00317386">
        <w:rPr>
          <w:rStyle w:val="aa"/>
          <w:rFonts w:ascii="宋体" w:hAnsi="宋体" w:hint="eastAsia"/>
          <w:b w:val="0"/>
          <w:color w:val="000000"/>
          <w:sz w:val="24"/>
        </w:rPr>
        <w:t>。</w:t>
      </w:r>
    </w:p>
    <w:p w:rsidR="00317386" w:rsidRPr="00317386" w:rsidRDefault="00317386">
      <w:pPr>
        <w:spacing w:line="360" w:lineRule="auto"/>
        <w:ind w:firstLine="482"/>
        <w:rPr>
          <w:rStyle w:val="aa"/>
          <w:rFonts w:ascii="宋体" w:hAnsi="宋体"/>
          <w:b w:val="0"/>
          <w:color w:val="000000"/>
          <w:sz w:val="24"/>
        </w:rPr>
      </w:pPr>
    </w:p>
    <w:p w:rsidR="00317386" w:rsidRPr="00317386" w:rsidRDefault="00317386">
      <w:pPr>
        <w:spacing w:line="360" w:lineRule="auto"/>
        <w:jc w:val="center"/>
        <w:rPr>
          <w:rFonts w:ascii="宋体" w:hAnsi="宋体"/>
          <w:b/>
          <w:bCs/>
          <w:color w:val="000000"/>
          <w:sz w:val="24"/>
        </w:rPr>
      </w:pPr>
      <w:r w:rsidRPr="00317386">
        <w:rPr>
          <w:rFonts w:ascii="宋体" w:hAnsi="宋体" w:hint="eastAsia"/>
          <w:b/>
          <w:bCs/>
          <w:color w:val="000000"/>
          <w:sz w:val="24"/>
        </w:rPr>
        <w:t>4</w:t>
      </w:r>
      <w:r w:rsidRPr="00317386">
        <w:rPr>
          <w:rFonts w:ascii="宋体" w:hAnsi="宋体"/>
          <w:b/>
          <w:bCs/>
          <w:color w:val="000000"/>
          <w:sz w:val="24"/>
        </w:rPr>
        <w:t>、财务会计报告</w:t>
      </w:r>
    </w:p>
    <w:p w:rsidR="00317386" w:rsidRPr="00317386" w:rsidRDefault="00317386">
      <w:pPr>
        <w:spacing w:line="360" w:lineRule="auto"/>
        <w:rPr>
          <w:rFonts w:ascii="宋体" w:hAnsi="宋体"/>
          <w:b/>
          <w:bCs/>
          <w:color w:val="000000"/>
          <w:sz w:val="24"/>
        </w:rPr>
      </w:pPr>
      <w:r w:rsidRPr="00317386">
        <w:rPr>
          <w:rFonts w:ascii="宋体" w:hAnsi="宋体" w:hint="eastAsia"/>
          <w:b/>
          <w:bCs/>
          <w:color w:val="000000"/>
          <w:sz w:val="24"/>
        </w:rPr>
        <w:t>4.1资产负债表（已经审计）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0"/>
        <w:gridCol w:w="3462"/>
      </w:tblGrid>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center"/>
            <w:hideMark/>
          </w:tcPr>
          <w:p w:rsidR="00DC526D" w:rsidRPr="008B0B33" w:rsidRDefault="00C675A1" w:rsidP="00082763">
            <w:pPr>
              <w:pStyle w:val="ae"/>
              <w:spacing w:before="0" w:beforeAutospacing="0" w:after="0" w:afterAutospacing="0"/>
              <w:jc w:val="center"/>
              <w:rPr>
                <w:rFonts w:ascii="宋体" w:eastAsia="宋体" w:hAnsi="宋体" w:cs="Arial"/>
                <w:b/>
                <w:lang w:eastAsia="zh-CN"/>
              </w:rPr>
            </w:pPr>
            <w:r w:rsidRPr="008B0B33">
              <w:rPr>
                <w:rFonts w:ascii="宋体" w:eastAsia="宋体" w:hAnsi="宋体" w:cs="Arial" w:hint="eastAsia"/>
                <w:b/>
                <w:lang w:eastAsia="zh-CN"/>
              </w:rPr>
              <w:t>项目</w:t>
            </w:r>
          </w:p>
        </w:tc>
        <w:tc>
          <w:tcPr>
            <w:tcW w:w="2031" w:type="pct"/>
            <w:tcBorders>
              <w:top w:val="single" w:sz="4" w:space="0" w:color="auto"/>
              <w:left w:val="single" w:sz="4" w:space="0" w:color="auto"/>
              <w:bottom w:val="single" w:sz="4" w:space="0" w:color="auto"/>
              <w:right w:val="single" w:sz="4" w:space="0" w:color="auto"/>
            </w:tcBorders>
            <w:vAlign w:val="center"/>
            <w:hideMark/>
          </w:tcPr>
          <w:p w:rsidR="00DC526D" w:rsidRPr="008B0B33" w:rsidRDefault="00DC526D" w:rsidP="00082763">
            <w:pPr>
              <w:pStyle w:val="ae"/>
              <w:spacing w:before="0" w:beforeAutospacing="0" w:after="0" w:afterAutospacing="0"/>
              <w:jc w:val="center"/>
              <w:rPr>
                <w:rFonts w:ascii="宋体" w:eastAsia="宋体" w:hAnsi="宋体" w:cs="Arial"/>
                <w:b/>
                <w:lang w:eastAsia="zh-CN"/>
              </w:rPr>
            </w:pPr>
            <w:r w:rsidRPr="008B0B33">
              <w:rPr>
                <w:rFonts w:ascii="宋体" w:eastAsia="宋体" w:hAnsi="宋体" w:cs="Arial" w:hint="eastAsia"/>
                <w:b/>
                <w:lang w:eastAsia="zh-CN"/>
              </w:rPr>
              <w:t>本期末</w:t>
            </w:r>
          </w:p>
          <w:p w:rsidR="00DC526D" w:rsidRPr="008B0B33" w:rsidRDefault="00DC526D" w:rsidP="00082763">
            <w:pPr>
              <w:pStyle w:val="ae"/>
              <w:spacing w:before="0" w:beforeAutospacing="0" w:after="0" w:afterAutospacing="0"/>
              <w:ind w:left="-110" w:right="-84"/>
              <w:jc w:val="center"/>
              <w:rPr>
                <w:rFonts w:ascii="宋体" w:eastAsia="宋体" w:hAnsi="宋体" w:cs="Arial"/>
                <w:b/>
                <w:lang w:eastAsia="zh-CN"/>
              </w:rPr>
            </w:pPr>
            <w:r w:rsidRPr="008B0B33">
              <w:rPr>
                <w:rFonts w:ascii="宋体" w:eastAsia="宋体" w:hAnsi="宋体" w:cs="Arial"/>
                <w:b/>
                <w:lang w:eastAsia="zh-CN"/>
              </w:rPr>
              <w:t>2018年6月25日</w:t>
            </w:r>
          </w:p>
          <w:p w:rsidR="00DC526D" w:rsidRPr="008B0B33" w:rsidRDefault="00F73FCE" w:rsidP="00082763">
            <w:pPr>
              <w:pStyle w:val="ae"/>
              <w:spacing w:before="0" w:beforeAutospacing="0" w:after="0" w:afterAutospacing="0"/>
              <w:ind w:left="-110" w:right="-84"/>
              <w:jc w:val="center"/>
              <w:rPr>
                <w:rFonts w:ascii="宋体" w:eastAsia="宋体" w:hAnsi="宋体" w:cs="Arial"/>
                <w:b/>
                <w:lang w:eastAsia="zh-CN"/>
              </w:rPr>
            </w:pPr>
            <w:r w:rsidRPr="008B0B33">
              <w:rPr>
                <w:rFonts w:ascii="宋体" w:eastAsia="宋体" w:hAnsi="宋体" w:cs="Arial" w:hint="eastAsia"/>
                <w:b/>
                <w:lang w:eastAsia="zh-CN"/>
              </w:rPr>
              <w:t>（</w:t>
            </w:r>
            <w:r w:rsidR="00DC526D" w:rsidRPr="008B0B33">
              <w:rPr>
                <w:rFonts w:ascii="宋体" w:eastAsia="宋体" w:hAnsi="宋体" w:cs="Arial" w:hint="eastAsia"/>
                <w:b/>
                <w:lang w:eastAsia="zh-CN"/>
              </w:rPr>
              <w:t>基金最后运作日</w:t>
            </w:r>
            <w:r w:rsidRPr="008B0B33">
              <w:rPr>
                <w:rFonts w:ascii="宋体" w:eastAsia="宋体" w:hAnsi="宋体" w:cs="Arial" w:hint="eastAsia"/>
                <w:b/>
                <w:lang w:eastAsia="zh-CN"/>
              </w:rPr>
              <w:t>）</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资产：</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银行存款</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10,272,617.71</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结算备付金</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color w:val="000000"/>
                <w:sz w:val="24"/>
              </w:rPr>
              <w:t>159,090.91</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存出保证金</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color w:val="000000"/>
                <w:sz w:val="24"/>
              </w:rPr>
              <w:t>106,406.61</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交易性金融资产</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color w:val="000000"/>
                <w:sz w:val="24"/>
              </w:rPr>
              <w:t>358,900.00</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其中：股票投资</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color w:val="000000"/>
                <w:sz w:val="24"/>
              </w:rPr>
              <w:t>358,900.00</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债券投资</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hint="eastAsia"/>
                <w:color w:val="000000"/>
                <w:sz w:val="24"/>
              </w:rPr>
              <w:t>-</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资产支持证券投资</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hint="eastAsia"/>
                <w:color w:val="000000"/>
                <w:sz w:val="24"/>
              </w:rPr>
              <w:t>-</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买入返售金融资产</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hint="eastAsia"/>
                <w:color w:val="000000"/>
                <w:sz w:val="24"/>
              </w:rPr>
              <w:t>-</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应收利息</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1,089.40</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资产总计</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b/>
                <w:color w:val="000000"/>
                <w:sz w:val="24"/>
              </w:rPr>
            </w:pPr>
            <w:r w:rsidRPr="008B0B33">
              <w:rPr>
                <w:rFonts w:ascii="宋体" w:hAnsi="宋体"/>
                <w:b/>
                <w:color w:val="000000"/>
                <w:sz w:val="24"/>
              </w:rPr>
              <w:t>10,898,104.63</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负债和所有者权益</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负债：</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rPr>
            </w:pPr>
            <w:r w:rsidRPr="008B0B33">
              <w:rPr>
                <w:rFonts w:ascii="宋体" w:eastAsia="宋体" w:hAnsi="宋体" w:hint="eastAsia"/>
              </w:rPr>
              <w:t>卖出回购金融资产款</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hint="eastAsia"/>
                <w:color w:val="000000"/>
                <w:sz w:val="24"/>
              </w:rPr>
              <w:t>-</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应付管理人报酬</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4,520.05</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应付托管费</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753.34</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应付</w:t>
            </w:r>
            <w:r w:rsidRPr="008B0B33">
              <w:rPr>
                <w:rFonts w:ascii="宋体" w:eastAsia="宋体" w:hAnsi="宋体" w:cs="Arial"/>
              </w:rPr>
              <w:t>销售服务费</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5.69</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应付交易费用</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663.54</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应付利息</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hint="eastAsia"/>
                <w:color w:val="000000"/>
                <w:sz w:val="24"/>
              </w:rPr>
              <w:t>-</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其他负债</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354,725.76</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负债合计</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b/>
                <w:color w:val="000000"/>
                <w:sz w:val="24"/>
              </w:rPr>
            </w:pPr>
            <w:r w:rsidRPr="008B0B33">
              <w:rPr>
                <w:rFonts w:ascii="宋体" w:hAnsi="宋体"/>
                <w:b/>
                <w:color w:val="000000"/>
                <w:sz w:val="24"/>
              </w:rPr>
              <w:t>360,668.38</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所有者权益：</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实收基金</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lang w:eastAsia="en-US"/>
              </w:rPr>
            </w:pPr>
            <w:r w:rsidRPr="008B0B33">
              <w:rPr>
                <w:rFonts w:ascii="宋体" w:hAnsi="宋体"/>
                <w:color w:val="000000"/>
                <w:sz w:val="24"/>
                <w:lang w:eastAsia="en-US"/>
              </w:rPr>
              <w:t>10,019,407.59</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rPr>
            </w:pPr>
            <w:r w:rsidRPr="008B0B33">
              <w:rPr>
                <w:rFonts w:ascii="宋体" w:eastAsia="宋体" w:hAnsi="宋体" w:cs="Arial" w:hint="eastAsia"/>
              </w:rPr>
              <w:t>未分配利润</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color w:val="000000"/>
                <w:sz w:val="24"/>
              </w:rPr>
            </w:pPr>
            <w:r w:rsidRPr="008B0B33">
              <w:rPr>
                <w:rFonts w:ascii="宋体" w:hAnsi="宋体"/>
                <w:color w:val="000000"/>
                <w:sz w:val="24"/>
              </w:rPr>
              <w:t>518,028.66</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rPr>
            </w:pPr>
            <w:r w:rsidRPr="008B0B33">
              <w:rPr>
                <w:rFonts w:ascii="宋体" w:eastAsia="宋体" w:hAnsi="宋体" w:cs="Arial" w:hint="eastAsia"/>
                <w:b/>
              </w:rPr>
              <w:t>所有者权益合计</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b/>
                <w:color w:val="000000"/>
                <w:sz w:val="24"/>
              </w:rPr>
            </w:pPr>
            <w:r w:rsidRPr="008B0B33">
              <w:rPr>
                <w:rFonts w:ascii="宋体" w:hAnsi="宋体"/>
                <w:b/>
                <w:color w:val="000000"/>
                <w:sz w:val="24"/>
              </w:rPr>
              <w:t>10,537,436.25</w:t>
            </w:r>
          </w:p>
        </w:tc>
      </w:tr>
      <w:tr w:rsidR="00DC526D" w:rsidRPr="008B0B33" w:rsidTr="00E75B43">
        <w:trPr>
          <w:cantSplit/>
        </w:trPr>
        <w:tc>
          <w:tcPr>
            <w:tcW w:w="2969" w:type="pct"/>
            <w:tcBorders>
              <w:top w:val="single" w:sz="4" w:space="0" w:color="auto"/>
              <w:left w:val="single" w:sz="4" w:space="0" w:color="auto"/>
              <w:bottom w:val="single" w:sz="4" w:space="0" w:color="auto"/>
              <w:right w:val="single" w:sz="4" w:space="0" w:color="auto"/>
            </w:tcBorders>
            <w:vAlign w:val="bottom"/>
            <w:hideMark/>
          </w:tcPr>
          <w:p w:rsidR="00DC526D" w:rsidRPr="008B0B33" w:rsidRDefault="00DC526D" w:rsidP="00082763">
            <w:pPr>
              <w:pStyle w:val="ae"/>
              <w:spacing w:before="0" w:beforeAutospacing="0" w:after="0" w:afterAutospacing="0"/>
              <w:rPr>
                <w:rFonts w:ascii="宋体" w:eastAsia="宋体" w:hAnsi="宋体" w:cs="Arial"/>
                <w:b/>
                <w:lang w:eastAsia="zh-CN"/>
              </w:rPr>
            </w:pPr>
            <w:r w:rsidRPr="008B0B33">
              <w:rPr>
                <w:rFonts w:ascii="宋体" w:eastAsia="宋体" w:hAnsi="宋体" w:cs="Arial" w:hint="eastAsia"/>
                <w:b/>
                <w:lang w:eastAsia="zh-CN"/>
              </w:rPr>
              <w:t>负债和所有者权益总计</w:t>
            </w:r>
          </w:p>
        </w:tc>
        <w:tc>
          <w:tcPr>
            <w:tcW w:w="2031" w:type="pct"/>
            <w:tcBorders>
              <w:top w:val="single" w:sz="4" w:space="0" w:color="auto"/>
              <w:left w:val="single" w:sz="4" w:space="0" w:color="auto"/>
              <w:bottom w:val="single" w:sz="4" w:space="0" w:color="auto"/>
              <w:right w:val="single" w:sz="4" w:space="0" w:color="auto"/>
            </w:tcBorders>
            <w:vAlign w:val="bottom"/>
          </w:tcPr>
          <w:p w:rsidR="00DC526D" w:rsidRPr="008B0B33" w:rsidRDefault="00DC526D" w:rsidP="00082763">
            <w:pPr>
              <w:ind w:left="-72"/>
              <w:jc w:val="right"/>
              <w:rPr>
                <w:rFonts w:ascii="宋体" w:hAnsi="宋体"/>
                <w:b/>
                <w:color w:val="000000"/>
                <w:sz w:val="24"/>
              </w:rPr>
            </w:pPr>
            <w:r w:rsidRPr="008B0B33">
              <w:rPr>
                <w:rFonts w:ascii="宋体" w:hAnsi="宋体"/>
                <w:b/>
                <w:color w:val="000000"/>
                <w:sz w:val="24"/>
              </w:rPr>
              <w:t>10,898,104.63</w:t>
            </w:r>
          </w:p>
        </w:tc>
      </w:tr>
    </w:tbl>
    <w:p w:rsidR="00317386" w:rsidRPr="00DC526D" w:rsidRDefault="00317386" w:rsidP="00E75B43">
      <w:pPr>
        <w:spacing w:line="360" w:lineRule="auto"/>
        <w:rPr>
          <w:rFonts w:ascii="宋体" w:hAnsi="宋体" w:cs="Arial"/>
          <w:sz w:val="24"/>
        </w:rPr>
      </w:pPr>
    </w:p>
    <w:p w:rsidR="00317386" w:rsidRDefault="00317386">
      <w:pPr>
        <w:spacing w:line="360" w:lineRule="auto"/>
        <w:rPr>
          <w:rFonts w:ascii="宋体" w:hAnsi="宋体"/>
          <w:b/>
          <w:bCs/>
          <w:color w:val="000000"/>
          <w:sz w:val="24"/>
        </w:rPr>
      </w:pPr>
      <w:r w:rsidRPr="00317386">
        <w:rPr>
          <w:rFonts w:ascii="宋体" w:hAnsi="宋体" w:hint="eastAsia"/>
          <w:b/>
          <w:bCs/>
          <w:color w:val="000000"/>
          <w:sz w:val="24"/>
        </w:rPr>
        <w:t>4.2利润表（已经审计）</w:t>
      </w:r>
    </w:p>
    <w:tbl>
      <w:tblPr>
        <w:tblW w:w="5000" w:type="pct"/>
        <w:tblLook w:val="04A0"/>
      </w:tblPr>
      <w:tblGrid>
        <w:gridCol w:w="5136"/>
        <w:gridCol w:w="3386"/>
      </w:tblGrid>
      <w:tr w:rsidR="00DC526D" w:rsidRPr="008B0B33" w:rsidTr="00E75B43">
        <w:trPr>
          <w:trHeight w:val="1140"/>
        </w:trPr>
        <w:tc>
          <w:tcPr>
            <w:tcW w:w="29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center"/>
              <w:rPr>
                <w:rFonts w:ascii="宋体" w:hAnsi="宋体" w:cs="宋体"/>
                <w:b/>
                <w:bCs/>
                <w:kern w:val="0"/>
                <w:sz w:val="24"/>
              </w:rPr>
            </w:pPr>
            <w:r w:rsidRPr="008B0B33">
              <w:rPr>
                <w:rFonts w:ascii="宋体" w:hAnsi="宋体" w:cs="宋体" w:hint="eastAsia"/>
                <w:b/>
                <w:bCs/>
                <w:kern w:val="0"/>
                <w:sz w:val="24"/>
              </w:rPr>
              <w:t>项目</w:t>
            </w:r>
          </w:p>
        </w:tc>
        <w:tc>
          <w:tcPr>
            <w:tcW w:w="2028" w:type="pct"/>
            <w:tcBorders>
              <w:top w:val="single" w:sz="4" w:space="0" w:color="auto"/>
              <w:left w:val="nil"/>
              <w:bottom w:val="single" w:sz="4" w:space="0" w:color="auto"/>
              <w:right w:val="single" w:sz="4" w:space="0" w:color="auto"/>
            </w:tcBorders>
            <w:shd w:val="clear" w:color="auto" w:fill="auto"/>
            <w:vAlign w:val="center"/>
            <w:hideMark/>
          </w:tcPr>
          <w:p w:rsidR="00E75B43" w:rsidRPr="008B0B33" w:rsidRDefault="00DC526D" w:rsidP="00E75B43">
            <w:pPr>
              <w:widowControl/>
              <w:jc w:val="center"/>
              <w:rPr>
                <w:rFonts w:ascii="宋体" w:hAnsi="宋体" w:cs="宋体"/>
                <w:b/>
                <w:bCs/>
                <w:kern w:val="0"/>
                <w:sz w:val="24"/>
              </w:rPr>
            </w:pPr>
            <w:r w:rsidRPr="008B0B33">
              <w:rPr>
                <w:rFonts w:ascii="宋体" w:hAnsi="宋体" w:cs="宋体" w:hint="eastAsia"/>
                <w:b/>
                <w:bCs/>
                <w:kern w:val="0"/>
                <w:sz w:val="24"/>
              </w:rPr>
              <w:t>本期</w:t>
            </w:r>
          </w:p>
          <w:p w:rsidR="00E75B43" w:rsidRPr="008B0B33" w:rsidRDefault="00DC526D" w:rsidP="00E75B43">
            <w:pPr>
              <w:widowControl/>
              <w:jc w:val="center"/>
              <w:rPr>
                <w:rFonts w:ascii="宋体" w:hAnsi="宋体" w:cs="宋体"/>
                <w:b/>
                <w:bCs/>
                <w:kern w:val="0"/>
                <w:sz w:val="24"/>
              </w:rPr>
            </w:pPr>
            <w:r w:rsidRPr="008B0B33">
              <w:rPr>
                <w:rFonts w:ascii="宋体" w:hAnsi="宋体" w:cs="宋体" w:hint="eastAsia"/>
                <w:b/>
                <w:bCs/>
                <w:kern w:val="0"/>
                <w:sz w:val="24"/>
              </w:rPr>
              <w:t>2018年01月01日至2018年06月25日</w:t>
            </w:r>
          </w:p>
          <w:p w:rsidR="00DC526D" w:rsidRPr="008B0B33" w:rsidRDefault="00DC526D" w:rsidP="00E75B43">
            <w:pPr>
              <w:widowControl/>
              <w:jc w:val="center"/>
              <w:rPr>
                <w:rFonts w:ascii="宋体" w:hAnsi="宋体" w:cs="宋体"/>
                <w:b/>
                <w:bCs/>
                <w:kern w:val="0"/>
                <w:sz w:val="24"/>
              </w:rPr>
            </w:pPr>
            <w:r w:rsidRPr="008B0B33">
              <w:rPr>
                <w:rFonts w:ascii="宋体" w:hAnsi="宋体" w:cs="宋体" w:hint="eastAsia"/>
                <w:b/>
                <w:bCs/>
                <w:kern w:val="0"/>
                <w:sz w:val="24"/>
              </w:rPr>
              <w:t>(基金最后运作日)</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b/>
                <w:bCs/>
                <w:kern w:val="0"/>
                <w:sz w:val="24"/>
              </w:rPr>
            </w:pPr>
            <w:r w:rsidRPr="008B0B33">
              <w:rPr>
                <w:rFonts w:ascii="宋体" w:hAnsi="宋体" w:cs="宋体" w:hint="eastAsia"/>
                <w:b/>
                <w:bCs/>
                <w:kern w:val="0"/>
                <w:sz w:val="24"/>
              </w:rPr>
              <w:t>一、收入</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b/>
                <w:kern w:val="0"/>
                <w:sz w:val="24"/>
              </w:rPr>
            </w:pPr>
            <w:r w:rsidRPr="008B0B33">
              <w:rPr>
                <w:rFonts w:ascii="宋体" w:hAnsi="宋体" w:cs="宋体"/>
                <w:b/>
                <w:kern w:val="0"/>
                <w:sz w:val="24"/>
              </w:rPr>
              <w:t>14,117,455.65</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1.利息收入</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4,290,208.75</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其中：存款利息收入</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1,009,304.82</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债券利息收入</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2,271,287.14</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资产支持证券利息收入</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135,575.46</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买入返售金融资产收入</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874,041.33</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2.投资收益（损失以“-”填列）</w:t>
            </w:r>
          </w:p>
        </w:tc>
        <w:tc>
          <w:tcPr>
            <w:tcW w:w="2028" w:type="pct"/>
            <w:tcBorders>
              <w:top w:val="nil"/>
              <w:left w:val="nil"/>
              <w:bottom w:val="single" w:sz="4" w:space="0" w:color="auto"/>
              <w:right w:val="single" w:sz="4" w:space="0" w:color="auto"/>
            </w:tcBorders>
            <w:shd w:val="clear" w:color="auto" w:fill="auto"/>
            <w:noWrap/>
            <w:hideMark/>
          </w:tcPr>
          <w:p w:rsidR="00DC526D" w:rsidRPr="008B0B33" w:rsidRDefault="0006078F" w:rsidP="00E75B43">
            <w:pPr>
              <w:jc w:val="right"/>
              <w:rPr>
                <w:rFonts w:ascii="宋体" w:hAnsi="宋体" w:cs="宋体"/>
                <w:kern w:val="0"/>
                <w:sz w:val="24"/>
              </w:rPr>
            </w:pPr>
            <w:r w:rsidRPr="008B0B33">
              <w:rPr>
                <w:rFonts w:ascii="宋体" w:hAnsi="宋体" w:cs="宋体"/>
                <w:kern w:val="0"/>
                <w:sz w:val="24"/>
              </w:rPr>
              <w:t>22,809,801.00</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其中：股票投资收益</w:t>
            </w:r>
          </w:p>
        </w:tc>
        <w:tc>
          <w:tcPr>
            <w:tcW w:w="2028" w:type="pct"/>
            <w:tcBorders>
              <w:top w:val="nil"/>
              <w:left w:val="nil"/>
              <w:bottom w:val="single" w:sz="4" w:space="0" w:color="auto"/>
              <w:right w:val="single" w:sz="4" w:space="0" w:color="auto"/>
            </w:tcBorders>
            <w:shd w:val="clear" w:color="auto" w:fill="auto"/>
            <w:noWrap/>
            <w:vAlign w:val="center"/>
            <w:hideMark/>
          </w:tcPr>
          <w:p w:rsidR="00DC526D" w:rsidRPr="008B0B33" w:rsidRDefault="0006078F" w:rsidP="00E75B43">
            <w:pPr>
              <w:widowControl/>
              <w:jc w:val="right"/>
              <w:rPr>
                <w:rFonts w:ascii="宋体" w:hAnsi="宋体" w:cs="宋体"/>
                <w:kern w:val="0"/>
                <w:sz w:val="24"/>
              </w:rPr>
            </w:pPr>
            <w:r w:rsidRPr="008B0B33">
              <w:rPr>
                <w:rFonts w:ascii="宋体" w:hAnsi="宋体" w:cs="宋体"/>
                <w:kern w:val="0"/>
                <w:sz w:val="24"/>
              </w:rPr>
              <w:t>23,019,635.97</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基金投资收益</w:t>
            </w:r>
          </w:p>
        </w:tc>
        <w:tc>
          <w:tcPr>
            <w:tcW w:w="2028" w:type="pct"/>
            <w:tcBorders>
              <w:top w:val="nil"/>
              <w:left w:val="nil"/>
              <w:bottom w:val="single" w:sz="4" w:space="0" w:color="auto"/>
              <w:right w:val="single" w:sz="4" w:space="0" w:color="auto"/>
            </w:tcBorders>
            <w:shd w:val="clear" w:color="auto" w:fill="auto"/>
            <w:noWrap/>
            <w:vAlign w:val="center"/>
            <w:hideMark/>
          </w:tcPr>
          <w:p w:rsidR="00DC526D" w:rsidRPr="008B0B33" w:rsidRDefault="00DC526D" w:rsidP="00E75B43">
            <w:pPr>
              <w:widowControl/>
              <w:jc w:val="right"/>
              <w:rPr>
                <w:rFonts w:ascii="宋体" w:hAnsi="宋体" w:cs="宋体"/>
                <w:kern w:val="0"/>
                <w:sz w:val="24"/>
              </w:rPr>
            </w:pPr>
            <w:r w:rsidRPr="008B0B33">
              <w:rPr>
                <w:rFonts w:ascii="宋体" w:hAnsi="宋体" w:cs="宋体" w:hint="eastAsia"/>
                <w:kern w:val="0"/>
                <w:sz w:val="24"/>
              </w:rPr>
              <w:t xml:space="preserve">              -   </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债券投资收益</w:t>
            </w:r>
          </w:p>
        </w:tc>
        <w:tc>
          <w:tcPr>
            <w:tcW w:w="2028" w:type="pct"/>
            <w:tcBorders>
              <w:top w:val="nil"/>
              <w:left w:val="nil"/>
              <w:bottom w:val="single" w:sz="4" w:space="0" w:color="auto"/>
              <w:right w:val="single" w:sz="4" w:space="0" w:color="auto"/>
            </w:tcBorders>
            <w:shd w:val="clear" w:color="auto" w:fill="auto"/>
            <w:noWrap/>
            <w:vAlign w:val="center"/>
            <w:hideMark/>
          </w:tcPr>
          <w:p w:rsidR="00DC526D" w:rsidRPr="008B0B33" w:rsidRDefault="0006078F" w:rsidP="00E75B43">
            <w:pPr>
              <w:widowControl/>
              <w:jc w:val="right"/>
              <w:rPr>
                <w:rFonts w:ascii="宋体" w:hAnsi="宋体" w:cs="宋体"/>
                <w:kern w:val="0"/>
                <w:sz w:val="24"/>
              </w:rPr>
            </w:pPr>
            <w:r w:rsidRPr="008B0B33">
              <w:rPr>
                <w:rFonts w:ascii="宋体" w:hAnsi="宋体" w:cs="宋体"/>
                <w:kern w:val="0"/>
                <w:sz w:val="24"/>
              </w:rPr>
              <w:t>-111,004.24</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资产支持证券投资收益</w:t>
            </w:r>
          </w:p>
        </w:tc>
        <w:tc>
          <w:tcPr>
            <w:tcW w:w="2028" w:type="pct"/>
            <w:tcBorders>
              <w:top w:val="nil"/>
              <w:left w:val="nil"/>
              <w:bottom w:val="single" w:sz="4" w:space="0" w:color="auto"/>
              <w:right w:val="single" w:sz="4" w:space="0" w:color="auto"/>
            </w:tcBorders>
            <w:shd w:val="clear" w:color="auto" w:fill="auto"/>
            <w:noWrap/>
            <w:vAlign w:val="center"/>
            <w:hideMark/>
          </w:tcPr>
          <w:p w:rsidR="00DC526D" w:rsidRPr="008B0B33" w:rsidRDefault="0006078F" w:rsidP="00E75B43">
            <w:pPr>
              <w:widowControl/>
              <w:jc w:val="right"/>
              <w:rPr>
                <w:rFonts w:ascii="宋体" w:hAnsi="宋体" w:cs="宋体"/>
                <w:kern w:val="0"/>
                <w:sz w:val="24"/>
              </w:rPr>
            </w:pPr>
            <w:r w:rsidRPr="008B0B33">
              <w:rPr>
                <w:rFonts w:ascii="宋体" w:hAnsi="宋体" w:cs="宋体"/>
                <w:kern w:val="0"/>
                <w:sz w:val="24"/>
              </w:rPr>
              <w:t>23,673.74</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衍生工具收益</w:t>
            </w:r>
          </w:p>
        </w:tc>
        <w:tc>
          <w:tcPr>
            <w:tcW w:w="2028" w:type="pct"/>
            <w:tcBorders>
              <w:top w:val="nil"/>
              <w:left w:val="nil"/>
              <w:bottom w:val="single" w:sz="4" w:space="0" w:color="auto"/>
              <w:right w:val="single" w:sz="4" w:space="0" w:color="auto"/>
            </w:tcBorders>
            <w:shd w:val="clear" w:color="auto" w:fill="auto"/>
            <w:noWrap/>
            <w:vAlign w:val="center"/>
            <w:hideMark/>
          </w:tcPr>
          <w:p w:rsidR="00DC526D" w:rsidRPr="008B0B33" w:rsidRDefault="00DC526D" w:rsidP="00E75B43">
            <w:pPr>
              <w:widowControl/>
              <w:jc w:val="right"/>
              <w:rPr>
                <w:rFonts w:ascii="宋体" w:hAnsi="宋体" w:cs="宋体"/>
                <w:kern w:val="0"/>
                <w:sz w:val="24"/>
              </w:rPr>
            </w:pPr>
            <w:r w:rsidRPr="008B0B33">
              <w:rPr>
                <w:rFonts w:ascii="宋体" w:hAnsi="宋体" w:cs="宋体" w:hint="eastAsia"/>
                <w:kern w:val="0"/>
                <w:sz w:val="24"/>
              </w:rPr>
              <w:t xml:space="preserve">              -   </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股利收益</w:t>
            </w:r>
          </w:p>
        </w:tc>
        <w:tc>
          <w:tcPr>
            <w:tcW w:w="2028" w:type="pct"/>
            <w:tcBorders>
              <w:top w:val="nil"/>
              <w:left w:val="nil"/>
              <w:bottom w:val="single" w:sz="4" w:space="0" w:color="auto"/>
              <w:right w:val="single" w:sz="4" w:space="0" w:color="auto"/>
            </w:tcBorders>
            <w:shd w:val="clear" w:color="auto" w:fill="auto"/>
            <w:noWrap/>
            <w:vAlign w:val="center"/>
            <w:hideMark/>
          </w:tcPr>
          <w:p w:rsidR="00DC526D" w:rsidRPr="008B0B33" w:rsidRDefault="0006078F" w:rsidP="00E75B43">
            <w:pPr>
              <w:widowControl/>
              <w:jc w:val="right"/>
              <w:rPr>
                <w:rFonts w:ascii="宋体" w:hAnsi="宋体" w:cs="宋体"/>
                <w:kern w:val="0"/>
                <w:sz w:val="24"/>
              </w:rPr>
            </w:pPr>
            <w:r w:rsidRPr="008B0B33">
              <w:rPr>
                <w:rFonts w:ascii="宋体" w:hAnsi="宋体" w:cs="宋体"/>
                <w:kern w:val="0"/>
                <w:sz w:val="24"/>
              </w:rPr>
              <w:t>-122,504.47</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3.公允价值变动收益（损失以“-”号填列）</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-12,982,555.23</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4.其他收入（损失以“-”号填列）</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1.13</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b/>
                <w:bCs/>
                <w:kern w:val="0"/>
                <w:sz w:val="24"/>
              </w:rPr>
            </w:pPr>
            <w:r w:rsidRPr="008B0B33">
              <w:rPr>
                <w:rFonts w:ascii="宋体" w:hAnsi="宋体" w:cs="宋体" w:hint="eastAsia"/>
                <w:b/>
                <w:bCs/>
                <w:kern w:val="0"/>
                <w:sz w:val="24"/>
              </w:rPr>
              <w:t>二、费用</w:t>
            </w:r>
          </w:p>
        </w:tc>
        <w:tc>
          <w:tcPr>
            <w:tcW w:w="2028" w:type="pct"/>
            <w:tcBorders>
              <w:top w:val="nil"/>
              <w:left w:val="nil"/>
              <w:bottom w:val="single" w:sz="4" w:space="0" w:color="auto"/>
              <w:right w:val="single" w:sz="4" w:space="0" w:color="auto"/>
            </w:tcBorders>
            <w:shd w:val="clear" w:color="auto" w:fill="auto"/>
            <w:noWrap/>
            <w:hideMark/>
          </w:tcPr>
          <w:p w:rsidR="00DC526D" w:rsidRPr="008B0B33" w:rsidRDefault="0006078F" w:rsidP="00E75B43">
            <w:pPr>
              <w:jc w:val="right"/>
              <w:rPr>
                <w:rFonts w:ascii="宋体" w:hAnsi="宋体" w:cs="宋体"/>
                <w:b/>
                <w:kern w:val="0"/>
                <w:sz w:val="24"/>
              </w:rPr>
            </w:pPr>
            <w:r w:rsidRPr="008B0B33">
              <w:rPr>
                <w:rFonts w:ascii="宋体" w:hAnsi="宋体" w:cs="宋体"/>
                <w:b/>
                <w:kern w:val="0"/>
                <w:sz w:val="24"/>
              </w:rPr>
              <w:t>1,622,931.33</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1、管理人报酬</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801,188.29</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2、托管费</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133,531.29</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3、销售服务费</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jc w:val="right"/>
              <w:rPr>
                <w:rFonts w:ascii="宋体" w:hAnsi="宋体" w:cs="宋体"/>
                <w:kern w:val="0"/>
                <w:sz w:val="24"/>
              </w:rPr>
            </w:pPr>
            <w:r w:rsidRPr="008B0B33">
              <w:rPr>
                <w:rFonts w:ascii="宋体" w:hAnsi="宋体" w:cs="宋体"/>
                <w:kern w:val="0"/>
                <w:sz w:val="24"/>
              </w:rPr>
              <w:t>41.59</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4、交易费用</w:t>
            </w:r>
          </w:p>
        </w:tc>
        <w:tc>
          <w:tcPr>
            <w:tcW w:w="2028" w:type="pct"/>
            <w:tcBorders>
              <w:top w:val="nil"/>
              <w:left w:val="nil"/>
              <w:bottom w:val="single" w:sz="4" w:space="0" w:color="auto"/>
              <w:right w:val="single" w:sz="4" w:space="0" w:color="auto"/>
            </w:tcBorders>
            <w:shd w:val="clear" w:color="auto" w:fill="auto"/>
            <w:noWrap/>
            <w:hideMark/>
          </w:tcPr>
          <w:p w:rsidR="00DC526D" w:rsidRPr="008B0B33" w:rsidRDefault="0006078F" w:rsidP="00E75B43">
            <w:pPr>
              <w:jc w:val="right"/>
              <w:rPr>
                <w:rFonts w:ascii="宋体" w:hAnsi="宋体" w:cs="宋体"/>
                <w:kern w:val="0"/>
                <w:sz w:val="24"/>
              </w:rPr>
            </w:pPr>
            <w:r w:rsidRPr="008B0B33">
              <w:rPr>
                <w:rFonts w:ascii="宋体" w:hAnsi="宋体" w:cs="宋体"/>
                <w:kern w:val="0"/>
                <w:sz w:val="24"/>
              </w:rPr>
              <w:t>261,964.52</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kern w:val="0"/>
                <w:sz w:val="24"/>
              </w:rPr>
            </w:pPr>
            <w:r w:rsidRPr="008B0B33">
              <w:rPr>
                <w:rFonts w:ascii="宋体" w:hAnsi="宋体" w:cs="宋体" w:hint="eastAsia"/>
                <w:kern w:val="0"/>
                <w:sz w:val="24"/>
              </w:rPr>
              <w:t xml:space="preserve">  5、利息支出</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widowControl/>
              <w:jc w:val="right"/>
              <w:rPr>
                <w:rFonts w:ascii="宋体" w:hAnsi="宋体" w:cs="宋体"/>
                <w:kern w:val="0"/>
                <w:sz w:val="24"/>
              </w:rPr>
            </w:pPr>
            <w:r w:rsidRPr="008B0B33">
              <w:rPr>
                <w:rFonts w:ascii="宋体" w:hAnsi="宋体" w:cs="宋体"/>
                <w:kern w:val="0"/>
                <w:sz w:val="24"/>
              </w:rPr>
              <w:t>197,391.07</w:t>
            </w:r>
          </w:p>
        </w:tc>
      </w:tr>
      <w:tr w:rsidR="0006078F"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06078F" w:rsidRPr="008B0B33" w:rsidRDefault="0006078F" w:rsidP="00E75B43">
            <w:pPr>
              <w:widowControl/>
              <w:jc w:val="left"/>
              <w:rPr>
                <w:rFonts w:ascii="宋体" w:hAnsi="宋体" w:cs="宋体"/>
                <w:color w:val="000000"/>
                <w:kern w:val="0"/>
                <w:sz w:val="24"/>
              </w:rPr>
            </w:pPr>
            <w:r w:rsidRPr="008B0B33">
              <w:rPr>
                <w:rFonts w:ascii="宋体" w:hAnsi="宋体" w:cs="宋体" w:hint="eastAsia"/>
                <w:color w:val="000000"/>
                <w:kern w:val="0"/>
                <w:sz w:val="24"/>
              </w:rPr>
              <w:t xml:space="preserve">  其中：卖出回购金融资产支出</w:t>
            </w:r>
          </w:p>
        </w:tc>
        <w:tc>
          <w:tcPr>
            <w:tcW w:w="2028" w:type="pct"/>
            <w:tcBorders>
              <w:top w:val="nil"/>
              <w:left w:val="nil"/>
              <w:bottom w:val="single" w:sz="4" w:space="0" w:color="auto"/>
              <w:right w:val="single" w:sz="4" w:space="0" w:color="auto"/>
            </w:tcBorders>
            <w:shd w:val="clear" w:color="auto" w:fill="auto"/>
            <w:noWrap/>
            <w:hideMark/>
          </w:tcPr>
          <w:p w:rsidR="0006078F" w:rsidRPr="008B0B33" w:rsidRDefault="0006078F" w:rsidP="00E75B43">
            <w:pPr>
              <w:widowControl/>
              <w:jc w:val="right"/>
              <w:rPr>
                <w:rFonts w:ascii="宋体" w:hAnsi="宋体" w:cs="宋体"/>
                <w:kern w:val="0"/>
                <w:sz w:val="24"/>
              </w:rPr>
            </w:pPr>
            <w:r w:rsidRPr="008B0B33">
              <w:rPr>
                <w:rFonts w:ascii="宋体" w:hAnsi="宋体" w:cs="宋体"/>
                <w:kern w:val="0"/>
                <w:sz w:val="24"/>
              </w:rPr>
              <w:t>197,391.07</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kern w:val="0"/>
                <w:sz w:val="24"/>
              </w:rPr>
            </w:pPr>
            <w:r w:rsidRPr="008B0B33">
              <w:rPr>
                <w:rFonts w:ascii="宋体" w:hAnsi="宋体" w:cs="宋体" w:hint="eastAsia"/>
                <w:kern w:val="0"/>
                <w:sz w:val="24"/>
              </w:rPr>
              <w:t xml:space="preserve">  6、其他费用</w:t>
            </w:r>
          </w:p>
        </w:tc>
        <w:tc>
          <w:tcPr>
            <w:tcW w:w="2028" w:type="pct"/>
            <w:tcBorders>
              <w:top w:val="nil"/>
              <w:left w:val="nil"/>
              <w:bottom w:val="single" w:sz="4" w:space="0" w:color="auto"/>
              <w:right w:val="single" w:sz="4" w:space="0" w:color="auto"/>
            </w:tcBorders>
            <w:shd w:val="clear" w:color="auto" w:fill="auto"/>
            <w:noWrap/>
            <w:hideMark/>
          </w:tcPr>
          <w:p w:rsidR="00DC526D" w:rsidRPr="008B0B33" w:rsidRDefault="007F7C44" w:rsidP="00E75B43">
            <w:pPr>
              <w:jc w:val="right"/>
              <w:rPr>
                <w:rFonts w:ascii="宋体" w:hAnsi="宋体" w:cs="宋体"/>
                <w:kern w:val="0"/>
                <w:sz w:val="24"/>
              </w:rPr>
            </w:pPr>
            <w:r w:rsidRPr="008B0B33">
              <w:rPr>
                <w:rFonts w:ascii="宋体" w:hAnsi="宋体" w:cs="宋体"/>
                <w:kern w:val="0"/>
                <w:sz w:val="24"/>
              </w:rPr>
              <w:t>228,814.57</w:t>
            </w:r>
          </w:p>
        </w:tc>
      </w:tr>
      <w:tr w:rsidR="00DC526D" w:rsidRPr="008B0B33" w:rsidTr="00E75B43">
        <w:trPr>
          <w:trHeight w:val="285"/>
        </w:trPr>
        <w:tc>
          <w:tcPr>
            <w:tcW w:w="2972" w:type="pct"/>
            <w:tcBorders>
              <w:top w:val="nil"/>
              <w:left w:val="single" w:sz="4" w:space="0" w:color="auto"/>
              <w:bottom w:val="single" w:sz="4" w:space="0" w:color="auto"/>
              <w:right w:val="single" w:sz="4" w:space="0" w:color="auto"/>
            </w:tcBorders>
            <w:shd w:val="clear" w:color="auto" w:fill="auto"/>
            <w:noWrap/>
            <w:vAlign w:val="center"/>
            <w:hideMark/>
          </w:tcPr>
          <w:p w:rsidR="00DC526D" w:rsidRPr="008B0B33" w:rsidRDefault="00DC526D" w:rsidP="00E75B43">
            <w:pPr>
              <w:widowControl/>
              <w:jc w:val="left"/>
              <w:rPr>
                <w:rFonts w:ascii="宋体" w:hAnsi="宋体" w:cs="宋体"/>
                <w:b/>
                <w:bCs/>
                <w:kern w:val="0"/>
                <w:sz w:val="24"/>
              </w:rPr>
            </w:pPr>
            <w:r w:rsidRPr="008B0B33">
              <w:rPr>
                <w:rFonts w:ascii="宋体" w:hAnsi="宋体" w:cs="宋体" w:hint="eastAsia"/>
                <w:b/>
                <w:bCs/>
                <w:kern w:val="0"/>
                <w:sz w:val="24"/>
              </w:rPr>
              <w:t>三、利润总额</w:t>
            </w:r>
          </w:p>
        </w:tc>
        <w:tc>
          <w:tcPr>
            <w:tcW w:w="2028" w:type="pct"/>
            <w:tcBorders>
              <w:top w:val="nil"/>
              <w:left w:val="nil"/>
              <w:bottom w:val="single" w:sz="4" w:space="0" w:color="auto"/>
              <w:right w:val="single" w:sz="4" w:space="0" w:color="auto"/>
            </w:tcBorders>
            <w:shd w:val="clear" w:color="auto" w:fill="auto"/>
            <w:noWrap/>
            <w:hideMark/>
          </w:tcPr>
          <w:p w:rsidR="00DC526D" w:rsidRPr="008B0B33" w:rsidRDefault="0006078F" w:rsidP="00E75B43">
            <w:pPr>
              <w:jc w:val="right"/>
              <w:rPr>
                <w:rFonts w:ascii="宋体" w:hAnsi="宋体" w:cs="宋体"/>
                <w:b/>
                <w:kern w:val="0"/>
                <w:sz w:val="24"/>
              </w:rPr>
            </w:pPr>
            <w:r w:rsidRPr="008B0B33">
              <w:rPr>
                <w:rFonts w:ascii="宋体" w:hAnsi="宋体" w:cs="宋体"/>
                <w:b/>
                <w:kern w:val="0"/>
                <w:sz w:val="24"/>
              </w:rPr>
              <w:t>12,494,524.32</w:t>
            </w:r>
          </w:p>
        </w:tc>
      </w:tr>
    </w:tbl>
    <w:p w:rsidR="00DC526D" w:rsidRPr="00317386" w:rsidRDefault="00DC526D">
      <w:pPr>
        <w:spacing w:line="360" w:lineRule="auto"/>
        <w:rPr>
          <w:rFonts w:ascii="宋体" w:hAnsi="宋体"/>
          <w:b/>
          <w:bCs/>
          <w:color w:val="000000"/>
          <w:sz w:val="24"/>
        </w:rPr>
      </w:pPr>
    </w:p>
    <w:p w:rsidR="00317386" w:rsidRPr="00317386" w:rsidRDefault="00317386">
      <w:pPr>
        <w:spacing w:line="360" w:lineRule="auto"/>
        <w:jc w:val="center"/>
        <w:rPr>
          <w:rFonts w:ascii="宋体" w:hAnsi="宋体"/>
          <w:b/>
          <w:bCs/>
          <w:color w:val="000000"/>
          <w:sz w:val="24"/>
          <w:lang w:val="en-GB"/>
        </w:rPr>
      </w:pPr>
      <w:r w:rsidRPr="00317386">
        <w:rPr>
          <w:rFonts w:ascii="宋体" w:hAnsi="宋体" w:hint="eastAsia"/>
          <w:b/>
          <w:bCs/>
          <w:color w:val="000000"/>
          <w:sz w:val="24"/>
          <w:lang w:val="en-GB"/>
        </w:rPr>
        <w:t>5、基金财产分配</w:t>
      </w:r>
    </w:p>
    <w:p w:rsidR="00317386" w:rsidRPr="00317386" w:rsidRDefault="00317386">
      <w:pPr>
        <w:spacing w:line="360" w:lineRule="auto"/>
        <w:ind w:firstLineChars="200" w:firstLine="480"/>
        <w:rPr>
          <w:rFonts w:ascii="宋体" w:hAnsi="宋体"/>
          <w:bCs/>
          <w:color w:val="000000"/>
          <w:sz w:val="24"/>
          <w:lang w:val="en-GB"/>
        </w:rPr>
      </w:pPr>
      <w:r w:rsidRPr="00317386">
        <w:rPr>
          <w:rFonts w:ascii="宋体" w:hAnsi="宋体" w:hint="eastAsia"/>
          <w:bCs/>
          <w:color w:val="000000"/>
          <w:sz w:val="24"/>
          <w:lang w:val="en-GB"/>
        </w:rPr>
        <w:t>本基金自2018年</w:t>
      </w:r>
      <w:r w:rsidR="00635576">
        <w:rPr>
          <w:rFonts w:ascii="宋体" w:hAnsi="宋体" w:hint="eastAsia"/>
          <w:bCs/>
          <w:color w:val="000000"/>
          <w:sz w:val="24"/>
          <w:lang w:val="en-GB"/>
        </w:rPr>
        <w:t>6</w:t>
      </w:r>
      <w:r w:rsidRPr="00317386">
        <w:rPr>
          <w:rFonts w:ascii="宋体" w:hAnsi="宋体" w:hint="eastAsia"/>
          <w:bCs/>
          <w:color w:val="000000"/>
          <w:sz w:val="24"/>
          <w:lang w:val="en-GB"/>
        </w:rPr>
        <w:t>月</w:t>
      </w:r>
      <w:r w:rsidR="00E170F2">
        <w:rPr>
          <w:rFonts w:ascii="宋体" w:hAnsi="宋体" w:hint="eastAsia"/>
          <w:bCs/>
          <w:color w:val="000000"/>
          <w:sz w:val="24"/>
          <w:lang w:val="en-GB"/>
        </w:rPr>
        <w:t>26</w:t>
      </w:r>
      <w:r w:rsidRPr="00317386">
        <w:rPr>
          <w:rFonts w:ascii="宋体" w:hAnsi="宋体" w:hint="eastAsia"/>
          <w:bCs/>
          <w:color w:val="000000"/>
          <w:sz w:val="24"/>
          <w:lang w:val="en-GB"/>
        </w:rPr>
        <w:t>日起进入清算程序，基金财产清算小组对本基金的资产、负债进行清算，全部清算工作按清算原则和清算手续进行。具体清算情况如下：</w:t>
      </w:r>
    </w:p>
    <w:p w:rsidR="00317386" w:rsidRDefault="00317386">
      <w:pPr>
        <w:spacing w:line="360" w:lineRule="auto"/>
        <w:rPr>
          <w:rFonts w:ascii="宋体" w:hAnsi="宋体"/>
          <w:b/>
          <w:bCs/>
          <w:color w:val="000000"/>
          <w:sz w:val="24"/>
          <w:lang w:val="en-GB"/>
        </w:rPr>
      </w:pPr>
      <w:r w:rsidRPr="00317386">
        <w:rPr>
          <w:rFonts w:ascii="宋体" w:hAnsi="宋体" w:hint="eastAsia"/>
          <w:b/>
          <w:bCs/>
          <w:color w:val="000000"/>
          <w:sz w:val="24"/>
          <w:lang w:val="en-GB"/>
        </w:rPr>
        <w:t>5.1清算费用</w:t>
      </w:r>
    </w:p>
    <w:p w:rsidR="00E75B43" w:rsidRPr="00E75B43" w:rsidRDefault="00E75B43" w:rsidP="00E75B43">
      <w:pPr>
        <w:spacing w:line="360" w:lineRule="auto"/>
        <w:jc w:val="right"/>
        <w:rPr>
          <w:rFonts w:ascii="宋体" w:hAnsi="宋体"/>
          <w:b/>
          <w:bCs/>
          <w:color w:val="000000"/>
          <w:sz w:val="24"/>
          <w:lang w:val="en-GB"/>
        </w:rPr>
      </w:pPr>
      <w:r w:rsidRPr="00E75B43">
        <w:rPr>
          <w:rFonts w:ascii="宋体" w:hAnsi="宋体" w:cs="宋体" w:hint="eastAsia"/>
          <w:color w:val="000000"/>
          <w:kern w:val="0"/>
          <w:sz w:val="24"/>
        </w:rPr>
        <w:t>单位：人民币元</w:t>
      </w:r>
    </w:p>
    <w:tbl>
      <w:tblPr>
        <w:tblW w:w="5000" w:type="pct"/>
        <w:tblLook w:val="04A0"/>
      </w:tblPr>
      <w:tblGrid>
        <w:gridCol w:w="5185"/>
        <w:gridCol w:w="3337"/>
      </w:tblGrid>
      <w:tr w:rsidR="00435098" w:rsidRPr="00E75B43" w:rsidTr="00E75B43">
        <w:trPr>
          <w:trHeight w:val="607"/>
        </w:trPr>
        <w:tc>
          <w:tcPr>
            <w:tcW w:w="30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098" w:rsidRPr="00E75B43" w:rsidRDefault="00435098" w:rsidP="007C4947">
            <w:pPr>
              <w:widowControl/>
              <w:jc w:val="center"/>
              <w:rPr>
                <w:rFonts w:ascii="宋体" w:hAnsi="宋体" w:cs="宋体"/>
                <w:b/>
                <w:color w:val="000000"/>
                <w:kern w:val="0"/>
                <w:sz w:val="24"/>
              </w:rPr>
            </w:pPr>
            <w:r w:rsidRPr="00E75B43">
              <w:rPr>
                <w:rFonts w:ascii="宋体" w:hAnsi="宋体" w:cs="宋体" w:hint="eastAsia"/>
                <w:b/>
                <w:color w:val="000000"/>
                <w:kern w:val="0"/>
                <w:sz w:val="24"/>
              </w:rPr>
              <w:t>项目</w:t>
            </w:r>
          </w:p>
        </w:tc>
        <w:tc>
          <w:tcPr>
            <w:tcW w:w="1958" w:type="pct"/>
            <w:tcBorders>
              <w:top w:val="single" w:sz="4" w:space="0" w:color="auto"/>
              <w:left w:val="nil"/>
              <w:bottom w:val="single" w:sz="4" w:space="0" w:color="auto"/>
              <w:right w:val="single" w:sz="4" w:space="0" w:color="auto"/>
            </w:tcBorders>
            <w:shd w:val="clear" w:color="auto" w:fill="auto"/>
            <w:vAlign w:val="center"/>
            <w:hideMark/>
          </w:tcPr>
          <w:p w:rsidR="00435098" w:rsidRPr="00E75B43" w:rsidRDefault="00435098" w:rsidP="007C4947">
            <w:pPr>
              <w:widowControl/>
              <w:jc w:val="center"/>
              <w:rPr>
                <w:rFonts w:ascii="宋体" w:hAnsi="宋体" w:cs="宋体"/>
                <w:b/>
                <w:color w:val="000000"/>
                <w:kern w:val="0"/>
                <w:sz w:val="24"/>
              </w:rPr>
            </w:pPr>
            <w:r w:rsidRPr="00E75B43">
              <w:rPr>
                <w:rFonts w:ascii="宋体" w:hAnsi="宋体" w:cs="宋体" w:hint="eastAsia"/>
                <w:b/>
                <w:color w:val="000000"/>
                <w:kern w:val="0"/>
                <w:sz w:val="24"/>
              </w:rPr>
              <w:t>自2018年0</w:t>
            </w:r>
            <w:r w:rsidR="00620929" w:rsidRPr="00E75B43">
              <w:rPr>
                <w:rFonts w:ascii="宋体" w:hAnsi="宋体" w:cs="宋体" w:hint="eastAsia"/>
                <w:b/>
                <w:color w:val="000000"/>
                <w:kern w:val="0"/>
                <w:sz w:val="24"/>
              </w:rPr>
              <w:t>6</w:t>
            </w:r>
            <w:r w:rsidRPr="00E75B43">
              <w:rPr>
                <w:rFonts w:ascii="宋体" w:hAnsi="宋体" w:cs="宋体" w:hint="eastAsia"/>
                <w:b/>
                <w:color w:val="000000"/>
                <w:kern w:val="0"/>
                <w:sz w:val="24"/>
              </w:rPr>
              <w:t>月2</w:t>
            </w:r>
            <w:r w:rsidR="00620929" w:rsidRPr="00E75B43">
              <w:rPr>
                <w:rFonts w:ascii="宋体" w:hAnsi="宋体" w:cs="宋体" w:hint="eastAsia"/>
                <w:b/>
                <w:color w:val="000000"/>
                <w:kern w:val="0"/>
                <w:sz w:val="24"/>
              </w:rPr>
              <w:t>6</w:t>
            </w:r>
            <w:r w:rsidRPr="00E75B43">
              <w:rPr>
                <w:rFonts w:ascii="宋体" w:hAnsi="宋体" w:cs="宋体" w:hint="eastAsia"/>
                <w:b/>
                <w:color w:val="000000"/>
                <w:kern w:val="0"/>
                <w:sz w:val="24"/>
              </w:rPr>
              <w:t>日至2018年0</w:t>
            </w:r>
            <w:r w:rsidR="00620929" w:rsidRPr="00E75B43">
              <w:rPr>
                <w:rFonts w:ascii="宋体" w:hAnsi="宋体" w:cs="宋体" w:hint="eastAsia"/>
                <w:b/>
                <w:color w:val="000000"/>
                <w:kern w:val="0"/>
                <w:sz w:val="24"/>
              </w:rPr>
              <w:t>7</w:t>
            </w:r>
            <w:r w:rsidRPr="00E75B43">
              <w:rPr>
                <w:rFonts w:ascii="宋体" w:hAnsi="宋体" w:cs="宋体" w:hint="eastAsia"/>
                <w:b/>
                <w:color w:val="000000"/>
                <w:kern w:val="0"/>
                <w:sz w:val="24"/>
              </w:rPr>
              <w:t>月</w:t>
            </w:r>
            <w:r w:rsidR="00620929" w:rsidRPr="00E75B43">
              <w:rPr>
                <w:rFonts w:ascii="宋体" w:hAnsi="宋体" w:cs="宋体" w:hint="eastAsia"/>
                <w:b/>
                <w:color w:val="000000"/>
                <w:kern w:val="0"/>
                <w:sz w:val="24"/>
              </w:rPr>
              <w:t>0</w:t>
            </w:r>
            <w:r w:rsidR="004223A1" w:rsidRPr="00E75B43">
              <w:rPr>
                <w:rFonts w:ascii="宋体" w:hAnsi="宋体" w:cs="宋体" w:hint="eastAsia"/>
                <w:b/>
                <w:color w:val="000000"/>
                <w:kern w:val="0"/>
                <w:sz w:val="24"/>
              </w:rPr>
              <w:t>5</w:t>
            </w:r>
            <w:r w:rsidRPr="00E75B43">
              <w:rPr>
                <w:rFonts w:ascii="宋体" w:hAnsi="宋体" w:cs="宋体" w:hint="eastAsia"/>
                <w:b/>
                <w:color w:val="000000"/>
                <w:kern w:val="0"/>
                <w:sz w:val="24"/>
              </w:rPr>
              <w:t>日止清算期间</w:t>
            </w:r>
          </w:p>
        </w:tc>
      </w:tr>
      <w:tr w:rsidR="00435098" w:rsidRPr="00E75B43" w:rsidTr="00E75B43">
        <w:trPr>
          <w:trHeight w:val="304"/>
        </w:trPr>
        <w:tc>
          <w:tcPr>
            <w:tcW w:w="3042" w:type="pct"/>
            <w:tcBorders>
              <w:top w:val="nil"/>
              <w:left w:val="single" w:sz="4" w:space="0" w:color="auto"/>
              <w:bottom w:val="single" w:sz="4" w:space="0" w:color="auto"/>
              <w:right w:val="single" w:sz="4" w:space="0" w:color="auto"/>
            </w:tcBorders>
            <w:shd w:val="clear" w:color="auto" w:fill="auto"/>
            <w:noWrap/>
            <w:vAlign w:val="center"/>
          </w:tcPr>
          <w:p w:rsidR="00435098" w:rsidRPr="00E75B43" w:rsidRDefault="00435098" w:rsidP="007C4947">
            <w:pPr>
              <w:widowControl/>
              <w:jc w:val="left"/>
              <w:rPr>
                <w:rFonts w:ascii="宋体" w:hAnsi="宋体" w:cs="宋体"/>
                <w:color w:val="000000"/>
                <w:kern w:val="0"/>
                <w:sz w:val="24"/>
              </w:rPr>
            </w:pPr>
            <w:r w:rsidRPr="00E75B43">
              <w:rPr>
                <w:rFonts w:ascii="宋体" w:hAnsi="宋体" w:cs="宋体" w:hint="eastAsia"/>
                <w:color w:val="000000"/>
                <w:kern w:val="0"/>
                <w:sz w:val="24"/>
              </w:rPr>
              <w:t>交易费用-</w:t>
            </w:r>
            <w:r w:rsidR="002608F6" w:rsidRPr="00E75B43">
              <w:rPr>
                <w:rFonts w:ascii="宋体" w:hAnsi="宋体" w:cs="宋体" w:hint="eastAsia"/>
                <w:color w:val="000000"/>
                <w:kern w:val="0"/>
                <w:sz w:val="24"/>
              </w:rPr>
              <w:t>股票</w:t>
            </w:r>
            <w:r w:rsidRPr="00E75B43">
              <w:rPr>
                <w:rFonts w:ascii="宋体" w:hAnsi="宋体" w:cs="宋体" w:hint="eastAsia"/>
                <w:color w:val="000000"/>
                <w:kern w:val="0"/>
                <w:sz w:val="24"/>
              </w:rPr>
              <w:t>交易费用</w:t>
            </w:r>
          </w:p>
        </w:tc>
        <w:tc>
          <w:tcPr>
            <w:tcW w:w="1958" w:type="pct"/>
            <w:tcBorders>
              <w:top w:val="nil"/>
              <w:left w:val="nil"/>
              <w:bottom w:val="single" w:sz="4" w:space="0" w:color="auto"/>
              <w:right w:val="single" w:sz="4" w:space="0" w:color="auto"/>
            </w:tcBorders>
            <w:shd w:val="clear" w:color="auto" w:fill="auto"/>
            <w:noWrap/>
          </w:tcPr>
          <w:p w:rsidR="00435098" w:rsidRPr="00E75B43" w:rsidRDefault="00E30238" w:rsidP="007C4947">
            <w:pPr>
              <w:jc w:val="right"/>
              <w:rPr>
                <w:rFonts w:ascii="宋体" w:hAnsi="宋体"/>
                <w:bCs/>
                <w:color w:val="000000"/>
                <w:sz w:val="24"/>
                <w:lang w:val="en-GB"/>
              </w:rPr>
            </w:pPr>
            <w:r w:rsidRPr="00E75B43">
              <w:rPr>
                <w:rFonts w:ascii="宋体" w:hAnsi="宋体" w:hint="eastAsia"/>
                <w:bCs/>
                <w:color w:val="000000"/>
                <w:sz w:val="24"/>
                <w:lang w:val="en-GB"/>
              </w:rPr>
              <w:t>688</w:t>
            </w:r>
            <w:r w:rsidR="00424490" w:rsidRPr="00E75B43">
              <w:rPr>
                <w:rFonts w:ascii="宋体" w:hAnsi="宋体"/>
                <w:bCs/>
                <w:color w:val="000000"/>
                <w:sz w:val="24"/>
                <w:lang w:val="en-GB"/>
              </w:rPr>
              <w:t>.82</w:t>
            </w:r>
          </w:p>
        </w:tc>
      </w:tr>
      <w:tr w:rsidR="00E30238" w:rsidRPr="00E75B43" w:rsidTr="00E75B43">
        <w:trPr>
          <w:trHeight w:val="304"/>
        </w:trPr>
        <w:tc>
          <w:tcPr>
            <w:tcW w:w="3042" w:type="pct"/>
            <w:tcBorders>
              <w:top w:val="nil"/>
              <w:left w:val="single" w:sz="4" w:space="0" w:color="auto"/>
              <w:bottom w:val="single" w:sz="4" w:space="0" w:color="auto"/>
              <w:right w:val="single" w:sz="4" w:space="0" w:color="auto"/>
            </w:tcBorders>
            <w:shd w:val="clear" w:color="auto" w:fill="auto"/>
            <w:noWrap/>
            <w:vAlign w:val="center"/>
          </w:tcPr>
          <w:p w:rsidR="00E30238" w:rsidRPr="00E75B43" w:rsidRDefault="00E30238" w:rsidP="007C4947">
            <w:pPr>
              <w:widowControl/>
              <w:jc w:val="left"/>
              <w:rPr>
                <w:rFonts w:ascii="宋体" w:hAnsi="宋体" w:cs="宋体"/>
                <w:color w:val="000000"/>
                <w:kern w:val="0"/>
                <w:sz w:val="24"/>
              </w:rPr>
            </w:pPr>
            <w:r w:rsidRPr="00E75B43">
              <w:rPr>
                <w:rFonts w:ascii="宋体" w:hAnsi="宋体" w:cs="宋体" w:hint="eastAsia"/>
                <w:color w:val="000000"/>
                <w:kern w:val="0"/>
                <w:sz w:val="24"/>
              </w:rPr>
              <w:t>银行费用</w:t>
            </w:r>
          </w:p>
        </w:tc>
        <w:tc>
          <w:tcPr>
            <w:tcW w:w="1958" w:type="pct"/>
            <w:tcBorders>
              <w:top w:val="nil"/>
              <w:left w:val="nil"/>
              <w:bottom w:val="single" w:sz="4" w:space="0" w:color="auto"/>
              <w:right w:val="single" w:sz="4" w:space="0" w:color="auto"/>
            </w:tcBorders>
            <w:shd w:val="clear" w:color="auto" w:fill="auto"/>
            <w:noWrap/>
          </w:tcPr>
          <w:p w:rsidR="00E30238" w:rsidRPr="00E75B43" w:rsidRDefault="00E30238" w:rsidP="007C4947">
            <w:pPr>
              <w:jc w:val="right"/>
              <w:rPr>
                <w:rFonts w:ascii="宋体" w:hAnsi="宋体"/>
                <w:bCs/>
                <w:color w:val="000000"/>
                <w:sz w:val="24"/>
                <w:lang w:val="en-GB"/>
              </w:rPr>
            </w:pPr>
            <w:r w:rsidRPr="00E75B43">
              <w:rPr>
                <w:rFonts w:ascii="宋体" w:hAnsi="宋体" w:hint="eastAsia"/>
                <w:bCs/>
                <w:color w:val="000000"/>
                <w:sz w:val="24"/>
                <w:lang w:val="en-GB"/>
              </w:rPr>
              <w:t>45.00</w:t>
            </w:r>
          </w:p>
        </w:tc>
      </w:tr>
      <w:tr w:rsidR="00435098" w:rsidRPr="00E75B43" w:rsidTr="00E75B43">
        <w:trPr>
          <w:trHeight w:val="304"/>
        </w:trPr>
        <w:tc>
          <w:tcPr>
            <w:tcW w:w="3042" w:type="pct"/>
            <w:tcBorders>
              <w:top w:val="nil"/>
              <w:left w:val="single" w:sz="4" w:space="0" w:color="auto"/>
              <w:bottom w:val="single" w:sz="4" w:space="0" w:color="auto"/>
              <w:right w:val="single" w:sz="4" w:space="0" w:color="auto"/>
            </w:tcBorders>
            <w:shd w:val="clear" w:color="auto" w:fill="auto"/>
            <w:noWrap/>
            <w:vAlign w:val="center"/>
            <w:hideMark/>
          </w:tcPr>
          <w:p w:rsidR="00435098" w:rsidRPr="00E75B43" w:rsidRDefault="00435098" w:rsidP="007C4947">
            <w:pPr>
              <w:widowControl/>
              <w:jc w:val="left"/>
              <w:rPr>
                <w:rFonts w:ascii="宋体" w:hAnsi="宋体" w:cs="宋体"/>
                <w:color w:val="000000"/>
                <w:kern w:val="0"/>
                <w:sz w:val="24"/>
              </w:rPr>
            </w:pPr>
            <w:r w:rsidRPr="00E75B43">
              <w:rPr>
                <w:rFonts w:ascii="宋体" w:hAnsi="宋体" w:cs="宋体" w:hint="eastAsia"/>
                <w:color w:val="000000"/>
                <w:kern w:val="0"/>
                <w:sz w:val="24"/>
              </w:rPr>
              <w:t>清算费用小计</w:t>
            </w:r>
          </w:p>
        </w:tc>
        <w:tc>
          <w:tcPr>
            <w:tcW w:w="1958" w:type="pct"/>
            <w:tcBorders>
              <w:top w:val="nil"/>
              <w:left w:val="nil"/>
              <w:bottom w:val="single" w:sz="4" w:space="0" w:color="auto"/>
              <w:right w:val="single" w:sz="4" w:space="0" w:color="auto"/>
            </w:tcBorders>
            <w:shd w:val="clear" w:color="auto" w:fill="auto"/>
            <w:noWrap/>
            <w:hideMark/>
          </w:tcPr>
          <w:p w:rsidR="00435098" w:rsidRPr="00E75B43" w:rsidRDefault="00424490" w:rsidP="007C4947">
            <w:pPr>
              <w:jc w:val="right"/>
              <w:rPr>
                <w:rFonts w:ascii="宋体" w:hAnsi="宋体"/>
                <w:bCs/>
                <w:color w:val="000000"/>
                <w:sz w:val="24"/>
                <w:lang w:val="en-GB"/>
              </w:rPr>
            </w:pPr>
            <w:r w:rsidRPr="00E75B43">
              <w:rPr>
                <w:rFonts w:ascii="宋体" w:hAnsi="宋体"/>
                <w:bCs/>
                <w:color w:val="000000"/>
                <w:sz w:val="24"/>
                <w:lang w:val="en-GB"/>
              </w:rPr>
              <w:t>733.82</w:t>
            </w:r>
          </w:p>
        </w:tc>
      </w:tr>
    </w:tbl>
    <w:p w:rsidR="0097694F" w:rsidRPr="00E75B43" w:rsidRDefault="0097694F">
      <w:pPr>
        <w:spacing w:line="360" w:lineRule="auto"/>
        <w:rPr>
          <w:rFonts w:ascii="宋体" w:hAnsi="宋体"/>
          <w:b/>
          <w:bCs/>
          <w:color w:val="000000"/>
          <w:sz w:val="24"/>
          <w:lang w:val="en-GB"/>
        </w:rPr>
      </w:pPr>
    </w:p>
    <w:p w:rsidR="00317386" w:rsidRPr="00317386" w:rsidRDefault="00317386">
      <w:pPr>
        <w:spacing w:line="360" w:lineRule="auto"/>
        <w:rPr>
          <w:rFonts w:ascii="宋体" w:hAnsi="宋体"/>
          <w:b/>
          <w:bCs/>
          <w:color w:val="000000"/>
          <w:sz w:val="24"/>
          <w:lang w:val="en-GB"/>
        </w:rPr>
      </w:pPr>
      <w:r w:rsidRPr="00317386">
        <w:rPr>
          <w:rFonts w:ascii="宋体" w:hAnsi="宋体" w:hint="eastAsia"/>
          <w:b/>
          <w:bCs/>
          <w:color w:val="000000"/>
          <w:sz w:val="24"/>
          <w:lang w:val="en-GB"/>
        </w:rPr>
        <w:t>5.2资产处置情况</w:t>
      </w:r>
    </w:p>
    <w:p w:rsidR="00435098" w:rsidRDefault="00E75B43" w:rsidP="00E75B43">
      <w:pPr>
        <w:spacing w:line="360" w:lineRule="auto"/>
        <w:ind w:firstLineChars="200" w:firstLine="480"/>
        <w:rPr>
          <w:rFonts w:ascii="宋体" w:hAnsi="宋体"/>
          <w:bCs/>
          <w:color w:val="000000"/>
          <w:sz w:val="24"/>
          <w:lang w:val="en-GB"/>
        </w:rPr>
      </w:pPr>
      <w:r>
        <w:rPr>
          <w:rFonts w:ascii="宋体" w:hAnsi="宋体" w:hint="eastAsia"/>
          <w:bCs/>
          <w:color w:val="000000"/>
          <w:sz w:val="24"/>
          <w:lang w:val="en-GB"/>
        </w:rPr>
        <w:t>（</w:t>
      </w:r>
      <w:r w:rsidR="00435098">
        <w:rPr>
          <w:rFonts w:ascii="宋体" w:hAnsi="宋体" w:hint="eastAsia"/>
          <w:bCs/>
          <w:color w:val="000000"/>
          <w:sz w:val="24"/>
          <w:lang w:val="en-GB"/>
        </w:rPr>
        <w:t>1</w:t>
      </w:r>
      <w:r>
        <w:rPr>
          <w:rFonts w:ascii="宋体" w:hAnsi="宋体" w:hint="eastAsia"/>
          <w:bCs/>
          <w:color w:val="000000"/>
          <w:sz w:val="24"/>
          <w:lang w:val="en-GB"/>
        </w:rPr>
        <w:t>）</w:t>
      </w:r>
      <w:r w:rsidR="00435098" w:rsidRPr="0082350A">
        <w:rPr>
          <w:rFonts w:ascii="宋体" w:hAnsi="宋体" w:hint="eastAsia"/>
          <w:bCs/>
          <w:color w:val="000000"/>
          <w:sz w:val="24"/>
          <w:lang w:val="en-GB"/>
        </w:rPr>
        <w:t>本基金</w:t>
      </w:r>
      <w:r w:rsidR="00435098">
        <w:rPr>
          <w:rFonts w:ascii="宋体" w:hAnsi="宋体" w:hint="eastAsia"/>
          <w:bCs/>
          <w:color w:val="000000"/>
          <w:sz w:val="24"/>
          <w:lang w:val="en-GB"/>
        </w:rPr>
        <w:t>最后运作日应收银行存款利息人民币</w:t>
      </w:r>
      <w:r w:rsidR="00D40141" w:rsidRPr="00D40141">
        <w:rPr>
          <w:rFonts w:ascii="宋体" w:hAnsi="宋体"/>
          <w:bCs/>
          <w:color w:val="000000"/>
          <w:sz w:val="24"/>
          <w:lang w:val="en-GB"/>
        </w:rPr>
        <w:t>1,029.65</w:t>
      </w:r>
      <w:r w:rsidR="00435098">
        <w:rPr>
          <w:rFonts w:ascii="宋体" w:hAnsi="宋体" w:hint="eastAsia"/>
          <w:bCs/>
          <w:color w:val="000000"/>
          <w:sz w:val="24"/>
          <w:lang w:val="en-GB"/>
        </w:rPr>
        <w:t>元，应收结算备付金利息人民币</w:t>
      </w:r>
      <w:r w:rsidR="00D40141" w:rsidRPr="00D40141">
        <w:rPr>
          <w:rFonts w:ascii="宋体" w:hAnsi="宋体"/>
          <w:bCs/>
          <w:color w:val="000000"/>
          <w:sz w:val="24"/>
          <w:lang w:val="en-GB"/>
        </w:rPr>
        <w:t>35.80</w:t>
      </w:r>
      <w:r w:rsidR="00435098">
        <w:rPr>
          <w:rFonts w:ascii="宋体" w:hAnsi="宋体" w:hint="eastAsia"/>
          <w:bCs/>
          <w:color w:val="000000"/>
          <w:sz w:val="24"/>
          <w:lang w:val="en-GB"/>
        </w:rPr>
        <w:t>元，应收存出保证金利息人民币</w:t>
      </w:r>
      <w:r w:rsidR="00D40141" w:rsidRPr="00D40141">
        <w:rPr>
          <w:rFonts w:ascii="宋体" w:hAnsi="宋体"/>
          <w:bCs/>
          <w:color w:val="000000"/>
          <w:sz w:val="24"/>
          <w:lang w:val="en-GB"/>
        </w:rPr>
        <w:t>23.95</w:t>
      </w:r>
      <w:r w:rsidR="00435098">
        <w:rPr>
          <w:rFonts w:ascii="宋体" w:hAnsi="宋体" w:hint="eastAsia"/>
          <w:bCs/>
          <w:color w:val="000000"/>
          <w:sz w:val="24"/>
          <w:lang w:val="en-GB"/>
        </w:rPr>
        <w:t>元，共计人民币</w:t>
      </w:r>
      <w:r w:rsidR="00D40141" w:rsidRPr="00D40141">
        <w:rPr>
          <w:rFonts w:ascii="宋体" w:hAnsi="宋体"/>
          <w:bCs/>
          <w:color w:val="000000"/>
          <w:sz w:val="24"/>
          <w:lang w:val="en-GB"/>
        </w:rPr>
        <w:t>1,089.40</w:t>
      </w:r>
      <w:r w:rsidR="00435098">
        <w:rPr>
          <w:rFonts w:ascii="宋体" w:hAnsi="宋体" w:hint="eastAsia"/>
          <w:bCs/>
          <w:color w:val="000000"/>
          <w:sz w:val="24"/>
          <w:lang w:val="en-GB"/>
        </w:rPr>
        <w:t>元。</w:t>
      </w:r>
    </w:p>
    <w:p w:rsidR="00435098" w:rsidRDefault="00E75B43" w:rsidP="00E75B43">
      <w:pPr>
        <w:spacing w:line="360" w:lineRule="auto"/>
        <w:ind w:firstLineChars="200" w:firstLine="480"/>
        <w:rPr>
          <w:rFonts w:ascii="宋体" w:hAnsi="宋体"/>
          <w:bCs/>
          <w:color w:val="000000"/>
          <w:sz w:val="24"/>
          <w:lang w:val="en-GB"/>
        </w:rPr>
      </w:pPr>
      <w:r>
        <w:rPr>
          <w:rFonts w:ascii="宋体" w:hAnsi="宋体" w:hint="eastAsia"/>
          <w:bCs/>
          <w:color w:val="000000"/>
          <w:sz w:val="24"/>
          <w:lang w:val="en-GB"/>
        </w:rPr>
        <w:t>（</w:t>
      </w:r>
      <w:r w:rsidR="00435098">
        <w:rPr>
          <w:rFonts w:ascii="宋体" w:hAnsi="宋体" w:hint="eastAsia"/>
          <w:bCs/>
          <w:color w:val="000000"/>
          <w:sz w:val="24"/>
          <w:lang w:val="en-GB"/>
        </w:rPr>
        <w:t>2</w:t>
      </w:r>
      <w:r>
        <w:rPr>
          <w:rFonts w:ascii="宋体" w:hAnsi="宋体" w:hint="eastAsia"/>
          <w:bCs/>
          <w:color w:val="000000"/>
          <w:sz w:val="24"/>
          <w:lang w:val="en-GB"/>
        </w:rPr>
        <w:t>）</w:t>
      </w:r>
      <w:r w:rsidR="00435098" w:rsidRPr="0082350A">
        <w:rPr>
          <w:rFonts w:ascii="宋体" w:hAnsi="宋体" w:hint="eastAsia"/>
          <w:bCs/>
          <w:color w:val="000000"/>
          <w:sz w:val="24"/>
          <w:lang w:val="en-GB"/>
        </w:rPr>
        <w:t>本基金</w:t>
      </w:r>
      <w:r w:rsidR="00435098">
        <w:rPr>
          <w:rFonts w:ascii="宋体" w:hAnsi="宋体" w:hint="eastAsia"/>
          <w:bCs/>
          <w:color w:val="000000"/>
          <w:sz w:val="24"/>
          <w:lang w:val="en-GB"/>
        </w:rPr>
        <w:t>最后运作日结算备付金人民币</w:t>
      </w:r>
      <w:r w:rsidR="00426DEC" w:rsidRPr="00426DEC">
        <w:rPr>
          <w:rFonts w:ascii="宋体" w:hAnsi="宋体"/>
          <w:bCs/>
          <w:color w:val="000000"/>
          <w:sz w:val="24"/>
          <w:lang w:val="en-GB"/>
        </w:rPr>
        <w:t>159,090.91</w:t>
      </w:r>
      <w:r w:rsidR="00435098">
        <w:rPr>
          <w:rFonts w:ascii="宋体" w:hAnsi="宋体" w:hint="eastAsia"/>
          <w:bCs/>
          <w:color w:val="000000"/>
          <w:sz w:val="24"/>
          <w:lang w:val="en-GB"/>
        </w:rPr>
        <w:t>元，存出保证金人民币</w:t>
      </w:r>
      <w:r w:rsidR="00426DEC" w:rsidRPr="00426DEC">
        <w:rPr>
          <w:rFonts w:ascii="宋体" w:hAnsi="宋体"/>
          <w:bCs/>
          <w:color w:val="000000"/>
          <w:sz w:val="24"/>
          <w:lang w:val="en-GB"/>
        </w:rPr>
        <w:t>106,406.61</w:t>
      </w:r>
      <w:r w:rsidR="00435098">
        <w:rPr>
          <w:rFonts w:ascii="宋体" w:hAnsi="宋体" w:hint="eastAsia"/>
          <w:bCs/>
          <w:color w:val="000000"/>
          <w:sz w:val="24"/>
          <w:lang w:val="en-GB"/>
        </w:rPr>
        <w:t>元，共计人民币</w:t>
      </w:r>
      <w:r w:rsidR="00426DEC" w:rsidRPr="00426DEC">
        <w:rPr>
          <w:rFonts w:ascii="宋体" w:hAnsi="宋体"/>
          <w:bCs/>
          <w:color w:val="000000"/>
          <w:sz w:val="24"/>
          <w:lang w:val="en-GB"/>
        </w:rPr>
        <w:t>265,497.52</w:t>
      </w:r>
      <w:r w:rsidR="00435098">
        <w:rPr>
          <w:rFonts w:ascii="宋体" w:hAnsi="宋体" w:hint="eastAsia"/>
          <w:bCs/>
          <w:color w:val="000000"/>
          <w:sz w:val="24"/>
          <w:lang w:val="en-GB"/>
        </w:rPr>
        <w:t>元。</w:t>
      </w:r>
    </w:p>
    <w:p w:rsidR="00435098" w:rsidRDefault="00E75B43" w:rsidP="00E75B43">
      <w:pPr>
        <w:spacing w:line="360" w:lineRule="auto"/>
        <w:ind w:firstLineChars="200" w:firstLine="480"/>
        <w:rPr>
          <w:rFonts w:ascii="宋体" w:hAnsi="宋体"/>
          <w:bCs/>
          <w:color w:val="000000"/>
          <w:sz w:val="24"/>
          <w:lang w:val="en-GB"/>
        </w:rPr>
      </w:pPr>
      <w:r>
        <w:rPr>
          <w:rFonts w:ascii="宋体" w:hAnsi="宋体" w:hint="eastAsia"/>
          <w:bCs/>
          <w:color w:val="000000"/>
          <w:sz w:val="24"/>
          <w:lang w:val="en-GB"/>
        </w:rPr>
        <w:t>（</w:t>
      </w:r>
      <w:r w:rsidR="00435098">
        <w:rPr>
          <w:rFonts w:ascii="宋体" w:hAnsi="宋体" w:hint="eastAsia"/>
          <w:bCs/>
          <w:color w:val="000000"/>
          <w:sz w:val="24"/>
          <w:lang w:val="en-GB"/>
        </w:rPr>
        <w:t>3</w:t>
      </w:r>
      <w:r>
        <w:rPr>
          <w:rFonts w:ascii="宋体" w:hAnsi="宋体" w:hint="eastAsia"/>
          <w:bCs/>
          <w:color w:val="000000"/>
          <w:sz w:val="24"/>
          <w:lang w:val="en-GB"/>
        </w:rPr>
        <w:t>）</w:t>
      </w:r>
      <w:r w:rsidR="00435098" w:rsidRPr="0082350A">
        <w:rPr>
          <w:rFonts w:ascii="宋体" w:hAnsi="宋体" w:hint="eastAsia"/>
          <w:bCs/>
          <w:color w:val="000000"/>
          <w:sz w:val="24"/>
          <w:lang w:val="en-GB"/>
        </w:rPr>
        <w:t>本基金</w:t>
      </w:r>
      <w:r w:rsidR="00435098">
        <w:rPr>
          <w:rFonts w:ascii="宋体" w:hAnsi="宋体" w:hint="eastAsia"/>
          <w:bCs/>
          <w:color w:val="000000"/>
          <w:sz w:val="24"/>
          <w:lang w:val="en-GB"/>
        </w:rPr>
        <w:t>最后运作日尚持有</w:t>
      </w:r>
      <w:r w:rsidR="000620A9">
        <w:rPr>
          <w:rFonts w:ascii="宋体" w:hAnsi="宋体" w:hint="eastAsia"/>
          <w:bCs/>
          <w:color w:val="000000"/>
          <w:sz w:val="24"/>
          <w:lang w:val="en-GB"/>
        </w:rPr>
        <w:t>股票</w:t>
      </w:r>
      <w:r w:rsidR="00435098" w:rsidRPr="00A577F7">
        <w:rPr>
          <w:rFonts w:ascii="宋体" w:hAnsi="宋体" w:hint="eastAsia"/>
          <w:bCs/>
          <w:color w:val="000000"/>
          <w:sz w:val="24"/>
          <w:lang w:val="en-GB"/>
        </w:rPr>
        <w:t>投资</w:t>
      </w:r>
      <w:r w:rsidR="00435098">
        <w:rPr>
          <w:rFonts w:ascii="宋体" w:hAnsi="宋体" w:hint="eastAsia"/>
          <w:bCs/>
          <w:color w:val="000000"/>
          <w:sz w:val="24"/>
          <w:lang w:val="en-GB"/>
        </w:rPr>
        <w:t>人民币</w:t>
      </w:r>
      <w:r w:rsidR="000620A9" w:rsidRPr="000620A9">
        <w:rPr>
          <w:rFonts w:ascii="宋体" w:hAnsi="宋体"/>
          <w:bCs/>
          <w:color w:val="000000"/>
          <w:sz w:val="24"/>
          <w:lang w:val="en-GB"/>
        </w:rPr>
        <w:t>358,900.00</w:t>
      </w:r>
      <w:r w:rsidR="00435098">
        <w:rPr>
          <w:rFonts w:ascii="宋体" w:hAnsi="宋体" w:hint="eastAsia"/>
          <w:bCs/>
          <w:color w:val="000000"/>
          <w:sz w:val="24"/>
          <w:lang w:val="en-GB"/>
        </w:rPr>
        <w:t>元</w:t>
      </w:r>
      <w:r w:rsidR="00435098" w:rsidRPr="00A577F7">
        <w:rPr>
          <w:rFonts w:ascii="宋体" w:hAnsi="宋体" w:hint="eastAsia"/>
          <w:bCs/>
          <w:color w:val="000000"/>
          <w:sz w:val="24"/>
          <w:lang w:val="en-GB"/>
        </w:rPr>
        <w:t>未变现资产</w:t>
      </w:r>
      <w:r w:rsidR="00435098">
        <w:rPr>
          <w:rFonts w:ascii="宋体" w:hAnsi="宋体" w:hint="eastAsia"/>
          <w:bCs/>
          <w:color w:val="000000"/>
          <w:sz w:val="24"/>
          <w:lang w:val="en-GB"/>
        </w:rPr>
        <w:t>。该未变现资产已于2018年0</w:t>
      </w:r>
      <w:r w:rsidR="000620A9">
        <w:rPr>
          <w:rFonts w:ascii="宋体" w:hAnsi="宋体" w:hint="eastAsia"/>
          <w:bCs/>
          <w:color w:val="000000"/>
          <w:sz w:val="24"/>
          <w:lang w:val="en-GB"/>
        </w:rPr>
        <w:t>6</w:t>
      </w:r>
      <w:r w:rsidR="00435098">
        <w:rPr>
          <w:rFonts w:ascii="宋体" w:hAnsi="宋体" w:hint="eastAsia"/>
          <w:bCs/>
          <w:color w:val="000000"/>
          <w:sz w:val="24"/>
          <w:lang w:val="en-GB"/>
        </w:rPr>
        <w:t>月</w:t>
      </w:r>
      <w:r w:rsidR="000620A9">
        <w:rPr>
          <w:rFonts w:ascii="宋体" w:hAnsi="宋体" w:hint="eastAsia"/>
          <w:bCs/>
          <w:color w:val="000000"/>
          <w:sz w:val="24"/>
          <w:lang w:val="en-GB"/>
        </w:rPr>
        <w:t>2</w:t>
      </w:r>
      <w:r w:rsidR="004223A1">
        <w:rPr>
          <w:rFonts w:ascii="宋体" w:hAnsi="宋体" w:hint="eastAsia"/>
          <w:bCs/>
          <w:color w:val="000000"/>
          <w:sz w:val="24"/>
          <w:lang w:val="en-GB"/>
        </w:rPr>
        <w:t>8</w:t>
      </w:r>
      <w:r w:rsidR="00435098">
        <w:rPr>
          <w:rFonts w:ascii="宋体" w:hAnsi="宋体" w:hint="eastAsia"/>
          <w:bCs/>
          <w:color w:val="000000"/>
          <w:sz w:val="24"/>
          <w:lang w:val="en-GB"/>
        </w:rPr>
        <w:t>日前全部变现完毕。</w:t>
      </w:r>
    </w:p>
    <w:p w:rsidR="00317386" w:rsidRPr="00317386" w:rsidRDefault="00317386">
      <w:pPr>
        <w:spacing w:line="360" w:lineRule="auto"/>
        <w:rPr>
          <w:rFonts w:ascii="宋体" w:hAnsi="宋体"/>
          <w:b/>
          <w:bCs/>
          <w:color w:val="000000"/>
          <w:sz w:val="24"/>
          <w:lang w:val="en-GB"/>
        </w:rPr>
      </w:pPr>
    </w:p>
    <w:p w:rsidR="00317386" w:rsidRPr="00317386" w:rsidRDefault="00317386">
      <w:pPr>
        <w:spacing w:line="360" w:lineRule="auto"/>
        <w:rPr>
          <w:rFonts w:ascii="宋体" w:hAnsi="宋体"/>
          <w:b/>
          <w:bCs/>
          <w:color w:val="000000"/>
          <w:sz w:val="24"/>
          <w:lang w:val="en-GB"/>
        </w:rPr>
      </w:pPr>
      <w:r w:rsidRPr="00317386">
        <w:rPr>
          <w:rFonts w:ascii="宋体" w:hAnsi="宋体" w:hint="eastAsia"/>
          <w:b/>
          <w:bCs/>
          <w:color w:val="000000"/>
          <w:sz w:val="24"/>
        </w:rPr>
        <w:t>5</w:t>
      </w:r>
      <w:r w:rsidRPr="00317386">
        <w:rPr>
          <w:rFonts w:ascii="宋体" w:hAnsi="宋体" w:hint="eastAsia"/>
          <w:b/>
          <w:bCs/>
          <w:color w:val="000000"/>
          <w:sz w:val="24"/>
          <w:lang w:val="en-GB"/>
        </w:rPr>
        <w:t>.3负债清偿情况</w:t>
      </w:r>
    </w:p>
    <w:p w:rsidR="00435098" w:rsidRDefault="00E75B43" w:rsidP="00E75B43">
      <w:pPr>
        <w:spacing w:line="360" w:lineRule="auto"/>
        <w:ind w:firstLineChars="200" w:firstLine="480"/>
        <w:rPr>
          <w:rFonts w:ascii="宋体" w:hAnsi="宋体"/>
          <w:bCs/>
          <w:color w:val="000000"/>
          <w:sz w:val="24"/>
          <w:lang w:val="en-GB"/>
        </w:rPr>
      </w:pPr>
      <w:r>
        <w:rPr>
          <w:rFonts w:ascii="宋体" w:hAnsi="宋体" w:hint="eastAsia"/>
          <w:bCs/>
          <w:color w:val="000000"/>
          <w:sz w:val="24"/>
          <w:lang w:val="en-GB"/>
        </w:rPr>
        <w:t>（</w:t>
      </w:r>
      <w:r w:rsidR="00435098">
        <w:rPr>
          <w:rFonts w:ascii="宋体" w:hAnsi="宋体" w:hint="eastAsia"/>
          <w:bCs/>
          <w:color w:val="000000"/>
          <w:sz w:val="24"/>
          <w:lang w:val="en-GB"/>
        </w:rPr>
        <w:t>1</w:t>
      </w:r>
      <w:r>
        <w:rPr>
          <w:rFonts w:ascii="宋体" w:hAnsi="宋体" w:hint="eastAsia"/>
          <w:bCs/>
          <w:color w:val="000000"/>
          <w:sz w:val="24"/>
          <w:lang w:val="en-GB"/>
        </w:rPr>
        <w:t>）</w:t>
      </w:r>
      <w:r w:rsidR="00435098" w:rsidRPr="0082350A">
        <w:rPr>
          <w:rFonts w:ascii="宋体" w:hAnsi="宋体" w:hint="eastAsia"/>
          <w:bCs/>
          <w:color w:val="000000"/>
          <w:sz w:val="24"/>
          <w:lang w:val="en-GB"/>
        </w:rPr>
        <w:t>本基金</w:t>
      </w:r>
      <w:r w:rsidR="00435098">
        <w:rPr>
          <w:rFonts w:ascii="宋体" w:hAnsi="宋体" w:hint="eastAsia"/>
          <w:bCs/>
          <w:color w:val="000000"/>
          <w:sz w:val="24"/>
          <w:lang w:val="en-GB"/>
        </w:rPr>
        <w:t>最后运作日应付管理人报酬人民币</w:t>
      </w:r>
      <w:r w:rsidR="00A54F87" w:rsidRPr="00A54F87">
        <w:rPr>
          <w:rFonts w:ascii="宋体" w:hAnsi="宋体"/>
          <w:bCs/>
          <w:color w:val="000000"/>
          <w:sz w:val="24"/>
          <w:lang w:val="en-GB"/>
        </w:rPr>
        <w:t>4,520.05</w:t>
      </w:r>
      <w:r w:rsidR="00435098">
        <w:rPr>
          <w:rFonts w:ascii="宋体" w:hAnsi="宋体" w:hint="eastAsia"/>
          <w:bCs/>
          <w:color w:val="000000"/>
          <w:sz w:val="24"/>
          <w:lang w:val="en-GB"/>
        </w:rPr>
        <w:t>元，</w:t>
      </w:r>
      <w:r w:rsidR="00435098" w:rsidRPr="00CA00A8">
        <w:rPr>
          <w:rFonts w:ascii="宋体" w:hAnsi="宋体" w:hint="eastAsia"/>
          <w:bCs/>
          <w:color w:val="000000"/>
          <w:sz w:val="24"/>
          <w:lang w:val="en-GB"/>
        </w:rPr>
        <w:t>该款项</w:t>
      </w:r>
      <w:r w:rsidR="00435098">
        <w:rPr>
          <w:rFonts w:ascii="宋体" w:hAnsi="宋体" w:hint="eastAsia"/>
          <w:bCs/>
          <w:color w:val="000000"/>
          <w:sz w:val="24"/>
          <w:lang w:val="en-GB"/>
        </w:rPr>
        <w:t>将于</w:t>
      </w:r>
      <w:r w:rsidR="00435098" w:rsidRPr="00CA00A8">
        <w:rPr>
          <w:rFonts w:ascii="宋体" w:hAnsi="宋体" w:hint="eastAsia"/>
          <w:bCs/>
          <w:color w:val="000000"/>
          <w:sz w:val="24"/>
          <w:lang w:val="en-GB"/>
        </w:rPr>
        <w:t>201</w:t>
      </w:r>
      <w:r w:rsidR="00435098">
        <w:rPr>
          <w:rFonts w:ascii="宋体" w:hAnsi="宋体" w:hint="eastAsia"/>
          <w:bCs/>
          <w:color w:val="000000"/>
          <w:sz w:val="24"/>
          <w:lang w:val="en-GB"/>
        </w:rPr>
        <w:t>8</w:t>
      </w:r>
      <w:r w:rsidR="00435098" w:rsidRPr="00CA00A8">
        <w:rPr>
          <w:rFonts w:ascii="宋体" w:hAnsi="宋体" w:hint="eastAsia"/>
          <w:bCs/>
          <w:color w:val="000000"/>
          <w:sz w:val="24"/>
          <w:lang w:val="en-GB"/>
        </w:rPr>
        <w:t>年</w:t>
      </w:r>
      <w:r w:rsidR="00435098">
        <w:rPr>
          <w:rFonts w:ascii="宋体" w:hAnsi="宋体" w:hint="eastAsia"/>
          <w:bCs/>
          <w:color w:val="000000"/>
          <w:sz w:val="24"/>
          <w:lang w:val="en-GB"/>
        </w:rPr>
        <w:t>0</w:t>
      </w:r>
      <w:r w:rsidR="00A54F87">
        <w:rPr>
          <w:rFonts w:ascii="宋体" w:hAnsi="宋体" w:hint="eastAsia"/>
          <w:bCs/>
          <w:color w:val="000000"/>
          <w:sz w:val="24"/>
          <w:lang w:val="en-GB"/>
        </w:rPr>
        <w:t>7</w:t>
      </w:r>
      <w:r w:rsidR="00435098" w:rsidRPr="00CA00A8">
        <w:rPr>
          <w:rFonts w:ascii="宋体" w:hAnsi="宋体" w:hint="eastAsia"/>
          <w:bCs/>
          <w:color w:val="000000"/>
          <w:sz w:val="24"/>
          <w:lang w:val="en-GB"/>
        </w:rPr>
        <w:t>月</w:t>
      </w:r>
      <w:r w:rsidR="00A54F87">
        <w:rPr>
          <w:rFonts w:ascii="宋体" w:hAnsi="宋体" w:hint="eastAsia"/>
          <w:bCs/>
          <w:color w:val="000000"/>
          <w:sz w:val="24"/>
          <w:lang w:val="en-GB"/>
        </w:rPr>
        <w:t>0</w:t>
      </w:r>
      <w:r w:rsidR="0078177C">
        <w:rPr>
          <w:rFonts w:ascii="宋体" w:hAnsi="宋体" w:hint="eastAsia"/>
          <w:bCs/>
          <w:color w:val="000000"/>
          <w:sz w:val="24"/>
          <w:lang w:val="en-GB"/>
        </w:rPr>
        <w:t>5</w:t>
      </w:r>
      <w:r w:rsidR="00435098" w:rsidRPr="00CA00A8">
        <w:rPr>
          <w:rFonts w:ascii="宋体" w:hAnsi="宋体" w:hint="eastAsia"/>
          <w:bCs/>
          <w:color w:val="000000"/>
          <w:sz w:val="24"/>
          <w:lang w:val="en-GB"/>
        </w:rPr>
        <w:t>日</w:t>
      </w:r>
      <w:r w:rsidR="00435098">
        <w:rPr>
          <w:rFonts w:ascii="宋体" w:hAnsi="宋体" w:hint="eastAsia"/>
          <w:bCs/>
          <w:color w:val="000000"/>
          <w:sz w:val="24"/>
          <w:lang w:val="en-GB"/>
        </w:rPr>
        <w:t>后</w:t>
      </w:r>
      <w:r w:rsidR="00435098" w:rsidRPr="00CA00A8">
        <w:rPr>
          <w:rFonts w:ascii="宋体" w:hAnsi="宋体" w:hint="eastAsia"/>
          <w:bCs/>
          <w:color w:val="000000"/>
          <w:sz w:val="24"/>
          <w:lang w:val="en-GB"/>
        </w:rPr>
        <w:t>支付。</w:t>
      </w:r>
    </w:p>
    <w:p w:rsidR="00435098" w:rsidRDefault="00E75B43" w:rsidP="00E75B43">
      <w:pPr>
        <w:spacing w:line="360" w:lineRule="auto"/>
        <w:ind w:firstLineChars="200" w:firstLine="480"/>
        <w:rPr>
          <w:rFonts w:ascii="宋体" w:hAnsi="宋体"/>
          <w:bCs/>
          <w:color w:val="000000"/>
          <w:sz w:val="24"/>
          <w:lang w:val="en-GB"/>
        </w:rPr>
      </w:pPr>
      <w:r>
        <w:rPr>
          <w:rFonts w:ascii="宋体" w:hAnsi="宋体" w:hint="eastAsia"/>
          <w:bCs/>
          <w:color w:val="000000"/>
          <w:sz w:val="24"/>
          <w:lang w:val="en-GB"/>
        </w:rPr>
        <w:t>（</w:t>
      </w:r>
      <w:r w:rsidR="00435098">
        <w:rPr>
          <w:rFonts w:ascii="宋体" w:hAnsi="宋体" w:hint="eastAsia"/>
          <w:bCs/>
          <w:color w:val="000000"/>
          <w:sz w:val="24"/>
          <w:lang w:val="en-GB"/>
        </w:rPr>
        <w:t>2</w:t>
      </w:r>
      <w:r>
        <w:rPr>
          <w:rFonts w:ascii="宋体" w:hAnsi="宋体" w:hint="eastAsia"/>
          <w:bCs/>
          <w:color w:val="000000"/>
          <w:sz w:val="24"/>
          <w:lang w:val="en-GB"/>
        </w:rPr>
        <w:t>）</w:t>
      </w:r>
      <w:r w:rsidR="00435098" w:rsidRPr="0082350A">
        <w:rPr>
          <w:rFonts w:ascii="宋体" w:hAnsi="宋体" w:hint="eastAsia"/>
          <w:bCs/>
          <w:color w:val="000000"/>
          <w:sz w:val="24"/>
          <w:lang w:val="en-GB"/>
        </w:rPr>
        <w:t>本基金</w:t>
      </w:r>
      <w:r w:rsidR="00435098">
        <w:rPr>
          <w:rFonts w:ascii="宋体" w:hAnsi="宋体" w:hint="eastAsia"/>
          <w:bCs/>
          <w:color w:val="000000"/>
          <w:sz w:val="24"/>
          <w:lang w:val="en-GB"/>
        </w:rPr>
        <w:t>最后运作日应付托管费人民币</w:t>
      </w:r>
      <w:r w:rsidR="00A54F87" w:rsidRPr="00A54F87">
        <w:rPr>
          <w:rFonts w:ascii="宋体" w:hAnsi="宋体"/>
          <w:bCs/>
          <w:color w:val="000000"/>
          <w:sz w:val="24"/>
          <w:lang w:val="en-GB"/>
        </w:rPr>
        <w:t>753.34</w:t>
      </w:r>
      <w:r w:rsidR="00435098">
        <w:rPr>
          <w:rFonts w:ascii="宋体" w:hAnsi="宋体" w:hint="eastAsia"/>
          <w:bCs/>
          <w:color w:val="000000"/>
          <w:sz w:val="24"/>
          <w:lang w:val="en-GB"/>
        </w:rPr>
        <w:t>元，</w:t>
      </w:r>
      <w:r w:rsidR="00435098" w:rsidRPr="00CA00A8">
        <w:rPr>
          <w:rFonts w:ascii="宋体" w:hAnsi="宋体" w:hint="eastAsia"/>
          <w:bCs/>
          <w:color w:val="000000"/>
          <w:sz w:val="24"/>
          <w:lang w:val="en-GB"/>
        </w:rPr>
        <w:t>该款项</w:t>
      </w:r>
      <w:r w:rsidR="00435098">
        <w:rPr>
          <w:rFonts w:ascii="宋体" w:hAnsi="宋体" w:hint="eastAsia"/>
          <w:bCs/>
          <w:color w:val="000000"/>
          <w:sz w:val="24"/>
          <w:lang w:val="en-GB"/>
        </w:rPr>
        <w:t>将于</w:t>
      </w:r>
      <w:r w:rsidR="00435098" w:rsidRPr="00CA00A8">
        <w:rPr>
          <w:rFonts w:ascii="宋体" w:hAnsi="宋体" w:hint="eastAsia"/>
          <w:bCs/>
          <w:color w:val="000000"/>
          <w:sz w:val="24"/>
          <w:lang w:val="en-GB"/>
        </w:rPr>
        <w:t>201</w:t>
      </w:r>
      <w:r w:rsidR="00435098">
        <w:rPr>
          <w:rFonts w:ascii="宋体" w:hAnsi="宋体" w:hint="eastAsia"/>
          <w:bCs/>
          <w:color w:val="000000"/>
          <w:sz w:val="24"/>
          <w:lang w:val="en-GB"/>
        </w:rPr>
        <w:t>8</w:t>
      </w:r>
      <w:r w:rsidR="00435098" w:rsidRPr="00CA00A8">
        <w:rPr>
          <w:rFonts w:ascii="宋体" w:hAnsi="宋体" w:hint="eastAsia"/>
          <w:bCs/>
          <w:color w:val="000000"/>
          <w:sz w:val="24"/>
          <w:lang w:val="en-GB"/>
        </w:rPr>
        <w:t>年</w:t>
      </w:r>
      <w:r w:rsidR="00435098">
        <w:rPr>
          <w:rFonts w:ascii="宋体" w:hAnsi="宋体" w:hint="eastAsia"/>
          <w:bCs/>
          <w:color w:val="000000"/>
          <w:sz w:val="24"/>
          <w:lang w:val="en-GB"/>
        </w:rPr>
        <w:t>0</w:t>
      </w:r>
      <w:r w:rsidR="00A54F87">
        <w:rPr>
          <w:rFonts w:ascii="宋体" w:hAnsi="宋体" w:hint="eastAsia"/>
          <w:bCs/>
          <w:color w:val="000000"/>
          <w:sz w:val="24"/>
          <w:lang w:val="en-GB"/>
        </w:rPr>
        <w:t>7</w:t>
      </w:r>
      <w:r w:rsidR="00435098" w:rsidRPr="00CA00A8">
        <w:rPr>
          <w:rFonts w:ascii="宋体" w:hAnsi="宋体" w:hint="eastAsia"/>
          <w:bCs/>
          <w:color w:val="000000"/>
          <w:sz w:val="24"/>
          <w:lang w:val="en-GB"/>
        </w:rPr>
        <w:t>月</w:t>
      </w:r>
      <w:r w:rsidR="00A54F87">
        <w:rPr>
          <w:rFonts w:ascii="宋体" w:hAnsi="宋体" w:hint="eastAsia"/>
          <w:bCs/>
          <w:color w:val="000000"/>
          <w:sz w:val="24"/>
          <w:lang w:val="en-GB"/>
        </w:rPr>
        <w:t>0</w:t>
      </w:r>
      <w:r w:rsidR="0078177C">
        <w:rPr>
          <w:rFonts w:ascii="宋体" w:hAnsi="宋体" w:hint="eastAsia"/>
          <w:bCs/>
          <w:color w:val="000000"/>
          <w:sz w:val="24"/>
          <w:lang w:val="en-GB"/>
        </w:rPr>
        <w:t>5</w:t>
      </w:r>
      <w:r w:rsidR="00435098" w:rsidRPr="00CA00A8">
        <w:rPr>
          <w:rFonts w:ascii="宋体" w:hAnsi="宋体" w:hint="eastAsia"/>
          <w:bCs/>
          <w:color w:val="000000"/>
          <w:sz w:val="24"/>
          <w:lang w:val="en-GB"/>
        </w:rPr>
        <w:t>日</w:t>
      </w:r>
      <w:r w:rsidR="00435098">
        <w:rPr>
          <w:rFonts w:ascii="宋体" w:hAnsi="宋体" w:hint="eastAsia"/>
          <w:bCs/>
          <w:color w:val="000000"/>
          <w:sz w:val="24"/>
          <w:lang w:val="en-GB"/>
        </w:rPr>
        <w:t>后</w:t>
      </w:r>
      <w:r w:rsidR="00435098" w:rsidRPr="00CA00A8">
        <w:rPr>
          <w:rFonts w:ascii="宋体" w:hAnsi="宋体" w:hint="eastAsia"/>
          <w:bCs/>
          <w:color w:val="000000"/>
          <w:sz w:val="24"/>
          <w:lang w:val="en-GB"/>
        </w:rPr>
        <w:t>支付。</w:t>
      </w:r>
    </w:p>
    <w:p w:rsidR="00435098" w:rsidRDefault="00E75B43" w:rsidP="00E75B43">
      <w:pPr>
        <w:spacing w:line="360" w:lineRule="auto"/>
        <w:ind w:firstLineChars="200" w:firstLine="480"/>
        <w:rPr>
          <w:rFonts w:ascii="宋体" w:hAnsi="宋体"/>
          <w:bCs/>
          <w:sz w:val="24"/>
          <w:lang w:val="en-GB"/>
        </w:rPr>
      </w:pPr>
      <w:r>
        <w:rPr>
          <w:rFonts w:ascii="宋体" w:hAnsi="宋体" w:hint="eastAsia"/>
          <w:bCs/>
          <w:color w:val="000000"/>
          <w:sz w:val="24"/>
          <w:lang w:val="en-GB"/>
        </w:rPr>
        <w:t>（</w:t>
      </w:r>
      <w:r w:rsidR="00435098">
        <w:rPr>
          <w:rFonts w:ascii="宋体" w:hAnsi="宋体" w:hint="eastAsia"/>
          <w:bCs/>
          <w:color w:val="000000"/>
          <w:sz w:val="24"/>
          <w:lang w:val="en-GB"/>
        </w:rPr>
        <w:t>3</w:t>
      </w:r>
      <w:r>
        <w:rPr>
          <w:rFonts w:ascii="宋体" w:hAnsi="宋体" w:hint="eastAsia"/>
          <w:bCs/>
          <w:color w:val="000000"/>
          <w:sz w:val="24"/>
          <w:lang w:val="en-GB"/>
        </w:rPr>
        <w:t>）</w:t>
      </w:r>
      <w:r w:rsidR="00435098" w:rsidRPr="002A0262">
        <w:rPr>
          <w:rFonts w:ascii="宋体" w:hAnsi="宋体" w:hint="eastAsia"/>
          <w:bCs/>
          <w:color w:val="000000"/>
          <w:sz w:val="24"/>
          <w:lang w:val="en-GB"/>
        </w:rPr>
        <w:t>本基金最后运作日</w:t>
      </w:r>
      <w:r w:rsidR="00435098" w:rsidRPr="002A0262">
        <w:rPr>
          <w:rFonts w:ascii="宋体" w:hAnsi="宋体" w:hint="eastAsia"/>
          <w:bCs/>
          <w:sz w:val="24"/>
          <w:lang w:val="en-GB"/>
        </w:rPr>
        <w:t>应付</w:t>
      </w:r>
      <w:r w:rsidR="00A54F87">
        <w:rPr>
          <w:rFonts w:ascii="宋体" w:hAnsi="宋体" w:hint="eastAsia"/>
          <w:bCs/>
          <w:sz w:val="24"/>
          <w:lang w:val="en-GB"/>
        </w:rPr>
        <w:t>销售服务费</w:t>
      </w:r>
      <w:r w:rsidR="00435098" w:rsidRPr="002A0262">
        <w:rPr>
          <w:rFonts w:ascii="宋体" w:hAnsi="宋体" w:hint="eastAsia"/>
          <w:bCs/>
          <w:sz w:val="24"/>
          <w:lang w:val="en-GB"/>
        </w:rPr>
        <w:t>人民币</w:t>
      </w:r>
      <w:r w:rsidR="00A54F87" w:rsidRPr="00A54F87">
        <w:rPr>
          <w:rFonts w:ascii="宋体" w:hAnsi="宋体"/>
          <w:bCs/>
          <w:sz w:val="24"/>
          <w:lang w:val="en-GB"/>
        </w:rPr>
        <w:t>5.69</w:t>
      </w:r>
      <w:r w:rsidR="00435098" w:rsidRPr="002A0262">
        <w:rPr>
          <w:rFonts w:ascii="宋体" w:hAnsi="宋体" w:hint="eastAsia"/>
          <w:bCs/>
          <w:sz w:val="24"/>
          <w:lang w:val="en-GB"/>
        </w:rPr>
        <w:t>元</w:t>
      </w:r>
      <w:r w:rsidR="00435098" w:rsidRPr="002A0262">
        <w:rPr>
          <w:rFonts w:ascii="宋体" w:hAnsi="宋体" w:hint="eastAsia"/>
          <w:bCs/>
          <w:color w:val="000000"/>
          <w:sz w:val="24"/>
          <w:lang w:val="en-GB"/>
        </w:rPr>
        <w:t>，</w:t>
      </w:r>
      <w:r w:rsidR="00435098" w:rsidRPr="002A0262">
        <w:rPr>
          <w:rFonts w:ascii="宋体" w:hAnsi="宋体" w:hint="eastAsia"/>
          <w:bCs/>
          <w:sz w:val="24"/>
          <w:lang w:val="en-GB"/>
        </w:rPr>
        <w:t>该款项</w:t>
      </w:r>
      <w:r w:rsidR="00A54F87">
        <w:rPr>
          <w:rFonts w:ascii="宋体" w:hAnsi="宋体" w:hint="eastAsia"/>
          <w:bCs/>
          <w:color w:val="000000"/>
          <w:sz w:val="24"/>
          <w:lang w:val="en-GB"/>
        </w:rPr>
        <w:t>将于</w:t>
      </w:r>
      <w:r w:rsidR="00A54F87" w:rsidRPr="00CA00A8">
        <w:rPr>
          <w:rFonts w:ascii="宋体" w:hAnsi="宋体" w:hint="eastAsia"/>
          <w:bCs/>
          <w:color w:val="000000"/>
          <w:sz w:val="24"/>
          <w:lang w:val="en-GB"/>
        </w:rPr>
        <w:t>201</w:t>
      </w:r>
      <w:r w:rsidR="00A54F87">
        <w:rPr>
          <w:rFonts w:ascii="宋体" w:hAnsi="宋体" w:hint="eastAsia"/>
          <w:bCs/>
          <w:color w:val="000000"/>
          <w:sz w:val="24"/>
          <w:lang w:val="en-GB"/>
        </w:rPr>
        <w:t>8</w:t>
      </w:r>
      <w:r w:rsidR="00A54F87" w:rsidRPr="00CA00A8">
        <w:rPr>
          <w:rFonts w:ascii="宋体" w:hAnsi="宋体" w:hint="eastAsia"/>
          <w:bCs/>
          <w:color w:val="000000"/>
          <w:sz w:val="24"/>
          <w:lang w:val="en-GB"/>
        </w:rPr>
        <w:t>年</w:t>
      </w:r>
      <w:r w:rsidR="00A54F87">
        <w:rPr>
          <w:rFonts w:ascii="宋体" w:hAnsi="宋体" w:hint="eastAsia"/>
          <w:bCs/>
          <w:color w:val="000000"/>
          <w:sz w:val="24"/>
          <w:lang w:val="en-GB"/>
        </w:rPr>
        <w:t>07</w:t>
      </w:r>
      <w:r w:rsidR="00A54F87" w:rsidRPr="00CA00A8">
        <w:rPr>
          <w:rFonts w:ascii="宋体" w:hAnsi="宋体" w:hint="eastAsia"/>
          <w:bCs/>
          <w:color w:val="000000"/>
          <w:sz w:val="24"/>
          <w:lang w:val="en-GB"/>
        </w:rPr>
        <w:t>月</w:t>
      </w:r>
      <w:r w:rsidR="00A54F87">
        <w:rPr>
          <w:rFonts w:ascii="宋体" w:hAnsi="宋体" w:hint="eastAsia"/>
          <w:bCs/>
          <w:color w:val="000000"/>
          <w:sz w:val="24"/>
          <w:lang w:val="en-GB"/>
        </w:rPr>
        <w:t>0</w:t>
      </w:r>
      <w:r w:rsidR="0078177C">
        <w:rPr>
          <w:rFonts w:ascii="宋体" w:hAnsi="宋体" w:hint="eastAsia"/>
          <w:bCs/>
          <w:color w:val="000000"/>
          <w:sz w:val="24"/>
          <w:lang w:val="en-GB"/>
        </w:rPr>
        <w:t>5</w:t>
      </w:r>
      <w:r w:rsidR="00A54F87" w:rsidRPr="00CA00A8">
        <w:rPr>
          <w:rFonts w:ascii="宋体" w:hAnsi="宋体" w:hint="eastAsia"/>
          <w:bCs/>
          <w:color w:val="000000"/>
          <w:sz w:val="24"/>
          <w:lang w:val="en-GB"/>
        </w:rPr>
        <w:t>日</w:t>
      </w:r>
      <w:r w:rsidR="00A54F87">
        <w:rPr>
          <w:rFonts w:ascii="宋体" w:hAnsi="宋体" w:hint="eastAsia"/>
          <w:bCs/>
          <w:color w:val="000000"/>
          <w:sz w:val="24"/>
          <w:lang w:val="en-GB"/>
        </w:rPr>
        <w:t>后</w:t>
      </w:r>
      <w:r w:rsidR="00A54F87" w:rsidRPr="00CA00A8">
        <w:rPr>
          <w:rFonts w:ascii="宋体" w:hAnsi="宋体" w:hint="eastAsia"/>
          <w:bCs/>
          <w:color w:val="000000"/>
          <w:sz w:val="24"/>
          <w:lang w:val="en-GB"/>
        </w:rPr>
        <w:t>支付</w:t>
      </w:r>
      <w:r w:rsidR="00435098" w:rsidRPr="00E26C6A">
        <w:rPr>
          <w:rFonts w:ascii="宋体" w:hAnsi="宋体" w:hint="eastAsia"/>
          <w:bCs/>
          <w:color w:val="000000"/>
          <w:sz w:val="24"/>
          <w:lang w:val="en-GB"/>
        </w:rPr>
        <w:t>。</w:t>
      </w:r>
    </w:p>
    <w:p w:rsidR="00A54F87" w:rsidRPr="002A0262" w:rsidRDefault="00E75B43" w:rsidP="00E75B43">
      <w:pPr>
        <w:spacing w:line="360" w:lineRule="auto"/>
        <w:ind w:firstLineChars="200" w:firstLine="480"/>
        <w:rPr>
          <w:rFonts w:ascii="宋体" w:hAnsi="宋体"/>
          <w:bCs/>
          <w:color w:val="000000"/>
          <w:sz w:val="24"/>
          <w:lang w:val="en-GB"/>
        </w:rPr>
      </w:pPr>
      <w:r>
        <w:rPr>
          <w:rFonts w:ascii="宋体" w:hAnsi="宋体" w:hint="eastAsia"/>
          <w:bCs/>
          <w:color w:val="000000"/>
          <w:sz w:val="24"/>
          <w:lang w:val="en-GB"/>
        </w:rPr>
        <w:t>（</w:t>
      </w:r>
      <w:r w:rsidR="00A54F87">
        <w:rPr>
          <w:rFonts w:ascii="宋体" w:hAnsi="宋体" w:hint="eastAsia"/>
          <w:bCs/>
          <w:color w:val="000000"/>
          <w:sz w:val="24"/>
          <w:lang w:val="en-GB"/>
        </w:rPr>
        <w:t>4</w:t>
      </w:r>
      <w:r>
        <w:rPr>
          <w:rFonts w:ascii="宋体" w:hAnsi="宋体" w:hint="eastAsia"/>
          <w:bCs/>
          <w:color w:val="000000"/>
          <w:sz w:val="24"/>
          <w:lang w:val="en-GB"/>
        </w:rPr>
        <w:t>）</w:t>
      </w:r>
      <w:r w:rsidR="00A54F87" w:rsidRPr="002A0262">
        <w:rPr>
          <w:rFonts w:ascii="宋体" w:hAnsi="宋体" w:hint="eastAsia"/>
          <w:bCs/>
          <w:color w:val="000000"/>
          <w:sz w:val="24"/>
          <w:lang w:val="en-GB"/>
        </w:rPr>
        <w:t>本基金最后运作日</w:t>
      </w:r>
      <w:r w:rsidR="00A54F87" w:rsidRPr="00A54F87">
        <w:rPr>
          <w:rFonts w:ascii="宋体" w:hAnsi="宋体" w:hint="eastAsia"/>
          <w:bCs/>
          <w:sz w:val="24"/>
          <w:lang w:val="en-GB"/>
        </w:rPr>
        <w:t>应付交易费用</w:t>
      </w:r>
      <w:r w:rsidR="00A54F87" w:rsidRPr="002A0262">
        <w:rPr>
          <w:rFonts w:ascii="宋体" w:hAnsi="宋体" w:hint="eastAsia"/>
          <w:bCs/>
          <w:sz w:val="24"/>
          <w:lang w:val="en-GB"/>
        </w:rPr>
        <w:t>人民币</w:t>
      </w:r>
      <w:r w:rsidR="00A54F87" w:rsidRPr="00A54F87">
        <w:rPr>
          <w:rFonts w:ascii="宋体" w:hAnsi="宋体"/>
          <w:bCs/>
          <w:sz w:val="24"/>
          <w:lang w:val="en-GB"/>
        </w:rPr>
        <w:t>663.54</w:t>
      </w:r>
      <w:r w:rsidR="00A54F87" w:rsidRPr="002A0262">
        <w:rPr>
          <w:rFonts w:ascii="宋体" w:hAnsi="宋体" w:hint="eastAsia"/>
          <w:bCs/>
          <w:sz w:val="24"/>
          <w:lang w:val="en-GB"/>
        </w:rPr>
        <w:t>元</w:t>
      </w:r>
      <w:r w:rsidR="00A54F87" w:rsidRPr="002A0262">
        <w:rPr>
          <w:rFonts w:ascii="宋体" w:hAnsi="宋体" w:hint="eastAsia"/>
          <w:bCs/>
          <w:color w:val="000000"/>
          <w:sz w:val="24"/>
          <w:lang w:val="en-GB"/>
        </w:rPr>
        <w:t>，</w:t>
      </w:r>
      <w:r w:rsidR="00A54F87" w:rsidRPr="002A0262">
        <w:rPr>
          <w:rFonts w:ascii="宋体" w:hAnsi="宋体" w:hint="eastAsia"/>
          <w:bCs/>
          <w:sz w:val="24"/>
          <w:lang w:val="en-GB"/>
        </w:rPr>
        <w:t>该款项</w:t>
      </w:r>
      <w:r w:rsidR="00A54F87">
        <w:rPr>
          <w:rFonts w:ascii="宋体" w:hAnsi="宋体" w:hint="eastAsia"/>
          <w:bCs/>
          <w:color w:val="000000"/>
          <w:sz w:val="24"/>
          <w:lang w:val="en-GB"/>
        </w:rPr>
        <w:t>将于</w:t>
      </w:r>
      <w:r w:rsidR="00A54F87" w:rsidRPr="00CA00A8">
        <w:rPr>
          <w:rFonts w:ascii="宋体" w:hAnsi="宋体" w:hint="eastAsia"/>
          <w:bCs/>
          <w:color w:val="000000"/>
          <w:sz w:val="24"/>
          <w:lang w:val="en-GB"/>
        </w:rPr>
        <w:t>201</w:t>
      </w:r>
      <w:r w:rsidR="00A54F87">
        <w:rPr>
          <w:rFonts w:ascii="宋体" w:hAnsi="宋体" w:hint="eastAsia"/>
          <w:bCs/>
          <w:color w:val="000000"/>
          <w:sz w:val="24"/>
          <w:lang w:val="en-GB"/>
        </w:rPr>
        <w:t>8</w:t>
      </w:r>
      <w:r w:rsidR="00A54F87" w:rsidRPr="00CA00A8">
        <w:rPr>
          <w:rFonts w:ascii="宋体" w:hAnsi="宋体" w:hint="eastAsia"/>
          <w:bCs/>
          <w:color w:val="000000"/>
          <w:sz w:val="24"/>
          <w:lang w:val="en-GB"/>
        </w:rPr>
        <w:t>年</w:t>
      </w:r>
      <w:r w:rsidR="00A54F87">
        <w:rPr>
          <w:rFonts w:ascii="宋体" w:hAnsi="宋体" w:hint="eastAsia"/>
          <w:bCs/>
          <w:color w:val="000000"/>
          <w:sz w:val="24"/>
          <w:lang w:val="en-GB"/>
        </w:rPr>
        <w:t>07</w:t>
      </w:r>
      <w:r w:rsidR="00A54F87" w:rsidRPr="00CA00A8">
        <w:rPr>
          <w:rFonts w:ascii="宋体" w:hAnsi="宋体" w:hint="eastAsia"/>
          <w:bCs/>
          <w:color w:val="000000"/>
          <w:sz w:val="24"/>
          <w:lang w:val="en-GB"/>
        </w:rPr>
        <w:t>月</w:t>
      </w:r>
      <w:r w:rsidR="00A54F87">
        <w:rPr>
          <w:rFonts w:ascii="宋体" w:hAnsi="宋体" w:hint="eastAsia"/>
          <w:bCs/>
          <w:color w:val="000000"/>
          <w:sz w:val="24"/>
          <w:lang w:val="en-GB"/>
        </w:rPr>
        <w:t>0</w:t>
      </w:r>
      <w:r w:rsidR="0078177C">
        <w:rPr>
          <w:rFonts w:ascii="宋体" w:hAnsi="宋体" w:hint="eastAsia"/>
          <w:bCs/>
          <w:color w:val="000000"/>
          <w:sz w:val="24"/>
          <w:lang w:val="en-GB"/>
        </w:rPr>
        <w:t>5</w:t>
      </w:r>
      <w:r w:rsidR="00A54F87" w:rsidRPr="00CA00A8">
        <w:rPr>
          <w:rFonts w:ascii="宋体" w:hAnsi="宋体" w:hint="eastAsia"/>
          <w:bCs/>
          <w:color w:val="000000"/>
          <w:sz w:val="24"/>
          <w:lang w:val="en-GB"/>
        </w:rPr>
        <w:t>日</w:t>
      </w:r>
      <w:r w:rsidR="00A54F87">
        <w:rPr>
          <w:rFonts w:ascii="宋体" w:hAnsi="宋体" w:hint="eastAsia"/>
          <w:bCs/>
          <w:color w:val="000000"/>
          <w:sz w:val="24"/>
          <w:lang w:val="en-GB"/>
        </w:rPr>
        <w:t>后</w:t>
      </w:r>
      <w:r w:rsidR="00A54F87" w:rsidRPr="00CA00A8">
        <w:rPr>
          <w:rFonts w:ascii="宋体" w:hAnsi="宋体" w:hint="eastAsia"/>
          <w:bCs/>
          <w:color w:val="000000"/>
          <w:sz w:val="24"/>
          <w:lang w:val="en-GB"/>
        </w:rPr>
        <w:t>支付</w:t>
      </w:r>
      <w:r w:rsidR="00A54F87" w:rsidRPr="00E26C6A">
        <w:rPr>
          <w:rFonts w:ascii="宋体" w:hAnsi="宋体" w:hint="eastAsia"/>
          <w:bCs/>
          <w:color w:val="000000"/>
          <w:sz w:val="24"/>
          <w:lang w:val="en-GB"/>
        </w:rPr>
        <w:t>。</w:t>
      </w:r>
    </w:p>
    <w:p w:rsidR="0097694F" w:rsidRDefault="00E75B43" w:rsidP="00E75B43">
      <w:pPr>
        <w:spacing w:line="360" w:lineRule="auto"/>
        <w:ind w:firstLineChars="200" w:firstLine="480"/>
        <w:rPr>
          <w:rFonts w:ascii="宋体" w:hAnsi="宋体"/>
          <w:bCs/>
          <w:color w:val="000000"/>
          <w:sz w:val="24"/>
          <w:lang w:val="en-GB"/>
        </w:rPr>
      </w:pPr>
      <w:r>
        <w:rPr>
          <w:rFonts w:ascii="宋体" w:hAnsi="宋体" w:hint="eastAsia"/>
          <w:bCs/>
          <w:sz w:val="24"/>
          <w:lang w:val="en-GB"/>
        </w:rPr>
        <w:t>（</w:t>
      </w:r>
      <w:r w:rsidR="00067CE2">
        <w:rPr>
          <w:rFonts w:ascii="宋体" w:hAnsi="宋体" w:hint="eastAsia"/>
          <w:bCs/>
          <w:sz w:val="24"/>
          <w:lang w:val="en-GB"/>
        </w:rPr>
        <w:t>5</w:t>
      </w:r>
      <w:r>
        <w:rPr>
          <w:rFonts w:ascii="宋体" w:hAnsi="宋体" w:hint="eastAsia"/>
          <w:bCs/>
          <w:sz w:val="24"/>
          <w:lang w:val="en-GB"/>
        </w:rPr>
        <w:t>）</w:t>
      </w:r>
      <w:r w:rsidR="00435098" w:rsidRPr="002A0262">
        <w:rPr>
          <w:rFonts w:ascii="宋体" w:hAnsi="宋体" w:hint="eastAsia"/>
          <w:bCs/>
          <w:sz w:val="24"/>
          <w:lang w:val="en-GB"/>
        </w:rPr>
        <w:t>本基金最后运作日其他负债人民币</w:t>
      </w:r>
      <w:r w:rsidR="008F16F3" w:rsidRPr="008F16F3">
        <w:rPr>
          <w:rFonts w:ascii="宋体" w:hAnsi="宋体"/>
          <w:bCs/>
          <w:sz w:val="24"/>
          <w:lang w:val="en-GB"/>
        </w:rPr>
        <w:t>354,725.76</w:t>
      </w:r>
      <w:r w:rsidR="00435098" w:rsidRPr="002A0262">
        <w:rPr>
          <w:rFonts w:ascii="宋体" w:hAnsi="宋体" w:hint="eastAsia"/>
          <w:bCs/>
          <w:sz w:val="24"/>
          <w:lang w:val="en-GB"/>
        </w:rPr>
        <w:t>元。其中，其他应付款</w:t>
      </w:r>
      <w:r w:rsidR="00435098">
        <w:rPr>
          <w:rFonts w:ascii="宋体" w:hAnsi="宋体" w:hint="eastAsia"/>
          <w:bCs/>
          <w:sz w:val="24"/>
          <w:lang w:val="en-GB"/>
        </w:rPr>
        <w:t>为</w:t>
      </w:r>
      <w:r w:rsidR="00435098" w:rsidRPr="002A0262">
        <w:rPr>
          <w:rFonts w:ascii="宋体" w:hAnsi="宋体" w:hint="eastAsia"/>
          <w:bCs/>
          <w:sz w:val="24"/>
          <w:lang w:val="en-GB"/>
        </w:rPr>
        <w:t>预提银行间账户维护费</w:t>
      </w:r>
      <w:r w:rsidR="008F16F3">
        <w:rPr>
          <w:rFonts w:ascii="宋体" w:hAnsi="宋体" w:hint="eastAsia"/>
          <w:bCs/>
          <w:sz w:val="24"/>
          <w:lang w:val="en-GB"/>
        </w:rPr>
        <w:t>、</w:t>
      </w:r>
      <w:r w:rsidR="00435098" w:rsidRPr="002A0262">
        <w:rPr>
          <w:rFonts w:ascii="宋体" w:hAnsi="宋体" w:hint="eastAsia"/>
          <w:bCs/>
          <w:sz w:val="24"/>
          <w:lang w:val="en-GB"/>
        </w:rPr>
        <w:t>查询费</w:t>
      </w:r>
      <w:r w:rsidR="008F16F3">
        <w:rPr>
          <w:rFonts w:ascii="宋体" w:hAnsi="宋体" w:hint="eastAsia"/>
          <w:bCs/>
          <w:sz w:val="24"/>
          <w:lang w:val="en-GB"/>
        </w:rPr>
        <w:t>及划款手续费</w:t>
      </w:r>
      <w:r w:rsidR="00435098" w:rsidRPr="002A0262">
        <w:rPr>
          <w:rFonts w:ascii="宋体" w:hAnsi="宋体" w:hint="eastAsia"/>
          <w:bCs/>
          <w:sz w:val="24"/>
          <w:lang w:val="en-GB"/>
        </w:rPr>
        <w:t>人民币</w:t>
      </w:r>
      <w:r w:rsidR="008F16F3" w:rsidRPr="008F16F3">
        <w:rPr>
          <w:rFonts w:ascii="宋体" w:hAnsi="宋体"/>
          <w:bCs/>
          <w:sz w:val="24"/>
          <w:lang w:val="en-GB"/>
        </w:rPr>
        <w:t>12,700.00</w:t>
      </w:r>
      <w:r w:rsidR="00435098" w:rsidRPr="002A0262">
        <w:rPr>
          <w:rFonts w:ascii="宋体" w:hAnsi="宋体" w:hint="eastAsia"/>
          <w:bCs/>
          <w:sz w:val="24"/>
          <w:lang w:val="en-GB"/>
        </w:rPr>
        <w:t>元，该款项将于</w:t>
      </w:r>
      <w:r w:rsidR="009E7F9D" w:rsidRPr="009E7F9D">
        <w:rPr>
          <w:rFonts w:ascii="宋体" w:hAnsi="宋体" w:hint="eastAsia"/>
          <w:bCs/>
          <w:sz w:val="24"/>
          <w:lang w:val="en-GB"/>
        </w:rPr>
        <w:t>07月0</w:t>
      </w:r>
      <w:r w:rsidR="00C43249">
        <w:rPr>
          <w:rFonts w:ascii="宋体" w:hAnsi="宋体" w:hint="eastAsia"/>
          <w:bCs/>
          <w:sz w:val="24"/>
          <w:lang w:val="en-GB"/>
        </w:rPr>
        <w:t>5</w:t>
      </w:r>
      <w:r w:rsidR="009E7F9D" w:rsidRPr="009E7F9D">
        <w:rPr>
          <w:rFonts w:ascii="宋体" w:hAnsi="宋体" w:hint="eastAsia"/>
          <w:bCs/>
          <w:sz w:val="24"/>
          <w:lang w:val="en-GB"/>
        </w:rPr>
        <w:t>日</w:t>
      </w:r>
      <w:r w:rsidR="00435098">
        <w:rPr>
          <w:rFonts w:ascii="宋体" w:hAnsi="宋体" w:hint="eastAsia"/>
          <w:bCs/>
          <w:sz w:val="24"/>
          <w:lang w:val="en-GB"/>
        </w:rPr>
        <w:t>后支付</w:t>
      </w:r>
      <w:r w:rsidR="00435098" w:rsidRPr="002A0262">
        <w:rPr>
          <w:rFonts w:ascii="宋体" w:hAnsi="宋体" w:hint="eastAsia"/>
          <w:bCs/>
          <w:sz w:val="24"/>
          <w:lang w:val="en-GB"/>
        </w:rPr>
        <w:t>；应付审计费人民币</w:t>
      </w:r>
      <w:r w:rsidR="009E7F9D" w:rsidRPr="009E7F9D">
        <w:rPr>
          <w:rFonts w:ascii="宋体" w:hAnsi="宋体"/>
          <w:bCs/>
          <w:sz w:val="24"/>
          <w:lang w:val="en-GB"/>
        </w:rPr>
        <w:t>23,670.72</w:t>
      </w:r>
      <w:r w:rsidR="00435098" w:rsidRPr="002A0262">
        <w:rPr>
          <w:rFonts w:ascii="宋体" w:hAnsi="宋体" w:hint="eastAsia"/>
          <w:bCs/>
          <w:sz w:val="24"/>
          <w:lang w:val="en-GB"/>
        </w:rPr>
        <w:t>元，该款项将于2018年</w:t>
      </w:r>
      <w:r w:rsidR="009E7F9D" w:rsidRPr="009E7F9D">
        <w:rPr>
          <w:rFonts w:ascii="宋体" w:hAnsi="宋体" w:hint="eastAsia"/>
          <w:bCs/>
          <w:sz w:val="24"/>
          <w:lang w:val="en-GB"/>
        </w:rPr>
        <w:t>07月0</w:t>
      </w:r>
      <w:r w:rsidR="00C43249">
        <w:rPr>
          <w:rFonts w:ascii="宋体" w:hAnsi="宋体" w:hint="eastAsia"/>
          <w:bCs/>
          <w:sz w:val="24"/>
          <w:lang w:val="en-GB"/>
        </w:rPr>
        <w:t>5</w:t>
      </w:r>
      <w:r w:rsidR="009E7F9D" w:rsidRPr="009E7F9D">
        <w:rPr>
          <w:rFonts w:ascii="宋体" w:hAnsi="宋体" w:hint="eastAsia"/>
          <w:bCs/>
          <w:sz w:val="24"/>
          <w:lang w:val="en-GB"/>
        </w:rPr>
        <w:t>日</w:t>
      </w:r>
      <w:r w:rsidR="00435098">
        <w:rPr>
          <w:rFonts w:ascii="宋体" w:hAnsi="宋体" w:hint="eastAsia"/>
          <w:bCs/>
          <w:sz w:val="24"/>
          <w:lang w:val="en-GB"/>
        </w:rPr>
        <w:t>后支付</w:t>
      </w:r>
      <w:r w:rsidR="00435098" w:rsidRPr="002A0262">
        <w:rPr>
          <w:rFonts w:ascii="宋体" w:hAnsi="宋体" w:hint="eastAsia"/>
          <w:bCs/>
          <w:sz w:val="24"/>
          <w:lang w:val="en-GB"/>
        </w:rPr>
        <w:t>；应付信息披露费人民币</w:t>
      </w:r>
      <w:r w:rsidR="009E7F9D" w:rsidRPr="009E7F9D">
        <w:rPr>
          <w:rFonts w:ascii="宋体" w:hAnsi="宋体"/>
          <w:bCs/>
          <w:sz w:val="24"/>
          <w:lang w:val="en-GB"/>
        </w:rPr>
        <w:t>318,355.04</w:t>
      </w:r>
      <w:r w:rsidR="00435098" w:rsidRPr="002A0262">
        <w:rPr>
          <w:rFonts w:ascii="宋体" w:hAnsi="宋体" w:hint="eastAsia"/>
          <w:bCs/>
          <w:sz w:val="24"/>
          <w:lang w:val="en-GB"/>
        </w:rPr>
        <w:t>元，该款项将于2018年</w:t>
      </w:r>
      <w:r w:rsidR="009E7F9D" w:rsidRPr="009E7F9D">
        <w:rPr>
          <w:rFonts w:ascii="宋体" w:hAnsi="宋体" w:hint="eastAsia"/>
          <w:bCs/>
          <w:sz w:val="24"/>
          <w:lang w:val="en-GB"/>
        </w:rPr>
        <w:t>07月0</w:t>
      </w:r>
      <w:r w:rsidR="00C43249">
        <w:rPr>
          <w:rFonts w:ascii="宋体" w:hAnsi="宋体" w:hint="eastAsia"/>
          <w:bCs/>
          <w:sz w:val="24"/>
          <w:lang w:val="en-GB"/>
        </w:rPr>
        <w:t>5</w:t>
      </w:r>
      <w:r w:rsidR="009E7F9D" w:rsidRPr="009E7F9D">
        <w:rPr>
          <w:rFonts w:ascii="宋体" w:hAnsi="宋体" w:hint="eastAsia"/>
          <w:bCs/>
          <w:sz w:val="24"/>
          <w:lang w:val="en-GB"/>
        </w:rPr>
        <w:t>日</w:t>
      </w:r>
      <w:r w:rsidR="00435098">
        <w:rPr>
          <w:rFonts w:ascii="宋体" w:hAnsi="宋体" w:hint="eastAsia"/>
          <w:bCs/>
          <w:sz w:val="24"/>
          <w:lang w:val="en-GB"/>
        </w:rPr>
        <w:t>后支付</w:t>
      </w:r>
      <w:r w:rsidR="00435098" w:rsidRPr="002A0262">
        <w:rPr>
          <w:rFonts w:ascii="宋体" w:hAnsi="宋体" w:hint="eastAsia"/>
          <w:bCs/>
          <w:color w:val="000000"/>
          <w:sz w:val="24"/>
          <w:lang w:val="en-GB"/>
        </w:rPr>
        <w:t>。</w:t>
      </w:r>
    </w:p>
    <w:p w:rsidR="00E75B43" w:rsidRPr="00317386" w:rsidRDefault="00E75B43" w:rsidP="00E75B43">
      <w:pPr>
        <w:spacing w:line="360" w:lineRule="auto"/>
        <w:ind w:firstLineChars="200" w:firstLine="482"/>
        <w:rPr>
          <w:rFonts w:ascii="宋体" w:hAnsi="宋体"/>
          <w:b/>
          <w:bCs/>
          <w:color w:val="000000"/>
          <w:sz w:val="24"/>
          <w:lang w:val="en-GB"/>
        </w:rPr>
      </w:pPr>
    </w:p>
    <w:p w:rsidR="00317386" w:rsidRDefault="00317386">
      <w:pPr>
        <w:spacing w:line="360" w:lineRule="auto"/>
        <w:rPr>
          <w:rFonts w:ascii="宋体" w:hAnsi="宋体"/>
          <w:b/>
          <w:bCs/>
          <w:color w:val="000000"/>
          <w:sz w:val="24"/>
          <w:lang w:val="en-GB"/>
        </w:rPr>
      </w:pPr>
      <w:r w:rsidRPr="00317386">
        <w:rPr>
          <w:rFonts w:ascii="宋体" w:hAnsi="宋体" w:hint="eastAsia"/>
          <w:b/>
          <w:bCs/>
          <w:color w:val="000000"/>
          <w:sz w:val="24"/>
          <w:lang w:val="en-GB"/>
        </w:rPr>
        <w:t>5.4清算期间的清算损益情况</w:t>
      </w:r>
    </w:p>
    <w:p w:rsidR="00E75B43" w:rsidRPr="00E75B43" w:rsidRDefault="00E75B43" w:rsidP="00E75B43">
      <w:pPr>
        <w:spacing w:line="360" w:lineRule="auto"/>
        <w:jc w:val="right"/>
        <w:rPr>
          <w:rFonts w:ascii="宋体" w:hAnsi="宋体"/>
          <w:b/>
          <w:bCs/>
          <w:color w:val="000000"/>
          <w:sz w:val="24"/>
          <w:lang w:val="en-GB"/>
        </w:rPr>
      </w:pPr>
      <w:r w:rsidRPr="00E75B43">
        <w:rPr>
          <w:rFonts w:ascii="宋体" w:hAnsi="宋体" w:cs="宋体" w:hint="eastAsia"/>
          <w:color w:val="000000"/>
          <w:kern w:val="0"/>
          <w:sz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3168"/>
      </w:tblGrid>
      <w:tr w:rsidR="00435098" w:rsidRPr="00E75B43" w:rsidTr="00E75B43">
        <w:trPr>
          <w:trHeight w:val="540"/>
        </w:trPr>
        <w:tc>
          <w:tcPr>
            <w:tcW w:w="3141" w:type="pct"/>
            <w:shd w:val="clear" w:color="auto" w:fill="auto"/>
            <w:noWrap/>
            <w:vAlign w:val="center"/>
            <w:hideMark/>
          </w:tcPr>
          <w:p w:rsidR="00435098" w:rsidRPr="00E75B43" w:rsidRDefault="00435098" w:rsidP="00E75B43">
            <w:pPr>
              <w:widowControl/>
              <w:jc w:val="center"/>
              <w:rPr>
                <w:rFonts w:ascii="宋体" w:hAnsi="宋体" w:cs="宋体"/>
                <w:b/>
                <w:color w:val="000000"/>
                <w:kern w:val="0"/>
                <w:sz w:val="24"/>
              </w:rPr>
            </w:pPr>
            <w:r w:rsidRPr="00E75B43">
              <w:rPr>
                <w:rFonts w:ascii="宋体" w:hAnsi="宋体" w:cs="宋体" w:hint="eastAsia"/>
                <w:b/>
                <w:color w:val="000000"/>
                <w:kern w:val="0"/>
                <w:sz w:val="24"/>
              </w:rPr>
              <w:t>项目</w:t>
            </w:r>
          </w:p>
        </w:tc>
        <w:tc>
          <w:tcPr>
            <w:tcW w:w="1859" w:type="pct"/>
            <w:shd w:val="clear" w:color="auto" w:fill="auto"/>
            <w:vAlign w:val="center"/>
            <w:hideMark/>
          </w:tcPr>
          <w:p w:rsidR="00435098" w:rsidRPr="00E75B43" w:rsidRDefault="00435098" w:rsidP="00E75B43">
            <w:pPr>
              <w:widowControl/>
              <w:jc w:val="center"/>
              <w:rPr>
                <w:rFonts w:ascii="宋体" w:hAnsi="宋体" w:cs="宋体"/>
                <w:b/>
                <w:color w:val="000000"/>
                <w:kern w:val="0"/>
                <w:sz w:val="24"/>
              </w:rPr>
            </w:pPr>
            <w:r w:rsidRPr="00E75B43">
              <w:rPr>
                <w:rFonts w:ascii="宋体" w:hAnsi="宋体" w:cs="宋体" w:hint="eastAsia"/>
                <w:b/>
                <w:color w:val="000000"/>
                <w:kern w:val="0"/>
                <w:sz w:val="24"/>
              </w:rPr>
              <w:t>自2018年0</w:t>
            </w:r>
            <w:r w:rsidR="003842B6" w:rsidRPr="00E75B43">
              <w:rPr>
                <w:rFonts w:ascii="宋体" w:hAnsi="宋体" w:cs="宋体" w:hint="eastAsia"/>
                <w:b/>
                <w:color w:val="000000"/>
                <w:kern w:val="0"/>
                <w:sz w:val="24"/>
              </w:rPr>
              <w:t>6</w:t>
            </w:r>
            <w:r w:rsidRPr="00E75B43">
              <w:rPr>
                <w:rFonts w:ascii="宋体" w:hAnsi="宋体" w:cs="宋体" w:hint="eastAsia"/>
                <w:b/>
                <w:color w:val="000000"/>
                <w:kern w:val="0"/>
                <w:sz w:val="24"/>
              </w:rPr>
              <w:t>月2</w:t>
            </w:r>
            <w:r w:rsidR="003842B6" w:rsidRPr="00E75B43">
              <w:rPr>
                <w:rFonts w:ascii="宋体" w:hAnsi="宋体" w:cs="宋体" w:hint="eastAsia"/>
                <w:b/>
                <w:color w:val="000000"/>
                <w:kern w:val="0"/>
                <w:sz w:val="24"/>
              </w:rPr>
              <w:t>6</w:t>
            </w:r>
            <w:r w:rsidRPr="00E75B43">
              <w:rPr>
                <w:rFonts w:ascii="宋体" w:hAnsi="宋体" w:cs="宋体" w:hint="eastAsia"/>
                <w:b/>
                <w:color w:val="000000"/>
                <w:kern w:val="0"/>
                <w:sz w:val="24"/>
              </w:rPr>
              <w:t>日至2018年0</w:t>
            </w:r>
            <w:r w:rsidR="003842B6" w:rsidRPr="00E75B43">
              <w:rPr>
                <w:rFonts w:ascii="宋体" w:hAnsi="宋体" w:cs="宋体" w:hint="eastAsia"/>
                <w:b/>
                <w:color w:val="000000"/>
                <w:kern w:val="0"/>
                <w:sz w:val="24"/>
              </w:rPr>
              <w:t>7</w:t>
            </w:r>
            <w:r w:rsidRPr="00E75B43">
              <w:rPr>
                <w:rFonts w:ascii="宋体" w:hAnsi="宋体" w:cs="宋体" w:hint="eastAsia"/>
                <w:b/>
                <w:color w:val="000000"/>
                <w:kern w:val="0"/>
                <w:sz w:val="24"/>
              </w:rPr>
              <w:t>月</w:t>
            </w:r>
            <w:r w:rsidR="003842B6" w:rsidRPr="00E75B43">
              <w:rPr>
                <w:rFonts w:ascii="宋体" w:hAnsi="宋体" w:cs="宋体" w:hint="eastAsia"/>
                <w:b/>
                <w:color w:val="000000"/>
                <w:kern w:val="0"/>
                <w:sz w:val="24"/>
              </w:rPr>
              <w:t>0</w:t>
            </w:r>
            <w:r w:rsidR="006D0210" w:rsidRPr="00E75B43">
              <w:rPr>
                <w:rFonts w:ascii="宋体" w:hAnsi="宋体" w:cs="宋体" w:hint="eastAsia"/>
                <w:b/>
                <w:color w:val="000000"/>
                <w:kern w:val="0"/>
                <w:sz w:val="24"/>
              </w:rPr>
              <w:t>5</w:t>
            </w:r>
            <w:r w:rsidRPr="00E75B43">
              <w:rPr>
                <w:rFonts w:ascii="宋体" w:hAnsi="宋体" w:cs="宋体" w:hint="eastAsia"/>
                <w:b/>
                <w:color w:val="000000"/>
                <w:kern w:val="0"/>
                <w:sz w:val="24"/>
              </w:rPr>
              <w:t>日止清算期间</w:t>
            </w:r>
          </w:p>
        </w:tc>
      </w:tr>
      <w:tr w:rsidR="00435098" w:rsidRPr="00E75B43" w:rsidTr="00E75B43">
        <w:trPr>
          <w:trHeight w:val="90"/>
        </w:trPr>
        <w:tc>
          <w:tcPr>
            <w:tcW w:w="3141"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一、清算收益</w:t>
            </w:r>
          </w:p>
        </w:tc>
        <w:tc>
          <w:tcPr>
            <w:tcW w:w="1859"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p>
        </w:tc>
      </w:tr>
      <w:tr w:rsidR="00435098" w:rsidRPr="00E75B43" w:rsidTr="00E75B43">
        <w:trPr>
          <w:trHeight w:val="64"/>
        </w:trPr>
        <w:tc>
          <w:tcPr>
            <w:tcW w:w="3141"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1、利息收入-银行存款利息收入（注1）</w:t>
            </w:r>
          </w:p>
        </w:tc>
        <w:tc>
          <w:tcPr>
            <w:tcW w:w="1859" w:type="pct"/>
            <w:shd w:val="clear" w:color="auto" w:fill="auto"/>
            <w:noWrap/>
            <w:vAlign w:val="center"/>
            <w:hideMark/>
          </w:tcPr>
          <w:p w:rsidR="00435098" w:rsidRPr="00E75B43" w:rsidRDefault="00694256" w:rsidP="00E75B43">
            <w:pPr>
              <w:widowControl/>
              <w:jc w:val="right"/>
              <w:rPr>
                <w:rFonts w:ascii="宋体" w:hAnsi="宋体" w:cs="宋体"/>
                <w:color w:val="000000"/>
                <w:kern w:val="0"/>
                <w:sz w:val="24"/>
              </w:rPr>
            </w:pPr>
            <w:r w:rsidRPr="00E75B43">
              <w:rPr>
                <w:rFonts w:ascii="宋体" w:hAnsi="宋体" w:cs="宋体"/>
                <w:color w:val="000000"/>
                <w:kern w:val="0"/>
                <w:sz w:val="24"/>
              </w:rPr>
              <w:t xml:space="preserve">2,221.91 </w:t>
            </w:r>
          </w:p>
        </w:tc>
      </w:tr>
      <w:tr w:rsidR="00435098" w:rsidRPr="00E75B43" w:rsidTr="00E75B43">
        <w:trPr>
          <w:trHeight w:val="155"/>
        </w:trPr>
        <w:tc>
          <w:tcPr>
            <w:tcW w:w="3141" w:type="pct"/>
            <w:shd w:val="clear" w:color="auto" w:fill="auto"/>
            <w:noWrap/>
            <w:vAlign w:val="center"/>
          </w:tcPr>
          <w:p w:rsidR="00435098" w:rsidRPr="00E75B43" w:rsidRDefault="00856677" w:rsidP="00E75B43">
            <w:pPr>
              <w:widowControl/>
              <w:jc w:val="left"/>
              <w:rPr>
                <w:rFonts w:ascii="宋体" w:hAnsi="宋体" w:cs="宋体"/>
                <w:color w:val="000000"/>
                <w:kern w:val="0"/>
                <w:sz w:val="24"/>
              </w:rPr>
            </w:pPr>
            <w:r w:rsidRPr="00E75B43">
              <w:rPr>
                <w:rFonts w:ascii="宋体" w:hAnsi="宋体" w:cs="宋体" w:hint="eastAsia"/>
                <w:color w:val="000000"/>
                <w:kern w:val="0"/>
                <w:sz w:val="24"/>
              </w:rPr>
              <w:t>2</w:t>
            </w:r>
            <w:r w:rsidR="00435098" w:rsidRPr="00E75B43">
              <w:rPr>
                <w:rFonts w:ascii="宋体" w:hAnsi="宋体" w:cs="宋体" w:hint="eastAsia"/>
                <w:color w:val="000000"/>
                <w:kern w:val="0"/>
                <w:sz w:val="24"/>
              </w:rPr>
              <w:t>、投资收益-</w:t>
            </w:r>
            <w:r w:rsidRPr="00E75B43">
              <w:rPr>
                <w:rFonts w:ascii="宋体" w:hAnsi="宋体" w:cs="宋体" w:hint="eastAsia"/>
                <w:color w:val="000000"/>
                <w:kern w:val="0"/>
                <w:sz w:val="24"/>
              </w:rPr>
              <w:t>股票</w:t>
            </w:r>
            <w:r w:rsidR="00435098" w:rsidRPr="00E75B43">
              <w:rPr>
                <w:rFonts w:ascii="宋体" w:hAnsi="宋体" w:cs="宋体" w:hint="eastAsia"/>
                <w:color w:val="000000"/>
                <w:kern w:val="0"/>
                <w:sz w:val="24"/>
              </w:rPr>
              <w:t>投资收益</w:t>
            </w:r>
          </w:p>
        </w:tc>
        <w:tc>
          <w:tcPr>
            <w:tcW w:w="1859" w:type="pct"/>
            <w:shd w:val="clear" w:color="auto" w:fill="auto"/>
            <w:noWrap/>
            <w:vAlign w:val="center"/>
          </w:tcPr>
          <w:p w:rsidR="00435098" w:rsidRPr="00E75B43" w:rsidRDefault="00856677" w:rsidP="00E75B43">
            <w:pPr>
              <w:widowControl/>
              <w:jc w:val="right"/>
              <w:rPr>
                <w:rFonts w:ascii="宋体" w:hAnsi="宋体" w:cs="宋体"/>
                <w:color w:val="000000"/>
                <w:kern w:val="0"/>
                <w:sz w:val="24"/>
              </w:rPr>
            </w:pPr>
            <w:r w:rsidRPr="00E75B43">
              <w:rPr>
                <w:rFonts w:ascii="宋体" w:hAnsi="宋体" w:cs="宋体"/>
                <w:color w:val="000000"/>
                <w:kern w:val="0"/>
                <w:sz w:val="24"/>
              </w:rPr>
              <w:t>-277,081.00</w:t>
            </w:r>
          </w:p>
        </w:tc>
      </w:tr>
      <w:tr w:rsidR="004836D4" w:rsidRPr="00E75B43" w:rsidTr="00E75B43">
        <w:trPr>
          <w:trHeight w:val="360"/>
        </w:trPr>
        <w:tc>
          <w:tcPr>
            <w:tcW w:w="3141" w:type="pct"/>
            <w:shd w:val="clear" w:color="auto" w:fill="auto"/>
            <w:noWrap/>
            <w:vAlign w:val="center"/>
          </w:tcPr>
          <w:p w:rsidR="004836D4" w:rsidRPr="00E75B43" w:rsidRDefault="004836D4" w:rsidP="00E75B43">
            <w:pPr>
              <w:widowControl/>
              <w:jc w:val="left"/>
              <w:rPr>
                <w:rFonts w:ascii="宋体" w:hAnsi="宋体" w:cs="宋体"/>
                <w:color w:val="000000"/>
                <w:kern w:val="0"/>
                <w:sz w:val="24"/>
              </w:rPr>
            </w:pPr>
            <w:r w:rsidRPr="00E75B43">
              <w:rPr>
                <w:rFonts w:ascii="宋体" w:hAnsi="宋体" w:cs="宋体" w:hint="eastAsia"/>
                <w:color w:val="000000"/>
                <w:kern w:val="0"/>
                <w:sz w:val="24"/>
              </w:rPr>
              <w:t>3、公允价值变动损益</w:t>
            </w:r>
          </w:p>
        </w:tc>
        <w:tc>
          <w:tcPr>
            <w:tcW w:w="1859" w:type="pct"/>
            <w:shd w:val="clear" w:color="auto" w:fill="auto"/>
            <w:noWrap/>
            <w:vAlign w:val="center"/>
          </w:tcPr>
          <w:p w:rsidR="004836D4" w:rsidRPr="00E75B43" w:rsidRDefault="00694256" w:rsidP="00E75B43">
            <w:pPr>
              <w:widowControl/>
              <w:jc w:val="right"/>
              <w:rPr>
                <w:rFonts w:ascii="宋体" w:hAnsi="宋体" w:cs="宋体"/>
                <w:color w:val="000000"/>
                <w:kern w:val="0"/>
                <w:sz w:val="24"/>
              </w:rPr>
            </w:pPr>
            <w:r w:rsidRPr="00E75B43">
              <w:rPr>
                <w:rFonts w:ascii="宋体" w:hAnsi="宋体" w:cs="宋体"/>
                <w:color w:val="000000"/>
                <w:kern w:val="0"/>
                <w:sz w:val="24"/>
              </w:rPr>
              <w:t>296,677.00</w:t>
            </w:r>
          </w:p>
        </w:tc>
      </w:tr>
      <w:tr w:rsidR="00435098" w:rsidRPr="00E75B43" w:rsidTr="00E75B43">
        <w:trPr>
          <w:trHeight w:val="360"/>
        </w:trPr>
        <w:tc>
          <w:tcPr>
            <w:tcW w:w="3141"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清算收入小计</w:t>
            </w:r>
          </w:p>
        </w:tc>
        <w:tc>
          <w:tcPr>
            <w:tcW w:w="1859" w:type="pct"/>
            <w:shd w:val="clear" w:color="auto" w:fill="auto"/>
            <w:noWrap/>
            <w:vAlign w:val="center"/>
            <w:hideMark/>
          </w:tcPr>
          <w:p w:rsidR="00435098" w:rsidRPr="00E75B43" w:rsidRDefault="00694256" w:rsidP="00E75B43">
            <w:pPr>
              <w:widowControl/>
              <w:jc w:val="right"/>
              <w:rPr>
                <w:rFonts w:ascii="宋体" w:hAnsi="宋体" w:cs="宋体"/>
                <w:color w:val="000000"/>
                <w:kern w:val="0"/>
                <w:sz w:val="24"/>
              </w:rPr>
            </w:pPr>
            <w:r w:rsidRPr="00E75B43">
              <w:rPr>
                <w:rFonts w:ascii="宋体" w:hAnsi="宋体" w:cs="宋体"/>
                <w:color w:val="000000"/>
                <w:kern w:val="0"/>
                <w:sz w:val="24"/>
              </w:rPr>
              <w:t>21</w:t>
            </w:r>
            <w:r w:rsidRPr="00E75B43">
              <w:rPr>
                <w:rFonts w:ascii="宋体" w:hAnsi="宋体" w:cs="宋体" w:hint="eastAsia"/>
                <w:color w:val="000000"/>
                <w:kern w:val="0"/>
                <w:sz w:val="24"/>
              </w:rPr>
              <w:t>,</w:t>
            </w:r>
            <w:r w:rsidRPr="00E75B43">
              <w:rPr>
                <w:rFonts w:ascii="宋体" w:hAnsi="宋体" w:cs="宋体"/>
                <w:color w:val="000000"/>
                <w:kern w:val="0"/>
                <w:sz w:val="24"/>
              </w:rPr>
              <w:t>817.91</w:t>
            </w:r>
          </w:p>
        </w:tc>
      </w:tr>
      <w:tr w:rsidR="00435098" w:rsidRPr="00E75B43" w:rsidTr="00E75B43">
        <w:trPr>
          <w:trHeight w:val="360"/>
        </w:trPr>
        <w:tc>
          <w:tcPr>
            <w:tcW w:w="3141"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二、清算费用</w:t>
            </w:r>
          </w:p>
        </w:tc>
        <w:tc>
          <w:tcPr>
            <w:tcW w:w="1859" w:type="pct"/>
            <w:shd w:val="clear" w:color="auto" w:fill="auto"/>
            <w:noWrap/>
            <w:vAlign w:val="center"/>
            <w:hideMark/>
          </w:tcPr>
          <w:p w:rsidR="00435098" w:rsidRPr="00E75B43" w:rsidRDefault="00435098" w:rsidP="00E75B43">
            <w:pPr>
              <w:widowControl/>
              <w:jc w:val="right"/>
              <w:rPr>
                <w:rFonts w:ascii="宋体" w:hAnsi="宋体" w:cs="宋体"/>
                <w:color w:val="000000"/>
                <w:kern w:val="0"/>
                <w:sz w:val="24"/>
              </w:rPr>
            </w:pPr>
          </w:p>
        </w:tc>
      </w:tr>
      <w:tr w:rsidR="00435098" w:rsidRPr="00E75B43" w:rsidTr="00E75B43">
        <w:trPr>
          <w:trHeight w:val="360"/>
        </w:trPr>
        <w:tc>
          <w:tcPr>
            <w:tcW w:w="3141" w:type="pct"/>
            <w:shd w:val="clear" w:color="auto" w:fill="auto"/>
            <w:noWrap/>
            <w:vAlign w:val="center"/>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1、交易费用-</w:t>
            </w:r>
            <w:r w:rsidR="00D4455A" w:rsidRPr="00E75B43">
              <w:rPr>
                <w:rFonts w:ascii="宋体" w:hAnsi="宋体" w:cs="宋体" w:hint="eastAsia"/>
                <w:color w:val="000000"/>
                <w:kern w:val="0"/>
                <w:sz w:val="24"/>
              </w:rPr>
              <w:t>股票</w:t>
            </w:r>
            <w:r w:rsidRPr="00E75B43">
              <w:rPr>
                <w:rFonts w:ascii="宋体" w:hAnsi="宋体" w:cs="宋体" w:hint="eastAsia"/>
                <w:color w:val="000000"/>
                <w:kern w:val="0"/>
                <w:sz w:val="24"/>
              </w:rPr>
              <w:t>交易费用</w:t>
            </w:r>
          </w:p>
        </w:tc>
        <w:tc>
          <w:tcPr>
            <w:tcW w:w="1859" w:type="pct"/>
            <w:shd w:val="clear" w:color="auto" w:fill="auto"/>
            <w:noWrap/>
            <w:vAlign w:val="center"/>
          </w:tcPr>
          <w:p w:rsidR="00435098" w:rsidRPr="00E75B43" w:rsidRDefault="00715CAD" w:rsidP="00E75B43">
            <w:pPr>
              <w:widowControl/>
              <w:jc w:val="right"/>
              <w:rPr>
                <w:rFonts w:ascii="宋体" w:hAnsi="宋体" w:cs="宋体"/>
                <w:color w:val="000000"/>
                <w:kern w:val="0"/>
                <w:sz w:val="24"/>
              </w:rPr>
            </w:pPr>
            <w:r w:rsidRPr="00E75B43">
              <w:rPr>
                <w:rFonts w:ascii="宋体" w:hAnsi="宋体" w:cs="宋体" w:hint="eastAsia"/>
                <w:color w:val="000000"/>
                <w:kern w:val="0"/>
                <w:sz w:val="24"/>
              </w:rPr>
              <w:t>688</w:t>
            </w:r>
            <w:r w:rsidR="007E513D" w:rsidRPr="00E75B43">
              <w:rPr>
                <w:rFonts w:ascii="宋体" w:hAnsi="宋体" w:cs="宋体" w:hint="eastAsia"/>
                <w:color w:val="000000"/>
                <w:kern w:val="0"/>
                <w:sz w:val="24"/>
              </w:rPr>
              <w:t>.82</w:t>
            </w:r>
          </w:p>
        </w:tc>
      </w:tr>
      <w:tr w:rsidR="00715CAD" w:rsidRPr="00E75B43" w:rsidTr="00E75B43">
        <w:trPr>
          <w:trHeight w:val="420"/>
        </w:trPr>
        <w:tc>
          <w:tcPr>
            <w:tcW w:w="3141" w:type="pct"/>
            <w:shd w:val="clear" w:color="auto" w:fill="auto"/>
            <w:noWrap/>
            <w:vAlign w:val="center"/>
          </w:tcPr>
          <w:p w:rsidR="00715CAD" w:rsidRPr="00E75B43" w:rsidRDefault="00715CAD" w:rsidP="00E75B43">
            <w:pPr>
              <w:widowControl/>
              <w:jc w:val="left"/>
              <w:rPr>
                <w:rFonts w:ascii="宋体" w:hAnsi="宋体" w:cs="宋体"/>
                <w:color w:val="000000"/>
                <w:kern w:val="0"/>
                <w:sz w:val="24"/>
              </w:rPr>
            </w:pPr>
            <w:r w:rsidRPr="00E75B43">
              <w:rPr>
                <w:rFonts w:ascii="宋体" w:hAnsi="宋体" w:cs="宋体" w:hint="eastAsia"/>
                <w:color w:val="000000"/>
                <w:kern w:val="0"/>
                <w:sz w:val="24"/>
              </w:rPr>
              <w:t>2、银行费用</w:t>
            </w:r>
          </w:p>
        </w:tc>
        <w:tc>
          <w:tcPr>
            <w:tcW w:w="1859" w:type="pct"/>
            <w:shd w:val="clear" w:color="auto" w:fill="auto"/>
            <w:noWrap/>
            <w:vAlign w:val="center"/>
          </w:tcPr>
          <w:p w:rsidR="00715CAD" w:rsidRPr="00E75B43" w:rsidRDefault="00715CAD" w:rsidP="00E75B43">
            <w:pPr>
              <w:widowControl/>
              <w:jc w:val="right"/>
              <w:rPr>
                <w:rFonts w:ascii="宋体" w:hAnsi="宋体" w:cs="宋体"/>
                <w:color w:val="000000"/>
                <w:kern w:val="0"/>
                <w:sz w:val="24"/>
              </w:rPr>
            </w:pPr>
            <w:r w:rsidRPr="00E75B43">
              <w:rPr>
                <w:rFonts w:ascii="宋体" w:hAnsi="宋体" w:cs="宋体" w:hint="eastAsia"/>
                <w:color w:val="000000"/>
                <w:kern w:val="0"/>
                <w:sz w:val="24"/>
              </w:rPr>
              <w:t>45.00</w:t>
            </w:r>
          </w:p>
        </w:tc>
      </w:tr>
      <w:tr w:rsidR="00435098" w:rsidRPr="00E75B43" w:rsidTr="00E75B43">
        <w:trPr>
          <w:trHeight w:val="64"/>
        </w:trPr>
        <w:tc>
          <w:tcPr>
            <w:tcW w:w="3141"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清算费用小计</w:t>
            </w:r>
          </w:p>
        </w:tc>
        <w:tc>
          <w:tcPr>
            <w:tcW w:w="1859" w:type="pct"/>
            <w:shd w:val="clear" w:color="auto" w:fill="auto"/>
            <w:noWrap/>
            <w:vAlign w:val="center"/>
            <w:hideMark/>
          </w:tcPr>
          <w:p w:rsidR="00435098" w:rsidRPr="00E75B43" w:rsidRDefault="007E513D" w:rsidP="00E75B43">
            <w:pPr>
              <w:widowControl/>
              <w:jc w:val="right"/>
              <w:rPr>
                <w:rFonts w:ascii="宋体" w:hAnsi="宋体" w:cs="宋体"/>
                <w:color w:val="000000"/>
                <w:kern w:val="0"/>
                <w:sz w:val="24"/>
              </w:rPr>
            </w:pPr>
            <w:r w:rsidRPr="00E75B43">
              <w:rPr>
                <w:rFonts w:ascii="宋体" w:hAnsi="宋体" w:cs="宋体"/>
                <w:color w:val="000000"/>
                <w:kern w:val="0"/>
                <w:sz w:val="24"/>
              </w:rPr>
              <w:t>733.82</w:t>
            </w:r>
          </w:p>
        </w:tc>
      </w:tr>
      <w:tr w:rsidR="00435098" w:rsidRPr="00E75B43" w:rsidTr="00E75B43">
        <w:trPr>
          <w:trHeight w:val="313"/>
        </w:trPr>
        <w:tc>
          <w:tcPr>
            <w:tcW w:w="3141" w:type="pct"/>
            <w:shd w:val="clear" w:color="auto" w:fill="auto"/>
            <w:noWrap/>
            <w:vAlign w:val="center"/>
            <w:hideMark/>
          </w:tcPr>
          <w:p w:rsidR="00435098" w:rsidRPr="00E75B43" w:rsidRDefault="00435098" w:rsidP="00E75B43">
            <w:pPr>
              <w:widowControl/>
              <w:jc w:val="left"/>
              <w:rPr>
                <w:rFonts w:ascii="宋体" w:hAnsi="宋体" w:cs="宋体"/>
                <w:color w:val="000000"/>
                <w:kern w:val="0"/>
                <w:sz w:val="24"/>
              </w:rPr>
            </w:pPr>
            <w:r w:rsidRPr="00E75B43">
              <w:rPr>
                <w:rFonts w:ascii="宋体" w:hAnsi="宋体" w:cs="宋体" w:hint="eastAsia"/>
                <w:color w:val="000000"/>
                <w:kern w:val="0"/>
                <w:sz w:val="24"/>
              </w:rPr>
              <w:t>三、清算净收益</w:t>
            </w:r>
          </w:p>
        </w:tc>
        <w:tc>
          <w:tcPr>
            <w:tcW w:w="1859" w:type="pct"/>
            <w:shd w:val="clear" w:color="auto" w:fill="auto"/>
            <w:noWrap/>
            <w:vAlign w:val="center"/>
            <w:hideMark/>
          </w:tcPr>
          <w:p w:rsidR="00435098" w:rsidRPr="00E75B43" w:rsidRDefault="00694256" w:rsidP="00E75B43">
            <w:pPr>
              <w:widowControl/>
              <w:jc w:val="right"/>
              <w:rPr>
                <w:rFonts w:ascii="宋体" w:hAnsi="宋体" w:cs="宋体"/>
                <w:color w:val="000000"/>
                <w:kern w:val="0"/>
                <w:sz w:val="24"/>
              </w:rPr>
            </w:pPr>
            <w:r w:rsidRPr="00E75B43">
              <w:rPr>
                <w:rFonts w:ascii="宋体" w:hAnsi="宋体" w:cs="宋体"/>
                <w:color w:val="000000"/>
                <w:kern w:val="0"/>
                <w:sz w:val="24"/>
              </w:rPr>
              <w:t>21</w:t>
            </w:r>
            <w:r w:rsidRPr="00E75B43">
              <w:rPr>
                <w:rFonts w:ascii="宋体" w:hAnsi="宋体" w:cs="宋体" w:hint="eastAsia"/>
                <w:color w:val="000000"/>
                <w:kern w:val="0"/>
                <w:sz w:val="24"/>
              </w:rPr>
              <w:t>,</w:t>
            </w:r>
            <w:r w:rsidR="007E513D" w:rsidRPr="00E75B43">
              <w:rPr>
                <w:rFonts w:ascii="宋体" w:hAnsi="宋体" w:cs="宋体" w:hint="eastAsia"/>
                <w:color w:val="000000"/>
                <w:kern w:val="0"/>
                <w:sz w:val="24"/>
              </w:rPr>
              <w:t>084</w:t>
            </w:r>
            <w:r w:rsidRPr="00E75B43">
              <w:rPr>
                <w:rFonts w:ascii="宋体" w:hAnsi="宋体" w:cs="宋体"/>
                <w:color w:val="000000"/>
                <w:kern w:val="0"/>
                <w:sz w:val="24"/>
              </w:rPr>
              <w:t>.09</w:t>
            </w:r>
          </w:p>
        </w:tc>
      </w:tr>
    </w:tbl>
    <w:p w:rsidR="00317386" w:rsidRPr="00E75B43" w:rsidRDefault="00E75B43">
      <w:pPr>
        <w:spacing w:line="360" w:lineRule="auto"/>
        <w:rPr>
          <w:rFonts w:ascii="宋体" w:hAnsi="宋体" w:cs="宋体"/>
          <w:color w:val="000000"/>
          <w:kern w:val="0"/>
          <w:sz w:val="24"/>
        </w:rPr>
      </w:pPr>
      <w:r w:rsidRPr="00E75B43">
        <w:rPr>
          <w:rFonts w:ascii="宋体" w:hAnsi="宋体" w:cs="宋体" w:hint="eastAsia"/>
          <w:color w:val="000000"/>
          <w:kern w:val="0"/>
          <w:sz w:val="24"/>
        </w:rPr>
        <w:t>注1：利息收入计提的自2018年06月2</w:t>
      </w:r>
      <w:r w:rsidRPr="00E75B43">
        <w:rPr>
          <w:rFonts w:ascii="宋体" w:hAnsi="宋体" w:cs="宋体"/>
          <w:color w:val="000000"/>
          <w:kern w:val="0"/>
          <w:sz w:val="24"/>
        </w:rPr>
        <w:t>6</w:t>
      </w:r>
      <w:r w:rsidRPr="00E75B43">
        <w:rPr>
          <w:rFonts w:ascii="宋体" w:hAnsi="宋体" w:cs="宋体" w:hint="eastAsia"/>
          <w:color w:val="000000"/>
          <w:kern w:val="0"/>
          <w:sz w:val="24"/>
        </w:rPr>
        <w:t>日至2018年07月05日止清算期间的银行存款利息、结算备付金利息及存出保证金利息。</w:t>
      </w:r>
    </w:p>
    <w:p w:rsidR="00E75B43" w:rsidRPr="00435098" w:rsidRDefault="00E75B43">
      <w:pPr>
        <w:spacing w:line="360" w:lineRule="auto"/>
        <w:rPr>
          <w:rFonts w:ascii="宋体" w:hAnsi="宋体"/>
          <w:b/>
          <w:bCs/>
          <w:color w:val="000000"/>
          <w:sz w:val="24"/>
        </w:rPr>
      </w:pPr>
    </w:p>
    <w:p w:rsidR="00E75B43" w:rsidRDefault="00317386">
      <w:pPr>
        <w:spacing w:line="360" w:lineRule="auto"/>
        <w:rPr>
          <w:rFonts w:ascii="宋体" w:hAnsi="宋体"/>
          <w:b/>
          <w:bCs/>
          <w:color w:val="000000"/>
          <w:sz w:val="24"/>
          <w:lang w:val="en-GB"/>
        </w:rPr>
      </w:pPr>
      <w:r w:rsidRPr="00317386">
        <w:rPr>
          <w:rFonts w:ascii="宋体" w:hAnsi="宋体" w:hint="eastAsia"/>
          <w:b/>
          <w:bCs/>
          <w:color w:val="000000"/>
          <w:sz w:val="24"/>
          <w:lang w:val="en-GB"/>
        </w:rPr>
        <w:t>5.5资产处置及负债清偿后的剩余资产情况</w:t>
      </w:r>
    </w:p>
    <w:p w:rsidR="00317386" w:rsidRPr="00317386" w:rsidRDefault="00E75B43" w:rsidP="00E75B43">
      <w:pPr>
        <w:spacing w:line="360" w:lineRule="auto"/>
        <w:jc w:val="right"/>
        <w:rPr>
          <w:rFonts w:ascii="宋体" w:hAnsi="宋体"/>
          <w:b/>
          <w:bCs/>
          <w:color w:val="000000"/>
          <w:sz w:val="24"/>
          <w:lang w:val="en-GB"/>
        </w:rPr>
      </w:pPr>
      <w:r w:rsidRPr="00E75B43">
        <w:rPr>
          <w:rFonts w:ascii="宋体" w:hAnsi="宋体" w:cs="宋体" w:hint="eastAsia"/>
          <w:color w:val="000000"/>
          <w:kern w:val="0"/>
          <w:sz w:val="24"/>
        </w:rPr>
        <w:t>单位：人民币元</w:t>
      </w:r>
    </w:p>
    <w:tbl>
      <w:tblPr>
        <w:tblW w:w="5000" w:type="pct"/>
        <w:tblLook w:val="04A0"/>
      </w:tblPr>
      <w:tblGrid>
        <w:gridCol w:w="5577"/>
        <w:gridCol w:w="2945"/>
      </w:tblGrid>
      <w:tr w:rsidR="00435098" w:rsidRPr="00E75B43" w:rsidTr="00E75B43">
        <w:trPr>
          <w:trHeight w:val="435"/>
        </w:trPr>
        <w:tc>
          <w:tcPr>
            <w:tcW w:w="3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098" w:rsidRPr="00E75B43" w:rsidRDefault="00435098" w:rsidP="007C4947">
            <w:pPr>
              <w:widowControl/>
              <w:jc w:val="center"/>
              <w:rPr>
                <w:rFonts w:ascii="宋体" w:hAnsi="宋体" w:cs="宋体"/>
                <w:b/>
                <w:color w:val="000000"/>
                <w:kern w:val="0"/>
                <w:sz w:val="24"/>
              </w:rPr>
            </w:pPr>
            <w:r w:rsidRPr="00E75B43">
              <w:rPr>
                <w:rFonts w:ascii="宋体" w:hAnsi="宋体" w:cs="宋体" w:hint="eastAsia"/>
                <w:b/>
                <w:color w:val="000000"/>
                <w:kern w:val="0"/>
                <w:sz w:val="24"/>
              </w:rPr>
              <w:t>项目</w:t>
            </w:r>
          </w:p>
        </w:tc>
        <w:tc>
          <w:tcPr>
            <w:tcW w:w="1728" w:type="pct"/>
            <w:tcBorders>
              <w:top w:val="single" w:sz="4" w:space="0" w:color="auto"/>
              <w:left w:val="nil"/>
              <w:bottom w:val="single" w:sz="4" w:space="0" w:color="auto"/>
              <w:right w:val="single" w:sz="4" w:space="0" w:color="auto"/>
            </w:tcBorders>
            <w:shd w:val="clear" w:color="auto" w:fill="auto"/>
            <w:noWrap/>
            <w:vAlign w:val="center"/>
            <w:hideMark/>
          </w:tcPr>
          <w:p w:rsidR="00435098" w:rsidRPr="00E75B43" w:rsidRDefault="00435098" w:rsidP="007C4947">
            <w:pPr>
              <w:widowControl/>
              <w:jc w:val="center"/>
              <w:rPr>
                <w:rFonts w:ascii="宋体" w:hAnsi="宋体" w:cs="宋体"/>
                <w:b/>
                <w:color w:val="000000"/>
                <w:kern w:val="0"/>
                <w:sz w:val="24"/>
              </w:rPr>
            </w:pPr>
            <w:r w:rsidRPr="00E75B43">
              <w:rPr>
                <w:rFonts w:ascii="宋体" w:hAnsi="宋体" w:cs="宋体" w:hint="eastAsia"/>
                <w:b/>
                <w:color w:val="000000"/>
                <w:kern w:val="0"/>
                <w:sz w:val="24"/>
              </w:rPr>
              <w:t>金额</w:t>
            </w:r>
          </w:p>
        </w:tc>
      </w:tr>
      <w:tr w:rsidR="00435098" w:rsidRPr="00E75B43" w:rsidTr="00E75B43">
        <w:trPr>
          <w:trHeight w:val="435"/>
        </w:trPr>
        <w:tc>
          <w:tcPr>
            <w:tcW w:w="3272" w:type="pct"/>
            <w:tcBorders>
              <w:top w:val="nil"/>
              <w:left w:val="single" w:sz="4" w:space="0" w:color="auto"/>
              <w:bottom w:val="single" w:sz="4" w:space="0" w:color="auto"/>
              <w:right w:val="single" w:sz="4" w:space="0" w:color="auto"/>
            </w:tcBorders>
            <w:shd w:val="clear" w:color="auto" w:fill="auto"/>
            <w:noWrap/>
            <w:vAlign w:val="center"/>
            <w:hideMark/>
          </w:tcPr>
          <w:p w:rsidR="00435098" w:rsidRPr="00E75B43" w:rsidRDefault="00435098" w:rsidP="007C4947">
            <w:pPr>
              <w:widowControl/>
              <w:jc w:val="left"/>
              <w:rPr>
                <w:rFonts w:ascii="宋体" w:hAnsi="宋体" w:cs="宋体"/>
                <w:color w:val="000000"/>
                <w:kern w:val="0"/>
                <w:sz w:val="24"/>
              </w:rPr>
            </w:pPr>
            <w:r w:rsidRPr="00E75B43">
              <w:rPr>
                <w:rFonts w:ascii="宋体" w:hAnsi="宋体" w:cs="宋体" w:hint="eastAsia"/>
                <w:color w:val="000000"/>
                <w:kern w:val="0"/>
                <w:sz w:val="24"/>
              </w:rPr>
              <w:t>一、最后运作日2018年0</w:t>
            </w:r>
            <w:r w:rsidR="000402DD" w:rsidRPr="00E75B43">
              <w:rPr>
                <w:rFonts w:ascii="宋体" w:hAnsi="宋体" w:cs="宋体" w:hint="eastAsia"/>
                <w:color w:val="000000"/>
                <w:kern w:val="0"/>
                <w:sz w:val="24"/>
              </w:rPr>
              <w:t>6</w:t>
            </w:r>
            <w:r w:rsidRPr="00E75B43">
              <w:rPr>
                <w:rFonts w:ascii="宋体" w:hAnsi="宋体" w:cs="宋体" w:hint="eastAsia"/>
                <w:color w:val="000000"/>
                <w:kern w:val="0"/>
                <w:sz w:val="24"/>
              </w:rPr>
              <w:t>月2</w:t>
            </w:r>
            <w:r w:rsidR="000402DD" w:rsidRPr="00E75B43">
              <w:rPr>
                <w:rFonts w:ascii="宋体" w:hAnsi="宋体" w:cs="宋体" w:hint="eastAsia"/>
                <w:color w:val="000000"/>
                <w:kern w:val="0"/>
                <w:sz w:val="24"/>
              </w:rPr>
              <w:t>5</w:t>
            </w:r>
            <w:r w:rsidRPr="00E75B43">
              <w:rPr>
                <w:rFonts w:ascii="宋体" w:hAnsi="宋体" w:cs="宋体" w:hint="eastAsia"/>
                <w:color w:val="000000"/>
                <w:kern w:val="0"/>
                <w:sz w:val="24"/>
              </w:rPr>
              <w:t>日基金净资产</w:t>
            </w:r>
          </w:p>
        </w:tc>
        <w:tc>
          <w:tcPr>
            <w:tcW w:w="1728" w:type="pct"/>
            <w:tcBorders>
              <w:top w:val="nil"/>
              <w:left w:val="nil"/>
              <w:bottom w:val="single" w:sz="4" w:space="0" w:color="auto"/>
              <w:right w:val="single" w:sz="4" w:space="0" w:color="auto"/>
            </w:tcBorders>
            <w:shd w:val="clear" w:color="auto" w:fill="auto"/>
            <w:noWrap/>
            <w:vAlign w:val="center"/>
            <w:hideMark/>
          </w:tcPr>
          <w:p w:rsidR="00435098" w:rsidRPr="00E75B43" w:rsidRDefault="00115ECB" w:rsidP="007C4947">
            <w:pPr>
              <w:widowControl/>
              <w:jc w:val="right"/>
              <w:rPr>
                <w:rFonts w:ascii="宋体" w:hAnsi="宋体" w:cs="宋体"/>
                <w:color w:val="000000"/>
                <w:kern w:val="0"/>
                <w:sz w:val="24"/>
              </w:rPr>
            </w:pPr>
            <w:r w:rsidRPr="00E75B43">
              <w:rPr>
                <w:rFonts w:ascii="宋体" w:hAnsi="宋体" w:cs="宋体"/>
                <w:color w:val="000000"/>
                <w:kern w:val="0"/>
                <w:sz w:val="24"/>
              </w:rPr>
              <w:t>10,537,436.25</w:t>
            </w:r>
          </w:p>
        </w:tc>
      </w:tr>
      <w:tr w:rsidR="00435098" w:rsidRPr="00E75B43" w:rsidTr="00E75B43">
        <w:trPr>
          <w:trHeight w:val="435"/>
        </w:trPr>
        <w:tc>
          <w:tcPr>
            <w:tcW w:w="3272" w:type="pct"/>
            <w:tcBorders>
              <w:top w:val="nil"/>
              <w:left w:val="single" w:sz="4" w:space="0" w:color="auto"/>
              <w:bottom w:val="single" w:sz="4" w:space="0" w:color="auto"/>
              <w:right w:val="single" w:sz="4" w:space="0" w:color="auto"/>
            </w:tcBorders>
            <w:shd w:val="clear" w:color="auto" w:fill="auto"/>
            <w:noWrap/>
            <w:vAlign w:val="center"/>
            <w:hideMark/>
          </w:tcPr>
          <w:p w:rsidR="00435098" w:rsidRPr="00E75B43" w:rsidRDefault="00435098" w:rsidP="007C4947">
            <w:pPr>
              <w:widowControl/>
              <w:jc w:val="left"/>
              <w:rPr>
                <w:rFonts w:ascii="宋体" w:hAnsi="宋体" w:cs="宋体"/>
                <w:color w:val="000000"/>
                <w:kern w:val="0"/>
                <w:sz w:val="24"/>
              </w:rPr>
            </w:pPr>
            <w:r w:rsidRPr="00E75B43">
              <w:rPr>
                <w:rFonts w:ascii="宋体" w:hAnsi="宋体" w:cs="宋体" w:hint="eastAsia"/>
                <w:color w:val="000000"/>
                <w:kern w:val="0"/>
                <w:sz w:val="24"/>
              </w:rPr>
              <w:t>加：清算期间净收益</w:t>
            </w:r>
          </w:p>
        </w:tc>
        <w:tc>
          <w:tcPr>
            <w:tcW w:w="1728" w:type="pct"/>
            <w:tcBorders>
              <w:top w:val="nil"/>
              <w:left w:val="nil"/>
              <w:bottom w:val="single" w:sz="4" w:space="0" w:color="auto"/>
              <w:right w:val="single" w:sz="4" w:space="0" w:color="auto"/>
            </w:tcBorders>
            <w:shd w:val="clear" w:color="auto" w:fill="auto"/>
            <w:noWrap/>
            <w:vAlign w:val="center"/>
            <w:hideMark/>
          </w:tcPr>
          <w:p w:rsidR="00435098" w:rsidRPr="00E75B43" w:rsidRDefault="00694256" w:rsidP="007C4947">
            <w:pPr>
              <w:widowControl/>
              <w:jc w:val="right"/>
              <w:rPr>
                <w:rFonts w:ascii="宋体" w:hAnsi="宋体" w:cs="宋体"/>
                <w:color w:val="000000"/>
                <w:kern w:val="0"/>
                <w:sz w:val="24"/>
              </w:rPr>
            </w:pPr>
            <w:r w:rsidRPr="00E75B43">
              <w:rPr>
                <w:rFonts w:ascii="宋体" w:hAnsi="宋体" w:cs="宋体"/>
                <w:color w:val="000000"/>
                <w:kern w:val="0"/>
                <w:sz w:val="24"/>
              </w:rPr>
              <w:t>21,</w:t>
            </w:r>
            <w:r w:rsidR="007E513D" w:rsidRPr="00E75B43">
              <w:rPr>
                <w:rFonts w:ascii="宋体" w:hAnsi="宋体" w:cs="宋体" w:hint="eastAsia"/>
                <w:color w:val="000000"/>
                <w:kern w:val="0"/>
                <w:sz w:val="24"/>
              </w:rPr>
              <w:t>084</w:t>
            </w:r>
            <w:r w:rsidRPr="00E75B43">
              <w:rPr>
                <w:rFonts w:ascii="宋体" w:hAnsi="宋体" w:cs="宋体"/>
                <w:color w:val="000000"/>
                <w:kern w:val="0"/>
                <w:sz w:val="24"/>
              </w:rPr>
              <w:t>.09</w:t>
            </w:r>
          </w:p>
        </w:tc>
      </w:tr>
      <w:tr w:rsidR="00435098" w:rsidRPr="00E75B43" w:rsidTr="00E75B43">
        <w:trPr>
          <w:trHeight w:val="435"/>
        </w:trPr>
        <w:tc>
          <w:tcPr>
            <w:tcW w:w="3272" w:type="pct"/>
            <w:tcBorders>
              <w:top w:val="nil"/>
              <w:left w:val="single" w:sz="4" w:space="0" w:color="auto"/>
              <w:bottom w:val="single" w:sz="4" w:space="0" w:color="auto"/>
              <w:right w:val="single" w:sz="4" w:space="0" w:color="auto"/>
            </w:tcBorders>
            <w:shd w:val="clear" w:color="auto" w:fill="auto"/>
            <w:noWrap/>
            <w:vAlign w:val="center"/>
            <w:hideMark/>
          </w:tcPr>
          <w:p w:rsidR="00435098" w:rsidRPr="00E75B43" w:rsidRDefault="00435098" w:rsidP="007C4947">
            <w:pPr>
              <w:widowControl/>
              <w:jc w:val="left"/>
              <w:rPr>
                <w:rFonts w:ascii="宋体" w:hAnsi="宋体" w:cs="宋体"/>
                <w:color w:val="000000"/>
                <w:kern w:val="0"/>
                <w:sz w:val="24"/>
              </w:rPr>
            </w:pPr>
            <w:r w:rsidRPr="00E75B43">
              <w:rPr>
                <w:rFonts w:ascii="宋体" w:hAnsi="宋体" w:cs="宋体" w:hint="eastAsia"/>
                <w:color w:val="000000"/>
                <w:kern w:val="0"/>
                <w:sz w:val="24"/>
              </w:rPr>
              <w:t>二、2018年0</w:t>
            </w:r>
            <w:r w:rsidR="00424490" w:rsidRPr="00E75B43">
              <w:rPr>
                <w:rFonts w:ascii="宋体" w:hAnsi="宋体" w:cs="宋体" w:hint="eastAsia"/>
                <w:color w:val="000000"/>
                <w:kern w:val="0"/>
                <w:sz w:val="24"/>
              </w:rPr>
              <w:t>7</w:t>
            </w:r>
            <w:r w:rsidRPr="00E75B43">
              <w:rPr>
                <w:rFonts w:ascii="宋体" w:hAnsi="宋体" w:cs="宋体" w:hint="eastAsia"/>
                <w:color w:val="000000"/>
                <w:kern w:val="0"/>
                <w:sz w:val="24"/>
              </w:rPr>
              <w:t>月</w:t>
            </w:r>
            <w:r w:rsidR="00424490" w:rsidRPr="00E75B43">
              <w:rPr>
                <w:rFonts w:ascii="宋体" w:hAnsi="宋体" w:cs="宋体" w:hint="eastAsia"/>
                <w:color w:val="000000"/>
                <w:kern w:val="0"/>
                <w:sz w:val="24"/>
              </w:rPr>
              <w:t>05</w:t>
            </w:r>
            <w:r w:rsidRPr="00E75B43">
              <w:rPr>
                <w:rFonts w:ascii="宋体" w:hAnsi="宋体" w:cs="宋体" w:hint="eastAsia"/>
                <w:color w:val="000000"/>
                <w:kern w:val="0"/>
                <w:sz w:val="24"/>
              </w:rPr>
              <w:t>日基金净资产</w:t>
            </w:r>
          </w:p>
        </w:tc>
        <w:tc>
          <w:tcPr>
            <w:tcW w:w="1728" w:type="pct"/>
            <w:tcBorders>
              <w:top w:val="nil"/>
              <w:left w:val="nil"/>
              <w:bottom w:val="single" w:sz="4" w:space="0" w:color="auto"/>
              <w:right w:val="single" w:sz="4" w:space="0" w:color="auto"/>
            </w:tcBorders>
            <w:shd w:val="clear" w:color="auto" w:fill="auto"/>
            <w:noWrap/>
            <w:vAlign w:val="center"/>
            <w:hideMark/>
          </w:tcPr>
          <w:p w:rsidR="00435098" w:rsidRPr="00E75B43" w:rsidRDefault="007E513D" w:rsidP="007C4947">
            <w:pPr>
              <w:widowControl/>
              <w:jc w:val="right"/>
              <w:rPr>
                <w:rFonts w:ascii="宋体" w:hAnsi="宋体" w:cs="宋体"/>
                <w:color w:val="000000"/>
                <w:kern w:val="0"/>
                <w:sz w:val="24"/>
              </w:rPr>
            </w:pPr>
            <w:r w:rsidRPr="00E75B43">
              <w:rPr>
                <w:rFonts w:ascii="宋体" w:hAnsi="宋体" w:cs="宋体"/>
                <w:color w:val="000000"/>
                <w:kern w:val="0"/>
                <w:sz w:val="24"/>
              </w:rPr>
              <w:t>10,558,520.34</w:t>
            </w:r>
          </w:p>
        </w:tc>
      </w:tr>
    </w:tbl>
    <w:p w:rsidR="00D928CC" w:rsidRPr="00E75B43" w:rsidRDefault="00D928CC" w:rsidP="00E75B43">
      <w:pPr>
        <w:spacing w:line="360" w:lineRule="auto"/>
        <w:ind w:firstLineChars="200" w:firstLine="480"/>
        <w:rPr>
          <w:rFonts w:ascii="宋体" w:hAnsi="宋体" w:cs="宋体"/>
          <w:color w:val="000000"/>
          <w:kern w:val="0"/>
          <w:sz w:val="24"/>
        </w:rPr>
      </w:pPr>
      <w:r w:rsidRPr="00E75B43">
        <w:rPr>
          <w:rFonts w:ascii="宋体" w:hAnsi="宋体" w:cs="宋体" w:hint="eastAsia"/>
          <w:color w:val="000000"/>
          <w:kern w:val="0"/>
          <w:sz w:val="24"/>
        </w:rPr>
        <w:t>资产处置及负债清偿后，于2018年0</w:t>
      </w:r>
      <w:r w:rsidR="0092641E" w:rsidRPr="00E75B43">
        <w:rPr>
          <w:rFonts w:ascii="宋体" w:hAnsi="宋体" w:cs="宋体" w:hint="eastAsia"/>
          <w:color w:val="000000"/>
          <w:kern w:val="0"/>
          <w:sz w:val="24"/>
        </w:rPr>
        <w:t>7</w:t>
      </w:r>
      <w:r w:rsidRPr="00E75B43">
        <w:rPr>
          <w:rFonts w:ascii="宋体" w:hAnsi="宋体" w:cs="宋体" w:hint="eastAsia"/>
          <w:color w:val="000000"/>
          <w:kern w:val="0"/>
          <w:sz w:val="24"/>
        </w:rPr>
        <w:t>月</w:t>
      </w:r>
      <w:r w:rsidR="0092641E" w:rsidRPr="00E75B43">
        <w:rPr>
          <w:rFonts w:ascii="宋体" w:hAnsi="宋体" w:cs="宋体" w:hint="eastAsia"/>
          <w:color w:val="000000"/>
          <w:kern w:val="0"/>
          <w:sz w:val="24"/>
        </w:rPr>
        <w:t>05</w:t>
      </w:r>
      <w:r w:rsidRPr="00E75B43">
        <w:rPr>
          <w:rFonts w:ascii="宋体" w:hAnsi="宋体" w:cs="宋体" w:hint="eastAsia"/>
          <w:color w:val="000000"/>
          <w:kern w:val="0"/>
          <w:sz w:val="24"/>
        </w:rPr>
        <w:t>日本基金剩余财产为人民币</w:t>
      </w:r>
      <w:r w:rsidR="00424490" w:rsidRPr="00E75B43">
        <w:rPr>
          <w:rFonts w:ascii="宋体" w:hAnsi="宋体" w:cs="宋体"/>
          <w:color w:val="000000"/>
          <w:kern w:val="0"/>
          <w:sz w:val="24"/>
        </w:rPr>
        <w:t>10,558,520.34</w:t>
      </w:r>
      <w:r w:rsidRPr="00E75B43">
        <w:rPr>
          <w:rFonts w:ascii="宋体" w:hAnsi="宋体" w:cs="宋体" w:hint="eastAsia"/>
          <w:color w:val="000000"/>
          <w:kern w:val="0"/>
          <w:sz w:val="24"/>
        </w:rPr>
        <w:t>元。根据本基金的基金合同约定，依据基金财产清算的分配方案，将基金财产清算后的全部剩余资产扣除基金财产清算费用、交纳所欠税款并清偿基金债务后，按基金份额持有人持有的基金份额比例进行分配。</w:t>
      </w:r>
    </w:p>
    <w:p w:rsidR="00D928CC" w:rsidRPr="00E75B43" w:rsidRDefault="00D928CC" w:rsidP="00E75B43">
      <w:pPr>
        <w:spacing w:line="360" w:lineRule="auto"/>
        <w:ind w:firstLineChars="200" w:firstLine="480"/>
        <w:rPr>
          <w:rFonts w:ascii="宋体" w:hAnsi="宋体" w:cs="宋体"/>
          <w:color w:val="000000"/>
          <w:kern w:val="0"/>
          <w:sz w:val="24"/>
        </w:rPr>
      </w:pPr>
      <w:r w:rsidRPr="00E75B43">
        <w:rPr>
          <w:rFonts w:ascii="宋体" w:hAnsi="宋体" w:cs="宋体" w:hint="eastAsia"/>
          <w:color w:val="000000"/>
          <w:kern w:val="0"/>
          <w:sz w:val="24"/>
        </w:rPr>
        <w:t>清算起始日2018年0</w:t>
      </w:r>
      <w:r w:rsidR="004158F5" w:rsidRPr="00E75B43">
        <w:rPr>
          <w:rFonts w:ascii="宋体" w:hAnsi="宋体" w:cs="宋体" w:hint="eastAsia"/>
          <w:color w:val="000000"/>
          <w:kern w:val="0"/>
          <w:sz w:val="24"/>
        </w:rPr>
        <w:t>6</w:t>
      </w:r>
      <w:r w:rsidRPr="00E75B43">
        <w:rPr>
          <w:rFonts w:ascii="宋体" w:hAnsi="宋体" w:cs="宋体" w:hint="eastAsia"/>
          <w:color w:val="000000"/>
          <w:kern w:val="0"/>
          <w:sz w:val="24"/>
        </w:rPr>
        <w:t>月2</w:t>
      </w:r>
      <w:r w:rsidR="0092641E" w:rsidRPr="00E75B43">
        <w:rPr>
          <w:rFonts w:ascii="宋体" w:hAnsi="宋体" w:cs="宋体" w:hint="eastAsia"/>
          <w:color w:val="000000"/>
          <w:kern w:val="0"/>
          <w:sz w:val="24"/>
        </w:rPr>
        <w:t>6</w:t>
      </w:r>
      <w:r w:rsidRPr="00E75B43">
        <w:rPr>
          <w:rFonts w:ascii="宋体" w:hAnsi="宋体" w:cs="宋体" w:hint="eastAsia"/>
          <w:color w:val="000000"/>
          <w:kern w:val="0"/>
          <w:sz w:val="24"/>
        </w:rPr>
        <w:t>日至清算款划出日前一日的银行存款产生的利息亦属于基金份额持有人所有。</w:t>
      </w:r>
    </w:p>
    <w:p w:rsidR="00FD55DD" w:rsidRDefault="00FD55DD">
      <w:pPr>
        <w:spacing w:line="360" w:lineRule="auto"/>
        <w:rPr>
          <w:rFonts w:ascii="宋体" w:hAnsi="宋体"/>
          <w:b/>
          <w:bCs/>
          <w:color w:val="000000"/>
          <w:sz w:val="24"/>
          <w:lang w:val="en-GB"/>
        </w:rPr>
      </w:pPr>
    </w:p>
    <w:p w:rsidR="00317386" w:rsidRPr="00317386" w:rsidRDefault="00317386">
      <w:pPr>
        <w:spacing w:line="360" w:lineRule="auto"/>
        <w:rPr>
          <w:rFonts w:ascii="宋体" w:hAnsi="宋体"/>
          <w:b/>
          <w:bCs/>
          <w:color w:val="000000"/>
          <w:sz w:val="24"/>
          <w:lang w:val="en-GB"/>
        </w:rPr>
      </w:pPr>
      <w:r w:rsidRPr="00317386">
        <w:rPr>
          <w:rFonts w:ascii="宋体" w:hAnsi="宋体" w:hint="eastAsia"/>
          <w:b/>
          <w:bCs/>
          <w:color w:val="000000"/>
          <w:sz w:val="24"/>
          <w:lang w:val="en-GB"/>
        </w:rPr>
        <w:t>5.6基金财产清算报告的告知安排</w:t>
      </w:r>
    </w:p>
    <w:p w:rsidR="00317386" w:rsidRPr="00317386" w:rsidRDefault="00317386" w:rsidP="00E75B43">
      <w:pPr>
        <w:spacing w:line="360" w:lineRule="auto"/>
        <w:ind w:firstLineChars="200" w:firstLine="480"/>
        <w:rPr>
          <w:rFonts w:ascii="宋体" w:hAnsi="宋体"/>
          <w:bCs/>
          <w:color w:val="000000"/>
          <w:sz w:val="24"/>
          <w:lang w:val="en-GB"/>
        </w:rPr>
      </w:pPr>
      <w:r w:rsidRPr="00317386">
        <w:rPr>
          <w:rFonts w:ascii="宋体" w:hAnsi="宋体" w:hint="eastAsia"/>
          <w:bCs/>
          <w:color w:val="000000"/>
          <w:sz w:val="24"/>
          <w:lang w:val="en-GB"/>
        </w:rPr>
        <w:t>本清算报告已经基金托管人复核，在经会计师事务所审计、律师事务所出具法律意见书后，报中国证监会备案并向基金份额持有人公告。</w:t>
      </w:r>
    </w:p>
    <w:p w:rsidR="00317386" w:rsidRPr="00317386" w:rsidRDefault="00317386">
      <w:pPr>
        <w:spacing w:line="360" w:lineRule="auto"/>
        <w:rPr>
          <w:rFonts w:ascii="宋体" w:hAnsi="宋体"/>
          <w:bCs/>
          <w:color w:val="000000"/>
          <w:sz w:val="24"/>
          <w:lang w:val="en-GB"/>
        </w:rPr>
      </w:pPr>
    </w:p>
    <w:p w:rsidR="00317386" w:rsidRPr="00317386" w:rsidRDefault="00317386">
      <w:pPr>
        <w:spacing w:line="360" w:lineRule="auto"/>
        <w:jc w:val="center"/>
        <w:rPr>
          <w:rFonts w:ascii="宋体" w:hAnsi="宋体"/>
          <w:b/>
          <w:bCs/>
          <w:color w:val="000000"/>
          <w:sz w:val="24"/>
          <w:lang w:val="en-GB"/>
        </w:rPr>
      </w:pPr>
      <w:r w:rsidRPr="00317386">
        <w:rPr>
          <w:rFonts w:ascii="宋体" w:hAnsi="宋体" w:hint="eastAsia"/>
          <w:b/>
          <w:bCs/>
          <w:color w:val="000000"/>
          <w:sz w:val="24"/>
          <w:lang w:val="en-GB"/>
        </w:rPr>
        <w:t>6、备查文件目录</w:t>
      </w:r>
    </w:p>
    <w:p w:rsidR="00317386" w:rsidRPr="00317386" w:rsidRDefault="00317386">
      <w:pPr>
        <w:spacing w:line="360" w:lineRule="auto"/>
        <w:rPr>
          <w:rStyle w:val="aa"/>
          <w:rFonts w:ascii="宋体" w:hAnsi="宋体"/>
          <w:color w:val="000000"/>
          <w:sz w:val="24"/>
          <w:lang w:val="en-GB"/>
        </w:rPr>
      </w:pPr>
      <w:r w:rsidRPr="00317386">
        <w:rPr>
          <w:rStyle w:val="aa"/>
          <w:rFonts w:ascii="宋体" w:hAnsi="宋体" w:hint="eastAsia"/>
          <w:color w:val="000000"/>
          <w:sz w:val="24"/>
          <w:lang w:val="en-GB"/>
        </w:rPr>
        <w:t>6.1备查文件目录</w:t>
      </w:r>
    </w:p>
    <w:p w:rsidR="00317386" w:rsidRPr="008B0B33" w:rsidRDefault="00317386" w:rsidP="00E75B43">
      <w:pPr>
        <w:spacing w:line="360" w:lineRule="auto"/>
        <w:ind w:firstLineChars="200" w:firstLine="480"/>
        <w:rPr>
          <w:rFonts w:ascii="宋体" w:hAnsi="宋体"/>
          <w:sz w:val="24"/>
        </w:rPr>
      </w:pPr>
      <w:r w:rsidRPr="008B0B33">
        <w:rPr>
          <w:rFonts w:ascii="宋体" w:hAnsi="宋体" w:hint="eastAsia"/>
          <w:sz w:val="24"/>
        </w:rPr>
        <w:t>（1）</w:t>
      </w:r>
      <w:r w:rsidR="00470EFA" w:rsidRPr="008B0B33">
        <w:rPr>
          <w:rFonts w:ascii="宋体" w:hAnsi="宋体" w:hint="eastAsia"/>
          <w:sz w:val="24"/>
          <w:lang w:val="en-GB"/>
        </w:rPr>
        <w:t>信诚永丰一年定期开放混合型证券投资基金</w:t>
      </w:r>
      <w:r w:rsidRPr="008B0B33">
        <w:rPr>
          <w:rFonts w:ascii="宋体" w:hAnsi="宋体" w:hint="eastAsia"/>
          <w:sz w:val="24"/>
        </w:rPr>
        <w:t>财务报表及审计报告</w:t>
      </w:r>
    </w:p>
    <w:p w:rsidR="00317386" w:rsidRPr="008B0B33" w:rsidRDefault="00317386" w:rsidP="00E75B43">
      <w:pPr>
        <w:spacing w:line="360" w:lineRule="auto"/>
        <w:ind w:firstLineChars="200" w:firstLine="480"/>
        <w:rPr>
          <w:rFonts w:ascii="宋体" w:hAnsi="宋体"/>
          <w:sz w:val="24"/>
        </w:rPr>
      </w:pPr>
      <w:r w:rsidRPr="008B0B33">
        <w:rPr>
          <w:rFonts w:ascii="宋体" w:hAnsi="宋体" w:hint="eastAsia"/>
          <w:sz w:val="24"/>
        </w:rPr>
        <w:t>（2</w:t>
      </w:r>
      <w:r w:rsidR="006B6323" w:rsidRPr="008B0B33">
        <w:rPr>
          <w:rFonts w:ascii="宋体" w:hAnsi="宋体" w:hint="eastAsia"/>
          <w:sz w:val="24"/>
        </w:rPr>
        <w:t>）</w:t>
      </w:r>
      <w:r w:rsidR="008627D2" w:rsidRPr="008B0B33">
        <w:rPr>
          <w:rFonts w:ascii="宋体" w:hAnsi="宋体" w:hint="eastAsia"/>
          <w:sz w:val="24"/>
        </w:rPr>
        <w:t>上海源泰</w:t>
      </w:r>
      <w:r w:rsidRPr="008B0B33">
        <w:rPr>
          <w:rFonts w:ascii="宋体" w:hAnsi="宋体" w:hint="eastAsia"/>
          <w:sz w:val="24"/>
        </w:rPr>
        <w:t>律师事务所关于</w:t>
      </w:r>
      <w:r w:rsidR="00470EFA" w:rsidRPr="008B0B33">
        <w:rPr>
          <w:rFonts w:ascii="宋体" w:hAnsi="宋体" w:hint="eastAsia"/>
          <w:sz w:val="24"/>
          <w:lang w:val="en-GB"/>
        </w:rPr>
        <w:t>信诚永丰一年定期开放混合型证券投资基金</w:t>
      </w:r>
      <w:r w:rsidRPr="008B0B33">
        <w:rPr>
          <w:rFonts w:ascii="宋体" w:hAnsi="宋体" w:hint="eastAsia"/>
          <w:sz w:val="24"/>
        </w:rPr>
        <w:t>清算事宜之</w:t>
      </w:r>
      <w:r w:rsidRPr="008B0B33">
        <w:rPr>
          <w:rFonts w:ascii="宋体" w:hAnsi="宋体"/>
          <w:sz w:val="24"/>
        </w:rPr>
        <w:t>法律意见</w:t>
      </w:r>
    </w:p>
    <w:p w:rsidR="00317386" w:rsidRPr="00317386" w:rsidRDefault="00317386">
      <w:pPr>
        <w:spacing w:line="360" w:lineRule="auto"/>
        <w:rPr>
          <w:rStyle w:val="aa"/>
          <w:rFonts w:ascii="宋体" w:hAnsi="宋体"/>
          <w:color w:val="000000"/>
          <w:sz w:val="24"/>
          <w:lang w:val="en-GB"/>
        </w:rPr>
      </w:pPr>
      <w:r w:rsidRPr="00317386">
        <w:rPr>
          <w:rStyle w:val="aa"/>
          <w:rFonts w:ascii="宋体" w:hAnsi="宋体" w:hint="eastAsia"/>
          <w:color w:val="000000"/>
          <w:sz w:val="24"/>
          <w:lang w:val="en-GB"/>
        </w:rPr>
        <w:t>6.2存放地点</w:t>
      </w:r>
    </w:p>
    <w:p w:rsidR="00317386" w:rsidRPr="00317386" w:rsidRDefault="00317386">
      <w:pPr>
        <w:spacing w:line="360" w:lineRule="auto"/>
        <w:ind w:firstLineChars="200" w:firstLine="480"/>
        <w:rPr>
          <w:rStyle w:val="aa"/>
          <w:rFonts w:ascii="宋体" w:hAnsi="宋体"/>
          <w:b w:val="0"/>
          <w:color w:val="000000"/>
          <w:sz w:val="24"/>
          <w:lang w:val="en-GB"/>
        </w:rPr>
      </w:pPr>
      <w:r w:rsidRPr="00317386">
        <w:rPr>
          <w:rStyle w:val="aa"/>
          <w:rFonts w:ascii="宋体" w:hAnsi="宋体" w:hint="eastAsia"/>
          <w:b w:val="0"/>
          <w:color w:val="000000"/>
          <w:sz w:val="24"/>
          <w:lang w:val="en-GB"/>
        </w:rPr>
        <w:t>中信保诚基金管理有限公司办公地--中国（上海）自由贸易试验区世纪大道8号上海国金中心汇丰银行大楼9层。</w:t>
      </w:r>
    </w:p>
    <w:p w:rsidR="00317386" w:rsidRPr="00317386" w:rsidRDefault="00317386">
      <w:pPr>
        <w:spacing w:line="360" w:lineRule="auto"/>
        <w:rPr>
          <w:rStyle w:val="aa"/>
          <w:rFonts w:ascii="宋体" w:hAnsi="宋体"/>
          <w:color w:val="000000"/>
          <w:sz w:val="24"/>
          <w:lang w:val="en-GB"/>
        </w:rPr>
      </w:pPr>
      <w:r w:rsidRPr="00317386">
        <w:rPr>
          <w:rStyle w:val="aa"/>
          <w:rFonts w:ascii="宋体" w:hAnsi="宋体" w:hint="eastAsia"/>
          <w:color w:val="000000"/>
          <w:sz w:val="24"/>
          <w:lang w:val="en-GB"/>
        </w:rPr>
        <w:t>6.3查阅方式</w:t>
      </w:r>
    </w:p>
    <w:p w:rsidR="00317386" w:rsidRPr="00317386" w:rsidRDefault="00317386">
      <w:pPr>
        <w:spacing w:line="360" w:lineRule="auto"/>
        <w:ind w:firstLineChars="200" w:firstLine="480"/>
        <w:rPr>
          <w:rStyle w:val="aa"/>
          <w:rFonts w:ascii="宋体" w:hAnsi="宋体"/>
          <w:b w:val="0"/>
          <w:color w:val="000000"/>
          <w:sz w:val="24"/>
          <w:lang w:val="en-GB"/>
        </w:rPr>
      </w:pPr>
      <w:r w:rsidRPr="00317386">
        <w:rPr>
          <w:rStyle w:val="aa"/>
          <w:rFonts w:ascii="宋体" w:hAnsi="宋体" w:hint="eastAsia"/>
          <w:b w:val="0"/>
          <w:color w:val="000000"/>
          <w:sz w:val="24"/>
          <w:lang w:val="en-GB"/>
        </w:rPr>
        <w:t>投资者可在营业时间至公司办公地点免费查阅，也可按工本费购买复印件。</w:t>
      </w:r>
    </w:p>
    <w:p w:rsidR="00317386" w:rsidRDefault="00317386">
      <w:pPr>
        <w:spacing w:line="360" w:lineRule="auto"/>
        <w:ind w:firstLineChars="200" w:firstLine="480"/>
        <w:rPr>
          <w:rStyle w:val="aa"/>
          <w:rFonts w:ascii="宋体" w:hAnsi="宋体"/>
          <w:b w:val="0"/>
          <w:color w:val="000000"/>
          <w:sz w:val="24"/>
          <w:lang w:val="en-GB"/>
        </w:rPr>
      </w:pPr>
      <w:r w:rsidRPr="00317386">
        <w:rPr>
          <w:rStyle w:val="aa"/>
          <w:rFonts w:ascii="宋体" w:hAnsi="宋体" w:hint="eastAsia"/>
          <w:b w:val="0"/>
          <w:color w:val="000000"/>
          <w:sz w:val="24"/>
          <w:lang w:val="en-GB"/>
        </w:rPr>
        <w:t>亦可通过公司网站查阅，公司网址为</w:t>
      </w:r>
      <w:r w:rsidR="005C2AF1" w:rsidRPr="005C2AF1">
        <w:rPr>
          <w:rStyle w:val="aa"/>
          <w:rFonts w:ascii="宋体" w:hAnsi="宋体" w:hint="eastAsia"/>
          <w:b w:val="0"/>
          <w:bCs w:val="0"/>
          <w:color w:val="000000"/>
          <w:sz w:val="24"/>
          <w:lang w:val="en-GB"/>
        </w:rPr>
        <w:t>www.citicprufunds.com.cn</w:t>
      </w:r>
      <w:r w:rsidRPr="00317386">
        <w:rPr>
          <w:rStyle w:val="aa"/>
          <w:rFonts w:ascii="宋体" w:hAnsi="宋体" w:hint="eastAsia"/>
          <w:b w:val="0"/>
          <w:color w:val="000000"/>
          <w:sz w:val="24"/>
          <w:lang w:val="en-GB"/>
        </w:rPr>
        <w:t>。</w:t>
      </w:r>
    </w:p>
    <w:p w:rsidR="005C2AF1" w:rsidRDefault="005C2AF1">
      <w:pPr>
        <w:spacing w:line="360" w:lineRule="auto"/>
        <w:ind w:firstLineChars="200" w:firstLine="480"/>
        <w:rPr>
          <w:rStyle w:val="aa"/>
          <w:rFonts w:ascii="宋体" w:hAnsi="宋体"/>
          <w:b w:val="0"/>
          <w:color w:val="000000"/>
          <w:sz w:val="24"/>
          <w:lang w:val="en-GB"/>
        </w:rPr>
      </w:pPr>
    </w:p>
    <w:p w:rsidR="005C2AF1" w:rsidRPr="005C2AF1" w:rsidRDefault="005C2AF1">
      <w:pPr>
        <w:spacing w:line="360" w:lineRule="auto"/>
        <w:ind w:firstLineChars="200" w:firstLine="480"/>
        <w:rPr>
          <w:rStyle w:val="aa"/>
          <w:rFonts w:ascii="宋体" w:hAnsi="宋体"/>
          <w:b w:val="0"/>
          <w:color w:val="000000"/>
          <w:sz w:val="24"/>
          <w:lang w:val="en-GB"/>
        </w:rPr>
      </w:pPr>
    </w:p>
    <w:p w:rsidR="00317386" w:rsidRPr="00317386" w:rsidRDefault="00470EFA">
      <w:pPr>
        <w:spacing w:line="360" w:lineRule="auto"/>
        <w:jc w:val="right"/>
        <w:rPr>
          <w:rStyle w:val="aa"/>
          <w:rFonts w:ascii="宋体" w:hAnsi="宋体"/>
          <w:b w:val="0"/>
          <w:color w:val="000000"/>
          <w:sz w:val="24"/>
          <w:lang w:val="en-GB"/>
        </w:rPr>
      </w:pPr>
      <w:r>
        <w:rPr>
          <w:rStyle w:val="aa"/>
          <w:rFonts w:ascii="宋体" w:hAnsi="宋体" w:hint="eastAsia"/>
          <w:b w:val="0"/>
          <w:color w:val="000000"/>
          <w:sz w:val="24"/>
        </w:rPr>
        <w:t>信诚永丰一年定期开放混合型证券投资基金</w:t>
      </w:r>
    </w:p>
    <w:p w:rsidR="00317386" w:rsidRPr="00317386" w:rsidRDefault="00317386">
      <w:pPr>
        <w:spacing w:line="360" w:lineRule="auto"/>
        <w:jc w:val="right"/>
        <w:rPr>
          <w:rStyle w:val="aa"/>
          <w:rFonts w:ascii="宋体" w:hAnsi="宋体"/>
          <w:b w:val="0"/>
          <w:color w:val="000000"/>
          <w:sz w:val="24"/>
          <w:lang w:val="en-GB"/>
        </w:rPr>
      </w:pPr>
      <w:r w:rsidRPr="00317386">
        <w:rPr>
          <w:rStyle w:val="aa"/>
          <w:rFonts w:ascii="宋体" w:hAnsi="宋体" w:hint="eastAsia"/>
          <w:b w:val="0"/>
          <w:color w:val="000000"/>
          <w:sz w:val="24"/>
          <w:lang w:val="en-GB"/>
        </w:rPr>
        <w:t>基金财产清算小组</w:t>
      </w:r>
    </w:p>
    <w:p w:rsidR="00317386" w:rsidRPr="00317386" w:rsidRDefault="0097694F">
      <w:pPr>
        <w:wordWrap w:val="0"/>
        <w:spacing w:line="360" w:lineRule="auto"/>
        <w:jc w:val="right"/>
        <w:rPr>
          <w:rStyle w:val="aa"/>
          <w:rFonts w:ascii="宋体" w:hAnsi="宋体"/>
          <w:b w:val="0"/>
          <w:color w:val="000000"/>
          <w:sz w:val="24"/>
          <w:lang w:val="en-GB"/>
        </w:rPr>
      </w:pPr>
      <w:r w:rsidRPr="00317386">
        <w:rPr>
          <w:rStyle w:val="aa"/>
          <w:rFonts w:ascii="宋体" w:hAnsi="宋体" w:hint="eastAsia"/>
          <w:b w:val="0"/>
          <w:color w:val="000000"/>
          <w:sz w:val="24"/>
          <w:lang w:val="en-GB"/>
        </w:rPr>
        <w:t>2018</w:t>
      </w:r>
      <w:r w:rsidR="00317386" w:rsidRPr="00317386">
        <w:rPr>
          <w:rStyle w:val="aa"/>
          <w:rFonts w:ascii="宋体" w:hAnsi="宋体" w:hint="eastAsia"/>
          <w:b w:val="0"/>
          <w:color w:val="000000"/>
          <w:sz w:val="24"/>
          <w:lang w:val="en-GB"/>
        </w:rPr>
        <w:t>年</w:t>
      </w:r>
      <w:r w:rsidR="005C2AF1">
        <w:rPr>
          <w:rStyle w:val="aa"/>
          <w:rFonts w:ascii="宋体" w:hAnsi="宋体" w:hint="eastAsia"/>
          <w:b w:val="0"/>
          <w:color w:val="000000"/>
          <w:sz w:val="24"/>
          <w:lang w:val="en-GB"/>
        </w:rPr>
        <w:t>8</w:t>
      </w:r>
      <w:r w:rsidR="00317386" w:rsidRPr="00317386">
        <w:rPr>
          <w:rStyle w:val="aa"/>
          <w:rFonts w:ascii="宋体" w:hAnsi="宋体" w:hint="eastAsia"/>
          <w:b w:val="0"/>
          <w:color w:val="000000"/>
          <w:sz w:val="24"/>
          <w:lang w:val="en-GB"/>
        </w:rPr>
        <w:t>月</w:t>
      </w:r>
      <w:r w:rsidR="005C2AF1">
        <w:rPr>
          <w:rStyle w:val="aa"/>
          <w:rFonts w:ascii="宋体" w:hAnsi="宋体" w:hint="eastAsia"/>
          <w:b w:val="0"/>
          <w:color w:val="000000"/>
          <w:sz w:val="24"/>
          <w:lang w:val="en-GB"/>
        </w:rPr>
        <w:t>2</w:t>
      </w:r>
      <w:r w:rsidR="00D95961">
        <w:rPr>
          <w:rStyle w:val="aa"/>
          <w:rFonts w:ascii="宋体" w:hAnsi="宋体" w:hint="eastAsia"/>
          <w:b w:val="0"/>
          <w:color w:val="000000"/>
          <w:sz w:val="24"/>
          <w:lang w:val="en-GB"/>
        </w:rPr>
        <w:t>3</w:t>
      </w:r>
      <w:bookmarkStart w:id="1" w:name="_GoBack"/>
      <w:bookmarkEnd w:id="1"/>
      <w:r w:rsidR="00317386" w:rsidRPr="00317386">
        <w:rPr>
          <w:rStyle w:val="aa"/>
          <w:rFonts w:ascii="宋体" w:hAnsi="宋体" w:hint="eastAsia"/>
          <w:b w:val="0"/>
          <w:color w:val="000000"/>
          <w:sz w:val="24"/>
          <w:lang w:val="en-GB"/>
        </w:rPr>
        <w:t>日</w:t>
      </w:r>
    </w:p>
    <w:sectPr w:rsidR="00317386" w:rsidRPr="00317386" w:rsidSect="006C1368">
      <w:headerReference w:type="default" r:id="rId6"/>
      <w:footerReference w:type="default" r:id="rId7"/>
      <w:headerReference w:type="first" r:id="rId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2A417" w15:done="0"/>
  <w15:commentEx w15:paraId="5A5B5AA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C98" w:rsidRDefault="00226C98">
      <w:r>
        <w:separator/>
      </w:r>
    </w:p>
  </w:endnote>
  <w:endnote w:type="continuationSeparator" w:id="1">
    <w:p w:rsidR="00226C98" w:rsidRDefault="00226C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F" w:rsidRDefault="006C1368" w:rsidP="00722EAF">
    <w:pPr>
      <w:pStyle w:val="a5"/>
      <w:jc w:val="center"/>
    </w:pPr>
    <w:r>
      <w:fldChar w:fldCharType="begin"/>
    </w:r>
    <w:r w:rsidR="00722EAF">
      <w:instrText>PAGE   \* MERGEFORMAT</w:instrText>
    </w:r>
    <w:r>
      <w:fldChar w:fldCharType="separate"/>
    </w:r>
    <w:r w:rsidR="00DD0208" w:rsidRPr="00DD0208">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C98" w:rsidRDefault="00226C98">
      <w:r>
        <w:separator/>
      </w:r>
    </w:p>
  </w:footnote>
  <w:footnote w:type="continuationSeparator" w:id="1">
    <w:p w:rsidR="00226C98" w:rsidRDefault="00226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F1" w:rsidRDefault="005C2AF1" w:rsidP="005C2AF1">
    <w:pPr>
      <w:pStyle w:val="a8"/>
      <w:jc w:val="right"/>
    </w:pPr>
    <w:r>
      <w:rPr>
        <w:rFonts w:hint="eastAsia"/>
      </w:rPr>
      <w:t>信诚永丰一年定期开放混合型证券投资基金清算报告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386" w:rsidRDefault="00317386">
    <w:pPr>
      <w:pStyle w:val="a8"/>
      <w:jc w:val="both"/>
    </w:pPr>
    <w:r>
      <w:rPr>
        <w:szCs w:val="24"/>
      </w:rPr>
      <w:t>heng</w:t>
    </w:r>
    <w:r>
      <w:t>Heng</w:t>
    </w:r>
  </w:p>
  <w:p w:rsidR="00317386" w:rsidRDefault="00317386">
    <w:r>
      <w:t>恒</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savePreviewPicture/>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5044"/>
    <w:rsid w:val="00021B2D"/>
    <w:rsid w:val="00026625"/>
    <w:rsid w:val="00033B3B"/>
    <w:rsid w:val="000402DD"/>
    <w:rsid w:val="00043F1F"/>
    <w:rsid w:val="0006078F"/>
    <w:rsid w:val="00061B4D"/>
    <w:rsid w:val="000620A9"/>
    <w:rsid w:val="000649E7"/>
    <w:rsid w:val="000662D1"/>
    <w:rsid w:val="00066D7F"/>
    <w:rsid w:val="00067CE2"/>
    <w:rsid w:val="00075678"/>
    <w:rsid w:val="00082763"/>
    <w:rsid w:val="00083413"/>
    <w:rsid w:val="000C2ADA"/>
    <w:rsid w:val="000E393B"/>
    <w:rsid w:val="00104C44"/>
    <w:rsid w:val="001114BC"/>
    <w:rsid w:val="00115ECB"/>
    <w:rsid w:val="00123F85"/>
    <w:rsid w:val="00126FFA"/>
    <w:rsid w:val="00142762"/>
    <w:rsid w:val="00144392"/>
    <w:rsid w:val="001476DD"/>
    <w:rsid w:val="00154B74"/>
    <w:rsid w:val="00162D7B"/>
    <w:rsid w:val="00163E1D"/>
    <w:rsid w:val="001658C5"/>
    <w:rsid w:val="001756CD"/>
    <w:rsid w:val="001A55E6"/>
    <w:rsid w:val="001E1690"/>
    <w:rsid w:val="001F02A9"/>
    <w:rsid w:val="001F2003"/>
    <w:rsid w:val="001F635A"/>
    <w:rsid w:val="001F6491"/>
    <w:rsid w:val="0020020E"/>
    <w:rsid w:val="00207039"/>
    <w:rsid w:val="00226C98"/>
    <w:rsid w:val="00240F9E"/>
    <w:rsid w:val="00245415"/>
    <w:rsid w:val="002608F6"/>
    <w:rsid w:val="00266220"/>
    <w:rsid w:val="002768FB"/>
    <w:rsid w:val="00294A76"/>
    <w:rsid w:val="002A224C"/>
    <w:rsid w:val="002A7752"/>
    <w:rsid w:val="002B3490"/>
    <w:rsid w:val="002B6B2C"/>
    <w:rsid w:val="002F54D2"/>
    <w:rsid w:val="003069CC"/>
    <w:rsid w:val="00317386"/>
    <w:rsid w:val="00337045"/>
    <w:rsid w:val="00347C65"/>
    <w:rsid w:val="00351157"/>
    <w:rsid w:val="003603E6"/>
    <w:rsid w:val="003842B6"/>
    <w:rsid w:val="00390033"/>
    <w:rsid w:val="00390E6F"/>
    <w:rsid w:val="003A3B45"/>
    <w:rsid w:val="003B497D"/>
    <w:rsid w:val="003D3306"/>
    <w:rsid w:val="003D3DB4"/>
    <w:rsid w:val="003E594B"/>
    <w:rsid w:val="003E5E91"/>
    <w:rsid w:val="003F7430"/>
    <w:rsid w:val="004109D3"/>
    <w:rsid w:val="004158F5"/>
    <w:rsid w:val="00417D87"/>
    <w:rsid w:val="004223A1"/>
    <w:rsid w:val="00424490"/>
    <w:rsid w:val="00426DEC"/>
    <w:rsid w:val="00430554"/>
    <w:rsid w:val="00435098"/>
    <w:rsid w:val="00441A29"/>
    <w:rsid w:val="00445CBE"/>
    <w:rsid w:val="00452EF2"/>
    <w:rsid w:val="00464532"/>
    <w:rsid w:val="004669E8"/>
    <w:rsid w:val="00467EBE"/>
    <w:rsid w:val="00470EFA"/>
    <w:rsid w:val="004836D4"/>
    <w:rsid w:val="0048598E"/>
    <w:rsid w:val="004A025A"/>
    <w:rsid w:val="004A343F"/>
    <w:rsid w:val="004C1D06"/>
    <w:rsid w:val="004D25A4"/>
    <w:rsid w:val="004D4087"/>
    <w:rsid w:val="004E4206"/>
    <w:rsid w:val="004E51D4"/>
    <w:rsid w:val="004E6FEB"/>
    <w:rsid w:val="0050581F"/>
    <w:rsid w:val="00512F34"/>
    <w:rsid w:val="00521EDF"/>
    <w:rsid w:val="00523568"/>
    <w:rsid w:val="00537B1F"/>
    <w:rsid w:val="00562964"/>
    <w:rsid w:val="005715A3"/>
    <w:rsid w:val="005770BA"/>
    <w:rsid w:val="00582E58"/>
    <w:rsid w:val="005849A4"/>
    <w:rsid w:val="00585F79"/>
    <w:rsid w:val="00586205"/>
    <w:rsid w:val="00597211"/>
    <w:rsid w:val="005A08E9"/>
    <w:rsid w:val="005A117E"/>
    <w:rsid w:val="005A1698"/>
    <w:rsid w:val="005A6EAB"/>
    <w:rsid w:val="005B0C0C"/>
    <w:rsid w:val="005B1D7C"/>
    <w:rsid w:val="005B540E"/>
    <w:rsid w:val="005B57AE"/>
    <w:rsid w:val="005C2AF1"/>
    <w:rsid w:val="005D54DB"/>
    <w:rsid w:val="005D63AD"/>
    <w:rsid w:val="005E34AB"/>
    <w:rsid w:val="00620929"/>
    <w:rsid w:val="00635576"/>
    <w:rsid w:val="00645A68"/>
    <w:rsid w:val="00656A46"/>
    <w:rsid w:val="006612F9"/>
    <w:rsid w:val="00666310"/>
    <w:rsid w:val="006778FE"/>
    <w:rsid w:val="00681A26"/>
    <w:rsid w:val="006820F4"/>
    <w:rsid w:val="00682B50"/>
    <w:rsid w:val="006921D9"/>
    <w:rsid w:val="00693C59"/>
    <w:rsid w:val="00694256"/>
    <w:rsid w:val="00695C90"/>
    <w:rsid w:val="00696C1D"/>
    <w:rsid w:val="006A1BB2"/>
    <w:rsid w:val="006A72D4"/>
    <w:rsid w:val="006B14B1"/>
    <w:rsid w:val="006B1C22"/>
    <w:rsid w:val="006B359F"/>
    <w:rsid w:val="006B5BA0"/>
    <w:rsid w:val="006B6323"/>
    <w:rsid w:val="006C1368"/>
    <w:rsid w:val="006D0210"/>
    <w:rsid w:val="006E1813"/>
    <w:rsid w:val="006E6C33"/>
    <w:rsid w:val="00700A7F"/>
    <w:rsid w:val="007061C7"/>
    <w:rsid w:val="00715CAD"/>
    <w:rsid w:val="00722EAF"/>
    <w:rsid w:val="007235A6"/>
    <w:rsid w:val="00731A1E"/>
    <w:rsid w:val="00740A17"/>
    <w:rsid w:val="0077548F"/>
    <w:rsid w:val="00775B7A"/>
    <w:rsid w:val="0078177C"/>
    <w:rsid w:val="00787E7F"/>
    <w:rsid w:val="007921A6"/>
    <w:rsid w:val="00793B24"/>
    <w:rsid w:val="007B0E58"/>
    <w:rsid w:val="007C4947"/>
    <w:rsid w:val="007D18E3"/>
    <w:rsid w:val="007D5044"/>
    <w:rsid w:val="007D5278"/>
    <w:rsid w:val="007E36DC"/>
    <w:rsid w:val="007E513D"/>
    <w:rsid w:val="007F3FC2"/>
    <w:rsid w:val="007F79DC"/>
    <w:rsid w:val="007F7C44"/>
    <w:rsid w:val="00845AD5"/>
    <w:rsid w:val="00856677"/>
    <w:rsid w:val="008627D2"/>
    <w:rsid w:val="008733FB"/>
    <w:rsid w:val="00875C44"/>
    <w:rsid w:val="0088183F"/>
    <w:rsid w:val="008A68AE"/>
    <w:rsid w:val="008B0B33"/>
    <w:rsid w:val="008B0ED8"/>
    <w:rsid w:val="008C14BB"/>
    <w:rsid w:val="008C4DC7"/>
    <w:rsid w:val="008C7456"/>
    <w:rsid w:val="008E44F8"/>
    <w:rsid w:val="008E5345"/>
    <w:rsid w:val="008E746F"/>
    <w:rsid w:val="008F16F3"/>
    <w:rsid w:val="008F4C73"/>
    <w:rsid w:val="008F6551"/>
    <w:rsid w:val="008F7CB0"/>
    <w:rsid w:val="00900A67"/>
    <w:rsid w:val="00907EA3"/>
    <w:rsid w:val="0092641E"/>
    <w:rsid w:val="00927920"/>
    <w:rsid w:val="00930760"/>
    <w:rsid w:val="0093142E"/>
    <w:rsid w:val="00934A4E"/>
    <w:rsid w:val="0095077E"/>
    <w:rsid w:val="00953929"/>
    <w:rsid w:val="00954752"/>
    <w:rsid w:val="00963F28"/>
    <w:rsid w:val="00965CD3"/>
    <w:rsid w:val="0096771C"/>
    <w:rsid w:val="00973414"/>
    <w:rsid w:val="009748F5"/>
    <w:rsid w:val="0097694F"/>
    <w:rsid w:val="00976D12"/>
    <w:rsid w:val="00981AC1"/>
    <w:rsid w:val="0098452B"/>
    <w:rsid w:val="00993BB1"/>
    <w:rsid w:val="009C2BB5"/>
    <w:rsid w:val="009E7F9D"/>
    <w:rsid w:val="00A1023D"/>
    <w:rsid w:val="00A1601E"/>
    <w:rsid w:val="00A23DDB"/>
    <w:rsid w:val="00A24C7C"/>
    <w:rsid w:val="00A54F87"/>
    <w:rsid w:val="00A65E58"/>
    <w:rsid w:val="00A76C56"/>
    <w:rsid w:val="00A8314A"/>
    <w:rsid w:val="00AA2E84"/>
    <w:rsid w:val="00AB3543"/>
    <w:rsid w:val="00AC5CAF"/>
    <w:rsid w:val="00AE35C4"/>
    <w:rsid w:val="00AE3C75"/>
    <w:rsid w:val="00B103E3"/>
    <w:rsid w:val="00B11FF0"/>
    <w:rsid w:val="00B14A00"/>
    <w:rsid w:val="00B46309"/>
    <w:rsid w:val="00B54953"/>
    <w:rsid w:val="00B71DBD"/>
    <w:rsid w:val="00B8577D"/>
    <w:rsid w:val="00B87271"/>
    <w:rsid w:val="00B94BEE"/>
    <w:rsid w:val="00BA2369"/>
    <w:rsid w:val="00BB0781"/>
    <w:rsid w:val="00BD1F1C"/>
    <w:rsid w:val="00BE0DDE"/>
    <w:rsid w:val="00BE1905"/>
    <w:rsid w:val="00BF2E55"/>
    <w:rsid w:val="00BF63ED"/>
    <w:rsid w:val="00C00EBB"/>
    <w:rsid w:val="00C03B24"/>
    <w:rsid w:val="00C13C61"/>
    <w:rsid w:val="00C16983"/>
    <w:rsid w:val="00C23AD4"/>
    <w:rsid w:val="00C35417"/>
    <w:rsid w:val="00C4173D"/>
    <w:rsid w:val="00C43249"/>
    <w:rsid w:val="00C675A1"/>
    <w:rsid w:val="00C7309A"/>
    <w:rsid w:val="00C73A15"/>
    <w:rsid w:val="00C80397"/>
    <w:rsid w:val="00CA00A8"/>
    <w:rsid w:val="00CA3290"/>
    <w:rsid w:val="00CB3D85"/>
    <w:rsid w:val="00CB408C"/>
    <w:rsid w:val="00CB527F"/>
    <w:rsid w:val="00CC1018"/>
    <w:rsid w:val="00CC541B"/>
    <w:rsid w:val="00CD1497"/>
    <w:rsid w:val="00CD4D48"/>
    <w:rsid w:val="00CE0345"/>
    <w:rsid w:val="00CE1E62"/>
    <w:rsid w:val="00CE3C80"/>
    <w:rsid w:val="00CE6734"/>
    <w:rsid w:val="00CF38B0"/>
    <w:rsid w:val="00CF3AF5"/>
    <w:rsid w:val="00D01289"/>
    <w:rsid w:val="00D216F8"/>
    <w:rsid w:val="00D24119"/>
    <w:rsid w:val="00D40141"/>
    <w:rsid w:val="00D4455A"/>
    <w:rsid w:val="00D526AD"/>
    <w:rsid w:val="00D56645"/>
    <w:rsid w:val="00D604FF"/>
    <w:rsid w:val="00D67B81"/>
    <w:rsid w:val="00D76926"/>
    <w:rsid w:val="00D928CC"/>
    <w:rsid w:val="00D95961"/>
    <w:rsid w:val="00DA1DDF"/>
    <w:rsid w:val="00DC1284"/>
    <w:rsid w:val="00DC3C52"/>
    <w:rsid w:val="00DC526D"/>
    <w:rsid w:val="00DD0208"/>
    <w:rsid w:val="00DD026D"/>
    <w:rsid w:val="00DD38FD"/>
    <w:rsid w:val="00DE4FD1"/>
    <w:rsid w:val="00DE5690"/>
    <w:rsid w:val="00DF02FE"/>
    <w:rsid w:val="00DF48F8"/>
    <w:rsid w:val="00E00CD6"/>
    <w:rsid w:val="00E170F2"/>
    <w:rsid w:val="00E26A65"/>
    <w:rsid w:val="00E30238"/>
    <w:rsid w:val="00E35403"/>
    <w:rsid w:val="00E36F69"/>
    <w:rsid w:val="00E41937"/>
    <w:rsid w:val="00E43766"/>
    <w:rsid w:val="00E562AA"/>
    <w:rsid w:val="00E57A2B"/>
    <w:rsid w:val="00E70C20"/>
    <w:rsid w:val="00E74059"/>
    <w:rsid w:val="00E75B43"/>
    <w:rsid w:val="00E7601F"/>
    <w:rsid w:val="00E77899"/>
    <w:rsid w:val="00EA5569"/>
    <w:rsid w:val="00EB06B1"/>
    <w:rsid w:val="00EB6263"/>
    <w:rsid w:val="00ED38B3"/>
    <w:rsid w:val="00ED7EDA"/>
    <w:rsid w:val="00EE333C"/>
    <w:rsid w:val="00F059EE"/>
    <w:rsid w:val="00F12AD0"/>
    <w:rsid w:val="00F21E6E"/>
    <w:rsid w:val="00F23837"/>
    <w:rsid w:val="00F31065"/>
    <w:rsid w:val="00F47649"/>
    <w:rsid w:val="00F708F2"/>
    <w:rsid w:val="00F73FCE"/>
    <w:rsid w:val="00F7713E"/>
    <w:rsid w:val="00F94148"/>
    <w:rsid w:val="00FB733E"/>
    <w:rsid w:val="00FB7553"/>
    <w:rsid w:val="00FC0E9F"/>
    <w:rsid w:val="00FC5A15"/>
    <w:rsid w:val="00FD3C78"/>
    <w:rsid w:val="00FD55DD"/>
    <w:rsid w:val="00FF0726"/>
    <w:rsid w:val="00FF604E"/>
    <w:rsid w:val="41A14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368"/>
    <w:pPr>
      <w:widowControl w:val="0"/>
      <w:jc w:val="both"/>
    </w:pPr>
    <w:rPr>
      <w:rFonts w:ascii="Times New Roman" w:hAnsi="Times New Roman"/>
      <w:kern w:val="2"/>
      <w:sz w:val="21"/>
      <w:szCs w:val="24"/>
    </w:rPr>
  </w:style>
  <w:style w:type="paragraph" w:styleId="2">
    <w:name w:val="heading 2"/>
    <w:basedOn w:val="a"/>
    <w:next w:val="a0"/>
    <w:link w:val="2Char"/>
    <w:qFormat/>
    <w:rsid w:val="006C1368"/>
    <w:pPr>
      <w:keepNext/>
      <w:keepLines/>
      <w:spacing w:before="260" w:after="260" w:line="360" w:lineRule="auto"/>
      <w:outlineLvl w:val="1"/>
    </w:pPr>
    <w:rPr>
      <w:rFonts w:ascii="Arial" w:hAnsi="Arial"/>
      <w:b/>
      <w:bCs/>
      <w:kern w:val="0"/>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link w:val="a4"/>
    <w:uiPriority w:val="99"/>
    <w:semiHidden/>
    <w:rsid w:val="006C1368"/>
    <w:rPr>
      <w:rFonts w:ascii="宋体" w:hAnsi="Times New Roman"/>
      <w:kern w:val="2"/>
      <w:sz w:val="18"/>
      <w:szCs w:val="18"/>
    </w:rPr>
  </w:style>
  <w:style w:type="character" w:customStyle="1" w:styleId="2Char0">
    <w:name w:val="正文文本 2 Char"/>
    <w:link w:val="20"/>
    <w:rsid w:val="006C1368"/>
    <w:rPr>
      <w:rFonts w:ascii="宋体" w:hAnsi="Times New Roman"/>
      <w:snapToGrid/>
      <w:sz w:val="24"/>
      <w:lang w:val="en-GB"/>
    </w:rPr>
  </w:style>
  <w:style w:type="character" w:customStyle="1" w:styleId="Char0">
    <w:name w:val="页脚 Char"/>
    <w:link w:val="a5"/>
    <w:uiPriority w:val="99"/>
    <w:rsid w:val="006C1368"/>
    <w:rPr>
      <w:sz w:val="18"/>
      <w:szCs w:val="18"/>
    </w:rPr>
  </w:style>
  <w:style w:type="character" w:customStyle="1" w:styleId="Char1">
    <w:name w:val="批注框文本 Char"/>
    <w:link w:val="a6"/>
    <w:uiPriority w:val="99"/>
    <w:semiHidden/>
    <w:rsid w:val="006C1368"/>
    <w:rPr>
      <w:rFonts w:ascii="Times New Roman" w:hAnsi="Times New Roman"/>
      <w:kern w:val="2"/>
      <w:sz w:val="18"/>
      <w:szCs w:val="18"/>
    </w:rPr>
  </w:style>
  <w:style w:type="character" w:customStyle="1" w:styleId="Char2">
    <w:name w:val="批注文字 Char"/>
    <w:link w:val="a7"/>
    <w:uiPriority w:val="99"/>
    <w:semiHidden/>
    <w:rsid w:val="006C1368"/>
    <w:rPr>
      <w:rFonts w:ascii="Times New Roman" w:hAnsi="Times New Roman"/>
      <w:kern w:val="2"/>
      <w:sz w:val="21"/>
      <w:szCs w:val="24"/>
    </w:rPr>
  </w:style>
  <w:style w:type="character" w:customStyle="1" w:styleId="Char3">
    <w:name w:val="页眉 Char"/>
    <w:link w:val="a8"/>
    <w:uiPriority w:val="99"/>
    <w:rsid w:val="006C1368"/>
    <w:rPr>
      <w:sz w:val="18"/>
      <w:szCs w:val="18"/>
    </w:rPr>
  </w:style>
  <w:style w:type="character" w:customStyle="1" w:styleId="Char4">
    <w:name w:val="批注主题 Char"/>
    <w:link w:val="a9"/>
    <w:uiPriority w:val="99"/>
    <w:semiHidden/>
    <w:rsid w:val="006C1368"/>
    <w:rPr>
      <w:rFonts w:ascii="Times New Roman" w:hAnsi="Times New Roman"/>
      <w:b/>
      <w:bCs/>
      <w:kern w:val="2"/>
      <w:sz w:val="21"/>
      <w:szCs w:val="24"/>
    </w:rPr>
  </w:style>
  <w:style w:type="character" w:styleId="aa">
    <w:name w:val="Strong"/>
    <w:uiPriority w:val="22"/>
    <w:qFormat/>
    <w:rsid w:val="006C1368"/>
    <w:rPr>
      <w:b/>
      <w:bCs/>
    </w:rPr>
  </w:style>
  <w:style w:type="character" w:styleId="ab">
    <w:name w:val="annotation reference"/>
    <w:uiPriority w:val="99"/>
    <w:unhideWhenUsed/>
    <w:rsid w:val="006C1368"/>
    <w:rPr>
      <w:sz w:val="21"/>
      <w:szCs w:val="21"/>
    </w:rPr>
  </w:style>
  <w:style w:type="character" w:customStyle="1" w:styleId="Char5">
    <w:name w:val="正文文本 Char"/>
    <w:link w:val="ac"/>
    <w:uiPriority w:val="99"/>
    <w:semiHidden/>
    <w:rsid w:val="006C1368"/>
    <w:rPr>
      <w:rFonts w:ascii="Times New Roman" w:hAnsi="Times New Roman"/>
      <w:kern w:val="2"/>
      <w:sz w:val="21"/>
      <w:szCs w:val="24"/>
    </w:rPr>
  </w:style>
  <w:style w:type="character" w:customStyle="1" w:styleId="2Char">
    <w:name w:val="标题 2 Char"/>
    <w:link w:val="2"/>
    <w:rsid w:val="006C1368"/>
    <w:rPr>
      <w:rFonts w:ascii="Arial" w:eastAsia="宋体" w:hAnsi="Arial" w:cs="Arial"/>
      <w:b/>
      <w:bCs/>
      <w:sz w:val="24"/>
      <w:szCs w:val="28"/>
    </w:rPr>
  </w:style>
  <w:style w:type="paragraph" w:styleId="a5">
    <w:name w:val="footer"/>
    <w:basedOn w:val="a"/>
    <w:link w:val="Char0"/>
    <w:uiPriority w:val="99"/>
    <w:unhideWhenUsed/>
    <w:rsid w:val="006C1368"/>
    <w:pPr>
      <w:tabs>
        <w:tab w:val="center" w:pos="4153"/>
        <w:tab w:val="right" w:pos="8306"/>
      </w:tabs>
      <w:snapToGrid w:val="0"/>
      <w:jc w:val="left"/>
    </w:pPr>
    <w:rPr>
      <w:rFonts w:ascii="Calibri" w:hAnsi="Calibri"/>
      <w:kern w:val="0"/>
      <w:sz w:val="18"/>
      <w:szCs w:val="18"/>
    </w:rPr>
  </w:style>
  <w:style w:type="paragraph" w:styleId="a8">
    <w:name w:val="header"/>
    <w:basedOn w:val="a"/>
    <w:link w:val="Char3"/>
    <w:uiPriority w:val="99"/>
    <w:unhideWhenUsed/>
    <w:rsid w:val="006C1368"/>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4">
    <w:name w:val="Document Map"/>
    <w:basedOn w:val="a"/>
    <w:link w:val="Char"/>
    <w:uiPriority w:val="99"/>
    <w:unhideWhenUsed/>
    <w:rsid w:val="006C1368"/>
    <w:rPr>
      <w:rFonts w:ascii="宋体"/>
      <w:sz w:val="18"/>
      <w:szCs w:val="18"/>
    </w:rPr>
  </w:style>
  <w:style w:type="paragraph" w:styleId="ac">
    <w:name w:val="Body Text"/>
    <w:basedOn w:val="a"/>
    <w:link w:val="Char5"/>
    <w:uiPriority w:val="99"/>
    <w:unhideWhenUsed/>
    <w:rsid w:val="006C1368"/>
    <w:pPr>
      <w:spacing w:after="120"/>
    </w:pPr>
  </w:style>
  <w:style w:type="paragraph" w:styleId="a6">
    <w:name w:val="Balloon Text"/>
    <w:basedOn w:val="a"/>
    <w:link w:val="Char1"/>
    <w:uiPriority w:val="99"/>
    <w:unhideWhenUsed/>
    <w:rsid w:val="006C1368"/>
    <w:rPr>
      <w:sz w:val="18"/>
      <w:szCs w:val="18"/>
    </w:rPr>
  </w:style>
  <w:style w:type="paragraph" w:styleId="20">
    <w:name w:val="Body Text 2"/>
    <w:basedOn w:val="a"/>
    <w:link w:val="2Char0"/>
    <w:rsid w:val="006C1368"/>
    <w:pPr>
      <w:widowControl/>
      <w:spacing w:line="300" w:lineRule="atLeast"/>
    </w:pPr>
    <w:rPr>
      <w:rFonts w:ascii="宋体"/>
      <w:snapToGrid w:val="0"/>
      <w:kern w:val="0"/>
      <w:sz w:val="24"/>
      <w:szCs w:val="20"/>
      <w:lang w:val="en-GB"/>
    </w:rPr>
  </w:style>
  <w:style w:type="paragraph" w:styleId="a7">
    <w:name w:val="annotation text"/>
    <w:basedOn w:val="a"/>
    <w:link w:val="Char2"/>
    <w:uiPriority w:val="99"/>
    <w:unhideWhenUsed/>
    <w:rsid w:val="006C1368"/>
    <w:pPr>
      <w:jc w:val="left"/>
    </w:pPr>
  </w:style>
  <w:style w:type="paragraph" w:styleId="ad">
    <w:name w:val="List Paragraph"/>
    <w:basedOn w:val="a"/>
    <w:uiPriority w:val="34"/>
    <w:qFormat/>
    <w:rsid w:val="006C1368"/>
    <w:pPr>
      <w:ind w:firstLineChars="200" w:firstLine="420"/>
    </w:pPr>
  </w:style>
  <w:style w:type="paragraph" w:styleId="ae">
    <w:name w:val="Normal (Web)"/>
    <w:basedOn w:val="a"/>
    <w:rsid w:val="006C1368"/>
    <w:pPr>
      <w:widowControl/>
      <w:spacing w:before="100" w:beforeAutospacing="1" w:after="100" w:afterAutospacing="1"/>
      <w:jc w:val="left"/>
    </w:pPr>
    <w:rPr>
      <w:rFonts w:ascii="Arial Unicode MS" w:eastAsia="Arial Unicode MS" w:hAnsi="Arial Unicode MS" w:cs="Arial Unicode MS"/>
      <w:kern w:val="0"/>
      <w:sz w:val="24"/>
      <w:lang w:val="en-GB" w:eastAsia="en-US"/>
    </w:rPr>
  </w:style>
  <w:style w:type="paragraph" w:styleId="a0">
    <w:name w:val="Normal Indent"/>
    <w:basedOn w:val="a"/>
    <w:uiPriority w:val="99"/>
    <w:unhideWhenUsed/>
    <w:rsid w:val="006C1368"/>
    <w:pPr>
      <w:ind w:firstLineChars="200" w:firstLine="420"/>
    </w:pPr>
  </w:style>
  <w:style w:type="paragraph" w:styleId="a9">
    <w:name w:val="annotation subject"/>
    <w:basedOn w:val="a7"/>
    <w:next w:val="a7"/>
    <w:link w:val="Char4"/>
    <w:uiPriority w:val="99"/>
    <w:unhideWhenUsed/>
    <w:rsid w:val="006C1368"/>
    <w:rPr>
      <w:b/>
      <w:bCs/>
    </w:rPr>
  </w:style>
  <w:style w:type="table" w:styleId="af">
    <w:name w:val="Table Grid"/>
    <w:basedOn w:val="a2"/>
    <w:uiPriority w:val="59"/>
    <w:rsid w:val="00973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unhideWhenUsed/>
    <w:rsid w:val="004158F5"/>
    <w:rPr>
      <w:rFonts w:ascii="Times New Roman" w:hAnsi="Times New Roman"/>
      <w:kern w:val="2"/>
      <w:sz w:val="21"/>
      <w:szCs w:val="24"/>
    </w:rPr>
  </w:style>
  <w:style w:type="character" w:styleId="af1">
    <w:name w:val="Hyperlink"/>
    <w:uiPriority w:val="99"/>
    <w:unhideWhenUsed/>
    <w:rsid w:val="005C2AF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5384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4840</Characters>
  <Application>Microsoft Office Word</Application>
  <DocSecurity>4</DocSecurity>
  <Lines>40</Lines>
  <Paragraphs>11</Paragraphs>
  <ScaleCrop>false</ScaleCrop>
  <Company>Microsoft</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杨帅</dc:creator>
  <cp:lastModifiedBy>ZHONGM</cp:lastModifiedBy>
  <cp:revision>2</cp:revision>
  <cp:lastPrinted>2018-07-19T06:12:00Z</cp:lastPrinted>
  <dcterms:created xsi:type="dcterms:W3CDTF">2018-08-22T16:32:00Z</dcterms:created>
  <dcterms:modified xsi:type="dcterms:W3CDTF">2018-08-22T16:32:00Z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