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62" w:rsidRPr="00F2099A" w:rsidRDefault="00247B22" w:rsidP="00514762">
      <w:pPr>
        <w:jc w:val="center"/>
        <w:rPr>
          <w:rFonts w:ascii="仿宋_GB2312" w:eastAsia="仿宋_GB2312" w:hAnsi="Calibri" w:cs="宋体"/>
          <w:b/>
          <w:kern w:val="0"/>
          <w:sz w:val="36"/>
          <w:szCs w:val="36"/>
        </w:rPr>
      </w:pPr>
      <w:r w:rsidRPr="00F2099A">
        <w:rPr>
          <w:rFonts w:ascii="仿宋_GB2312" w:eastAsia="仿宋_GB2312" w:hAnsi="Calibri" w:cs="宋体" w:hint="eastAsia"/>
          <w:b/>
          <w:kern w:val="0"/>
          <w:sz w:val="36"/>
          <w:szCs w:val="36"/>
        </w:rPr>
        <w:t>万家中证创业成长指数分级证券投资基金份额折算和变更登记结果暨</w:t>
      </w:r>
      <w:r w:rsidR="00514762" w:rsidRPr="00F2099A">
        <w:rPr>
          <w:rFonts w:ascii="仿宋_GB2312" w:eastAsia="仿宋_GB2312" w:hAnsi="Calibri" w:cs="宋体" w:hint="eastAsia"/>
          <w:b/>
          <w:kern w:val="0"/>
          <w:sz w:val="36"/>
          <w:szCs w:val="36"/>
        </w:rPr>
        <w:t>万家新机遇价值驱动灵活配置混合型证券投资基金基金合同生效公告</w:t>
      </w:r>
    </w:p>
    <w:p w:rsidR="00514762" w:rsidRPr="00F2099A" w:rsidRDefault="00514762" w:rsidP="00BA2E5D">
      <w:pPr>
        <w:autoSpaceDE w:val="0"/>
        <w:autoSpaceDN w:val="0"/>
        <w:adjustRightInd w:val="0"/>
        <w:spacing w:line="304" w:lineRule="auto"/>
        <w:ind w:left="120" w:right="39" w:firstLine="481"/>
        <w:rPr>
          <w:rFonts w:ascii="仿宋_GB2312" w:eastAsia="仿宋_GB2312" w:hAnsi="宋体"/>
          <w:sz w:val="32"/>
          <w:szCs w:val="32"/>
        </w:rPr>
      </w:pPr>
    </w:p>
    <w:p w:rsidR="00514762" w:rsidRPr="00F2099A" w:rsidRDefault="00BA2E5D" w:rsidP="00514762">
      <w:pPr>
        <w:ind w:firstLineChars="200" w:firstLine="560"/>
        <w:rPr>
          <w:rFonts w:ascii="仿宋_GB2312" w:eastAsia="仿宋_GB2312" w:cs="宋体"/>
          <w:kern w:val="0"/>
          <w:sz w:val="28"/>
          <w:szCs w:val="28"/>
        </w:rPr>
      </w:pPr>
      <w:r w:rsidRPr="00F2099A">
        <w:rPr>
          <w:rFonts w:ascii="仿宋_GB2312" w:eastAsia="仿宋_GB2312" w:cs="宋体" w:hint="eastAsia"/>
          <w:kern w:val="0"/>
          <w:sz w:val="28"/>
          <w:szCs w:val="28"/>
        </w:rPr>
        <w:t>万家基金管理有限公司（以下简称“我司”</w:t>
      </w:r>
      <w:r w:rsidR="006F55DE" w:rsidRPr="00F2099A">
        <w:rPr>
          <w:rFonts w:ascii="仿宋_GB2312" w:eastAsia="仿宋_GB2312" w:cs="宋体" w:hint="eastAsia"/>
          <w:kern w:val="0"/>
          <w:sz w:val="28"/>
          <w:szCs w:val="28"/>
        </w:rPr>
        <w:t>或“基金管理人”</w:t>
      </w:r>
      <w:r w:rsidRPr="00F2099A">
        <w:rPr>
          <w:rFonts w:ascii="仿宋_GB2312" w:eastAsia="仿宋_GB2312" w:cs="宋体" w:hint="eastAsia"/>
          <w:kern w:val="0"/>
          <w:sz w:val="28"/>
          <w:szCs w:val="28"/>
        </w:rPr>
        <w:t>）经与万家中证创业成长指数分级证券投资基金（以下简称</w:t>
      </w:r>
      <w:r w:rsidR="00074DE5" w:rsidRPr="00F2099A">
        <w:rPr>
          <w:rFonts w:ascii="仿宋_GB2312" w:eastAsia="仿宋_GB2312" w:cs="宋体" w:hint="eastAsia"/>
          <w:kern w:val="0"/>
          <w:sz w:val="28"/>
          <w:szCs w:val="28"/>
        </w:rPr>
        <w:t xml:space="preserve"> “本基金”或</w:t>
      </w:r>
      <w:r w:rsidRPr="00F2099A">
        <w:rPr>
          <w:rFonts w:ascii="仿宋_GB2312" w:eastAsia="仿宋_GB2312" w:cs="宋体" w:hint="eastAsia"/>
          <w:kern w:val="0"/>
          <w:sz w:val="28"/>
          <w:szCs w:val="28"/>
        </w:rPr>
        <w:t>“万家创业成长”）的基金托管人中国工商银行股份有限公司协商一致，以通讯方式召开</w:t>
      </w:r>
      <w:r w:rsidR="000C3FE2" w:rsidRPr="00F2099A">
        <w:rPr>
          <w:rFonts w:ascii="仿宋_GB2312" w:eastAsia="仿宋_GB2312" w:cs="宋体" w:hint="eastAsia"/>
          <w:kern w:val="0"/>
          <w:sz w:val="28"/>
          <w:szCs w:val="28"/>
        </w:rPr>
        <w:t>了</w:t>
      </w:r>
      <w:r w:rsidRPr="00F2099A">
        <w:rPr>
          <w:rFonts w:ascii="仿宋_GB2312" w:eastAsia="仿宋_GB2312" w:cs="宋体" w:hint="eastAsia"/>
          <w:kern w:val="0"/>
          <w:sz w:val="28"/>
          <w:szCs w:val="28"/>
        </w:rPr>
        <w:t>本基金的基金份额持有人大会，审议</w:t>
      </w:r>
      <w:r w:rsidR="000C3FE2" w:rsidRPr="00F2099A">
        <w:rPr>
          <w:rFonts w:ascii="仿宋_GB2312" w:eastAsia="仿宋_GB2312" w:cs="宋体" w:hint="eastAsia"/>
          <w:kern w:val="0"/>
          <w:sz w:val="28"/>
          <w:szCs w:val="28"/>
        </w:rPr>
        <w:t>了</w:t>
      </w:r>
      <w:r w:rsidRPr="00F2099A">
        <w:rPr>
          <w:rFonts w:ascii="仿宋_GB2312" w:eastAsia="仿宋_GB2312" w:cs="宋体" w:hint="eastAsia"/>
          <w:kern w:val="0"/>
          <w:sz w:val="28"/>
          <w:szCs w:val="28"/>
        </w:rPr>
        <w:t>《关于万家中证创业成长指数分级证券投资基金转型及基金合同修改有关事项的议案》（以下简称“本次会议议案”）。本次会议议案于</w:t>
      </w:r>
      <w:r w:rsidRPr="00F2099A">
        <w:rPr>
          <w:rFonts w:ascii="仿宋_GB2312" w:eastAsia="仿宋_GB2312" w:cs="宋体"/>
          <w:kern w:val="0"/>
          <w:sz w:val="28"/>
          <w:szCs w:val="28"/>
        </w:rPr>
        <w:t>2018</w:t>
      </w:r>
      <w:r w:rsidRPr="00F2099A">
        <w:rPr>
          <w:rFonts w:ascii="仿宋_GB2312" w:eastAsia="仿宋_GB2312" w:cs="宋体" w:hint="eastAsia"/>
          <w:kern w:val="0"/>
          <w:sz w:val="28"/>
          <w:szCs w:val="28"/>
        </w:rPr>
        <w:t>年</w:t>
      </w:r>
      <w:r w:rsidRPr="00F2099A">
        <w:rPr>
          <w:rFonts w:ascii="仿宋_GB2312" w:eastAsia="仿宋_GB2312" w:cs="宋体"/>
          <w:kern w:val="0"/>
          <w:sz w:val="28"/>
          <w:szCs w:val="28"/>
        </w:rPr>
        <w:t>7</w:t>
      </w:r>
      <w:r w:rsidRPr="00F2099A">
        <w:rPr>
          <w:rFonts w:ascii="仿宋_GB2312" w:eastAsia="仿宋_GB2312" w:cs="宋体" w:hint="eastAsia"/>
          <w:kern w:val="0"/>
          <w:sz w:val="28"/>
          <w:szCs w:val="28"/>
        </w:rPr>
        <w:t>月</w:t>
      </w:r>
      <w:r w:rsidRPr="00F2099A">
        <w:rPr>
          <w:rFonts w:ascii="仿宋_GB2312" w:eastAsia="仿宋_GB2312" w:cs="宋体"/>
          <w:kern w:val="0"/>
          <w:sz w:val="28"/>
          <w:szCs w:val="28"/>
        </w:rPr>
        <w:t>16</w:t>
      </w:r>
      <w:r w:rsidRPr="00F2099A">
        <w:rPr>
          <w:rFonts w:ascii="仿宋_GB2312" w:eastAsia="仿宋_GB2312" w:cs="宋体" w:hint="eastAsia"/>
          <w:kern w:val="0"/>
          <w:sz w:val="28"/>
          <w:szCs w:val="28"/>
        </w:rPr>
        <w:t>日表决通过，基金份额持有人大会决议自该日起生效。根据</w:t>
      </w:r>
      <w:r w:rsidR="000C3FE2" w:rsidRPr="00F2099A">
        <w:rPr>
          <w:rFonts w:ascii="仿宋_GB2312" w:eastAsia="仿宋_GB2312" w:cs="宋体" w:hint="eastAsia"/>
          <w:kern w:val="0"/>
          <w:sz w:val="28"/>
          <w:szCs w:val="28"/>
        </w:rPr>
        <w:t>本次会议</w:t>
      </w:r>
      <w:r w:rsidRPr="00F2099A">
        <w:rPr>
          <w:rFonts w:ascii="仿宋_GB2312" w:eastAsia="仿宋_GB2312" w:cs="宋体" w:hint="eastAsia"/>
          <w:kern w:val="0"/>
          <w:sz w:val="28"/>
          <w:szCs w:val="28"/>
        </w:rPr>
        <w:t>议案，万家中证创业成长指数分级证券投资基金转型为“万家新机遇价值驱动灵活配置混合型证券投资基金”（以下简称</w:t>
      </w:r>
      <w:r w:rsidR="00514762" w:rsidRPr="00F2099A">
        <w:rPr>
          <w:rFonts w:ascii="仿宋_GB2312" w:eastAsia="仿宋_GB2312" w:cs="宋体" w:hint="eastAsia"/>
          <w:kern w:val="0"/>
          <w:sz w:val="28"/>
          <w:szCs w:val="28"/>
        </w:rPr>
        <w:t>“万家新机遇价值驱动”</w:t>
      </w:r>
      <w:r w:rsidRPr="00F2099A">
        <w:rPr>
          <w:rFonts w:ascii="仿宋_GB2312" w:eastAsia="仿宋_GB2312" w:cs="宋体" w:hint="eastAsia"/>
          <w:kern w:val="0"/>
          <w:sz w:val="28"/>
          <w:szCs w:val="28"/>
        </w:rPr>
        <w:t>）。</w:t>
      </w:r>
    </w:p>
    <w:p w:rsidR="0013107E" w:rsidRDefault="0013107E" w:rsidP="00247B22">
      <w:pPr>
        <w:ind w:firstLineChars="200" w:firstLine="560"/>
        <w:rPr>
          <w:rFonts w:ascii="仿宋_GB2312" w:eastAsia="仿宋_GB2312" w:cs="宋体"/>
          <w:kern w:val="0"/>
          <w:sz w:val="28"/>
          <w:szCs w:val="28"/>
        </w:rPr>
      </w:pPr>
      <w:r>
        <w:rPr>
          <w:rFonts w:ascii="仿宋_GB2312" w:eastAsia="仿宋_GB2312" w:cs="宋体" w:hint="eastAsia"/>
          <w:kern w:val="0"/>
          <w:sz w:val="28"/>
          <w:szCs w:val="28"/>
        </w:rPr>
        <w:t>一、基金份额折算结果</w:t>
      </w:r>
    </w:p>
    <w:p w:rsidR="00247B22" w:rsidRPr="00F2099A" w:rsidRDefault="00247B22" w:rsidP="00247B22">
      <w:pPr>
        <w:ind w:firstLineChars="200" w:firstLine="560"/>
        <w:rPr>
          <w:rFonts w:ascii="仿宋_GB2312" w:eastAsia="仿宋_GB2312" w:cs="宋体"/>
          <w:kern w:val="0"/>
          <w:sz w:val="28"/>
          <w:szCs w:val="28"/>
        </w:rPr>
      </w:pPr>
      <w:r w:rsidRPr="00F2099A">
        <w:rPr>
          <w:rFonts w:ascii="仿宋_GB2312" w:eastAsia="仿宋_GB2312" w:cs="宋体" w:hint="eastAsia"/>
          <w:kern w:val="0"/>
          <w:sz w:val="28"/>
          <w:szCs w:val="28"/>
        </w:rPr>
        <w:t>根据本次会议议案及相关公告，基金管理人以</w:t>
      </w:r>
      <w:r w:rsidRPr="00F2099A">
        <w:rPr>
          <w:rFonts w:ascii="仿宋_GB2312" w:eastAsia="仿宋_GB2312" w:cs="宋体"/>
          <w:kern w:val="0"/>
          <w:sz w:val="28"/>
          <w:szCs w:val="28"/>
        </w:rPr>
        <w:t>201</w:t>
      </w:r>
      <w:r w:rsidRPr="00F2099A">
        <w:rPr>
          <w:rFonts w:ascii="仿宋_GB2312" w:eastAsia="仿宋_GB2312" w:cs="宋体" w:hint="eastAsia"/>
          <w:kern w:val="0"/>
          <w:sz w:val="28"/>
          <w:szCs w:val="28"/>
        </w:rPr>
        <w:t>8年</w:t>
      </w:r>
      <w:r w:rsidRPr="00F2099A">
        <w:rPr>
          <w:rFonts w:ascii="仿宋_GB2312" w:eastAsia="仿宋_GB2312" w:cs="宋体"/>
          <w:kern w:val="0"/>
          <w:sz w:val="28"/>
          <w:szCs w:val="28"/>
        </w:rPr>
        <w:t>8</w:t>
      </w:r>
      <w:r w:rsidRPr="00F2099A">
        <w:rPr>
          <w:rFonts w:ascii="仿宋_GB2312" w:eastAsia="仿宋_GB2312" w:cs="宋体" w:hint="eastAsia"/>
          <w:kern w:val="0"/>
          <w:sz w:val="28"/>
          <w:szCs w:val="28"/>
        </w:rPr>
        <w:t>月14日为份额折算基准日，对该日登记在册的万家创业成长各类基金份额进行份额折算</w:t>
      </w:r>
      <w:r w:rsidR="00FE6B99" w:rsidRPr="00F2099A">
        <w:rPr>
          <w:rFonts w:ascii="仿宋_GB2312" w:eastAsia="仿宋_GB2312" w:cs="宋体" w:hint="eastAsia"/>
          <w:kern w:val="0"/>
          <w:sz w:val="28"/>
          <w:szCs w:val="28"/>
        </w:rPr>
        <w:t>。基金登记机构中国证券登记结算有限责任公司于</w:t>
      </w:r>
      <w:r w:rsidR="00FE6B99" w:rsidRPr="00F2099A">
        <w:rPr>
          <w:rFonts w:ascii="仿宋_GB2312" w:eastAsia="仿宋_GB2312" w:cs="宋体"/>
          <w:kern w:val="0"/>
          <w:sz w:val="28"/>
          <w:szCs w:val="28"/>
        </w:rPr>
        <w:t>201</w:t>
      </w:r>
      <w:r w:rsidR="00FE6B99" w:rsidRPr="00F2099A">
        <w:rPr>
          <w:rFonts w:ascii="仿宋_GB2312" w:eastAsia="仿宋_GB2312" w:cs="宋体" w:hint="eastAsia"/>
          <w:kern w:val="0"/>
          <w:sz w:val="28"/>
          <w:szCs w:val="28"/>
        </w:rPr>
        <w:t>8年8月15日对折算后的基金份额进行了变更登记。份额折算和变更登记结果如下：</w:t>
      </w:r>
    </w:p>
    <w:tbl>
      <w:tblPr>
        <w:tblStyle w:val="a7"/>
        <w:tblW w:w="0" w:type="auto"/>
        <w:tblLook w:val="04A0"/>
      </w:tblPr>
      <w:tblGrid>
        <w:gridCol w:w="1811"/>
        <w:gridCol w:w="3418"/>
        <w:gridCol w:w="3293"/>
      </w:tblGrid>
      <w:tr w:rsidR="00F762D5" w:rsidRPr="00F2099A" w:rsidTr="00F2099A">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折算和变更登记前份额</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折算和变更登记前份额数（单位：份）</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折算和变更登记前份额单位净值（单位：元）</w:t>
            </w:r>
          </w:p>
        </w:tc>
      </w:tr>
      <w:tr w:rsidR="00F762D5" w:rsidRPr="00F2099A" w:rsidTr="00F2099A">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lastRenderedPageBreak/>
              <w:t>万家创业成长</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kern w:val="0"/>
                <w:sz w:val="28"/>
                <w:szCs w:val="28"/>
              </w:rPr>
              <w:t>26</w:t>
            </w:r>
            <w:r w:rsidRPr="00F2099A">
              <w:rPr>
                <w:rFonts w:ascii="仿宋_GB2312" w:eastAsia="仿宋_GB2312" w:cs="宋体" w:hint="eastAsia"/>
                <w:kern w:val="0"/>
                <w:sz w:val="28"/>
                <w:szCs w:val="28"/>
              </w:rPr>
              <w:t>,</w:t>
            </w:r>
            <w:r w:rsidRPr="00F2099A">
              <w:rPr>
                <w:rFonts w:ascii="仿宋_GB2312" w:eastAsia="仿宋_GB2312" w:cs="宋体"/>
                <w:kern w:val="0"/>
                <w:sz w:val="28"/>
                <w:szCs w:val="28"/>
              </w:rPr>
              <w:t>522</w:t>
            </w:r>
            <w:r w:rsidRPr="00F2099A">
              <w:rPr>
                <w:rFonts w:ascii="仿宋_GB2312" w:eastAsia="仿宋_GB2312" w:cs="宋体" w:hint="eastAsia"/>
                <w:kern w:val="0"/>
                <w:sz w:val="28"/>
                <w:szCs w:val="28"/>
              </w:rPr>
              <w:t>,</w:t>
            </w:r>
            <w:r w:rsidRPr="00F2099A">
              <w:rPr>
                <w:rFonts w:ascii="仿宋_GB2312" w:eastAsia="仿宋_GB2312" w:cs="宋体"/>
                <w:kern w:val="0"/>
                <w:sz w:val="28"/>
                <w:szCs w:val="28"/>
              </w:rPr>
              <w:t>081.45</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0.7103</w:t>
            </w:r>
          </w:p>
        </w:tc>
      </w:tr>
      <w:tr w:rsidR="00F762D5" w:rsidRPr="00F2099A" w:rsidTr="00F2099A">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万家创业成长A类</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4,734,678.00</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1.0310</w:t>
            </w:r>
          </w:p>
        </w:tc>
      </w:tr>
      <w:tr w:rsidR="00F762D5" w:rsidRPr="00F2099A" w:rsidTr="00F2099A">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万家创业成长B类</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4,734,678.00</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0.3896</w:t>
            </w:r>
          </w:p>
        </w:tc>
      </w:tr>
      <w:tr w:rsidR="00F762D5" w:rsidRPr="00F2099A" w:rsidTr="00F2099A">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折算和变更登记后份额</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折算和变更登记后份额数（单位：份）</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折算和变更登记后份额单位净值（单位：元）</w:t>
            </w:r>
          </w:p>
        </w:tc>
      </w:tr>
      <w:tr w:rsidR="00F762D5" w:rsidRPr="00F2099A" w:rsidTr="00F2099A">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万家新机遇价值驱动A类</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25,564,030.94</w:t>
            </w:r>
          </w:p>
        </w:tc>
        <w:tc>
          <w:tcPr>
            <w:tcW w:w="0" w:type="auto"/>
            <w:shd w:val="clear" w:color="auto" w:fill="auto"/>
          </w:tcPr>
          <w:p w:rsidR="00F762D5" w:rsidRPr="00F2099A" w:rsidRDefault="00F762D5" w:rsidP="00632381">
            <w:pPr>
              <w:rPr>
                <w:rFonts w:ascii="仿宋_GB2312" w:eastAsia="仿宋_GB2312" w:cs="宋体"/>
                <w:kern w:val="0"/>
                <w:sz w:val="28"/>
                <w:szCs w:val="28"/>
              </w:rPr>
            </w:pPr>
            <w:r w:rsidRPr="00F2099A">
              <w:rPr>
                <w:rFonts w:ascii="仿宋_GB2312" w:eastAsia="仿宋_GB2312" w:cs="宋体" w:hint="eastAsia"/>
                <w:kern w:val="0"/>
                <w:sz w:val="28"/>
                <w:szCs w:val="28"/>
              </w:rPr>
              <w:t>1.0000</w:t>
            </w:r>
          </w:p>
        </w:tc>
      </w:tr>
    </w:tbl>
    <w:p w:rsidR="00FE6B99" w:rsidRPr="00F2099A" w:rsidRDefault="00FE6B99" w:rsidP="00FE6B99">
      <w:pPr>
        <w:ind w:firstLineChars="200" w:firstLine="560"/>
        <w:rPr>
          <w:rFonts w:ascii="仿宋_GB2312" w:eastAsia="仿宋_GB2312" w:cs="宋体"/>
          <w:kern w:val="0"/>
          <w:sz w:val="28"/>
          <w:szCs w:val="28"/>
        </w:rPr>
      </w:pPr>
      <w:r w:rsidRPr="00F2099A">
        <w:rPr>
          <w:rFonts w:ascii="仿宋_GB2312" w:eastAsia="仿宋_GB2312" w:cs="宋体" w:hint="eastAsia"/>
          <w:kern w:val="0"/>
          <w:sz w:val="28"/>
          <w:szCs w:val="28"/>
        </w:rPr>
        <w:t>转换后万家新机遇价值驱动A类基金份额单位净值为</w:t>
      </w:r>
      <w:r w:rsidRPr="00F2099A">
        <w:rPr>
          <w:rFonts w:ascii="仿宋_GB2312" w:eastAsia="仿宋_GB2312" w:cs="宋体"/>
          <w:kern w:val="0"/>
          <w:sz w:val="28"/>
          <w:szCs w:val="28"/>
        </w:rPr>
        <w:t>1.0000</w:t>
      </w:r>
      <w:r w:rsidRPr="00F2099A">
        <w:rPr>
          <w:rFonts w:ascii="仿宋_GB2312" w:eastAsia="仿宋_GB2312" w:cs="宋体" w:hint="eastAsia"/>
          <w:kern w:val="0"/>
          <w:sz w:val="28"/>
          <w:szCs w:val="28"/>
        </w:rPr>
        <w:t>元，基金份额总额与基金份额持有人持有的基金份额数额将相应调整。原万家创业成长各类基金份额持有人成为万家新机遇价值驱动A类基金份额持有人。基金转换对持有人的权益无实质性影响。</w:t>
      </w:r>
    </w:p>
    <w:p w:rsidR="00247B22" w:rsidRPr="00F2099A" w:rsidRDefault="00FE6B99">
      <w:pPr>
        <w:ind w:firstLineChars="200" w:firstLine="560"/>
        <w:rPr>
          <w:rFonts w:ascii="仿宋_GB2312" w:eastAsia="仿宋_GB2312" w:cs="宋体"/>
          <w:kern w:val="0"/>
          <w:sz w:val="28"/>
          <w:szCs w:val="28"/>
        </w:rPr>
      </w:pPr>
      <w:r w:rsidRPr="00F2099A">
        <w:rPr>
          <w:rFonts w:ascii="仿宋_GB2312" w:eastAsia="仿宋_GB2312" w:cs="宋体" w:hint="eastAsia"/>
          <w:kern w:val="0"/>
          <w:sz w:val="28"/>
          <w:szCs w:val="28"/>
        </w:rPr>
        <w:t>转换后的基金份额以登记机构最终确认的数据为准。待中国证券登记结算有限责任公司完成基金份额变更登记后，持有人可查询经登记机构确认的转换后的万家新机遇价值驱动A类基金份额。</w:t>
      </w:r>
    </w:p>
    <w:p w:rsidR="0013107E" w:rsidRDefault="0013107E" w:rsidP="000C3FE2">
      <w:pPr>
        <w:ind w:firstLineChars="200" w:firstLine="560"/>
        <w:rPr>
          <w:rFonts w:ascii="仿宋_GB2312" w:eastAsia="仿宋_GB2312" w:cs="宋体"/>
          <w:kern w:val="0"/>
          <w:sz w:val="28"/>
          <w:szCs w:val="28"/>
        </w:rPr>
      </w:pPr>
      <w:r>
        <w:rPr>
          <w:rFonts w:ascii="仿宋_GB2312" w:eastAsia="仿宋_GB2312" w:cs="宋体" w:hint="eastAsia"/>
          <w:kern w:val="0"/>
          <w:sz w:val="28"/>
          <w:szCs w:val="28"/>
        </w:rPr>
        <w:t>二、</w:t>
      </w:r>
      <w:r w:rsidRPr="00F2099A">
        <w:rPr>
          <w:rFonts w:ascii="仿宋_GB2312" w:eastAsia="仿宋_GB2312" w:cs="宋体" w:hint="eastAsia"/>
          <w:kern w:val="0"/>
          <w:sz w:val="28"/>
          <w:szCs w:val="28"/>
        </w:rPr>
        <w:t>万家新机遇价值驱动灵活配置混合型证券投资基金</w:t>
      </w:r>
      <w:r>
        <w:rPr>
          <w:rFonts w:ascii="仿宋_GB2312" w:eastAsia="仿宋_GB2312" w:cs="宋体" w:hint="eastAsia"/>
          <w:kern w:val="0"/>
          <w:sz w:val="28"/>
          <w:szCs w:val="28"/>
        </w:rPr>
        <w:t>基金合同生效</w:t>
      </w:r>
    </w:p>
    <w:p w:rsidR="001D237D" w:rsidRDefault="000C3FE2" w:rsidP="000C3FE2">
      <w:pPr>
        <w:ind w:firstLineChars="200" w:firstLine="560"/>
        <w:rPr>
          <w:rFonts w:ascii="仿宋_GB2312" w:eastAsia="仿宋_GB2312" w:hAnsi="Calibri" w:cs="宋体"/>
          <w:kern w:val="0"/>
          <w:sz w:val="28"/>
          <w:szCs w:val="28"/>
        </w:rPr>
      </w:pPr>
      <w:r w:rsidRPr="00F2099A">
        <w:rPr>
          <w:rFonts w:ascii="仿宋_GB2312" w:eastAsia="仿宋_GB2312" w:cs="宋体" w:hint="eastAsia"/>
          <w:kern w:val="0"/>
          <w:sz w:val="28"/>
          <w:szCs w:val="28"/>
        </w:rPr>
        <w:t>根据本次会议议案及相关公告，</w:t>
      </w:r>
      <w:r w:rsidR="00AC2F14" w:rsidRPr="00F2099A">
        <w:rPr>
          <w:rFonts w:ascii="仿宋_GB2312" w:eastAsia="仿宋_GB2312" w:hAnsi="Calibri" w:cs="宋体" w:hint="eastAsia"/>
          <w:kern w:val="0"/>
          <w:sz w:val="28"/>
          <w:szCs w:val="28"/>
        </w:rPr>
        <w:t>自份额折算基准日的次一工作日，即2018年8月15日起</w:t>
      </w:r>
      <w:r w:rsidR="00514762" w:rsidRPr="00F2099A">
        <w:rPr>
          <w:rFonts w:ascii="仿宋_GB2312" w:eastAsia="仿宋_GB2312" w:cs="宋体" w:hint="eastAsia"/>
          <w:kern w:val="0"/>
          <w:sz w:val="28"/>
          <w:szCs w:val="28"/>
        </w:rPr>
        <w:t>，《万家新机遇价值驱动灵活配置混合型证券投资基金基金合同》、《万家新机遇价值驱动灵活配置混合型证券投资基金托管协议》正式生效。</w:t>
      </w:r>
      <w:r w:rsidR="00514762" w:rsidRPr="00F2099A">
        <w:rPr>
          <w:rFonts w:ascii="仿宋_GB2312" w:eastAsia="仿宋_GB2312" w:hAnsi="Calibri" w:cs="宋体" w:hint="eastAsia"/>
          <w:kern w:val="0"/>
          <w:sz w:val="28"/>
          <w:szCs w:val="28"/>
        </w:rPr>
        <w:t>同日万家中证创业成长指数分级证券投资基金正式更名为万家新机遇价值驱动灵活配置混合型证券投资基金</w:t>
      </w:r>
      <w:r w:rsidR="00074DE5" w:rsidRPr="00F2099A">
        <w:rPr>
          <w:rFonts w:ascii="仿宋_GB2312" w:eastAsia="仿宋_GB2312" w:hAnsi="Calibri" w:cs="宋体" w:hint="eastAsia"/>
          <w:kern w:val="0"/>
          <w:sz w:val="28"/>
          <w:szCs w:val="28"/>
        </w:rPr>
        <w:t>（</w:t>
      </w:r>
      <w:r w:rsidR="00074DE5" w:rsidRPr="00F2099A">
        <w:rPr>
          <w:rFonts w:ascii="仿宋_GB2312" w:eastAsia="仿宋_GB2312" w:cs="宋体" w:hint="eastAsia"/>
          <w:kern w:val="0"/>
          <w:sz w:val="28"/>
          <w:szCs w:val="28"/>
        </w:rPr>
        <w:t>基金代码：A类：161910，C类：</w:t>
      </w:r>
      <w:r w:rsidR="00074DE5" w:rsidRPr="00F2099A">
        <w:rPr>
          <w:rFonts w:ascii="仿宋_GB2312" w:eastAsia="仿宋_GB2312" w:cs="宋体"/>
          <w:kern w:val="0"/>
          <w:sz w:val="28"/>
          <w:szCs w:val="28"/>
        </w:rPr>
        <w:t>006085</w:t>
      </w:r>
      <w:r w:rsidR="00074DE5" w:rsidRPr="00F2099A">
        <w:rPr>
          <w:rFonts w:ascii="仿宋_GB2312" w:eastAsia="仿宋_GB2312" w:hAnsi="Calibri" w:cs="宋体" w:hint="eastAsia"/>
          <w:kern w:val="0"/>
          <w:sz w:val="28"/>
          <w:szCs w:val="28"/>
        </w:rPr>
        <w:t>）。万家新机遇价值驱动</w:t>
      </w:r>
      <w:r w:rsidR="00E42201" w:rsidRPr="00F2099A">
        <w:rPr>
          <w:rFonts w:ascii="仿宋_GB2312" w:eastAsia="仿宋_GB2312" w:cs="宋体" w:hint="eastAsia"/>
          <w:kern w:val="0"/>
          <w:sz w:val="28"/>
          <w:szCs w:val="28"/>
        </w:rPr>
        <w:t>基金经理为郭成东、李文宾。</w:t>
      </w:r>
      <w:r w:rsidR="00AC2F14" w:rsidRPr="00F2099A">
        <w:rPr>
          <w:rFonts w:ascii="仿宋_GB2312" w:eastAsia="仿宋_GB2312" w:hAnsi="Calibri" w:cs="宋体" w:hint="eastAsia"/>
          <w:kern w:val="0"/>
          <w:sz w:val="28"/>
          <w:szCs w:val="28"/>
        </w:rPr>
        <w:t>原万家创业成长基金经理</w:t>
      </w:r>
      <w:r w:rsidR="00AC2F14" w:rsidRPr="00F2099A">
        <w:rPr>
          <w:rFonts w:ascii="仿宋_GB2312" w:eastAsia="仿宋_GB2312" w:cs="宋体" w:hint="eastAsia"/>
          <w:kern w:val="0"/>
          <w:sz w:val="28"/>
          <w:szCs w:val="28"/>
        </w:rPr>
        <w:t>卞勇、朱小明</w:t>
      </w:r>
      <w:r w:rsidR="002B16E0" w:rsidRPr="00F2099A">
        <w:rPr>
          <w:rFonts w:ascii="仿宋_GB2312" w:eastAsia="仿宋_GB2312" w:cs="宋体" w:hint="eastAsia"/>
          <w:kern w:val="0"/>
          <w:sz w:val="28"/>
          <w:szCs w:val="28"/>
        </w:rPr>
        <w:t>自该日起</w:t>
      </w:r>
      <w:r w:rsidR="00AC2F14" w:rsidRPr="00F2099A">
        <w:rPr>
          <w:rFonts w:ascii="仿宋_GB2312" w:eastAsia="仿宋_GB2312" w:cs="宋体" w:hint="eastAsia"/>
          <w:kern w:val="0"/>
          <w:sz w:val="28"/>
          <w:szCs w:val="28"/>
        </w:rPr>
        <w:t>不再担任</w:t>
      </w:r>
      <w:r w:rsidR="00AC2F14" w:rsidRPr="00F2099A">
        <w:rPr>
          <w:rFonts w:ascii="仿宋_GB2312" w:eastAsia="仿宋_GB2312" w:hAnsi="Calibri" w:cs="宋体" w:hint="eastAsia"/>
          <w:kern w:val="0"/>
          <w:sz w:val="28"/>
          <w:szCs w:val="28"/>
        </w:rPr>
        <w:t>该基金基金经理。</w:t>
      </w:r>
    </w:p>
    <w:p w:rsidR="000C3FE2" w:rsidRPr="00F2099A" w:rsidRDefault="000C3FE2" w:rsidP="000C3FE2">
      <w:pPr>
        <w:ind w:firstLineChars="200" w:firstLine="560"/>
        <w:rPr>
          <w:rFonts w:ascii="仿宋_GB2312" w:eastAsia="仿宋_GB2312" w:hAnsi="Calibri" w:cs="宋体"/>
          <w:kern w:val="0"/>
          <w:sz w:val="28"/>
          <w:szCs w:val="28"/>
        </w:rPr>
      </w:pPr>
      <w:bookmarkStart w:id="0" w:name="_GoBack"/>
      <w:bookmarkEnd w:id="0"/>
      <w:r w:rsidRPr="00F2099A">
        <w:rPr>
          <w:rFonts w:ascii="仿宋_GB2312" w:eastAsia="仿宋_GB2312" w:hAnsi="Calibri" w:cs="宋体" w:hint="eastAsia"/>
          <w:kern w:val="0"/>
          <w:sz w:val="28"/>
          <w:szCs w:val="28"/>
        </w:rPr>
        <w:t>投资者欲了解万家新机遇价值驱动灵活配置混合型证券投资基金的详细情况，可登录基金管理人网站（www.wjasset.com）查看该基金的基金合同、托管协议、招募说明书等法律文件或拨打客户服务电话95538转6或400-888-0800(免长途话费)垂询相关事宜。</w:t>
      </w:r>
    </w:p>
    <w:p w:rsidR="000C3FE2" w:rsidRPr="00F2099A" w:rsidRDefault="0013107E" w:rsidP="000C3FE2">
      <w:pPr>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三、场内份额赎回</w:t>
      </w:r>
      <w:r w:rsidR="000C3FE2" w:rsidRPr="00F2099A">
        <w:rPr>
          <w:rFonts w:ascii="仿宋_GB2312" w:eastAsia="仿宋_GB2312" w:hAnsi="Calibri" w:cs="宋体" w:hint="eastAsia"/>
          <w:kern w:val="0"/>
          <w:sz w:val="28"/>
          <w:szCs w:val="28"/>
        </w:rPr>
        <w:t>特别提示</w:t>
      </w:r>
    </w:p>
    <w:p w:rsidR="002612E7" w:rsidRPr="00F2099A" w:rsidRDefault="00B16E7A" w:rsidP="000C3FE2">
      <w:pPr>
        <w:ind w:firstLineChars="200" w:firstLine="560"/>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自2018年8月16日起三个月内，持有万家新机遇价值驱动</w:t>
      </w:r>
      <w:r w:rsidR="002612E7" w:rsidRPr="00F2099A">
        <w:rPr>
          <w:rFonts w:ascii="仿宋_GB2312" w:eastAsia="仿宋_GB2312" w:hAnsi="Calibri" w:cs="宋体" w:hint="eastAsia"/>
          <w:kern w:val="0"/>
          <w:sz w:val="28"/>
          <w:szCs w:val="28"/>
        </w:rPr>
        <w:t>A类</w:t>
      </w:r>
      <w:r w:rsidRPr="00F2099A">
        <w:rPr>
          <w:rFonts w:ascii="仿宋_GB2312" w:eastAsia="仿宋_GB2312" w:hAnsi="Calibri" w:cs="宋体" w:hint="eastAsia"/>
          <w:kern w:val="0"/>
          <w:sz w:val="28"/>
          <w:szCs w:val="28"/>
        </w:rPr>
        <w:t>场内份额</w:t>
      </w:r>
      <w:r w:rsidR="00FF4D41" w:rsidRPr="00F2099A">
        <w:rPr>
          <w:rFonts w:ascii="仿宋_GB2312" w:eastAsia="仿宋_GB2312" w:hAnsi="Calibri" w:cs="宋体" w:hint="eastAsia"/>
          <w:kern w:val="0"/>
          <w:sz w:val="28"/>
          <w:szCs w:val="28"/>
        </w:rPr>
        <w:t>（场内简称：新机遇A,场内代码：161910）</w:t>
      </w:r>
      <w:r w:rsidRPr="00F2099A">
        <w:rPr>
          <w:rFonts w:ascii="仿宋_GB2312" w:eastAsia="仿宋_GB2312" w:hAnsi="Calibri" w:cs="宋体" w:hint="eastAsia"/>
          <w:kern w:val="0"/>
          <w:sz w:val="28"/>
          <w:szCs w:val="28"/>
        </w:rPr>
        <w:t>的基金份额持有人，</w:t>
      </w:r>
      <w:r w:rsidR="000C3FE2" w:rsidRPr="00F2099A">
        <w:rPr>
          <w:rFonts w:ascii="仿宋_GB2312" w:eastAsia="仿宋_GB2312" w:hAnsi="Calibri" w:cs="宋体" w:hint="eastAsia"/>
          <w:kern w:val="0"/>
          <w:sz w:val="28"/>
          <w:szCs w:val="28"/>
        </w:rPr>
        <w:t>仍</w:t>
      </w:r>
      <w:r w:rsidRPr="00F2099A">
        <w:rPr>
          <w:rFonts w:ascii="仿宋_GB2312" w:eastAsia="仿宋_GB2312" w:hAnsi="Calibri" w:cs="宋体" w:hint="eastAsia"/>
          <w:kern w:val="0"/>
          <w:sz w:val="28"/>
          <w:szCs w:val="28"/>
        </w:rPr>
        <w:t>可以进行场内赎回，或进行场外开户和跨系统转托管从而将场内份额转换为场外份额。</w:t>
      </w:r>
      <w:r w:rsidR="002612E7" w:rsidRPr="00F2099A">
        <w:rPr>
          <w:rFonts w:ascii="仿宋_GB2312" w:eastAsia="仿宋_GB2312" w:hAnsi="Calibri" w:cs="宋体" w:hint="eastAsia"/>
          <w:kern w:val="0"/>
          <w:sz w:val="28"/>
          <w:szCs w:val="28"/>
        </w:rPr>
        <w:t>场内份额赎回费率如下：</w:t>
      </w:r>
    </w:p>
    <w:tbl>
      <w:tblPr>
        <w:tblW w:w="5000" w:type="pct"/>
        <w:tblCellMar>
          <w:left w:w="0" w:type="dxa"/>
          <w:right w:w="0" w:type="dxa"/>
        </w:tblCellMar>
        <w:tblLook w:val="04A0"/>
      </w:tblPr>
      <w:tblGrid>
        <w:gridCol w:w="4360"/>
        <w:gridCol w:w="4086"/>
      </w:tblGrid>
      <w:tr w:rsidR="00853A2A" w:rsidRPr="00F2099A" w:rsidTr="00853A2A">
        <w:trPr>
          <w:trHeight w:val="119"/>
        </w:trPr>
        <w:tc>
          <w:tcPr>
            <w:tcW w:w="258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53A2A" w:rsidRPr="00F2099A" w:rsidRDefault="00853A2A">
            <w:pPr>
              <w:jc w:val="center"/>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持有时间（N）</w:t>
            </w:r>
          </w:p>
        </w:tc>
        <w:tc>
          <w:tcPr>
            <w:tcW w:w="241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53A2A" w:rsidRPr="00F2099A" w:rsidRDefault="00853A2A">
            <w:pPr>
              <w:jc w:val="center"/>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场内赎回费率</w:t>
            </w:r>
          </w:p>
        </w:tc>
      </w:tr>
      <w:tr w:rsidR="00853A2A" w:rsidRPr="00F2099A" w:rsidTr="00853A2A">
        <w:trPr>
          <w:trHeight w:val="119"/>
        </w:trPr>
        <w:tc>
          <w:tcPr>
            <w:tcW w:w="258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3A2A" w:rsidRPr="00F2099A" w:rsidRDefault="00853A2A" w:rsidP="00853A2A">
            <w:pPr>
              <w:jc w:val="center"/>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N＜7日</w:t>
            </w:r>
          </w:p>
        </w:tc>
        <w:tc>
          <w:tcPr>
            <w:tcW w:w="241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53A2A" w:rsidRPr="00F2099A" w:rsidRDefault="00853A2A">
            <w:pPr>
              <w:jc w:val="center"/>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1.50%</w:t>
            </w:r>
          </w:p>
        </w:tc>
      </w:tr>
      <w:tr w:rsidR="00853A2A" w:rsidRPr="00F2099A" w:rsidTr="00853A2A">
        <w:trPr>
          <w:trHeight w:val="119"/>
        </w:trPr>
        <w:tc>
          <w:tcPr>
            <w:tcW w:w="2581"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3A2A" w:rsidRPr="00F2099A" w:rsidRDefault="00853A2A">
            <w:pPr>
              <w:jc w:val="center"/>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N≥7日</w:t>
            </w:r>
          </w:p>
        </w:tc>
        <w:tc>
          <w:tcPr>
            <w:tcW w:w="24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853A2A" w:rsidRPr="00F2099A" w:rsidRDefault="00853A2A">
            <w:pPr>
              <w:jc w:val="center"/>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0.75%</w:t>
            </w:r>
          </w:p>
        </w:tc>
      </w:tr>
      <w:tr w:rsidR="002612E7" w:rsidRPr="00F2099A" w:rsidTr="00853A2A">
        <w:trPr>
          <w:trHeight w:val="119"/>
        </w:trPr>
        <w:tc>
          <w:tcPr>
            <w:tcW w:w="5000"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53A2A" w:rsidRPr="00F2099A" w:rsidRDefault="00853A2A" w:rsidP="00853A2A">
            <w:pPr>
              <w:jc w:val="left"/>
              <w:rPr>
                <w:rFonts w:ascii="仿宋_GB2312" w:eastAsia="仿宋_GB2312" w:hAnsi="Calibri" w:cs="宋体"/>
                <w:kern w:val="0"/>
                <w:sz w:val="24"/>
                <w:szCs w:val="24"/>
              </w:rPr>
            </w:pPr>
            <w:r w:rsidRPr="00F2099A">
              <w:rPr>
                <w:rFonts w:ascii="仿宋_GB2312" w:eastAsia="仿宋_GB2312" w:hAnsi="Calibri" w:cs="宋体" w:hint="eastAsia"/>
                <w:kern w:val="0"/>
                <w:sz w:val="24"/>
                <w:szCs w:val="24"/>
              </w:rPr>
              <w:t>注：1、由原万家创业成长A、万家创业成长B转型而来的万家新机遇价值驱动A类场内份额，其持有期限（含跨系统转场外）自2018年8月15日起（含当日）计算；</w:t>
            </w:r>
          </w:p>
          <w:p w:rsidR="002612E7" w:rsidRPr="00F2099A" w:rsidRDefault="00853A2A" w:rsidP="00853A2A">
            <w:pPr>
              <w:jc w:val="left"/>
              <w:rPr>
                <w:rFonts w:ascii="仿宋_GB2312" w:eastAsia="仿宋_GB2312" w:hAnsi="Calibri" w:cs="宋体"/>
                <w:kern w:val="0"/>
                <w:sz w:val="28"/>
                <w:szCs w:val="28"/>
              </w:rPr>
            </w:pPr>
            <w:r w:rsidRPr="00F2099A">
              <w:rPr>
                <w:rFonts w:ascii="仿宋_GB2312" w:eastAsia="仿宋_GB2312" w:hAnsi="Calibri" w:cs="宋体" w:hint="eastAsia"/>
                <w:kern w:val="0"/>
                <w:sz w:val="24"/>
                <w:szCs w:val="24"/>
              </w:rPr>
              <w:t>2、由原万家创业成长场内份额转型而来的万家新机遇价值驱动A类场内份额，其持有期限（含跨系统转场外）自其认购</w:t>
            </w:r>
            <w:r w:rsidRPr="00F2099A">
              <w:rPr>
                <w:rFonts w:ascii="仿宋_GB2312" w:eastAsia="仿宋_GB2312" w:hAnsi="Calibri" w:cs="宋体"/>
                <w:kern w:val="0"/>
                <w:sz w:val="24"/>
                <w:szCs w:val="24"/>
              </w:rPr>
              <w:t>/</w:t>
            </w:r>
            <w:r w:rsidRPr="00F2099A">
              <w:rPr>
                <w:rFonts w:ascii="仿宋_GB2312" w:eastAsia="仿宋_GB2312" w:hAnsi="Calibri" w:cs="宋体" w:hint="eastAsia"/>
                <w:kern w:val="0"/>
                <w:sz w:val="24"/>
                <w:szCs w:val="24"/>
              </w:rPr>
              <w:t>申购万家创业成长场内份额确认之日起计算。</w:t>
            </w:r>
          </w:p>
        </w:tc>
      </w:tr>
    </w:tbl>
    <w:p w:rsidR="00B16E7A" w:rsidRPr="00F2099A" w:rsidRDefault="00B16E7A" w:rsidP="002612E7">
      <w:pPr>
        <w:ind w:firstLineChars="200" w:firstLine="560"/>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待三个月期限届满后，</w:t>
      </w:r>
      <w:r w:rsidR="000C3FE2" w:rsidRPr="00F2099A">
        <w:rPr>
          <w:rFonts w:ascii="仿宋_GB2312" w:eastAsia="仿宋_GB2312" w:hAnsi="Calibri" w:cs="宋体" w:hint="eastAsia"/>
          <w:kern w:val="0"/>
          <w:sz w:val="28"/>
          <w:szCs w:val="28"/>
        </w:rPr>
        <w:t>将</w:t>
      </w:r>
      <w:r w:rsidRPr="00F2099A">
        <w:rPr>
          <w:rFonts w:ascii="仿宋_GB2312" w:eastAsia="仿宋_GB2312" w:hAnsi="Calibri" w:cs="宋体" w:hint="eastAsia"/>
          <w:kern w:val="0"/>
          <w:sz w:val="28"/>
          <w:szCs w:val="28"/>
        </w:rPr>
        <w:t>关闭场内赎回、场内份额的跨系统转托管业务，原登记在中国证券登记结算有限责任公司深圳证券登记结算系统的场内基金份额，将转登记至本基金管理人开立的中国证券登记结算有限责任公司场外基金账户上，届时仍持有场内份额余额的投资者，需根据基金管理人届时发布的相关公告，对其持有的基金份额进行重新确认与登记，此过程即为“确权”，确权完成后，基金份额持有人方可在场外对相关基金份额进行赎回及其他业务办理。</w:t>
      </w:r>
    </w:p>
    <w:p w:rsidR="00B16E7A" w:rsidRPr="00F2099A" w:rsidRDefault="00B16E7A" w:rsidP="00B16E7A">
      <w:pPr>
        <w:ind w:firstLineChars="200" w:firstLine="560"/>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风险提示：</w:t>
      </w:r>
    </w:p>
    <w:p w:rsidR="00B16E7A" w:rsidRPr="00F2099A" w:rsidRDefault="00B16E7A" w:rsidP="00B16E7A">
      <w:pPr>
        <w:ind w:firstLineChars="200" w:firstLine="560"/>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本基金管理人承诺以诚实信用、勤勉尽责的原则管理和运用基金资产，但不保证基金一定盈利，也不保证最低收益。敬请投资者留意投资风险。</w:t>
      </w:r>
    </w:p>
    <w:p w:rsidR="00B16E7A" w:rsidRPr="00F2099A" w:rsidRDefault="00B16E7A" w:rsidP="00B16E7A">
      <w:pPr>
        <w:ind w:firstLineChars="200" w:firstLine="560"/>
        <w:rPr>
          <w:rFonts w:ascii="仿宋_GB2312" w:eastAsia="仿宋_GB2312" w:hAnsi="Calibri" w:cs="宋体"/>
          <w:kern w:val="0"/>
          <w:sz w:val="28"/>
          <w:szCs w:val="28"/>
        </w:rPr>
      </w:pPr>
      <w:r w:rsidRPr="00F2099A">
        <w:rPr>
          <w:rFonts w:ascii="仿宋_GB2312" w:eastAsia="仿宋_GB2312" w:hAnsi="Calibri" w:cs="宋体" w:hint="eastAsia"/>
          <w:kern w:val="0"/>
          <w:sz w:val="28"/>
          <w:szCs w:val="28"/>
        </w:rPr>
        <w:t>特此公告。</w:t>
      </w:r>
    </w:p>
    <w:p w:rsidR="00B16E7A" w:rsidRPr="00F2099A" w:rsidRDefault="00B16E7A" w:rsidP="00B16E7A">
      <w:pPr>
        <w:autoSpaceDE w:val="0"/>
        <w:autoSpaceDN w:val="0"/>
        <w:adjustRightInd w:val="0"/>
        <w:spacing w:before="6" w:line="160" w:lineRule="exact"/>
        <w:jc w:val="left"/>
        <w:rPr>
          <w:rFonts w:ascii="宋体" w:eastAsia="宋体" w:hAnsi="Calibri" w:cs="宋体"/>
          <w:color w:val="000000"/>
          <w:kern w:val="0"/>
          <w:sz w:val="16"/>
          <w:szCs w:val="16"/>
        </w:rPr>
      </w:pPr>
    </w:p>
    <w:p w:rsidR="00B16E7A" w:rsidRPr="00F2099A" w:rsidRDefault="00B16E7A" w:rsidP="00B16E7A">
      <w:pPr>
        <w:pStyle w:val="a5"/>
        <w:spacing w:before="0" w:after="0"/>
        <w:jc w:val="right"/>
        <w:rPr>
          <w:rFonts w:ascii="仿宋_GB2312" w:eastAsia="仿宋_GB2312" w:hAnsi="Calibri" w:cs="宋体"/>
          <w:b w:val="0"/>
          <w:bCs w:val="0"/>
          <w:kern w:val="0"/>
          <w:sz w:val="28"/>
          <w:szCs w:val="28"/>
        </w:rPr>
      </w:pPr>
      <w:r w:rsidRPr="00F2099A">
        <w:rPr>
          <w:rFonts w:ascii="仿宋_GB2312" w:eastAsia="仿宋_GB2312" w:hAnsi="Calibri" w:cs="宋体" w:hint="eastAsia"/>
          <w:b w:val="0"/>
          <w:bCs w:val="0"/>
          <w:kern w:val="0"/>
          <w:sz w:val="28"/>
          <w:szCs w:val="28"/>
        </w:rPr>
        <w:t>万家基金管理有限公司</w:t>
      </w:r>
    </w:p>
    <w:p w:rsidR="00B16E7A" w:rsidRPr="00F2099A" w:rsidRDefault="00B16E7A" w:rsidP="00B16E7A">
      <w:pPr>
        <w:pStyle w:val="a5"/>
        <w:spacing w:before="0" w:after="0"/>
        <w:jc w:val="right"/>
        <w:rPr>
          <w:rFonts w:ascii="仿宋_GB2312" w:eastAsia="仿宋_GB2312" w:hAnsi="Calibri" w:cs="宋体"/>
          <w:b w:val="0"/>
          <w:bCs w:val="0"/>
          <w:kern w:val="0"/>
          <w:sz w:val="28"/>
          <w:szCs w:val="28"/>
        </w:rPr>
      </w:pPr>
      <w:r w:rsidRPr="00F2099A">
        <w:rPr>
          <w:rFonts w:ascii="仿宋_GB2312" w:eastAsia="仿宋_GB2312" w:hAnsi="Calibri" w:cs="宋体"/>
          <w:b w:val="0"/>
          <w:bCs w:val="0"/>
          <w:kern w:val="0"/>
          <w:sz w:val="28"/>
          <w:szCs w:val="28"/>
        </w:rPr>
        <w:t>2018</w:t>
      </w:r>
      <w:r w:rsidRPr="00F2099A">
        <w:rPr>
          <w:rFonts w:ascii="仿宋_GB2312" w:eastAsia="仿宋_GB2312" w:hAnsi="Calibri" w:cs="宋体" w:hint="eastAsia"/>
          <w:b w:val="0"/>
          <w:bCs w:val="0"/>
          <w:kern w:val="0"/>
          <w:sz w:val="28"/>
          <w:szCs w:val="28"/>
        </w:rPr>
        <w:t>年</w:t>
      </w:r>
      <w:r w:rsidRPr="00F2099A">
        <w:rPr>
          <w:rFonts w:ascii="仿宋_GB2312" w:eastAsia="仿宋_GB2312" w:hAnsi="Calibri" w:cs="宋体"/>
          <w:b w:val="0"/>
          <w:bCs w:val="0"/>
          <w:kern w:val="0"/>
          <w:sz w:val="28"/>
          <w:szCs w:val="28"/>
        </w:rPr>
        <w:t>8</w:t>
      </w:r>
      <w:r w:rsidRPr="00F2099A">
        <w:rPr>
          <w:rFonts w:ascii="仿宋_GB2312" w:eastAsia="仿宋_GB2312" w:hAnsi="Calibri" w:cs="宋体" w:hint="eastAsia"/>
          <w:b w:val="0"/>
          <w:bCs w:val="0"/>
          <w:kern w:val="0"/>
          <w:sz w:val="28"/>
          <w:szCs w:val="28"/>
        </w:rPr>
        <w:t>月</w:t>
      </w:r>
      <w:r w:rsidR="009F080C" w:rsidRPr="00F2099A">
        <w:rPr>
          <w:rFonts w:ascii="仿宋_GB2312" w:eastAsia="仿宋_GB2312" w:hAnsi="Calibri" w:cs="宋体"/>
          <w:b w:val="0"/>
          <w:bCs w:val="0"/>
          <w:kern w:val="0"/>
          <w:sz w:val="28"/>
          <w:szCs w:val="28"/>
        </w:rPr>
        <w:t>1</w:t>
      </w:r>
      <w:r w:rsidR="009F080C" w:rsidRPr="00F2099A">
        <w:rPr>
          <w:rFonts w:ascii="仿宋_GB2312" w:eastAsia="仿宋_GB2312" w:hAnsi="Calibri" w:cs="宋体" w:hint="eastAsia"/>
          <w:b w:val="0"/>
          <w:bCs w:val="0"/>
          <w:kern w:val="0"/>
          <w:sz w:val="28"/>
          <w:szCs w:val="28"/>
        </w:rPr>
        <w:t>6</w:t>
      </w:r>
      <w:r w:rsidRPr="00F2099A">
        <w:rPr>
          <w:rFonts w:ascii="仿宋_GB2312" w:eastAsia="仿宋_GB2312" w:hAnsi="Calibri" w:cs="宋体" w:hint="eastAsia"/>
          <w:b w:val="0"/>
          <w:bCs w:val="0"/>
          <w:kern w:val="0"/>
          <w:sz w:val="28"/>
          <w:szCs w:val="28"/>
        </w:rPr>
        <w:t>日</w:t>
      </w:r>
    </w:p>
    <w:p w:rsidR="00B16E7A" w:rsidRPr="00F2099A" w:rsidRDefault="00B16E7A" w:rsidP="00AC2F14">
      <w:pPr>
        <w:ind w:firstLineChars="200" w:firstLine="560"/>
        <w:rPr>
          <w:rFonts w:ascii="仿宋_GB2312" w:eastAsia="仿宋_GB2312" w:cs="宋体"/>
          <w:kern w:val="0"/>
          <w:sz w:val="28"/>
          <w:szCs w:val="28"/>
        </w:rPr>
      </w:pPr>
    </w:p>
    <w:sectPr w:rsidR="00B16E7A" w:rsidRPr="00F2099A" w:rsidSect="003775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EE" w:rsidRDefault="006056EE" w:rsidP="00BA2E5D">
      <w:r>
        <w:separator/>
      </w:r>
    </w:p>
  </w:endnote>
  <w:endnote w:type="continuationSeparator" w:id="1">
    <w:p w:rsidR="006056EE" w:rsidRDefault="006056EE" w:rsidP="00BA2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43945"/>
      <w:docPartObj>
        <w:docPartGallery w:val="Page Numbers (Bottom of Page)"/>
        <w:docPartUnique/>
      </w:docPartObj>
    </w:sdtPr>
    <w:sdtContent>
      <w:p w:rsidR="00AC2F14" w:rsidRDefault="0037751A">
        <w:pPr>
          <w:pStyle w:val="a4"/>
          <w:jc w:val="center"/>
        </w:pPr>
        <w:r>
          <w:fldChar w:fldCharType="begin"/>
        </w:r>
        <w:r w:rsidR="00AC2F14">
          <w:instrText>PAGE   \* MERGEFORMAT</w:instrText>
        </w:r>
        <w:r>
          <w:fldChar w:fldCharType="separate"/>
        </w:r>
        <w:r w:rsidR="001D15B8" w:rsidRPr="001D15B8">
          <w:rPr>
            <w:noProof/>
            <w:lang w:val="zh-CN"/>
          </w:rPr>
          <w:t>1</w:t>
        </w:r>
        <w:r>
          <w:fldChar w:fldCharType="end"/>
        </w:r>
      </w:p>
    </w:sdtContent>
  </w:sdt>
  <w:p w:rsidR="00AC2F14" w:rsidRDefault="00AC2F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EE" w:rsidRDefault="006056EE" w:rsidP="00BA2E5D">
      <w:r>
        <w:separator/>
      </w:r>
    </w:p>
  </w:footnote>
  <w:footnote w:type="continuationSeparator" w:id="1">
    <w:p w:rsidR="006056EE" w:rsidRDefault="006056EE" w:rsidP="00BA2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DD4"/>
    <w:rsid w:val="00074DE5"/>
    <w:rsid w:val="00090BB1"/>
    <w:rsid w:val="00094C88"/>
    <w:rsid w:val="000C3FE2"/>
    <w:rsid w:val="001127E4"/>
    <w:rsid w:val="0013107E"/>
    <w:rsid w:val="001D15B8"/>
    <w:rsid w:val="001D237D"/>
    <w:rsid w:val="00247B22"/>
    <w:rsid w:val="002612E7"/>
    <w:rsid w:val="002B16E0"/>
    <w:rsid w:val="002F3CA1"/>
    <w:rsid w:val="00372941"/>
    <w:rsid w:val="0037751A"/>
    <w:rsid w:val="005007AC"/>
    <w:rsid w:val="00514762"/>
    <w:rsid w:val="00541EA5"/>
    <w:rsid w:val="005F5155"/>
    <w:rsid w:val="006056EE"/>
    <w:rsid w:val="0062106A"/>
    <w:rsid w:val="006F55DE"/>
    <w:rsid w:val="00707F1F"/>
    <w:rsid w:val="00767DD4"/>
    <w:rsid w:val="00853A2A"/>
    <w:rsid w:val="008C102E"/>
    <w:rsid w:val="00911C83"/>
    <w:rsid w:val="009F080C"/>
    <w:rsid w:val="00AC21F2"/>
    <w:rsid w:val="00AC2F14"/>
    <w:rsid w:val="00B16E7A"/>
    <w:rsid w:val="00BA2E5D"/>
    <w:rsid w:val="00BE4E1C"/>
    <w:rsid w:val="00C2029E"/>
    <w:rsid w:val="00CB0BC6"/>
    <w:rsid w:val="00D62FE3"/>
    <w:rsid w:val="00E42201"/>
    <w:rsid w:val="00F2099A"/>
    <w:rsid w:val="00F762D5"/>
    <w:rsid w:val="00FE6B99"/>
    <w:rsid w:val="00FF4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5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E5D"/>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BA2E5D"/>
    <w:rPr>
      <w:sz w:val="18"/>
      <w:szCs w:val="18"/>
    </w:rPr>
  </w:style>
  <w:style w:type="paragraph" w:styleId="a4">
    <w:name w:val="footer"/>
    <w:basedOn w:val="a"/>
    <w:link w:val="Char0"/>
    <w:uiPriority w:val="99"/>
    <w:unhideWhenUsed/>
    <w:rsid w:val="00BA2E5D"/>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BA2E5D"/>
    <w:rPr>
      <w:sz w:val="18"/>
      <w:szCs w:val="18"/>
    </w:rPr>
  </w:style>
  <w:style w:type="paragraph" w:styleId="a5">
    <w:name w:val="Title"/>
    <w:basedOn w:val="a"/>
    <w:next w:val="a"/>
    <w:link w:val="Char1"/>
    <w:uiPriority w:val="10"/>
    <w:qFormat/>
    <w:rsid w:val="00B16E7A"/>
    <w:pPr>
      <w:spacing w:before="240" w:after="60"/>
      <w:jc w:val="center"/>
      <w:outlineLvl w:val="0"/>
    </w:pPr>
    <w:rPr>
      <w:rFonts w:ascii="Cambria" w:eastAsia="宋体" w:hAnsi="Cambria"/>
      <w:b/>
      <w:bCs/>
      <w:sz w:val="32"/>
      <w:szCs w:val="32"/>
    </w:rPr>
  </w:style>
  <w:style w:type="character" w:customStyle="1" w:styleId="Char1">
    <w:name w:val="标题 Char"/>
    <w:basedOn w:val="a0"/>
    <w:link w:val="a5"/>
    <w:uiPriority w:val="10"/>
    <w:rsid w:val="00B16E7A"/>
    <w:rPr>
      <w:rFonts w:ascii="Cambria" w:eastAsia="宋体" w:hAnsi="Cambria" w:cs="Times New Roman"/>
      <w:b/>
      <w:bCs/>
      <w:sz w:val="32"/>
      <w:szCs w:val="32"/>
    </w:rPr>
  </w:style>
  <w:style w:type="paragraph" w:styleId="a6">
    <w:name w:val="Balloon Text"/>
    <w:basedOn w:val="a"/>
    <w:link w:val="Char2"/>
    <w:uiPriority w:val="99"/>
    <w:semiHidden/>
    <w:unhideWhenUsed/>
    <w:rsid w:val="000C3FE2"/>
    <w:rPr>
      <w:sz w:val="18"/>
      <w:szCs w:val="18"/>
    </w:rPr>
  </w:style>
  <w:style w:type="character" w:customStyle="1" w:styleId="Char2">
    <w:name w:val="批注框文本 Char"/>
    <w:basedOn w:val="a0"/>
    <w:link w:val="a6"/>
    <w:uiPriority w:val="99"/>
    <w:semiHidden/>
    <w:rsid w:val="000C3FE2"/>
    <w:rPr>
      <w:rFonts w:cs="Times New Roman"/>
      <w:sz w:val="18"/>
      <w:szCs w:val="18"/>
    </w:rPr>
  </w:style>
  <w:style w:type="table" w:styleId="a7">
    <w:name w:val="Table Grid"/>
    <w:basedOn w:val="a1"/>
    <w:uiPriority w:val="59"/>
    <w:rsid w:val="00FE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10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5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E5D"/>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BA2E5D"/>
    <w:rPr>
      <w:sz w:val="18"/>
      <w:szCs w:val="18"/>
    </w:rPr>
  </w:style>
  <w:style w:type="paragraph" w:styleId="a4">
    <w:name w:val="footer"/>
    <w:basedOn w:val="a"/>
    <w:link w:val="Char0"/>
    <w:uiPriority w:val="99"/>
    <w:unhideWhenUsed/>
    <w:rsid w:val="00BA2E5D"/>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BA2E5D"/>
    <w:rPr>
      <w:sz w:val="18"/>
      <w:szCs w:val="18"/>
    </w:rPr>
  </w:style>
  <w:style w:type="paragraph" w:styleId="a5">
    <w:name w:val="Title"/>
    <w:basedOn w:val="a"/>
    <w:next w:val="a"/>
    <w:link w:val="Char1"/>
    <w:uiPriority w:val="10"/>
    <w:qFormat/>
    <w:rsid w:val="00B16E7A"/>
    <w:pPr>
      <w:spacing w:before="240" w:after="60"/>
      <w:jc w:val="center"/>
      <w:outlineLvl w:val="0"/>
    </w:pPr>
    <w:rPr>
      <w:rFonts w:ascii="Cambria" w:eastAsia="宋体" w:hAnsi="Cambria"/>
      <w:b/>
      <w:bCs/>
      <w:sz w:val="32"/>
      <w:szCs w:val="32"/>
    </w:rPr>
  </w:style>
  <w:style w:type="character" w:customStyle="1" w:styleId="Char1">
    <w:name w:val="标题 Char"/>
    <w:basedOn w:val="a0"/>
    <w:link w:val="a5"/>
    <w:uiPriority w:val="10"/>
    <w:rsid w:val="00B16E7A"/>
    <w:rPr>
      <w:rFonts w:ascii="Cambria" w:eastAsia="宋体" w:hAnsi="Cambria" w:cs="Times New Roman"/>
      <w:b/>
      <w:bCs/>
      <w:sz w:val="32"/>
      <w:szCs w:val="32"/>
    </w:rPr>
  </w:style>
  <w:style w:type="paragraph" w:styleId="a6">
    <w:name w:val="Balloon Text"/>
    <w:basedOn w:val="a"/>
    <w:link w:val="Char2"/>
    <w:uiPriority w:val="99"/>
    <w:semiHidden/>
    <w:unhideWhenUsed/>
    <w:rsid w:val="000C3FE2"/>
    <w:rPr>
      <w:sz w:val="18"/>
      <w:szCs w:val="18"/>
    </w:rPr>
  </w:style>
  <w:style w:type="character" w:customStyle="1" w:styleId="Char2">
    <w:name w:val="批注框文本 Char"/>
    <w:basedOn w:val="a0"/>
    <w:link w:val="a6"/>
    <w:uiPriority w:val="99"/>
    <w:semiHidden/>
    <w:rsid w:val="000C3FE2"/>
    <w:rPr>
      <w:rFonts w:cs="Times New Roman"/>
      <w:sz w:val="18"/>
      <w:szCs w:val="18"/>
    </w:rPr>
  </w:style>
  <w:style w:type="table" w:styleId="a7">
    <w:name w:val="Table Grid"/>
    <w:basedOn w:val="a1"/>
    <w:uiPriority w:val="59"/>
    <w:rsid w:val="00FE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107E"/>
    <w:pPr>
      <w:ind w:firstLineChars="200" w:firstLine="420"/>
    </w:pPr>
  </w:style>
</w:styles>
</file>

<file path=word/webSettings.xml><?xml version="1.0" encoding="utf-8"?>
<w:webSettings xmlns:r="http://schemas.openxmlformats.org/officeDocument/2006/relationships" xmlns:w="http://schemas.openxmlformats.org/wordprocessingml/2006/main">
  <w:divs>
    <w:div w:id="316540830">
      <w:bodyDiv w:val="1"/>
      <w:marLeft w:val="0"/>
      <w:marRight w:val="0"/>
      <w:marTop w:val="0"/>
      <w:marBottom w:val="0"/>
      <w:divBdr>
        <w:top w:val="none" w:sz="0" w:space="0" w:color="auto"/>
        <w:left w:val="none" w:sz="0" w:space="0" w:color="auto"/>
        <w:bottom w:val="none" w:sz="0" w:space="0" w:color="auto"/>
        <w:right w:val="none" w:sz="0" w:space="0" w:color="auto"/>
      </w:divBdr>
    </w:div>
    <w:div w:id="10094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4</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程元元</dc:creator>
  <cp:lastModifiedBy>ZHONGM</cp:lastModifiedBy>
  <cp:revision>2</cp:revision>
  <dcterms:created xsi:type="dcterms:W3CDTF">2018-08-15T16:33:00Z</dcterms:created>
  <dcterms:modified xsi:type="dcterms:W3CDTF">2018-08-15T16:33:00Z</dcterms:modified>
</cp:coreProperties>
</file>