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8C" w:rsidRPr="00C766D0" w:rsidRDefault="00007006">
      <w:pPr>
        <w:widowControl/>
        <w:shd w:val="clear" w:color="auto" w:fill="FFFFFF"/>
        <w:spacing w:after="150"/>
        <w:jc w:val="center"/>
        <w:textAlignment w:val="baseline"/>
        <w:outlineLvl w:val="1"/>
        <w:rPr>
          <w:rFonts w:asciiTheme="minorEastAsia" w:hAnsiTheme="minorEastAsia" w:cs="宋体"/>
          <w:b/>
          <w:kern w:val="0"/>
          <w:sz w:val="32"/>
          <w:szCs w:val="32"/>
        </w:rPr>
      </w:pPr>
      <w:r w:rsidRPr="00C766D0">
        <w:rPr>
          <w:rFonts w:asciiTheme="minorEastAsia" w:hAnsiTheme="minorEastAsia" w:cs="宋体" w:hint="eastAsia"/>
          <w:b/>
          <w:kern w:val="0"/>
          <w:sz w:val="32"/>
          <w:szCs w:val="32"/>
        </w:rPr>
        <w:t>关于</w:t>
      </w:r>
      <w:r w:rsidR="00DB7140" w:rsidRPr="00C766D0">
        <w:rPr>
          <w:rFonts w:asciiTheme="minorEastAsia" w:hAnsiTheme="minorEastAsia" w:cs="宋体" w:hint="eastAsia"/>
          <w:b/>
          <w:kern w:val="0"/>
          <w:sz w:val="32"/>
          <w:szCs w:val="32"/>
        </w:rPr>
        <w:t>泰达宏利</w:t>
      </w:r>
      <w:r w:rsidR="00B83A63">
        <w:rPr>
          <w:rFonts w:asciiTheme="minorEastAsia" w:hAnsiTheme="minorEastAsia" w:cs="宋体" w:hint="eastAsia"/>
          <w:b/>
          <w:kern w:val="0"/>
          <w:sz w:val="32"/>
          <w:szCs w:val="32"/>
        </w:rPr>
        <w:t>信用合利定期开放债券型</w:t>
      </w:r>
      <w:r w:rsidR="00DB7140" w:rsidRPr="00C766D0">
        <w:rPr>
          <w:rFonts w:asciiTheme="minorEastAsia" w:hAnsiTheme="minorEastAsia" w:cs="宋体" w:hint="eastAsia"/>
          <w:b/>
          <w:kern w:val="0"/>
          <w:sz w:val="32"/>
          <w:szCs w:val="32"/>
        </w:rPr>
        <w:t>证券投资基金</w:t>
      </w:r>
      <w:bookmarkStart w:id="0" w:name="_GoBack"/>
      <w:bookmarkEnd w:id="0"/>
    </w:p>
    <w:p w:rsidR="00553082" w:rsidRPr="00C766D0" w:rsidRDefault="00007006" w:rsidP="000405B9">
      <w:pPr>
        <w:widowControl/>
        <w:shd w:val="clear" w:color="auto" w:fill="FFFFFF"/>
        <w:spacing w:after="360"/>
        <w:jc w:val="center"/>
        <w:textAlignment w:val="baseline"/>
        <w:outlineLvl w:val="1"/>
        <w:rPr>
          <w:rFonts w:asciiTheme="minorEastAsia" w:hAnsiTheme="minorEastAsia" w:cs="宋体"/>
          <w:b/>
          <w:kern w:val="0"/>
          <w:sz w:val="32"/>
          <w:szCs w:val="32"/>
        </w:rPr>
      </w:pPr>
      <w:r w:rsidRPr="00C766D0">
        <w:rPr>
          <w:rFonts w:asciiTheme="minorEastAsia" w:hAnsiTheme="minorEastAsia" w:cs="宋体" w:hint="eastAsia"/>
          <w:b/>
          <w:kern w:val="0"/>
          <w:sz w:val="32"/>
          <w:szCs w:val="32"/>
        </w:rPr>
        <w:t>基金合同终止及财产清算的公告</w:t>
      </w:r>
    </w:p>
    <w:p w:rsidR="00553082" w:rsidRPr="00C766D0" w:rsidRDefault="00007006" w:rsidP="00820786">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根据《中华人民共和国证券投资基金法》、《公开募集证券投资基金运作管理办法》、</w:t>
      </w:r>
      <w:r w:rsidR="00093F8C" w:rsidRPr="00C766D0">
        <w:rPr>
          <w:rFonts w:asciiTheme="minorEastAsia" w:hAnsiTheme="minorEastAsia" w:cs="Times New Roman" w:hint="eastAsia"/>
          <w:sz w:val="24"/>
          <w:szCs w:val="24"/>
        </w:rPr>
        <w:t>《</w:t>
      </w:r>
      <w:r w:rsidR="00DB7140" w:rsidRPr="00C766D0">
        <w:rPr>
          <w:rFonts w:asciiTheme="minorEastAsia" w:hAnsiTheme="minorEastAsia" w:cs="Times New Roman" w:hint="eastAsia"/>
          <w:sz w:val="24"/>
          <w:szCs w:val="24"/>
        </w:rPr>
        <w:t>泰达宏利</w:t>
      </w:r>
      <w:r w:rsidR="00B83A63">
        <w:rPr>
          <w:rFonts w:asciiTheme="minorEastAsia" w:hAnsiTheme="minorEastAsia" w:cs="Times New Roman" w:hint="eastAsia"/>
          <w:sz w:val="24"/>
          <w:szCs w:val="24"/>
        </w:rPr>
        <w:t>信用合利定期开放债券型</w:t>
      </w:r>
      <w:r w:rsidR="00DB7140" w:rsidRPr="00C766D0">
        <w:rPr>
          <w:rFonts w:asciiTheme="minorEastAsia" w:hAnsiTheme="minorEastAsia" w:cs="Times New Roman" w:hint="eastAsia"/>
          <w:sz w:val="24"/>
          <w:szCs w:val="24"/>
        </w:rPr>
        <w:t>证券投资基金</w:t>
      </w:r>
      <w:r w:rsidR="00093F8C" w:rsidRPr="00C766D0">
        <w:rPr>
          <w:rFonts w:asciiTheme="minorEastAsia" w:hAnsiTheme="minorEastAsia" w:cs="Times New Roman" w:hint="eastAsia"/>
          <w:sz w:val="24"/>
          <w:szCs w:val="24"/>
        </w:rPr>
        <w:t>基金合同》</w:t>
      </w:r>
      <w:r w:rsidRPr="00C766D0">
        <w:rPr>
          <w:rFonts w:asciiTheme="minorEastAsia" w:hAnsiTheme="minorEastAsia" w:cs="Times New Roman" w:hint="eastAsia"/>
          <w:sz w:val="24"/>
          <w:szCs w:val="24"/>
        </w:rPr>
        <w:t>（以下简称“基金合同”或“《基金合同》”）的有关规定，</w:t>
      </w:r>
      <w:r w:rsidR="00DB7140" w:rsidRPr="00C766D0">
        <w:rPr>
          <w:rFonts w:asciiTheme="minorEastAsia" w:hAnsiTheme="minorEastAsia" w:cs="Times New Roman" w:hint="eastAsia"/>
          <w:sz w:val="24"/>
          <w:szCs w:val="24"/>
        </w:rPr>
        <w:t>泰达宏利</w:t>
      </w:r>
      <w:r w:rsidR="00B83A63">
        <w:rPr>
          <w:rFonts w:asciiTheme="minorEastAsia" w:hAnsiTheme="minorEastAsia" w:cs="Times New Roman" w:hint="eastAsia"/>
          <w:sz w:val="24"/>
          <w:szCs w:val="24"/>
        </w:rPr>
        <w:t>信用合利定期开放债券型</w:t>
      </w:r>
      <w:r w:rsidR="00DB7140" w:rsidRPr="00C766D0">
        <w:rPr>
          <w:rFonts w:asciiTheme="minorEastAsia" w:hAnsiTheme="minorEastAsia" w:cs="Times New Roman" w:hint="eastAsia"/>
          <w:sz w:val="24"/>
          <w:szCs w:val="24"/>
        </w:rPr>
        <w:t>证券投资基金</w:t>
      </w:r>
      <w:r w:rsidRPr="00C766D0">
        <w:rPr>
          <w:rFonts w:asciiTheme="minorEastAsia" w:hAnsiTheme="minorEastAsia" w:cs="Times New Roman" w:hint="eastAsia"/>
          <w:sz w:val="24"/>
          <w:szCs w:val="24"/>
        </w:rPr>
        <w:t>（以下简称“本基金”）</w:t>
      </w:r>
      <w:r w:rsidR="00820786" w:rsidRPr="00C766D0">
        <w:rPr>
          <w:rFonts w:asciiTheme="minorEastAsia" w:hAnsiTheme="minorEastAsia" w:cs="Times New Roman" w:hint="eastAsia"/>
          <w:sz w:val="24"/>
          <w:szCs w:val="24"/>
        </w:rPr>
        <w:t>在开放期最后一日</w:t>
      </w:r>
      <w:r w:rsidR="00B83A63">
        <w:rPr>
          <w:rFonts w:asciiTheme="minorEastAsia" w:hAnsiTheme="minorEastAsia" w:cs="Times New Roman" w:hint="eastAsia"/>
          <w:sz w:val="24"/>
          <w:szCs w:val="24"/>
        </w:rPr>
        <w:t>基金资产净值加上当日申购和基金转换中转入的基金份额对应的资产净值减去当日赎回和基金转换中转出的基金份额对应的资产净值低于5000万元，基金合同将于次日终止，</w:t>
      </w:r>
      <w:r w:rsidRPr="00C766D0">
        <w:rPr>
          <w:rFonts w:asciiTheme="minorEastAsia" w:hAnsiTheme="minorEastAsia" w:cs="Times New Roman" w:hint="eastAsia"/>
          <w:sz w:val="24"/>
          <w:szCs w:val="24"/>
        </w:rPr>
        <w:t>基金管理人应终止基金合同并依法履行基金财产清算程序，此事项不需召开基金份额持有人大会。</w:t>
      </w:r>
      <w:r w:rsidR="00820786" w:rsidRPr="00C766D0">
        <w:rPr>
          <w:rFonts w:asciiTheme="minorEastAsia" w:hAnsiTheme="minorEastAsia" w:cs="Times New Roman" w:hint="eastAsia"/>
          <w:sz w:val="24"/>
          <w:szCs w:val="24"/>
        </w:rPr>
        <w:t>现</w:t>
      </w:r>
      <w:r w:rsidR="00820786" w:rsidRPr="00C766D0">
        <w:rPr>
          <w:rFonts w:asciiTheme="minorEastAsia" w:hAnsiTheme="minorEastAsia" w:cs="Times New Roman"/>
          <w:sz w:val="24"/>
          <w:szCs w:val="24"/>
        </w:rPr>
        <w:t>本基金</w:t>
      </w:r>
      <w:r w:rsidR="00820786" w:rsidRPr="00C766D0">
        <w:rPr>
          <w:rFonts w:asciiTheme="minorEastAsia" w:hAnsiTheme="minorEastAsia" w:cs="Times New Roman" w:hint="eastAsia"/>
          <w:sz w:val="24"/>
          <w:szCs w:val="24"/>
        </w:rPr>
        <w:t>已</w:t>
      </w:r>
      <w:r w:rsidR="00820786" w:rsidRPr="00C766D0">
        <w:rPr>
          <w:rFonts w:asciiTheme="minorEastAsia" w:hAnsiTheme="minorEastAsia" w:cs="Times New Roman"/>
          <w:sz w:val="24"/>
          <w:szCs w:val="24"/>
        </w:rPr>
        <w:t>出现上述情形</w:t>
      </w:r>
      <w:r w:rsidR="00820786" w:rsidRPr="00C766D0">
        <w:rPr>
          <w:rFonts w:asciiTheme="minorEastAsia" w:hAnsiTheme="minorEastAsia" w:cs="Times New Roman" w:hint="eastAsia"/>
          <w:sz w:val="24"/>
          <w:szCs w:val="24"/>
        </w:rPr>
        <w:t>，为维护基金份额持有人利益，本基金管理人将终止本基金合同并依法履行基金财产清算程序。</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现将相关事宜公告如下：</w:t>
      </w:r>
    </w:p>
    <w:p w:rsidR="00553082" w:rsidRPr="00C766D0" w:rsidRDefault="00007006" w:rsidP="00C93AD2">
      <w:pPr>
        <w:spacing w:line="360" w:lineRule="auto"/>
        <w:ind w:firstLineChars="200" w:firstLine="482"/>
        <w:rPr>
          <w:rFonts w:asciiTheme="minorEastAsia" w:hAnsiTheme="minorEastAsia" w:cs="Times New Roman"/>
          <w:b/>
          <w:sz w:val="24"/>
          <w:szCs w:val="24"/>
        </w:rPr>
      </w:pPr>
      <w:r w:rsidRPr="00C766D0">
        <w:rPr>
          <w:rFonts w:asciiTheme="minorEastAsia" w:hAnsiTheme="minorEastAsia" w:cs="Times New Roman" w:hint="eastAsia"/>
          <w:b/>
          <w:sz w:val="24"/>
          <w:szCs w:val="24"/>
        </w:rPr>
        <w:t>一、本基金基本信息</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基金名称：</w:t>
      </w:r>
      <w:r w:rsidR="001F6B50" w:rsidRPr="00C766D0">
        <w:rPr>
          <w:rFonts w:asciiTheme="minorEastAsia" w:hAnsiTheme="minorEastAsia" w:hint="eastAsia"/>
          <w:sz w:val="24"/>
        </w:rPr>
        <w:t>泰达宏利</w:t>
      </w:r>
      <w:r w:rsidR="00B83A63">
        <w:rPr>
          <w:rFonts w:asciiTheme="minorEastAsia" w:hAnsiTheme="minorEastAsia" w:hint="eastAsia"/>
          <w:sz w:val="24"/>
        </w:rPr>
        <w:t>信用合利定期开放债券型</w:t>
      </w:r>
      <w:r w:rsidR="001F6B50" w:rsidRPr="00C766D0">
        <w:rPr>
          <w:rFonts w:asciiTheme="minorEastAsia" w:hAnsiTheme="minorEastAsia" w:hint="eastAsia"/>
          <w:sz w:val="24"/>
        </w:rPr>
        <w:t>证券投资基金</w:t>
      </w:r>
    </w:p>
    <w:p w:rsidR="00DC0892" w:rsidRDefault="00007006" w:rsidP="00B24C15">
      <w:pPr>
        <w:spacing w:afterLines="50" w:line="360" w:lineRule="auto"/>
        <w:ind w:firstLineChars="200" w:firstLine="480"/>
        <w:rPr>
          <w:rFonts w:asciiTheme="minorEastAsia" w:hAnsiTheme="minorEastAsia"/>
          <w:sz w:val="24"/>
        </w:rPr>
      </w:pPr>
      <w:r w:rsidRPr="00C766D0">
        <w:rPr>
          <w:rFonts w:asciiTheme="minorEastAsia" w:hAnsiTheme="minorEastAsia" w:cs="Times New Roman" w:hint="eastAsia"/>
          <w:sz w:val="24"/>
          <w:szCs w:val="24"/>
        </w:rPr>
        <w:t>基金代码：</w:t>
      </w:r>
      <w:r w:rsidR="00B83A63" w:rsidRPr="00B83A63">
        <w:rPr>
          <w:rFonts w:asciiTheme="minorEastAsia" w:hAnsiTheme="minorEastAsia" w:cs="Times New Roman" w:hint="eastAsia"/>
          <w:sz w:val="24"/>
          <w:szCs w:val="24"/>
        </w:rPr>
        <w:t>A类000026/B类000027</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基金运作方式：</w:t>
      </w:r>
      <w:r w:rsidR="001F6B50" w:rsidRPr="00C766D0">
        <w:rPr>
          <w:rFonts w:asciiTheme="minorEastAsia" w:hAnsiTheme="minorEastAsia" w:hint="eastAsia"/>
          <w:sz w:val="24"/>
        </w:rPr>
        <w:t>契约型，定期开放式</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基金合同生效日：</w:t>
      </w:r>
      <w:r w:rsidR="00B83A63" w:rsidRPr="00C766D0">
        <w:rPr>
          <w:rFonts w:asciiTheme="minorEastAsia" w:hAnsiTheme="minorEastAsia"/>
          <w:sz w:val="24"/>
        </w:rPr>
        <w:t>201</w:t>
      </w:r>
      <w:r w:rsidR="00B83A63">
        <w:rPr>
          <w:rFonts w:asciiTheme="minorEastAsia" w:hAnsiTheme="minorEastAsia" w:hint="eastAsia"/>
          <w:sz w:val="24"/>
        </w:rPr>
        <w:t>3</w:t>
      </w:r>
      <w:r w:rsidR="001F6B50" w:rsidRPr="00C766D0">
        <w:rPr>
          <w:rFonts w:asciiTheme="minorEastAsia" w:hAnsiTheme="minorEastAsia" w:hint="eastAsia"/>
          <w:sz w:val="24"/>
        </w:rPr>
        <w:t>年</w:t>
      </w:r>
      <w:r w:rsidR="00B83A63">
        <w:rPr>
          <w:rFonts w:asciiTheme="minorEastAsia" w:hAnsiTheme="minorEastAsia" w:hint="eastAsia"/>
          <w:sz w:val="24"/>
        </w:rPr>
        <w:t>3</w:t>
      </w:r>
      <w:r w:rsidR="001F6B50" w:rsidRPr="00C766D0">
        <w:rPr>
          <w:rFonts w:asciiTheme="minorEastAsia" w:hAnsiTheme="minorEastAsia" w:hint="eastAsia"/>
          <w:sz w:val="24"/>
        </w:rPr>
        <w:t>月</w:t>
      </w:r>
      <w:r w:rsidR="00B83A63">
        <w:rPr>
          <w:rFonts w:asciiTheme="minorEastAsia" w:hAnsiTheme="minorEastAsia" w:hint="eastAsia"/>
          <w:sz w:val="24"/>
        </w:rPr>
        <w:t>19</w:t>
      </w:r>
      <w:r w:rsidR="001F6B50" w:rsidRPr="00C766D0">
        <w:rPr>
          <w:rFonts w:asciiTheme="minorEastAsia" w:hAnsiTheme="minorEastAsia" w:hint="eastAsia"/>
          <w:sz w:val="24"/>
        </w:rPr>
        <w:t>日</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基金管理人名称：</w:t>
      </w:r>
      <w:r w:rsidR="00093F8C" w:rsidRPr="00C766D0">
        <w:rPr>
          <w:rFonts w:asciiTheme="minorEastAsia" w:hAnsiTheme="minorEastAsia" w:cs="Times New Roman" w:hint="eastAsia"/>
          <w:sz w:val="24"/>
          <w:szCs w:val="24"/>
        </w:rPr>
        <w:t>泰达宏利</w:t>
      </w:r>
      <w:r w:rsidRPr="00C766D0">
        <w:rPr>
          <w:rFonts w:asciiTheme="minorEastAsia" w:hAnsiTheme="minorEastAsia" w:cs="Times New Roman" w:hint="eastAsia"/>
          <w:sz w:val="24"/>
          <w:szCs w:val="24"/>
        </w:rPr>
        <w:t>基金管理有限公司</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基金托管人名称：中国银行股份有限公司</w:t>
      </w:r>
    </w:p>
    <w:p w:rsidR="001F6B50" w:rsidRPr="00C766D0" w:rsidRDefault="00007006"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公告依据：《中华人民共和国证券投资基金法》、《公开募集证券投资基金运作管理办法》、《证券投资基金信息披露管理办法》、</w:t>
      </w:r>
      <w:r w:rsidR="00093F8C" w:rsidRPr="00C766D0">
        <w:rPr>
          <w:rFonts w:asciiTheme="minorEastAsia" w:hAnsiTheme="minorEastAsia" w:cs="Times New Roman" w:hint="eastAsia"/>
          <w:sz w:val="24"/>
          <w:szCs w:val="24"/>
        </w:rPr>
        <w:t>《</w:t>
      </w:r>
      <w:r w:rsidR="001F6B50" w:rsidRPr="00C766D0">
        <w:rPr>
          <w:rFonts w:asciiTheme="minorEastAsia" w:hAnsiTheme="minorEastAsia" w:cs="Times New Roman" w:hint="eastAsia"/>
          <w:sz w:val="24"/>
          <w:szCs w:val="24"/>
        </w:rPr>
        <w:t>泰达宏利</w:t>
      </w:r>
      <w:r w:rsidR="00B83A63">
        <w:rPr>
          <w:rFonts w:asciiTheme="minorEastAsia" w:hAnsiTheme="minorEastAsia" w:cs="Times New Roman" w:hint="eastAsia"/>
          <w:sz w:val="24"/>
          <w:szCs w:val="24"/>
        </w:rPr>
        <w:t>信用合利定期开放债券型</w:t>
      </w:r>
      <w:r w:rsidR="001F6B50" w:rsidRPr="00C766D0">
        <w:rPr>
          <w:rFonts w:asciiTheme="minorEastAsia" w:hAnsiTheme="minorEastAsia" w:cs="Times New Roman" w:hint="eastAsia"/>
          <w:sz w:val="24"/>
          <w:szCs w:val="24"/>
        </w:rPr>
        <w:t>证券投资基金</w:t>
      </w:r>
      <w:r w:rsidR="00093F8C" w:rsidRPr="00C766D0">
        <w:rPr>
          <w:rFonts w:asciiTheme="minorEastAsia" w:hAnsiTheme="minorEastAsia" w:cs="Times New Roman" w:hint="eastAsia"/>
          <w:sz w:val="24"/>
          <w:szCs w:val="24"/>
        </w:rPr>
        <w:t>基金合同》</w:t>
      </w:r>
      <w:r w:rsidRPr="00C766D0">
        <w:rPr>
          <w:rFonts w:asciiTheme="minorEastAsia" w:hAnsiTheme="minorEastAsia" w:cs="Times New Roman" w:hint="eastAsia"/>
          <w:sz w:val="24"/>
          <w:szCs w:val="24"/>
        </w:rPr>
        <w:t>、</w:t>
      </w:r>
      <w:r w:rsidR="00093F8C" w:rsidRPr="00C766D0">
        <w:rPr>
          <w:rFonts w:asciiTheme="minorEastAsia" w:hAnsiTheme="minorEastAsia" w:cs="Times New Roman" w:hint="eastAsia"/>
          <w:sz w:val="24"/>
          <w:szCs w:val="24"/>
        </w:rPr>
        <w:t>《</w:t>
      </w:r>
      <w:r w:rsidR="001F6B50" w:rsidRPr="00C766D0">
        <w:rPr>
          <w:rFonts w:asciiTheme="minorEastAsia" w:hAnsiTheme="minorEastAsia" w:cs="Times New Roman" w:hint="eastAsia"/>
          <w:sz w:val="24"/>
          <w:szCs w:val="24"/>
        </w:rPr>
        <w:t>泰达宏利</w:t>
      </w:r>
      <w:r w:rsidR="00B83A63">
        <w:rPr>
          <w:rFonts w:asciiTheme="minorEastAsia" w:hAnsiTheme="minorEastAsia" w:cs="Times New Roman" w:hint="eastAsia"/>
          <w:sz w:val="24"/>
          <w:szCs w:val="24"/>
        </w:rPr>
        <w:t>信用合利定期开放债券型</w:t>
      </w:r>
      <w:r w:rsidR="001F6B50" w:rsidRPr="00C766D0">
        <w:rPr>
          <w:rFonts w:asciiTheme="minorEastAsia" w:hAnsiTheme="minorEastAsia" w:cs="Times New Roman" w:hint="eastAsia"/>
          <w:sz w:val="24"/>
          <w:szCs w:val="24"/>
        </w:rPr>
        <w:t>证券投资基金</w:t>
      </w:r>
      <w:r w:rsidR="00093F8C" w:rsidRPr="00C766D0">
        <w:rPr>
          <w:rFonts w:asciiTheme="minorEastAsia" w:hAnsiTheme="minorEastAsia" w:cs="Times New Roman" w:hint="eastAsia"/>
          <w:sz w:val="24"/>
          <w:szCs w:val="24"/>
        </w:rPr>
        <w:t>招募说明书》</w:t>
      </w:r>
      <w:r w:rsidRPr="00C766D0">
        <w:rPr>
          <w:rFonts w:asciiTheme="minorEastAsia" w:hAnsiTheme="minorEastAsia" w:cs="Times New Roman" w:hint="eastAsia"/>
          <w:sz w:val="24"/>
          <w:szCs w:val="24"/>
        </w:rPr>
        <w:t>。</w:t>
      </w:r>
    </w:p>
    <w:p w:rsidR="00553082" w:rsidRPr="00C766D0" w:rsidRDefault="00007006" w:rsidP="00C93AD2">
      <w:pPr>
        <w:spacing w:line="360" w:lineRule="auto"/>
        <w:ind w:firstLineChars="200" w:firstLine="482"/>
        <w:rPr>
          <w:rFonts w:asciiTheme="minorEastAsia" w:hAnsiTheme="minorEastAsia" w:cs="Times New Roman"/>
          <w:b/>
          <w:sz w:val="24"/>
          <w:szCs w:val="24"/>
        </w:rPr>
      </w:pPr>
      <w:r w:rsidRPr="00C766D0">
        <w:rPr>
          <w:rFonts w:asciiTheme="minorEastAsia" w:hAnsiTheme="minorEastAsia" w:cs="Times New Roman" w:hint="eastAsia"/>
          <w:b/>
          <w:sz w:val="24"/>
          <w:szCs w:val="24"/>
        </w:rPr>
        <w:t>二、基金合同终止事由</w:t>
      </w:r>
    </w:p>
    <w:p w:rsidR="00B83A63" w:rsidRPr="00B83A63" w:rsidRDefault="00007006" w:rsidP="00B83A63">
      <w:pPr>
        <w:spacing w:before="100" w:beforeAutospacing="1" w:after="100" w:afterAutospacing="1" w:line="400" w:lineRule="exact"/>
        <w:ind w:firstLine="420"/>
        <w:rPr>
          <w:rFonts w:asciiTheme="minorEastAsia" w:hAnsiTheme="minorEastAsia" w:cs="Times New Roman"/>
          <w:sz w:val="24"/>
          <w:szCs w:val="24"/>
        </w:rPr>
      </w:pPr>
      <w:r w:rsidRPr="00C766D0">
        <w:rPr>
          <w:rFonts w:asciiTheme="minorEastAsia" w:hAnsiTheme="minorEastAsia" w:cs="Times New Roman" w:hint="eastAsia"/>
          <w:sz w:val="24"/>
          <w:szCs w:val="24"/>
        </w:rPr>
        <w:t>本基金《基金合同》</w:t>
      </w:r>
      <w:r w:rsidR="00093F8C" w:rsidRPr="00C766D0">
        <w:rPr>
          <w:rFonts w:asciiTheme="minorEastAsia" w:hAnsiTheme="minorEastAsia" w:cs="Times New Roman" w:hint="eastAsia"/>
          <w:sz w:val="24"/>
          <w:szCs w:val="24"/>
        </w:rPr>
        <w:t>第</w:t>
      </w:r>
      <w:r w:rsidR="00AA77A5" w:rsidRPr="00C766D0">
        <w:rPr>
          <w:rFonts w:asciiTheme="minorEastAsia" w:hAnsiTheme="minorEastAsia" w:cs="Times New Roman" w:hint="eastAsia"/>
          <w:sz w:val="24"/>
          <w:szCs w:val="24"/>
        </w:rPr>
        <w:t>五</w:t>
      </w:r>
      <w:r w:rsidRPr="00C766D0">
        <w:rPr>
          <w:rFonts w:asciiTheme="minorEastAsia" w:hAnsiTheme="minorEastAsia" w:cs="Times New Roman" w:hint="eastAsia"/>
          <w:sz w:val="24"/>
          <w:szCs w:val="24"/>
        </w:rPr>
        <w:t>部分</w:t>
      </w:r>
      <w:r w:rsidR="00B83A63" w:rsidRPr="00C766D0">
        <w:rPr>
          <w:rFonts w:asciiTheme="minorEastAsia" w:hAnsiTheme="minorEastAsia" w:cs="Times New Roman" w:hint="eastAsia"/>
          <w:sz w:val="24"/>
          <w:szCs w:val="24"/>
        </w:rPr>
        <w:t>“基金</w:t>
      </w:r>
      <w:r w:rsidR="00B83A63">
        <w:rPr>
          <w:rFonts w:asciiTheme="minorEastAsia" w:hAnsiTheme="minorEastAsia" w:cs="Times New Roman" w:hint="eastAsia"/>
          <w:sz w:val="24"/>
          <w:szCs w:val="24"/>
        </w:rPr>
        <w:t>的备案</w:t>
      </w:r>
      <w:r w:rsidR="00B83A63" w:rsidRPr="00C766D0">
        <w:rPr>
          <w:rFonts w:asciiTheme="minorEastAsia" w:hAnsiTheme="minorEastAsia" w:cs="Times New Roman" w:hint="eastAsia"/>
          <w:sz w:val="24"/>
          <w:szCs w:val="24"/>
        </w:rPr>
        <w:t>”</w:t>
      </w:r>
      <w:r w:rsidR="00CF49D5" w:rsidRPr="00C766D0">
        <w:rPr>
          <w:rFonts w:asciiTheme="minorEastAsia" w:hAnsiTheme="minorEastAsia" w:cs="Times New Roman" w:hint="eastAsia"/>
          <w:sz w:val="24"/>
          <w:szCs w:val="24"/>
        </w:rPr>
        <w:t>、</w:t>
      </w:r>
      <w:r w:rsidR="00B83A63" w:rsidRPr="00C766D0">
        <w:rPr>
          <w:rFonts w:asciiTheme="minorEastAsia" w:hAnsiTheme="minorEastAsia" w:cs="Times New Roman" w:hint="eastAsia"/>
          <w:sz w:val="24"/>
          <w:szCs w:val="24"/>
        </w:rPr>
        <w:t>第</w:t>
      </w:r>
      <w:r w:rsidR="00B83A63">
        <w:rPr>
          <w:rFonts w:asciiTheme="minorEastAsia" w:hAnsiTheme="minorEastAsia" w:cs="Times New Roman" w:hint="eastAsia"/>
          <w:sz w:val="24"/>
          <w:szCs w:val="24"/>
        </w:rPr>
        <w:t>二十四</w:t>
      </w:r>
      <w:r w:rsidR="00CF49D5" w:rsidRPr="00C766D0">
        <w:rPr>
          <w:rFonts w:asciiTheme="minorEastAsia" w:hAnsiTheme="minorEastAsia" w:cs="Times New Roman" w:hint="eastAsia"/>
          <w:sz w:val="24"/>
          <w:szCs w:val="24"/>
        </w:rPr>
        <w:t>部分“基金合同的变更、终止与基金财产的清算”</w:t>
      </w:r>
      <w:r w:rsidR="009E7725" w:rsidRPr="00C766D0">
        <w:rPr>
          <w:rFonts w:asciiTheme="minorEastAsia" w:hAnsiTheme="minorEastAsia" w:cs="Times New Roman" w:hint="eastAsia"/>
          <w:sz w:val="24"/>
          <w:szCs w:val="24"/>
        </w:rPr>
        <w:t>中约</w:t>
      </w:r>
      <w:r w:rsidRPr="00C766D0">
        <w:rPr>
          <w:rFonts w:asciiTheme="minorEastAsia" w:hAnsiTheme="minorEastAsia" w:cs="Times New Roman" w:hint="eastAsia"/>
          <w:sz w:val="24"/>
          <w:szCs w:val="24"/>
        </w:rPr>
        <w:t>定“</w:t>
      </w:r>
      <w:r w:rsidR="00DC0892" w:rsidRPr="00DC0892">
        <w:rPr>
          <w:rFonts w:asciiTheme="minorEastAsia" w:hAnsiTheme="minorEastAsia" w:cs="Times New Roman" w:hint="eastAsia"/>
          <w:sz w:val="24"/>
          <w:szCs w:val="24"/>
        </w:rPr>
        <w:t>有下列情形之一的，本基金合同应当终止：</w:t>
      </w:r>
    </w:p>
    <w:p w:rsidR="00B83A63" w:rsidRPr="00B83A63" w:rsidRDefault="00DC0892" w:rsidP="00B83A63">
      <w:pPr>
        <w:spacing w:before="100" w:beforeAutospacing="1" w:after="100" w:afterAutospacing="1" w:line="400" w:lineRule="exact"/>
        <w:ind w:firstLine="420"/>
        <w:rPr>
          <w:rFonts w:asciiTheme="minorEastAsia" w:hAnsiTheme="minorEastAsia" w:cs="Times New Roman"/>
          <w:sz w:val="24"/>
          <w:szCs w:val="24"/>
        </w:rPr>
      </w:pPr>
      <w:r w:rsidRPr="00DC0892">
        <w:rPr>
          <w:rFonts w:asciiTheme="minorEastAsia" w:hAnsiTheme="minorEastAsia" w:cs="Times New Roman"/>
          <w:sz w:val="24"/>
          <w:szCs w:val="24"/>
        </w:rPr>
        <w:lastRenderedPageBreak/>
        <w:t>1、基金份额持有人大会决定终止；</w:t>
      </w:r>
    </w:p>
    <w:p w:rsidR="00DC0892" w:rsidRPr="00DC0892" w:rsidRDefault="00DC0892" w:rsidP="001B39C9">
      <w:pPr>
        <w:spacing w:before="100" w:beforeAutospacing="1" w:after="100" w:afterAutospacing="1" w:line="400" w:lineRule="exact"/>
        <w:ind w:firstLine="360"/>
        <w:rPr>
          <w:rFonts w:asciiTheme="minorEastAsia" w:hAnsiTheme="minorEastAsia" w:cs="Times New Roman"/>
          <w:sz w:val="24"/>
          <w:szCs w:val="24"/>
        </w:rPr>
      </w:pPr>
      <w:r w:rsidRPr="00DC0892">
        <w:rPr>
          <w:rFonts w:asciiTheme="minorEastAsia" w:hAnsiTheme="minorEastAsia" w:cs="Times New Roman"/>
          <w:sz w:val="24"/>
          <w:szCs w:val="24"/>
        </w:rPr>
        <w:t>2、因重大违法、违规行为，被中国证监会责令终止的；</w:t>
      </w:r>
    </w:p>
    <w:p w:rsidR="00B83A63" w:rsidRPr="00B83A63" w:rsidRDefault="00DC0892" w:rsidP="00B83A63">
      <w:pPr>
        <w:spacing w:before="100" w:beforeAutospacing="1" w:after="100" w:afterAutospacing="1" w:line="400" w:lineRule="exact"/>
        <w:ind w:firstLine="420"/>
        <w:rPr>
          <w:rFonts w:asciiTheme="minorEastAsia" w:hAnsiTheme="minorEastAsia" w:cs="Times New Roman"/>
          <w:sz w:val="24"/>
          <w:szCs w:val="24"/>
        </w:rPr>
      </w:pPr>
      <w:r w:rsidRPr="00DC0892">
        <w:rPr>
          <w:rFonts w:asciiTheme="minorEastAsia" w:hAnsiTheme="minorEastAsia" w:cs="Times New Roman"/>
          <w:sz w:val="24"/>
          <w:szCs w:val="24"/>
        </w:rPr>
        <w:t>3、基金管理人、基金托管人职责终止，在六个月内没有新基金管理人、基金托管人承接的；</w:t>
      </w:r>
    </w:p>
    <w:p w:rsidR="00B83A63" w:rsidRPr="00B83A63" w:rsidRDefault="00DC0892" w:rsidP="00B83A63">
      <w:pPr>
        <w:spacing w:before="100" w:beforeAutospacing="1" w:after="100" w:afterAutospacing="1" w:line="400" w:lineRule="exact"/>
        <w:ind w:firstLine="420"/>
        <w:rPr>
          <w:rFonts w:asciiTheme="minorEastAsia" w:hAnsiTheme="minorEastAsia" w:cs="Times New Roman"/>
          <w:sz w:val="24"/>
          <w:szCs w:val="24"/>
        </w:rPr>
      </w:pPr>
      <w:r w:rsidRPr="00DC0892">
        <w:rPr>
          <w:rFonts w:asciiTheme="minorEastAsia" w:hAnsiTheme="minorEastAsia" w:cs="Times New Roman"/>
          <w:sz w:val="24"/>
          <w:szCs w:val="24"/>
        </w:rPr>
        <w:t>4、在开放期最后</w:t>
      </w:r>
      <w:r w:rsidRPr="00DC0892">
        <w:rPr>
          <w:rFonts w:asciiTheme="minorEastAsia" w:hAnsiTheme="minorEastAsia" w:cs="Times New Roman" w:hint="eastAsia"/>
          <w:sz w:val="24"/>
          <w:szCs w:val="24"/>
        </w:rPr>
        <w:t>一日本基金的份额持有人数量不满</w:t>
      </w:r>
      <w:r w:rsidRPr="00DC0892">
        <w:rPr>
          <w:rFonts w:asciiTheme="minorEastAsia" w:hAnsiTheme="minorEastAsia" w:cs="Times New Roman"/>
          <w:sz w:val="24"/>
          <w:szCs w:val="24"/>
        </w:rPr>
        <w:t>200人，或者基金资产净值加上当日申购和基金转换中转入的基金份额对应的资产净值或减去当日赎回和基金转换中转出的基金份额对应的资产净值低于5000万元；</w:t>
      </w:r>
    </w:p>
    <w:p w:rsidR="00B83A63" w:rsidRPr="00B83A63" w:rsidRDefault="00DC0892" w:rsidP="00B83A63">
      <w:pPr>
        <w:spacing w:before="100" w:beforeAutospacing="1" w:after="100" w:afterAutospacing="1" w:line="400" w:lineRule="exact"/>
        <w:ind w:firstLine="420"/>
        <w:rPr>
          <w:rFonts w:asciiTheme="minorEastAsia" w:hAnsiTheme="minorEastAsia" w:cs="Times New Roman"/>
          <w:sz w:val="24"/>
          <w:szCs w:val="24"/>
        </w:rPr>
      </w:pPr>
      <w:r w:rsidRPr="00DC0892">
        <w:rPr>
          <w:rFonts w:asciiTheme="minorEastAsia" w:hAnsiTheme="minorEastAsia" w:cs="Times New Roman"/>
          <w:sz w:val="24"/>
          <w:szCs w:val="24"/>
        </w:rPr>
        <w:t>5、在开放期，当基金发生大规模基金份额净赎回申请（赎回</w:t>
      </w:r>
      <w:r w:rsidRPr="00DC0892">
        <w:rPr>
          <w:rFonts w:asciiTheme="minorEastAsia" w:hAnsiTheme="minorEastAsia" w:cs="Times New Roman" w:hint="eastAsia"/>
          <w:sz w:val="24"/>
          <w:szCs w:val="24"/>
        </w:rPr>
        <w:t>申请总份额扣除申购总份额后的余额）与净转出申请（转出申请总份额扣除转入申请总份额后的余额）时，且申请确认后因交易成本等因素该等申请将明显损害剩余持有人的利益，本基金合同经中国证监会核准后将终止。</w:t>
      </w:r>
    </w:p>
    <w:p w:rsidR="00DC0892" w:rsidRDefault="00DC0892" w:rsidP="001B39C9">
      <w:pPr>
        <w:spacing w:line="360" w:lineRule="auto"/>
        <w:ind w:firstLineChars="150" w:firstLine="360"/>
        <w:rPr>
          <w:rFonts w:asciiTheme="minorEastAsia" w:hAnsiTheme="minorEastAsia" w:cs="Times New Roman"/>
          <w:sz w:val="24"/>
          <w:szCs w:val="24"/>
        </w:rPr>
      </w:pPr>
      <w:r w:rsidRPr="00DC0892">
        <w:rPr>
          <w:rFonts w:asciiTheme="minorEastAsia" w:hAnsiTheme="minorEastAsia" w:cs="Times New Roman"/>
          <w:sz w:val="24"/>
          <w:szCs w:val="24"/>
        </w:rPr>
        <w:t>6、法律法规和基金合同规定的其他情形。</w:t>
      </w:r>
      <w:r w:rsidR="00007006" w:rsidRPr="00C766D0">
        <w:rPr>
          <w:rFonts w:asciiTheme="minorEastAsia" w:hAnsiTheme="minorEastAsia" w:cs="Times New Roman" w:hint="eastAsia"/>
          <w:sz w:val="24"/>
          <w:szCs w:val="24"/>
        </w:rPr>
        <w:t>”</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本基金</w:t>
      </w:r>
      <w:r w:rsidR="00B83A63" w:rsidRPr="00C766D0">
        <w:rPr>
          <w:rFonts w:asciiTheme="minorEastAsia" w:hAnsiTheme="minorEastAsia" w:hint="eastAsia"/>
          <w:sz w:val="24"/>
        </w:rPr>
        <w:t>第</w:t>
      </w:r>
      <w:r w:rsidR="00B83A63">
        <w:rPr>
          <w:rFonts w:asciiTheme="minorEastAsia" w:hAnsiTheme="minorEastAsia" w:hint="eastAsia"/>
          <w:sz w:val="24"/>
        </w:rPr>
        <w:t>五</w:t>
      </w:r>
      <w:r w:rsidR="001F6B50" w:rsidRPr="00C766D0">
        <w:rPr>
          <w:rFonts w:asciiTheme="minorEastAsia" w:hAnsiTheme="minorEastAsia" w:hint="eastAsia"/>
          <w:sz w:val="24"/>
        </w:rPr>
        <w:t>个开放期自</w:t>
      </w:r>
      <w:r w:rsidR="00B83A63" w:rsidRPr="00C766D0">
        <w:rPr>
          <w:rFonts w:asciiTheme="minorEastAsia" w:hAnsiTheme="minorEastAsia"/>
          <w:sz w:val="24"/>
        </w:rPr>
        <w:t>201</w:t>
      </w:r>
      <w:r w:rsidR="00B83A63">
        <w:rPr>
          <w:rFonts w:asciiTheme="minorEastAsia" w:hAnsiTheme="minorEastAsia" w:hint="eastAsia"/>
          <w:sz w:val="24"/>
        </w:rPr>
        <w:t>8</w:t>
      </w:r>
      <w:r w:rsidR="001F6B50" w:rsidRPr="00C766D0">
        <w:rPr>
          <w:rFonts w:asciiTheme="minorEastAsia" w:hAnsiTheme="minorEastAsia" w:hint="eastAsia"/>
          <w:sz w:val="24"/>
        </w:rPr>
        <w:t>年</w:t>
      </w:r>
      <w:r w:rsidR="00B83A63">
        <w:rPr>
          <w:rFonts w:asciiTheme="minorEastAsia" w:hAnsiTheme="minorEastAsia" w:hint="eastAsia"/>
          <w:sz w:val="24"/>
        </w:rPr>
        <w:t>7</w:t>
      </w:r>
      <w:r w:rsidR="001F6B50" w:rsidRPr="00C766D0">
        <w:rPr>
          <w:rFonts w:asciiTheme="minorEastAsia" w:hAnsiTheme="minorEastAsia" w:hint="eastAsia"/>
          <w:sz w:val="24"/>
        </w:rPr>
        <w:t>月</w:t>
      </w:r>
      <w:r w:rsidR="00B83A63">
        <w:rPr>
          <w:rFonts w:asciiTheme="minorEastAsia" w:hAnsiTheme="minorEastAsia" w:hint="eastAsia"/>
          <w:sz w:val="24"/>
        </w:rPr>
        <w:t>13</w:t>
      </w:r>
      <w:r w:rsidR="001F6B50" w:rsidRPr="00C766D0">
        <w:rPr>
          <w:rFonts w:asciiTheme="minorEastAsia" w:hAnsiTheme="minorEastAsia" w:hint="eastAsia"/>
          <w:sz w:val="24"/>
        </w:rPr>
        <w:t>日</w:t>
      </w:r>
      <w:r w:rsidR="00B76B9A" w:rsidRPr="00C766D0">
        <w:rPr>
          <w:rFonts w:asciiTheme="minorEastAsia" w:hAnsiTheme="minorEastAsia" w:hint="eastAsia"/>
          <w:sz w:val="24"/>
        </w:rPr>
        <w:t>起</w:t>
      </w:r>
      <w:r w:rsidR="001F6B50" w:rsidRPr="00C766D0">
        <w:rPr>
          <w:rFonts w:asciiTheme="minorEastAsia" w:hAnsiTheme="minorEastAsia" w:hint="eastAsia"/>
          <w:sz w:val="24"/>
        </w:rPr>
        <w:t>至</w:t>
      </w:r>
      <w:r w:rsidR="00B83A63" w:rsidRPr="00C766D0">
        <w:rPr>
          <w:rFonts w:asciiTheme="minorEastAsia" w:hAnsiTheme="minorEastAsia"/>
          <w:sz w:val="24"/>
        </w:rPr>
        <w:t>201</w:t>
      </w:r>
      <w:r w:rsidR="00B83A63">
        <w:rPr>
          <w:rFonts w:asciiTheme="minorEastAsia" w:hAnsiTheme="minorEastAsia" w:hint="eastAsia"/>
          <w:sz w:val="24"/>
        </w:rPr>
        <w:t>8</w:t>
      </w:r>
      <w:r w:rsidR="001F6B50" w:rsidRPr="00C766D0">
        <w:rPr>
          <w:rFonts w:asciiTheme="minorEastAsia" w:hAnsiTheme="minorEastAsia" w:hint="eastAsia"/>
          <w:sz w:val="24"/>
        </w:rPr>
        <w:t>年</w:t>
      </w:r>
      <w:r w:rsidR="00B83A63">
        <w:rPr>
          <w:rFonts w:asciiTheme="minorEastAsia" w:hAnsiTheme="minorEastAsia" w:hint="eastAsia"/>
          <w:sz w:val="24"/>
        </w:rPr>
        <w:t>8</w:t>
      </w:r>
      <w:r w:rsidR="001F6B50" w:rsidRPr="00C766D0">
        <w:rPr>
          <w:rFonts w:asciiTheme="minorEastAsia" w:hAnsiTheme="minorEastAsia" w:hint="eastAsia"/>
          <w:sz w:val="24"/>
        </w:rPr>
        <w:t>月</w:t>
      </w:r>
      <w:r w:rsidR="001F6B50" w:rsidRPr="00C766D0">
        <w:rPr>
          <w:rFonts w:asciiTheme="minorEastAsia" w:hAnsiTheme="minorEastAsia"/>
          <w:sz w:val="24"/>
        </w:rPr>
        <w:t>9</w:t>
      </w:r>
      <w:r w:rsidR="001F6B50" w:rsidRPr="00C766D0">
        <w:rPr>
          <w:rFonts w:asciiTheme="minorEastAsia" w:hAnsiTheme="minorEastAsia" w:hint="eastAsia"/>
          <w:sz w:val="24"/>
        </w:rPr>
        <w:t>日止。因</w:t>
      </w:r>
      <w:r w:rsidR="00B83A63" w:rsidRPr="00C766D0">
        <w:rPr>
          <w:rFonts w:asciiTheme="minorEastAsia" w:hAnsiTheme="minorEastAsia" w:cs="Times New Roman" w:hint="eastAsia"/>
          <w:sz w:val="24"/>
          <w:szCs w:val="24"/>
        </w:rPr>
        <w:t>201</w:t>
      </w:r>
      <w:r w:rsidR="00B83A63">
        <w:rPr>
          <w:rFonts w:asciiTheme="minorEastAsia" w:hAnsiTheme="minorEastAsia" w:cs="Times New Roman" w:hint="eastAsia"/>
          <w:sz w:val="24"/>
          <w:szCs w:val="24"/>
        </w:rPr>
        <w:t>8</w:t>
      </w:r>
      <w:r w:rsidR="00CF49D5" w:rsidRPr="00C766D0">
        <w:rPr>
          <w:rFonts w:asciiTheme="minorEastAsia" w:hAnsiTheme="minorEastAsia" w:cs="Times New Roman" w:hint="eastAsia"/>
          <w:sz w:val="24"/>
          <w:szCs w:val="24"/>
        </w:rPr>
        <w:t>年</w:t>
      </w:r>
      <w:r w:rsidR="00B83A63">
        <w:rPr>
          <w:rFonts w:asciiTheme="minorEastAsia" w:hAnsiTheme="minorEastAsia" w:cs="Times New Roman" w:hint="eastAsia"/>
          <w:sz w:val="24"/>
          <w:szCs w:val="24"/>
        </w:rPr>
        <w:t>8</w:t>
      </w:r>
      <w:r w:rsidR="00CF49D5" w:rsidRPr="00C766D0">
        <w:rPr>
          <w:rFonts w:asciiTheme="minorEastAsia" w:hAnsiTheme="minorEastAsia" w:cs="Times New Roman" w:hint="eastAsia"/>
          <w:sz w:val="24"/>
          <w:szCs w:val="24"/>
        </w:rPr>
        <w:t>月9日</w:t>
      </w:r>
      <w:r w:rsidR="0062083F" w:rsidRPr="00C766D0">
        <w:rPr>
          <w:rFonts w:asciiTheme="minorEastAsia" w:hAnsiTheme="minorEastAsia" w:cs="Times New Roman" w:hint="eastAsia"/>
          <w:sz w:val="24"/>
          <w:szCs w:val="24"/>
        </w:rPr>
        <w:t>日</w:t>
      </w:r>
      <w:r w:rsidR="0062083F" w:rsidRPr="00C766D0">
        <w:rPr>
          <w:rFonts w:asciiTheme="minorEastAsia" w:hAnsiTheme="minorEastAsia" w:cs="Times New Roman"/>
          <w:sz w:val="24"/>
          <w:szCs w:val="24"/>
        </w:rPr>
        <w:t>终</w:t>
      </w:r>
      <w:r w:rsidR="00237BD8">
        <w:rPr>
          <w:rFonts w:asciiTheme="minorEastAsia" w:hAnsiTheme="minorEastAsia" w:cs="Times New Roman" w:hint="eastAsia"/>
          <w:sz w:val="24"/>
          <w:szCs w:val="24"/>
        </w:rPr>
        <w:t>，基金</w:t>
      </w:r>
      <w:r w:rsidR="00237BD8" w:rsidRPr="00B83A63">
        <w:rPr>
          <w:rFonts w:asciiTheme="minorEastAsia" w:hAnsiTheme="minorEastAsia" w:cs="Times New Roman" w:hint="eastAsia"/>
          <w:sz w:val="24"/>
          <w:szCs w:val="24"/>
        </w:rPr>
        <w:t>资产净值加上当日申购和基金转换中转入的基金份额对应的资产净值或减去当日赎回和基金转换中转出的基金份额对应的</w:t>
      </w:r>
      <w:r w:rsidR="001F6B50" w:rsidRPr="00C766D0">
        <w:rPr>
          <w:rFonts w:asciiTheme="minorEastAsia" w:hAnsiTheme="minorEastAsia" w:cs="Times New Roman" w:hint="eastAsia"/>
          <w:sz w:val="24"/>
          <w:szCs w:val="24"/>
        </w:rPr>
        <w:t>基金资产净值</w:t>
      </w:r>
      <w:r w:rsidR="00CF49D5" w:rsidRPr="00C766D0">
        <w:rPr>
          <w:rFonts w:asciiTheme="minorEastAsia" w:hAnsiTheme="minorEastAsia" w:cs="Times New Roman" w:hint="eastAsia"/>
          <w:sz w:val="24"/>
          <w:szCs w:val="24"/>
        </w:rPr>
        <w:t>低于</w:t>
      </w:r>
      <w:r w:rsidR="00B83A63">
        <w:rPr>
          <w:rFonts w:asciiTheme="minorEastAsia" w:hAnsiTheme="minorEastAsia" w:cs="Times New Roman" w:hint="eastAsia"/>
          <w:sz w:val="24"/>
          <w:szCs w:val="24"/>
        </w:rPr>
        <w:t>5000万</w:t>
      </w:r>
      <w:r w:rsidR="00CF49D5" w:rsidRPr="00C766D0">
        <w:rPr>
          <w:rFonts w:asciiTheme="minorEastAsia" w:hAnsiTheme="minorEastAsia" w:cs="Times New Roman" w:hint="eastAsia"/>
          <w:sz w:val="24"/>
          <w:szCs w:val="24"/>
        </w:rPr>
        <w:t>元，</w:t>
      </w:r>
      <w:r w:rsidRPr="00C766D0">
        <w:rPr>
          <w:rFonts w:asciiTheme="minorEastAsia" w:hAnsiTheme="minorEastAsia" w:cs="Times New Roman" w:hint="eastAsia"/>
          <w:sz w:val="24"/>
          <w:szCs w:val="24"/>
        </w:rPr>
        <w:t>为维护基金份额持有人利益，根据基金合同约定，无需召开基金份额持有人大会，本基金管理人应终止本基金合同并依法履行基金财产清算程序。</w:t>
      </w:r>
    </w:p>
    <w:p w:rsidR="00C93AD2" w:rsidRPr="00C766D0" w:rsidRDefault="00C93AD2" w:rsidP="00F874EC">
      <w:pPr>
        <w:spacing w:line="360" w:lineRule="auto"/>
        <w:ind w:firstLineChars="200" w:firstLine="482"/>
        <w:rPr>
          <w:rFonts w:asciiTheme="minorEastAsia" w:hAnsiTheme="minorEastAsia" w:cs="Times New Roman"/>
          <w:b/>
          <w:sz w:val="24"/>
          <w:szCs w:val="24"/>
        </w:rPr>
      </w:pPr>
      <w:r w:rsidRPr="00C766D0">
        <w:rPr>
          <w:rFonts w:asciiTheme="minorEastAsia" w:hAnsiTheme="minorEastAsia" w:cs="Times New Roman"/>
          <w:b/>
          <w:sz w:val="24"/>
          <w:szCs w:val="24"/>
        </w:rPr>
        <w:t xml:space="preserve">三、基金财产的清算 </w:t>
      </w:r>
    </w:p>
    <w:p w:rsidR="00C93AD2" w:rsidRPr="00C766D0" w:rsidRDefault="00C93AD2" w:rsidP="00F874EC">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（一）基金财产清算安排 </w:t>
      </w:r>
    </w:p>
    <w:p w:rsidR="00C93AD2" w:rsidRPr="00C766D0" w:rsidRDefault="00C93AD2" w:rsidP="00F874EC">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1、</w:t>
      </w:r>
      <w:r w:rsidR="00CA3939" w:rsidRPr="00C766D0">
        <w:rPr>
          <w:rFonts w:asciiTheme="minorEastAsia" w:hAnsiTheme="minorEastAsia" w:cs="Times New Roman" w:hint="eastAsia"/>
          <w:sz w:val="24"/>
          <w:szCs w:val="24"/>
        </w:rPr>
        <w:t>本基金最后一个运作日为</w:t>
      </w:r>
      <w:r w:rsidR="00347A01">
        <w:rPr>
          <w:rFonts w:asciiTheme="minorEastAsia" w:hAnsiTheme="minorEastAsia" w:cs="Times New Roman" w:hint="eastAsia"/>
          <w:sz w:val="24"/>
          <w:szCs w:val="24"/>
        </w:rPr>
        <w:t>2018年</w:t>
      </w:r>
      <w:r w:rsidR="00895E5D">
        <w:rPr>
          <w:rFonts w:asciiTheme="minorEastAsia" w:hAnsiTheme="minorEastAsia" w:cs="Times New Roman" w:hint="eastAsia"/>
          <w:sz w:val="24"/>
          <w:szCs w:val="24"/>
        </w:rPr>
        <w:t>8</w:t>
      </w:r>
      <w:r w:rsidR="00CA3939" w:rsidRPr="00C766D0">
        <w:rPr>
          <w:rFonts w:asciiTheme="minorEastAsia" w:hAnsiTheme="minorEastAsia" w:cs="Times New Roman" w:hint="eastAsia"/>
          <w:sz w:val="24"/>
          <w:szCs w:val="24"/>
        </w:rPr>
        <w:t>月</w:t>
      </w:r>
      <w:r w:rsidR="001F6B50" w:rsidRPr="00C766D0">
        <w:rPr>
          <w:rFonts w:asciiTheme="minorEastAsia" w:hAnsiTheme="minorEastAsia" w:cs="Times New Roman"/>
          <w:sz w:val="24"/>
          <w:szCs w:val="24"/>
        </w:rPr>
        <w:t>9</w:t>
      </w:r>
      <w:r w:rsidR="00CA3939" w:rsidRPr="00C766D0">
        <w:rPr>
          <w:rFonts w:asciiTheme="minorEastAsia" w:hAnsiTheme="minorEastAsia" w:cs="Times New Roman" w:hint="eastAsia"/>
          <w:sz w:val="24"/>
          <w:szCs w:val="24"/>
        </w:rPr>
        <w:t>日，</w:t>
      </w:r>
      <w:r w:rsidRPr="00C766D0">
        <w:rPr>
          <w:rFonts w:asciiTheme="minorEastAsia" w:hAnsiTheme="minorEastAsia" w:cs="Times New Roman"/>
          <w:sz w:val="24"/>
          <w:szCs w:val="24"/>
        </w:rPr>
        <w:t>自</w:t>
      </w:r>
      <w:r w:rsidR="00895E5D" w:rsidRPr="00C766D0">
        <w:rPr>
          <w:rFonts w:asciiTheme="minorEastAsia" w:hAnsiTheme="minorEastAsia" w:cs="Times New Roman"/>
          <w:sz w:val="24"/>
          <w:szCs w:val="24"/>
        </w:rPr>
        <w:t>201</w:t>
      </w:r>
      <w:r w:rsidR="00895E5D">
        <w:rPr>
          <w:rFonts w:asciiTheme="minorEastAsia" w:hAnsiTheme="minorEastAsia" w:cs="Times New Roman" w:hint="eastAsia"/>
          <w:sz w:val="24"/>
          <w:szCs w:val="24"/>
        </w:rPr>
        <w:t>8</w:t>
      </w:r>
      <w:r w:rsidR="00F874EC" w:rsidRPr="00C766D0">
        <w:rPr>
          <w:rFonts w:asciiTheme="minorEastAsia" w:hAnsiTheme="minorEastAsia" w:cs="Times New Roman"/>
          <w:sz w:val="24"/>
          <w:szCs w:val="24"/>
        </w:rPr>
        <w:t>年</w:t>
      </w:r>
      <w:r w:rsidR="00895E5D">
        <w:rPr>
          <w:rFonts w:asciiTheme="minorEastAsia" w:hAnsiTheme="minorEastAsia" w:cs="Times New Roman" w:hint="eastAsia"/>
          <w:sz w:val="24"/>
          <w:szCs w:val="24"/>
        </w:rPr>
        <w:t>8</w:t>
      </w:r>
      <w:r w:rsidRPr="00C766D0">
        <w:rPr>
          <w:rFonts w:asciiTheme="minorEastAsia" w:hAnsiTheme="minorEastAsia" w:cs="Times New Roman"/>
          <w:sz w:val="24"/>
          <w:szCs w:val="24"/>
        </w:rPr>
        <w:t>月</w:t>
      </w:r>
      <w:r w:rsidR="00895E5D">
        <w:rPr>
          <w:rFonts w:asciiTheme="minorEastAsia" w:hAnsiTheme="minorEastAsia" w:cs="Times New Roman" w:hint="eastAsia"/>
          <w:sz w:val="24"/>
          <w:szCs w:val="24"/>
        </w:rPr>
        <w:t>10</w:t>
      </w:r>
      <w:r w:rsidRPr="00C766D0">
        <w:rPr>
          <w:rFonts w:asciiTheme="minorEastAsia" w:hAnsiTheme="minorEastAsia" w:cs="Times New Roman"/>
          <w:sz w:val="24"/>
          <w:szCs w:val="24"/>
        </w:rPr>
        <w:t>日</w:t>
      </w:r>
      <w:r w:rsidR="0085623D" w:rsidRPr="00C766D0">
        <w:rPr>
          <w:rFonts w:asciiTheme="minorEastAsia" w:hAnsiTheme="minorEastAsia" w:cs="Times New Roman" w:hint="eastAsia"/>
          <w:sz w:val="24"/>
          <w:szCs w:val="24"/>
        </w:rPr>
        <w:t>（最后运作日的下一日）</w:t>
      </w:r>
      <w:r w:rsidRPr="00C766D0">
        <w:rPr>
          <w:rFonts w:asciiTheme="minorEastAsia" w:hAnsiTheme="minorEastAsia" w:cs="Times New Roman"/>
          <w:sz w:val="24"/>
          <w:szCs w:val="24"/>
        </w:rPr>
        <w:t>起进入清算程序，</w:t>
      </w:r>
      <w:r w:rsidR="0085623D" w:rsidRPr="00C766D0">
        <w:rPr>
          <w:rFonts w:asciiTheme="minorEastAsia" w:hAnsiTheme="minorEastAsia" w:cs="Times New Roman" w:hint="eastAsia"/>
          <w:sz w:val="24"/>
          <w:szCs w:val="24"/>
        </w:rPr>
        <w:t>届时本基金将停止</w:t>
      </w:r>
      <w:r w:rsidRPr="00C766D0">
        <w:rPr>
          <w:rFonts w:asciiTheme="minorEastAsia" w:hAnsiTheme="minorEastAsia" w:cs="Times New Roman"/>
          <w:sz w:val="24"/>
          <w:szCs w:val="24"/>
        </w:rPr>
        <w:t>办理申购</w:t>
      </w:r>
      <w:r w:rsidR="00B76B9A" w:rsidRPr="00C766D0">
        <w:rPr>
          <w:rFonts w:asciiTheme="minorEastAsia" w:hAnsiTheme="minorEastAsia" w:cs="Times New Roman" w:hint="eastAsia"/>
          <w:sz w:val="24"/>
          <w:szCs w:val="24"/>
        </w:rPr>
        <w:t>、</w:t>
      </w:r>
      <w:r w:rsidRPr="00C766D0">
        <w:rPr>
          <w:rFonts w:asciiTheme="minorEastAsia" w:hAnsiTheme="minorEastAsia" w:cs="Times New Roman"/>
          <w:sz w:val="24"/>
          <w:szCs w:val="24"/>
        </w:rPr>
        <w:t>赎回</w:t>
      </w:r>
      <w:r w:rsidR="00C1015C">
        <w:rPr>
          <w:rFonts w:asciiTheme="minorEastAsia" w:hAnsiTheme="minorEastAsia" w:cs="Times New Roman" w:hint="eastAsia"/>
          <w:sz w:val="24"/>
          <w:szCs w:val="24"/>
        </w:rPr>
        <w:t>、转换</w:t>
      </w:r>
      <w:r w:rsidR="00AE1ECF" w:rsidRPr="00C766D0">
        <w:rPr>
          <w:rFonts w:asciiTheme="minorEastAsia" w:hAnsiTheme="minorEastAsia" w:cs="Times New Roman" w:hint="eastAsia"/>
          <w:sz w:val="24"/>
          <w:szCs w:val="24"/>
        </w:rPr>
        <w:t>等</w:t>
      </w:r>
      <w:r w:rsidRPr="00C766D0">
        <w:rPr>
          <w:rFonts w:asciiTheme="minorEastAsia" w:hAnsiTheme="minorEastAsia" w:cs="Times New Roman"/>
          <w:sz w:val="24"/>
          <w:szCs w:val="24"/>
        </w:rPr>
        <w:t>业务，</w:t>
      </w:r>
      <w:r w:rsidR="0085623D" w:rsidRPr="00C766D0">
        <w:rPr>
          <w:rFonts w:asciiTheme="minorEastAsia" w:hAnsiTheme="minorEastAsia" w:cs="Times New Roman" w:hint="eastAsia"/>
          <w:sz w:val="24"/>
          <w:szCs w:val="24"/>
        </w:rPr>
        <w:t>并且之后不再恢复。本基金进入清算程序后，</w:t>
      </w:r>
      <w:r w:rsidRPr="00C766D0">
        <w:rPr>
          <w:rFonts w:asciiTheme="minorEastAsia" w:hAnsiTheme="minorEastAsia" w:cs="Times New Roman"/>
          <w:sz w:val="24"/>
          <w:szCs w:val="24"/>
        </w:rPr>
        <w:t xml:space="preserve">停止收取基金管理费、基金托管费。 </w:t>
      </w:r>
    </w:p>
    <w:p w:rsidR="00C93AD2" w:rsidRPr="00C766D0" w:rsidRDefault="00C93AD2" w:rsidP="00F874EC">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2、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 </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lastRenderedPageBreak/>
        <w:t xml:space="preserve">3、基金财产清算小组负责基金财产的保管、清理、估价、变现和分配。基金财产清算小组可以依法进行必要的民事活动。 </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4、基金财产清算程序： </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w:t>
      </w:r>
      <w:r w:rsidRPr="00DC0892">
        <w:rPr>
          <w:rFonts w:asciiTheme="minorEastAsia" w:hAnsiTheme="minorEastAsia" w:cs="Times New Roman"/>
          <w:sz w:val="24"/>
          <w:szCs w:val="24"/>
        </w:rPr>
        <w:t>1）基金合同终止情形发生后，由基金财产清算组统一接管基金财产；</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w:t>
      </w:r>
      <w:r w:rsidRPr="00DC0892">
        <w:rPr>
          <w:rFonts w:asciiTheme="minorEastAsia" w:hAnsiTheme="minorEastAsia" w:cs="Times New Roman"/>
          <w:sz w:val="24"/>
          <w:szCs w:val="24"/>
        </w:rPr>
        <w:t>2）基金财产清算组根据基金财产的情况确定清算期限；</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w:t>
      </w:r>
      <w:r w:rsidRPr="00DC0892">
        <w:rPr>
          <w:rFonts w:asciiTheme="minorEastAsia" w:hAnsiTheme="minorEastAsia" w:cs="Times New Roman"/>
          <w:sz w:val="24"/>
          <w:szCs w:val="24"/>
        </w:rPr>
        <w:t>3）基金财产清算组对基金财产进行清理和确认；</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w:t>
      </w:r>
      <w:r w:rsidRPr="00DC0892">
        <w:rPr>
          <w:rFonts w:asciiTheme="minorEastAsia" w:hAnsiTheme="minorEastAsia" w:cs="Times New Roman"/>
          <w:sz w:val="24"/>
          <w:szCs w:val="24"/>
        </w:rPr>
        <w:t>4）对基金财产进行评估和变现；</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w:t>
      </w:r>
      <w:r w:rsidRPr="00DC0892">
        <w:rPr>
          <w:rFonts w:asciiTheme="minorEastAsia" w:hAnsiTheme="minorEastAsia" w:cs="Times New Roman"/>
          <w:sz w:val="24"/>
          <w:szCs w:val="24"/>
        </w:rPr>
        <w:t>5）制作清算报告；</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w:t>
      </w:r>
      <w:r w:rsidRPr="00DC0892">
        <w:rPr>
          <w:rFonts w:asciiTheme="minorEastAsia" w:hAnsiTheme="minorEastAsia" w:cs="Times New Roman"/>
          <w:sz w:val="24"/>
          <w:szCs w:val="24"/>
        </w:rPr>
        <w:t>6）聘请会计师事务所对清算报告进行外部审计，聘请律师事务所对清算报告出具法律意见书；</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w:t>
      </w:r>
      <w:r w:rsidRPr="00DC0892">
        <w:rPr>
          <w:rFonts w:asciiTheme="minorEastAsia" w:hAnsiTheme="minorEastAsia" w:cs="Times New Roman"/>
          <w:sz w:val="24"/>
          <w:szCs w:val="24"/>
        </w:rPr>
        <w:t>7）将清算报告报中国证监会备案并公告；</w:t>
      </w:r>
    </w:p>
    <w:p w:rsidR="00DC0892" w:rsidRDefault="00DC0892" w:rsidP="001B39C9">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w:t>
      </w:r>
      <w:r w:rsidRPr="00DC0892">
        <w:rPr>
          <w:rFonts w:asciiTheme="minorEastAsia" w:hAnsiTheme="minorEastAsia" w:cs="Times New Roman"/>
          <w:sz w:val="24"/>
          <w:szCs w:val="24"/>
        </w:rPr>
        <w:t>8）对基金财产进行分配。</w:t>
      </w:r>
    </w:p>
    <w:p w:rsidR="00F874EC"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（二）清算费用 </w:t>
      </w:r>
    </w:p>
    <w:p w:rsidR="00C93AD2" w:rsidRPr="00C766D0" w:rsidRDefault="001558B2" w:rsidP="00CB1560">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按照《基金合同》“</w:t>
      </w:r>
      <w:r w:rsidR="00895E5D" w:rsidRPr="00C766D0">
        <w:rPr>
          <w:rFonts w:asciiTheme="minorEastAsia" w:hAnsiTheme="minorEastAsia" w:cs="Times New Roman" w:hint="eastAsia"/>
          <w:sz w:val="24"/>
          <w:szCs w:val="24"/>
        </w:rPr>
        <w:t>第</w:t>
      </w:r>
      <w:r w:rsidR="00895E5D">
        <w:rPr>
          <w:rFonts w:asciiTheme="minorEastAsia" w:hAnsiTheme="minorEastAsia" w:cs="Times New Roman" w:hint="eastAsia"/>
          <w:sz w:val="24"/>
          <w:szCs w:val="24"/>
        </w:rPr>
        <w:t>二十四</w:t>
      </w:r>
      <w:r w:rsidRPr="00C766D0">
        <w:rPr>
          <w:rFonts w:asciiTheme="minorEastAsia" w:hAnsiTheme="minorEastAsia" w:cs="Times New Roman" w:hint="eastAsia"/>
          <w:sz w:val="24"/>
          <w:szCs w:val="24"/>
        </w:rPr>
        <w:t>部分 基金合同的变更、终止与基金财产的清算”的约定，清算费用是指基金财产清算小组在进行基金清算过程中发生的所有合理费用，清算费用由基金财产清算小组优先从基金财产中支付。</w:t>
      </w:r>
    </w:p>
    <w:p w:rsidR="00F874EC"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（三）基金财产清算剩余资产的分配 </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基金财产按下列顺序清偿：</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w:t>
      </w:r>
      <w:r w:rsidRPr="00DC0892">
        <w:rPr>
          <w:rFonts w:asciiTheme="minorEastAsia" w:hAnsiTheme="minorEastAsia" w:cs="Times New Roman"/>
          <w:sz w:val="24"/>
          <w:szCs w:val="24"/>
        </w:rPr>
        <w:t>1）支付清算费用；</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w:t>
      </w:r>
      <w:r w:rsidRPr="00DC0892">
        <w:rPr>
          <w:rFonts w:asciiTheme="minorEastAsia" w:hAnsiTheme="minorEastAsia" w:cs="Times New Roman"/>
          <w:sz w:val="24"/>
          <w:szCs w:val="24"/>
        </w:rPr>
        <w:t>2）交纳所欠税款；</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w:t>
      </w:r>
      <w:r w:rsidRPr="00DC0892">
        <w:rPr>
          <w:rFonts w:asciiTheme="minorEastAsia" w:hAnsiTheme="minorEastAsia" w:cs="Times New Roman"/>
          <w:sz w:val="24"/>
          <w:szCs w:val="24"/>
        </w:rPr>
        <w:t>3）清偿基金债务；</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w:t>
      </w:r>
      <w:r w:rsidRPr="00DC0892">
        <w:rPr>
          <w:rFonts w:asciiTheme="minorEastAsia" w:hAnsiTheme="minorEastAsia" w:cs="Times New Roman"/>
          <w:sz w:val="24"/>
          <w:szCs w:val="24"/>
        </w:rPr>
        <w:t>4）按基金份额持有人持有的基金份额比例进行分配。</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基金财产未按前款（</w:t>
      </w:r>
      <w:r w:rsidRPr="00DC0892">
        <w:rPr>
          <w:rFonts w:asciiTheme="minorEastAsia" w:hAnsiTheme="minorEastAsia" w:cs="Times New Roman"/>
          <w:sz w:val="24"/>
          <w:szCs w:val="24"/>
        </w:rPr>
        <w:t>1）、（2）、（3）项规定清偿前，不分配给基金份额持有人。</w:t>
      </w:r>
    </w:p>
    <w:p w:rsidR="00DC0892" w:rsidRPr="00DC0892" w:rsidRDefault="00DC0892" w:rsidP="00DC0892">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对于基金缴存于中国证券登记结算有限责任公司的最低结算备付金和交易席位保证金等，在中国证券登记结算有限责任公司对其进行调整后方可收回。</w:t>
      </w:r>
    </w:p>
    <w:p w:rsidR="00F874EC"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（四）基金财产清算的公告 </w:t>
      </w:r>
    </w:p>
    <w:p w:rsidR="00DC0892" w:rsidRDefault="00DC0892" w:rsidP="001B39C9">
      <w:pPr>
        <w:spacing w:line="360" w:lineRule="auto"/>
        <w:ind w:firstLineChars="200" w:firstLine="480"/>
        <w:rPr>
          <w:rFonts w:asciiTheme="minorEastAsia" w:hAnsiTheme="minorEastAsia" w:cs="Times New Roman"/>
          <w:sz w:val="24"/>
          <w:szCs w:val="24"/>
        </w:rPr>
      </w:pPr>
      <w:r w:rsidRPr="00DC0892">
        <w:rPr>
          <w:rFonts w:asciiTheme="minorEastAsia" w:hAnsiTheme="minorEastAsia" w:cs="Times New Roman" w:hint="eastAsia"/>
          <w:sz w:val="24"/>
          <w:szCs w:val="24"/>
        </w:rPr>
        <w:t>基金财产清算组做出的清算报告经会计师事务所审计，律师事务所出具法律意见书后，报中国证监会备案并公告。</w:t>
      </w:r>
    </w:p>
    <w:p w:rsidR="00C7340B"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（五）基金财产清算账册及文件的保存</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基金财产清算账册及有关文件由基金托管人保存</w:t>
      </w:r>
      <w:r w:rsidR="0068521B">
        <w:rPr>
          <w:rFonts w:asciiTheme="minorEastAsia" w:hAnsiTheme="minorEastAsia" w:cs="Times New Roman" w:hint="eastAsia"/>
          <w:sz w:val="24"/>
          <w:szCs w:val="24"/>
        </w:rPr>
        <w:t>20</w:t>
      </w:r>
      <w:r w:rsidRPr="00C766D0">
        <w:rPr>
          <w:rFonts w:asciiTheme="minorEastAsia" w:hAnsiTheme="minorEastAsia" w:cs="Times New Roman"/>
          <w:sz w:val="24"/>
          <w:szCs w:val="24"/>
        </w:rPr>
        <w:t>年以上。</w:t>
      </w:r>
    </w:p>
    <w:p w:rsidR="00492652" w:rsidRPr="00C766D0" w:rsidRDefault="00492652" w:rsidP="00492652">
      <w:pPr>
        <w:spacing w:line="360" w:lineRule="auto"/>
        <w:ind w:firstLineChars="200" w:firstLine="482"/>
        <w:rPr>
          <w:rFonts w:asciiTheme="minorEastAsia" w:hAnsiTheme="minorEastAsia" w:cs="Times New Roman"/>
          <w:b/>
          <w:sz w:val="24"/>
          <w:szCs w:val="24"/>
        </w:rPr>
      </w:pPr>
      <w:r w:rsidRPr="00C766D0">
        <w:rPr>
          <w:rFonts w:asciiTheme="minorEastAsia" w:hAnsiTheme="minorEastAsia" w:cs="Times New Roman" w:hint="eastAsia"/>
          <w:b/>
          <w:sz w:val="24"/>
          <w:szCs w:val="24"/>
        </w:rPr>
        <w:t>四</w:t>
      </w:r>
      <w:r w:rsidRPr="00C766D0">
        <w:rPr>
          <w:rFonts w:asciiTheme="minorEastAsia" w:hAnsiTheme="minorEastAsia" w:cs="Times New Roman"/>
          <w:b/>
          <w:sz w:val="24"/>
          <w:szCs w:val="24"/>
        </w:rPr>
        <w:t>、基金财产清算中的事项说明</w:t>
      </w:r>
    </w:p>
    <w:p w:rsidR="00492652" w:rsidRPr="00C766D0" w:rsidRDefault="00492652" w:rsidP="0049265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（一）停牌证券</w:t>
      </w:r>
      <w:r w:rsidR="00552D8E">
        <w:rPr>
          <w:rFonts w:asciiTheme="minorEastAsia" w:hAnsiTheme="minorEastAsia" w:cs="Times New Roman" w:hint="eastAsia"/>
          <w:sz w:val="24"/>
          <w:szCs w:val="24"/>
        </w:rPr>
        <w:t>或其他无法及时变现证券</w:t>
      </w:r>
    </w:p>
    <w:p w:rsidR="00492652" w:rsidRPr="00C766D0" w:rsidRDefault="00492652" w:rsidP="0049265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如</w:t>
      </w:r>
      <w:r w:rsidR="00226653" w:rsidRPr="00C766D0">
        <w:rPr>
          <w:rFonts w:asciiTheme="minorEastAsia" w:hAnsiTheme="minorEastAsia" w:cs="Times New Roman" w:hint="eastAsia"/>
          <w:sz w:val="24"/>
          <w:szCs w:val="24"/>
        </w:rPr>
        <w:t>清算期内</w:t>
      </w:r>
      <w:r w:rsidRPr="00C766D0">
        <w:rPr>
          <w:rFonts w:asciiTheme="minorEastAsia" w:hAnsiTheme="minorEastAsia" w:cs="Times New Roman"/>
          <w:sz w:val="24"/>
          <w:szCs w:val="24"/>
        </w:rPr>
        <w:t>仍有持仓证券停牌</w:t>
      </w:r>
      <w:r w:rsidR="001652D2">
        <w:rPr>
          <w:rFonts w:asciiTheme="minorEastAsia" w:hAnsiTheme="minorEastAsia" w:cs="Times New Roman" w:hint="eastAsia"/>
          <w:sz w:val="24"/>
          <w:szCs w:val="24"/>
        </w:rPr>
        <w:t>或其他无法及时变现的证券</w:t>
      </w:r>
      <w:r w:rsidRPr="00C766D0">
        <w:rPr>
          <w:rFonts w:asciiTheme="minorEastAsia" w:hAnsiTheme="minorEastAsia" w:cs="Times New Roman"/>
          <w:sz w:val="24"/>
          <w:szCs w:val="24"/>
        </w:rPr>
        <w:t>，</w:t>
      </w:r>
      <w:r w:rsidR="00C47E48">
        <w:rPr>
          <w:rFonts w:asciiTheme="minorEastAsia" w:hAnsiTheme="minorEastAsia" w:cs="Times New Roman" w:hint="eastAsia"/>
          <w:sz w:val="24"/>
          <w:szCs w:val="24"/>
        </w:rPr>
        <w:t>则本基金可能需要进行多次清算</w:t>
      </w:r>
      <w:r w:rsidRPr="00C766D0">
        <w:rPr>
          <w:rFonts w:asciiTheme="minorEastAsia" w:hAnsiTheme="minorEastAsia" w:cs="Times New Roman"/>
          <w:sz w:val="24"/>
          <w:szCs w:val="24"/>
        </w:rPr>
        <w:t>。</w:t>
      </w:r>
    </w:p>
    <w:p w:rsidR="00492652" w:rsidRPr="00C766D0" w:rsidRDefault="00492652" w:rsidP="0049265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（二）结算备付金、保证金及应收利息</w:t>
      </w:r>
    </w:p>
    <w:p w:rsidR="00492652" w:rsidRPr="00C766D0" w:rsidRDefault="00A371E0" w:rsidP="00C93AD2">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为了提高清算效率，</w:t>
      </w:r>
      <w:r w:rsidR="00492652" w:rsidRPr="00C766D0">
        <w:rPr>
          <w:rFonts w:asciiTheme="minorEastAsia" w:hAnsiTheme="minorEastAsia" w:cs="Times New Roman"/>
          <w:sz w:val="24"/>
          <w:szCs w:val="24"/>
        </w:rPr>
        <w:t>基金管理人</w:t>
      </w:r>
      <w:r>
        <w:rPr>
          <w:rFonts w:asciiTheme="minorEastAsia" w:hAnsiTheme="minorEastAsia" w:cs="Times New Roman" w:hint="eastAsia"/>
          <w:sz w:val="24"/>
          <w:szCs w:val="24"/>
        </w:rPr>
        <w:t>可以使用</w:t>
      </w:r>
      <w:r w:rsidR="00492652" w:rsidRPr="00C766D0">
        <w:rPr>
          <w:rFonts w:asciiTheme="minorEastAsia" w:hAnsiTheme="minorEastAsia" w:cs="Times New Roman"/>
          <w:sz w:val="24"/>
          <w:szCs w:val="24"/>
        </w:rPr>
        <w:t>自有资金先行垫付最低结算备付金和交易席位保证金，以及清算期间产生的应收利息等，该垫付资金及垫付资金到账日起孳生的利息将于收回款项、结息后返还给基金管理人。</w:t>
      </w:r>
    </w:p>
    <w:p w:rsidR="00553082" w:rsidRPr="00C766D0" w:rsidRDefault="00492652" w:rsidP="00C93AD2">
      <w:pPr>
        <w:spacing w:line="360" w:lineRule="auto"/>
        <w:ind w:firstLineChars="200" w:firstLine="482"/>
        <w:rPr>
          <w:rFonts w:asciiTheme="minorEastAsia" w:hAnsiTheme="minorEastAsia" w:cs="Times New Roman"/>
          <w:sz w:val="24"/>
          <w:szCs w:val="24"/>
        </w:rPr>
      </w:pPr>
      <w:r w:rsidRPr="00C766D0">
        <w:rPr>
          <w:rFonts w:asciiTheme="minorEastAsia" w:hAnsiTheme="minorEastAsia" w:cs="Times New Roman" w:hint="eastAsia"/>
          <w:b/>
          <w:sz w:val="24"/>
          <w:szCs w:val="24"/>
        </w:rPr>
        <w:t>五</w:t>
      </w:r>
      <w:r w:rsidR="00007006" w:rsidRPr="00C766D0">
        <w:rPr>
          <w:rFonts w:asciiTheme="minorEastAsia" w:hAnsiTheme="minorEastAsia" w:cs="Times New Roman" w:hint="eastAsia"/>
          <w:b/>
          <w:sz w:val="24"/>
          <w:szCs w:val="24"/>
        </w:rPr>
        <w:t>、</w:t>
      </w:r>
      <w:r w:rsidR="00C93AD2" w:rsidRPr="00C766D0">
        <w:rPr>
          <w:rFonts w:asciiTheme="minorEastAsia" w:hAnsiTheme="minorEastAsia" w:cs="Times New Roman" w:hint="eastAsia"/>
          <w:b/>
          <w:sz w:val="24"/>
          <w:szCs w:val="24"/>
        </w:rPr>
        <w:t>特别</w:t>
      </w:r>
      <w:r w:rsidR="00007006" w:rsidRPr="00C766D0">
        <w:rPr>
          <w:rFonts w:asciiTheme="minorEastAsia" w:hAnsiTheme="minorEastAsia" w:cs="Times New Roman" w:hint="eastAsia"/>
          <w:b/>
          <w:sz w:val="24"/>
          <w:szCs w:val="24"/>
        </w:rPr>
        <w:t>提示</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1、敬请投资者关注基金清算的相关后续公告。 </w:t>
      </w:r>
    </w:p>
    <w:p w:rsidR="00553082" w:rsidRPr="00C766D0" w:rsidRDefault="00C93AD2" w:rsidP="00F874EC">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2、</w:t>
      </w:r>
      <w:r w:rsidR="00007006" w:rsidRPr="00C766D0">
        <w:rPr>
          <w:rFonts w:asciiTheme="minorEastAsia" w:hAnsiTheme="minorEastAsia" w:cs="Times New Roman" w:hint="eastAsia"/>
          <w:sz w:val="24"/>
          <w:szCs w:val="24"/>
        </w:rPr>
        <w:t>投资者可以登陆</w:t>
      </w:r>
      <w:r w:rsidR="00C2640E" w:rsidRPr="00C766D0">
        <w:rPr>
          <w:rFonts w:asciiTheme="minorEastAsia" w:hAnsiTheme="minorEastAsia" w:cs="Times New Roman" w:hint="eastAsia"/>
          <w:sz w:val="24"/>
          <w:szCs w:val="24"/>
        </w:rPr>
        <w:t>泰达宏利</w:t>
      </w:r>
      <w:r w:rsidR="00007006" w:rsidRPr="00C766D0">
        <w:rPr>
          <w:rFonts w:asciiTheme="minorEastAsia" w:hAnsiTheme="minorEastAsia" w:cs="Times New Roman" w:hint="eastAsia"/>
          <w:sz w:val="24"/>
          <w:szCs w:val="24"/>
        </w:rPr>
        <w:t>基金管理有限公司网站（</w:t>
      </w:r>
      <w:r w:rsidR="00C2640E" w:rsidRPr="00C766D0">
        <w:rPr>
          <w:rFonts w:asciiTheme="minorEastAsia" w:hAnsiTheme="minorEastAsia" w:cs="Times New Roman" w:hint="eastAsia"/>
          <w:sz w:val="24"/>
          <w:szCs w:val="24"/>
        </w:rPr>
        <w:t>www.mfcteda.com</w:t>
      </w:r>
      <w:r w:rsidR="00007006" w:rsidRPr="00C766D0">
        <w:rPr>
          <w:rFonts w:asciiTheme="minorEastAsia" w:hAnsiTheme="minorEastAsia" w:cs="Times New Roman" w:hint="eastAsia"/>
          <w:sz w:val="24"/>
          <w:szCs w:val="24"/>
        </w:rPr>
        <w:t>）或拨打</w:t>
      </w:r>
      <w:r w:rsidR="00C2640E" w:rsidRPr="00C766D0">
        <w:rPr>
          <w:rFonts w:asciiTheme="minorEastAsia" w:hAnsiTheme="minorEastAsia" w:cs="Times New Roman" w:hint="eastAsia"/>
          <w:sz w:val="24"/>
          <w:szCs w:val="24"/>
        </w:rPr>
        <w:t>泰达宏利</w:t>
      </w:r>
      <w:r w:rsidR="00007006" w:rsidRPr="00C766D0">
        <w:rPr>
          <w:rFonts w:asciiTheme="minorEastAsia" w:hAnsiTheme="minorEastAsia" w:cs="Times New Roman" w:hint="eastAsia"/>
          <w:sz w:val="24"/>
          <w:szCs w:val="24"/>
        </w:rPr>
        <w:t>基金管理有限公司全国统一客户服务号码</w:t>
      </w:r>
      <w:r w:rsidR="00C2640E" w:rsidRPr="00C766D0">
        <w:rPr>
          <w:rFonts w:asciiTheme="minorEastAsia" w:hAnsiTheme="minorEastAsia" w:cs="Times New Roman" w:hint="eastAsia"/>
          <w:sz w:val="24"/>
          <w:szCs w:val="24"/>
        </w:rPr>
        <w:t>400-698-8888</w:t>
      </w:r>
      <w:r w:rsidRPr="00C766D0">
        <w:rPr>
          <w:rFonts w:asciiTheme="minorEastAsia" w:hAnsiTheme="minorEastAsia" w:cs="Times New Roman"/>
          <w:sz w:val="24"/>
          <w:szCs w:val="24"/>
        </w:rPr>
        <w:t>(免长途话费)</w:t>
      </w:r>
      <w:r w:rsidR="00007006" w:rsidRPr="00C766D0">
        <w:rPr>
          <w:rFonts w:asciiTheme="minorEastAsia" w:hAnsiTheme="minorEastAsia" w:cs="Times New Roman" w:hint="eastAsia"/>
          <w:sz w:val="24"/>
          <w:szCs w:val="24"/>
        </w:rPr>
        <w:t>咨询相关情况。</w:t>
      </w:r>
    </w:p>
    <w:p w:rsidR="00C93AD2" w:rsidRPr="00C766D0" w:rsidRDefault="00C93AD2" w:rsidP="00C93AD2">
      <w:pPr>
        <w:spacing w:line="360" w:lineRule="auto"/>
        <w:ind w:firstLineChars="200" w:firstLine="480"/>
        <w:rPr>
          <w:rFonts w:ascii="宋体" w:eastAsia="宋体" w:hAnsi="宋体" w:cs="Times New Roman"/>
          <w:sz w:val="24"/>
          <w:szCs w:val="24"/>
        </w:rPr>
      </w:pPr>
    </w:p>
    <w:p w:rsidR="00553082" w:rsidRPr="00C766D0" w:rsidRDefault="00007006" w:rsidP="000405B9">
      <w:pPr>
        <w:spacing w:line="360" w:lineRule="auto"/>
        <w:ind w:firstLineChars="200" w:firstLine="480"/>
        <w:rPr>
          <w:rFonts w:ascii="宋体" w:eastAsia="宋体" w:hAnsi="宋体" w:cs="Times New Roman"/>
          <w:sz w:val="24"/>
          <w:szCs w:val="24"/>
        </w:rPr>
      </w:pPr>
      <w:r w:rsidRPr="00C766D0">
        <w:rPr>
          <w:rFonts w:ascii="宋体" w:eastAsia="宋体" w:hAnsi="宋体" w:cs="Times New Roman" w:hint="eastAsia"/>
          <w:sz w:val="24"/>
          <w:szCs w:val="24"/>
        </w:rPr>
        <w:t>特此公告。</w:t>
      </w:r>
    </w:p>
    <w:p w:rsidR="00553082" w:rsidRPr="00C766D0"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C766D0">
        <w:rPr>
          <w:rFonts w:ascii="inherit" w:eastAsia="宋体" w:hAnsi="inherit" w:cs="宋体"/>
          <w:color w:val="41566D"/>
          <w:kern w:val="0"/>
          <w:sz w:val="24"/>
          <w:szCs w:val="24"/>
        </w:rPr>
        <w:t> </w:t>
      </w:r>
    </w:p>
    <w:p w:rsidR="00553082" w:rsidRPr="00C766D0" w:rsidRDefault="00007006" w:rsidP="00871481">
      <w:pPr>
        <w:widowControl/>
        <w:shd w:val="clear" w:color="auto" w:fill="FFFFFF"/>
        <w:spacing w:line="360" w:lineRule="atLeast"/>
        <w:ind w:firstLine="360"/>
        <w:jc w:val="left"/>
        <w:textAlignment w:val="baseline"/>
        <w:rPr>
          <w:rFonts w:ascii="宋体" w:eastAsia="宋体" w:hAnsi="宋体" w:cs="Times New Roman"/>
          <w:sz w:val="24"/>
          <w:szCs w:val="24"/>
        </w:rPr>
      </w:pPr>
      <w:r w:rsidRPr="00C766D0">
        <w:rPr>
          <w:rFonts w:ascii="inherit" w:eastAsia="宋体" w:hAnsi="inherit" w:cs="宋体"/>
          <w:color w:val="41566D"/>
          <w:kern w:val="0"/>
          <w:sz w:val="24"/>
          <w:szCs w:val="24"/>
        </w:rPr>
        <w:t> </w:t>
      </w:r>
    </w:p>
    <w:p w:rsidR="00553082" w:rsidRPr="00C766D0" w:rsidRDefault="00C2640E" w:rsidP="00F874EC">
      <w:pPr>
        <w:widowControl/>
        <w:shd w:val="clear" w:color="auto" w:fill="FFFFFF"/>
        <w:spacing w:line="360" w:lineRule="auto"/>
        <w:ind w:firstLine="360"/>
        <w:jc w:val="right"/>
        <w:textAlignment w:val="baseline"/>
        <w:rPr>
          <w:rFonts w:ascii="宋体" w:eastAsia="宋体" w:hAnsi="宋体" w:cs="Times New Roman"/>
          <w:sz w:val="24"/>
          <w:szCs w:val="24"/>
        </w:rPr>
      </w:pPr>
      <w:r w:rsidRPr="00C766D0">
        <w:rPr>
          <w:rFonts w:ascii="宋体" w:eastAsia="宋体" w:hAnsi="宋体" w:cs="Times New Roman" w:hint="eastAsia"/>
          <w:sz w:val="24"/>
          <w:szCs w:val="24"/>
        </w:rPr>
        <w:t>泰达宏利</w:t>
      </w:r>
      <w:r w:rsidR="00007006" w:rsidRPr="00C766D0">
        <w:rPr>
          <w:rFonts w:ascii="宋体" w:eastAsia="宋体" w:hAnsi="宋体" w:cs="Times New Roman" w:hint="eastAsia"/>
          <w:sz w:val="24"/>
          <w:szCs w:val="24"/>
        </w:rPr>
        <w:t>基金管理有限公司</w:t>
      </w:r>
    </w:p>
    <w:p w:rsidR="00553082" w:rsidRPr="000405B9" w:rsidRDefault="009E0572" w:rsidP="00F874EC">
      <w:pPr>
        <w:widowControl/>
        <w:shd w:val="clear" w:color="auto" w:fill="FFFFFF"/>
        <w:wordWrap w:val="0"/>
        <w:spacing w:line="360" w:lineRule="auto"/>
        <w:ind w:firstLine="360"/>
        <w:jc w:val="right"/>
        <w:textAlignment w:val="baseline"/>
        <w:rPr>
          <w:rFonts w:ascii="宋体" w:eastAsia="宋体" w:hAnsi="宋体" w:cs="Times New Roman"/>
          <w:sz w:val="24"/>
          <w:szCs w:val="24"/>
        </w:rPr>
      </w:pPr>
      <w:r w:rsidRPr="00C766D0">
        <w:rPr>
          <w:rFonts w:ascii="宋体" w:eastAsia="宋体" w:hAnsi="宋体" w:cs="Times New Roman" w:hint="eastAsia"/>
          <w:sz w:val="24"/>
          <w:szCs w:val="24"/>
        </w:rPr>
        <w:t>201</w:t>
      </w:r>
      <w:r>
        <w:rPr>
          <w:rFonts w:ascii="宋体" w:eastAsia="宋体" w:hAnsi="宋体" w:cs="Times New Roman" w:hint="eastAsia"/>
          <w:sz w:val="24"/>
          <w:szCs w:val="24"/>
        </w:rPr>
        <w:t>8</w:t>
      </w:r>
      <w:r w:rsidR="00007006" w:rsidRPr="00C766D0">
        <w:rPr>
          <w:rFonts w:ascii="宋体" w:eastAsia="宋体" w:hAnsi="宋体" w:cs="Times New Roman" w:hint="eastAsia"/>
          <w:sz w:val="24"/>
          <w:szCs w:val="24"/>
        </w:rPr>
        <w:t>年</w:t>
      </w:r>
      <w:r>
        <w:rPr>
          <w:rFonts w:ascii="宋体" w:eastAsia="宋体" w:hAnsi="宋体" w:cs="Times New Roman" w:hint="eastAsia"/>
          <w:sz w:val="24"/>
          <w:szCs w:val="24"/>
        </w:rPr>
        <w:t>8</w:t>
      </w:r>
      <w:r w:rsidR="00BC69D7" w:rsidRPr="00C766D0">
        <w:rPr>
          <w:rFonts w:ascii="宋体" w:eastAsia="宋体" w:hAnsi="宋体" w:cs="Times New Roman" w:hint="eastAsia"/>
          <w:sz w:val="24"/>
          <w:szCs w:val="24"/>
        </w:rPr>
        <w:t>月</w:t>
      </w:r>
      <w:r>
        <w:rPr>
          <w:rFonts w:ascii="宋体" w:eastAsia="宋体" w:hAnsi="宋体" w:cs="Times New Roman" w:hint="eastAsia"/>
          <w:sz w:val="24"/>
          <w:szCs w:val="24"/>
        </w:rPr>
        <w:t>10</w:t>
      </w:r>
      <w:r w:rsidR="00BC69D7" w:rsidRPr="00C766D0">
        <w:rPr>
          <w:rFonts w:ascii="宋体" w:eastAsia="宋体" w:hAnsi="宋体" w:cs="Times New Roman" w:hint="eastAsia"/>
          <w:sz w:val="24"/>
          <w:szCs w:val="24"/>
        </w:rPr>
        <w:t>日</w:t>
      </w:r>
    </w:p>
    <w:sectPr w:rsidR="00553082" w:rsidRPr="000405B9"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AF7" w:rsidRDefault="00824AF7" w:rsidP="004A00AA">
      <w:r>
        <w:separator/>
      </w:r>
    </w:p>
  </w:endnote>
  <w:endnote w:type="continuationSeparator" w:id="1">
    <w:p w:rsidR="00824AF7" w:rsidRDefault="00824AF7"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AF7" w:rsidRDefault="00824AF7" w:rsidP="004A00AA">
      <w:r>
        <w:separator/>
      </w:r>
    </w:p>
  </w:footnote>
  <w:footnote w:type="continuationSeparator" w:id="1">
    <w:p w:rsidR="00824AF7" w:rsidRDefault="00824AF7"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4CB"/>
    <w:rsid w:val="00007006"/>
    <w:rsid w:val="000351AA"/>
    <w:rsid w:val="000405B9"/>
    <w:rsid w:val="00044CFE"/>
    <w:rsid w:val="00052D4B"/>
    <w:rsid w:val="00093F8C"/>
    <w:rsid w:val="000B11CF"/>
    <w:rsid w:val="000C603B"/>
    <w:rsid w:val="000F6AA5"/>
    <w:rsid w:val="0013027E"/>
    <w:rsid w:val="00146396"/>
    <w:rsid w:val="001558B2"/>
    <w:rsid w:val="001652D2"/>
    <w:rsid w:val="00180D16"/>
    <w:rsid w:val="0019528D"/>
    <w:rsid w:val="001B39C9"/>
    <w:rsid w:val="001F6B50"/>
    <w:rsid w:val="00226653"/>
    <w:rsid w:val="00232088"/>
    <w:rsid w:val="00237BD8"/>
    <w:rsid w:val="002536FF"/>
    <w:rsid w:val="002809F9"/>
    <w:rsid w:val="0028393F"/>
    <w:rsid w:val="002A6714"/>
    <w:rsid w:val="002D3105"/>
    <w:rsid w:val="002D7E5A"/>
    <w:rsid w:val="00310673"/>
    <w:rsid w:val="00347A01"/>
    <w:rsid w:val="00376F37"/>
    <w:rsid w:val="003B7D7B"/>
    <w:rsid w:val="003D4DAE"/>
    <w:rsid w:val="004164CA"/>
    <w:rsid w:val="0043490D"/>
    <w:rsid w:val="0048526A"/>
    <w:rsid w:val="00492652"/>
    <w:rsid w:val="00495416"/>
    <w:rsid w:val="004A00AA"/>
    <w:rsid w:val="004C5A94"/>
    <w:rsid w:val="004D7EB2"/>
    <w:rsid w:val="00517D1F"/>
    <w:rsid w:val="0053757C"/>
    <w:rsid w:val="00546A20"/>
    <w:rsid w:val="00552D8E"/>
    <w:rsid w:val="00553082"/>
    <w:rsid w:val="00585696"/>
    <w:rsid w:val="005B6B2B"/>
    <w:rsid w:val="0062083F"/>
    <w:rsid w:val="006279F7"/>
    <w:rsid w:val="00630235"/>
    <w:rsid w:val="006435FA"/>
    <w:rsid w:val="00643B80"/>
    <w:rsid w:val="00643C31"/>
    <w:rsid w:val="00666AA4"/>
    <w:rsid w:val="0068521B"/>
    <w:rsid w:val="00693718"/>
    <w:rsid w:val="006C01C3"/>
    <w:rsid w:val="006D0E78"/>
    <w:rsid w:val="006D30F3"/>
    <w:rsid w:val="006D72C3"/>
    <w:rsid w:val="0074529B"/>
    <w:rsid w:val="0078559E"/>
    <w:rsid w:val="007859FB"/>
    <w:rsid w:val="0079078F"/>
    <w:rsid w:val="007B6EFA"/>
    <w:rsid w:val="007C1990"/>
    <w:rsid w:val="007D2B50"/>
    <w:rsid w:val="007E7173"/>
    <w:rsid w:val="0080252F"/>
    <w:rsid w:val="00810AA6"/>
    <w:rsid w:val="00820786"/>
    <w:rsid w:val="00824AF7"/>
    <w:rsid w:val="0085623D"/>
    <w:rsid w:val="00871481"/>
    <w:rsid w:val="00885926"/>
    <w:rsid w:val="00895E5D"/>
    <w:rsid w:val="008C265E"/>
    <w:rsid w:val="008C43FC"/>
    <w:rsid w:val="008F2932"/>
    <w:rsid w:val="0094634C"/>
    <w:rsid w:val="009704D8"/>
    <w:rsid w:val="00970D61"/>
    <w:rsid w:val="00990CBC"/>
    <w:rsid w:val="00997943"/>
    <w:rsid w:val="009C7A9F"/>
    <w:rsid w:val="009E0572"/>
    <w:rsid w:val="009E7725"/>
    <w:rsid w:val="009F74CB"/>
    <w:rsid w:val="00A3491E"/>
    <w:rsid w:val="00A371E0"/>
    <w:rsid w:val="00A42DB5"/>
    <w:rsid w:val="00A47340"/>
    <w:rsid w:val="00A70613"/>
    <w:rsid w:val="00A879A6"/>
    <w:rsid w:val="00AA77A5"/>
    <w:rsid w:val="00AE1ECF"/>
    <w:rsid w:val="00B03BB5"/>
    <w:rsid w:val="00B24C15"/>
    <w:rsid w:val="00B43750"/>
    <w:rsid w:val="00B72C5E"/>
    <w:rsid w:val="00B76B9A"/>
    <w:rsid w:val="00B83A63"/>
    <w:rsid w:val="00B9145F"/>
    <w:rsid w:val="00B95478"/>
    <w:rsid w:val="00BC69D7"/>
    <w:rsid w:val="00BF0446"/>
    <w:rsid w:val="00C1015C"/>
    <w:rsid w:val="00C2640E"/>
    <w:rsid w:val="00C30AD8"/>
    <w:rsid w:val="00C433CC"/>
    <w:rsid w:val="00C47E48"/>
    <w:rsid w:val="00C7340B"/>
    <w:rsid w:val="00C766D0"/>
    <w:rsid w:val="00C86924"/>
    <w:rsid w:val="00C93AD2"/>
    <w:rsid w:val="00CA3939"/>
    <w:rsid w:val="00CB1560"/>
    <w:rsid w:val="00CF1EDE"/>
    <w:rsid w:val="00CF49D5"/>
    <w:rsid w:val="00D144BD"/>
    <w:rsid w:val="00D3537E"/>
    <w:rsid w:val="00D73369"/>
    <w:rsid w:val="00D962AC"/>
    <w:rsid w:val="00DB7140"/>
    <w:rsid w:val="00DC0892"/>
    <w:rsid w:val="00DC70F8"/>
    <w:rsid w:val="00DD47BC"/>
    <w:rsid w:val="00DE15BC"/>
    <w:rsid w:val="00E24DC7"/>
    <w:rsid w:val="00E316EA"/>
    <w:rsid w:val="00E56D8D"/>
    <w:rsid w:val="00E64A46"/>
    <w:rsid w:val="00E76098"/>
    <w:rsid w:val="00E879CB"/>
    <w:rsid w:val="00E930D4"/>
    <w:rsid w:val="00EA127E"/>
    <w:rsid w:val="00EA1505"/>
    <w:rsid w:val="00EB6E68"/>
    <w:rsid w:val="00F05EC9"/>
    <w:rsid w:val="00F07DC0"/>
    <w:rsid w:val="00F13A45"/>
    <w:rsid w:val="00F30B85"/>
    <w:rsid w:val="00F41A6B"/>
    <w:rsid w:val="00F72161"/>
    <w:rsid w:val="00F874EC"/>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sz w:val="18"/>
      <w:szCs w:val="18"/>
    </w:rPr>
  </w:style>
  <w:style w:type="paragraph" w:styleId="a6">
    <w:name w:val="footer"/>
    <w:basedOn w:val="a"/>
    <w:link w:val="Char2"/>
    <w:uiPriority w:val="99"/>
    <w:unhideWhenUsed/>
    <w:qFormat/>
    <w:rsid w:val="0055308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53082"/>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unhideWhenUsed/>
    <w:qFormat/>
    <w:rsid w:val="00553082"/>
    <w:rPr>
      <w:sz w:val="21"/>
      <w:szCs w:val="21"/>
    </w:rPr>
  </w:style>
  <w:style w:type="character" w:customStyle="1" w:styleId="2Char">
    <w:name w:val="标题 2 Char"/>
    <w:basedOn w:val="a0"/>
    <w:link w:val="2"/>
    <w:uiPriority w:val="9"/>
    <w:rsid w:val="00553082"/>
    <w:rPr>
      <w:rFonts w:ascii="宋体" w:eastAsia="宋体" w:hAnsi="宋体" w:cs="宋体"/>
      <w:b/>
      <w:bCs/>
      <w:kern w:val="0"/>
      <w:sz w:val="36"/>
      <w:szCs w:val="36"/>
    </w:rPr>
  </w:style>
  <w:style w:type="character" w:customStyle="1" w:styleId="3Char">
    <w:name w:val="标题 3 Char"/>
    <w:basedOn w:val="a0"/>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basedOn w:val="a0"/>
    <w:link w:val="a7"/>
    <w:uiPriority w:val="99"/>
    <w:semiHidden/>
    <w:qFormat/>
    <w:rsid w:val="00553082"/>
    <w:rPr>
      <w:sz w:val="18"/>
      <w:szCs w:val="18"/>
    </w:rPr>
  </w:style>
  <w:style w:type="character" w:customStyle="1" w:styleId="Char2">
    <w:name w:val="页脚 Char"/>
    <w:basedOn w:val="a0"/>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basedOn w:val="Char0"/>
    <w:link w:val="a3"/>
    <w:uiPriority w:val="99"/>
    <w:semiHidden/>
    <w:qFormat/>
    <w:rsid w:val="00553082"/>
    <w:rPr>
      <w:b/>
      <w:bCs/>
    </w:rPr>
  </w:style>
  <w:style w:type="character" w:customStyle="1" w:styleId="Char1">
    <w:name w:val="批注框文本 Char"/>
    <w:basedOn w:val="a0"/>
    <w:link w:val="a5"/>
    <w:uiPriority w:val="99"/>
    <w:semiHidden/>
    <w:qFormat/>
    <w:rsid w:val="00553082"/>
    <w:rPr>
      <w:sz w:val="18"/>
      <w:szCs w:val="18"/>
    </w:rPr>
  </w:style>
  <w:style w:type="paragraph" w:customStyle="1" w:styleId="Default">
    <w:name w:val="Default"/>
    <w:rsid w:val="00093F8C"/>
    <w:pPr>
      <w:widowControl w:val="0"/>
      <w:autoSpaceDE w:val="0"/>
      <w:autoSpaceDN w:val="0"/>
      <w:adjustRightInd w:val="0"/>
    </w:pPr>
    <w:rPr>
      <w:rFonts w:ascii="宋体" w:eastAsia="宋体" w:cs="宋体"/>
      <w:color w:val="000000"/>
      <w:sz w:val="24"/>
      <w:szCs w:val="24"/>
    </w:rPr>
  </w:style>
  <w:style w:type="paragraph" w:styleId="aa">
    <w:name w:val="Revision"/>
    <w:hidden/>
    <w:uiPriority w:val="99"/>
    <w:semiHidden/>
    <w:rsid w:val="001B39C9"/>
    <w:rPr>
      <w:kern w:val="2"/>
      <w:sz w:val="21"/>
      <w:szCs w:val="22"/>
    </w:rPr>
  </w:style>
</w:styles>
</file>

<file path=word/webSettings.xml><?xml version="1.0" encoding="utf-8"?>
<w:webSettings xmlns:r="http://schemas.openxmlformats.org/officeDocument/2006/relationships" xmlns:w="http://schemas.openxmlformats.org/wordprocessingml/2006/main">
  <w:divs>
    <w:div w:id="537356363">
      <w:bodyDiv w:val="1"/>
      <w:marLeft w:val="0"/>
      <w:marRight w:val="0"/>
      <w:marTop w:val="0"/>
      <w:marBottom w:val="0"/>
      <w:divBdr>
        <w:top w:val="none" w:sz="0" w:space="0" w:color="auto"/>
        <w:left w:val="none" w:sz="0" w:space="0" w:color="auto"/>
        <w:bottom w:val="none" w:sz="0" w:space="0" w:color="auto"/>
        <w:right w:val="none" w:sz="0" w:space="0" w:color="auto"/>
      </w:divBdr>
      <w:divsChild>
        <w:div w:id="2030375059">
          <w:marLeft w:val="0"/>
          <w:marRight w:val="0"/>
          <w:marTop w:val="0"/>
          <w:marBottom w:val="0"/>
          <w:divBdr>
            <w:top w:val="none" w:sz="0" w:space="0" w:color="auto"/>
            <w:left w:val="none" w:sz="0" w:space="0" w:color="auto"/>
            <w:bottom w:val="none" w:sz="0" w:space="0" w:color="auto"/>
            <w:right w:val="none" w:sz="0" w:space="0" w:color="auto"/>
          </w:divBdr>
        </w:div>
        <w:div w:id="1494566476">
          <w:marLeft w:val="0"/>
          <w:marRight w:val="0"/>
          <w:marTop w:val="0"/>
          <w:marBottom w:val="0"/>
          <w:divBdr>
            <w:top w:val="none" w:sz="0" w:space="0" w:color="auto"/>
            <w:left w:val="none" w:sz="0" w:space="0" w:color="auto"/>
            <w:bottom w:val="none" w:sz="0" w:space="0" w:color="auto"/>
            <w:right w:val="none" w:sz="0" w:space="0" w:color="auto"/>
          </w:divBdr>
        </w:div>
        <w:div w:id="1993560802">
          <w:marLeft w:val="0"/>
          <w:marRight w:val="0"/>
          <w:marTop w:val="0"/>
          <w:marBottom w:val="0"/>
          <w:divBdr>
            <w:top w:val="none" w:sz="0" w:space="0" w:color="auto"/>
            <w:left w:val="none" w:sz="0" w:space="0" w:color="auto"/>
            <w:bottom w:val="none" w:sz="0" w:space="0" w:color="auto"/>
            <w:right w:val="none" w:sz="0" w:space="0" w:color="auto"/>
          </w:divBdr>
        </w:div>
        <w:div w:id="1229849958">
          <w:marLeft w:val="0"/>
          <w:marRight w:val="0"/>
          <w:marTop w:val="0"/>
          <w:marBottom w:val="0"/>
          <w:divBdr>
            <w:top w:val="none" w:sz="0" w:space="0" w:color="auto"/>
            <w:left w:val="none" w:sz="0" w:space="0" w:color="auto"/>
            <w:bottom w:val="none" w:sz="0" w:space="0" w:color="auto"/>
            <w:right w:val="none" w:sz="0" w:space="0" w:color="auto"/>
          </w:divBdr>
        </w:div>
        <w:div w:id="752705673">
          <w:marLeft w:val="0"/>
          <w:marRight w:val="0"/>
          <w:marTop w:val="0"/>
          <w:marBottom w:val="0"/>
          <w:divBdr>
            <w:top w:val="none" w:sz="0" w:space="0" w:color="auto"/>
            <w:left w:val="none" w:sz="0" w:space="0" w:color="auto"/>
            <w:bottom w:val="none" w:sz="0" w:space="0" w:color="auto"/>
            <w:right w:val="none" w:sz="0" w:space="0" w:color="auto"/>
          </w:divBdr>
        </w:div>
        <w:div w:id="220678307">
          <w:marLeft w:val="0"/>
          <w:marRight w:val="0"/>
          <w:marTop w:val="0"/>
          <w:marBottom w:val="0"/>
          <w:divBdr>
            <w:top w:val="none" w:sz="0" w:space="0" w:color="auto"/>
            <w:left w:val="none" w:sz="0" w:space="0" w:color="auto"/>
            <w:bottom w:val="none" w:sz="0" w:space="0" w:color="auto"/>
            <w:right w:val="none" w:sz="0" w:space="0" w:color="auto"/>
          </w:divBdr>
        </w:div>
      </w:divsChild>
    </w:div>
    <w:div w:id="1086076188">
      <w:bodyDiv w:val="1"/>
      <w:marLeft w:val="0"/>
      <w:marRight w:val="0"/>
      <w:marTop w:val="0"/>
      <w:marBottom w:val="0"/>
      <w:divBdr>
        <w:top w:val="none" w:sz="0" w:space="0" w:color="auto"/>
        <w:left w:val="none" w:sz="0" w:space="0" w:color="auto"/>
        <w:bottom w:val="none" w:sz="0" w:space="0" w:color="auto"/>
        <w:right w:val="none" w:sz="0" w:space="0" w:color="auto"/>
      </w:divBdr>
      <w:divsChild>
        <w:div w:id="1773819629">
          <w:marLeft w:val="0"/>
          <w:marRight w:val="0"/>
          <w:marTop w:val="0"/>
          <w:marBottom w:val="0"/>
          <w:divBdr>
            <w:top w:val="none" w:sz="0" w:space="0" w:color="auto"/>
            <w:left w:val="none" w:sz="0" w:space="0" w:color="auto"/>
            <w:bottom w:val="none" w:sz="0" w:space="0" w:color="auto"/>
            <w:right w:val="none" w:sz="0" w:space="0" w:color="auto"/>
          </w:divBdr>
        </w:div>
        <w:div w:id="1365254068">
          <w:marLeft w:val="0"/>
          <w:marRight w:val="0"/>
          <w:marTop w:val="0"/>
          <w:marBottom w:val="0"/>
          <w:divBdr>
            <w:top w:val="none" w:sz="0" w:space="0" w:color="auto"/>
            <w:left w:val="none" w:sz="0" w:space="0" w:color="auto"/>
            <w:bottom w:val="none" w:sz="0" w:space="0" w:color="auto"/>
            <w:right w:val="none" w:sz="0" w:space="0" w:color="auto"/>
          </w:divBdr>
        </w:div>
        <w:div w:id="1073283865">
          <w:marLeft w:val="0"/>
          <w:marRight w:val="0"/>
          <w:marTop w:val="0"/>
          <w:marBottom w:val="0"/>
          <w:divBdr>
            <w:top w:val="none" w:sz="0" w:space="0" w:color="auto"/>
            <w:left w:val="none" w:sz="0" w:space="0" w:color="auto"/>
            <w:bottom w:val="none" w:sz="0" w:space="0" w:color="auto"/>
            <w:right w:val="none" w:sz="0" w:space="0" w:color="auto"/>
          </w:divBdr>
        </w:div>
        <w:div w:id="1754278188">
          <w:marLeft w:val="0"/>
          <w:marRight w:val="0"/>
          <w:marTop w:val="0"/>
          <w:marBottom w:val="0"/>
          <w:divBdr>
            <w:top w:val="none" w:sz="0" w:space="0" w:color="auto"/>
            <w:left w:val="none" w:sz="0" w:space="0" w:color="auto"/>
            <w:bottom w:val="none" w:sz="0" w:space="0" w:color="auto"/>
            <w:right w:val="none" w:sz="0" w:space="0" w:color="auto"/>
          </w:divBdr>
        </w:div>
        <w:div w:id="213851376">
          <w:marLeft w:val="0"/>
          <w:marRight w:val="0"/>
          <w:marTop w:val="0"/>
          <w:marBottom w:val="0"/>
          <w:divBdr>
            <w:top w:val="none" w:sz="0" w:space="0" w:color="auto"/>
            <w:left w:val="none" w:sz="0" w:space="0" w:color="auto"/>
            <w:bottom w:val="none" w:sz="0" w:space="0" w:color="auto"/>
            <w:right w:val="none" w:sz="0" w:space="0" w:color="auto"/>
          </w:divBdr>
        </w:div>
        <w:div w:id="607812609">
          <w:marLeft w:val="0"/>
          <w:marRight w:val="0"/>
          <w:marTop w:val="0"/>
          <w:marBottom w:val="0"/>
          <w:divBdr>
            <w:top w:val="none" w:sz="0" w:space="0" w:color="auto"/>
            <w:left w:val="none" w:sz="0" w:space="0" w:color="auto"/>
            <w:bottom w:val="none" w:sz="0" w:space="0" w:color="auto"/>
            <w:right w:val="none" w:sz="0" w:space="0" w:color="auto"/>
          </w:divBdr>
        </w:div>
        <w:div w:id="1547259112">
          <w:marLeft w:val="0"/>
          <w:marRight w:val="0"/>
          <w:marTop w:val="0"/>
          <w:marBottom w:val="0"/>
          <w:divBdr>
            <w:top w:val="none" w:sz="0" w:space="0" w:color="auto"/>
            <w:left w:val="none" w:sz="0" w:space="0" w:color="auto"/>
            <w:bottom w:val="none" w:sz="0" w:space="0" w:color="auto"/>
            <w:right w:val="none" w:sz="0" w:space="0" w:color="auto"/>
          </w:divBdr>
        </w:div>
        <w:div w:id="2119569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36AAE42-9F2E-4EB0-BB50-16971063CB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2108</Characters>
  <Application>Microsoft Office Word</Application>
  <DocSecurity>4</DocSecurity>
  <Lines>17</Lines>
  <Paragraphs>4</Paragraphs>
  <ScaleCrop>false</ScaleCrop>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dcterms:created xsi:type="dcterms:W3CDTF">2018-08-09T16:31:00Z</dcterms:created>
  <dcterms:modified xsi:type="dcterms:W3CDTF">2018-08-09T16:31:00Z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