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06" w:rsidRPr="000561C0" w:rsidRDefault="00A17D06" w:rsidP="00024E12">
      <w:pPr>
        <w:spacing w:line="360" w:lineRule="auto"/>
        <w:jc w:val="center"/>
        <w:rPr>
          <w:rFonts w:ascii="宋体" w:eastAsia="宋体" w:hAnsi="宋体"/>
          <w:b/>
          <w:sz w:val="24"/>
          <w:szCs w:val="24"/>
        </w:rPr>
      </w:pPr>
      <w:r w:rsidRPr="000561C0">
        <w:rPr>
          <w:rFonts w:ascii="宋体" w:eastAsia="宋体" w:hAnsi="宋体" w:hint="eastAsia"/>
          <w:b/>
          <w:sz w:val="24"/>
          <w:szCs w:val="24"/>
        </w:rPr>
        <w:t>广发基金管理有限公司</w:t>
      </w:r>
    </w:p>
    <w:p w:rsidR="00A63BCD" w:rsidRDefault="00024E12" w:rsidP="000561C0">
      <w:pPr>
        <w:spacing w:line="360" w:lineRule="auto"/>
        <w:jc w:val="center"/>
        <w:rPr>
          <w:rFonts w:ascii="宋体" w:eastAsia="宋体" w:hAnsi="宋体"/>
          <w:b/>
          <w:sz w:val="24"/>
          <w:szCs w:val="24"/>
        </w:rPr>
      </w:pPr>
      <w:r w:rsidRPr="000561C0">
        <w:rPr>
          <w:rFonts w:ascii="宋体" w:eastAsia="宋体" w:hAnsi="宋体" w:hint="eastAsia"/>
          <w:b/>
          <w:sz w:val="24"/>
          <w:szCs w:val="24"/>
        </w:rPr>
        <w:t>关于</w:t>
      </w:r>
      <w:r w:rsidR="00A63BCD">
        <w:rPr>
          <w:rFonts w:ascii="宋体" w:eastAsia="宋体" w:hAnsi="宋体" w:hint="eastAsia"/>
          <w:b/>
          <w:sz w:val="24"/>
          <w:szCs w:val="24"/>
        </w:rPr>
        <w:t>广发鑫隆灵活配置混合型证券投资基金</w:t>
      </w:r>
      <w:r w:rsidR="00A17D06" w:rsidRPr="000561C0">
        <w:rPr>
          <w:rFonts w:ascii="宋体" w:eastAsia="宋体" w:hAnsi="宋体" w:hint="eastAsia"/>
          <w:b/>
          <w:sz w:val="24"/>
          <w:szCs w:val="24"/>
        </w:rPr>
        <w:t>基金</w:t>
      </w:r>
      <w:r w:rsidRPr="000561C0">
        <w:rPr>
          <w:rFonts w:ascii="宋体" w:eastAsia="宋体" w:hAnsi="宋体" w:hint="eastAsia"/>
          <w:b/>
          <w:sz w:val="24"/>
          <w:szCs w:val="24"/>
        </w:rPr>
        <w:t>合同终止及基金财产清算的</w:t>
      </w:r>
    </w:p>
    <w:p w:rsidR="00024E12" w:rsidRDefault="00024E12" w:rsidP="000561C0">
      <w:pPr>
        <w:spacing w:line="360" w:lineRule="auto"/>
        <w:jc w:val="center"/>
        <w:rPr>
          <w:rFonts w:ascii="宋体" w:eastAsia="宋体" w:hAnsi="宋体"/>
          <w:b/>
          <w:sz w:val="24"/>
          <w:szCs w:val="24"/>
        </w:rPr>
      </w:pPr>
      <w:r w:rsidRPr="000561C0">
        <w:rPr>
          <w:rFonts w:ascii="宋体" w:eastAsia="宋体" w:hAnsi="宋体" w:hint="eastAsia"/>
          <w:b/>
          <w:sz w:val="24"/>
          <w:szCs w:val="24"/>
        </w:rPr>
        <w:t>公告</w:t>
      </w:r>
    </w:p>
    <w:p w:rsidR="00AD652B" w:rsidRPr="000561C0" w:rsidRDefault="00AD652B" w:rsidP="000561C0">
      <w:pPr>
        <w:spacing w:line="360" w:lineRule="auto"/>
        <w:jc w:val="center"/>
        <w:rPr>
          <w:rFonts w:ascii="宋体" w:eastAsia="宋体" w:hAnsi="宋体"/>
          <w:b/>
          <w:sz w:val="24"/>
          <w:szCs w:val="24"/>
        </w:rPr>
      </w:pPr>
    </w:p>
    <w:p w:rsidR="00024E12" w:rsidRPr="00024E12" w:rsidRDefault="00024E12" w:rsidP="00A63BCD">
      <w:pPr>
        <w:spacing w:line="360" w:lineRule="auto"/>
        <w:ind w:firstLine="420"/>
        <w:rPr>
          <w:rFonts w:ascii="宋体" w:eastAsia="宋体" w:hAnsi="宋体"/>
          <w:sz w:val="24"/>
          <w:szCs w:val="24"/>
        </w:rPr>
      </w:pPr>
      <w:r w:rsidRPr="00024E12">
        <w:rPr>
          <w:rFonts w:ascii="宋体" w:eastAsia="宋体" w:hAnsi="宋体" w:hint="eastAsia"/>
          <w:sz w:val="24"/>
          <w:szCs w:val="24"/>
        </w:rPr>
        <w:t>根据《中华人民共和国证券投资基金法》、《公开募集证券投资基金运作管理办法》、《</w:t>
      </w:r>
      <w:r w:rsidR="00A63BCD">
        <w:rPr>
          <w:rFonts w:ascii="宋体" w:eastAsia="宋体" w:hAnsi="宋体" w:hint="eastAsia"/>
          <w:sz w:val="24"/>
          <w:szCs w:val="24"/>
        </w:rPr>
        <w:t>广发鑫隆灵活配置混合型证券投资基金</w:t>
      </w:r>
      <w:r w:rsidR="00381847">
        <w:rPr>
          <w:rFonts w:ascii="宋体" w:eastAsia="宋体" w:hAnsi="宋体" w:hint="eastAsia"/>
          <w:sz w:val="24"/>
          <w:szCs w:val="24"/>
        </w:rPr>
        <w:t>基金</w:t>
      </w:r>
      <w:r w:rsidRPr="00024E12">
        <w:rPr>
          <w:rFonts w:ascii="宋体" w:eastAsia="宋体" w:hAnsi="宋体" w:hint="eastAsia"/>
          <w:sz w:val="24"/>
          <w:szCs w:val="24"/>
        </w:rPr>
        <w:t>合同》（以下简称“《基金合同》”）的有关规定，</w:t>
      </w:r>
      <w:r w:rsidR="00A63BCD">
        <w:rPr>
          <w:rFonts w:ascii="宋体" w:eastAsia="宋体" w:hAnsi="宋体" w:hint="eastAsia"/>
          <w:sz w:val="24"/>
          <w:szCs w:val="24"/>
        </w:rPr>
        <w:t>广发鑫隆灵活配置混合型证券投资基金</w:t>
      </w:r>
      <w:r w:rsidR="00F52BE9">
        <w:rPr>
          <w:rFonts w:ascii="宋体" w:eastAsia="宋体" w:hAnsi="宋体" w:hint="eastAsia"/>
          <w:sz w:val="24"/>
          <w:szCs w:val="24"/>
        </w:rPr>
        <w:t>（以下</w:t>
      </w:r>
      <w:r w:rsidR="00F52BE9">
        <w:rPr>
          <w:rFonts w:ascii="宋体" w:eastAsia="宋体" w:hAnsi="宋体"/>
          <w:sz w:val="24"/>
          <w:szCs w:val="24"/>
        </w:rPr>
        <w:t>简称“本</w:t>
      </w:r>
      <w:r w:rsidR="00F52BE9">
        <w:rPr>
          <w:rFonts w:ascii="宋体" w:eastAsia="宋体" w:hAnsi="宋体" w:hint="eastAsia"/>
          <w:sz w:val="24"/>
          <w:szCs w:val="24"/>
        </w:rPr>
        <w:t>基金</w:t>
      </w:r>
      <w:r w:rsidR="00F52BE9">
        <w:rPr>
          <w:rFonts w:ascii="宋体" w:eastAsia="宋体" w:hAnsi="宋体"/>
          <w:sz w:val="24"/>
          <w:szCs w:val="24"/>
        </w:rPr>
        <w:t>”）</w:t>
      </w:r>
      <w:r w:rsidR="00A63BCD">
        <w:rPr>
          <w:rFonts w:ascii="宋体" w:eastAsia="宋体" w:hAnsi="宋体" w:hint="eastAsia"/>
          <w:sz w:val="24"/>
          <w:szCs w:val="24"/>
        </w:rPr>
        <w:t>出现了基金合同终止事由，广发</w:t>
      </w:r>
      <w:r w:rsidR="00A63BCD" w:rsidRPr="00A63BCD">
        <w:rPr>
          <w:rFonts w:ascii="宋体" w:eastAsia="宋体" w:hAnsi="宋体" w:hint="eastAsia"/>
          <w:sz w:val="24"/>
          <w:szCs w:val="24"/>
        </w:rPr>
        <w:t>基金管理有限公司（以下简称“本基金管理人”）应当在上述事由出现后终止基金合同并依法履行基金财产清算程序，且本次事项不需召开基金份额持有人大会。现将相关事宜公告如下：</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一、本基金基本信息</w:t>
      </w:r>
    </w:p>
    <w:p w:rsidR="00A63BCD" w:rsidRPr="00A85A78" w:rsidRDefault="00A63BCD" w:rsidP="00A63BCD">
      <w:pPr>
        <w:spacing w:line="360" w:lineRule="auto"/>
        <w:ind w:firstLine="420"/>
        <w:rPr>
          <w:rFonts w:asciiTheme="minorEastAsia" w:hAnsiTheme="minorEastAsia"/>
          <w:sz w:val="24"/>
          <w:szCs w:val="24"/>
        </w:rPr>
      </w:pPr>
      <w:r w:rsidRPr="00A85A78">
        <w:rPr>
          <w:rFonts w:asciiTheme="minorEastAsia" w:hAnsiTheme="minorEastAsia" w:hint="eastAsia"/>
          <w:sz w:val="24"/>
          <w:szCs w:val="24"/>
        </w:rPr>
        <w:t>基金名称：广发鑫隆灵活配置混合型证券投资基金</w:t>
      </w:r>
    </w:p>
    <w:p w:rsidR="00A63BCD" w:rsidRPr="00A85A78" w:rsidRDefault="00A63BCD" w:rsidP="00A63BCD">
      <w:pPr>
        <w:spacing w:line="360" w:lineRule="auto"/>
        <w:ind w:firstLine="420"/>
        <w:rPr>
          <w:rFonts w:asciiTheme="minorEastAsia" w:hAnsiTheme="minorEastAsia"/>
          <w:sz w:val="24"/>
          <w:szCs w:val="24"/>
        </w:rPr>
      </w:pPr>
      <w:r w:rsidRPr="00A85A78">
        <w:rPr>
          <w:rFonts w:asciiTheme="minorEastAsia" w:hAnsiTheme="minorEastAsia" w:hint="eastAsia"/>
          <w:sz w:val="24"/>
          <w:szCs w:val="24"/>
        </w:rPr>
        <w:t>基金简称：广发鑫隆混合</w:t>
      </w:r>
    </w:p>
    <w:p w:rsidR="00A63BCD" w:rsidRPr="00A85A78" w:rsidRDefault="00A63BCD" w:rsidP="00A63BCD">
      <w:pPr>
        <w:spacing w:line="360" w:lineRule="auto"/>
        <w:ind w:firstLine="420"/>
        <w:rPr>
          <w:rFonts w:asciiTheme="minorEastAsia" w:hAnsiTheme="minorEastAsia"/>
          <w:sz w:val="24"/>
          <w:szCs w:val="24"/>
        </w:rPr>
      </w:pPr>
      <w:r w:rsidRPr="00A85A78">
        <w:rPr>
          <w:rFonts w:asciiTheme="minorEastAsia" w:hAnsiTheme="minorEastAsia" w:hint="eastAsia"/>
          <w:sz w:val="24"/>
          <w:szCs w:val="24"/>
        </w:rPr>
        <w:t>A</w:t>
      </w:r>
      <w:r w:rsidRPr="00A85A78">
        <w:rPr>
          <w:rFonts w:asciiTheme="minorEastAsia" w:hAnsiTheme="minorEastAsia"/>
          <w:sz w:val="24"/>
          <w:szCs w:val="24"/>
        </w:rPr>
        <w:t>类</w:t>
      </w:r>
      <w:r w:rsidRPr="00A85A78">
        <w:rPr>
          <w:rFonts w:asciiTheme="minorEastAsia" w:hAnsiTheme="minorEastAsia" w:hint="eastAsia"/>
          <w:sz w:val="24"/>
          <w:szCs w:val="24"/>
        </w:rPr>
        <w:t>份额</w:t>
      </w:r>
      <w:r w:rsidRPr="00A85A78">
        <w:rPr>
          <w:rFonts w:asciiTheme="minorEastAsia" w:hAnsiTheme="minorEastAsia"/>
          <w:sz w:val="24"/>
          <w:szCs w:val="24"/>
        </w:rPr>
        <w:t>代码</w:t>
      </w:r>
      <w:r w:rsidRPr="00A85A78">
        <w:rPr>
          <w:rFonts w:asciiTheme="minorEastAsia" w:hAnsiTheme="minorEastAsia" w:hint="eastAsia"/>
          <w:sz w:val="24"/>
          <w:szCs w:val="24"/>
        </w:rPr>
        <w:t>：</w:t>
      </w:r>
      <w:r w:rsidRPr="00A85A78">
        <w:rPr>
          <w:rFonts w:asciiTheme="minorEastAsia" w:hAnsiTheme="minorEastAsia"/>
          <w:sz w:val="24"/>
          <w:szCs w:val="24"/>
        </w:rPr>
        <w:t>002130</w:t>
      </w:r>
    </w:p>
    <w:p w:rsidR="00A63BCD" w:rsidRPr="00A85A78" w:rsidRDefault="00A63BCD" w:rsidP="00A63BCD">
      <w:pPr>
        <w:spacing w:line="360" w:lineRule="auto"/>
        <w:ind w:firstLine="420"/>
        <w:rPr>
          <w:rFonts w:asciiTheme="minorEastAsia" w:hAnsiTheme="minorEastAsia"/>
          <w:sz w:val="24"/>
          <w:szCs w:val="24"/>
        </w:rPr>
      </w:pPr>
      <w:r w:rsidRPr="00A85A78">
        <w:rPr>
          <w:rFonts w:asciiTheme="minorEastAsia" w:hAnsiTheme="minorEastAsia" w:hint="eastAsia"/>
          <w:sz w:val="24"/>
          <w:szCs w:val="24"/>
        </w:rPr>
        <w:t>C</w:t>
      </w:r>
      <w:r w:rsidRPr="00A85A78">
        <w:rPr>
          <w:rFonts w:asciiTheme="minorEastAsia" w:hAnsiTheme="minorEastAsia"/>
          <w:sz w:val="24"/>
          <w:szCs w:val="24"/>
        </w:rPr>
        <w:t>类份额代码：002131</w:t>
      </w:r>
    </w:p>
    <w:p w:rsidR="00A63BCD" w:rsidRPr="00A85A78" w:rsidRDefault="00A63BCD" w:rsidP="00A63BCD">
      <w:pPr>
        <w:spacing w:line="360" w:lineRule="auto"/>
        <w:ind w:firstLine="420"/>
        <w:rPr>
          <w:rFonts w:asciiTheme="minorEastAsia" w:hAnsiTheme="minorEastAsia"/>
          <w:sz w:val="24"/>
          <w:szCs w:val="24"/>
        </w:rPr>
      </w:pPr>
      <w:r w:rsidRPr="00A85A78">
        <w:rPr>
          <w:rFonts w:asciiTheme="minorEastAsia" w:hAnsiTheme="minorEastAsia" w:hint="eastAsia"/>
          <w:sz w:val="24"/>
          <w:szCs w:val="24"/>
        </w:rPr>
        <w:t>基金运作方式：契约型开放式</w:t>
      </w:r>
    </w:p>
    <w:p w:rsidR="00A63BCD" w:rsidRPr="00A85A78" w:rsidRDefault="00A63BCD" w:rsidP="00A63BCD">
      <w:pPr>
        <w:spacing w:line="360" w:lineRule="auto"/>
        <w:ind w:firstLine="420"/>
        <w:rPr>
          <w:rFonts w:asciiTheme="minorEastAsia" w:hAnsiTheme="minorEastAsia"/>
          <w:sz w:val="24"/>
          <w:szCs w:val="24"/>
        </w:rPr>
      </w:pPr>
      <w:r w:rsidRPr="00A85A78">
        <w:rPr>
          <w:rFonts w:asciiTheme="minorEastAsia" w:hAnsiTheme="minorEastAsia" w:hint="eastAsia"/>
          <w:sz w:val="24"/>
          <w:szCs w:val="24"/>
        </w:rPr>
        <w:t>基金合同生效日：2016年11月7日</w:t>
      </w:r>
    </w:p>
    <w:p w:rsidR="00A63BCD" w:rsidRPr="00A85A78" w:rsidRDefault="00A63BCD" w:rsidP="00A63BCD">
      <w:pPr>
        <w:spacing w:line="360" w:lineRule="auto"/>
        <w:ind w:firstLine="420"/>
        <w:rPr>
          <w:rFonts w:asciiTheme="minorEastAsia" w:hAnsiTheme="minorEastAsia"/>
          <w:sz w:val="24"/>
          <w:szCs w:val="24"/>
        </w:rPr>
      </w:pPr>
      <w:r w:rsidRPr="00A85A78">
        <w:rPr>
          <w:rFonts w:asciiTheme="minorEastAsia" w:hAnsiTheme="minorEastAsia" w:hint="eastAsia"/>
          <w:sz w:val="24"/>
          <w:szCs w:val="24"/>
        </w:rPr>
        <w:t>基金管理人名称：广发基金管理有限公司</w:t>
      </w:r>
    </w:p>
    <w:p w:rsidR="00A63BCD" w:rsidRPr="00A85A78" w:rsidRDefault="00A63BCD" w:rsidP="00A63BCD">
      <w:pPr>
        <w:spacing w:line="360" w:lineRule="auto"/>
        <w:ind w:firstLine="420"/>
        <w:rPr>
          <w:rFonts w:asciiTheme="minorEastAsia" w:hAnsiTheme="minorEastAsia"/>
          <w:sz w:val="24"/>
          <w:szCs w:val="24"/>
        </w:rPr>
      </w:pPr>
      <w:r w:rsidRPr="00A85A78">
        <w:rPr>
          <w:rFonts w:asciiTheme="minorEastAsia" w:hAnsiTheme="minorEastAsia" w:hint="eastAsia"/>
          <w:sz w:val="24"/>
          <w:szCs w:val="24"/>
        </w:rPr>
        <w:t>基金托管人名称：中国农业银行股份有限公司</w:t>
      </w:r>
    </w:p>
    <w:p w:rsidR="00F23DAD" w:rsidRPr="00A63BCD" w:rsidRDefault="00F23DAD" w:rsidP="00F52BE9">
      <w:pPr>
        <w:spacing w:line="360" w:lineRule="auto"/>
        <w:ind w:firstLine="420"/>
        <w:rPr>
          <w:rFonts w:ascii="宋体" w:eastAsia="宋体" w:hAnsi="宋体"/>
          <w:sz w:val="24"/>
          <w:szCs w:val="24"/>
        </w:rPr>
      </w:pP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二、基金合同终止事由</w:t>
      </w:r>
    </w:p>
    <w:p w:rsidR="00D71081" w:rsidRPr="00A85A78" w:rsidRDefault="00D71081" w:rsidP="00D71081">
      <w:pPr>
        <w:spacing w:line="360" w:lineRule="auto"/>
        <w:ind w:firstLine="420"/>
        <w:rPr>
          <w:rFonts w:asciiTheme="minorEastAsia" w:hAnsiTheme="minorEastAsia"/>
          <w:sz w:val="24"/>
          <w:szCs w:val="24"/>
        </w:rPr>
      </w:pPr>
      <w:r w:rsidRPr="00A85A78">
        <w:rPr>
          <w:rFonts w:asciiTheme="minorEastAsia" w:hAnsiTheme="minorEastAsia" w:hint="eastAsia"/>
          <w:sz w:val="24"/>
          <w:szCs w:val="24"/>
        </w:rPr>
        <w:t>根据《基金合同》“第五部分 基金备案”中“三、基金存续期内的基金份额持有人数量和资产规模”的约定：“《基金合同》生效后，连续二十个工作日出现基金份额持有人数量不满200人或者基金资产净值低于5000万元人民币情形的，基金管理人应在定期报告中予以披露；连续六十个工作日出现前述情形的，基金管理人应当终止《基金合同》，不需要召开基金份额持有人大会。法律法规另有规定时，从其规定。”</w:t>
      </w:r>
    </w:p>
    <w:p w:rsidR="00F23DAD" w:rsidRDefault="00D71081" w:rsidP="00024E12">
      <w:pPr>
        <w:spacing w:line="360" w:lineRule="auto"/>
        <w:ind w:firstLine="420"/>
        <w:rPr>
          <w:rFonts w:ascii="宋体" w:eastAsia="宋体" w:hAnsi="宋体"/>
          <w:sz w:val="24"/>
          <w:szCs w:val="24"/>
        </w:rPr>
      </w:pPr>
      <w:r w:rsidRPr="00D71081">
        <w:rPr>
          <w:rFonts w:ascii="宋体" w:eastAsia="宋体" w:hAnsi="宋体" w:hint="eastAsia"/>
          <w:sz w:val="24"/>
          <w:szCs w:val="24"/>
        </w:rPr>
        <w:t>截至201</w:t>
      </w:r>
      <w:r>
        <w:rPr>
          <w:rFonts w:ascii="宋体" w:eastAsia="宋体" w:hAnsi="宋体"/>
          <w:sz w:val="24"/>
          <w:szCs w:val="24"/>
        </w:rPr>
        <w:t>8</w:t>
      </w:r>
      <w:r w:rsidRPr="00D71081">
        <w:rPr>
          <w:rFonts w:ascii="宋体" w:eastAsia="宋体" w:hAnsi="宋体" w:hint="eastAsia"/>
          <w:sz w:val="24"/>
          <w:szCs w:val="24"/>
        </w:rPr>
        <w:t>年</w:t>
      </w:r>
      <w:r>
        <w:rPr>
          <w:rFonts w:ascii="宋体" w:eastAsia="宋体" w:hAnsi="宋体" w:hint="eastAsia"/>
          <w:sz w:val="24"/>
          <w:szCs w:val="24"/>
        </w:rPr>
        <w:t>7</w:t>
      </w:r>
      <w:r w:rsidRPr="00D71081">
        <w:rPr>
          <w:rFonts w:ascii="宋体" w:eastAsia="宋体" w:hAnsi="宋体" w:hint="eastAsia"/>
          <w:sz w:val="24"/>
          <w:szCs w:val="24"/>
        </w:rPr>
        <w:t>月</w:t>
      </w:r>
      <w:r>
        <w:rPr>
          <w:rFonts w:ascii="宋体" w:eastAsia="宋体" w:hAnsi="宋体" w:hint="eastAsia"/>
          <w:sz w:val="24"/>
          <w:szCs w:val="24"/>
        </w:rPr>
        <w:t>26</w:t>
      </w:r>
      <w:r w:rsidRPr="00D71081">
        <w:rPr>
          <w:rFonts w:ascii="宋体" w:eastAsia="宋体" w:hAnsi="宋体" w:hint="eastAsia"/>
          <w:sz w:val="24"/>
          <w:szCs w:val="24"/>
        </w:rPr>
        <w:t>日，本基金已连续60个工作日基金资产净值低于5000万元。根据基金合同约定，本基金管理人应当终止基金合同，并对本基金进行变</w:t>
      </w:r>
      <w:r w:rsidRPr="00D71081">
        <w:rPr>
          <w:rFonts w:ascii="宋体" w:eastAsia="宋体" w:hAnsi="宋体" w:hint="eastAsia"/>
          <w:sz w:val="24"/>
          <w:szCs w:val="24"/>
        </w:rPr>
        <w:lastRenderedPageBreak/>
        <w:t>现及清算程序，且无需召开基金份额持有人大会。</w:t>
      </w:r>
    </w:p>
    <w:p w:rsidR="00D71081" w:rsidRPr="00DB57DA" w:rsidRDefault="00D71081" w:rsidP="00024E12">
      <w:pPr>
        <w:spacing w:line="360" w:lineRule="auto"/>
        <w:ind w:firstLine="420"/>
        <w:rPr>
          <w:rFonts w:ascii="宋体" w:eastAsia="宋体" w:hAnsi="宋体"/>
          <w:sz w:val="24"/>
          <w:szCs w:val="24"/>
        </w:rPr>
      </w:pP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三、终止《基金合同》技术可行性</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本基金进入清算程序后，根据基金合同中有关基金财产清算的规定，将成立基金财产清算小组。基金财产清算小组成员由基金管理人、基金托管人、具有从事证券相关业务资格的注册会计师、律师以及中国证监会指定的人员组成。基金财产清算小组可以聘用必要的工作人员。本基金的基金管理人、基金托管人已就财产清算的有关事项进行充分准备。清算报告将由会计师事务所进行外部审计，律师事务所出具法律意见书，报中国证券监督管理委员会备案并公告。</w:t>
      </w:r>
    </w:p>
    <w:p w:rsid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因此，终止《基金合同》不存在技术方面的障碍。</w:t>
      </w:r>
    </w:p>
    <w:p w:rsidR="00F23DAD" w:rsidRPr="00024E12" w:rsidRDefault="00F23DAD" w:rsidP="00024E12">
      <w:pPr>
        <w:spacing w:line="360" w:lineRule="auto"/>
        <w:ind w:firstLine="420"/>
        <w:rPr>
          <w:rFonts w:ascii="宋体" w:eastAsia="宋体" w:hAnsi="宋体"/>
          <w:sz w:val="24"/>
          <w:szCs w:val="24"/>
        </w:rPr>
      </w:pPr>
    </w:p>
    <w:p w:rsidR="00024E12" w:rsidRPr="00024E12" w:rsidRDefault="00AD652B" w:rsidP="00AD652B">
      <w:pPr>
        <w:spacing w:line="360" w:lineRule="auto"/>
        <w:ind w:firstLine="420"/>
        <w:rPr>
          <w:rFonts w:ascii="宋体" w:eastAsia="宋体" w:hAnsi="宋体"/>
          <w:sz w:val="24"/>
          <w:szCs w:val="24"/>
        </w:rPr>
      </w:pPr>
      <w:r>
        <w:rPr>
          <w:rFonts w:ascii="宋体" w:eastAsia="宋体" w:hAnsi="宋体" w:hint="eastAsia"/>
          <w:sz w:val="24"/>
          <w:szCs w:val="24"/>
        </w:rPr>
        <w:t>四</w:t>
      </w:r>
      <w:r w:rsidR="00024E12" w:rsidRPr="00024E12">
        <w:rPr>
          <w:rFonts w:ascii="宋体" w:eastAsia="宋体" w:hAnsi="宋体" w:hint="eastAsia"/>
          <w:sz w:val="24"/>
          <w:szCs w:val="24"/>
        </w:rPr>
        <w:t>、相关业务办理情况</w:t>
      </w:r>
    </w:p>
    <w:p w:rsidR="00024E12" w:rsidRP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自</w:t>
      </w:r>
      <w:r w:rsidR="00F83DDA">
        <w:rPr>
          <w:rFonts w:ascii="宋体" w:eastAsia="宋体" w:hAnsi="宋体" w:hint="eastAsia"/>
          <w:sz w:val="24"/>
          <w:szCs w:val="24"/>
        </w:rPr>
        <w:t>2018</w:t>
      </w:r>
      <w:r w:rsidRPr="00024E12">
        <w:rPr>
          <w:rFonts w:ascii="宋体" w:eastAsia="宋体" w:hAnsi="宋体" w:hint="eastAsia"/>
          <w:sz w:val="24"/>
          <w:szCs w:val="24"/>
        </w:rPr>
        <w:t>年</w:t>
      </w:r>
      <w:r w:rsidR="00F83DDA">
        <w:rPr>
          <w:rFonts w:ascii="宋体" w:eastAsia="宋体" w:hAnsi="宋体" w:hint="eastAsia"/>
          <w:sz w:val="24"/>
          <w:szCs w:val="24"/>
        </w:rPr>
        <w:t>7</w:t>
      </w:r>
      <w:r w:rsidRPr="00024E12">
        <w:rPr>
          <w:rFonts w:ascii="宋体" w:eastAsia="宋体" w:hAnsi="宋体" w:hint="eastAsia"/>
          <w:sz w:val="24"/>
          <w:szCs w:val="24"/>
        </w:rPr>
        <w:t>月</w:t>
      </w:r>
      <w:r w:rsidR="00D71081">
        <w:rPr>
          <w:rFonts w:ascii="宋体" w:eastAsia="宋体" w:hAnsi="宋体"/>
          <w:sz w:val="24"/>
          <w:szCs w:val="24"/>
        </w:rPr>
        <w:t>27</w:t>
      </w:r>
      <w:r w:rsidRPr="00024E12">
        <w:rPr>
          <w:rFonts w:ascii="宋体" w:eastAsia="宋体" w:hAnsi="宋体" w:hint="eastAsia"/>
          <w:sz w:val="24"/>
          <w:szCs w:val="24"/>
        </w:rPr>
        <w:t>日起，本基金进入清算程序，终止办理申购</w:t>
      </w:r>
      <w:r w:rsidR="000561C0">
        <w:rPr>
          <w:rFonts w:ascii="宋体" w:eastAsia="宋体" w:hAnsi="宋体" w:hint="eastAsia"/>
          <w:sz w:val="24"/>
          <w:szCs w:val="24"/>
        </w:rPr>
        <w:t>、</w:t>
      </w:r>
      <w:r w:rsidR="00147051">
        <w:rPr>
          <w:rFonts w:ascii="宋体" w:eastAsia="宋体" w:hAnsi="宋体" w:hint="eastAsia"/>
          <w:sz w:val="24"/>
          <w:szCs w:val="24"/>
        </w:rPr>
        <w:t>赎回、</w:t>
      </w:r>
      <w:r w:rsidRPr="00024E12">
        <w:rPr>
          <w:rFonts w:ascii="宋体" w:eastAsia="宋体" w:hAnsi="宋体" w:hint="eastAsia"/>
          <w:sz w:val="24"/>
          <w:szCs w:val="24"/>
        </w:rPr>
        <w:t>转换（转入和转出）等业务，基金财产将在清算完毕后进行分配。</w:t>
      </w:r>
    </w:p>
    <w:p w:rsidR="00AD652B" w:rsidRDefault="00024E12" w:rsidP="00AD652B">
      <w:pPr>
        <w:spacing w:line="360" w:lineRule="auto"/>
        <w:ind w:firstLine="420"/>
        <w:rPr>
          <w:rFonts w:ascii="宋体" w:eastAsia="宋体" w:hAnsi="宋体"/>
          <w:sz w:val="24"/>
          <w:szCs w:val="24"/>
        </w:rPr>
      </w:pPr>
      <w:r w:rsidRPr="00024E12">
        <w:rPr>
          <w:rFonts w:ascii="宋体" w:eastAsia="宋体" w:hAnsi="宋体" w:hint="eastAsia"/>
          <w:sz w:val="24"/>
          <w:szCs w:val="24"/>
        </w:rPr>
        <w:t>本基金进入清算程序后，停止收取基金管理费、基金托管费。</w:t>
      </w:r>
    </w:p>
    <w:p w:rsidR="00024E12" w:rsidRDefault="00AD652B" w:rsidP="00AD652B">
      <w:pPr>
        <w:spacing w:line="360" w:lineRule="auto"/>
        <w:ind w:firstLine="420"/>
        <w:rPr>
          <w:rFonts w:ascii="宋体" w:eastAsia="宋体" w:hAnsi="宋体"/>
          <w:sz w:val="24"/>
          <w:szCs w:val="24"/>
        </w:rPr>
      </w:pPr>
      <w:r>
        <w:rPr>
          <w:rFonts w:ascii="宋体" w:eastAsia="宋体" w:hAnsi="宋体" w:hint="eastAsia"/>
          <w:sz w:val="24"/>
          <w:szCs w:val="24"/>
        </w:rPr>
        <w:t>本</w:t>
      </w:r>
      <w:r w:rsidRPr="00AF0A14">
        <w:rPr>
          <w:rFonts w:ascii="宋体" w:eastAsia="宋体" w:hAnsi="宋体" w:hint="eastAsia"/>
          <w:sz w:val="24"/>
          <w:szCs w:val="24"/>
        </w:rPr>
        <w:t>基金进入清算程序后,如</w:t>
      </w:r>
      <w:r>
        <w:rPr>
          <w:rFonts w:ascii="宋体" w:eastAsia="宋体" w:hAnsi="宋体" w:hint="eastAsia"/>
          <w:sz w:val="24"/>
          <w:szCs w:val="24"/>
        </w:rPr>
        <w:t>因本基金所持证券的流动性受限等客观因素影响，</w:t>
      </w:r>
      <w:r w:rsidRPr="00AF0A14">
        <w:rPr>
          <w:rFonts w:ascii="宋体" w:eastAsia="宋体" w:hAnsi="宋体" w:hint="eastAsia"/>
          <w:sz w:val="24"/>
          <w:szCs w:val="24"/>
        </w:rPr>
        <w:t>本基金将先以已变现基金资产为限进行分配，待</w:t>
      </w:r>
      <w:r w:rsidRPr="00E6517F">
        <w:rPr>
          <w:rFonts w:ascii="宋体" w:eastAsia="宋体" w:hAnsi="宋体" w:hint="eastAsia"/>
          <w:sz w:val="24"/>
          <w:szCs w:val="24"/>
        </w:rPr>
        <w:t>本基金所持证券</w:t>
      </w:r>
      <w:r w:rsidRPr="00AF0A14">
        <w:rPr>
          <w:rFonts w:ascii="宋体" w:eastAsia="宋体" w:hAnsi="宋体" w:hint="eastAsia"/>
          <w:sz w:val="24"/>
          <w:szCs w:val="24"/>
        </w:rPr>
        <w:t>全部变现后进行再次分配。</w:t>
      </w:r>
    </w:p>
    <w:p w:rsidR="00F23DAD" w:rsidRPr="00AD652B" w:rsidRDefault="00F23DAD" w:rsidP="00AD652B">
      <w:pPr>
        <w:spacing w:line="360" w:lineRule="auto"/>
        <w:ind w:firstLine="420"/>
        <w:rPr>
          <w:rFonts w:ascii="宋体" w:eastAsia="宋体" w:hAnsi="宋体"/>
          <w:sz w:val="24"/>
          <w:szCs w:val="24"/>
        </w:rPr>
      </w:pPr>
    </w:p>
    <w:p w:rsidR="000561C0" w:rsidRPr="000561C0" w:rsidRDefault="00AD652B" w:rsidP="000561C0">
      <w:pPr>
        <w:spacing w:line="360" w:lineRule="auto"/>
        <w:ind w:firstLine="420"/>
        <w:rPr>
          <w:rFonts w:ascii="宋体" w:eastAsia="宋体" w:hAnsi="宋体"/>
          <w:sz w:val="24"/>
          <w:szCs w:val="24"/>
        </w:rPr>
      </w:pPr>
      <w:r>
        <w:rPr>
          <w:rFonts w:ascii="宋体" w:eastAsia="宋体" w:hAnsi="宋体" w:hint="eastAsia"/>
          <w:sz w:val="24"/>
          <w:szCs w:val="24"/>
        </w:rPr>
        <w:t>五</w:t>
      </w:r>
      <w:r w:rsidR="000561C0" w:rsidRPr="000561C0">
        <w:rPr>
          <w:rFonts w:ascii="宋体" w:eastAsia="宋体" w:hAnsi="宋体" w:hint="eastAsia"/>
          <w:sz w:val="24"/>
          <w:szCs w:val="24"/>
        </w:rPr>
        <w:t>、基金财产的清算</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1、基金财产清算小组：自出现《基金合同》终止事由之日起30个工作日内成立清算小组，基金管理人组织基金财产清算小组并在中国证监会的监督下进行基金清算。</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3、基金财产清算小组职责：基金财产清算小组负责基金财产的保管、清理、估价、变现和分配。基金财产清算小组可以依法进行必要的民事活动。</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4、基金财产清算程序：</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lastRenderedPageBreak/>
        <w:t>（1）《基金合同》终止情形出现时，由基金财产清算小组统一接管基金；</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（2）对基金财产和债权债务进行清理和确认；</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（3）对基金财产进行估值和变现；</w:t>
      </w:r>
    </w:p>
    <w:p w:rsidR="00FE3B48" w:rsidRDefault="000561C0" w:rsidP="00FE3B48">
      <w:pPr>
        <w:spacing w:line="360" w:lineRule="auto"/>
        <w:ind w:firstLine="420"/>
        <w:rPr>
          <w:rFonts w:ascii="宋体" w:eastAsia="宋体" w:hAnsi="宋体"/>
          <w:sz w:val="24"/>
          <w:szCs w:val="24"/>
        </w:rPr>
      </w:pPr>
      <w:r w:rsidRPr="000561C0">
        <w:rPr>
          <w:rFonts w:ascii="宋体" w:eastAsia="宋体" w:hAnsi="宋体" w:hint="eastAsia"/>
          <w:sz w:val="24"/>
          <w:szCs w:val="24"/>
        </w:rPr>
        <w:t>（4）制作清算报告；</w:t>
      </w:r>
    </w:p>
    <w:p w:rsidR="00FE3B48" w:rsidRDefault="000561C0" w:rsidP="00FE3B48">
      <w:pPr>
        <w:spacing w:line="360" w:lineRule="auto"/>
        <w:ind w:firstLineChars="177" w:firstLine="425"/>
        <w:rPr>
          <w:rFonts w:ascii="宋体" w:eastAsia="宋体" w:hAnsi="宋体"/>
          <w:sz w:val="24"/>
          <w:szCs w:val="24"/>
        </w:rPr>
      </w:pPr>
      <w:r w:rsidRPr="000561C0">
        <w:rPr>
          <w:rFonts w:ascii="宋体" w:eastAsia="宋体" w:hAnsi="宋体" w:hint="eastAsia"/>
          <w:sz w:val="24"/>
          <w:szCs w:val="24"/>
        </w:rPr>
        <w:t>（5）聘请会计师事务所对清算报告进行外部审计，聘请律师事务所对清算报告出具法律意见书；</w:t>
      </w:r>
    </w:p>
    <w:p w:rsidR="00FE3B48" w:rsidRDefault="000561C0" w:rsidP="00FE3B48">
      <w:pPr>
        <w:spacing w:line="360" w:lineRule="auto"/>
        <w:ind w:firstLineChars="200" w:firstLine="480"/>
        <w:rPr>
          <w:rFonts w:ascii="宋体" w:eastAsia="宋体" w:hAnsi="宋体"/>
          <w:sz w:val="24"/>
          <w:szCs w:val="24"/>
        </w:rPr>
      </w:pPr>
      <w:bookmarkStart w:id="0" w:name="_GoBack"/>
      <w:bookmarkEnd w:id="0"/>
      <w:r w:rsidRPr="000561C0">
        <w:rPr>
          <w:rFonts w:ascii="宋体" w:eastAsia="宋体" w:hAnsi="宋体" w:hint="eastAsia"/>
          <w:sz w:val="24"/>
          <w:szCs w:val="24"/>
        </w:rPr>
        <w:t>（6）将清算报告报中国证监会备案并确认后公告；</w:t>
      </w:r>
    </w:p>
    <w:p w:rsidR="000561C0" w:rsidRPr="000561C0" w:rsidRDefault="000561C0" w:rsidP="00FE3B48">
      <w:pPr>
        <w:spacing w:line="360" w:lineRule="auto"/>
        <w:ind w:firstLineChars="200" w:firstLine="480"/>
        <w:rPr>
          <w:rFonts w:ascii="宋体" w:eastAsia="宋体" w:hAnsi="宋体"/>
          <w:sz w:val="24"/>
          <w:szCs w:val="24"/>
        </w:rPr>
      </w:pPr>
      <w:r w:rsidRPr="000561C0">
        <w:rPr>
          <w:rFonts w:ascii="宋体" w:eastAsia="宋体" w:hAnsi="宋体" w:hint="eastAsia"/>
          <w:sz w:val="24"/>
          <w:szCs w:val="24"/>
        </w:rPr>
        <w:t>（7）对基金财产进行分配。</w:t>
      </w:r>
    </w:p>
    <w:p w:rsid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5、基金财产清算的期限为6个月，基金财产清算小组可根据清算的具体情况适当延长清算期限，并提前公告。</w:t>
      </w:r>
    </w:p>
    <w:p w:rsidR="00024E12" w:rsidRPr="00024E12" w:rsidRDefault="000561C0" w:rsidP="000561C0">
      <w:pPr>
        <w:spacing w:line="360" w:lineRule="auto"/>
        <w:ind w:firstLine="420"/>
        <w:rPr>
          <w:rFonts w:ascii="宋体" w:eastAsia="宋体" w:hAnsi="宋体"/>
          <w:sz w:val="24"/>
          <w:szCs w:val="24"/>
        </w:rPr>
      </w:pPr>
      <w:r>
        <w:rPr>
          <w:rFonts w:ascii="宋体" w:eastAsia="宋体" w:hAnsi="宋体" w:hint="eastAsia"/>
          <w:sz w:val="24"/>
          <w:szCs w:val="24"/>
        </w:rPr>
        <w:t>6</w:t>
      </w:r>
      <w:r w:rsidR="00024E12" w:rsidRPr="00024E12">
        <w:rPr>
          <w:rFonts w:ascii="宋体" w:eastAsia="宋体" w:hAnsi="宋体" w:hint="eastAsia"/>
          <w:sz w:val="24"/>
          <w:szCs w:val="24"/>
        </w:rPr>
        <w:t>、清算费用</w:t>
      </w:r>
    </w:p>
    <w:p w:rsidR="00024E12" w:rsidRP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按照《基金合同》“第十九部分 基金合同的变更、终止与基金财产的清算”的约定，清算费用是指基金财产清算小组在进行基金清算过程中发生的所有合理费用，清算费用由基金财产清算小组优先从基金剩余财产中支付。</w:t>
      </w:r>
    </w:p>
    <w:p w:rsidR="00024E12" w:rsidRPr="00024E12" w:rsidRDefault="000561C0" w:rsidP="00024E12">
      <w:pPr>
        <w:spacing w:line="360" w:lineRule="auto"/>
        <w:ind w:firstLine="420"/>
        <w:rPr>
          <w:rFonts w:ascii="宋体" w:eastAsia="宋体" w:hAnsi="宋体"/>
          <w:sz w:val="24"/>
          <w:szCs w:val="24"/>
        </w:rPr>
      </w:pPr>
      <w:r>
        <w:rPr>
          <w:rFonts w:ascii="宋体" w:eastAsia="宋体" w:hAnsi="宋体" w:hint="eastAsia"/>
          <w:sz w:val="24"/>
          <w:szCs w:val="24"/>
        </w:rPr>
        <w:t>7</w:t>
      </w:r>
      <w:r w:rsidR="00024E12" w:rsidRPr="00024E12">
        <w:rPr>
          <w:rFonts w:ascii="宋体" w:eastAsia="宋体" w:hAnsi="宋体" w:hint="eastAsia"/>
          <w:sz w:val="24"/>
          <w:szCs w:val="24"/>
        </w:rPr>
        <w:t>、基金财产清算剩余资产的分配</w:t>
      </w:r>
    </w:p>
    <w:p w:rsidR="00024E12" w:rsidRP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依据基金财产清算的分配方案，将基金财产清算后的全部剩余资产扣除基金财产清算费用、交纳所欠税款并清偿基金债务后，按基金份额持有人持有的基金份额比例进行分配。</w:t>
      </w:r>
    </w:p>
    <w:p w:rsidR="00024E12" w:rsidRPr="00024E12" w:rsidRDefault="000561C0" w:rsidP="00024E12">
      <w:pPr>
        <w:spacing w:line="360" w:lineRule="auto"/>
        <w:ind w:firstLine="420"/>
        <w:rPr>
          <w:rFonts w:ascii="宋体" w:eastAsia="宋体" w:hAnsi="宋体"/>
          <w:sz w:val="24"/>
          <w:szCs w:val="24"/>
        </w:rPr>
      </w:pPr>
      <w:r>
        <w:rPr>
          <w:rFonts w:ascii="宋体" w:eastAsia="宋体" w:hAnsi="宋体" w:hint="eastAsia"/>
          <w:sz w:val="24"/>
          <w:szCs w:val="24"/>
        </w:rPr>
        <w:t>8</w:t>
      </w:r>
      <w:r w:rsidR="00024E12" w:rsidRPr="00024E12">
        <w:rPr>
          <w:rFonts w:ascii="宋体" w:eastAsia="宋体" w:hAnsi="宋体" w:hint="eastAsia"/>
          <w:sz w:val="24"/>
          <w:szCs w:val="24"/>
        </w:rPr>
        <w:t>、基金财产清算的公告</w:t>
      </w:r>
    </w:p>
    <w:p w:rsidR="00024E12" w:rsidRP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024E12" w:rsidRPr="00024E12" w:rsidRDefault="000561C0" w:rsidP="00AF0A14">
      <w:pPr>
        <w:spacing w:line="360" w:lineRule="auto"/>
        <w:ind w:firstLine="420"/>
        <w:rPr>
          <w:rFonts w:ascii="宋体" w:eastAsia="宋体" w:hAnsi="宋体"/>
          <w:sz w:val="24"/>
          <w:szCs w:val="24"/>
        </w:rPr>
      </w:pPr>
      <w:r>
        <w:rPr>
          <w:rFonts w:ascii="宋体" w:eastAsia="宋体" w:hAnsi="宋体" w:hint="eastAsia"/>
          <w:sz w:val="24"/>
          <w:szCs w:val="24"/>
        </w:rPr>
        <w:t>9</w:t>
      </w:r>
      <w:r w:rsidR="00024E12" w:rsidRPr="00024E12">
        <w:rPr>
          <w:rFonts w:ascii="宋体" w:eastAsia="宋体" w:hAnsi="宋体" w:hint="eastAsia"/>
          <w:sz w:val="24"/>
          <w:szCs w:val="24"/>
        </w:rPr>
        <w:t>、基金财产清算账册及文件的保存</w:t>
      </w:r>
    </w:p>
    <w:p w:rsid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基金财产清算账册及有关文件由基金托管人保存15年以上。</w:t>
      </w:r>
    </w:p>
    <w:p w:rsidR="00D71081" w:rsidRPr="00024E12" w:rsidRDefault="00D71081" w:rsidP="00AF0A14">
      <w:pPr>
        <w:spacing w:line="360" w:lineRule="auto"/>
        <w:ind w:firstLine="420"/>
        <w:rPr>
          <w:rFonts w:ascii="宋体" w:eastAsia="宋体" w:hAnsi="宋体"/>
          <w:sz w:val="24"/>
          <w:szCs w:val="24"/>
        </w:rPr>
      </w:pPr>
    </w:p>
    <w:p w:rsidR="00024E12" w:rsidRPr="00024E12" w:rsidRDefault="00AD652B" w:rsidP="00CA0647">
      <w:pPr>
        <w:spacing w:line="360" w:lineRule="auto"/>
        <w:ind w:firstLine="420"/>
        <w:rPr>
          <w:rFonts w:ascii="宋体" w:eastAsia="宋体" w:hAnsi="宋体"/>
          <w:sz w:val="24"/>
          <w:szCs w:val="24"/>
        </w:rPr>
      </w:pPr>
      <w:r>
        <w:rPr>
          <w:rFonts w:ascii="宋体" w:eastAsia="宋体" w:hAnsi="宋体" w:hint="eastAsia"/>
          <w:sz w:val="24"/>
          <w:szCs w:val="24"/>
        </w:rPr>
        <w:t>六</w:t>
      </w:r>
      <w:r w:rsidR="00024E12" w:rsidRPr="00024E12">
        <w:rPr>
          <w:rFonts w:ascii="宋体" w:eastAsia="宋体" w:hAnsi="宋体" w:hint="eastAsia"/>
          <w:sz w:val="24"/>
          <w:szCs w:val="24"/>
        </w:rPr>
        <w:t>、</w:t>
      </w:r>
      <w:r w:rsidR="00CA0647" w:rsidRPr="00CA0647">
        <w:rPr>
          <w:rStyle w:val="a5"/>
          <w:rFonts w:ascii="宋体" w:eastAsia="宋体" w:hAnsi="宋体" w:hint="eastAsia"/>
          <w:sz w:val="24"/>
          <w:szCs w:val="24"/>
        </w:rPr>
        <w:t>其</w:t>
      </w:r>
      <w:r w:rsidR="00024E12" w:rsidRPr="00CA0647">
        <w:rPr>
          <w:rFonts w:ascii="宋体" w:eastAsia="宋体" w:hAnsi="宋体" w:hint="eastAsia"/>
          <w:sz w:val="24"/>
          <w:szCs w:val="24"/>
        </w:rPr>
        <w:t>他</w:t>
      </w:r>
      <w:r w:rsidR="00024E12" w:rsidRPr="00024E12">
        <w:rPr>
          <w:rFonts w:ascii="宋体" w:eastAsia="宋体" w:hAnsi="宋体" w:hint="eastAsia"/>
          <w:sz w:val="24"/>
          <w:szCs w:val="24"/>
        </w:rPr>
        <w:t>需要提示的事项</w:t>
      </w:r>
    </w:p>
    <w:p w:rsidR="00DB57DA"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1、本基金自</w:t>
      </w:r>
      <w:r w:rsidR="00F23DAD">
        <w:rPr>
          <w:rFonts w:ascii="宋体" w:eastAsia="宋体" w:hAnsi="宋体" w:hint="eastAsia"/>
          <w:sz w:val="24"/>
          <w:szCs w:val="24"/>
        </w:rPr>
        <w:t>2018</w:t>
      </w:r>
      <w:r w:rsidR="00F23DAD" w:rsidRPr="00024E12">
        <w:rPr>
          <w:rFonts w:ascii="宋体" w:eastAsia="宋体" w:hAnsi="宋体" w:hint="eastAsia"/>
          <w:sz w:val="24"/>
          <w:szCs w:val="24"/>
        </w:rPr>
        <w:t>年</w:t>
      </w:r>
      <w:r w:rsidR="00F23DAD">
        <w:rPr>
          <w:rFonts w:ascii="宋体" w:eastAsia="宋体" w:hAnsi="宋体" w:hint="eastAsia"/>
          <w:sz w:val="24"/>
          <w:szCs w:val="24"/>
        </w:rPr>
        <w:t>7</w:t>
      </w:r>
      <w:r w:rsidR="00F23DAD" w:rsidRPr="00024E12">
        <w:rPr>
          <w:rFonts w:ascii="宋体" w:eastAsia="宋体" w:hAnsi="宋体" w:hint="eastAsia"/>
          <w:sz w:val="24"/>
          <w:szCs w:val="24"/>
        </w:rPr>
        <w:t>月</w:t>
      </w:r>
      <w:r w:rsidR="00D71081">
        <w:rPr>
          <w:rFonts w:ascii="宋体" w:eastAsia="宋体" w:hAnsi="宋体"/>
          <w:sz w:val="24"/>
          <w:szCs w:val="24"/>
        </w:rPr>
        <w:t>27</w:t>
      </w:r>
      <w:r w:rsidR="00F23DAD" w:rsidRPr="00024E12">
        <w:rPr>
          <w:rFonts w:ascii="宋体" w:eastAsia="宋体" w:hAnsi="宋体" w:hint="eastAsia"/>
          <w:sz w:val="24"/>
          <w:szCs w:val="24"/>
        </w:rPr>
        <w:t>日</w:t>
      </w:r>
      <w:r w:rsidRPr="00024E12">
        <w:rPr>
          <w:rFonts w:ascii="宋体" w:eastAsia="宋体" w:hAnsi="宋体" w:hint="eastAsia"/>
          <w:sz w:val="24"/>
          <w:szCs w:val="24"/>
        </w:rPr>
        <w:t>起终止办理申购</w:t>
      </w:r>
      <w:r w:rsidR="00AF0A14">
        <w:rPr>
          <w:rFonts w:ascii="宋体" w:eastAsia="宋体" w:hAnsi="宋体" w:hint="eastAsia"/>
          <w:sz w:val="24"/>
          <w:szCs w:val="24"/>
        </w:rPr>
        <w:t>、赎回</w:t>
      </w:r>
      <w:r w:rsidR="00147051">
        <w:rPr>
          <w:rFonts w:ascii="宋体" w:eastAsia="宋体" w:hAnsi="宋体" w:hint="eastAsia"/>
          <w:sz w:val="24"/>
          <w:szCs w:val="24"/>
        </w:rPr>
        <w:t>、</w:t>
      </w:r>
      <w:r w:rsidRPr="00024E12">
        <w:rPr>
          <w:rFonts w:ascii="宋体" w:eastAsia="宋体" w:hAnsi="宋体" w:hint="eastAsia"/>
          <w:sz w:val="24"/>
          <w:szCs w:val="24"/>
        </w:rPr>
        <w:t>转换（转入和转出）等业务，基金财产将在清算完毕后进行分配。敬请投资者予以关注。</w:t>
      </w:r>
    </w:p>
    <w:p w:rsidR="00024E12" w:rsidRP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本公司承诺在清算过程中以诚实信用、勤勉尽责的原则履行相关职责。基金财产清算</w:t>
      </w:r>
      <w:r w:rsidR="001B269E">
        <w:rPr>
          <w:rFonts w:ascii="宋体" w:eastAsia="宋体" w:hAnsi="宋体" w:hint="eastAsia"/>
          <w:sz w:val="24"/>
          <w:szCs w:val="24"/>
        </w:rPr>
        <w:t>报告</w:t>
      </w:r>
      <w:r w:rsidRPr="00024E12">
        <w:rPr>
          <w:rFonts w:ascii="宋体" w:eastAsia="宋体" w:hAnsi="宋体" w:hint="eastAsia"/>
          <w:sz w:val="24"/>
          <w:szCs w:val="24"/>
        </w:rPr>
        <w:t>将在报中国证监会备案后公布，并将遵照法律法规、基金合同等规定及时进行分配，敬请投资者留意。</w:t>
      </w:r>
    </w:p>
    <w:p w:rsidR="00024E12" w:rsidRPr="00024E12" w:rsidRDefault="00AF0A14" w:rsidP="00AF0A14">
      <w:pPr>
        <w:spacing w:line="360" w:lineRule="auto"/>
        <w:ind w:firstLineChars="175" w:firstLine="420"/>
        <w:rPr>
          <w:rFonts w:ascii="宋体" w:eastAsia="宋体" w:hAnsi="宋体"/>
          <w:sz w:val="24"/>
          <w:szCs w:val="24"/>
        </w:rPr>
      </w:pPr>
      <w:r>
        <w:rPr>
          <w:rFonts w:ascii="宋体" w:eastAsia="宋体" w:hAnsi="宋体" w:hint="eastAsia"/>
          <w:sz w:val="24"/>
          <w:szCs w:val="24"/>
        </w:rPr>
        <w:t>2</w:t>
      </w:r>
      <w:r w:rsidR="00024E12" w:rsidRPr="00024E12">
        <w:rPr>
          <w:rFonts w:ascii="宋体" w:eastAsia="宋体" w:hAnsi="宋体" w:hint="eastAsia"/>
          <w:sz w:val="24"/>
          <w:szCs w:val="24"/>
        </w:rPr>
        <w:t>、投资者可以登陆</w:t>
      </w:r>
      <w:r w:rsidR="00A17D06">
        <w:rPr>
          <w:rFonts w:ascii="宋体" w:eastAsia="宋体" w:hAnsi="宋体" w:hint="eastAsia"/>
          <w:sz w:val="24"/>
          <w:szCs w:val="24"/>
        </w:rPr>
        <w:t>广发</w:t>
      </w:r>
      <w:r w:rsidR="00024E12" w:rsidRPr="00024E12">
        <w:rPr>
          <w:rFonts w:ascii="宋体" w:eastAsia="宋体" w:hAnsi="宋体" w:hint="eastAsia"/>
          <w:sz w:val="24"/>
          <w:szCs w:val="24"/>
        </w:rPr>
        <w:t>基金管理有限公司网站（</w:t>
      </w:r>
      <w:r w:rsidR="00100CEC" w:rsidRPr="00100CEC">
        <w:rPr>
          <w:rFonts w:ascii="宋体" w:eastAsia="宋体" w:hAnsi="宋体"/>
          <w:sz w:val="24"/>
          <w:szCs w:val="24"/>
        </w:rPr>
        <w:t>www.gffunds.com.cn</w:t>
      </w:r>
      <w:r>
        <w:rPr>
          <w:rFonts w:ascii="宋体" w:eastAsia="宋体" w:hAnsi="宋体" w:hint="eastAsia"/>
          <w:sz w:val="24"/>
          <w:szCs w:val="24"/>
        </w:rPr>
        <w:t>）或拨</w:t>
      </w:r>
      <w:r w:rsidR="00024E12" w:rsidRPr="00024E12">
        <w:rPr>
          <w:rFonts w:ascii="宋体" w:eastAsia="宋体" w:hAnsi="宋体" w:hint="eastAsia"/>
          <w:sz w:val="24"/>
          <w:szCs w:val="24"/>
        </w:rPr>
        <w:t>打</w:t>
      </w:r>
      <w:r w:rsidR="00A17D06">
        <w:rPr>
          <w:rFonts w:ascii="宋体" w:eastAsia="宋体" w:hAnsi="宋体" w:hint="eastAsia"/>
          <w:sz w:val="24"/>
          <w:szCs w:val="24"/>
        </w:rPr>
        <w:t>广发</w:t>
      </w:r>
      <w:r w:rsidR="00024E12" w:rsidRPr="00024E12">
        <w:rPr>
          <w:rFonts w:ascii="宋体" w:eastAsia="宋体" w:hAnsi="宋体" w:hint="eastAsia"/>
          <w:sz w:val="24"/>
          <w:szCs w:val="24"/>
        </w:rPr>
        <w:t>基金管理有限公司全国统一客户服务号码</w:t>
      </w:r>
      <w:r w:rsidR="00100CEC" w:rsidRPr="00100CEC">
        <w:rPr>
          <w:rFonts w:ascii="宋体" w:eastAsia="宋体" w:hAnsi="宋体"/>
          <w:sz w:val="24"/>
          <w:szCs w:val="24"/>
        </w:rPr>
        <w:t>95105828</w:t>
      </w:r>
      <w:r w:rsidR="00024E12" w:rsidRPr="00024E12">
        <w:rPr>
          <w:rFonts w:ascii="宋体" w:eastAsia="宋体" w:hAnsi="宋体" w:hint="eastAsia"/>
          <w:sz w:val="24"/>
          <w:szCs w:val="24"/>
        </w:rPr>
        <w:t>（免长途话费）咨询相关情况。</w:t>
      </w:r>
    </w:p>
    <w:p w:rsidR="00AF0A14" w:rsidRDefault="00AF0A14" w:rsidP="00AF0A14">
      <w:pPr>
        <w:spacing w:line="360" w:lineRule="auto"/>
        <w:ind w:firstLine="420"/>
        <w:rPr>
          <w:rFonts w:ascii="宋体" w:eastAsia="宋体" w:hAnsi="宋体"/>
          <w:sz w:val="24"/>
          <w:szCs w:val="24"/>
        </w:rPr>
      </w:pPr>
    </w:p>
    <w:p w:rsidR="00AF0A14"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 xml:space="preserve">特此公告。 </w:t>
      </w:r>
    </w:p>
    <w:p w:rsidR="00AF0A14" w:rsidRDefault="00AF0A14" w:rsidP="00AF0A14">
      <w:pPr>
        <w:spacing w:line="360" w:lineRule="auto"/>
        <w:ind w:firstLine="420"/>
        <w:rPr>
          <w:rFonts w:ascii="宋体" w:eastAsia="宋体" w:hAnsi="宋体"/>
          <w:sz w:val="24"/>
          <w:szCs w:val="24"/>
        </w:rPr>
      </w:pPr>
    </w:p>
    <w:p w:rsidR="00AF0A14" w:rsidRDefault="00A17D06" w:rsidP="00AF0A14">
      <w:pPr>
        <w:spacing w:line="360" w:lineRule="auto"/>
        <w:ind w:firstLine="420"/>
        <w:jc w:val="right"/>
        <w:rPr>
          <w:rFonts w:ascii="宋体" w:eastAsia="宋体" w:hAnsi="宋体"/>
          <w:sz w:val="24"/>
          <w:szCs w:val="24"/>
        </w:rPr>
      </w:pPr>
      <w:r>
        <w:rPr>
          <w:rFonts w:ascii="宋体" w:eastAsia="宋体" w:hAnsi="宋体" w:hint="eastAsia"/>
          <w:sz w:val="24"/>
          <w:szCs w:val="24"/>
        </w:rPr>
        <w:t>广发</w:t>
      </w:r>
      <w:r w:rsidR="00024E12" w:rsidRPr="00024E12">
        <w:rPr>
          <w:rFonts w:ascii="宋体" w:eastAsia="宋体" w:hAnsi="宋体" w:hint="eastAsia"/>
          <w:sz w:val="24"/>
          <w:szCs w:val="24"/>
        </w:rPr>
        <w:t xml:space="preserve">基金管理有限公司 </w:t>
      </w:r>
    </w:p>
    <w:p w:rsidR="003861FA" w:rsidRPr="00024E12" w:rsidRDefault="00F23DAD" w:rsidP="00AF0A14">
      <w:pPr>
        <w:spacing w:line="360" w:lineRule="auto"/>
        <w:ind w:firstLine="420"/>
        <w:jc w:val="right"/>
        <w:rPr>
          <w:rFonts w:ascii="宋体" w:eastAsia="宋体" w:hAnsi="宋体"/>
          <w:sz w:val="24"/>
          <w:szCs w:val="24"/>
        </w:rPr>
      </w:pPr>
      <w:r>
        <w:rPr>
          <w:rFonts w:ascii="宋体" w:eastAsia="宋体" w:hAnsi="宋体" w:hint="eastAsia"/>
          <w:sz w:val="24"/>
          <w:szCs w:val="24"/>
        </w:rPr>
        <w:t>2018</w:t>
      </w:r>
      <w:r w:rsidR="00024E12" w:rsidRPr="00024E12">
        <w:rPr>
          <w:rFonts w:ascii="宋体" w:eastAsia="宋体" w:hAnsi="宋体" w:hint="eastAsia"/>
          <w:sz w:val="24"/>
          <w:szCs w:val="24"/>
        </w:rPr>
        <w:t>年</w:t>
      </w:r>
      <w:r>
        <w:rPr>
          <w:rFonts w:ascii="宋体" w:eastAsia="宋体" w:hAnsi="宋体" w:hint="eastAsia"/>
          <w:sz w:val="24"/>
          <w:szCs w:val="24"/>
        </w:rPr>
        <w:t>7</w:t>
      </w:r>
      <w:r w:rsidR="00024E12" w:rsidRPr="00024E12">
        <w:rPr>
          <w:rFonts w:ascii="宋体" w:eastAsia="宋体" w:hAnsi="宋体" w:hint="eastAsia"/>
          <w:sz w:val="24"/>
          <w:szCs w:val="24"/>
        </w:rPr>
        <w:t>月</w:t>
      </w:r>
      <w:r w:rsidR="00D71081">
        <w:rPr>
          <w:rFonts w:ascii="宋体" w:eastAsia="宋体" w:hAnsi="宋体"/>
          <w:sz w:val="24"/>
          <w:szCs w:val="24"/>
        </w:rPr>
        <w:t>27</w:t>
      </w:r>
      <w:r w:rsidR="00024E12" w:rsidRPr="00024E12">
        <w:rPr>
          <w:rFonts w:ascii="宋体" w:eastAsia="宋体" w:hAnsi="宋体" w:hint="eastAsia"/>
          <w:sz w:val="24"/>
          <w:szCs w:val="24"/>
        </w:rPr>
        <w:t>日</w:t>
      </w:r>
    </w:p>
    <w:sectPr w:rsidR="003861FA" w:rsidRPr="00024E12" w:rsidSect="00905D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CEF" w:rsidRDefault="00822CEF" w:rsidP="00612668">
      <w:r>
        <w:separator/>
      </w:r>
    </w:p>
  </w:endnote>
  <w:endnote w:type="continuationSeparator" w:id="1">
    <w:p w:rsidR="00822CEF" w:rsidRDefault="00822CEF" w:rsidP="006126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CEF" w:rsidRDefault="00822CEF" w:rsidP="00612668">
      <w:r>
        <w:separator/>
      </w:r>
    </w:p>
  </w:footnote>
  <w:footnote w:type="continuationSeparator" w:id="1">
    <w:p w:rsidR="00822CEF" w:rsidRDefault="00822CEF" w:rsidP="006126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4E12"/>
    <w:rsid w:val="00024E12"/>
    <w:rsid w:val="00036039"/>
    <w:rsid w:val="00042F26"/>
    <w:rsid w:val="000561C0"/>
    <w:rsid w:val="00100411"/>
    <w:rsid w:val="00100CEC"/>
    <w:rsid w:val="00147051"/>
    <w:rsid w:val="001B269E"/>
    <w:rsid w:val="001C484E"/>
    <w:rsid w:val="001C6BDD"/>
    <w:rsid w:val="00381847"/>
    <w:rsid w:val="003861FA"/>
    <w:rsid w:val="00395886"/>
    <w:rsid w:val="00484DBC"/>
    <w:rsid w:val="00513DB5"/>
    <w:rsid w:val="00535A24"/>
    <w:rsid w:val="00580D24"/>
    <w:rsid w:val="005B6B2D"/>
    <w:rsid w:val="00612668"/>
    <w:rsid w:val="006411B1"/>
    <w:rsid w:val="007C3FF1"/>
    <w:rsid w:val="00822CEF"/>
    <w:rsid w:val="008E7748"/>
    <w:rsid w:val="00905D86"/>
    <w:rsid w:val="00944256"/>
    <w:rsid w:val="009E197F"/>
    <w:rsid w:val="009E2B5A"/>
    <w:rsid w:val="00A17D06"/>
    <w:rsid w:val="00A46482"/>
    <w:rsid w:val="00A63BCD"/>
    <w:rsid w:val="00A849EC"/>
    <w:rsid w:val="00AD652B"/>
    <w:rsid w:val="00AF0A14"/>
    <w:rsid w:val="00B6672A"/>
    <w:rsid w:val="00CA0647"/>
    <w:rsid w:val="00CE66B3"/>
    <w:rsid w:val="00D52E56"/>
    <w:rsid w:val="00D71081"/>
    <w:rsid w:val="00DB57DA"/>
    <w:rsid w:val="00E4765C"/>
    <w:rsid w:val="00E6517F"/>
    <w:rsid w:val="00EB18E0"/>
    <w:rsid w:val="00EC6255"/>
    <w:rsid w:val="00F15337"/>
    <w:rsid w:val="00F23DAD"/>
    <w:rsid w:val="00F40C15"/>
    <w:rsid w:val="00F52BE9"/>
    <w:rsid w:val="00F83DDA"/>
    <w:rsid w:val="00FE3B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D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26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2668"/>
    <w:rPr>
      <w:sz w:val="18"/>
      <w:szCs w:val="18"/>
    </w:rPr>
  </w:style>
  <w:style w:type="paragraph" w:styleId="a4">
    <w:name w:val="footer"/>
    <w:basedOn w:val="a"/>
    <w:link w:val="Char0"/>
    <w:uiPriority w:val="99"/>
    <w:unhideWhenUsed/>
    <w:rsid w:val="00612668"/>
    <w:pPr>
      <w:tabs>
        <w:tab w:val="center" w:pos="4153"/>
        <w:tab w:val="right" w:pos="8306"/>
      </w:tabs>
      <w:snapToGrid w:val="0"/>
      <w:jc w:val="left"/>
    </w:pPr>
    <w:rPr>
      <w:sz w:val="18"/>
      <w:szCs w:val="18"/>
    </w:rPr>
  </w:style>
  <w:style w:type="character" w:customStyle="1" w:styleId="Char0">
    <w:name w:val="页脚 Char"/>
    <w:basedOn w:val="a0"/>
    <w:link w:val="a4"/>
    <w:uiPriority w:val="99"/>
    <w:rsid w:val="00612668"/>
    <w:rPr>
      <w:sz w:val="18"/>
      <w:szCs w:val="18"/>
    </w:rPr>
  </w:style>
  <w:style w:type="character" w:styleId="a5">
    <w:name w:val="annotation reference"/>
    <w:basedOn w:val="a0"/>
    <w:uiPriority w:val="99"/>
    <w:semiHidden/>
    <w:unhideWhenUsed/>
    <w:rsid w:val="00944256"/>
    <w:rPr>
      <w:sz w:val="21"/>
      <w:szCs w:val="21"/>
    </w:rPr>
  </w:style>
  <w:style w:type="paragraph" w:styleId="a6">
    <w:name w:val="annotation text"/>
    <w:basedOn w:val="a"/>
    <w:link w:val="Char1"/>
    <w:uiPriority w:val="99"/>
    <w:semiHidden/>
    <w:unhideWhenUsed/>
    <w:rsid w:val="00944256"/>
    <w:pPr>
      <w:jc w:val="left"/>
    </w:pPr>
  </w:style>
  <w:style w:type="character" w:customStyle="1" w:styleId="Char1">
    <w:name w:val="批注文字 Char"/>
    <w:basedOn w:val="a0"/>
    <w:link w:val="a6"/>
    <w:uiPriority w:val="99"/>
    <w:semiHidden/>
    <w:rsid w:val="00944256"/>
  </w:style>
  <w:style w:type="paragraph" w:styleId="a7">
    <w:name w:val="annotation subject"/>
    <w:basedOn w:val="a6"/>
    <w:next w:val="a6"/>
    <w:link w:val="Char2"/>
    <w:uiPriority w:val="99"/>
    <w:semiHidden/>
    <w:unhideWhenUsed/>
    <w:rsid w:val="00944256"/>
    <w:rPr>
      <w:b/>
      <w:bCs/>
    </w:rPr>
  </w:style>
  <w:style w:type="character" w:customStyle="1" w:styleId="Char2">
    <w:name w:val="批注主题 Char"/>
    <w:basedOn w:val="Char1"/>
    <w:link w:val="a7"/>
    <w:uiPriority w:val="99"/>
    <w:semiHidden/>
    <w:rsid w:val="00944256"/>
    <w:rPr>
      <w:b/>
      <w:bCs/>
    </w:rPr>
  </w:style>
  <w:style w:type="paragraph" w:styleId="a8">
    <w:name w:val="Balloon Text"/>
    <w:basedOn w:val="a"/>
    <w:link w:val="Char3"/>
    <w:uiPriority w:val="99"/>
    <w:semiHidden/>
    <w:unhideWhenUsed/>
    <w:rsid w:val="00944256"/>
    <w:rPr>
      <w:sz w:val="18"/>
      <w:szCs w:val="18"/>
    </w:rPr>
  </w:style>
  <w:style w:type="character" w:customStyle="1" w:styleId="Char3">
    <w:name w:val="批注框文本 Char"/>
    <w:basedOn w:val="a0"/>
    <w:link w:val="a8"/>
    <w:uiPriority w:val="99"/>
    <w:semiHidden/>
    <w:rsid w:val="0094425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1909</Characters>
  <Application>Microsoft Office Word</Application>
  <DocSecurity>4</DocSecurity>
  <Lines>15</Lines>
  <Paragraphs>4</Paragraphs>
  <ScaleCrop>false</ScaleCrop>
  <Company>Microsoft</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崔茗</dc:creator>
  <cp:lastModifiedBy>ZHONGM</cp:lastModifiedBy>
  <cp:revision>2</cp:revision>
  <dcterms:created xsi:type="dcterms:W3CDTF">2018-07-26T16:34:00Z</dcterms:created>
  <dcterms:modified xsi:type="dcterms:W3CDTF">2018-07-26T16:34:00Z</dcterms:modified>
</cp:coreProperties>
</file>