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283" w:rsidRPr="0078105B" w:rsidRDefault="009A2283" w:rsidP="009A2283">
      <w:pPr>
        <w:autoSpaceDE w:val="0"/>
        <w:autoSpaceDN w:val="0"/>
        <w:adjustRightInd w:val="0"/>
        <w:spacing w:line="360" w:lineRule="auto"/>
        <w:jc w:val="left"/>
        <w:rPr>
          <w:rFonts w:asciiTheme="minorEastAsia" w:eastAsiaTheme="minorEastAsia" w:hAnsiTheme="minorEastAsia" w:cs="Arial"/>
          <w:color w:val="000000"/>
          <w:kern w:val="0"/>
          <w:sz w:val="24"/>
        </w:rPr>
      </w:pPr>
    </w:p>
    <w:p w:rsidR="009A2283" w:rsidRPr="0078105B" w:rsidRDefault="009A2283" w:rsidP="009A2283">
      <w:pPr>
        <w:autoSpaceDE w:val="0"/>
        <w:autoSpaceDN w:val="0"/>
        <w:adjustRightInd w:val="0"/>
        <w:spacing w:line="360" w:lineRule="auto"/>
        <w:jc w:val="left"/>
        <w:rPr>
          <w:rFonts w:asciiTheme="minorEastAsia" w:eastAsiaTheme="minorEastAsia" w:hAnsiTheme="minorEastAsia" w:cs="Arial"/>
          <w:color w:val="000000"/>
          <w:kern w:val="0"/>
          <w:sz w:val="24"/>
        </w:rPr>
      </w:pPr>
    </w:p>
    <w:p w:rsidR="00FC7F43" w:rsidRPr="0078105B" w:rsidRDefault="00FC7F43" w:rsidP="009A2283">
      <w:pPr>
        <w:autoSpaceDE w:val="0"/>
        <w:autoSpaceDN w:val="0"/>
        <w:adjustRightInd w:val="0"/>
        <w:spacing w:line="360" w:lineRule="auto"/>
        <w:jc w:val="left"/>
        <w:rPr>
          <w:rFonts w:asciiTheme="minorEastAsia" w:eastAsiaTheme="minorEastAsia" w:hAnsiTheme="minorEastAsia" w:cs="Arial"/>
          <w:color w:val="000000"/>
          <w:kern w:val="0"/>
          <w:sz w:val="24"/>
        </w:rPr>
      </w:pPr>
    </w:p>
    <w:p w:rsidR="009A2283" w:rsidRPr="0078105B" w:rsidRDefault="009A2283" w:rsidP="009A2283">
      <w:pPr>
        <w:autoSpaceDE w:val="0"/>
        <w:autoSpaceDN w:val="0"/>
        <w:adjustRightInd w:val="0"/>
        <w:spacing w:line="360" w:lineRule="auto"/>
        <w:jc w:val="left"/>
        <w:rPr>
          <w:rFonts w:asciiTheme="minorEastAsia" w:eastAsiaTheme="minorEastAsia" w:hAnsiTheme="minorEastAsia" w:cs="Arial"/>
          <w:color w:val="000000"/>
          <w:kern w:val="0"/>
          <w:sz w:val="24"/>
        </w:rPr>
      </w:pPr>
    </w:p>
    <w:p w:rsidR="009A2283" w:rsidRPr="0078105B" w:rsidRDefault="009A2283" w:rsidP="009A2283">
      <w:pPr>
        <w:autoSpaceDE w:val="0"/>
        <w:autoSpaceDN w:val="0"/>
        <w:adjustRightInd w:val="0"/>
        <w:spacing w:line="360" w:lineRule="auto"/>
        <w:jc w:val="left"/>
        <w:rPr>
          <w:rFonts w:asciiTheme="minorEastAsia" w:eastAsiaTheme="minorEastAsia" w:hAnsiTheme="minorEastAsia" w:cs="Arial"/>
          <w:color w:val="000000"/>
          <w:kern w:val="0"/>
          <w:sz w:val="24"/>
        </w:rPr>
      </w:pPr>
    </w:p>
    <w:p w:rsidR="009A2283" w:rsidRPr="0078105B" w:rsidRDefault="002D2A00" w:rsidP="00FC13C8">
      <w:pPr>
        <w:spacing w:line="360" w:lineRule="auto"/>
        <w:jc w:val="center"/>
        <w:rPr>
          <w:rFonts w:asciiTheme="minorEastAsia" w:eastAsiaTheme="minorEastAsia" w:hAnsiTheme="minorEastAsia"/>
          <w:b/>
          <w:sz w:val="36"/>
          <w:szCs w:val="36"/>
        </w:rPr>
      </w:pPr>
      <w:r w:rsidRPr="0078105B">
        <w:rPr>
          <w:rFonts w:asciiTheme="minorEastAsia" w:eastAsiaTheme="minorEastAsia" w:hAnsiTheme="minorEastAsia" w:hint="eastAsia"/>
          <w:b/>
          <w:sz w:val="36"/>
          <w:szCs w:val="36"/>
        </w:rPr>
        <w:t>广发集安债券型证券投资基金</w:t>
      </w:r>
    </w:p>
    <w:p w:rsidR="002D2A00" w:rsidRPr="0078105B" w:rsidRDefault="002D2A00" w:rsidP="00FC13C8">
      <w:pPr>
        <w:spacing w:line="360" w:lineRule="auto"/>
        <w:jc w:val="center"/>
        <w:rPr>
          <w:rFonts w:asciiTheme="minorEastAsia" w:eastAsiaTheme="minorEastAsia" w:hAnsiTheme="minorEastAsia"/>
          <w:b/>
          <w:sz w:val="36"/>
          <w:szCs w:val="36"/>
        </w:rPr>
      </w:pPr>
      <w:r w:rsidRPr="0078105B">
        <w:rPr>
          <w:rFonts w:asciiTheme="minorEastAsia" w:eastAsiaTheme="minorEastAsia" w:hAnsiTheme="minorEastAsia" w:hint="eastAsia"/>
          <w:b/>
          <w:sz w:val="36"/>
          <w:szCs w:val="36"/>
        </w:rPr>
        <w:t>2018年第2季度报告</w:t>
      </w:r>
    </w:p>
    <w:p w:rsidR="009A2283" w:rsidRPr="003F7026" w:rsidRDefault="00121533" w:rsidP="00FC13C8">
      <w:pPr>
        <w:spacing w:line="360" w:lineRule="auto"/>
        <w:jc w:val="center"/>
        <w:rPr>
          <w:rFonts w:asciiTheme="minorEastAsia" w:eastAsiaTheme="minorEastAsia" w:hAnsiTheme="minorEastAsia"/>
          <w:b/>
          <w:sz w:val="24"/>
        </w:rPr>
      </w:pPr>
      <w:r w:rsidRPr="003F7026">
        <w:rPr>
          <w:rFonts w:asciiTheme="minorEastAsia" w:eastAsiaTheme="minorEastAsia" w:hAnsiTheme="minorEastAsia" w:hint="eastAsia"/>
          <w:b/>
          <w:sz w:val="24"/>
        </w:rPr>
        <w:t>2018年6月30日</w:t>
      </w:r>
    </w:p>
    <w:p w:rsidR="009A2283" w:rsidRPr="0078105B" w:rsidRDefault="009A2283" w:rsidP="009A2283">
      <w:pPr>
        <w:spacing w:line="360" w:lineRule="auto"/>
        <w:jc w:val="center"/>
        <w:rPr>
          <w:rFonts w:asciiTheme="minorEastAsia" w:eastAsiaTheme="minorEastAsia" w:hAnsiTheme="minorEastAsia"/>
          <w:b/>
          <w:color w:val="000000"/>
          <w:sz w:val="24"/>
        </w:rPr>
      </w:pPr>
    </w:p>
    <w:p w:rsidR="009A2283" w:rsidRPr="0078105B" w:rsidRDefault="009A2283" w:rsidP="009A2283">
      <w:pPr>
        <w:spacing w:line="360" w:lineRule="auto"/>
        <w:jc w:val="center"/>
        <w:rPr>
          <w:rFonts w:asciiTheme="minorEastAsia" w:eastAsiaTheme="minorEastAsia" w:hAnsiTheme="minorEastAsia"/>
          <w:b/>
          <w:color w:val="000000"/>
          <w:sz w:val="24"/>
        </w:rPr>
      </w:pPr>
    </w:p>
    <w:p w:rsidR="009A2283" w:rsidRPr="0078105B" w:rsidRDefault="009A2283" w:rsidP="009A2283">
      <w:pPr>
        <w:spacing w:line="360" w:lineRule="auto"/>
        <w:jc w:val="center"/>
        <w:rPr>
          <w:rFonts w:asciiTheme="minorEastAsia" w:eastAsiaTheme="minorEastAsia" w:hAnsiTheme="minorEastAsia"/>
          <w:b/>
          <w:color w:val="000000"/>
          <w:sz w:val="24"/>
        </w:rPr>
      </w:pPr>
    </w:p>
    <w:p w:rsidR="009A2283" w:rsidRPr="0078105B" w:rsidRDefault="009A2283" w:rsidP="009A2283">
      <w:pPr>
        <w:spacing w:line="360" w:lineRule="auto"/>
        <w:jc w:val="center"/>
        <w:rPr>
          <w:rFonts w:asciiTheme="minorEastAsia" w:eastAsiaTheme="minorEastAsia" w:hAnsiTheme="minorEastAsia"/>
          <w:b/>
          <w:color w:val="000000"/>
          <w:sz w:val="24"/>
        </w:rPr>
      </w:pPr>
    </w:p>
    <w:p w:rsidR="009A2283" w:rsidRPr="0078105B" w:rsidRDefault="009A2283" w:rsidP="009A2283">
      <w:pPr>
        <w:spacing w:line="360" w:lineRule="auto"/>
        <w:jc w:val="center"/>
        <w:rPr>
          <w:rFonts w:asciiTheme="minorEastAsia" w:eastAsiaTheme="minorEastAsia" w:hAnsiTheme="minorEastAsia"/>
          <w:b/>
          <w:color w:val="000000"/>
          <w:sz w:val="24"/>
        </w:rPr>
      </w:pPr>
    </w:p>
    <w:p w:rsidR="009A2283" w:rsidRPr="0078105B" w:rsidRDefault="009A2283" w:rsidP="009A2283">
      <w:pPr>
        <w:spacing w:line="360" w:lineRule="auto"/>
        <w:jc w:val="center"/>
        <w:rPr>
          <w:rFonts w:asciiTheme="minorEastAsia" w:eastAsiaTheme="minorEastAsia" w:hAnsiTheme="minorEastAsia"/>
          <w:b/>
          <w:color w:val="000000"/>
          <w:sz w:val="24"/>
        </w:rPr>
      </w:pPr>
    </w:p>
    <w:p w:rsidR="009A2283" w:rsidRPr="0078105B" w:rsidRDefault="009A2283" w:rsidP="009A2283">
      <w:pPr>
        <w:spacing w:line="360" w:lineRule="auto"/>
        <w:jc w:val="center"/>
        <w:rPr>
          <w:rFonts w:asciiTheme="minorEastAsia" w:eastAsiaTheme="minorEastAsia" w:hAnsiTheme="minorEastAsia"/>
          <w:b/>
          <w:color w:val="000000"/>
          <w:sz w:val="24"/>
        </w:rPr>
      </w:pPr>
    </w:p>
    <w:p w:rsidR="009A2283" w:rsidRPr="0078105B" w:rsidRDefault="009A2283" w:rsidP="009A2283">
      <w:pPr>
        <w:spacing w:line="360" w:lineRule="auto"/>
        <w:jc w:val="center"/>
        <w:rPr>
          <w:rFonts w:asciiTheme="minorEastAsia" w:eastAsiaTheme="minorEastAsia" w:hAnsiTheme="minorEastAsia"/>
          <w:b/>
          <w:color w:val="000000"/>
          <w:sz w:val="24"/>
        </w:rPr>
      </w:pPr>
    </w:p>
    <w:p w:rsidR="009A2283" w:rsidRPr="0078105B" w:rsidRDefault="009A2283" w:rsidP="009A2283">
      <w:pPr>
        <w:spacing w:line="360" w:lineRule="auto"/>
        <w:jc w:val="center"/>
        <w:rPr>
          <w:rFonts w:asciiTheme="minorEastAsia" w:eastAsiaTheme="minorEastAsia" w:hAnsiTheme="minorEastAsia"/>
          <w:b/>
          <w:color w:val="000000"/>
          <w:sz w:val="24"/>
        </w:rPr>
      </w:pPr>
    </w:p>
    <w:p w:rsidR="009A2283" w:rsidRPr="0078105B" w:rsidRDefault="009A2283" w:rsidP="00E27360">
      <w:pPr>
        <w:spacing w:line="360" w:lineRule="auto"/>
        <w:jc w:val="center"/>
        <w:rPr>
          <w:rFonts w:asciiTheme="minorEastAsia" w:eastAsiaTheme="minorEastAsia" w:hAnsiTheme="minorEastAsia"/>
          <w:b/>
          <w:color w:val="000000"/>
          <w:sz w:val="24"/>
        </w:rPr>
      </w:pPr>
    </w:p>
    <w:p w:rsidR="00E27360" w:rsidRPr="0078105B" w:rsidRDefault="00E27360" w:rsidP="00E27360">
      <w:pPr>
        <w:spacing w:line="360" w:lineRule="auto"/>
        <w:jc w:val="center"/>
        <w:rPr>
          <w:rFonts w:asciiTheme="minorEastAsia" w:eastAsiaTheme="minorEastAsia" w:hAnsiTheme="minorEastAsia"/>
          <w:b/>
          <w:color w:val="000000"/>
          <w:sz w:val="24"/>
        </w:rPr>
      </w:pPr>
    </w:p>
    <w:p w:rsidR="009A2283" w:rsidRPr="0078105B" w:rsidRDefault="009A2283" w:rsidP="009A2283">
      <w:pPr>
        <w:spacing w:line="360" w:lineRule="auto"/>
        <w:jc w:val="center"/>
        <w:rPr>
          <w:rFonts w:asciiTheme="minorEastAsia" w:eastAsiaTheme="minorEastAsia" w:hAnsiTheme="minorEastAsia"/>
          <w:b/>
          <w:color w:val="000000"/>
          <w:sz w:val="24"/>
        </w:rPr>
      </w:pPr>
    </w:p>
    <w:p w:rsidR="009A2283" w:rsidRPr="0078105B" w:rsidRDefault="009A2283" w:rsidP="009A2283">
      <w:pPr>
        <w:spacing w:line="360" w:lineRule="auto"/>
        <w:jc w:val="center"/>
        <w:rPr>
          <w:rFonts w:asciiTheme="minorEastAsia" w:eastAsiaTheme="minorEastAsia" w:hAnsiTheme="minorEastAsia"/>
          <w:b/>
          <w:color w:val="000000"/>
          <w:sz w:val="24"/>
        </w:rPr>
      </w:pPr>
    </w:p>
    <w:p w:rsidR="009A2283" w:rsidRPr="0078105B" w:rsidRDefault="009A2283" w:rsidP="009A2283">
      <w:pPr>
        <w:spacing w:line="360" w:lineRule="auto"/>
        <w:rPr>
          <w:rFonts w:asciiTheme="minorEastAsia" w:eastAsiaTheme="minorEastAsia" w:hAnsiTheme="minorEastAsia"/>
          <w:b/>
          <w:color w:val="000000"/>
          <w:sz w:val="24"/>
        </w:rPr>
      </w:pPr>
    </w:p>
    <w:p w:rsidR="009A2283" w:rsidRPr="0078105B" w:rsidRDefault="009A2283" w:rsidP="00FC13C8">
      <w:pPr>
        <w:spacing w:line="360" w:lineRule="auto"/>
        <w:ind w:firstLineChars="900" w:firstLine="2168"/>
        <w:rPr>
          <w:rFonts w:asciiTheme="minorEastAsia" w:eastAsiaTheme="minorEastAsia" w:hAnsiTheme="minorEastAsia"/>
          <w:b/>
          <w:color w:val="000000"/>
          <w:sz w:val="24"/>
        </w:rPr>
      </w:pPr>
      <w:r w:rsidRPr="0078105B">
        <w:rPr>
          <w:rFonts w:asciiTheme="minorEastAsia" w:eastAsiaTheme="minorEastAsia" w:hAnsiTheme="minorEastAsia" w:hint="eastAsia"/>
          <w:b/>
          <w:color w:val="000000"/>
          <w:sz w:val="24"/>
        </w:rPr>
        <w:t>基金管理人：</w:t>
      </w:r>
      <w:r w:rsidR="00BF377F" w:rsidRPr="0078105B">
        <w:rPr>
          <w:rFonts w:asciiTheme="minorEastAsia" w:eastAsiaTheme="minorEastAsia" w:hAnsiTheme="minorEastAsia"/>
          <w:b/>
          <w:color w:val="000000"/>
          <w:sz w:val="24"/>
        </w:rPr>
        <w:t>广发基金管理有限公司</w:t>
      </w:r>
    </w:p>
    <w:p w:rsidR="009A2283" w:rsidRPr="0078105B" w:rsidRDefault="009A2283" w:rsidP="00FC13C8">
      <w:pPr>
        <w:spacing w:line="360" w:lineRule="auto"/>
        <w:ind w:firstLineChars="900" w:firstLine="2168"/>
        <w:rPr>
          <w:rFonts w:asciiTheme="minorEastAsia" w:eastAsiaTheme="minorEastAsia" w:hAnsiTheme="minorEastAsia"/>
          <w:b/>
          <w:color w:val="000000"/>
          <w:sz w:val="24"/>
        </w:rPr>
      </w:pPr>
      <w:r w:rsidRPr="0078105B">
        <w:rPr>
          <w:rFonts w:asciiTheme="minorEastAsia" w:eastAsiaTheme="minorEastAsia" w:hAnsiTheme="minorEastAsia" w:hint="eastAsia"/>
          <w:b/>
          <w:color w:val="000000"/>
          <w:sz w:val="24"/>
        </w:rPr>
        <w:t>基金托管人：</w:t>
      </w:r>
      <w:r w:rsidR="00BF377F" w:rsidRPr="0078105B">
        <w:rPr>
          <w:rFonts w:asciiTheme="minorEastAsia" w:eastAsiaTheme="minorEastAsia" w:hAnsiTheme="minorEastAsia"/>
          <w:b/>
          <w:color w:val="000000"/>
          <w:sz w:val="24"/>
        </w:rPr>
        <w:t>交通银行股份有限公司</w:t>
      </w:r>
    </w:p>
    <w:p w:rsidR="009A2283" w:rsidRPr="0078105B" w:rsidRDefault="009A2283" w:rsidP="00FC13C8">
      <w:pPr>
        <w:spacing w:line="360" w:lineRule="auto"/>
        <w:ind w:firstLineChars="900" w:firstLine="2168"/>
        <w:rPr>
          <w:rFonts w:asciiTheme="minorEastAsia" w:eastAsiaTheme="minorEastAsia" w:hAnsiTheme="minorEastAsia"/>
          <w:sz w:val="24"/>
        </w:rPr>
        <w:sectPr w:rsidR="009A2283" w:rsidRPr="0078105B" w:rsidSect="00F7094A">
          <w:headerReference w:type="default" r:id="rId8"/>
          <w:footerReference w:type="default" r:id="rId9"/>
          <w:pgSz w:w="11926" w:h="15840"/>
          <w:pgMar w:top="1418" w:right="1418" w:bottom="851" w:left="1418" w:header="851" w:footer="992" w:gutter="0"/>
          <w:cols w:space="720"/>
          <w:noEndnote/>
        </w:sectPr>
      </w:pPr>
      <w:r w:rsidRPr="0078105B">
        <w:rPr>
          <w:rFonts w:asciiTheme="minorEastAsia" w:eastAsiaTheme="minorEastAsia" w:hAnsiTheme="minorEastAsia" w:hint="eastAsia"/>
          <w:b/>
          <w:color w:val="000000"/>
          <w:sz w:val="24"/>
        </w:rPr>
        <w:t>报告</w:t>
      </w:r>
      <w:r w:rsidRPr="0078105B">
        <w:rPr>
          <w:rFonts w:asciiTheme="minorEastAsia" w:eastAsiaTheme="minorEastAsia" w:hAnsiTheme="minorEastAsia"/>
          <w:b/>
          <w:color w:val="000000"/>
          <w:sz w:val="24"/>
        </w:rPr>
        <w:t>送出日期：</w:t>
      </w:r>
      <w:r w:rsidR="00D04410" w:rsidRPr="0078105B">
        <w:rPr>
          <w:rFonts w:asciiTheme="minorEastAsia" w:eastAsiaTheme="minorEastAsia" w:hAnsiTheme="minorEastAsia"/>
          <w:b/>
          <w:color w:val="000000"/>
          <w:sz w:val="24"/>
        </w:rPr>
        <w:t>二〇一八年七月二十日</w:t>
      </w:r>
    </w:p>
    <w:p w:rsidR="009238DB" w:rsidRPr="00B75DF8" w:rsidRDefault="009238DB" w:rsidP="00341503">
      <w:pPr>
        <w:pStyle w:val="1"/>
        <w:spacing w:beforeLines="100" w:afterLines="100" w:line="360" w:lineRule="auto"/>
        <w:jc w:val="center"/>
        <w:rPr>
          <w:rFonts w:asciiTheme="minorEastAsia" w:eastAsiaTheme="minorEastAsia" w:hAnsiTheme="minorEastAsia" w:cs="Arial"/>
          <w:b w:val="0"/>
          <w:color w:val="000000"/>
          <w:kern w:val="0"/>
          <w:sz w:val="24"/>
          <w:szCs w:val="24"/>
        </w:rPr>
      </w:pPr>
      <w:r w:rsidRPr="00B75DF8">
        <w:rPr>
          <w:rFonts w:asciiTheme="minorEastAsia" w:eastAsiaTheme="minorEastAsia" w:hAnsiTheme="minorEastAsia" w:cs="Arial" w:hint="eastAsia"/>
          <w:color w:val="000000"/>
          <w:kern w:val="0"/>
          <w:sz w:val="24"/>
          <w:szCs w:val="24"/>
        </w:rPr>
        <w:lastRenderedPageBreak/>
        <w:t>§</w:t>
      </w:r>
      <w:r w:rsidRPr="00B75DF8">
        <w:rPr>
          <w:rFonts w:asciiTheme="minorEastAsia" w:eastAsiaTheme="minorEastAsia" w:hAnsiTheme="minorEastAsia" w:cs="Arial"/>
          <w:color w:val="000000"/>
          <w:kern w:val="0"/>
          <w:sz w:val="24"/>
          <w:szCs w:val="24"/>
        </w:rPr>
        <w:t xml:space="preserve">1  </w:t>
      </w:r>
      <w:r w:rsidRPr="00B75DF8">
        <w:rPr>
          <w:rFonts w:asciiTheme="minorEastAsia" w:eastAsiaTheme="minorEastAsia" w:hAnsiTheme="minorEastAsia" w:cs="Arial" w:hint="eastAsia"/>
          <w:color w:val="000000"/>
          <w:kern w:val="0"/>
          <w:sz w:val="24"/>
          <w:szCs w:val="24"/>
        </w:rPr>
        <w:t>重要提示</w:t>
      </w:r>
    </w:p>
    <w:p w:rsidR="001C4558" w:rsidRDefault="00341503">
      <w:pPr>
        <w:spacing w:line="360"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1C4558" w:rsidRDefault="00341503">
      <w:pPr>
        <w:spacing w:line="360" w:lineRule="auto"/>
        <w:ind w:firstLineChars="200" w:firstLine="480"/>
        <w:rPr>
          <w:rFonts w:eastAsiaTheme="minorEastAsia"/>
          <w:color w:val="000000"/>
          <w:sz w:val="24"/>
        </w:rPr>
      </w:pPr>
      <w:r>
        <w:rPr>
          <w:rFonts w:eastAsiaTheme="minorEastAsia"/>
          <w:color w:val="000000"/>
          <w:sz w:val="24"/>
        </w:rPr>
        <w:t>基金托管人交通银行股份有限公司根据本基金合同规定，于</w:t>
      </w:r>
      <w:r>
        <w:rPr>
          <w:rFonts w:eastAsiaTheme="minorEastAsia"/>
          <w:color w:val="000000"/>
          <w:sz w:val="24"/>
        </w:rPr>
        <w:t>2018</w:t>
      </w:r>
      <w:r>
        <w:rPr>
          <w:rFonts w:eastAsiaTheme="minorEastAsia"/>
          <w:color w:val="000000"/>
          <w:sz w:val="24"/>
        </w:rPr>
        <w:t>年</w:t>
      </w:r>
      <w:r>
        <w:rPr>
          <w:rFonts w:eastAsiaTheme="minorEastAsia"/>
          <w:color w:val="000000"/>
          <w:sz w:val="24"/>
        </w:rPr>
        <w:t>7</w:t>
      </w:r>
      <w:r>
        <w:rPr>
          <w:rFonts w:eastAsiaTheme="minorEastAsia"/>
          <w:color w:val="000000"/>
          <w:sz w:val="24"/>
        </w:rPr>
        <w:t>月</w:t>
      </w:r>
      <w:r>
        <w:rPr>
          <w:rFonts w:eastAsiaTheme="minorEastAsia"/>
          <w:color w:val="000000"/>
          <w:sz w:val="24"/>
        </w:rPr>
        <w:t>18</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1C4558" w:rsidRDefault="00341503">
      <w:pPr>
        <w:spacing w:line="360"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1C4558" w:rsidRDefault="00341503">
      <w:pPr>
        <w:spacing w:line="360"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w:t>
      </w:r>
      <w:r>
        <w:rPr>
          <w:rFonts w:eastAsiaTheme="minorEastAsia"/>
          <w:color w:val="000000"/>
          <w:sz w:val="24"/>
        </w:rPr>
        <w:t>书。</w:t>
      </w:r>
      <w:r>
        <w:rPr>
          <w:rFonts w:eastAsiaTheme="minorEastAsia"/>
          <w:color w:val="000000"/>
          <w:sz w:val="24"/>
        </w:rPr>
        <w:t xml:space="preserve"> </w:t>
      </w:r>
    </w:p>
    <w:p w:rsidR="001C4558" w:rsidRDefault="00341503">
      <w:pPr>
        <w:spacing w:line="360" w:lineRule="auto"/>
        <w:ind w:firstLineChars="200" w:firstLine="480"/>
        <w:rPr>
          <w:rFonts w:eastAsiaTheme="minorEastAsia"/>
          <w:color w:val="000000"/>
          <w:sz w:val="24"/>
        </w:rPr>
      </w:pPr>
      <w:r>
        <w:rPr>
          <w:rFonts w:eastAsiaTheme="minorEastAsia"/>
          <w:color w:val="000000"/>
          <w:sz w:val="24"/>
        </w:rPr>
        <w:t>本报告中财务资料未经审计。</w:t>
      </w:r>
    </w:p>
    <w:p w:rsidR="009238DB" w:rsidRPr="00264591" w:rsidRDefault="00267DA9" w:rsidP="00B75DF8">
      <w:pPr>
        <w:spacing w:line="360" w:lineRule="auto"/>
        <w:ind w:firstLineChars="200" w:firstLine="480"/>
        <w:rPr>
          <w:rFonts w:eastAsiaTheme="minorEastAsia"/>
          <w:color w:val="000000"/>
          <w:sz w:val="24"/>
        </w:rPr>
      </w:pPr>
      <w:r w:rsidRPr="00264591">
        <w:rPr>
          <w:rFonts w:eastAsiaTheme="minorEastAsia"/>
          <w:color w:val="000000"/>
          <w:sz w:val="24"/>
        </w:rPr>
        <w:t>本报告期自</w:t>
      </w:r>
      <w:r w:rsidRPr="00264591">
        <w:rPr>
          <w:rFonts w:eastAsiaTheme="minorEastAsia"/>
          <w:color w:val="000000"/>
          <w:sz w:val="24"/>
        </w:rPr>
        <w:t>2018</w:t>
      </w:r>
      <w:r w:rsidRPr="00264591">
        <w:rPr>
          <w:rFonts w:eastAsiaTheme="minorEastAsia"/>
          <w:color w:val="000000"/>
          <w:sz w:val="24"/>
        </w:rPr>
        <w:t>年</w:t>
      </w:r>
      <w:r w:rsidRPr="00264591">
        <w:rPr>
          <w:rFonts w:eastAsiaTheme="minorEastAsia"/>
          <w:color w:val="000000"/>
          <w:sz w:val="24"/>
        </w:rPr>
        <w:t>4</w:t>
      </w:r>
      <w:r w:rsidRPr="00264591">
        <w:rPr>
          <w:rFonts w:eastAsiaTheme="minorEastAsia"/>
          <w:color w:val="000000"/>
          <w:sz w:val="24"/>
        </w:rPr>
        <w:t>月</w:t>
      </w:r>
      <w:r w:rsidRPr="00264591">
        <w:rPr>
          <w:rFonts w:eastAsiaTheme="minorEastAsia"/>
          <w:color w:val="000000"/>
          <w:sz w:val="24"/>
        </w:rPr>
        <w:t>1</w:t>
      </w:r>
      <w:r w:rsidRPr="00264591">
        <w:rPr>
          <w:rFonts w:eastAsiaTheme="minorEastAsia"/>
          <w:color w:val="000000"/>
          <w:sz w:val="24"/>
        </w:rPr>
        <w:t>日起至</w:t>
      </w:r>
      <w:r w:rsidRPr="00264591">
        <w:rPr>
          <w:rFonts w:eastAsiaTheme="minorEastAsia"/>
          <w:color w:val="000000"/>
          <w:sz w:val="24"/>
        </w:rPr>
        <w:t>6</w:t>
      </w:r>
      <w:r w:rsidRPr="00264591">
        <w:rPr>
          <w:rFonts w:eastAsiaTheme="minorEastAsia"/>
          <w:color w:val="000000"/>
          <w:sz w:val="24"/>
        </w:rPr>
        <w:t>月</w:t>
      </w:r>
      <w:r w:rsidRPr="00264591">
        <w:rPr>
          <w:rFonts w:eastAsiaTheme="minorEastAsia"/>
          <w:color w:val="000000"/>
          <w:sz w:val="24"/>
        </w:rPr>
        <w:t>30</w:t>
      </w:r>
      <w:r w:rsidRPr="00264591">
        <w:rPr>
          <w:rFonts w:eastAsiaTheme="minorEastAsia"/>
          <w:color w:val="000000"/>
          <w:sz w:val="24"/>
        </w:rPr>
        <w:t>日止。</w:t>
      </w:r>
    </w:p>
    <w:p w:rsidR="009238DB" w:rsidRPr="00B75DF8" w:rsidRDefault="009238DB" w:rsidP="00341503">
      <w:pPr>
        <w:pStyle w:val="1"/>
        <w:spacing w:beforeLines="100" w:afterLines="100" w:line="360" w:lineRule="auto"/>
        <w:jc w:val="center"/>
        <w:rPr>
          <w:rFonts w:asciiTheme="minorEastAsia" w:eastAsiaTheme="minorEastAsia" w:hAnsiTheme="minorEastAsia" w:cs="Arial"/>
          <w:color w:val="000000"/>
          <w:kern w:val="0"/>
          <w:sz w:val="24"/>
          <w:szCs w:val="24"/>
        </w:rPr>
      </w:pPr>
      <w:r w:rsidRPr="00B75DF8">
        <w:rPr>
          <w:rFonts w:asciiTheme="minorEastAsia" w:eastAsiaTheme="minorEastAsia" w:hAnsiTheme="minorEastAsia" w:cs="Arial" w:hint="eastAsia"/>
          <w:color w:val="000000"/>
          <w:kern w:val="0"/>
          <w:sz w:val="24"/>
          <w:szCs w:val="24"/>
        </w:rPr>
        <w:t>§</w:t>
      </w:r>
      <w:r w:rsidRPr="00B75DF8">
        <w:rPr>
          <w:rFonts w:asciiTheme="minorEastAsia" w:eastAsiaTheme="minorEastAsia" w:hAnsiTheme="minorEastAsia" w:cs="Arial"/>
          <w:color w:val="000000"/>
          <w:kern w:val="0"/>
          <w:sz w:val="24"/>
          <w:szCs w:val="24"/>
        </w:rPr>
        <w:t xml:space="preserve">2  </w:t>
      </w:r>
      <w:r w:rsidRPr="00B75DF8">
        <w:rPr>
          <w:rFonts w:asciiTheme="minorEastAsia" w:eastAsiaTheme="minorEastAsia" w:hAnsiTheme="minorEastAsia"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2739"/>
        <w:gridCol w:w="2740"/>
      </w:tblGrid>
      <w:tr w:rsidR="00A6200E" w:rsidRPr="00B75DF8" w:rsidTr="003F7026">
        <w:tc>
          <w:tcPr>
            <w:tcW w:w="2835" w:type="dxa"/>
            <w:vAlign w:val="center"/>
          </w:tcPr>
          <w:p w:rsidR="00A6200E" w:rsidRPr="00D32161" w:rsidRDefault="00A6200E" w:rsidP="003F7026">
            <w:pPr>
              <w:adjustRightInd w:val="0"/>
              <w:spacing w:before="29" w:line="360" w:lineRule="auto"/>
              <w:ind w:left="17"/>
              <w:rPr>
                <w:rFonts w:eastAsiaTheme="minorEastAsia"/>
                <w:kern w:val="0"/>
                <w:sz w:val="24"/>
              </w:rPr>
            </w:pPr>
            <w:r w:rsidRPr="00D32161">
              <w:rPr>
                <w:rFonts w:eastAsiaTheme="minorEastAsia"/>
                <w:kern w:val="0"/>
                <w:sz w:val="24"/>
              </w:rPr>
              <w:t>基金简称</w:t>
            </w:r>
          </w:p>
        </w:tc>
        <w:tc>
          <w:tcPr>
            <w:tcW w:w="5479" w:type="dxa"/>
            <w:gridSpan w:val="2"/>
            <w:vAlign w:val="center"/>
          </w:tcPr>
          <w:p w:rsidR="00A6200E" w:rsidRPr="00D32161" w:rsidRDefault="00A6200E" w:rsidP="003F7026">
            <w:pPr>
              <w:adjustRightInd w:val="0"/>
              <w:spacing w:before="29" w:line="360" w:lineRule="auto"/>
              <w:ind w:left="17"/>
              <w:rPr>
                <w:rFonts w:eastAsiaTheme="minorEastAsia"/>
                <w:color w:val="000000"/>
                <w:kern w:val="0"/>
                <w:sz w:val="24"/>
              </w:rPr>
            </w:pPr>
            <w:r w:rsidRPr="00D32161">
              <w:rPr>
                <w:rFonts w:eastAsiaTheme="minorEastAsia"/>
                <w:color w:val="000000"/>
                <w:kern w:val="0"/>
                <w:sz w:val="24"/>
              </w:rPr>
              <w:t>广发集安债券</w:t>
            </w:r>
          </w:p>
        </w:tc>
      </w:tr>
      <w:tr w:rsidR="00B95753" w:rsidRPr="00B75DF8" w:rsidTr="003F7026">
        <w:tc>
          <w:tcPr>
            <w:tcW w:w="2835" w:type="dxa"/>
            <w:vAlign w:val="center"/>
          </w:tcPr>
          <w:p w:rsidR="00B95753" w:rsidRPr="00D32161" w:rsidRDefault="00B95753" w:rsidP="003F7026">
            <w:pPr>
              <w:adjustRightInd w:val="0"/>
              <w:spacing w:before="29" w:line="360" w:lineRule="auto"/>
              <w:ind w:left="17"/>
              <w:rPr>
                <w:rFonts w:eastAsiaTheme="minorEastAsia"/>
                <w:kern w:val="0"/>
                <w:sz w:val="24"/>
              </w:rPr>
            </w:pPr>
            <w:r w:rsidRPr="00D32161">
              <w:rPr>
                <w:rFonts w:eastAsiaTheme="minorEastAsia"/>
                <w:kern w:val="0"/>
                <w:sz w:val="24"/>
              </w:rPr>
              <w:t>基金主代码</w:t>
            </w:r>
          </w:p>
        </w:tc>
        <w:tc>
          <w:tcPr>
            <w:tcW w:w="5479" w:type="dxa"/>
            <w:gridSpan w:val="2"/>
            <w:tcBorders>
              <w:bottom w:val="single" w:sz="4" w:space="0" w:color="auto"/>
            </w:tcBorders>
            <w:vAlign w:val="center"/>
          </w:tcPr>
          <w:p w:rsidR="00B95753" w:rsidRPr="00D32161" w:rsidRDefault="00B95753" w:rsidP="003F7026">
            <w:pPr>
              <w:adjustRightInd w:val="0"/>
              <w:spacing w:before="29" w:line="360" w:lineRule="auto"/>
              <w:ind w:left="17"/>
              <w:rPr>
                <w:rFonts w:eastAsiaTheme="minorEastAsia"/>
                <w:color w:val="000000"/>
                <w:kern w:val="0"/>
                <w:sz w:val="24"/>
              </w:rPr>
            </w:pPr>
            <w:r w:rsidRPr="00D32161">
              <w:rPr>
                <w:rFonts w:eastAsiaTheme="minorEastAsia"/>
                <w:color w:val="000000"/>
                <w:kern w:val="0"/>
                <w:sz w:val="24"/>
              </w:rPr>
              <w:t>003211</w:t>
            </w:r>
          </w:p>
        </w:tc>
      </w:tr>
      <w:tr w:rsidR="008532F3" w:rsidRPr="00B75DF8" w:rsidTr="003F7026">
        <w:tc>
          <w:tcPr>
            <w:tcW w:w="2835" w:type="dxa"/>
            <w:vAlign w:val="center"/>
          </w:tcPr>
          <w:p w:rsidR="008532F3" w:rsidRPr="00D32161" w:rsidRDefault="008532F3" w:rsidP="003F7026">
            <w:pPr>
              <w:adjustRightInd w:val="0"/>
              <w:spacing w:before="29" w:line="360" w:lineRule="auto"/>
              <w:ind w:left="17"/>
              <w:rPr>
                <w:rFonts w:eastAsiaTheme="minorEastAsia"/>
                <w:sz w:val="24"/>
              </w:rPr>
            </w:pPr>
            <w:r w:rsidRPr="00D32161">
              <w:rPr>
                <w:rFonts w:eastAsiaTheme="minorEastAsia"/>
                <w:kern w:val="0"/>
                <w:sz w:val="24"/>
              </w:rPr>
              <w:t>基金运作方式</w:t>
            </w:r>
          </w:p>
        </w:tc>
        <w:tc>
          <w:tcPr>
            <w:tcW w:w="5479" w:type="dxa"/>
            <w:gridSpan w:val="2"/>
            <w:tcBorders>
              <w:top w:val="single" w:sz="4" w:space="0" w:color="auto"/>
            </w:tcBorders>
            <w:vAlign w:val="center"/>
          </w:tcPr>
          <w:p w:rsidR="008532F3" w:rsidRPr="00D32161" w:rsidRDefault="008532F3" w:rsidP="003F7026">
            <w:pPr>
              <w:adjustRightInd w:val="0"/>
              <w:spacing w:before="29" w:line="360" w:lineRule="auto"/>
              <w:ind w:left="17"/>
              <w:rPr>
                <w:rFonts w:eastAsiaTheme="minorEastAsia"/>
                <w:color w:val="000000"/>
                <w:sz w:val="24"/>
              </w:rPr>
            </w:pPr>
            <w:r w:rsidRPr="00D32161">
              <w:rPr>
                <w:rFonts w:eastAsiaTheme="minorEastAsia"/>
                <w:color w:val="000000"/>
                <w:kern w:val="0"/>
                <w:sz w:val="24"/>
              </w:rPr>
              <w:t>契约型开放式</w:t>
            </w:r>
          </w:p>
        </w:tc>
      </w:tr>
      <w:tr w:rsidR="008532F3" w:rsidRPr="00B75DF8" w:rsidTr="003F7026">
        <w:tc>
          <w:tcPr>
            <w:tcW w:w="2835" w:type="dxa"/>
            <w:vAlign w:val="center"/>
          </w:tcPr>
          <w:p w:rsidR="008532F3" w:rsidRPr="00D32161" w:rsidRDefault="008532F3" w:rsidP="003F7026">
            <w:pPr>
              <w:adjustRightInd w:val="0"/>
              <w:spacing w:before="29" w:line="360" w:lineRule="auto"/>
              <w:ind w:left="17"/>
              <w:rPr>
                <w:rFonts w:eastAsiaTheme="minorEastAsia"/>
                <w:sz w:val="24"/>
              </w:rPr>
            </w:pPr>
            <w:r w:rsidRPr="00D32161">
              <w:rPr>
                <w:rFonts w:eastAsiaTheme="minorEastAsia"/>
                <w:kern w:val="0"/>
                <w:sz w:val="24"/>
              </w:rPr>
              <w:t>基金合同生效日</w:t>
            </w:r>
          </w:p>
        </w:tc>
        <w:tc>
          <w:tcPr>
            <w:tcW w:w="5479" w:type="dxa"/>
            <w:gridSpan w:val="2"/>
            <w:vAlign w:val="center"/>
          </w:tcPr>
          <w:p w:rsidR="008532F3" w:rsidRPr="00D32161" w:rsidRDefault="008532F3" w:rsidP="003F7026">
            <w:pPr>
              <w:adjustRightInd w:val="0"/>
              <w:spacing w:before="29" w:line="360" w:lineRule="auto"/>
              <w:ind w:left="17"/>
              <w:rPr>
                <w:rFonts w:eastAsiaTheme="minorEastAsia"/>
                <w:color w:val="000000"/>
                <w:kern w:val="0"/>
                <w:sz w:val="24"/>
              </w:rPr>
            </w:pPr>
            <w:r w:rsidRPr="00D32161">
              <w:rPr>
                <w:rFonts w:eastAsiaTheme="minorEastAsia"/>
                <w:color w:val="000000"/>
                <w:kern w:val="0"/>
                <w:sz w:val="24"/>
              </w:rPr>
              <w:t>2017</w:t>
            </w:r>
            <w:r w:rsidRPr="00D32161">
              <w:rPr>
                <w:rFonts w:eastAsiaTheme="minorEastAsia"/>
                <w:color w:val="000000"/>
                <w:kern w:val="0"/>
                <w:sz w:val="24"/>
              </w:rPr>
              <w:t>年</w:t>
            </w:r>
            <w:r w:rsidRPr="00D32161">
              <w:rPr>
                <w:rFonts w:eastAsiaTheme="minorEastAsia"/>
                <w:color w:val="000000"/>
                <w:kern w:val="0"/>
                <w:sz w:val="24"/>
              </w:rPr>
              <w:t>1</w:t>
            </w:r>
            <w:r w:rsidRPr="00D32161">
              <w:rPr>
                <w:rFonts w:eastAsiaTheme="minorEastAsia"/>
                <w:color w:val="000000"/>
                <w:kern w:val="0"/>
                <w:sz w:val="24"/>
              </w:rPr>
              <w:t>月</w:t>
            </w:r>
            <w:r w:rsidRPr="00D32161">
              <w:rPr>
                <w:rFonts w:eastAsiaTheme="minorEastAsia"/>
                <w:color w:val="000000"/>
                <w:kern w:val="0"/>
                <w:sz w:val="24"/>
              </w:rPr>
              <w:t>20</w:t>
            </w:r>
            <w:r w:rsidRPr="00D32161">
              <w:rPr>
                <w:rFonts w:eastAsiaTheme="minorEastAsia"/>
                <w:color w:val="000000"/>
                <w:kern w:val="0"/>
                <w:sz w:val="24"/>
              </w:rPr>
              <w:t>日</w:t>
            </w:r>
          </w:p>
        </w:tc>
      </w:tr>
      <w:tr w:rsidR="008532F3" w:rsidRPr="00B75DF8" w:rsidTr="003F7026">
        <w:tc>
          <w:tcPr>
            <w:tcW w:w="2835" w:type="dxa"/>
            <w:vAlign w:val="center"/>
          </w:tcPr>
          <w:p w:rsidR="008532F3" w:rsidRPr="00D32161" w:rsidRDefault="008532F3" w:rsidP="003F7026">
            <w:pPr>
              <w:adjustRightInd w:val="0"/>
              <w:spacing w:before="29" w:line="360" w:lineRule="auto"/>
              <w:ind w:left="17"/>
              <w:rPr>
                <w:rFonts w:eastAsiaTheme="minorEastAsia"/>
                <w:sz w:val="24"/>
              </w:rPr>
            </w:pPr>
            <w:r w:rsidRPr="00D32161">
              <w:rPr>
                <w:rFonts w:eastAsiaTheme="minorEastAsia"/>
                <w:kern w:val="0"/>
                <w:sz w:val="24"/>
              </w:rPr>
              <w:t>报告期末基金份额总额</w:t>
            </w:r>
          </w:p>
        </w:tc>
        <w:tc>
          <w:tcPr>
            <w:tcW w:w="5479" w:type="dxa"/>
            <w:gridSpan w:val="2"/>
            <w:vAlign w:val="center"/>
          </w:tcPr>
          <w:p w:rsidR="008532F3" w:rsidRPr="00D32161" w:rsidRDefault="008532F3" w:rsidP="003F7026">
            <w:pPr>
              <w:adjustRightInd w:val="0"/>
              <w:spacing w:before="29" w:line="360" w:lineRule="auto"/>
              <w:ind w:left="17"/>
              <w:rPr>
                <w:rFonts w:eastAsiaTheme="minorEastAsia"/>
                <w:color w:val="000000"/>
                <w:sz w:val="24"/>
              </w:rPr>
            </w:pPr>
            <w:r w:rsidRPr="00D32161">
              <w:rPr>
                <w:rFonts w:eastAsiaTheme="minorEastAsia"/>
                <w:color w:val="000000"/>
                <w:kern w:val="0"/>
                <w:sz w:val="24"/>
              </w:rPr>
              <w:t>12,401.40</w:t>
            </w:r>
            <w:r w:rsidRPr="00D32161">
              <w:rPr>
                <w:rFonts w:eastAsiaTheme="minorEastAsia"/>
                <w:color w:val="000000"/>
                <w:kern w:val="0"/>
                <w:sz w:val="24"/>
              </w:rPr>
              <w:t>份</w:t>
            </w:r>
          </w:p>
        </w:tc>
      </w:tr>
      <w:tr w:rsidR="008532F3" w:rsidRPr="00B75DF8" w:rsidTr="003F7026">
        <w:tc>
          <w:tcPr>
            <w:tcW w:w="2835" w:type="dxa"/>
            <w:vAlign w:val="center"/>
          </w:tcPr>
          <w:p w:rsidR="008532F3" w:rsidRPr="00D32161" w:rsidRDefault="008532F3" w:rsidP="003F7026">
            <w:pPr>
              <w:adjustRightInd w:val="0"/>
              <w:spacing w:before="29" w:line="360" w:lineRule="auto"/>
              <w:ind w:left="17"/>
              <w:rPr>
                <w:rFonts w:eastAsiaTheme="minorEastAsia"/>
                <w:sz w:val="24"/>
              </w:rPr>
            </w:pPr>
            <w:r w:rsidRPr="00D32161">
              <w:rPr>
                <w:rFonts w:eastAsiaTheme="minorEastAsia"/>
                <w:kern w:val="0"/>
                <w:sz w:val="24"/>
              </w:rPr>
              <w:t>投资目标</w:t>
            </w:r>
          </w:p>
        </w:tc>
        <w:tc>
          <w:tcPr>
            <w:tcW w:w="5479" w:type="dxa"/>
            <w:gridSpan w:val="2"/>
            <w:vAlign w:val="center"/>
          </w:tcPr>
          <w:p w:rsidR="008532F3" w:rsidRPr="00D32161" w:rsidRDefault="008532F3" w:rsidP="003F7026">
            <w:pPr>
              <w:adjustRightInd w:val="0"/>
              <w:spacing w:before="29" w:line="360" w:lineRule="auto"/>
              <w:ind w:left="17"/>
              <w:rPr>
                <w:rFonts w:eastAsiaTheme="minorEastAsia"/>
                <w:color w:val="000000"/>
                <w:sz w:val="24"/>
              </w:rPr>
            </w:pPr>
            <w:r w:rsidRPr="00D32161">
              <w:rPr>
                <w:rFonts w:eastAsiaTheme="minorEastAsia"/>
                <w:color w:val="000000"/>
                <w:kern w:val="0"/>
                <w:sz w:val="24"/>
              </w:rPr>
              <w:t>在严格控制风险和保持资产流动性的基础上，通过灵活的资产配置，力求实现基金资产的持续稳健增值。</w:t>
            </w:r>
            <w:r w:rsidRPr="00D32161">
              <w:rPr>
                <w:rFonts w:eastAsiaTheme="minorEastAsia"/>
                <w:color w:val="000000"/>
                <w:kern w:val="0"/>
                <w:sz w:val="24"/>
              </w:rPr>
              <w:t xml:space="preserve"> </w:t>
            </w:r>
          </w:p>
        </w:tc>
      </w:tr>
      <w:tr w:rsidR="008532F3" w:rsidRPr="00B75DF8" w:rsidTr="003F7026">
        <w:tc>
          <w:tcPr>
            <w:tcW w:w="2835" w:type="dxa"/>
            <w:vAlign w:val="center"/>
          </w:tcPr>
          <w:p w:rsidR="008532F3" w:rsidRPr="00D32161" w:rsidRDefault="008532F3" w:rsidP="003F7026">
            <w:pPr>
              <w:adjustRightInd w:val="0"/>
              <w:spacing w:before="29" w:line="360" w:lineRule="auto"/>
              <w:ind w:left="17"/>
              <w:rPr>
                <w:rFonts w:eastAsiaTheme="minorEastAsia"/>
                <w:sz w:val="24"/>
              </w:rPr>
            </w:pPr>
            <w:r w:rsidRPr="00D32161">
              <w:rPr>
                <w:rFonts w:eastAsiaTheme="minorEastAsia"/>
                <w:kern w:val="0"/>
                <w:sz w:val="24"/>
              </w:rPr>
              <w:t>投资策略</w:t>
            </w:r>
          </w:p>
        </w:tc>
        <w:tc>
          <w:tcPr>
            <w:tcW w:w="5479" w:type="dxa"/>
            <w:gridSpan w:val="2"/>
            <w:vAlign w:val="center"/>
          </w:tcPr>
          <w:p w:rsidR="008532F3" w:rsidRPr="00D32161" w:rsidRDefault="008532F3" w:rsidP="003F7026">
            <w:pPr>
              <w:adjustRightInd w:val="0"/>
              <w:spacing w:before="29" w:line="360" w:lineRule="auto"/>
              <w:ind w:left="17"/>
              <w:rPr>
                <w:rFonts w:eastAsiaTheme="minorEastAsia"/>
                <w:color w:val="000000"/>
                <w:sz w:val="24"/>
              </w:rPr>
            </w:pPr>
            <w:r w:rsidRPr="00D32161">
              <w:rPr>
                <w:rFonts w:eastAsiaTheme="minorEastAsia"/>
                <w:color w:val="000000"/>
                <w:kern w:val="0"/>
                <w:sz w:val="24"/>
              </w:rPr>
              <w:t>本基金将密切关注股票、债券市场的运行状况与风险收益特征，通过自上而下的定性分析和定量分析，综合分析宏观经济形势、国家政策、市场流动性和估值水平等因素，判断金融市场运行趋势和不同资产类别在经济周期的不同阶段的相对投资价</w:t>
            </w:r>
            <w:r w:rsidRPr="00D32161">
              <w:rPr>
                <w:rFonts w:eastAsiaTheme="minorEastAsia"/>
                <w:color w:val="000000"/>
                <w:kern w:val="0"/>
                <w:sz w:val="24"/>
              </w:rPr>
              <w:lastRenderedPageBreak/>
              <w:t>值，对各大类资产的风险收益特征进行评估，从而确定固定收益类资产和权益类资产的配置比例，并依据各因素的动态变化进行及时调整。</w:t>
            </w:r>
          </w:p>
        </w:tc>
      </w:tr>
      <w:tr w:rsidR="008532F3" w:rsidRPr="00B75DF8" w:rsidTr="003F7026">
        <w:tc>
          <w:tcPr>
            <w:tcW w:w="2835" w:type="dxa"/>
            <w:vAlign w:val="center"/>
          </w:tcPr>
          <w:p w:rsidR="008532F3" w:rsidRPr="00D32161" w:rsidRDefault="008532F3" w:rsidP="003F7026">
            <w:pPr>
              <w:adjustRightInd w:val="0"/>
              <w:spacing w:before="29" w:line="360" w:lineRule="auto"/>
              <w:ind w:left="17"/>
              <w:rPr>
                <w:rFonts w:eastAsiaTheme="minorEastAsia"/>
                <w:sz w:val="24"/>
              </w:rPr>
            </w:pPr>
            <w:r w:rsidRPr="00D32161">
              <w:rPr>
                <w:rFonts w:eastAsiaTheme="minorEastAsia"/>
                <w:kern w:val="0"/>
                <w:sz w:val="24"/>
              </w:rPr>
              <w:lastRenderedPageBreak/>
              <w:t>业绩比较基准</w:t>
            </w:r>
          </w:p>
        </w:tc>
        <w:tc>
          <w:tcPr>
            <w:tcW w:w="5479" w:type="dxa"/>
            <w:gridSpan w:val="2"/>
            <w:vAlign w:val="center"/>
          </w:tcPr>
          <w:p w:rsidR="008532F3" w:rsidRPr="00D32161" w:rsidRDefault="008532F3" w:rsidP="003F7026">
            <w:pPr>
              <w:adjustRightInd w:val="0"/>
              <w:spacing w:before="29" w:line="360" w:lineRule="auto"/>
              <w:ind w:left="17"/>
              <w:rPr>
                <w:rFonts w:eastAsiaTheme="minorEastAsia"/>
                <w:color w:val="000000"/>
                <w:sz w:val="24"/>
              </w:rPr>
            </w:pPr>
            <w:r w:rsidRPr="00D32161">
              <w:rPr>
                <w:rFonts w:eastAsiaTheme="minorEastAsia"/>
                <w:color w:val="000000"/>
                <w:kern w:val="0"/>
                <w:sz w:val="24"/>
              </w:rPr>
              <w:t>中债总全价指数收益率。</w:t>
            </w:r>
          </w:p>
        </w:tc>
      </w:tr>
      <w:tr w:rsidR="008532F3" w:rsidRPr="00B75DF8" w:rsidTr="003F7026">
        <w:tc>
          <w:tcPr>
            <w:tcW w:w="2835" w:type="dxa"/>
            <w:vAlign w:val="center"/>
          </w:tcPr>
          <w:p w:rsidR="008532F3" w:rsidRPr="00D32161" w:rsidRDefault="008532F3" w:rsidP="003F7026">
            <w:pPr>
              <w:adjustRightInd w:val="0"/>
              <w:spacing w:before="29" w:line="360" w:lineRule="auto"/>
              <w:ind w:left="17"/>
              <w:rPr>
                <w:rFonts w:eastAsiaTheme="minorEastAsia"/>
                <w:sz w:val="24"/>
              </w:rPr>
            </w:pPr>
            <w:r w:rsidRPr="00D32161">
              <w:rPr>
                <w:rFonts w:eastAsiaTheme="minorEastAsia"/>
                <w:kern w:val="0"/>
                <w:sz w:val="24"/>
              </w:rPr>
              <w:t>风险收益特征</w:t>
            </w:r>
          </w:p>
        </w:tc>
        <w:tc>
          <w:tcPr>
            <w:tcW w:w="5479" w:type="dxa"/>
            <w:gridSpan w:val="2"/>
            <w:vAlign w:val="center"/>
          </w:tcPr>
          <w:p w:rsidR="008532F3" w:rsidRPr="00D32161" w:rsidRDefault="008532F3" w:rsidP="003F7026">
            <w:pPr>
              <w:adjustRightInd w:val="0"/>
              <w:spacing w:before="29" w:line="360" w:lineRule="auto"/>
              <w:ind w:left="17"/>
              <w:rPr>
                <w:rFonts w:eastAsiaTheme="minorEastAsia"/>
                <w:color w:val="000000"/>
                <w:sz w:val="24"/>
              </w:rPr>
            </w:pPr>
            <w:r w:rsidRPr="00D32161">
              <w:rPr>
                <w:rFonts w:eastAsiaTheme="minorEastAsia"/>
                <w:color w:val="000000"/>
                <w:kern w:val="0"/>
                <w:sz w:val="24"/>
              </w:rPr>
              <w:t>本基金为债券型基金，其长期平均风险和预期收益率低于股票型基金、混合型基金，高于货币市场基金，属于证券投资基金中具有中低风险收益特征的品种。</w:t>
            </w:r>
          </w:p>
        </w:tc>
      </w:tr>
      <w:tr w:rsidR="008532F3" w:rsidRPr="00B75DF8" w:rsidTr="003F7026">
        <w:tc>
          <w:tcPr>
            <w:tcW w:w="2835" w:type="dxa"/>
            <w:vAlign w:val="center"/>
          </w:tcPr>
          <w:p w:rsidR="008532F3" w:rsidRPr="00D32161" w:rsidRDefault="008532F3" w:rsidP="003F7026">
            <w:pPr>
              <w:adjustRightInd w:val="0"/>
              <w:spacing w:before="29" w:line="360" w:lineRule="auto"/>
              <w:ind w:left="17"/>
              <w:rPr>
                <w:rFonts w:eastAsiaTheme="minorEastAsia"/>
                <w:sz w:val="24"/>
              </w:rPr>
            </w:pPr>
            <w:r w:rsidRPr="00D32161">
              <w:rPr>
                <w:rFonts w:eastAsiaTheme="minorEastAsia"/>
                <w:kern w:val="0"/>
                <w:sz w:val="24"/>
              </w:rPr>
              <w:t>基金管理人</w:t>
            </w:r>
          </w:p>
        </w:tc>
        <w:tc>
          <w:tcPr>
            <w:tcW w:w="5479" w:type="dxa"/>
            <w:gridSpan w:val="2"/>
            <w:vAlign w:val="center"/>
          </w:tcPr>
          <w:p w:rsidR="008532F3" w:rsidRPr="00D32161" w:rsidRDefault="008532F3" w:rsidP="003F7026">
            <w:pPr>
              <w:adjustRightInd w:val="0"/>
              <w:spacing w:before="29" w:line="360" w:lineRule="auto"/>
              <w:ind w:left="17"/>
              <w:rPr>
                <w:rFonts w:eastAsiaTheme="minorEastAsia"/>
                <w:color w:val="000000"/>
                <w:sz w:val="24"/>
              </w:rPr>
            </w:pPr>
            <w:r w:rsidRPr="00D32161">
              <w:rPr>
                <w:rFonts w:eastAsiaTheme="minorEastAsia"/>
                <w:color w:val="000000"/>
                <w:kern w:val="0"/>
                <w:sz w:val="24"/>
              </w:rPr>
              <w:t>广发基金管理有限公司</w:t>
            </w:r>
          </w:p>
        </w:tc>
      </w:tr>
      <w:tr w:rsidR="008532F3" w:rsidRPr="00B75DF8" w:rsidTr="003F7026">
        <w:tc>
          <w:tcPr>
            <w:tcW w:w="2835" w:type="dxa"/>
            <w:vAlign w:val="center"/>
          </w:tcPr>
          <w:p w:rsidR="008532F3" w:rsidRPr="00D32161" w:rsidRDefault="008532F3" w:rsidP="003F7026">
            <w:pPr>
              <w:adjustRightInd w:val="0"/>
              <w:spacing w:before="29" w:line="360" w:lineRule="auto"/>
              <w:ind w:left="17"/>
              <w:rPr>
                <w:rFonts w:eastAsiaTheme="minorEastAsia"/>
                <w:sz w:val="24"/>
              </w:rPr>
            </w:pPr>
            <w:r w:rsidRPr="00D32161">
              <w:rPr>
                <w:rFonts w:eastAsiaTheme="minorEastAsia"/>
                <w:kern w:val="0"/>
                <w:sz w:val="24"/>
              </w:rPr>
              <w:t>基金托管人</w:t>
            </w:r>
          </w:p>
        </w:tc>
        <w:tc>
          <w:tcPr>
            <w:tcW w:w="5479" w:type="dxa"/>
            <w:gridSpan w:val="2"/>
            <w:vAlign w:val="center"/>
          </w:tcPr>
          <w:p w:rsidR="008532F3" w:rsidRPr="00D32161" w:rsidRDefault="008532F3" w:rsidP="003F7026">
            <w:pPr>
              <w:adjustRightInd w:val="0"/>
              <w:spacing w:before="29" w:line="360" w:lineRule="auto"/>
              <w:ind w:left="17"/>
              <w:rPr>
                <w:rFonts w:eastAsiaTheme="minorEastAsia"/>
                <w:color w:val="000000"/>
                <w:sz w:val="24"/>
              </w:rPr>
            </w:pPr>
            <w:r w:rsidRPr="00D32161">
              <w:rPr>
                <w:rFonts w:eastAsiaTheme="minorEastAsia"/>
                <w:color w:val="000000"/>
                <w:kern w:val="0"/>
                <w:sz w:val="24"/>
              </w:rPr>
              <w:t>交通银行股份有限公司</w:t>
            </w:r>
          </w:p>
        </w:tc>
      </w:tr>
      <w:tr w:rsidR="008532F3" w:rsidRPr="00B75DF8" w:rsidTr="003F7026">
        <w:tc>
          <w:tcPr>
            <w:tcW w:w="2835" w:type="dxa"/>
            <w:vAlign w:val="center"/>
          </w:tcPr>
          <w:p w:rsidR="008532F3" w:rsidRPr="00D32161" w:rsidRDefault="008532F3" w:rsidP="00992E6E">
            <w:pPr>
              <w:adjustRightInd w:val="0"/>
              <w:spacing w:before="29" w:line="360" w:lineRule="auto"/>
              <w:ind w:left="17"/>
              <w:rPr>
                <w:rFonts w:eastAsiaTheme="minorEastAsia"/>
                <w:kern w:val="0"/>
                <w:sz w:val="24"/>
              </w:rPr>
            </w:pPr>
            <w:r w:rsidRPr="00D32161">
              <w:rPr>
                <w:rFonts w:eastAsiaTheme="minorEastAsia"/>
                <w:color w:val="000000"/>
                <w:sz w:val="24"/>
              </w:rPr>
              <w:t>下属</w:t>
            </w:r>
            <w:r w:rsidR="00992E6E">
              <w:rPr>
                <w:rFonts w:eastAsiaTheme="minorEastAsia" w:hint="eastAsia"/>
                <w:color w:val="000000"/>
                <w:sz w:val="24"/>
              </w:rPr>
              <w:t>分</w:t>
            </w:r>
            <w:r w:rsidRPr="00D32161">
              <w:rPr>
                <w:rFonts w:eastAsiaTheme="minorEastAsia"/>
                <w:color w:val="000000"/>
                <w:sz w:val="24"/>
              </w:rPr>
              <w:t>级基金的基金简称</w:t>
            </w:r>
          </w:p>
        </w:tc>
        <w:tc>
          <w:tcPr>
            <w:tcW w:w="2739" w:type="dxa"/>
            <w:vAlign w:val="center"/>
          </w:tcPr>
          <w:p w:rsidR="008532F3" w:rsidRPr="00D32161" w:rsidRDefault="008532F3" w:rsidP="003F7026">
            <w:pPr>
              <w:rPr>
                <w:rFonts w:eastAsiaTheme="minorEastAsia"/>
                <w:sz w:val="24"/>
              </w:rPr>
            </w:pPr>
            <w:r w:rsidRPr="00D32161">
              <w:rPr>
                <w:rFonts w:eastAsiaTheme="minorEastAsia"/>
                <w:sz w:val="24"/>
              </w:rPr>
              <w:t>广发集安债券</w:t>
            </w:r>
            <w:r w:rsidRPr="00D32161">
              <w:rPr>
                <w:rFonts w:eastAsiaTheme="minorEastAsia"/>
                <w:sz w:val="24"/>
              </w:rPr>
              <w:t>A</w:t>
            </w:r>
          </w:p>
        </w:tc>
        <w:tc>
          <w:tcPr>
            <w:tcW w:w="2740" w:type="dxa"/>
            <w:vAlign w:val="center"/>
          </w:tcPr>
          <w:p w:rsidR="008532F3" w:rsidRPr="00D32161" w:rsidRDefault="008532F3" w:rsidP="003F7026">
            <w:pPr>
              <w:rPr>
                <w:rFonts w:eastAsiaTheme="minorEastAsia"/>
                <w:sz w:val="24"/>
              </w:rPr>
            </w:pPr>
            <w:r w:rsidRPr="00D32161">
              <w:rPr>
                <w:rFonts w:eastAsiaTheme="minorEastAsia"/>
                <w:sz w:val="24"/>
              </w:rPr>
              <w:t>广发集安债券</w:t>
            </w:r>
            <w:r w:rsidRPr="00D32161">
              <w:rPr>
                <w:rFonts w:eastAsiaTheme="minorEastAsia"/>
                <w:sz w:val="24"/>
              </w:rPr>
              <w:t>C</w:t>
            </w:r>
          </w:p>
        </w:tc>
      </w:tr>
      <w:tr w:rsidR="008532F3" w:rsidRPr="00B75DF8" w:rsidTr="003F7026">
        <w:tc>
          <w:tcPr>
            <w:tcW w:w="2835" w:type="dxa"/>
            <w:vAlign w:val="center"/>
          </w:tcPr>
          <w:p w:rsidR="008532F3" w:rsidRPr="00D32161" w:rsidRDefault="008532F3" w:rsidP="00992E6E">
            <w:pPr>
              <w:adjustRightInd w:val="0"/>
              <w:spacing w:before="29" w:line="360" w:lineRule="auto"/>
              <w:ind w:left="17"/>
              <w:rPr>
                <w:rFonts w:eastAsiaTheme="minorEastAsia"/>
                <w:color w:val="000000"/>
                <w:sz w:val="24"/>
              </w:rPr>
            </w:pPr>
            <w:r w:rsidRPr="00D32161">
              <w:rPr>
                <w:rFonts w:eastAsiaTheme="minorEastAsia"/>
                <w:color w:val="000000"/>
                <w:sz w:val="24"/>
              </w:rPr>
              <w:t>下属</w:t>
            </w:r>
            <w:r w:rsidR="00992E6E">
              <w:rPr>
                <w:rFonts w:eastAsiaTheme="minorEastAsia" w:hint="eastAsia"/>
                <w:color w:val="000000"/>
                <w:sz w:val="24"/>
              </w:rPr>
              <w:t>分</w:t>
            </w:r>
            <w:r w:rsidRPr="00D32161">
              <w:rPr>
                <w:rFonts w:eastAsiaTheme="minorEastAsia"/>
                <w:color w:val="000000"/>
                <w:sz w:val="24"/>
              </w:rPr>
              <w:t>级基金的交易代码</w:t>
            </w:r>
          </w:p>
        </w:tc>
        <w:tc>
          <w:tcPr>
            <w:tcW w:w="2739" w:type="dxa"/>
            <w:vAlign w:val="center"/>
          </w:tcPr>
          <w:p w:rsidR="008532F3" w:rsidRPr="00D32161" w:rsidRDefault="008532F3" w:rsidP="003F7026">
            <w:pPr>
              <w:rPr>
                <w:rFonts w:eastAsiaTheme="minorEastAsia"/>
                <w:sz w:val="24"/>
              </w:rPr>
            </w:pPr>
            <w:r w:rsidRPr="00D32161">
              <w:rPr>
                <w:rFonts w:eastAsiaTheme="minorEastAsia"/>
                <w:sz w:val="24"/>
              </w:rPr>
              <w:t>003211</w:t>
            </w:r>
          </w:p>
        </w:tc>
        <w:tc>
          <w:tcPr>
            <w:tcW w:w="2740" w:type="dxa"/>
            <w:vAlign w:val="center"/>
          </w:tcPr>
          <w:p w:rsidR="008532F3" w:rsidRPr="00D32161" w:rsidRDefault="008532F3" w:rsidP="003F7026">
            <w:pPr>
              <w:rPr>
                <w:rFonts w:eastAsiaTheme="minorEastAsia"/>
                <w:sz w:val="24"/>
              </w:rPr>
            </w:pPr>
            <w:r w:rsidRPr="00D32161">
              <w:rPr>
                <w:rFonts w:eastAsiaTheme="minorEastAsia"/>
                <w:sz w:val="24"/>
              </w:rPr>
              <w:t>003212</w:t>
            </w:r>
          </w:p>
        </w:tc>
      </w:tr>
      <w:tr w:rsidR="00F22F9F" w:rsidRPr="00B75DF8" w:rsidTr="003F7026">
        <w:tc>
          <w:tcPr>
            <w:tcW w:w="2835" w:type="dxa"/>
            <w:vAlign w:val="center"/>
          </w:tcPr>
          <w:p w:rsidR="00F22F9F" w:rsidRPr="00D32161" w:rsidRDefault="00F22F9F" w:rsidP="00992E6E">
            <w:pPr>
              <w:adjustRightInd w:val="0"/>
              <w:spacing w:before="29" w:line="360" w:lineRule="auto"/>
              <w:ind w:left="17"/>
              <w:rPr>
                <w:rFonts w:eastAsiaTheme="minorEastAsia"/>
                <w:color w:val="000000"/>
                <w:sz w:val="24"/>
              </w:rPr>
            </w:pPr>
            <w:r w:rsidRPr="00D32161">
              <w:rPr>
                <w:rFonts w:eastAsiaTheme="minorEastAsia"/>
                <w:color w:val="000000"/>
                <w:sz w:val="24"/>
              </w:rPr>
              <w:t>报告期末下属</w:t>
            </w:r>
            <w:r w:rsidR="00992E6E">
              <w:rPr>
                <w:rFonts w:eastAsiaTheme="minorEastAsia" w:hint="eastAsia"/>
                <w:color w:val="000000"/>
                <w:sz w:val="24"/>
              </w:rPr>
              <w:t>分</w:t>
            </w:r>
            <w:r w:rsidRPr="00D32161">
              <w:rPr>
                <w:rFonts w:eastAsiaTheme="minorEastAsia"/>
                <w:color w:val="000000"/>
                <w:sz w:val="24"/>
              </w:rPr>
              <w:t>级基金的份额总额</w:t>
            </w:r>
          </w:p>
        </w:tc>
        <w:tc>
          <w:tcPr>
            <w:tcW w:w="2739" w:type="dxa"/>
            <w:vAlign w:val="center"/>
          </w:tcPr>
          <w:p w:rsidR="00F22F9F" w:rsidRPr="00D32161" w:rsidRDefault="00F22F9F" w:rsidP="003F7026">
            <w:pPr>
              <w:rPr>
                <w:rFonts w:eastAsiaTheme="minorEastAsia"/>
                <w:sz w:val="24"/>
              </w:rPr>
            </w:pPr>
            <w:r w:rsidRPr="00D32161">
              <w:rPr>
                <w:rFonts w:eastAsiaTheme="minorEastAsia"/>
                <w:sz w:val="24"/>
              </w:rPr>
              <w:t>3,597.53</w:t>
            </w:r>
            <w:r w:rsidRPr="00D32161">
              <w:rPr>
                <w:rFonts w:eastAsiaTheme="minorEastAsia"/>
                <w:color w:val="000000"/>
                <w:kern w:val="0"/>
                <w:sz w:val="24"/>
              </w:rPr>
              <w:t>份</w:t>
            </w:r>
          </w:p>
        </w:tc>
        <w:tc>
          <w:tcPr>
            <w:tcW w:w="2740" w:type="dxa"/>
            <w:vAlign w:val="center"/>
          </w:tcPr>
          <w:p w:rsidR="00F22F9F" w:rsidRPr="00D32161" w:rsidRDefault="00F22F9F" w:rsidP="003F7026">
            <w:pPr>
              <w:rPr>
                <w:rFonts w:eastAsiaTheme="minorEastAsia"/>
                <w:sz w:val="24"/>
              </w:rPr>
            </w:pPr>
            <w:r w:rsidRPr="00D32161">
              <w:rPr>
                <w:rFonts w:eastAsiaTheme="minorEastAsia"/>
                <w:sz w:val="24"/>
              </w:rPr>
              <w:t>8,803.87</w:t>
            </w:r>
            <w:r w:rsidRPr="00D32161">
              <w:rPr>
                <w:rFonts w:eastAsiaTheme="minorEastAsia"/>
                <w:color w:val="000000"/>
                <w:kern w:val="0"/>
                <w:sz w:val="24"/>
              </w:rPr>
              <w:t>份</w:t>
            </w:r>
          </w:p>
        </w:tc>
      </w:tr>
    </w:tbl>
    <w:p w:rsidR="009238DB" w:rsidRPr="00B75DF8" w:rsidRDefault="009238DB" w:rsidP="00341503">
      <w:pPr>
        <w:pStyle w:val="1"/>
        <w:spacing w:beforeLines="100" w:afterLines="100" w:line="360" w:lineRule="auto"/>
        <w:jc w:val="center"/>
        <w:rPr>
          <w:rFonts w:asciiTheme="minorEastAsia" w:eastAsiaTheme="minorEastAsia" w:hAnsiTheme="minorEastAsia" w:cs="Arial"/>
          <w:color w:val="000000"/>
          <w:kern w:val="0"/>
          <w:sz w:val="24"/>
          <w:szCs w:val="24"/>
        </w:rPr>
      </w:pPr>
      <w:r w:rsidRPr="00B75DF8">
        <w:rPr>
          <w:rFonts w:asciiTheme="minorEastAsia" w:eastAsiaTheme="minorEastAsia" w:hAnsiTheme="minorEastAsia" w:cs="Arial" w:hint="eastAsia"/>
          <w:color w:val="000000"/>
          <w:kern w:val="0"/>
          <w:sz w:val="24"/>
          <w:szCs w:val="24"/>
        </w:rPr>
        <w:t>§</w:t>
      </w:r>
      <w:r w:rsidRPr="00B75DF8">
        <w:rPr>
          <w:rFonts w:asciiTheme="minorEastAsia" w:eastAsiaTheme="minorEastAsia" w:hAnsiTheme="minorEastAsia" w:cs="Arial"/>
          <w:color w:val="000000"/>
          <w:kern w:val="0"/>
          <w:sz w:val="24"/>
          <w:szCs w:val="24"/>
        </w:rPr>
        <w:t xml:space="preserve">3  </w:t>
      </w:r>
      <w:r w:rsidRPr="00B75DF8">
        <w:rPr>
          <w:rFonts w:asciiTheme="minorEastAsia" w:eastAsiaTheme="minorEastAsia" w:hAnsiTheme="minorEastAsia" w:cs="Arial" w:hint="eastAsia"/>
          <w:color w:val="000000"/>
          <w:kern w:val="0"/>
          <w:sz w:val="24"/>
          <w:szCs w:val="24"/>
        </w:rPr>
        <w:t>主要财务指标和基金净值表现</w:t>
      </w:r>
    </w:p>
    <w:p w:rsidR="009238DB" w:rsidRPr="00B75DF8" w:rsidRDefault="009238DB" w:rsidP="00FC13C8">
      <w:pPr>
        <w:autoSpaceDE w:val="0"/>
        <w:autoSpaceDN w:val="0"/>
        <w:adjustRightInd w:val="0"/>
        <w:spacing w:line="360" w:lineRule="auto"/>
        <w:jc w:val="left"/>
        <w:rPr>
          <w:rFonts w:asciiTheme="minorEastAsia" w:eastAsiaTheme="minorEastAsia" w:hAnsiTheme="minorEastAsia" w:cs="Arial"/>
          <w:b/>
          <w:color w:val="000000"/>
          <w:kern w:val="0"/>
          <w:sz w:val="24"/>
        </w:rPr>
      </w:pPr>
      <w:r w:rsidRPr="00B75DF8">
        <w:rPr>
          <w:rFonts w:asciiTheme="minorEastAsia" w:eastAsiaTheme="minorEastAsia" w:hAnsiTheme="minorEastAsia" w:cs="Arial"/>
          <w:b/>
          <w:color w:val="000000"/>
          <w:kern w:val="0"/>
          <w:sz w:val="24"/>
        </w:rPr>
        <w:t xml:space="preserve">3.1 </w:t>
      </w:r>
      <w:r w:rsidRPr="00B75DF8">
        <w:rPr>
          <w:rFonts w:asciiTheme="minorEastAsia" w:eastAsiaTheme="minorEastAsia" w:hAnsiTheme="minorEastAsia" w:cs="Arial" w:hint="eastAsia"/>
          <w:b/>
          <w:color w:val="000000"/>
          <w:kern w:val="0"/>
          <w:sz w:val="24"/>
        </w:rPr>
        <w:t>主要财务指标</w:t>
      </w:r>
    </w:p>
    <w:p w:rsidR="009238DB" w:rsidRPr="00B75DF8" w:rsidRDefault="009238DB" w:rsidP="00E27360">
      <w:pPr>
        <w:autoSpaceDE w:val="0"/>
        <w:autoSpaceDN w:val="0"/>
        <w:adjustRightInd w:val="0"/>
        <w:spacing w:before="29" w:line="288" w:lineRule="auto"/>
        <w:ind w:left="15" w:right="480"/>
        <w:jc w:val="right"/>
        <w:rPr>
          <w:rFonts w:asciiTheme="minorEastAsia" w:eastAsiaTheme="minorEastAsia" w:hAnsiTheme="minorEastAsia" w:cs="Arial"/>
          <w:color w:val="000000"/>
          <w:kern w:val="0"/>
          <w:sz w:val="24"/>
        </w:rPr>
      </w:pPr>
      <w:r w:rsidRPr="00B75DF8">
        <w:rPr>
          <w:rFonts w:asciiTheme="minorEastAsia" w:eastAsiaTheme="minorEastAsia" w:hAnsiTheme="minorEastAsia"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2481"/>
        <w:gridCol w:w="2481"/>
      </w:tblGrid>
      <w:tr w:rsidR="009E549D" w:rsidRPr="00D32161" w:rsidTr="003F7026">
        <w:tc>
          <w:tcPr>
            <w:tcW w:w="3402" w:type="dxa"/>
            <w:vMerge w:val="restart"/>
            <w:vAlign w:val="center"/>
          </w:tcPr>
          <w:p w:rsidR="009E549D" w:rsidRPr="00D32161" w:rsidRDefault="009E549D" w:rsidP="003F7026">
            <w:pPr>
              <w:adjustRightInd w:val="0"/>
              <w:spacing w:before="29" w:line="360" w:lineRule="auto"/>
              <w:ind w:left="17"/>
              <w:rPr>
                <w:rFonts w:eastAsiaTheme="minorEastAsia"/>
                <w:kern w:val="0"/>
                <w:sz w:val="24"/>
              </w:rPr>
            </w:pPr>
            <w:r w:rsidRPr="00D32161">
              <w:rPr>
                <w:rFonts w:eastAsiaTheme="minorEastAsia"/>
                <w:kern w:val="0"/>
                <w:sz w:val="24"/>
              </w:rPr>
              <w:t>主要财务指标</w:t>
            </w:r>
          </w:p>
        </w:tc>
        <w:tc>
          <w:tcPr>
            <w:tcW w:w="4962" w:type="dxa"/>
            <w:gridSpan w:val="2"/>
            <w:vAlign w:val="center"/>
          </w:tcPr>
          <w:p w:rsidR="002976E5" w:rsidRPr="00D32161" w:rsidRDefault="009E549D" w:rsidP="00E205AA">
            <w:pPr>
              <w:adjustRightInd w:val="0"/>
              <w:spacing w:before="29" w:line="360" w:lineRule="auto"/>
              <w:ind w:left="17"/>
              <w:jc w:val="center"/>
              <w:rPr>
                <w:rFonts w:eastAsiaTheme="minorEastAsia"/>
                <w:color w:val="000000"/>
                <w:sz w:val="24"/>
              </w:rPr>
            </w:pPr>
            <w:r w:rsidRPr="00D32161">
              <w:rPr>
                <w:rFonts w:eastAsiaTheme="minorEastAsia"/>
                <w:color w:val="000000"/>
                <w:sz w:val="24"/>
              </w:rPr>
              <w:t>报告期</w:t>
            </w:r>
          </w:p>
          <w:p w:rsidR="009E549D" w:rsidRPr="00D32161" w:rsidRDefault="009E549D" w:rsidP="00E205AA">
            <w:pPr>
              <w:adjustRightInd w:val="0"/>
              <w:spacing w:before="29" w:line="360" w:lineRule="auto"/>
              <w:ind w:left="17"/>
              <w:jc w:val="center"/>
              <w:rPr>
                <w:rFonts w:eastAsiaTheme="minorEastAsia"/>
                <w:color w:val="000000"/>
                <w:sz w:val="24"/>
              </w:rPr>
            </w:pPr>
            <w:r w:rsidRPr="00D32161">
              <w:rPr>
                <w:rFonts w:eastAsiaTheme="minorEastAsia"/>
                <w:color w:val="000000"/>
                <w:sz w:val="24"/>
              </w:rPr>
              <w:t>(2018</w:t>
            </w:r>
            <w:r w:rsidRPr="00D32161">
              <w:rPr>
                <w:rFonts w:eastAsiaTheme="minorEastAsia"/>
                <w:color w:val="000000"/>
                <w:sz w:val="24"/>
              </w:rPr>
              <w:t>年</w:t>
            </w:r>
            <w:r w:rsidRPr="00D32161">
              <w:rPr>
                <w:rFonts w:eastAsiaTheme="minorEastAsia"/>
                <w:color w:val="000000"/>
                <w:sz w:val="24"/>
              </w:rPr>
              <w:t>4</w:t>
            </w:r>
            <w:r w:rsidRPr="00D32161">
              <w:rPr>
                <w:rFonts w:eastAsiaTheme="minorEastAsia"/>
                <w:color w:val="000000"/>
                <w:sz w:val="24"/>
              </w:rPr>
              <w:t>月</w:t>
            </w:r>
            <w:r w:rsidRPr="00D32161">
              <w:rPr>
                <w:rFonts w:eastAsiaTheme="minorEastAsia"/>
                <w:color w:val="000000"/>
                <w:sz w:val="24"/>
              </w:rPr>
              <w:t>1</w:t>
            </w:r>
            <w:r w:rsidRPr="00D32161">
              <w:rPr>
                <w:rFonts w:eastAsiaTheme="minorEastAsia"/>
                <w:color w:val="000000"/>
                <w:sz w:val="24"/>
              </w:rPr>
              <w:t>日</w:t>
            </w:r>
            <w:r w:rsidRPr="00D32161">
              <w:rPr>
                <w:rFonts w:eastAsiaTheme="minorEastAsia"/>
                <w:color w:val="000000"/>
                <w:sz w:val="24"/>
              </w:rPr>
              <w:t>-2018</w:t>
            </w:r>
            <w:r w:rsidRPr="00D32161">
              <w:rPr>
                <w:rFonts w:eastAsiaTheme="minorEastAsia"/>
                <w:color w:val="000000"/>
                <w:sz w:val="24"/>
              </w:rPr>
              <w:t>年</w:t>
            </w:r>
            <w:r w:rsidRPr="00D32161">
              <w:rPr>
                <w:rFonts w:eastAsiaTheme="minorEastAsia"/>
                <w:color w:val="000000"/>
                <w:sz w:val="24"/>
              </w:rPr>
              <w:t>6</w:t>
            </w:r>
            <w:r w:rsidRPr="00D32161">
              <w:rPr>
                <w:rFonts w:eastAsiaTheme="minorEastAsia"/>
                <w:color w:val="000000"/>
                <w:sz w:val="24"/>
              </w:rPr>
              <w:t>月</w:t>
            </w:r>
            <w:r w:rsidRPr="00D32161">
              <w:rPr>
                <w:rFonts w:eastAsiaTheme="minorEastAsia"/>
                <w:color w:val="000000"/>
                <w:sz w:val="24"/>
              </w:rPr>
              <w:t>30</w:t>
            </w:r>
            <w:r w:rsidRPr="00D32161">
              <w:rPr>
                <w:rFonts w:eastAsiaTheme="minorEastAsia"/>
                <w:color w:val="000000"/>
                <w:sz w:val="24"/>
              </w:rPr>
              <w:t>日</w:t>
            </w:r>
            <w:r w:rsidRPr="00D32161">
              <w:rPr>
                <w:rFonts w:eastAsiaTheme="minorEastAsia"/>
                <w:color w:val="000000"/>
                <w:sz w:val="24"/>
              </w:rPr>
              <w:t>)</w:t>
            </w:r>
          </w:p>
        </w:tc>
      </w:tr>
      <w:tr w:rsidR="009E549D" w:rsidRPr="00D32161" w:rsidTr="003F7026">
        <w:tc>
          <w:tcPr>
            <w:tcW w:w="3402" w:type="dxa"/>
            <w:vMerge/>
            <w:vAlign w:val="center"/>
          </w:tcPr>
          <w:p w:rsidR="009E549D" w:rsidRPr="00D32161" w:rsidRDefault="009E549D" w:rsidP="003F7026">
            <w:pPr>
              <w:adjustRightInd w:val="0"/>
              <w:spacing w:before="29" w:line="360" w:lineRule="auto"/>
              <w:ind w:left="17"/>
              <w:rPr>
                <w:rFonts w:eastAsiaTheme="minorEastAsia"/>
                <w:kern w:val="0"/>
                <w:sz w:val="24"/>
              </w:rPr>
            </w:pPr>
          </w:p>
        </w:tc>
        <w:tc>
          <w:tcPr>
            <w:tcW w:w="2481" w:type="dxa"/>
            <w:vAlign w:val="center"/>
          </w:tcPr>
          <w:p w:rsidR="009E549D" w:rsidRPr="00D32161" w:rsidRDefault="009E549D" w:rsidP="00E205AA">
            <w:pPr>
              <w:adjustRightInd w:val="0"/>
              <w:spacing w:before="29" w:line="360" w:lineRule="auto"/>
              <w:ind w:left="17"/>
              <w:jc w:val="center"/>
              <w:rPr>
                <w:rFonts w:eastAsiaTheme="minorEastAsia"/>
                <w:color w:val="000000"/>
                <w:sz w:val="24"/>
              </w:rPr>
            </w:pPr>
            <w:r w:rsidRPr="00D32161">
              <w:rPr>
                <w:rFonts w:eastAsiaTheme="minorEastAsia"/>
                <w:sz w:val="24"/>
              </w:rPr>
              <w:t>广发集安债券</w:t>
            </w:r>
            <w:r w:rsidRPr="00D32161">
              <w:rPr>
                <w:rFonts w:eastAsiaTheme="minorEastAsia"/>
                <w:sz w:val="24"/>
              </w:rPr>
              <w:t>A</w:t>
            </w:r>
          </w:p>
        </w:tc>
        <w:tc>
          <w:tcPr>
            <w:tcW w:w="2481" w:type="dxa"/>
            <w:vAlign w:val="center"/>
          </w:tcPr>
          <w:p w:rsidR="009E549D" w:rsidRPr="00D32161" w:rsidRDefault="00FE7FBD" w:rsidP="00E205AA">
            <w:pPr>
              <w:adjustRightInd w:val="0"/>
              <w:spacing w:before="29" w:line="360" w:lineRule="auto"/>
              <w:ind w:left="17"/>
              <w:jc w:val="center"/>
              <w:rPr>
                <w:rFonts w:eastAsiaTheme="minorEastAsia"/>
                <w:color w:val="000000"/>
                <w:sz w:val="24"/>
              </w:rPr>
            </w:pPr>
            <w:r w:rsidRPr="00D32161">
              <w:rPr>
                <w:rFonts w:eastAsiaTheme="minorEastAsia"/>
                <w:sz w:val="24"/>
              </w:rPr>
              <w:t>广发集安债券</w:t>
            </w:r>
            <w:r w:rsidRPr="00D32161">
              <w:rPr>
                <w:rFonts w:eastAsiaTheme="minorEastAsia"/>
                <w:sz w:val="24"/>
              </w:rPr>
              <w:t>C</w:t>
            </w:r>
          </w:p>
        </w:tc>
      </w:tr>
      <w:tr w:rsidR="005F293E" w:rsidRPr="00D32161" w:rsidTr="003F7026">
        <w:tc>
          <w:tcPr>
            <w:tcW w:w="3402" w:type="dxa"/>
            <w:vAlign w:val="center"/>
          </w:tcPr>
          <w:p w:rsidR="005F293E" w:rsidRPr="00D32161" w:rsidRDefault="005F293E" w:rsidP="003F7026">
            <w:pPr>
              <w:adjustRightInd w:val="0"/>
              <w:spacing w:before="29" w:line="360" w:lineRule="auto"/>
              <w:ind w:left="17"/>
              <w:rPr>
                <w:rFonts w:eastAsiaTheme="minorEastAsia"/>
                <w:kern w:val="0"/>
                <w:sz w:val="24"/>
              </w:rPr>
            </w:pPr>
            <w:r w:rsidRPr="00D32161">
              <w:rPr>
                <w:rFonts w:eastAsiaTheme="minorEastAsia"/>
                <w:kern w:val="0"/>
                <w:sz w:val="24"/>
              </w:rPr>
              <w:t>1.</w:t>
            </w:r>
            <w:r w:rsidRPr="00D32161">
              <w:rPr>
                <w:rFonts w:eastAsiaTheme="minorEastAsia"/>
                <w:kern w:val="0"/>
                <w:sz w:val="24"/>
              </w:rPr>
              <w:t>本期已实现收益</w:t>
            </w:r>
          </w:p>
        </w:tc>
        <w:tc>
          <w:tcPr>
            <w:tcW w:w="2481" w:type="dxa"/>
            <w:vAlign w:val="center"/>
          </w:tcPr>
          <w:p w:rsidR="005F293E" w:rsidRPr="00D32161" w:rsidRDefault="005F293E" w:rsidP="003F7026">
            <w:pPr>
              <w:adjustRightInd w:val="0"/>
              <w:spacing w:before="29" w:line="360" w:lineRule="auto"/>
              <w:ind w:left="17"/>
              <w:jc w:val="right"/>
              <w:rPr>
                <w:rFonts w:eastAsiaTheme="minorEastAsia"/>
                <w:color w:val="000000"/>
                <w:sz w:val="24"/>
              </w:rPr>
            </w:pPr>
            <w:r w:rsidRPr="00D32161">
              <w:rPr>
                <w:rFonts w:eastAsiaTheme="minorEastAsia"/>
                <w:color w:val="000000"/>
                <w:sz w:val="24"/>
              </w:rPr>
              <w:t>-3,094.60</w:t>
            </w:r>
          </w:p>
        </w:tc>
        <w:tc>
          <w:tcPr>
            <w:tcW w:w="2481" w:type="dxa"/>
            <w:vAlign w:val="center"/>
          </w:tcPr>
          <w:p w:rsidR="005F293E" w:rsidRPr="00D32161" w:rsidRDefault="00FE7FBD" w:rsidP="003F7026">
            <w:pPr>
              <w:adjustRightInd w:val="0"/>
              <w:spacing w:before="29" w:line="360" w:lineRule="auto"/>
              <w:ind w:left="17"/>
              <w:jc w:val="right"/>
              <w:rPr>
                <w:rFonts w:eastAsiaTheme="minorEastAsia"/>
                <w:color w:val="000000"/>
                <w:sz w:val="24"/>
              </w:rPr>
            </w:pPr>
            <w:r w:rsidRPr="00D32161">
              <w:rPr>
                <w:rFonts w:eastAsiaTheme="minorEastAsia"/>
                <w:color w:val="000000"/>
                <w:sz w:val="24"/>
              </w:rPr>
              <w:t>-1,453.47</w:t>
            </w:r>
          </w:p>
        </w:tc>
      </w:tr>
      <w:tr w:rsidR="005F293E" w:rsidRPr="00D32161" w:rsidTr="003F7026">
        <w:tc>
          <w:tcPr>
            <w:tcW w:w="3402" w:type="dxa"/>
            <w:vAlign w:val="center"/>
          </w:tcPr>
          <w:p w:rsidR="005F293E" w:rsidRPr="00D32161" w:rsidRDefault="005F293E" w:rsidP="003F7026">
            <w:pPr>
              <w:adjustRightInd w:val="0"/>
              <w:spacing w:before="29" w:line="360" w:lineRule="auto"/>
              <w:ind w:left="17"/>
              <w:rPr>
                <w:rFonts w:eastAsiaTheme="minorEastAsia"/>
                <w:kern w:val="0"/>
                <w:sz w:val="24"/>
              </w:rPr>
            </w:pPr>
            <w:r w:rsidRPr="00D32161">
              <w:rPr>
                <w:rFonts w:eastAsiaTheme="minorEastAsia"/>
                <w:kern w:val="0"/>
                <w:sz w:val="24"/>
              </w:rPr>
              <w:t>2.</w:t>
            </w:r>
            <w:r w:rsidRPr="00D32161">
              <w:rPr>
                <w:rFonts w:eastAsiaTheme="minorEastAsia"/>
                <w:kern w:val="0"/>
                <w:sz w:val="24"/>
              </w:rPr>
              <w:t>本期利润</w:t>
            </w:r>
          </w:p>
        </w:tc>
        <w:tc>
          <w:tcPr>
            <w:tcW w:w="2481" w:type="dxa"/>
            <w:vAlign w:val="center"/>
          </w:tcPr>
          <w:p w:rsidR="005F293E" w:rsidRPr="00D32161" w:rsidRDefault="005F293E" w:rsidP="003F7026">
            <w:pPr>
              <w:adjustRightInd w:val="0"/>
              <w:spacing w:before="29" w:line="360" w:lineRule="auto"/>
              <w:ind w:left="17"/>
              <w:jc w:val="right"/>
              <w:rPr>
                <w:rFonts w:eastAsiaTheme="minorEastAsia"/>
                <w:color w:val="000000"/>
                <w:sz w:val="24"/>
              </w:rPr>
            </w:pPr>
            <w:r w:rsidRPr="00D32161">
              <w:rPr>
                <w:rFonts w:eastAsiaTheme="minorEastAsia"/>
                <w:color w:val="000000"/>
                <w:sz w:val="24"/>
              </w:rPr>
              <w:t>-179.19</w:t>
            </w:r>
          </w:p>
        </w:tc>
        <w:tc>
          <w:tcPr>
            <w:tcW w:w="2481" w:type="dxa"/>
            <w:vAlign w:val="center"/>
          </w:tcPr>
          <w:p w:rsidR="005F293E" w:rsidRPr="00D32161" w:rsidRDefault="00FE7FBD" w:rsidP="003F7026">
            <w:pPr>
              <w:adjustRightInd w:val="0"/>
              <w:spacing w:before="29" w:line="360" w:lineRule="auto"/>
              <w:ind w:left="17"/>
              <w:jc w:val="right"/>
              <w:rPr>
                <w:rFonts w:eastAsiaTheme="minorEastAsia"/>
                <w:color w:val="000000"/>
                <w:sz w:val="24"/>
              </w:rPr>
            </w:pPr>
            <w:r w:rsidRPr="00D32161">
              <w:rPr>
                <w:rFonts w:eastAsiaTheme="minorEastAsia"/>
                <w:color w:val="000000"/>
                <w:sz w:val="24"/>
              </w:rPr>
              <w:t>-1,240.18</w:t>
            </w:r>
          </w:p>
        </w:tc>
      </w:tr>
      <w:tr w:rsidR="005F293E" w:rsidRPr="00D32161" w:rsidTr="003F7026">
        <w:tc>
          <w:tcPr>
            <w:tcW w:w="3402" w:type="dxa"/>
            <w:vAlign w:val="center"/>
          </w:tcPr>
          <w:p w:rsidR="005F293E" w:rsidRPr="00D32161" w:rsidRDefault="005F293E" w:rsidP="003F7026">
            <w:pPr>
              <w:adjustRightInd w:val="0"/>
              <w:spacing w:before="29" w:line="360" w:lineRule="auto"/>
              <w:ind w:left="17"/>
              <w:rPr>
                <w:rFonts w:eastAsiaTheme="minorEastAsia"/>
                <w:kern w:val="0"/>
                <w:sz w:val="24"/>
              </w:rPr>
            </w:pPr>
            <w:r w:rsidRPr="00D32161">
              <w:rPr>
                <w:rFonts w:eastAsiaTheme="minorEastAsia"/>
                <w:kern w:val="0"/>
                <w:sz w:val="24"/>
              </w:rPr>
              <w:t>3.</w:t>
            </w:r>
            <w:r w:rsidRPr="00D32161">
              <w:rPr>
                <w:rFonts w:eastAsiaTheme="minorEastAsia"/>
                <w:kern w:val="0"/>
                <w:sz w:val="24"/>
              </w:rPr>
              <w:t>加权平均基金份额本期利润</w:t>
            </w:r>
          </w:p>
        </w:tc>
        <w:tc>
          <w:tcPr>
            <w:tcW w:w="2481" w:type="dxa"/>
            <w:vAlign w:val="center"/>
          </w:tcPr>
          <w:p w:rsidR="005F293E" w:rsidRPr="00D32161" w:rsidRDefault="005F293E" w:rsidP="003F7026">
            <w:pPr>
              <w:adjustRightInd w:val="0"/>
              <w:spacing w:before="29" w:line="360" w:lineRule="auto"/>
              <w:ind w:left="17"/>
              <w:jc w:val="right"/>
              <w:rPr>
                <w:rFonts w:eastAsiaTheme="minorEastAsia"/>
                <w:color w:val="000000"/>
                <w:sz w:val="24"/>
              </w:rPr>
            </w:pPr>
            <w:r w:rsidRPr="00D32161">
              <w:rPr>
                <w:rFonts w:eastAsiaTheme="minorEastAsia"/>
                <w:color w:val="000000"/>
                <w:sz w:val="24"/>
              </w:rPr>
              <w:t>-0.0010</w:t>
            </w:r>
          </w:p>
        </w:tc>
        <w:tc>
          <w:tcPr>
            <w:tcW w:w="2481" w:type="dxa"/>
            <w:vAlign w:val="center"/>
          </w:tcPr>
          <w:p w:rsidR="005F293E" w:rsidRPr="00D32161" w:rsidRDefault="00FE7FBD" w:rsidP="003F7026">
            <w:pPr>
              <w:adjustRightInd w:val="0"/>
              <w:spacing w:before="29" w:line="360" w:lineRule="auto"/>
              <w:ind w:left="17"/>
              <w:jc w:val="right"/>
              <w:rPr>
                <w:rFonts w:eastAsiaTheme="minorEastAsia"/>
                <w:color w:val="000000"/>
                <w:sz w:val="24"/>
              </w:rPr>
            </w:pPr>
            <w:r w:rsidRPr="00D32161">
              <w:rPr>
                <w:rFonts w:eastAsiaTheme="minorEastAsia"/>
                <w:color w:val="000000"/>
                <w:sz w:val="24"/>
              </w:rPr>
              <w:t>-0.0176</w:t>
            </w:r>
          </w:p>
        </w:tc>
      </w:tr>
      <w:tr w:rsidR="005F293E" w:rsidRPr="00D32161" w:rsidTr="003F7026">
        <w:tc>
          <w:tcPr>
            <w:tcW w:w="3402" w:type="dxa"/>
            <w:vAlign w:val="center"/>
          </w:tcPr>
          <w:p w:rsidR="005F293E" w:rsidRPr="00D32161" w:rsidRDefault="005F293E" w:rsidP="003F7026">
            <w:pPr>
              <w:adjustRightInd w:val="0"/>
              <w:spacing w:before="29" w:line="360" w:lineRule="auto"/>
              <w:ind w:left="17"/>
              <w:rPr>
                <w:rFonts w:eastAsiaTheme="minorEastAsia"/>
                <w:kern w:val="0"/>
                <w:sz w:val="24"/>
              </w:rPr>
            </w:pPr>
            <w:r w:rsidRPr="00D32161">
              <w:rPr>
                <w:rFonts w:eastAsiaTheme="minorEastAsia"/>
                <w:kern w:val="0"/>
                <w:sz w:val="24"/>
              </w:rPr>
              <w:t>4.</w:t>
            </w:r>
            <w:r w:rsidRPr="00D32161">
              <w:rPr>
                <w:rFonts w:eastAsiaTheme="minorEastAsia"/>
                <w:kern w:val="0"/>
                <w:sz w:val="24"/>
              </w:rPr>
              <w:t>期末基金资产净值</w:t>
            </w:r>
          </w:p>
        </w:tc>
        <w:tc>
          <w:tcPr>
            <w:tcW w:w="2481" w:type="dxa"/>
            <w:vAlign w:val="center"/>
          </w:tcPr>
          <w:p w:rsidR="005F293E" w:rsidRPr="00D32161" w:rsidRDefault="005F293E" w:rsidP="003F7026">
            <w:pPr>
              <w:adjustRightInd w:val="0"/>
              <w:spacing w:before="29" w:line="360" w:lineRule="auto"/>
              <w:ind w:left="17"/>
              <w:jc w:val="right"/>
              <w:rPr>
                <w:rFonts w:eastAsiaTheme="minorEastAsia"/>
                <w:color w:val="000000"/>
                <w:sz w:val="24"/>
              </w:rPr>
            </w:pPr>
            <w:r w:rsidRPr="00D32161">
              <w:rPr>
                <w:rFonts w:eastAsiaTheme="minorEastAsia"/>
                <w:color w:val="000000"/>
                <w:sz w:val="24"/>
              </w:rPr>
              <w:t>3,579.42</w:t>
            </w:r>
          </w:p>
        </w:tc>
        <w:tc>
          <w:tcPr>
            <w:tcW w:w="2481" w:type="dxa"/>
            <w:vAlign w:val="center"/>
          </w:tcPr>
          <w:p w:rsidR="005F293E" w:rsidRPr="00D32161" w:rsidRDefault="00FE7FBD" w:rsidP="003F7026">
            <w:pPr>
              <w:adjustRightInd w:val="0"/>
              <w:spacing w:before="29" w:line="360" w:lineRule="auto"/>
              <w:ind w:left="17"/>
              <w:jc w:val="right"/>
              <w:rPr>
                <w:rFonts w:eastAsiaTheme="minorEastAsia"/>
                <w:color w:val="000000"/>
                <w:sz w:val="24"/>
              </w:rPr>
            </w:pPr>
            <w:r w:rsidRPr="00D32161">
              <w:rPr>
                <w:rFonts w:eastAsiaTheme="minorEastAsia"/>
                <w:color w:val="000000"/>
                <w:sz w:val="24"/>
              </w:rPr>
              <w:t>8,705.17</w:t>
            </w:r>
          </w:p>
        </w:tc>
      </w:tr>
      <w:tr w:rsidR="005F293E" w:rsidRPr="00D32161" w:rsidTr="003F7026">
        <w:trPr>
          <w:trHeight w:val="158"/>
        </w:trPr>
        <w:tc>
          <w:tcPr>
            <w:tcW w:w="3402" w:type="dxa"/>
            <w:vAlign w:val="center"/>
          </w:tcPr>
          <w:p w:rsidR="005F293E" w:rsidRPr="00D32161" w:rsidRDefault="005F293E" w:rsidP="003F7026">
            <w:pPr>
              <w:adjustRightInd w:val="0"/>
              <w:spacing w:before="29" w:line="360" w:lineRule="auto"/>
              <w:ind w:left="17"/>
              <w:rPr>
                <w:rFonts w:eastAsiaTheme="minorEastAsia"/>
                <w:kern w:val="0"/>
                <w:sz w:val="24"/>
              </w:rPr>
            </w:pPr>
            <w:r w:rsidRPr="00D32161">
              <w:rPr>
                <w:rFonts w:eastAsiaTheme="minorEastAsia"/>
                <w:kern w:val="0"/>
                <w:sz w:val="24"/>
              </w:rPr>
              <w:t>5.</w:t>
            </w:r>
            <w:r w:rsidRPr="00D32161">
              <w:rPr>
                <w:rFonts w:eastAsiaTheme="minorEastAsia"/>
                <w:kern w:val="0"/>
                <w:sz w:val="24"/>
              </w:rPr>
              <w:t>期末基金份额净值</w:t>
            </w:r>
          </w:p>
        </w:tc>
        <w:tc>
          <w:tcPr>
            <w:tcW w:w="2481" w:type="dxa"/>
            <w:vAlign w:val="center"/>
          </w:tcPr>
          <w:p w:rsidR="005F293E" w:rsidRPr="00D32161" w:rsidRDefault="005F293E" w:rsidP="003F7026">
            <w:pPr>
              <w:adjustRightInd w:val="0"/>
              <w:spacing w:before="29" w:line="360" w:lineRule="auto"/>
              <w:ind w:left="17"/>
              <w:jc w:val="right"/>
              <w:rPr>
                <w:rFonts w:eastAsiaTheme="minorEastAsia"/>
                <w:color w:val="000000"/>
                <w:sz w:val="24"/>
              </w:rPr>
            </w:pPr>
            <w:r w:rsidRPr="00D32161">
              <w:rPr>
                <w:rFonts w:eastAsiaTheme="minorEastAsia"/>
                <w:color w:val="000000"/>
                <w:sz w:val="24"/>
              </w:rPr>
              <w:t>0.995</w:t>
            </w:r>
          </w:p>
        </w:tc>
        <w:tc>
          <w:tcPr>
            <w:tcW w:w="2481" w:type="dxa"/>
            <w:vAlign w:val="center"/>
          </w:tcPr>
          <w:p w:rsidR="005F293E" w:rsidRPr="00D32161" w:rsidRDefault="00FE7FBD" w:rsidP="003F7026">
            <w:pPr>
              <w:adjustRightInd w:val="0"/>
              <w:spacing w:before="29" w:line="360" w:lineRule="auto"/>
              <w:ind w:left="17"/>
              <w:jc w:val="right"/>
              <w:rPr>
                <w:rFonts w:eastAsiaTheme="minorEastAsia"/>
                <w:color w:val="000000"/>
                <w:sz w:val="24"/>
              </w:rPr>
            </w:pPr>
            <w:r w:rsidRPr="00D32161">
              <w:rPr>
                <w:rFonts w:eastAsiaTheme="minorEastAsia"/>
                <w:color w:val="000000"/>
                <w:sz w:val="24"/>
              </w:rPr>
              <w:t>0.989</w:t>
            </w:r>
          </w:p>
        </w:tc>
      </w:tr>
    </w:tbl>
    <w:p w:rsidR="001C4558" w:rsidRDefault="00341503">
      <w:pPr>
        <w:spacing w:line="360" w:lineRule="auto"/>
        <w:ind w:firstLineChars="200" w:firstLine="480"/>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）所述基金业绩指标不包括持有人认购或交易基金的各项费用，计入费用后实际收益水平要低于所列数字。</w:t>
      </w:r>
    </w:p>
    <w:p w:rsidR="009238DB" w:rsidRPr="00D32161" w:rsidRDefault="005E01A3" w:rsidP="00D32161">
      <w:pPr>
        <w:spacing w:line="360" w:lineRule="auto"/>
        <w:ind w:firstLineChars="200" w:firstLine="480"/>
        <w:rPr>
          <w:rFonts w:eastAsiaTheme="minorEastAsia"/>
          <w:color w:val="000000"/>
          <w:sz w:val="24"/>
        </w:rPr>
      </w:pPr>
      <w:r w:rsidRPr="00264591">
        <w:rPr>
          <w:rFonts w:eastAsiaTheme="minorEastAsia"/>
          <w:color w:val="000000"/>
          <w:sz w:val="24"/>
        </w:rPr>
        <w:t>（</w:t>
      </w:r>
      <w:r w:rsidRPr="00264591">
        <w:rPr>
          <w:rFonts w:eastAsiaTheme="minorEastAsia"/>
          <w:color w:val="000000"/>
          <w:sz w:val="24"/>
        </w:rPr>
        <w:t>2</w:t>
      </w:r>
      <w:r w:rsidRPr="00264591">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B75DF8" w:rsidRDefault="009238DB" w:rsidP="00FC13C8">
      <w:pPr>
        <w:autoSpaceDE w:val="0"/>
        <w:autoSpaceDN w:val="0"/>
        <w:adjustRightInd w:val="0"/>
        <w:spacing w:line="360" w:lineRule="auto"/>
        <w:jc w:val="left"/>
        <w:rPr>
          <w:rFonts w:asciiTheme="minorEastAsia" w:eastAsiaTheme="minorEastAsia" w:hAnsiTheme="minorEastAsia" w:cs="Arial"/>
          <w:b/>
          <w:color w:val="000000"/>
          <w:kern w:val="0"/>
          <w:sz w:val="24"/>
        </w:rPr>
      </w:pPr>
      <w:r w:rsidRPr="00B75DF8">
        <w:rPr>
          <w:rFonts w:asciiTheme="minorEastAsia" w:eastAsiaTheme="minorEastAsia" w:hAnsiTheme="minorEastAsia" w:cs="Arial"/>
          <w:b/>
          <w:color w:val="000000"/>
          <w:kern w:val="0"/>
          <w:sz w:val="24"/>
        </w:rPr>
        <w:t xml:space="preserve">3.2 </w:t>
      </w:r>
      <w:r w:rsidRPr="00B75DF8">
        <w:rPr>
          <w:rFonts w:asciiTheme="minorEastAsia" w:eastAsiaTheme="minorEastAsia" w:hAnsiTheme="minorEastAsia" w:cs="Arial" w:hint="eastAsia"/>
          <w:b/>
          <w:color w:val="000000"/>
          <w:kern w:val="0"/>
          <w:sz w:val="24"/>
        </w:rPr>
        <w:t>基金净值表现</w:t>
      </w:r>
    </w:p>
    <w:p w:rsidR="009238DB" w:rsidRPr="00B75DF8" w:rsidRDefault="009238DB" w:rsidP="00FC13C8">
      <w:pPr>
        <w:autoSpaceDE w:val="0"/>
        <w:autoSpaceDN w:val="0"/>
        <w:adjustRightInd w:val="0"/>
        <w:spacing w:line="360" w:lineRule="auto"/>
        <w:jc w:val="left"/>
        <w:rPr>
          <w:rFonts w:asciiTheme="minorEastAsia" w:eastAsiaTheme="minorEastAsia" w:hAnsiTheme="minorEastAsia" w:cs="Arial"/>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B75DF8">
          <w:rPr>
            <w:rFonts w:asciiTheme="minorEastAsia" w:eastAsiaTheme="minorEastAsia" w:hAnsiTheme="minorEastAsia" w:cs="Arial"/>
            <w:b/>
            <w:color w:val="000000"/>
            <w:kern w:val="0"/>
            <w:sz w:val="24"/>
          </w:rPr>
          <w:t>3.2.1</w:t>
        </w:r>
      </w:smartTag>
      <w:r w:rsidRPr="00B75DF8">
        <w:rPr>
          <w:rFonts w:asciiTheme="minorEastAsia" w:eastAsiaTheme="minorEastAsia" w:hAnsiTheme="minorEastAsia" w:cs="Arial" w:hint="eastAsia"/>
          <w:b/>
          <w:color w:val="000000"/>
          <w:kern w:val="0"/>
          <w:sz w:val="24"/>
        </w:rPr>
        <w:t>本报告期基金份额净值增长率及其与同期业绩比较基准收益率的比较</w:t>
      </w:r>
    </w:p>
    <w:p w:rsidR="009238DB" w:rsidRPr="00B75DF8" w:rsidRDefault="009238DB" w:rsidP="00FC13C8">
      <w:pPr>
        <w:spacing w:line="360" w:lineRule="auto"/>
        <w:rPr>
          <w:rFonts w:asciiTheme="minorEastAsia" w:eastAsiaTheme="minorEastAsia" w:hAnsiTheme="minorEastAsia"/>
          <w:b/>
          <w:sz w:val="24"/>
        </w:rPr>
      </w:pPr>
      <w:r w:rsidRPr="00B75DF8">
        <w:rPr>
          <w:rFonts w:asciiTheme="minorEastAsia" w:eastAsiaTheme="minorEastAsia" w:hAnsiTheme="minorEastAsia"/>
          <w:b/>
          <w:sz w:val="24"/>
        </w:rPr>
        <w:t>1、</w:t>
      </w:r>
      <w:r w:rsidR="00A5643A" w:rsidRPr="00B75DF8">
        <w:rPr>
          <w:rFonts w:asciiTheme="minorEastAsia" w:eastAsiaTheme="minorEastAsia" w:hAnsiTheme="minorEastAsia" w:cs="Arial"/>
          <w:b/>
          <w:color w:val="000000"/>
          <w:kern w:val="0"/>
          <w:sz w:val="24"/>
        </w:rPr>
        <w:t>广发集安债券A</w:t>
      </w:r>
      <w:r w:rsidRPr="00B75DF8">
        <w:rPr>
          <w:rFonts w:asciiTheme="minorEastAsia" w:eastAsiaTheme="minorEastAsia" w:hAnsiTheme="minorEastAsia"/>
          <w:b/>
          <w:sz w:val="24"/>
        </w:rPr>
        <w:t>：</w:t>
      </w:r>
    </w:p>
    <w:tbl>
      <w:tblPr>
        <w:tblStyle w:val="af2"/>
        <w:tblW w:w="0" w:type="auto"/>
        <w:tblLayout w:type="fixed"/>
        <w:tblLook w:val="04A0"/>
      </w:tblPr>
      <w:tblGrid>
        <w:gridCol w:w="1290"/>
        <w:gridCol w:w="1291"/>
        <w:gridCol w:w="1291"/>
        <w:gridCol w:w="1291"/>
        <w:gridCol w:w="1291"/>
        <w:gridCol w:w="1291"/>
        <w:gridCol w:w="1291"/>
      </w:tblGrid>
      <w:tr w:rsidR="00685FFC" w:rsidRPr="00B75DF8" w:rsidTr="003F7026">
        <w:tc>
          <w:tcPr>
            <w:tcW w:w="1290" w:type="dxa"/>
            <w:vAlign w:val="center"/>
          </w:tcPr>
          <w:p w:rsidR="00685FFC" w:rsidRPr="00D32161" w:rsidRDefault="00685FFC" w:rsidP="003F7026">
            <w:pPr>
              <w:snapToGrid w:val="0"/>
              <w:spacing w:line="288" w:lineRule="auto"/>
              <w:jc w:val="center"/>
              <w:rPr>
                <w:rFonts w:eastAsiaTheme="minorEastAsia"/>
                <w:color w:val="000000"/>
                <w:sz w:val="24"/>
              </w:rPr>
            </w:pPr>
            <w:r w:rsidRPr="00D32161">
              <w:rPr>
                <w:rFonts w:eastAsiaTheme="minorEastAsia"/>
                <w:color w:val="000000"/>
                <w:sz w:val="24"/>
              </w:rPr>
              <w:t>阶段</w:t>
            </w:r>
          </w:p>
        </w:tc>
        <w:tc>
          <w:tcPr>
            <w:tcW w:w="1291" w:type="dxa"/>
            <w:vAlign w:val="center"/>
          </w:tcPr>
          <w:p w:rsidR="00685FFC" w:rsidRPr="00D32161" w:rsidRDefault="00685FFC" w:rsidP="003F7026">
            <w:pPr>
              <w:snapToGrid w:val="0"/>
              <w:spacing w:line="288" w:lineRule="auto"/>
              <w:jc w:val="center"/>
              <w:rPr>
                <w:rFonts w:eastAsiaTheme="minorEastAsia"/>
                <w:color w:val="000000"/>
                <w:sz w:val="24"/>
              </w:rPr>
            </w:pPr>
            <w:r w:rsidRPr="00D32161">
              <w:rPr>
                <w:rFonts w:eastAsiaTheme="minorEastAsia"/>
                <w:color w:val="000000"/>
                <w:sz w:val="24"/>
              </w:rPr>
              <w:t>净值增长率</w:t>
            </w:r>
            <w:r w:rsidRPr="00D32161">
              <w:rPr>
                <w:rFonts w:ascii="宋体" w:hAnsi="宋体" w:cs="宋体" w:hint="eastAsia"/>
                <w:color w:val="000000"/>
                <w:sz w:val="24"/>
              </w:rPr>
              <w:t>①</w:t>
            </w:r>
          </w:p>
        </w:tc>
        <w:tc>
          <w:tcPr>
            <w:tcW w:w="1291" w:type="dxa"/>
            <w:vAlign w:val="center"/>
          </w:tcPr>
          <w:p w:rsidR="00685FFC" w:rsidRPr="00D32161" w:rsidRDefault="00685FFC" w:rsidP="003F7026">
            <w:pPr>
              <w:snapToGrid w:val="0"/>
              <w:spacing w:line="288" w:lineRule="auto"/>
              <w:jc w:val="center"/>
              <w:rPr>
                <w:rFonts w:eastAsiaTheme="minorEastAsia"/>
                <w:color w:val="000000"/>
                <w:sz w:val="24"/>
              </w:rPr>
            </w:pPr>
            <w:r w:rsidRPr="00D32161">
              <w:rPr>
                <w:rFonts w:eastAsiaTheme="minorEastAsia"/>
                <w:color w:val="000000"/>
                <w:sz w:val="24"/>
              </w:rPr>
              <w:t>净值增长率标准差</w:t>
            </w:r>
            <w:r w:rsidRPr="00D32161">
              <w:rPr>
                <w:rFonts w:ascii="宋体" w:hAnsi="宋体" w:cs="宋体" w:hint="eastAsia"/>
                <w:color w:val="000000"/>
                <w:sz w:val="24"/>
              </w:rPr>
              <w:t>②</w:t>
            </w:r>
          </w:p>
        </w:tc>
        <w:tc>
          <w:tcPr>
            <w:tcW w:w="1291" w:type="dxa"/>
            <w:vAlign w:val="center"/>
          </w:tcPr>
          <w:p w:rsidR="00685FFC" w:rsidRPr="00D32161" w:rsidRDefault="00685FFC" w:rsidP="003F7026">
            <w:pPr>
              <w:snapToGrid w:val="0"/>
              <w:spacing w:line="288" w:lineRule="auto"/>
              <w:jc w:val="center"/>
              <w:rPr>
                <w:rFonts w:eastAsiaTheme="minorEastAsia"/>
                <w:color w:val="000000"/>
                <w:sz w:val="24"/>
              </w:rPr>
            </w:pPr>
            <w:r w:rsidRPr="00D32161">
              <w:rPr>
                <w:rFonts w:eastAsiaTheme="minorEastAsia"/>
                <w:color w:val="000000"/>
                <w:sz w:val="24"/>
              </w:rPr>
              <w:t>业绩比较基准收益率</w:t>
            </w:r>
            <w:r w:rsidRPr="00D32161">
              <w:rPr>
                <w:rFonts w:ascii="宋体" w:hAnsi="宋体" w:cs="宋体" w:hint="eastAsia"/>
                <w:color w:val="000000"/>
                <w:sz w:val="24"/>
              </w:rPr>
              <w:t>③</w:t>
            </w:r>
          </w:p>
        </w:tc>
        <w:tc>
          <w:tcPr>
            <w:tcW w:w="1291" w:type="dxa"/>
            <w:vAlign w:val="center"/>
          </w:tcPr>
          <w:p w:rsidR="00685FFC" w:rsidRPr="00D32161" w:rsidRDefault="00685FFC" w:rsidP="003F7026">
            <w:pPr>
              <w:snapToGrid w:val="0"/>
              <w:spacing w:line="288" w:lineRule="auto"/>
              <w:jc w:val="center"/>
              <w:rPr>
                <w:rFonts w:eastAsiaTheme="minorEastAsia"/>
                <w:color w:val="000000"/>
                <w:sz w:val="24"/>
              </w:rPr>
            </w:pPr>
            <w:r w:rsidRPr="00D32161">
              <w:rPr>
                <w:rFonts w:eastAsiaTheme="minorEastAsia"/>
                <w:color w:val="000000"/>
                <w:sz w:val="24"/>
              </w:rPr>
              <w:t>业绩比较基准收益率标准差</w:t>
            </w:r>
            <w:r w:rsidRPr="00D32161">
              <w:rPr>
                <w:rFonts w:ascii="宋体" w:hAnsi="宋体" w:cs="宋体" w:hint="eastAsia"/>
                <w:color w:val="000000"/>
                <w:sz w:val="24"/>
              </w:rPr>
              <w:t>④</w:t>
            </w:r>
          </w:p>
        </w:tc>
        <w:tc>
          <w:tcPr>
            <w:tcW w:w="1291" w:type="dxa"/>
            <w:vAlign w:val="center"/>
          </w:tcPr>
          <w:p w:rsidR="00685FFC" w:rsidRPr="00D32161" w:rsidRDefault="00685FFC" w:rsidP="003F7026">
            <w:pPr>
              <w:snapToGrid w:val="0"/>
              <w:spacing w:line="288" w:lineRule="auto"/>
              <w:jc w:val="center"/>
              <w:rPr>
                <w:rFonts w:eastAsiaTheme="minorEastAsia"/>
                <w:color w:val="000000"/>
                <w:sz w:val="24"/>
              </w:rPr>
            </w:pPr>
            <w:r w:rsidRPr="00D32161">
              <w:rPr>
                <w:rFonts w:ascii="宋体" w:hAnsi="宋体" w:cs="宋体" w:hint="eastAsia"/>
                <w:color w:val="000000"/>
                <w:sz w:val="24"/>
              </w:rPr>
              <w:t>①</w:t>
            </w:r>
            <w:r w:rsidRPr="00D32161">
              <w:rPr>
                <w:rFonts w:eastAsiaTheme="minorEastAsia"/>
                <w:color w:val="000000"/>
                <w:sz w:val="24"/>
              </w:rPr>
              <w:t>－</w:t>
            </w:r>
            <w:r w:rsidRPr="00D32161">
              <w:rPr>
                <w:rFonts w:ascii="宋体" w:hAnsi="宋体" w:cs="宋体" w:hint="eastAsia"/>
                <w:color w:val="000000"/>
                <w:sz w:val="24"/>
              </w:rPr>
              <w:t>③</w:t>
            </w:r>
          </w:p>
        </w:tc>
        <w:tc>
          <w:tcPr>
            <w:tcW w:w="1291" w:type="dxa"/>
            <w:vAlign w:val="center"/>
          </w:tcPr>
          <w:p w:rsidR="00685FFC" w:rsidRPr="00D32161" w:rsidRDefault="00685FFC" w:rsidP="003F7026">
            <w:pPr>
              <w:snapToGrid w:val="0"/>
              <w:spacing w:line="288" w:lineRule="auto"/>
              <w:jc w:val="center"/>
              <w:rPr>
                <w:rFonts w:eastAsiaTheme="minorEastAsia"/>
                <w:color w:val="000000"/>
                <w:sz w:val="24"/>
              </w:rPr>
            </w:pPr>
            <w:r w:rsidRPr="00D32161">
              <w:rPr>
                <w:rFonts w:ascii="宋体" w:hAnsi="宋体" w:cs="宋体" w:hint="eastAsia"/>
                <w:color w:val="000000"/>
                <w:sz w:val="24"/>
              </w:rPr>
              <w:t>②</w:t>
            </w:r>
            <w:r w:rsidRPr="00D32161">
              <w:rPr>
                <w:rFonts w:eastAsiaTheme="minorEastAsia"/>
                <w:color w:val="000000"/>
                <w:sz w:val="24"/>
              </w:rPr>
              <w:t>－</w:t>
            </w:r>
            <w:r w:rsidRPr="00D32161">
              <w:rPr>
                <w:rFonts w:ascii="宋体" w:hAnsi="宋体" w:cs="宋体" w:hint="eastAsia"/>
                <w:color w:val="000000"/>
                <w:sz w:val="24"/>
              </w:rPr>
              <w:t>④</w:t>
            </w:r>
          </w:p>
        </w:tc>
      </w:tr>
      <w:tr w:rsidR="001C4558">
        <w:tc>
          <w:tcPr>
            <w:tcW w:w="1290" w:type="dxa"/>
            <w:vAlign w:val="center"/>
          </w:tcPr>
          <w:p w:rsidR="001C4558" w:rsidRDefault="00341503">
            <w:pPr>
              <w:jc w:val="left"/>
            </w:pPr>
            <w:r>
              <w:rPr>
                <w:rFonts w:eastAsiaTheme="minorEastAsia"/>
                <w:color w:val="000000"/>
                <w:sz w:val="24"/>
              </w:rPr>
              <w:t>过去三个月</w:t>
            </w:r>
          </w:p>
        </w:tc>
        <w:tc>
          <w:tcPr>
            <w:tcW w:w="1291" w:type="dxa"/>
            <w:vAlign w:val="center"/>
          </w:tcPr>
          <w:p w:rsidR="001C4558" w:rsidRDefault="00341503">
            <w:pPr>
              <w:jc w:val="center"/>
            </w:pPr>
            <w:r>
              <w:rPr>
                <w:rFonts w:eastAsiaTheme="minorEastAsia"/>
                <w:color w:val="000000"/>
                <w:sz w:val="24"/>
              </w:rPr>
              <w:t>-1.19%</w:t>
            </w:r>
          </w:p>
        </w:tc>
        <w:tc>
          <w:tcPr>
            <w:tcW w:w="1291" w:type="dxa"/>
            <w:vAlign w:val="center"/>
          </w:tcPr>
          <w:p w:rsidR="001C4558" w:rsidRDefault="00341503">
            <w:pPr>
              <w:jc w:val="center"/>
            </w:pPr>
            <w:r>
              <w:rPr>
                <w:rFonts w:eastAsiaTheme="minorEastAsia"/>
                <w:color w:val="000000"/>
                <w:sz w:val="24"/>
              </w:rPr>
              <w:t>0.54%</w:t>
            </w:r>
          </w:p>
        </w:tc>
        <w:tc>
          <w:tcPr>
            <w:tcW w:w="1291" w:type="dxa"/>
            <w:vAlign w:val="center"/>
          </w:tcPr>
          <w:p w:rsidR="001C4558" w:rsidRDefault="00341503">
            <w:pPr>
              <w:jc w:val="center"/>
            </w:pPr>
            <w:r>
              <w:rPr>
                <w:rFonts w:eastAsiaTheme="minorEastAsia"/>
                <w:color w:val="000000"/>
                <w:sz w:val="24"/>
              </w:rPr>
              <w:t>1.76%</w:t>
            </w:r>
          </w:p>
        </w:tc>
        <w:tc>
          <w:tcPr>
            <w:tcW w:w="1291" w:type="dxa"/>
            <w:vAlign w:val="center"/>
          </w:tcPr>
          <w:p w:rsidR="001C4558" w:rsidRDefault="00341503">
            <w:pPr>
              <w:jc w:val="center"/>
            </w:pPr>
            <w:r>
              <w:rPr>
                <w:rFonts w:eastAsiaTheme="minorEastAsia"/>
                <w:color w:val="000000"/>
                <w:sz w:val="24"/>
              </w:rPr>
              <w:t>0.15%</w:t>
            </w:r>
          </w:p>
        </w:tc>
        <w:tc>
          <w:tcPr>
            <w:tcW w:w="1291" w:type="dxa"/>
            <w:vAlign w:val="center"/>
          </w:tcPr>
          <w:p w:rsidR="001C4558" w:rsidRDefault="00341503">
            <w:pPr>
              <w:jc w:val="center"/>
            </w:pPr>
            <w:r>
              <w:rPr>
                <w:rFonts w:eastAsiaTheme="minorEastAsia"/>
                <w:color w:val="000000"/>
                <w:sz w:val="24"/>
              </w:rPr>
              <w:t>-2.95%</w:t>
            </w:r>
          </w:p>
        </w:tc>
        <w:tc>
          <w:tcPr>
            <w:tcW w:w="1291" w:type="dxa"/>
            <w:vAlign w:val="center"/>
          </w:tcPr>
          <w:p w:rsidR="001C4558" w:rsidRDefault="00341503">
            <w:pPr>
              <w:jc w:val="center"/>
            </w:pPr>
            <w:r>
              <w:rPr>
                <w:rFonts w:eastAsiaTheme="minorEastAsia"/>
                <w:color w:val="000000"/>
                <w:sz w:val="24"/>
              </w:rPr>
              <w:t>0.39%</w:t>
            </w:r>
          </w:p>
        </w:tc>
      </w:tr>
    </w:tbl>
    <w:p w:rsidR="009238DB" w:rsidRPr="00B75DF8" w:rsidRDefault="009238DB" w:rsidP="00FC13C8">
      <w:pPr>
        <w:adjustRightInd w:val="0"/>
        <w:spacing w:line="360" w:lineRule="auto"/>
        <w:rPr>
          <w:rFonts w:asciiTheme="minorEastAsia" w:eastAsiaTheme="minorEastAsia" w:hAnsiTheme="minorEastAsia" w:cs="Arial"/>
          <w:b/>
          <w:color w:val="000000"/>
          <w:kern w:val="0"/>
          <w:sz w:val="24"/>
        </w:rPr>
      </w:pPr>
      <w:r w:rsidRPr="00B75DF8">
        <w:rPr>
          <w:rFonts w:asciiTheme="minorEastAsia" w:eastAsiaTheme="minorEastAsia" w:hAnsiTheme="minorEastAsia"/>
          <w:b/>
          <w:sz w:val="24"/>
        </w:rPr>
        <w:t>2、</w:t>
      </w:r>
      <w:r w:rsidR="00FE7FBD" w:rsidRPr="00B75DF8">
        <w:rPr>
          <w:rFonts w:asciiTheme="minorEastAsia" w:eastAsiaTheme="minorEastAsia" w:hAnsiTheme="minorEastAsia" w:cs="Arial" w:hint="eastAsia"/>
          <w:b/>
          <w:color w:val="000000"/>
          <w:kern w:val="0"/>
          <w:sz w:val="24"/>
        </w:rPr>
        <w:t>广发集安债券C</w:t>
      </w:r>
      <w:r w:rsidRPr="00B75DF8">
        <w:rPr>
          <w:rFonts w:asciiTheme="minorEastAsia" w:eastAsiaTheme="minorEastAsia" w:hAnsiTheme="minorEastAsia" w:cs="Arial" w:hint="eastAsia"/>
          <w:b/>
          <w:color w:val="000000"/>
          <w:kern w:val="0"/>
          <w:sz w:val="24"/>
        </w:rPr>
        <w:t>：</w:t>
      </w:r>
    </w:p>
    <w:tbl>
      <w:tblPr>
        <w:tblStyle w:val="af2"/>
        <w:tblW w:w="0" w:type="auto"/>
        <w:tblLayout w:type="fixed"/>
        <w:tblLook w:val="04A0"/>
      </w:tblPr>
      <w:tblGrid>
        <w:gridCol w:w="1290"/>
        <w:gridCol w:w="1291"/>
        <w:gridCol w:w="1291"/>
        <w:gridCol w:w="1291"/>
        <w:gridCol w:w="1291"/>
        <w:gridCol w:w="1291"/>
        <w:gridCol w:w="1291"/>
      </w:tblGrid>
      <w:tr w:rsidR="00685FFC" w:rsidRPr="00B75DF8" w:rsidTr="003F7026">
        <w:tc>
          <w:tcPr>
            <w:tcW w:w="1290" w:type="dxa"/>
            <w:vAlign w:val="center"/>
          </w:tcPr>
          <w:p w:rsidR="00685FFC" w:rsidRPr="00D32161" w:rsidRDefault="00685FFC" w:rsidP="003F7026">
            <w:pPr>
              <w:snapToGrid w:val="0"/>
              <w:spacing w:line="288" w:lineRule="auto"/>
              <w:jc w:val="center"/>
              <w:rPr>
                <w:rFonts w:eastAsiaTheme="minorEastAsia"/>
                <w:color w:val="000000"/>
                <w:sz w:val="24"/>
              </w:rPr>
            </w:pPr>
            <w:r w:rsidRPr="00D32161">
              <w:rPr>
                <w:rFonts w:eastAsiaTheme="minorEastAsia"/>
                <w:color w:val="000000"/>
                <w:sz w:val="24"/>
              </w:rPr>
              <w:t>阶段</w:t>
            </w:r>
          </w:p>
        </w:tc>
        <w:tc>
          <w:tcPr>
            <w:tcW w:w="1291" w:type="dxa"/>
            <w:vAlign w:val="center"/>
          </w:tcPr>
          <w:p w:rsidR="00685FFC" w:rsidRPr="00D32161" w:rsidRDefault="00685FFC" w:rsidP="003F7026">
            <w:pPr>
              <w:snapToGrid w:val="0"/>
              <w:spacing w:line="288" w:lineRule="auto"/>
              <w:jc w:val="center"/>
              <w:rPr>
                <w:rFonts w:eastAsiaTheme="minorEastAsia"/>
                <w:color w:val="000000"/>
                <w:sz w:val="24"/>
                <w:highlight w:val="green"/>
              </w:rPr>
            </w:pPr>
            <w:r w:rsidRPr="00D32161">
              <w:rPr>
                <w:rFonts w:eastAsiaTheme="minorEastAsia"/>
                <w:color w:val="000000"/>
                <w:sz w:val="24"/>
              </w:rPr>
              <w:t>净值增长率</w:t>
            </w:r>
            <w:r w:rsidRPr="00D32161">
              <w:rPr>
                <w:rFonts w:ascii="宋体" w:hAnsi="宋体" w:cs="宋体" w:hint="eastAsia"/>
                <w:color w:val="000000"/>
                <w:sz w:val="24"/>
              </w:rPr>
              <w:t>①</w:t>
            </w:r>
          </w:p>
        </w:tc>
        <w:tc>
          <w:tcPr>
            <w:tcW w:w="1291" w:type="dxa"/>
            <w:vAlign w:val="center"/>
          </w:tcPr>
          <w:p w:rsidR="00685FFC" w:rsidRPr="00D32161" w:rsidRDefault="00685FFC" w:rsidP="003F7026">
            <w:pPr>
              <w:snapToGrid w:val="0"/>
              <w:spacing w:line="288" w:lineRule="auto"/>
              <w:jc w:val="center"/>
              <w:rPr>
                <w:rFonts w:eastAsiaTheme="minorEastAsia"/>
                <w:color w:val="000000"/>
                <w:sz w:val="24"/>
                <w:highlight w:val="green"/>
              </w:rPr>
            </w:pPr>
            <w:r w:rsidRPr="00D32161">
              <w:rPr>
                <w:rFonts w:eastAsiaTheme="minorEastAsia"/>
                <w:color w:val="000000"/>
                <w:sz w:val="24"/>
              </w:rPr>
              <w:t>净值增长率标准差</w:t>
            </w:r>
            <w:r w:rsidRPr="00D32161">
              <w:rPr>
                <w:rFonts w:ascii="宋体" w:hAnsi="宋体" w:cs="宋体" w:hint="eastAsia"/>
                <w:color w:val="000000"/>
                <w:sz w:val="24"/>
              </w:rPr>
              <w:t>②</w:t>
            </w:r>
          </w:p>
        </w:tc>
        <w:tc>
          <w:tcPr>
            <w:tcW w:w="1291" w:type="dxa"/>
            <w:vAlign w:val="center"/>
          </w:tcPr>
          <w:p w:rsidR="00685FFC" w:rsidRPr="00D32161" w:rsidRDefault="00685FFC" w:rsidP="003F7026">
            <w:pPr>
              <w:snapToGrid w:val="0"/>
              <w:spacing w:line="288" w:lineRule="auto"/>
              <w:jc w:val="center"/>
              <w:rPr>
                <w:rFonts w:eastAsiaTheme="minorEastAsia"/>
                <w:color w:val="000000"/>
                <w:sz w:val="24"/>
              </w:rPr>
            </w:pPr>
            <w:r w:rsidRPr="00D32161">
              <w:rPr>
                <w:rFonts w:eastAsiaTheme="minorEastAsia"/>
                <w:color w:val="000000"/>
                <w:sz w:val="24"/>
              </w:rPr>
              <w:t>业绩比较基准收益率</w:t>
            </w:r>
            <w:r w:rsidRPr="00D32161">
              <w:rPr>
                <w:rFonts w:ascii="宋体" w:hAnsi="宋体" w:cs="宋体" w:hint="eastAsia"/>
                <w:color w:val="000000"/>
                <w:sz w:val="24"/>
              </w:rPr>
              <w:t>③</w:t>
            </w:r>
          </w:p>
        </w:tc>
        <w:tc>
          <w:tcPr>
            <w:tcW w:w="1291" w:type="dxa"/>
            <w:vAlign w:val="center"/>
          </w:tcPr>
          <w:p w:rsidR="00685FFC" w:rsidRPr="00D32161" w:rsidRDefault="00685FFC" w:rsidP="003F7026">
            <w:pPr>
              <w:snapToGrid w:val="0"/>
              <w:spacing w:line="288" w:lineRule="auto"/>
              <w:jc w:val="center"/>
              <w:rPr>
                <w:rFonts w:eastAsiaTheme="minorEastAsia"/>
                <w:color w:val="000000"/>
                <w:sz w:val="24"/>
              </w:rPr>
            </w:pPr>
            <w:r w:rsidRPr="00D32161">
              <w:rPr>
                <w:rFonts w:eastAsiaTheme="minorEastAsia"/>
                <w:color w:val="000000"/>
                <w:sz w:val="24"/>
              </w:rPr>
              <w:t>业绩比较基准收益率标准差</w:t>
            </w:r>
            <w:r w:rsidRPr="00D32161">
              <w:rPr>
                <w:rFonts w:ascii="宋体" w:hAnsi="宋体" w:cs="宋体" w:hint="eastAsia"/>
                <w:color w:val="000000"/>
                <w:sz w:val="24"/>
              </w:rPr>
              <w:t>④</w:t>
            </w:r>
          </w:p>
        </w:tc>
        <w:tc>
          <w:tcPr>
            <w:tcW w:w="1291" w:type="dxa"/>
            <w:vAlign w:val="center"/>
          </w:tcPr>
          <w:p w:rsidR="00685FFC" w:rsidRPr="00D32161" w:rsidRDefault="00685FFC" w:rsidP="003F7026">
            <w:pPr>
              <w:snapToGrid w:val="0"/>
              <w:spacing w:line="288" w:lineRule="auto"/>
              <w:jc w:val="center"/>
              <w:rPr>
                <w:rFonts w:eastAsiaTheme="minorEastAsia"/>
                <w:color w:val="000000"/>
                <w:sz w:val="24"/>
              </w:rPr>
            </w:pPr>
            <w:r w:rsidRPr="00D32161">
              <w:rPr>
                <w:rFonts w:ascii="宋体" w:hAnsi="宋体" w:cs="宋体" w:hint="eastAsia"/>
                <w:color w:val="000000"/>
                <w:sz w:val="24"/>
              </w:rPr>
              <w:t>①</w:t>
            </w:r>
            <w:r w:rsidRPr="00D32161">
              <w:rPr>
                <w:rFonts w:eastAsiaTheme="minorEastAsia"/>
                <w:color w:val="000000"/>
                <w:sz w:val="24"/>
              </w:rPr>
              <w:t>－</w:t>
            </w:r>
            <w:r w:rsidRPr="00D32161">
              <w:rPr>
                <w:rFonts w:ascii="宋体" w:hAnsi="宋体" w:cs="宋体" w:hint="eastAsia"/>
                <w:color w:val="000000"/>
                <w:sz w:val="24"/>
              </w:rPr>
              <w:t>③</w:t>
            </w:r>
          </w:p>
        </w:tc>
        <w:tc>
          <w:tcPr>
            <w:tcW w:w="1291" w:type="dxa"/>
            <w:vAlign w:val="center"/>
          </w:tcPr>
          <w:p w:rsidR="00685FFC" w:rsidRPr="00D32161" w:rsidRDefault="00685FFC" w:rsidP="003F7026">
            <w:pPr>
              <w:snapToGrid w:val="0"/>
              <w:spacing w:line="288" w:lineRule="auto"/>
              <w:jc w:val="center"/>
              <w:rPr>
                <w:rFonts w:eastAsiaTheme="minorEastAsia"/>
                <w:color w:val="000000"/>
                <w:sz w:val="24"/>
              </w:rPr>
            </w:pPr>
            <w:r w:rsidRPr="00D32161">
              <w:rPr>
                <w:rFonts w:ascii="宋体" w:hAnsi="宋体" w:cs="宋体" w:hint="eastAsia"/>
                <w:color w:val="000000"/>
                <w:sz w:val="24"/>
              </w:rPr>
              <w:t>②</w:t>
            </w:r>
            <w:r w:rsidRPr="00D32161">
              <w:rPr>
                <w:rFonts w:eastAsiaTheme="minorEastAsia"/>
                <w:color w:val="000000"/>
                <w:sz w:val="24"/>
              </w:rPr>
              <w:t>－</w:t>
            </w:r>
            <w:r w:rsidRPr="00D32161">
              <w:rPr>
                <w:rFonts w:ascii="宋体" w:hAnsi="宋体" w:cs="宋体" w:hint="eastAsia"/>
                <w:color w:val="000000"/>
                <w:sz w:val="24"/>
              </w:rPr>
              <w:t>④</w:t>
            </w:r>
          </w:p>
        </w:tc>
      </w:tr>
      <w:tr w:rsidR="001C4558">
        <w:tc>
          <w:tcPr>
            <w:tcW w:w="1290" w:type="dxa"/>
            <w:vAlign w:val="center"/>
          </w:tcPr>
          <w:p w:rsidR="001C4558" w:rsidRDefault="00341503">
            <w:pPr>
              <w:jc w:val="left"/>
            </w:pPr>
            <w:r>
              <w:rPr>
                <w:rFonts w:eastAsiaTheme="minorEastAsia"/>
                <w:color w:val="000000"/>
                <w:sz w:val="24"/>
              </w:rPr>
              <w:t>过去三个月</w:t>
            </w:r>
          </w:p>
        </w:tc>
        <w:tc>
          <w:tcPr>
            <w:tcW w:w="1291" w:type="dxa"/>
            <w:vAlign w:val="center"/>
          </w:tcPr>
          <w:p w:rsidR="001C4558" w:rsidRDefault="00341503">
            <w:pPr>
              <w:jc w:val="center"/>
            </w:pPr>
            <w:r>
              <w:rPr>
                <w:rFonts w:eastAsiaTheme="minorEastAsia"/>
                <w:color w:val="000000"/>
                <w:sz w:val="24"/>
              </w:rPr>
              <w:t>-1.20%</w:t>
            </w:r>
          </w:p>
        </w:tc>
        <w:tc>
          <w:tcPr>
            <w:tcW w:w="1291" w:type="dxa"/>
            <w:vAlign w:val="center"/>
          </w:tcPr>
          <w:p w:rsidR="001C4558" w:rsidRDefault="00341503">
            <w:pPr>
              <w:jc w:val="center"/>
            </w:pPr>
            <w:r>
              <w:rPr>
                <w:rFonts w:eastAsiaTheme="minorEastAsia"/>
                <w:color w:val="000000"/>
                <w:sz w:val="24"/>
              </w:rPr>
              <w:t>0.38%</w:t>
            </w:r>
          </w:p>
        </w:tc>
        <w:tc>
          <w:tcPr>
            <w:tcW w:w="1291" w:type="dxa"/>
            <w:vAlign w:val="center"/>
          </w:tcPr>
          <w:p w:rsidR="001C4558" w:rsidRDefault="00341503">
            <w:pPr>
              <w:jc w:val="center"/>
            </w:pPr>
            <w:r>
              <w:rPr>
                <w:rFonts w:eastAsiaTheme="minorEastAsia"/>
                <w:color w:val="000000"/>
                <w:sz w:val="24"/>
              </w:rPr>
              <w:t>1.76%</w:t>
            </w:r>
          </w:p>
        </w:tc>
        <w:tc>
          <w:tcPr>
            <w:tcW w:w="1291" w:type="dxa"/>
            <w:vAlign w:val="center"/>
          </w:tcPr>
          <w:p w:rsidR="001C4558" w:rsidRDefault="00341503">
            <w:pPr>
              <w:jc w:val="center"/>
            </w:pPr>
            <w:r>
              <w:rPr>
                <w:rFonts w:eastAsiaTheme="minorEastAsia"/>
                <w:color w:val="000000"/>
                <w:sz w:val="24"/>
              </w:rPr>
              <w:t>0.15%</w:t>
            </w:r>
          </w:p>
        </w:tc>
        <w:tc>
          <w:tcPr>
            <w:tcW w:w="1291" w:type="dxa"/>
            <w:vAlign w:val="center"/>
          </w:tcPr>
          <w:p w:rsidR="001C4558" w:rsidRDefault="00341503">
            <w:pPr>
              <w:jc w:val="center"/>
            </w:pPr>
            <w:r>
              <w:rPr>
                <w:rFonts w:eastAsiaTheme="minorEastAsia"/>
                <w:color w:val="000000"/>
                <w:sz w:val="24"/>
              </w:rPr>
              <w:t>-2.96%</w:t>
            </w:r>
          </w:p>
        </w:tc>
        <w:tc>
          <w:tcPr>
            <w:tcW w:w="1291" w:type="dxa"/>
            <w:vAlign w:val="center"/>
          </w:tcPr>
          <w:p w:rsidR="001C4558" w:rsidRDefault="00341503">
            <w:pPr>
              <w:jc w:val="center"/>
            </w:pPr>
            <w:r>
              <w:rPr>
                <w:rFonts w:eastAsiaTheme="minorEastAsia"/>
                <w:color w:val="000000"/>
                <w:sz w:val="24"/>
              </w:rPr>
              <w:t>0.23%</w:t>
            </w:r>
          </w:p>
        </w:tc>
      </w:tr>
    </w:tbl>
    <w:p w:rsidR="009238DB" w:rsidRPr="00B75DF8" w:rsidRDefault="009238DB" w:rsidP="00FC13C8">
      <w:pPr>
        <w:spacing w:line="360" w:lineRule="auto"/>
        <w:rPr>
          <w:rFonts w:asciiTheme="minorEastAsia" w:eastAsiaTheme="minorEastAsia" w:hAnsiTheme="minorEastAsia" w:cs="Arial"/>
          <w:b/>
          <w:color w:val="000000"/>
          <w:kern w:val="0"/>
          <w:sz w:val="24"/>
        </w:rPr>
      </w:pPr>
      <w:r w:rsidRPr="00B75DF8">
        <w:rPr>
          <w:rFonts w:asciiTheme="minorEastAsia" w:eastAsiaTheme="minorEastAsia" w:hAnsiTheme="minorEastAsia" w:cs="Arial"/>
          <w:b/>
          <w:color w:val="000000"/>
          <w:kern w:val="0"/>
          <w:sz w:val="24"/>
        </w:rPr>
        <w:t>3.2.2</w:t>
      </w:r>
      <w:r w:rsidRPr="00B75DF8">
        <w:rPr>
          <w:rFonts w:asciiTheme="minorEastAsia" w:eastAsiaTheme="minorEastAsia" w:hAnsiTheme="minorEastAsia" w:cs="Arial" w:hint="eastAsia"/>
          <w:b/>
          <w:color w:val="000000"/>
          <w:kern w:val="0"/>
          <w:sz w:val="24"/>
        </w:rPr>
        <w:t xml:space="preserve">　</w:t>
      </w:r>
      <w:r w:rsidR="00C71C12" w:rsidRPr="00C71C12">
        <w:rPr>
          <w:rFonts w:asciiTheme="minorEastAsia" w:eastAsiaTheme="minorEastAsia" w:hAnsiTheme="minorEastAsia"/>
          <w:b/>
          <w:color w:val="000000"/>
          <w:sz w:val="24"/>
        </w:rPr>
        <w:t>自基金合同生效以来</w:t>
      </w:r>
      <w:r w:rsidR="00BF57BE" w:rsidRPr="00B75DF8">
        <w:rPr>
          <w:rFonts w:asciiTheme="minorEastAsia" w:eastAsiaTheme="minorEastAsia" w:hAnsiTheme="minorEastAsia" w:hint="eastAsia"/>
          <w:b/>
          <w:color w:val="000000"/>
          <w:sz w:val="24"/>
        </w:rPr>
        <w:t>基金累计净值增长率变动及其与同期业绩比较基准收益率变动的比较</w:t>
      </w:r>
    </w:p>
    <w:p w:rsidR="009A045B" w:rsidRPr="00D32161" w:rsidRDefault="009A045B" w:rsidP="00FC13C8">
      <w:pPr>
        <w:spacing w:line="360" w:lineRule="auto"/>
        <w:jc w:val="center"/>
        <w:rPr>
          <w:rFonts w:eastAsiaTheme="minorEastAsia"/>
          <w:color w:val="000000"/>
          <w:sz w:val="24"/>
        </w:rPr>
      </w:pPr>
      <w:r w:rsidRPr="00D32161">
        <w:rPr>
          <w:rFonts w:eastAsiaTheme="minorEastAsia"/>
          <w:color w:val="000000"/>
          <w:sz w:val="24"/>
        </w:rPr>
        <w:t>广发集安债券型证券投资基金</w:t>
      </w:r>
    </w:p>
    <w:p w:rsidR="00022396" w:rsidRPr="00D32161" w:rsidRDefault="00022396" w:rsidP="00FC13C8">
      <w:pPr>
        <w:pStyle w:val="a5"/>
        <w:snapToGrid w:val="0"/>
        <w:spacing w:line="360" w:lineRule="auto"/>
        <w:jc w:val="center"/>
        <w:rPr>
          <w:rFonts w:ascii="Times New Roman" w:eastAsiaTheme="minorEastAsia" w:hAnsi="Times New Roman"/>
          <w:color w:val="000000"/>
          <w:sz w:val="24"/>
          <w:szCs w:val="24"/>
        </w:rPr>
      </w:pPr>
      <w:r w:rsidRPr="00D32161">
        <w:rPr>
          <w:rFonts w:ascii="Times New Roman" w:eastAsiaTheme="minorEastAsia" w:hAnsi="Times New Roman"/>
          <w:color w:val="000000"/>
          <w:sz w:val="24"/>
          <w:szCs w:val="24"/>
        </w:rPr>
        <w:t>累计净值增长率与业绩比较基准收益率的历史走势对比图</w:t>
      </w:r>
    </w:p>
    <w:p w:rsidR="009A045B" w:rsidRPr="00D32161" w:rsidRDefault="009A045B" w:rsidP="00FC13C8">
      <w:pPr>
        <w:pStyle w:val="a5"/>
        <w:snapToGrid w:val="0"/>
        <w:spacing w:line="360" w:lineRule="auto"/>
        <w:ind w:firstLine="480"/>
        <w:jc w:val="center"/>
        <w:rPr>
          <w:rFonts w:ascii="Times New Roman" w:eastAsiaTheme="minorEastAsia" w:hAnsi="Times New Roman"/>
          <w:sz w:val="24"/>
          <w:szCs w:val="24"/>
        </w:rPr>
      </w:pPr>
      <w:r w:rsidRPr="00D32161">
        <w:rPr>
          <w:rFonts w:ascii="Times New Roman" w:eastAsiaTheme="minorEastAsia" w:hAnsi="Times New Roman"/>
          <w:sz w:val="24"/>
          <w:szCs w:val="24"/>
        </w:rPr>
        <w:t>(</w:t>
      </w:r>
      <w:r w:rsidR="00D04410" w:rsidRPr="00D32161">
        <w:rPr>
          <w:rFonts w:ascii="Times New Roman" w:eastAsiaTheme="minorEastAsia" w:hAnsi="Times New Roman"/>
          <w:sz w:val="24"/>
          <w:szCs w:val="24"/>
        </w:rPr>
        <w:t>2017</w:t>
      </w:r>
      <w:r w:rsidR="00D04410" w:rsidRPr="00D32161">
        <w:rPr>
          <w:rFonts w:ascii="Times New Roman" w:eastAsiaTheme="minorEastAsia" w:hAnsi="Times New Roman"/>
          <w:sz w:val="24"/>
          <w:szCs w:val="24"/>
        </w:rPr>
        <w:t>年</w:t>
      </w:r>
      <w:r w:rsidR="00D04410" w:rsidRPr="00D32161">
        <w:rPr>
          <w:rFonts w:ascii="Times New Roman" w:eastAsiaTheme="minorEastAsia" w:hAnsi="Times New Roman"/>
          <w:sz w:val="24"/>
          <w:szCs w:val="24"/>
        </w:rPr>
        <w:t>1</w:t>
      </w:r>
      <w:r w:rsidR="00D04410" w:rsidRPr="00D32161">
        <w:rPr>
          <w:rFonts w:ascii="Times New Roman" w:eastAsiaTheme="minorEastAsia" w:hAnsi="Times New Roman"/>
          <w:sz w:val="24"/>
          <w:szCs w:val="24"/>
        </w:rPr>
        <w:t>月</w:t>
      </w:r>
      <w:r w:rsidR="00D04410" w:rsidRPr="00D32161">
        <w:rPr>
          <w:rFonts w:ascii="Times New Roman" w:eastAsiaTheme="minorEastAsia" w:hAnsi="Times New Roman"/>
          <w:sz w:val="24"/>
          <w:szCs w:val="24"/>
        </w:rPr>
        <w:t>20</w:t>
      </w:r>
      <w:r w:rsidR="00D04410" w:rsidRPr="00D32161">
        <w:rPr>
          <w:rFonts w:ascii="Times New Roman" w:eastAsiaTheme="minorEastAsia" w:hAnsi="Times New Roman"/>
          <w:sz w:val="24"/>
          <w:szCs w:val="24"/>
        </w:rPr>
        <w:t>日</w:t>
      </w:r>
      <w:r w:rsidRPr="00D32161">
        <w:rPr>
          <w:rFonts w:ascii="Times New Roman" w:eastAsiaTheme="minorEastAsia" w:hAnsi="Times New Roman"/>
          <w:sz w:val="24"/>
          <w:szCs w:val="24"/>
        </w:rPr>
        <w:t>至</w:t>
      </w:r>
      <w:r w:rsidRPr="00D32161">
        <w:rPr>
          <w:rFonts w:ascii="Times New Roman" w:eastAsiaTheme="minorEastAsia" w:hAnsi="Times New Roman"/>
          <w:sz w:val="24"/>
          <w:szCs w:val="24"/>
        </w:rPr>
        <w:t>2018</w:t>
      </w:r>
      <w:r w:rsidRPr="00D32161">
        <w:rPr>
          <w:rFonts w:ascii="Times New Roman" w:eastAsiaTheme="minorEastAsia" w:hAnsi="Times New Roman"/>
          <w:sz w:val="24"/>
          <w:szCs w:val="24"/>
        </w:rPr>
        <w:t>年</w:t>
      </w:r>
      <w:r w:rsidRPr="00D32161">
        <w:rPr>
          <w:rFonts w:ascii="Times New Roman" w:eastAsiaTheme="minorEastAsia" w:hAnsi="Times New Roman"/>
          <w:sz w:val="24"/>
          <w:szCs w:val="24"/>
        </w:rPr>
        <w:t>6</w:t>
      </w:r>
      <w:r w:rsidRPr="00D32161">
        <w:rPr>
          <w:rFonts w:ascii="Times New Roman" w:eastAsiaTheme="minorEastAsia" w:hAnsi="Times New Roman"/>
          <w:sz w:val="24"/>
          <w:szCs w:val="24"/>
        </w:rPr>
        <w:t>月</w:t>
      </w:r>
      <w:r w:rsidRPr="00D32161">
        <w:rPr>
          <w:rFonts w:ascii="Times New Roman" w:eastAsiaTheme="minorEastAsia" w:hAnsi="Times New Roman"/>
          <w:sz w:val="24"/>
          <w:szCs w:val="24"/>
        </w:rPr>
        <w:t>30</w:t>
      </w:r>
      <w:r w:rsidRPr="00D32161">
        <w:rPr>
          <w:rFonts w:ascii="Times New Roman" w:eastAsiaTheme="minorEastAsia" w:hAnsi="Times New Roman"/>
          <w:sz w:val="24"/>
          <w:szCs w:val="24"/>
        </w:rPr>
        <w:t>日</w:t>
      </w:r>
      <w:r w:rsidRPr="00D32161">
        <w:rPr>
          <w:rFonts w:ascii="Times New Roman" w:eastAsiaTheme="minorEastAsia" w:hAnsi="Times New Roman"/>
          <w:sz w:val="24"/>
          <w:szCs w:val="24"/>
        </w:rPr>
        <w:t>)</w:t>
      </w:r>
    </w:p>
    <w:p w:rsidR="009238DB" w:rsidRPr="00B75DF8" w:rsidRDefault="009238DB" w:rsidP="00FC13C8">
      <w:pPr>
        <w:snapToGrid w:val="0"/>
        <w:spacing w:line="360" w:lineRule="auto"/>
        <w:rPr>
          <w:rFonts w:asciiTheme="minorEastAsia" w:eastAsiaTheme="minorEastAsia" w:hAnsiTheme="minorEastAsia"/>
          <w:color w:val="000000"/>
          <w:sz w:val="24"/>
        </w:rPr>
      </w:pPr>
      <w:r w:rsidRPr="00D32161">
        <w:rPr>
          <w:rFonts w:eastAsiaTheme="minorEastAsia"/>
          <w:color w:val="000000"/>
          <w:sz w:val="24"/>
        </w:rPr>
        <w:t>1</w:t>
      </w:r>
      <w:r w:rsidRPr="00D32161">
        <w:rPr>
          <w:rFonts w:eastAsiaTheme="minorEastAsia"/>
          <w:color w:val="000000"/>
          <w:sz w:val="24"/>
        </w:rPr>
        <w:t>．</w:t>
      </w:r>
      <w:r w:rsidR="0042785F" w:rsidRPr="00D32161">
        <w:rPr>
          <w:rFonts w:eastAsiaTheme="minorEastAsia"/>
          <w:color w:val="000000"/>
          <w:sz w:val="24"/>
        </w:rPr>
        <w:t>广发集安债券</w:t>
      </w:r>
      <w:r w:rsidR="0042785F" w:rsidRPr="00D32161">
        <w:rPr>
          <w:rFonts w:eastAsiaTheme="minorEastAsia"/>
          <w:color w:val="000000"/>
          <w:sz w:val="24"/>
        </w:rPr>
        <w:t>A</w:t>
      </w:r>
      <w:r w:rsidRPr="00D32161">
        <w:rPr>
          <w:rFonts w:eastAsiaTheme="minorEastAsia"/>
          <w:color w:val="000000"/>
          <w:sz w:val="24"/>
        </w:rPr>
        <w:t>：</w:t>
      </w:r>
    </w:p>
    <w:p w:rsidR="00FC7F43" w:rsidRPr="00B75DF8" w:rsidRDefault="009D5A40" w:rsidP="00FC7F43">
      <w:pPr>
        <w:pStyle w:val="20"/>
        <w:spacing w:line="288" w:lineRule="auto"/>
        <w:ind w:firstLineChars="0" w:firstLine="0"/>
        <w:jc w:val="center"/>
        <w:rPr>
          <w:rFonts w:asciiTheme="minorEastAsia" w:eastAsiaTheme="minorEastAsia" w:hAnsiTheme="minorEastAsia"/>
          <w:color w:val="000000"/>
        </w:rPr>
      </w:pPr>
      <w:r w:rsidRPr="00B75DF8">
        <w:rPr>
          <w:rFonts w:asciiTheme="minorEastAsia" w:eastAsiaTheme="minorEastAsia" w:hAnsiTheme="minorEastAsia"/>
          <w:noProof/>
          <w:color w:val="000000"/>
        </w:rPr>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w10="urn:schemas-microsoft-com:office:word" xmlns:w="http://schemas.openxmlformats.org/wordprocessingml/2006/main" xmlns:v="urn:schemas-microsoft-com:vml" xmlns:o="urn:schemas-microsoft-com:office:office" xmlns:mc="http://schemas.openxmlformats.org/markup-compatibility/2006" xmlns="" val="0"/>
                        </a:ext>
                      </a:extLst>
                    </a:blip>
                    <a:srcRect/>
                    <a:stretch>
                      <a:fillRect/>
                    </a:stretch>
                  </pic:blipFill>
                  <pic:spPr bwMode="auto">
                    <a:xfrm>
                      <a:off x="0" y="0"/>
                      <a:ext cx="5591175" cy="3276600"/>
                    </a:xfrm>
                    <a:prstGeom prst="rect">
                      <a:avLst/>
                    </a:prstGeom>
                    <a:noFill/>
                    <a:ln>
                      <a:noFill/>
                    </a:ln>
                  </pic:spPr>
                </pic:pic>
              </a:graphicData>
            </a:graphic>
          </wp:inline>
        </w:drawing>
      </w:r>
    </w:p>
    <w:p w:rsidR="009238DB" w:rsidRPr="00D32161" w:rsidRDefault="009238DB" w:rsidP="00FC13C8">
      <w:pPr>
        <w:snapToGrid w:val="0"/>
        <w:spacing w:line="360" w:lineRule="auto"/>
        <w:rPr>
          <w:rFonts w:eastAsiaTheme="minorEastAsia"/>
          <w:color w:val="000000"/>
          <w:sz w:val="24"/>
        </w:rPr>
      </w:pPr>
      <w:r w:rsidRPr="00D32161">
        <w:rPr>
          <w:rFonts w:eastAsiaTheme="minorEastAsia"/>
          <w:color w:val="000000"/>
          <w:sz w:val="24"/>
        </w:rPr>
        <w:t>2</w:t>
      </w:r>
      <w:r w:rsidRPr="00D32161">
        <w:rPr>
          <w:rFonts w:eastAsiaTheme="minorEastAsia"/>
          <w:color w:val="000000"/>
          <w:sz w:val="24"/>
        </w:rPr>
        <w:t>．</w:t>
      </w:r>
      <w:r w:rsidR="00FE7FBD" w:rsidRPr="00D32161">
        <w:rPr>
          <w:rFonts w:eastAsiaTheme="minorEastAsia"/>
          <w:color w:val="000000"/>
          <w:sz w:val="24"/>
        </w:rPr>
        <w:t>广发集安债券</w:t>
      </w:r>
      <w:r w:rsidR="00FE7FBD" w:rsidRPr="00D32161">
        <w:rPr>
          <w:rFonts w:eastAsiaTheme="minorEastAsia"/>
          <w:color w:val="000000"/>
          <w:sz w:val="24"/>
        </w:rPr>
        <w:t>C</w:t>
      </w:r>
      <w:r w:rsidR="0042785F" w:rsidRPr="00D32161">
        <w:rPr>
          <w:rFonts w:eastAsiaTheme="minorEastAsia"/>
          <w:color w:val="000000"/>
          <w:sz w:val="24"/>
        </w:rPr>
        <w:t>：</w:t>
      </w:r>
    </w:p>
    <w:p w:rsidR="00FC7F43" w:rsidRPr="00B75DF8" w:rsidRDefault="00BD72C1" w:rsidP="00FC7F43">
      <w:pPr>
        <w:pStyle w:val="20"/>
        <w:spacing w:line="288" w:lineRule="auto"/>
        <w:ind w:firstLineChars="0" w:firstLine="0"/>
        <w:jc w:val="center"/>
        <w:rPr>
          <w:rFonts w:asciiTheme="minorEastAsia" w:eastAsiaTheme="minorEastAsia" w:hAnsiTheme="minorEastAsia"/>
          <w:color w:val="000000"/>
        </w:rPr>
      </w:pPr>
      <w:r w:rsidRPr="00B75DF8">
        <w:rPr>
          <w:rFonts w:asciiTheme="minorEastAsia" w:eastAsiaTheme="minorEastAsia" w:hAnsiTheme="minorEastAsia"/>
          <w:noProof/>
          <w:color w:val="000000"/>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浏览器下载\走势图柱状图\走势图2.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w10="urn:schemas-microsoft-com:office:word" xmlns:w="http://schemas.openxmlformats.org/wordprocessingml/2006/main" xmlns:v="urn:schemas-microsoft-com:vml" xmlns:o="urn:schemas-microsoft-com:office:office" xmlns:mc="http://schemas.openxmlformats.org/markup-compatibility/2006" xmlns="" val="0"/>
                        </a:ext>
                      </a:extLst>
                    </a:blip>
                    <a:srcRect/>
                    <a:stretch>
                      <a:fillRect/>
                    </a:stretch>
                  </pic:blipFill>
                  <pic:spPr bwMode="auto">
                    <a:xfrm>
                      <a:off x="0" y="0"/>
                      <a:ext cx="5591175" cy="3276600"/>
                    </a:xfrm>
                    <a:prstGeom prst="rect">
                      <a:avLst/>
                    </a:prstGeom>
                    <a:noFill/>
                    <a:ln>
                      <a:noFill/>
                    </a:ln>
                  </pic:spPr>
                </pic:pic>
              </a:graphicData>
            </a:graphic>
          </wp:inline>
        </w:drawing>
      </w:r>
    </w:p>
    <w:p w:rsidR="00973B57" w:rsidRPr="00D32161" w:rsidRDefault="00757FD7" w:rsidP="00D32161">
      <w:pPr>
        <w:spacing w:line="360" w:lineRule="auto"/>
        <w:ind w:firstLineChars="200" w:firstLine="480"/>
        <w:rPr>
          <w:rFonts w:eastAsiaTheme="minorEastAsia"/>
          <w:color w:val="000000"/>
          <w:sz w:val="24"/>
        </w:rPr>
      </w:pPr>
      <w:r w:rsidRPr="00264591">
        <w:rPr>
          <w:rFonts w:eastAsiaTheme="minorEastAsia" w:hint="eastAsia"/>
          <w:color w:val="000000"/>
          <w:sz w:val="24"/>
        </w:rPr>
        <w:t>注：本基金建仓期为基金合同生效后</w:t>
      </w:r>
      <w:r w:rsidRPr="00264591">
        <w:rPr>
          <w:rFonts w:eastAsiaTheme="minorEastAsia" w:hint="eastAsia"/>
          <w:color w:val="000000"/>
          <w:sz w:val="24"/>
        </w:rPr>
        <w:t>6</w:t>
      </w:r>
      <w:r w:rsidRPr="00264591">
        <w:rPr>
          <w:rFonts w:eastAsiaTheme="minorEastAsia" w:hint="eastAsia"/>
          <w:color w:val="000000"/>
          <w:sz w:val="24"/>
        </w:rPr>
        <w:t>个月</w:t>
      </w:r>
      <w:r w:rsidRPr="00264591">
        <w:rPr>
          <w:rFonts w:eastAsiaTheme="minorEastAsia" w:hint="eastAsia"/>
          <w:color w:val="000000"/>
          <w:sz w:val="24"/>
        </w:rPr>
        <w:t xml:space="preserve"> </w:t>
      </w:r>
      <w:r w:rsidRPr="00264591">
        <w:rPr>
          <w:rFonts w:eastAsiaTheme="minorEastAsia" w:hint="eastAsia"/>
          <w:color w:val="000000"/>
          <w:sz w:val="24"/>
        </w:rPr>
        <w:t>，建仓期结束时各项资产配置比例符合本基金合同有关规定。</w:t>
      </w:r>
    </w:p>
    <w:p w:rsidR="009238DB" w:rsidRPr="00B75DF8" w:rsidRDefault="009238DB" w:rsidP="00341503">
      <w:pPr>
        <w:pStyle w:val="1"/>
        <w:spacing w:beforeLines="100" w:afterLines="100" w:line="360" w:lineRule="auto"/>
        <w:jc w:val="center"/>
        <w:rPr>
          <w:rFonts w:asciiTheme="minorEastAsia" w:eastAsiaTheme="minorEastAsia" w:hAnsiTheme="minorEastAsia" w:cs="Arial"/>
          <w:color w:val="000000"/>
          <w:kern w:val="0"/>
          <w:sz w:val="24"/>
          <w:szCs w:val="24"/>
        </w:rPr>
      </w:pPr>
      <w:r w:rsidRPr="00B75DF8">
        <w:rPr>
          <w:rFonts w:asciiTheme="minorEastAsia" w:eastAsiaTheme="minorEastAsia" w:hAnsiTheme="minorEastAsia" w:cs="Arial" w:hint="eastAsia"/>
          <w:color w:val="000000"/>
          <w:kern w:val="0"/>
          <w:sz w:val="24"/>
          <w:szCs w:val="24"/>
        </w:rPr>
        <w:t>§</w:t>
      </w:r>
      <w:r w:rsidRPr="00B75DF8">
        <w:rPr>
          <w:rFonts w:asciiTheme="minorEastAsia" w:eastAsiaTheme="minorEastAsia" w:hAnsiTheme="minorEastAsia" w:cs="Arial"/>
          <w:color w:val="000000"/>
          <w:kern w:val="0"/>
          <w:sz w:val="24"/>
          <w:szCs w:val="24"/>
        </w:rPr>
        <w:t xml:space="preserve">4  </w:t>
      </w:r>
      <w:r w:rsidRPr="00B75DF8">
        <w:rPr>
          <w:rFonts w:asciiTheme="minorEastAsia" w:eastAsiaTheme="minorEastAsia" w:hAnsiTheme="minorEastAsia" w:cs="Arial" w:hint="eastAsia"/>
          <w:color w:val="000000"/>
          <w:kern w:val="0"/>
          <w:sz w:val="24"/>
          <w:szCs w:val="24"/>
        </w:rPr>
        <w:t>管理人报告</w:t>
      </w:r>
    </w:p>
    <w:p w:rsidR="009238DB" w:rsidRPr="00B75DF8" w:rsidRDefault="009238DB" w:rsidP="00FC13C8">
      <w:pPr>
        <w:autoSpaceDE w:val="0"/>
        <w:autoSpaceDN w:val="0"/>
        <w:adjustRightInd w:val="0"/>
        <w:spacing w:line="360" w:lineRule="auto"/>
        <w:jc w:val="left"/>
        <w:rPr>
          <w:rFonts w:asciiTheme="minorEastAsia" w:eastAsiaTheme="minorEastAsia" w:hAnsiTheme="minorEastAsia" w:cs="Arial"/>
          <w:b/>
          <w:color w:val="000000"/>
          <w:kern w:val="0"/>
          <w:sz w:val="24"/>
        </w:rPr>
      </w:pPr>
      <w:r w:rsidRPr="00B75DF8">
        <w:rPr>
          <w:rFonts w:asciiTheme="minorEastAsia" w:eastAsiaTheme="minorEastAsia" w:hAnsiTheme="minorEastAsia" w:cs="Arial"/>
          <w:b/>
          <w:color w:val="000000"/>
          <w:kern w:val="0"/>
          <w:sz w:val="24"/>
        </w:rPr>
        <w:t xml:space="preserve">4.1 </w:t>
      </w:r>
      <w:r w:rsidRPr="00B75DF8">
        <w:rPr>
          <w:rFonts w:asciiTheme="minorEastAsia" w:eastAsiaTheme="minorEastAsia" w:hAnsiTheme="minorEastAsia"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
        <w:gridCol w:w="1600"/>
        <w:gridCol w:w="850"/>
        <w:gridCol w:w="999"/>
        <w:gridCol w:w="1254"/>
        <w:gridCol w:w="3276"/>
      </w:tblGrid>
      <w:tr w:rsidR="00C41617" w:rsidRPr="00B75DF8" w:rsidTr="00015C60">
        <w:trPr>
          <w:cantSplit/>
        </w:trPr>
        <w:tc>
          <w:tcPr>
            <w:tcW w:w="952" w:type="dxa"/>
            <w:vMerge w:val="restart"/>
            <w:vAlign w:val="center"/>
          </w:tcPr>
          <w:p w:rsidR="00C41617" w:rsidRPr="00D32161" w:rsidRDefault="00C41617" w:rsidP="003F7026">
            <w:pPr>
              <w:autoSpaceDE w:val="0"/>
              <w:autoSpaceDN w:val="0"/>
              <w:adjustRightInd w:val="0"/>
              <w:spacing w:before="29" w:line="288" w:lineRule="auto"/>
              <w:ind w:left="15"/>
              <w:jc w:val="center"/>
              <w:rPr>
                <w:rFonts w:eastAsiaTheme="minorEastAsia"/>
                <w:color w:val="000000"/>
                <w:kern w:val="0"/>
                <w:sz w:val="24"/>
              </w:rPr>
            </w:pPr>
            <w:r w:rsidRPr="00D32161">
              <w:rPr>
                <w:rFonts w:eastAsiaTheme="minorEastAsia"/>
                <w:color w:val="000000"/>
                <w:kern w:val="0"/>
                <w:sz w:val="24"/>
              </w:rPr>
              <w:t>姓名</w:t>
            </w:r>
          </w:p>
        </w:tc>
        <w:tc>
          <w:tcPr>
            <w:tcW w:w="1600" w:type="dxa"/>
            <w:vMerge w:val="restart"/>
            <w:vAlign w:val="center"/>
          </w:tcPr>
          <w:p w:rsidR="00C41617" w:rsidRPr="00D32161" w:rsidRDefault="00C41617" w:rsidP="003F7026">
            <w:pPr>
              <w:autoSpaceDE w:val="0"/>
              <w:autoSpaceDN w:val="0"/>
              <w:adjustRightInd w:val="0"/>
              <w:spacing w:before="29" w:line="288" w:lineRule="auto"/>
              <w:ind w:left="15"/>
              <w:jc w:val="center"/>
              <w:rPr>
                <w:rFonts w:eastAsiaTheme="minorEastAsia"/>
                <w:color w:val="000000"/>
                <w:kern w:val="0"/>
                <w:sz w:val="24"/>
              </w:rPr>
            </w:pPr>
            <w:r w:rsidRPr="00D32161">
              <w:rPr>
                <w:rFonts w:eastAsiaTheme="minorEastAsia"/>
                <w:color w:val="000000"/>
                <w:kern w:val="0"/>
                <w:sz w:val="24"/>
              </w:rPr>
              <w:t>职务</w:t>
            </w:r>
          </w:p>
        </w:tc>
        <w:tc>
          <w:tcPr>
            <w:tcW w:w="1849" w:type="dxa"/>
            <w:gridSpan w:val="2"/>
            <w:vAlign w:val="center"/>
          </w:tcPr>
          <w:p w:rsidR="00C41617" w:rsidRPr="00D32161" w:rsidRDefault="00C41617" w:rsidP="003F7026">
            <w:pPr>
              <w:autoSpaceDE w:val="0"/>
              <w:autoSpaceDN w:val="0"/>
              <w:adjustRightInd w:val="0"/>
              <w:spacing w:before="29" w:line="288" w:lineRule="auto"/>
              <w:ind w:left="15"/>
              <w:jc w:val="center"/>
              <w:rPr>
                <w:rFonts w:eastAsiaTheme="minorEastAsia"/>
                <w:color w:val="000000"/>
                <w:kern w:val="0"/>
                <w:sz w:val="24"/>
              </w:rPr>
            </w:pPr>
            <w:r w:rsidRPr="00D32161">
              <w:rPr>
                <w:rFonts w:eastAsiaTheme="minorEastAsia"/>
                <w:color w:val="000000"/>
                <w:kern w:val="0"/>
                <w:sz w:val="24"/>
              </w:rPr>
              <w:t>任本基金的基金经理期限</w:t>
            </w:r>
          </w:p>
        </w:tc>
        <w:tc>
          <w:tcPr>
            <w:tcW w:w="1254" w:type="dxa"/>
            <w:vMerge w:val="restart"/>
            <w:vAlign w:val="center"/>
          </w:tcPr>
          <w:p w:rsidR="00C41617" w:rsidRPr="00D32161" w:rsidRDefault="00C41617" w:rsidP="003F7026">
            <w:pPr>
              <w:autoSpaceDE w:val="0"/>
              <w:autoSpaceDN w:val="0"/>
              <w:adjustRightInd w:val="0"/>
              <w:spacing w:before="29" w:line="288" w:lineRule="auto"/>
              <w:ind w:left="15"/>
              <w:jc w:val="center"/>
              <w:rPr>
                <w:rFonts w:eastAsiaTheme="minorEastAsia"/>
                <w:color w:val="000000"/>
                <w:kern w:val="0"/>
                <w:sz w:val="24"/>
              </w:rPr>
            </w:pPr>
            <w:r w:rsidRPr="00D32161">
              <w:rPr>
                <w:rFonts w:eastAsiaTheme="minorEastAsia"/>
                <w:color w:val="000000"/>
                <w:kern w:val="0"/>
                <w:sz w:val="24"/>
              </w:rPr>
              <w:t>证券从业年限</w:t>
            </w:r>
          </w:p>
        </w:tc>
        <w:tc>
          <w:tcPr>
            <w:tcW w:w="3276" w:type="dxa"/>
            <w:vMerge w:val="restart"/>
            <w:vAlign w:val="center"/>
          </w:tcPr>
          <w:p w:rsidR="00C41617" w:rsidRPr="00D32161" w:rsidRDefault="00C41617" w:rsidP="003F7026">
            <w:pPr>
              <w:autoSpaceDE w:val="0"/>
              <w:autoSpaceDN w:val="0"/>
              <w:adjustRightInd w:val="0"/>
              <w:spacing w:before="29" w:line="288" w:lineRule="auto"/>
              <w:ind w:left="15"/>
              <w:jc w:val="center"/>
              <w:rPr>
                <w:rFonts w:eastAsiaTheme="minorEastAsia"/>
                <w:color w:val="000000"/>
                <w:kern w:val="0"/>
                <w:sz w:val="24"/>
              </w:rPr>
            </w:pPr>
            <w:r w:rsidRPr="00D32161">
              <w:rPr>
                <w:rFonts w:eastAsiaTheme="minorEastAsia"/>
                <w:color w:val="000000"/>
                <w:kern w:val="0"/>
                <w:sz w:val="24"/>
              </w:rPr>
              <w:t>说明</w:t>
            </w:r>
          </w:p>
        </w:tc>
      </w:tr>
      <w:tr w:rsidR="00C41617" w:rsidRPr="00B75DF8" w:rsidTr="00015C60">
        <w:trPr>
          <w:cantSplit/>
        </w:trPr>
        <w:tc>
          <w:tcPr>
            <w:tcW w:w="952" w:type="dxa"/>
            <w:vMerge/>
            <w:vAlign w:val="center"/>
          </w:tcPr>
          <w:p w:rsidR="00C41617" w:rsidRPr="00D32161" w:rsidRDefault="00C41617" w:rsidP="0058694E">
            <w:pPr>
              <w:autoSpaceDE w:val="0"/>
              <w:autoSpaceDN w:val="0"/>
              <w:adjustRightInd w:val="0"/>
              <w:spacing w:before="29" w:line="288" w:lineRule="auto"/>
              <w:ind w:left="15"/>
              <w:jc w:val="center"/>
              <w:rPr>
                <w:rFonts w:eastAsiaTheme="minorEastAsia"/>
                <w:color w:val="000000"/>
                <w:kern w:val="0"/>
                <w:sz w:val="24"/>
              </w:rPr>
            </w:pPr>
          </w:p>
        </w:tc>
        <w:tc>
          <w:tcPr>
            <w:tcW w:w="1600" w:type="dxa"/>
            <w:vMerge/>
          </w:tcPr>
          <w:p w:rsidR="00C41617" w:rsidRPr="00D32161" w:rsidRDefault="00C41617" w:rsidP="0058694E">
            <w:pPr>
              <w:autoSpaceDE w:val="0"/>
              <w:autoSpaceDN w:val="0"/>
              <w:adjustRightInd w:val="0"/>
              <w:spacing w:before="29" w:line="288" w:lineRule="auto"/>
              <w:ind w:left="15"/>
              <w:jc w:val="center"/>
              <w:rPr>
                <w:rFonts w:eastAsiaTheme="minorEastAsia"/>
                <w:color w:val="000000"/>
                <w:kern w:val="0"/>
                <w:sz w:val="24"/>
              </w:rPr>
            </w:pPr>
          </w:p>
        </w:tc>
        <w:tc>
          <w:tcPr>
            <w:tcW w:w="850" w:type="dxa"/>
            <w:vAlign w:val="center"/>
          </w:tcPr>
          <w:p w:rsidR="00C41617" w:rsidRPr="00D32161" w:rsidRDefault="00C41617" w:rsidP="003F7026">
            <w:pPr>
              <w:autoSpaceDE w:val="0"/>
              <w:autoSpaceDN w:val="0"/>
              <w:adjustRightInd w:val="0"/>
              <w:spacing w:before="29" w:line="288" w:lineRule="auto"/>
              <w:ind w:left="15"/>
              <w:jc w:val="center"/>
              <w:rPr>
                <w:rFonts w:eastAsiaTheme="minorEastAsia"/>
                <w:color w:val="000000"/>
                <w:kern w:val="0"/>
                <w:sz w:val="24"/>
              </w:rPr>
            </w:pPr>
            <w:r w:rsidRPr="00D32161">
              <w:rPr>
                <w:rFonts w:eastAsiaTheme="minorEastAsia"/>
                <w:color w:val="000000"/>
                <w:kern w:val="0"/>
                <w:sz w:val="24"/>
              </w:rPr>
              <w:t>任职日期</w:t>
            </w:r>
          </w:p>
        </w:tc>
        <w:tc>
          <w:tcPr>
            <w:tcW w:w="999" w:type="dxa"/>
            <w:vAlign w:val="center"/>
          </w:tcPr>
          <w:p w:rsidR="00C41617" w:rsidRPr="00D32161" w:rsidRDefault="00C41617" w:rsidP="003F7026">
            <w:pPr>
              <w:autoSpaceDE w:val="0"/>
              <w:autoSpaceDN w:val="0"/>
              <w:adjustRightInd w:val="0"/>
              <w:spacing w:before="29" w:line="288" w:lineRule="auto"/>
              <w:ind w:left="15"/>
              <w:jc w:val="center"/>
              <w:rPr>
                <w:rFonts w:eastAsiaTheme="minorEastAsia"/>
                <w:color w:val="000000"/>
                <w:kern w:val="0"/>
                <w:sz w:val="24"/>
              </w:rPr>
            </w:pPr>
            <w:r w:rsidRPr="00D32161">
              <w:rPr>
                <w:rFonts w:eastAsiaTheme="minorEastAsia"/>
                <w:color w:val="000000"/>
                <w:kern w:val="0"/>
                <w:sz w:val="24"/>
              </w:rPr>
              <w:t>离任日期</w:t>
            </w:r>
          </w:p>
        </w:tc>
        <w:tc>
          <w:tcPr>
            <w:tcW w:w="1254" w:type="dxa"/>
            <w:vMerge/>
            <w:vAlign w:val="center"/>
          </w:tcPr>
          <w:p w:rsidR="00C41617" w:rsidRPr="00D32161" w:rsidRDefault="00C41617" w:rsidP="0058694E">
            <w:pPr>
              <w:autoSpaceDE w:val="0"/>
              <w:autoSpaceDN w:val="0"/>
              <w:adjustRightInd w:val="0"/>
              <w:spacing w:before="29" w:line="288" w:lineRule="auto"/>
              <w:ind w:left="15"/>
              <w:jc w:val="center"/>
              <w:rPr>
                <w:rFonts w:eastAsiaTheme="minorEastAsia"/>
                <w:color w:val="000000"/>
                <w:kern w:val="0"/>
                <w:sz w:val="24"/>
              </w:rPr>
            </w:pPr>
          </w:p>
        </w:tc>
        <w:tc>
          <w:tcPr>
            <w:tcW w:w="3276" w:type="dxa"/>
            <w:vMerge/>
            <w:vAlign w:val="center"/>
          </w:tcPr>
          <w:p w:rsidR="00C41617" w:rsidRPr="00D32161" w:rsidRDefault="00C41617" w:rsidP="0058694E">
            <w:pPr>
              <w:autoSpaceDE w:val="0"/>
              <w:autoSpaceDN w:val="0"/>
              <w:adjustRightInd w:val="0"/>
              <w:spacing w:before="29" w:line="288" w:lineRule="auto"/>
              <w:ind w:left="15"/>
              <w:jc w:val="center"/>
              <w:rPr>
                <w:rFonts w:eastAsiaTheme="minorEastAsia"/>
                <w:color w:val="000000"/>
                <w:kern w:val="0"/>
                <w:sz w:val="24"/>
              </w:rPr>
            </w:pPr>
          </w:p>
        </w:tc>
      </w:tr>
      <w:tr w:rsidR="001C4558">
        <w:tc>
          <w:tcPr>
            <w:tcW w:w="952" w:type="dxa"/>
            <w:vAlign w:val="center"/>
          </w:tcPr>
          <w:p w:rsidR="001C4558" w:rsidRDefault="00341503">
            <w:pPr>
              <w:jc w:val="center"/>
            </w:pPr>
            <w:r>
              <w:rPr>
                <w:rFonts w:eastAsiaTheme="minorEastAsia"/>
                <w:color w:val="000000"/>
                <w:sz w:val="24"/>
              </w:rPr>
              <w:t>张芊</w:t>
            </w:r>
          </w:p>
        </w:tc>
        <w:tc>
          <w:tcPr>
            <w:tcW w:w="1600" w:type="dxa"/>
            <w:vAlign w:val="center"/>
          </w:tcPr>
          <w:p w:rsidR="001C4558" w:rsidRDefault="00341503">
            <w:pPr>
              <w:jc w:val="center"/>
            </w:pPr>
            <w:r>
              <w:rPr>
                <w:rFonts w:eastAsiaTheme="minorEastAsia"/>
                <w:color w:val="000000"/>
                <w:sz w:val="24"/>
              </w:rPr>
              <w:t>本基金的基金经理；广发纯债债券基金的基金经理；广发聚鑫债券基金的基金经理；广发集鑫债券基金的基金经理；广发鑫裕混合基金的基金经理；广发集裕债券基金的基金经理；广发集丰债券基金的基金经理；广发集源债券基金的基金经理；公司副总经理、固定收益投资总监、固定收益管理总部总经理</w:t>
            </w:r>
          </w:p>
        </w:tc>
        <w:tc>
          <w:tcPr>
            <w:tcW w:w="850" w:type="dxa"/>
            <w:vAlign w:val="center"/>
          </w:tcPr>
          <w:p w:rsidR="001C4558" w:rsidRDefault="00341503">
            <w:pPr>
              <w:jc w:val="center"/>
            </w:pPr>
            <w:r>
              <w:rPr>
                <w:rFonts w:eastAsiaTheme="minorEastAsia"/>
                <w:color w:val="000000"/>
                <w:sz w:val="24"/>
              </w:rPr>
              <w:t>2017-01-20</w:t>
            </w:r>
          </w:p>
        </w:tc>
        <w:tc>
          <w:tcPr>
            <w:tcW w:w="999" w:type="dxa"/>
            <w:vAlign w:val="center"/>
          </w:tcPr>
          <w:p w:rsidR="001C4558" w:rsidRDefault="00341503">
            <w:pPr>
              <w:jc w:val="center"/>
            </w:pPr>
            <w:r>
              <w:rPr>
                <w:rFonts w:eastAsiaTheme="minorEastAsia"/>
                <w:color w:val="000000"/>
                <w:sz w:val="24"/>
              </w:rPr>
              <w:t>-</w:t>
            </w:r>
          </w:p>
        </w:tc>
        <w:tc>
          <w:tcPr>
            <w:tcW w:w="1254" w:type="dxa"/>
            <w:vAlign w:val="center"/>
          </w:tcPr>
          <w:p w:rsidR="001C4558" w:rsidRDefault="00341503">
            <w:pPr>
              <w:jc w:val="center"/>
            </w:pPr>
            <w:r>
              <w:rPr>
                <w:rFonts w:eastAsiaTheme="minorEastAsia"/>
                <w:color w:val="000000"/>
                <w:sz w:val="24"/>
              </w:rPr>
              <w:t>17</w:t>
            </w:r>
            <w:r>
              <w:rPr>
                <w:rFonts w:eastAsiaTheme="minorEastAsia"/>
                <w:color w:val="000000"/>
                <w:sz w:val="24"/>
              </w:rPr>
              <w:t>年</w:t>
            </w:r>
          </w:p>
        </w:tc>
        <w:tc>
          <w:tcPr>
            <w:tcW w:w="3276" w:type="dxa"/>
            <w:vAlign w:val="center"/>
          </w:tcPr>
          <w:p w:rsidR="001C4558" w:rsidRDefault="00341503">
            <w:r>
              <w:rPr>
                <w:rFonts w:eastAsiaTheme="minorEastAsia"/>
                <w:color w:val="000000"/>
                <w:sz w:val="24"/>
              </w:rPr>
              <w:t>张芊女士，经济学和工商管理双硕士，持有中国证券投资基金业从业证书。曾任中国银河证券研究中心研究员，中国人保资产管理有限公司高级研究员、投资主管，工银瑞信基金管理有限公司研究员，长盛基金管理有限公司投资经理，广发基金管理有限公司固定收益部总经理、广发聚盛灵活配置混合型证券投资基金基金经理（自</w:t>
            </w:r>
            <w:r>
              <w:rPr>
                <w:rFonts w:eastAsiaTheme="minorEastAsia"/>
                <w:color w:val="000000"/>
                <w:sz w:val="24"/>
              </w:rPr>
              <w:t>2015</w:t>
            </w:r>
            <w:r>
              <w:rPr>
                <w:rFonts w:eastAsiaTheme="minorEastAsia"/>
                <w:color w:val="000000"/>
                <w:sz w:val="24"/>
              </w:rPr>
              <w:t>年</w:t>
            </w:r>
            <w:r>
              <w:rPr>
                <w:rFonts w:eastAsiaTheme="minorEastAsia"/>
                <w:color w:val="000000"/>
                <w:sz w:val="24"/>
              </w:rPr>
              <w:t>11</w:t>
            </w:r>
            <w:r>
              <w:rPr>
                <w:rFonts w:eastAsiaTheme="minorEastAsia"/>
                <w:color w:val="000000"/>
                <w:sz w:val="24"/>
              </w:rPr>
              <w:t>月</w:t>
            </w:r>
            <w:r>
              <w:rPr>
                <w:rFonts w:eastAsiaTheme="minorEastAsia"/>
                <w:color w:val="000000"/>
                <w:sz w:val="24"/>
              </w:rPr>
              <w:t>23</w:t>
            </w:r>
            <w:r>
              <w:rPr>
                <w:rFonts w:eastAsiaTheme="minorEastAsia"/>
                <w:color w:val="000000"/>
                <w:sz w:val="24"/>
              </w:rPr>
              <w:t>日至</w:t>
            </w:r>
            <w:r>
              <w:rPr>
                <w:rFonts w:eastAsiaTheme="minorEastAsia"/>
                <w:color w:val="000000"/>
                <w:sz w:val="24"/>
              </w:rPr>
              <w:t>2016</w:t>
            </w:r>
            <w:r>
              <w:rPr>
                <w:rFonts w:eastAsiaTheme="minorEastAsia"/>
                <w:color w:val="000000"/>
                <w:sz w:val="24"/>
              </w:rPr>
              <w:t>年</w:t>
            </w:r>
            <w:r>
              <w:rPr>
                <w:rFonts w:eastAsiaTheme="minorEastAsia"/>
                <w:color w:val="000000"/>
                <w:sz w:val="24"/>
              </w:rPr>
              <w:t>12</w:t>
            </w:r>
            <w:r>
              <w:rPr>
                <w:rFonts w:eastAsiaTheme="minorEastAsia"/>
                <w:color w:val="000000"/>
                <w:sz w:val="24"/>
              </w:rPr>
              <w:t>月</w:t>
            </w:r>
            <w:r>
              <w:rPr>
                <w:rFonts w:eastAsiaTheme="minorEastAsia"/>
                <w:color w:val="000000"/>
                <w:sz w:val="24"/>
              </w:rPr>
              <w:t>8</w:t>
            </w:r>
            <w:r>
              <w:rPr>
                <w:rFonts w:eastAsiaTheme="minorEastAsia"/>
                <w:color w:val="000000"/>
                <w:sz w:val="24"/>
              </w:rPr>
              <w:t>日）、广发安宏回报灵活配置混合型证券投资基金基金经理（自</w:t>
            </w:r>
            <w:r>
              <w:rPr>
                <w:rFonts w:eastAsiaTheme="minorEastAsia"/>
                <w:color w:val="000000"/>
                <w:sz w:val="24"/>
              </w:rPr>
              <w:t>2015</w:t>
            </w:r>
            <w:r>
              <w:rPr>
                <w:rFonts w:eastAsiaTheme="minorEastAsia"/>
                <w:color w:val="000000"/>
                <w:sz w:val="24"/>
              </w:rPr>
              <w:t>年</w:t>
            </w:r>
            <w:r>
              <w:rPr>
                <w:rFonts w:eastAsiaTheme="minorEastAsia"/>
                <w:color w:val="000000"/>
                <w:sz w:val="24"/>
              </w:rPr>
              <w:t>12</w:t>
            </w:r>
            <w:r>
              <w:rPr>
                <w:rFonts w:eastAsiaTheme="minorEastAsia"/>
                <w:color w:val="000000"/>
                <w:sz w:val="24"/>
              </w:rPr>
              <w:t>月</w:t>
            </w:r>
            <w:r>
              <w:rPr>
                <w:rFonts w:eastAsiaTheme="minorEastAsia"/>
                <w:color w:val="000000"/>
                <w:sz w:val="24"/>
              </w:rPr>
              <w:t>30</w:t>
            </w:r>
            <w:r>
              <w:rPr>
                <w:rFonts w:eastAsiaTheme="minorEastAsia"/>
                <w:color w:val="000000"/>
                <w:sz w:val="24"/>
              </w:rPr>
              <w:t>日至</w:t>
            </w:r>
            <w:r>
              <w:rPr>
                <w:rFonts w:eastAsiaTheme="minorEastAsia"/>
                <w:color w:val="000000"/>
                <w:sz w:val="24"/>
              </w:rPr>
              <w:t>2017</w:t>
            </w:r>
            <w:r>
              <w:rPr>
                <w:rFonts w:eastAsiaTheme="minorEastAsia"/>
                <w:color w:val="000000"/>
                <w:sz w:val="24"/>
              </w:rPr>
              <w:t>年</w:t>
            </w:r>
            <w:r>
              <w:rPr>
                <w:rFonts w:eastAsiaTheme="minorEastAsia"/>
                <w:color w:val="000000"/>
                <w:sz w:val="24"/>
              </w:rPr>
              <w:t>2</w:t>
            </w:r>
            <w:r>
              <w:rPr>
                <w:rFonts w:eastAsiaTheme="minorEastAsia"/>
                <w:color w:val="000000"/>
                <w:sz w:val="24"/>
              </w:rPr>
              <w:t>月</w:t>
            </w:r>
            <w:r>
              <w:rPr>
                <w:rFonts w:eastAsiaTheme="minorEastAsia"/>
                <w:color w:val="000000"/>
                <w:sz w:val="24"/>
              </w:rPr>
              <w:t>6</w:t>
            </w:r>
            <w:r>
              <w:rPr>
                <w:rFonts w:eastAsiaTheme="minorEastAsia"/>
                <w:color w:val="000000"/>
                <w:sz w:val="24"/>
              </w:rPr>
              <w:t>日）、广发安富回报灵活配置混合型证券投资基金基金经理（自</w:t>
            </w:r>
            <w:r>
              <w:rPr>
                <w:rFonts w:eastAsiaTheme="minorEastAsia"/>
                <w:color w:val="000000"/>
                <w:sz w:val="24"/>
              </w:rPr>
              <w:t>2015</w:t>
            </w:r>
            <w:r>
              <w:rPr>
                <w:rFonts w:eastAsiaTheme="minorEastAsia"/>
                <w:color w:val="000000"/>
                <w:sz w:val="24"/>
              </w:rPr>
              <w:t>年</w:t>
            </w:r>
            <w:r>
              <w:rPr>
                <w:rFonts w:eastAsiaTheme="minorEastAsia"/>
                <w:color w:val="000000"/>
                <w:sz w:val="24"/>
              </w:rPr>
              <w:t>12</w:t>
            </w:r>
            <w:r>
              <w:rPr>
                <w:rFonts w:eastAsiaTheme="minorEastAsia"/>
                <w:color w:val="000000"/>
                <w:sz w:val="24"/>
              </w:rPr>
              <w:t>月</w:t>
            </w:r>
            <w:r>
              <w:rPr>
                <w:rFonts w:eastAsiaTheme="minorEastAsia"/>
                <w:color w:val="000000"/>
                <w:sz w:val="24"/>
              </w:rPr>
              <w:t>29</w:t>
            </w:r>
            <w:r>
              <w:rPr>
                <w:rFonts w:eastAsiaTheme="minorEastAsia"/>
                <w:color w:val="000000"/>
                <w:sz w:val="24"/>
              </w:rPr>
              <w:t>日至</w:t>
            </w:r>
            <w:r>
              <w:rPr>
                <w:rFonts w:eastAsiaTheme="minorEastAsia"/>
                <w:color w:val="000000"/>
                <w:sz w:val="24"/>
              </w:rPr>
              <w:t>20</w:t>
            </w:r>
            <w:r>
              <w:rPr>
                <w:rFonts w:eastAsiaTheme="minorEastAsia"/>
                <w:color w:val="000000"/>
                <w:sz w:val="24"/>
              </w:rPr>
              <w:t>18</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6</w:t>
            </w:r>
            <w:r>
              <w:rPr>
                <w:rFonts w:eastAsiaTheme="minorEastAsia"/>
                <w:color w:val="000000"/>
                <w:sz w:val="24"/>
              </w:rPr>
              <w:t>日）。现任广发基金管理有限公司副总经理、固定收益投资总监、固定收益管理总部总经理、广发纯债债券型证券投资基金基金经理（自</w:t>
            </w:r>
            <w:r>
              <w:rPr>
                <w:rFonts w:eastAsiaTheme="minorEastAsia"/>
                <w:color w:val="000000"/>
                <w:sz w:val="24"/>
              </w:rPr>
              <w:t>2012</w:t>
            </w:r>
            <w:r>
              <w:rPr>
                <w:rFonts w:eastAsiaTheme="minorEastAsia"/>
                <w:color w:val="000000"/>
                <w:sz w:val="24"/>
              </w:rPr>
              <w:t>年</w:t>
            </w:r>
            <w:r>
              <w:rPr>
                <w:rFonts w:eastAsiaTheme="minorEastAsia"/>
                <w:color w:val="000000"/>
                <w:sz w:val="24"/>
              </w:rPr>
              <w:t>12</w:t>
            </w:r>
            <w:r>
              <w:rPr>
                <w:rFonts w:eastAsiaTheme="minorEastAsia"/>
                <w:color w:val="000000"/>
                <w:sz w:val="24"/>
              </w:rPr>
              <w:t>月</w:t>
            </w:r>
            <w:r>
              <w:rPr>
                <w:rFonts w:eastAsiaTheme="minorEastAsia"/>
                <w:color w:val="000000"/>
                <w:sz w:val="24"/>
              </w:rPr>
              <w:t>14</w:t>
            </w:r>
            <w:r>
              <w:rPr>
                <w:rFonts w:eastAsiaTheme="minorEastAsia"/>
                <w:color w:val="000000"/>
                <w:sz w:val="24"/>
              </w:rPr>
              <w:t>日起任职）、广发聚鑫债券型证券投资基金基金经理（自</w:t>
            </w:r>
            <w:r>
              <w:rPr>
                <w:rFonts w:eastAsiaTheme="minorEastAsia"/>
                <w:color w:val="000000"/>
                <w:sz w:val="24"/>
              </w:rPr>
              <w:t>2013</w:t>
            </w:r>
            <w:r>
              <w:rPr>
                <w:rFonts w:eastAsiaTheme="minorEastAsia"/>
                <w:color w:val="000000"/>
                <w:sz w:val="24"/>
              </w:rPr>
              <w:t>年</w:t>
            </w:r>
            <w:r>
              <w:rPr>
                <w:rFonts w:eastAsiaTheme="minorEastAsia"/>
                <w:color w:val="000000"/>
                <w:sz w:val="24"/>
              </w:rPr>
              <w:t>7</w:t>
            </w:r>
            <w:r>
              <w:rPr>
                <w:rFonts w:eastAsiaTheme="minorEastAsia"/>
                <w:color w:val="000000"/>
                <w:sz w:val="24"/>
              </w:rPr>
              <w:t>月</w:t>
            </w:r>
            <w:r>
              <w:rPr>
                <w:rFonts w:eastAsiaTheme="minorEastAsia"/>
                <w:color w:val="000000"/>
                <w:sz w:val="24"/>
              </w:rPr>
              <w:t>12</w:t>
            </w:r>
            <w:r>
              <w:rPr>
                <w:rFonts w:eastAsiaTheme="minorEastAsia"/>
                <w:color w:val="000000"/>
                <w:sz w:val="24"/>
              </w:rPr>
              <w:t>日起任职）、广发集鑫债券型证券投资基金基金经理（自</w:t>
            </w:r>
            <w:r>
              <w:rPr>
                <w:rFonts w:eastAsiaTheme="minorEastAsia"/>
                <w:color w:val="000000"/>
                <w:sz w:val="24"/>
              </w:rPr>
              <w:t>2015</w:t>
            </w:r>
            <w:r>
              <w:rPr>
                <w:rFonts w:eastAsiaTheme="minorEastAsia"/>
                <w:color w:val="000000"/>
                <w:sz w:val="24"/>
              </w:rPr>
              <w:t>年</w:t>
            </w:r>
            <w:r>
              <w:rPr>
                <w:rFonts w:eastAsiaTheme="minorEastAsia"/>
                <w:color w:val="000000"/>
                <w:sz w:val="24"/>
              </w:rPr>
              <w:t>12</w:t>
            </w:r>
            <w:r>
              <w:rPr>
                <w:rFonts w:eastAsiaTheme="minorEastAsia"/>
                <w:color w:val="000000"/>
                <w:sz w:val="24"/>
              </w:rPr>
              <w:t>月</w:t>
            </w:r>
            <w:r>
              <w:rPr>
                <w:rFonts w:eastAsiaTheme="minorEastAsia"/>
                <w:color w:val="000000"/>
                <w:sz w:val="24"/>
              </w:rPr>
              <w:t>25</w:t>
            </w:r>
            <w:r>
              <w:rPr>
                <w:rFonts w:eastAsiaTheme="minorEastAsia"/>
                <w:color w:val="000000"/>
                <w:sz w:val="24"/>
              </w:rPr>
              <w:t>日起任职）、广发鑫裕灵活配置混合型证券投资基金基金经理（自</w:t>
            </w:r>
            <w:r>
              <w:rPr>
                <w:rFonts w:eastAsiaTheme="minorEastAsia"/>
                <w:color w:val="000000"/>
                <w:sz w:val="24"/>
              </w:rPr>
              <w:t>2016</w:t>
            </w:r>
            <w:r>
              <w:rPr>
                <w:rFonts w:eastAsiaTheme="minorEastAsia"/>
                <w:color w:val="000000"/>
                <w:sz w:val="24"/>
              </w:rPr>
              <w:t>年</w:t>
            </w:r>
            <w:r>
              <w:rPr>
                <w:rFonts w:eastAsiaTheme="minorEastAsia"/>
                <w:color w:val="000000"/>
                <w:sz w:val="24"/>
              </w:rPr>
              <w:t>3</w:t>
            </w:r>
            <w:r>
              <w:rPr>
                <w:rFonts w:eastAsiaTheme="minorEastAsia"/>
                <w:color w:val="000000"/>
                <w:sz w:val="24"/>
              </w:rPr>
              <w:t>月</w:t>
            </w:r>
            <w:r>
              <w:rPr>
                <w:rFonts w:eastAsiaTheme="minorEastAsia"/>
                <w:color w:val="000000"/>
                <w:sz w:val="24"/>
              </w:rPr>
              <w:t>1</w:t>
            </w:r>
            <w:r>
              <w:rPr>
                <w:rFonts w:eastAsiaTheme="minorEastAsia"/>
                <w:color w:val="000000"/>
                <w:sz w:val="24"/>
              </w:rPr>
              <w:t>日起任职）、广发集裕债券型证券投资基金基金经理（自</w:t>
            </w:r>
            <w:r>
              <w:rPr>
                <w:rFonts w:eastAsiaTheme="minorEastAsia"/>
                <w:color w:val="000000"/>
                <w:sz w:val="24"/>
              </w:rPr>
              <w:t>2016</w:t>
            </w:r>
            <w:r>
              <w:rPr>
                <w:rFonts w:eastAsiaTheme="minorEastAsia"/>
                <w:color w:val="000000"/>
                <w:sz w:val="24"/>
              </w:rPr>
              <w:t>年</w:t>
            </w:r>
            <w:r>
              <w:rPr>
                <w:rFonts w:eastAsiaTheme="minorEastAsia"/>
                <w:color w:val="000000"/>
                <w:sz w:val="24"/>
              </w:rPr>
              <w:t>5</w:t>
            </w:r>
            <w:r>
              <w:rPr>
                <w:rFonts w:eastAsiaTheme="minorEastAsia"/>
                <w:color w:val="000000"/>
                <w:sz w:val="24"/>
              </w:rPr>
              <w:t>月</w:t>
            </w:r>
            <w:r>
              <w:rPr>
                <w:rFonts w:eastAsiaTheme="minorEastAsia"/>
                <w:color w:val="000000"/>
                <w:sz w:val="24"/>
              </w:rPr>
              <w:t>11</w:t>
            </w:r>
            <w:r>
              <w:rPr>
                <w:rFonts w:eastAsiaTheme="minorEastAsia"/>
                <w:color w:val="000000"/>
                <w:sz w:val="24"/>
              </w:rPr>
              <w:t>日起任职）、广发集丰债券型证券投资基金基金经理（自</w:t>
            </w:r>
            <w:r>
              <w:rPr>
                <w:rFonts w:eastAsiaTheme="minorEastAsia"/>
                <w:color w:val="000000"/>
                <w:sz w:val="24"/>
              </w:rPr>
              <w:t>2016</w:t>
            </w:r>
            <w:r>
              <w:rPr>
                <w:rFonts w:eastAsiaTheme="minorEastAsia"/>
                <w:color w:val="000000"/>
                <w:sz w:val="24"/>
              </w:rPr>
              <w:t>年</w:t>
            </w:r>
            <w:r>
              <w:rPr>
                <w:rFonts w:eastAsiaTheme="minorEastAsia"/>
                <w:color w:val="000000"/>
                <w:sz w:val="24"/>
              </w:rPr>
              <w:t>11</w:t>
            </w:r>
            <w:r>
              <w:rPr>
                <w:rFonts w:eastAsiaTheme="minorEastAsia"/>
                <w:color w:val="000000"/>
                <w:sz w:val="24"/>
              </w:rPr>
              <w:t>月</w:t>
            </w:r>
            <w:r>
              <w:rPr>
                <w:rFonts w:eastAsiaTheme="minorEastAsia"/>
                <w:color w:val="000000"/>
                <w:sz w:val="24"/>
              </w:rPr>
              <w:t>1</w:t>
            </w:r>
            <w:r>
              <w:rPr>
                <w:rFonts w:eastAsiaTheme="minorEastAsia"/>
                <w:color w:val="000000"/>
                <w:sz w:val="24"/>
              </w:rPr>
              <w:t>日起任职）、</w:t>
            </w:r>
            <w:r>
              <w:rPr>
                <w:rFonts w:eastAsiaTheme="minorEastAsia"/>
                <w:color w:val="000000"/>
                <w:sz w:val="24"/>
              </w:rPr>
              <w:t>广发集安债券型证券投资基金基金经理（自</w:t>
            </w:r>
            <w:r>
              <w:rPr>
                <w:rFonts w:eastAsiaTheme="minorEastAsia"/>
                <w:color w:val="000000"/>
                <w:sz w:val="24"/>
              </w:rPr>
              <w:t>2017</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20</w:t>
            </w:r>
            <w:r>
              <w:rPr>
                <w:rFonts w:eastAsiaTheme="minorEastAsia"/>
                <w:color w:val="000000"/>
                <w:sz w:val="24"/>
              </w:rPr>
              <w:t>日起任职）、广发集源债券型证券投资基金基金经理（自</w:t>
            </w:r>
            <w:r>
              <w:rPr>
                <w:rFonts w:eastAsiaTheme="minorEastAsia"/>
                <w:color w:val="000000"/>
                <w:sz w:val="24"/>
              </w:rPr>
              <w:t>2017</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20</w:t>
            </w:r>
            <w:r>
              <w:rPr>
                <w:rFonts w:eastAsiaTheme="minorEastAsia"/>
                <w:color w:val="000000"/>
                <w:sz w:val="24"/>
              </w:rPr>
              <w:t>日起任职）。</w:t>
            </w:r>
          </w:p>
        </w:tc>
      </w:tr>
      <w:tr w:rsidR="001C4558">
        <w:tc>
          <w:tcPr>
            <w:tcW w:w="952" w:type="dxa"/>
            <w:vAlign w:val="center"/>
          </w:tcPr>
          <w:p w:rsidR="001C4558" w:rsidRDefault="00341503">
            <w:pPr>
              <w:jc w:val="center"/>
            </w:pPr>
            <w:r>
              <w:rPr>
                <w:rFonts w:eastAsiaTheme="minorEastAsia"/>
                <w:color w:val="000000"/>
                <w:sz w:val="24"/>
              </w:rPr>
              <w:t>曾雪兰</w:t>
            </w:r>
          </w:p>
        </w:tc>
        <w:tc>
          <w:tcPr>
            <w:tcW w:w="1600" w:type="dxa"/>
            <w:vAlign w:val="center"/>
          </w:tcPr>
          <w:p w:rsidR="001C4558" w:rsidRDefault="00341503">
            <w:pPr>
              <w:jc w:val="center"/>
            </w:pPr>
            <w:r>
              <w:rPr>
                <w:rFonts w:eastAsiaTheme="minorEastAsia"/>
                <w:color w:val="000000"/>
                <w:sz w:val="24"/>
              </w:rPr>
              <w:t>本基金的基金经理；广发理财</w:t>
            </w:r>
            <w:r>
              <w:rPr>
                <w:rFonts w:eastAsiaTheme="minorEastAsia"/>
                <w:color w:val="000000"/>
                <w:sz w:val="24"/>
              </w:rPr>
              <w:t>30</w:t>
            </w:r>
            <w:r>
              <w:rPr>
                <w:rFonts w:eastAsiaTheme="minorEastAsia"/>
                <w:color w:val="000000"/>
                <w:sz w:val="24"/>
              </w:rPr>
              <w:t>天债券基金的基金经理；广发现金宝场内货币基金的基金经理</w:t>
            </w:r>
          </w:p>
        </w:tc>
        <w:tc>
          <w:tcPr>
            <w:tcW w:w="850" w:type="dxa"/>
            <w:vAlign w:val="center"/>
          </w:tcPr>
          <w:p w:rsidR="001C4558" w:rsidRDefault="00341503">
            <w:pPr>
              <w:jc w:val="center"/>
            </w:pPr>
            <w:r>
              <w:rPr>
                <w:rFonts w:eastAsiaTheme="minorEastAsia"/>
                <w:color w:val="000000"/>
                <w:sz w:val="24"/>
              </w:rPr>
              <w:t>2017-01-20</w:t>
            </w:r>
          </w:p>
        </w:tc>
        <w:tc>
          <w:tcPr>
            <w:tcW w:w="999" w:type="dxa"/>
            <w:vAlign w:val="center"/>
          </w:tcPr>
          <w:p w:rsidR="001C4558" w:rsidRDefault="00341503">
            <w:pPr>
              <w:jc w:val="center"/>
            </w:pPr>
            <w:r>
              <w:rPr>
                <w:rFonts w:eastAsiaTheme="minorEastAsia"/>
                <w:color w:val="000000"/>
                <w:sz w:val="24"/>
              </w:rPr>
              <w:t>-</w:t>
            </w:r>
          </w:p>
        </w:tc>
        <w:tc>
          <w:tcPr>
            <w:tcW w:w="1254" w:type="dxa"/>
            <w:vAlign w:val="center"/>
          </w:tcPr>
          <w:p w:rsidR="001C4558" w:rsidRDefault="00341503">
            <w:pPr>
              <w:jc w:val="center"/>
            </w:pPr>
            <w:r>
              <w:rPr>
                <w:rFonts w:eastAsiaTheme="minorEastAsia"/>
                <w:color w:val="000000"/>
                <w:sz w:val="24"/>
              </w:rPr>
              <w:t>8</w:t>
            </w:r>
            <w:r>
              <w:rPr>
                <w:rFonts w:eastAsiaTheme="minorEastAsia"/>
                <w:color w:val="000000"/>
                <w:sz w:val="24"/>
              </w:rPr>
              <w:t>年</w:t>
            </w:r>
          </w:p>
        </w:tc>
        <w:tc>
          <w:tcPr>
            <w:tcW w:w="3276" w:type="dxa"/>
            <w:vAlign w:val="center"/>
          </w:tcPr>
          <w:p w:rsidR="001C4558" w:rsidRDefault="00341503">
            <w:r>
              <w:rPr>
                <w:rFonts w:eastAsiaTheme="minorEastAsia"/>
                <w:color w:val="000000"/>
                <w:sz w:val="24"/>
              </w:rPr>
              <w:t>曾雪兰女士，经济学硕士，持有中国证券投资基金业从业证书。曾任广发基金管理有限公司固定收益部债券交易员、债券研究员、基金经理助理。现任广发理财</w:t>
            </w:r>
            <w:r>
              <w:rPr>
                <w:rFonts w:eastAsiaTheme="minorEastAsia"/>
                <w:color w:val="000000"/>
                <w:sz w:val="24"/>
              </w:rPr>
              <w:t>30</w:t>
            </w:r>
            <w:r>
              <w:rPr>
                <w:rFonts w:eastAsiaTheme="minorEastAsia"/>
                <w:color w:val="000000"/>
                <w:sz w:val="24"/>
              </w:rPr>
              <w:t>天债券型证券投资基金基金经理（自</w:t>
            </w:r>
            <w:r>
              <w:rPr>
                <w:rFonts w:eastAsiaTheme="minorEastAsia"/>
                <w:color w:val="000000"/>
                <w:sz w:val="24"/>
              </w:rPr>
              <w:t>2016</w:t>
            </w:r>
            <w:r>
              <w:rPr>
                <w:rFonts w:eastAsiaTheme="minorEastAsia"/>
                <w:color w:val="000000"/>
                <w:sz w:val="24"/>
              </w:rPr>
              <w:t>年</w:t>
            </w:r>
            <w:r>
              <w:rPr>
                <w:rFonts w:eastAsiaTheme="minorEastAsia"/>
                <w:color w:val="000000"/>
                <w:sz w:val="24"/>
              </w:rPr>
              <w:t>7</w:t>
            </w:r>
            <w:r>
              <w:rPr>
                <w:rFonts w:eastAsiaTheme="minorEastAsia"/>
                <w:color w:val="000000"/>
                <w:sz w:val="24"/>
              </w:rPr>
              <w:t>月</w:t>
            </w:r>
            <w:r>
              <w:rPr>
                <w:rFonts w:eastAsiaTheme="minorEastAsia"/>
                <w:color w:val="000000"/>
                <w:sz w:val="24"/>
              </w:rPr>
              <w:t>22</w:t>
            </w:r>
            <w:r>
              <w:rPr>
                <w:rFonts w:eastAsiaTheme="minorEastAsia"/>
                <w:color w:val="000000"/>
                <w:sz w:val="24"/>
              </w:rPr>
              <w:t>日起任职）、广发现金宝场内实时申赎货币市场基金基金经理（自</w:t>
            </w:r>
            <w:r>
              <w:rPr>
                <w:rFonts w:eastAsiaTheme="minorEastAsia"/>
                <w:color w:val="000000"/>
                <w:sz w:val="24"/>
              </w:rPr>
              <w:t>2016</w:t>
            </w:r>
            <w:r>
              <w:rPr>
                <w:rFonts w:eastAsiaTheme="minorEastAsia"/>
                <w:color w:val="000000"/>
                <w:sz w:val="24"/>
              </w:rPr>
              <w:t>年</w:t>
            </w:r>
            <w:r>
              <w:rPr>
                <w:rFonts w:eastAsiaTheme="minorEastAsia"/>
                <w:color w:val="000000"/>
                <w:sz w:val="24"/>
              </w:rPr>
              <w:t>7</w:t>
            </w:r>
            <w:r>
              <w:rPr>
                <w:rFonts w:eastAsiaTheme="minorEastAsia"/>
                <w:color w:val="000000"/>
                <w:sz w:val="24"/>
              </w:rPr>
              <w:t>月</w:t>
            </w:r>
            <w:r>
              <w:rPr>
                <w:rFonts w:eastAsiaTheme="minorEastAsia"/>
                <w:color w:val="000000"/>
                <w:sz w:val="24"/>
              </w:rPr>
              <w:t>22</w:t>
            </w:r>
            <w:r>
              <w:rPr>
                <w:rFonts w:eastAsiaTheme="minorEastAsia"/>
                <w:color w:val="000000"/>
                <w:sz w:val="24"/>
              </w:rPr>
              <w:t>日起任职）、广发集安债券型证券投资基金基金经理（</w:t>
            </w:r>
            <w:r>
              <w:rPr>
                <w:rFonts w:eastAsiaTheme="minorEastAsia"/>
                <w:color w:val="000000"/>
                <w:sz w:val="24"/>
              </w:rPr>
              <w:t>2017</w:t>
            </w:r>
            <w:r>
              <w:rPr>
                <w:rFonts w:eastAsiaTheme="minorEastAsia"/>
                <w:color w:val="000000"/>
                <w:sz w:val="24"/>
              </w:rPr>
              <w:t>年</w:t>
            </w:r>
            <w:r>
              <w:rPr>
                <w:rFonts w:eastAsiaTheme="minorEastAsia"/>
                <w:color w:val="000000"/>
                <w:sz w:val="24"/>
              </w:rPr>
              <w:t>2</w:t>
            </w:r>
            <w:r>
              <w:rPr>
                <w:rFonts w:eastAsiaTheme="minorEastAsia"/>
                <w:color w:val="000000"/>
                <w:sz w:val="24"/>
              </w:rPr>
              <w:t>月</w:t>
            </w:r>
            <w:r>
              <w:rPr>
                <w:rFonts w:eastAsiaTheme="minorEastAsia"/>
                <w:color w:val="000000"/>
                <w:sz w:val="24"/>
              </w:rPr>
              <w:t>6</w:t>
            </w:r>
            <w:r>
              <w:rPr>
                <w:rFonts w:eastAsiaTheme="minorEastAsia"/>
                <w:color w:val="000000"/>
                <w:sz w:val="24"/>
              </w:rPr>
              <w:t>日起任职）。</w:t>
            </w:r>
          </w:p>
        </w:tc>
      </w:tr>
    </w:tbl>
    <w:p w:rsidR="001C4558" w:rsidRDefault="00341503">
      <w:pPr>
        <w:spacing w:line="360" w:lineRule="auto"/>
        <w:ind w:firstLineChars="200" w:firstLine="480"/>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任职日期</w:t>
      </w:r>
      <w:r>
        <w:rPr>
          <w:rFonts w:eastAsiaTheme="minorEastAsia"/>
          <w:color w:val="000000"/>
          <w:sz w:val="24"/>
        </w:rPr>
        <w:t>”</w:t>
      </w:r>
      <w:r>
        <w:rPr>
          <w:rFonts w:eastAsiaTheme="minorEastAsia"/>
          <w:color w:val="000000"/>
          <w:sz w:val="24"/>
        </w:rPr>
        <w:t>和</w:t>
      </w:r>
      <w:r>
        <w:rPr>
          <w:rFonts w:eastAsiaTheme="minorEastAsia"/>
          <w:color w:val="000000"/>
          <w:sz w:val="24"/>
        </w:rPr>
        <w:t>“</w:t>
      </w:r>
      <w:r>
        <w:rPr>
          <w:rFonts w:eastAsiaTheme="minorEastAsia"/>
          <w:color w:val="000000"/>
          <w:sz w:val="24"/>
        </w:rPr>
        <w:t>离职日期</w:t>
      </w:r>
      <w:r>
        <w:rPr>
          <w:rFonts w:eastAsiaTheme="minorEastAsia"/>
          <w:color w:val="000000"/>
          <w:sz w:val="24"/>
        </w:rPr>
        <w:t>”</w:t>
      </w:r>
      <w:r>
        <w:rPr>
          <w:rFonts w:eastAsiaTheme="minorEastAsia"/>
          <w:color w:val="000000"/>
          <w:sz w:val="24"/>
        </w:rPr>
        <w:t>指公司公告聘任或解聘日期。</w:t>
      </w:r>
    </w:p>
    <w:p w:rsidR="005C7D00" w:rsidRPr="00D32161" w:rsidRDefault="00062E1F" w:rsidP="00D32161">
      <w:pPr>
        <w:spacing w:line="360" w:lineRule="auto"/>
        <w:ind w:firstLineChars="200" w:firstLine="480"/>
        <w:rPr>
          <w:rFonts w:eastAsiaTheme="minorEastAsia"/>
          <w:color w:val="000000"/>
          <w:sz w:val="24"/>
        </w:rPr>
      </w:pPr>
      <w:r w:rsidRPr="00264591">
        <w:rPr>
          <w:rFonts w:eastAsiaTheme="minorEastAsia"/>
          <w:color w:val="000000"/>
          <w:sz w:val="24"/>
        </w:rPr>
        <w:t>2.</w:t>
      </w:r>
      <w:r w:rsidRPr="00264591">
        <w:rPr>
          <w:rFonts w:eastAsiaTheme="minorEastAsia"/>
          <w:color w:val="000000"/>
          <w:sz w:val="24"/>
        </w:rPr>
        <w:t>证券从业的含义遵从行业协会《证券业从业人员资格管理办法》的相关规定。</w:t>
      </w:r>
    </w:p>
    <w:p w:rsidR="009238DB" w:rsidRPr="00B75DF8" w:rsidRDefault="009238DB" w:rsidP="00FC13C8">
      <w:pPr>
        <w:autoSpaceDE w:val="0"/>
        <w:autoSpaceDN w:val="0"/>
        <w:adjustRightInd w:val="0"/>
        <w:spacing w:line="360" w:lineRule="auto"/>
        <w:jc w:val="left"/>
        <w:rPr>
          <w:rFonts w:asciiTheme="minorEastAsia" w:eastAsiaTheme="minorEastAsia" w:hAnsiTheme="minorEastAsia" w:cs="Arial"/>
          <w:b/>
          <w:color w:val="000000"/>
          <w:kern w:val="0"/>
          <w:sz w:val="24"/>
        </w:rPr>
      </w:pPr>
      <w:r w:rsidRPr="00B75DF8">
        <w:rPr>
          <w:rFonts w:asciiTheme="minorEastAsia" w:eastAsiaTheme="minorEastAsia" w:hAnsiTheme="minorEastAsia" w:cs="Arial"/>
          <w:b/>
          <w:color w:val="000000"/>
          <w:kern w:val="0"/>
          <w:sz w:val="24"/>
        </w:rPr>
        <w:t>4.2</w:t>
      </w:r>
      <w:r w:rsidRPr="00B75DF8">
        <w:rPr>
          <w:rFonts w:asciiTheme="minorEastAsia" w:eastAsiaTheme="minorEastAsia" w:hAnsiTheme="minorEastAsia" w:cs="Arial" w:hint="eastAsia"/>
          <w:b/>
          <w:color w:val="000000"/>
          <w:kern w:val="0"/>
          <w:sz w:val="24"/>
        </w:rPr>
        <w:t>报告期内本基金运作遵规守信情况说明</w:t>
      </w:r>
    </w:p>
    <w:p w:rsidR="009238DB" w:rsidRPr="00D32161" w:rsidRDefault="00323F25" w:rsidP="00D32161">
      <w:pPr>
        <w:spacing w:line="360" w:lineRule="auto"/>
        <w:ind w:firstLineChars="200" w:firstLine="480"/>
        <w:rPr>
          <w:rFonts w:eastAsiaTheme="minorEastAsia"/>
          <w:color w:val="000000"/>
          <w:sz w:val="24"/>
        </w:rPr>
      </w:pPr>
      <w:r w:rsidRPr="00264591">
        <w:rPr>
          <w:rFonts w:eastAsiaTheme="minorEastAsia"/>
          <w:color w:val="000000"/>
          <w:sz w:val="24"/>
        </w:rPr>
        <w:t>本报告期内，本基金管理人严格遵守《中华人民共和国证券投资基金法》及其配套法规、《广发集安债券型证券投资基金基金合同》和其他有关法律法规的规定，本着诚实信用、勤勉尽责的原则管理和运用基金资产，在严格控制风险的基础上，为基金份额持有人谋求最大利益。本报告期内，基金运作合法合规，无损害基金持有人利益的行为，基金的投资管理符合有关法规及基金合同的规定。</w:t>
      </w:r>
    </w:p>
    <w:p w:rsidR="009238DB" w:rsidRPr="00B75DF8" w:rsidRDefault="009238DB" w:rsidP="00FC13C8">
      <w:pPr>
        <w:autoSpaceDE w:val="0"/>
        <w:autoSpaceDN w:val="0"/>
        <w:adjustRightInd w:val="0"/>
        <w:spacing w:line="360" w:lineRule="auto"/>
        <w:jc w:val="left"/>
        <w:rPr>
          <w:rFonts w:asciiTheme="minorEastAsia" w:eastAsiaTheme="minorEastAsia" w:hAnsiTheme="minorEastAsia" w:cs="Arial"/>
          <w:b/>
          <w:color w:val="000000"/>
          <w:kern w:val="0"/>
          <w:sz w:val="24"/>
        </w:rPr>
      </w:pPr>
      <w:r w:rsidRPr="00B75DF8">
        <w:rPr>
          <w:rFonts w:asciiTheme="minorEastAsia" w:eastAsiaTheme="minorEastAsia" w:hAnsiTheme="minorEastAsia" w:cs="Arial"/>
          <w:b/>
          <w:color w:val="000000"/>
          <w:kern w:val="0"/>
          <w:sz w:val="24"/>
        </w:rPr>
        <w:t xml:space="preserve">4.3 </w:t>
      </w:r>
      <w:r w:rsidRPr="00B75DF8">
        <w:rPr>
          <w:rFonts w:asciiTheme="minorEastAsia" w:eastAsiaTheme="minorEastAsia" w:hAnsiTheme="minorEastAsia" w:cs="Arial" w:hint="eastAsia"/>
          <w:b/>
          <w:color w:val="000000"/>
          <w:kern w:val="0"/>
          <w:sz w:val="24"/>
        </w:rPr>
        <w:t>公平交易专项说明</w:t>
      </w:r>
    </w:p>
    <w:p w:rsidR="00D15733" w:rsidRPr="00B75DF8" w:rsidRDefault="00D15733" w:rsidP="00FC13C8">
      <w:pPr>
        <w:spacing w:line="360" w:lineRule="auto"/>
        <w:rPr>
          <w:rFonts w:asciiTheme="minorEastAsia" w:eastAsiaTheme="minorEastAsia" w:hAnsiTheme="minorEastAsia"/>
          <w:sz w:val="24"/>
        </w:rPr>
      </w:pPr>
      <w:smartTag w:uri="urn:schemas-microsoft-com:office:smarttags" w:element="chsdate">
        <w:smartTagPr>
          <w:attr w:name="IsROCDate" w:val="False"/>
          <w:attr w:name="IsLunarDate" w:val="False"/>
          <w:attr w:name="Day" w:val="30"/>
          <w:attr w:name="Month" w:val="12"/>
          <w:attr w:name="Year" w:val="1899"/>
        </w:smartTagPr>
        <w:r w:rsidRPr="00B75DF8">
          <w:rPr>
            <w:rFonts w:asciiTheme="minorEastAsia" w:eastAsiaTheme="minorEastAsia" w:hAnsiTheme="minorEastAsia" w:hint="eastAsia"/>
            <w:sz w:val="24"/>
          </w:rPr>
          <w:t>4.3.1</w:t>
        </w:r>
      </w:smartTag>
      <w:r w:rsidRPr="00B75DF8">
        <w:rPr>
          <w:rFonts w:asciiTheme="minorEastAsia" w:eastAsiaTheme="minorEastAsia" w:hAnsiTheme="minorEastAsia" w:hint="eastAsia"/>
          <w:sz w:val="24"/>
        </w:rPr>
        <w:t xml:space="preserve"> 公平交易制度的执行情况</w:t>
      </w:r>
    </w:p>
    <w:p w:rsidR="001C4558" w:rsidRDefault="00341503">
      <w:pPr>
        <w:spacing w:line="360" w:lineRule="auto"/>
        <w:ind w:firstLineChars="200" w:firstLine="480"/>
        <w:rPr>
          <w:rFonts w:eastAsiaTheme="minorEastAsia"/>
          <w:color w:val="000000"/>
          <w:sz w:val="24"/>
        </w:rPr>
      </w:pPr>
      <w:r>
        <w:rPr>
          <w:rFonts w:eastAsiaTheme="minorEastAsia"/>
          <w:color w:val="000000"/>
          <w:sz w:val="24"/>
        </w:rPr>
        <w:t>公司通过建立科学、制衡的投资决策体系，加强交易分配环节的内部控制，并通过实时的行为监控与及时的分析评估，保证公平交易原则的实现。</w:t>
      </w:r>
    </w:p>
    <w:p w:rsidR="001C4558" w:rsidRDefault="00341503">
      <w:pPr>
        <w:spacing w:line="360" w:lineRule="auto"/>
        <w:ind w:firstLineChars="200" w:firstLine="480"/>
        <w:rPr>
          <w:rFonts w:eastAsiaTheme="minorEastAsia"/>
          <w:color w:val="000000"/>
          <w:sz w:val="24"/>
        </w:rPr>
      </w:pPr>
      <w:r>
        <w:rPr>
          <w:rFonts w:eastAsiaTheme="minorEastAsia"/>
          <w:color w:val="000000"/>
          <w:sz w:val="24"/>
        </w:rPr>
        <w:t>在投资决策的内部控制方面，公司制度规定投资组合投资的股票必须来源于备选股票库，重点投资的股票必须来源于核心股票库。公司建立了严格的投资授权制度，投资组合经理在授权范围内可以自主决策，超过投资权限的操作需要经过严格的审批程序。在交易过程中，中央交易部按照</w:t>
      </w:r>
      <w:r>
        <w:rPr>
          <w:rFonts w:eastAsiaTheme="minorEastAsia"/>
          <w:color w:val="000000"/>
          <w:sz w:val="24"/>
        </w:rPr>
        <w:t>“</w:t>
      </w:r>
      <w:r>
        <w:rPr>
          <w:rFonts w:eastAsiaTheme="minorEastAsia"/>
          <w:color w:val="000000"/>
          <w:sz w:val="24"/>
        </w:rPr>
        <w:t>时间优先、价格优先、比例分配、综合平衡</w:t>
      </w:r>
      <w:r>
        <w:rPr>
          <w:rFonts w:eastAsiaTheme="minorEastAsia"/>
          <w:color w:val="000000"/>
          <w:sz w:val="24"/>
        </w:rPr>
        <w:t>”</w:t>
      </w:r>
      <w:r>
        <w:rPr>
          <w:rFonts w:eastAsiaTheme="minorEastAsia"/>
          <w:color w:val="000000"/>
          <w:sz w:val="24"/>
        </w:rPr>
        <w:t>的原则，公平分配投资指令。金融工程与风险管理部风险控制岗通过投资交易系统对投资交易过程进</w:t>
      </w:r>
      <w:r>
        <w:rPr>
          <w:rFonts w:eastAsiaTheme="minorEastAsia"/>
          <w:color w:val="000000"/>
          <w:sz w:val="24"/>
        </w:rPr>
        <w:t>行实时监控及预警，实现投资风险的事中风险控制；稽核岗通过对投资、研究及交易等全流程的独立监察稽核，实现投资风险的事后控制。</w:t>
      </w:r>
    </w:p>
    <w:p w:rsidR="00D15733" w:rsidRPr="00264591" w:rsidRDefault="00323F25" w:rsidP="00B75DF8">
      <w:pPr>
        <w:spacing w:line="360" w:lineRule="auto"/>
        <w:ind w:firstLineChars="200" w:firstLine="480"/>
        <w:rPr>
          <w:rFonts w:eastAsiaTheme="minorEastAsia"/>
          <w:color w:val="000000"/>
          <w:sz w:val="24"/>
        </w:rPr>
      </w:pPr>
      <w:r w:rsidRPr="00264591">
        <w:rPr>
          <w:rFonts w:eastAsiaTheme="minorEastAsia"/>
          <w:color w:val="000000"/>
          <w:sz w:val="24"/>
        </w:rPr>
        <w:t>本报告期内，上述公平交易制度总体执行情况良好，不同的投资组合受到了公平对待，未发生任何不公平的交易事项。</w:t>
      </w:r>
    </w:p>
    <w:p w:rsidR="00D15733" w:rsidRPr="00B75DF8" w:rsidRDefault="00D15733" w:rsidP="00FC13C8">
      <w:pPr>
        <w:spacing w:line="360" w:lineRule="auto"/>
        <w:rPr>
          <w:rFonts w:asciiTheme="minorEastAsia" w:eastAsiaTheme="minorEastAsia" w:hAnsiTheme="minorEastAsia"/>
          <w:sz w:val="24"/>
        </w:rPr>
      </w:pPr>
      <w:r w:rsidRPr="00B75DF8">
        <w:rPr>
          <w:rFonts w:asciiTheme="minorEastAsia" w:eastAsiaTheme="minorEastAsia" w:hAnsiTheme="minorEastAsia" w:hint="eastAsia"/>
          <w:sz w:val="24"/>
        </w:rPr>
        <w:t>4.3.</w:t>
      </w:r>
      <w:r w:rsidR="005B6047" w:rsidRPr="00B75DF8">
        <w:rPr>
          <w:rFonts w:asciiTheme="minorEastAsia" w:eastAsiaTheme="minorEastAsia" w:hAnsiTheme="minorEastAsia" w:hint="eastAsia"/>
          <w:sz w:val="24"/>
        </w:rPr>
        <w:t>2</w:t>
      </w:r>
      <w:r w:rsidRPr="00B75DF8">
        <w:rPr>
          <w:rFonts w:asciiTheme="minorEastAsia" w:eastAsiaTheme="minorEastAsia" w:hAnsiTheme="minorEastAsia" w:hint="eastAsia"/>
          <w:sz w:val="24"/>
        </w:rPr>
        <w:t xml:space="preserve"> 异常交易行为的专项说明</w:t>
      </w:r>
    </w:p>
    <w:p w:rsidR="001C4558" w:rsidRDefault="00341503">
      <w:pPr>
        <w:spacing w:line="360" w:lineRule="auto"/>
        <w:ind w:firstLineChars="200" w:firstLine="480"/>
        <w:rPr>
          <w:rFonts w:eastAsiaTheme="minorEastAsia"/>
          <w:color w:val="000000"/>
          <w:sz w:val="24"/>
        </w:rPr>
      </w:pPr>
      <w:r>
        <w:rPr>
          <w:rFonts w:eastAsiaTheme="minorEastAsia" w:hint="eastAsia"/>
          <w:color w:val="000000"/>
          <w:sz w:val="24"/>
        </w:rPr>
        <w:t>本公司原则上禁止不同投资组合之间（完全按照有关指数的构成比例进行证券投资的投资组合除外）或同一投资组合在同一交易日内进行反向交易。如果因应对大额赎回等特殊情况需要进行反向交易的，则需经公司领导严格审批并留痕备查。</w:t>
      </w:r>
    </w:p>
    <w:p w:rsidR="009238DB" w:rsidRPr="00D32161" w:rsidRDefault="00323F25" w:rsidP="00D32161">
      <w:pPr>
        <w:spacing w:line="360" w:lineRule="auto"/>
        <w:ind w:firstLineChars="200" w:firstLine="480"/>
        <w:rPr>
          <w:rFonts w:eastAsiaTheme="minorEastAsia"/>
          <w:color w:val="000000"/>
          <w:sz w:val="24"/>
        </w:rPr>
      </w:pPr>
      <w:r w:rsidRPr="00264591">
        <w:rPr>
          <w:rFonts w:eastAsiaTheme="minorEastAsia" w:hint="eastAsia"/>
          <w:color w:val="000000"/>
          <w:sz w:val="24"/>
        </w:rPr>
        <w:t>本报告期内，本投资组合与本公司管理的其他投资组合未发生过同日反向交易的情况。</w:t>
      </w:r>
    </w:p>
    <w:p w:rsidR="00F55149" w:rsidRPr="00B75DF8" w:rsidRDefault="00F55149" w:rsidP="00F55149">
      <w:pPr>
        <w:autoSpaceDE w:val="0"/>
        <w:autoSpaceDN w:val="0"/>
        <w:adjustRightInd w:val="0"/>
        <w:spacing w:line="360" w:lineRule="auto"/>
        <w:jc w:val="left"/>
        <w:rPr>
          <w:rFonts w:asciiTheme="minorEastAsia" w:eastAsiaTheme="minorEastAsia" w:hAnsiTheme="minorEastAsia" w:cs="Arial"/>
          <w:b/>
          <w:color w:val="000000"/>
          <w:kern w:val="0"/>
          <w:sz w:val="24"/>
        </w:rPr>
      </w:pPr>
      <w:r w:rsidRPr="00B75DF8">
        <w:rPr>
          <w:rFonts w:asciiTheme="minorEastAsia" w:eastAsiaTheme="minorEastAsia" w:hAnsiTheme="minorEastAsia" w:cs="Arial"/>
          <w:b/>
          <w:color w:val="000000"/>
          <w:kern w:val="0"/>
          <w:sz w:val="24"/>
        </w:rPr>
        <w:t>4.4</w:t>
      </w:r>
      <w:r>
        <w:rPr>
          <w:rFonts w:ascii="宋体" w:hAnsi="宋体" w:hint="eastAsia"/>
          <w:b/>
          <w:color w:val="000000"/>
          <w:sz w:val="24"/>
        </w:rPr>
        <w:t>报告期内基金的投资策略和运作分析</w:t>
      </w:r>
    </w:p>
    <w:p w:rsidR="00F55149" w:rsidRPr="00B75DF8" w:rsidRDefault="00F55149" w:rsidP="00F55149">
      <w:pPr>
        <w:spacing w:line="360" w:lineRule="auto"/>
        <w:ind w:firstLineChars="200" w:firstLine="480"/>
        <w:rPr>
          <w:rFonts w:asciiTheme="minorEastAsia" w:eastAsiaTheme="minorEastAsia" w:hAnsiTheme="minorEastAsia"/>
          <w:color w:val="000000"/>
          <w:sz w:val="24"/>
        </w:rPr>
      </w:pPr>
      <w:r w:rsidRPr="00264591">
        <w:rPr>
          <w:rFonts w:eastAsiaTheme="minorEastAsia"/>
          <w:color w:val="000000"/>
          <w:sz w:val="24"/>
        </w:rPr>
        <w:t>报告期内，货币市场整体仍然维持较为宽松的态势，央行两次降准操作、不再跟随美联储上调政策利率等均印证货币政策结构性转松；宏观经济方面，生产数据显示宏观环境当下不弱，但需求端数据表现较弱，而社融数据的走弱加重了市场的经济悲观预期；债市表现方面，利率债收益率整体下行，收益率曲线小幅平坦化，信用利差和等级利差有所走阔。基本面因素在外部贸易摩擦、内部信用收缩的大逻辑下悲观预期难以证伪，这一过程中低评级主体信用风险的暴露需要高度关注，货币政策边际转松，整体来看利好利率债和高等级信用债。报告期内，组合规模较小，卖出债券应对赎回。</w:t>
      </w:r>
    </w:p>
    <w:p w:rsidR="00F55149" w:rsidRPr="000A6C57" w:rsidRDefault="00F55149" w:rsidP="00F55149">
      <w:pPr>
        <w:autoSpaceDE w:val="0"/>
        <w:autoSpaceDN w:val="0"/>
        <w:adjustRightInd w:val="0"/>
        <w:spacing w:line="360" w:lineRule="auto"/>
        <w:jc w:val="left"/>
        <w:rPr>
          <w:rFonts w:asciiTheme="minorEastAsia" w:eastAsiaTheme="minorEastAsia" w:hAnsiTheme="minorEastAsia" w:cs="Arial"/>
          <w:b/>
          <w:color w:val="000000"/>
          <w:kern w:val="0"/>
          <w:sz w:val="24"/>
        </w:rPr>
      </w:pPr>
      <w:r>
        <w:rPr>
          <w:rFonts w:asciiTheme="minorEastAsia" w:eastAsiaTheme="minorEastAsia" w:hAnsiTheme="minorEastAsia" w:cs="Arial" w:hint="eastAsia"/>
          <w:b/>
          <w:color w:val="000000"/>
          <w:kern w:val="0"/>
          <w:sz w:val="24"/>
        </w:rPr>
        <w:t>4.5</w:t>
      </w:r>
      <w:r>
        <w:rPr>
          <w:rFonts w:ascii="宋体" w:hAnsi="宋体" w:hint="eastAsia"/>
          <w:b/>
          <w:color w:val="000000"/>
          <w:sz w:val="24"/>
        </w:rPr>
        <w:t>报告期内基金的业绩表现</w:t>
      </w:r>
    </w:p>
    <w:p w:rsidR="00F55149" w:rsidRPr="00264591" w:rsidRDefault="00F55149" w:rsidP="00F55149">
      <w:pPr>
        <w:spacing w:line="360" w:lineRule="auto"/>
        <w:ind w:firstLineChars="200" w:firstLine="480"/>
        <w:rPr>
          <w:rFonts w:eastAsiaTheme="minorEastAsia"/>
          <w:color w:val="000000"/>
          <w:sz w:val="24"/>
        </w:rPr>
      </w:pPr>
      <w:r w:rsidRPr="00264591">
        <w:rPr>
          <w:rFonts w:eastAsiaTheme="minorEastAsia"/>
          <w:color w:val="000000"/>
          <w:sz w:val="24"/>
        </w:rPr>
        <w:t>本报告期内</w:t>
      </w:r>
      <w:r w:rsidRPr="00264591">
        <w:rPr>
          <w:rFonts w:eastAsiaTheme="minorEastAsia"/>
          <w:color w:val="000000"/>
          <w:sz w:val="24"/>
        </w:rPr>
        <w:t>,</w:t>
      </w:r>
      <w:r w:rsidRPr="00264591">
        <w:rPr>
          <w:rFonts w:eastAsiaTheme="minorEastAsia"/>
          <w:color w:val="000000"/>
          <w:sz w:val="24"/>
        </w:rPr>
        <w:t>广发集安</w:t>
      </w:r>
      <w:r w:rsidRPr="00264591">
        <w:rPr>
          <w:rFonts w:eastAsiaTheme="minorEastAsia"/>
          <w:color w:val="000000"/>
          <w:sz w:val="24"/>
        </w:rPr>
        <w:t>A</w:t>
      </w:r>
      <w:r w:rsidRPr="00264591">
        <w:rPr>
          <w:rFonts w:eastAsiaTheme="minorEastAsia"/>
          <w:color w:val="000000"/>
          <w:sz w:val="24"/>
        </w:rPr>
        <w:t>类净值增长率为</w:t>
      </w:r>
      <w:r w:rsidRPr="00264591">
        <w:rPr>
          <w:rFonts w:eastAsiaTheme="minorEastAsia"/>
          <w:color w:val="000000"/>
          <w:sz w:val="24"/>
        </w:rPr>
        <w:t>-1.19%,</w:t>
      </w:r>
      <w:r w:rsidRPr="00264591">
        <w:rPr>
          <w:rFonts w:eastAsiaTheme="minorEastAsia"/>
          <w:color w:val="000000"/>
          <w:sz w:val="24"/>
        </w:rPr>
        <w:t>广发集安</w:t>
      </w:r>
      <w:r w:rsidRPr="00264591">
        <w:rPr>
          <w:rFonts w:eastAsiaTheme="minorEastAsia"/>
          <w:color w:val="000000"/>
          <w:sz w:val="24"/>
        </w:rPr>
        <w:t>C</w:t>
      </w:r>
      <w:r w:rsidRPr="00264591">
        <w:rPr>
          <w:rFonts w:eastAsiaTheme="minorEastAsia"/>
          <w:color w:val="000000"/>
          <w:sz w:val="24"/>
        </w:rPr>
        <w:t>类净值增长率为</w:t>
      </w:r>
      <w:r w:rsidRPr="00264591">
        <w:rPr>
          <w:rFonts w:eastAsiaTheme="minorEastAsia"/>
          <w:color w:val="000000"/>
          <w:sz w:val="24"/>
        </w:rPr>
        <w:t>-1.20%,</w:t>
      </w:r>
      <w:r w:rsidRPr="00264591">
        <w:rPr>
          <w:rFonts w:eastAsiaTheme="minorEastAsia"/>
          <w:color w:val="000000"/>
          <w:sz w:val="24"/>
        </w:rPr>
        <w:t>同期业绩比较基准收益率为</w:t>
      </w:r>
      <w:r w:rsidRPr="00264591">
        <w:rPr>
          <w:rFonts w:eastAsiaTheme="minorEastAsia"/>
          <w:color w:val="000000"/>
          <w:sz w:val="24"/>
        </w:rPr>
        <w:t>1.76%</w:t>
      </w:r>
    </w:p>
    <w:p w:rsidR="00F55149" w:rsidRPr="00C61B41" w:rsidRDefault="00F55149" w:rsidP="00F55149">
      <w:pPr>
        <w:autoSpaceDE w:val="0"/>
        <w:autoSpaceDN w:val="0"/>
        <w:adjustRightInd w:val="0"/>
        <w:spacing w:line="360" w:lineRule="auto"/>
        <w:jc w:val="left"/>
        <w:rPr>
          <w:rFonts w:asciiTheme="minorEastAsia" w:eastAsiaTheme="minorEastAsia" w:hAnsiTheme="minorEastAsia" w:cs="Arial"/>
          <w:b/>
          <w:color w:val="000000"/>
          <w:kern w:val="0"/>
          <w:sz w:val="24"/>
        </w:rPr>
      </w:pPr>
      <w:r w:rsidRPr="00C61B41">
        <w:rPr>
          <w:rFonts w:asciiTheme="minorEastAsia" w:eastAsiaTheme="minorEastAsia" w:hAnsiTheme="minorEastAsia" w:cs="Arial"/>
          <w:b/>
          <w:color w:val="000000"/>
          <w:kern w:val="0"/>
          <w:sz w:val="24"/>
        </w:rPr>
        <w:t>4</w:t>
      </w:r>
      <w:r>
        <w:rPr>
          <w:rFonts w:asciiTheme="minorEastAsia" w:eastAsiaTheme="minorEastAsia" w:hAnsiTheme="minorEastAsia" w:cs="Arial" w:hint="eastAsia"/>
          <w:b/>
          <w:color w:val="000000"/>
          <w:kern w:val="0"/>
          <w:sz w:val="24"/>
        </w:rPr>
        <w:t>.</w:t>
      </w:r>
      <w:r w:rsidRPr="00C61B41">
        <w:rPr>
          <w:rFonts w:asciiTheme="minorEastAsia" w:eastAsiaTheme="minorEastAsia" w:hAnsiTheme="minorEastAsia" w:cs="Arial" w:hint="eastAsia"/>
          <w:b/>
          <w:color w:val="000000"/>
          <w:kern w:val="0"/>
          <w:sz w:val="24"/>
        </w:rPr>
        <w:t>6</w:t>
      </w:r>
      <w:r w:rsidRPr="004841CF">
        <w:rPr>
          <w:rFonts w:ascii="宋体" w:hAnsi="宋体" w:hint="eastAsia"/>
          <w:b/>
          <w:color w:val="000000"/>
          <w:sz w:val="24"/>
        </w:rPr>
        <w:t>报告期内基金持有人数或基金资产净值预警说明</w:t>
      </w:r>
    </w:p>
    <w:p w:rsidR="00F55149" w:rsidRPr="00CB1AA0" w:rsidRDefault="00F55149" w:rsidP="00F55149">
      <w:pPr>
        <w:spacing w:line="360" w:lineRule="auto"/>
        <w:ind w:firstLineChars="200" w:firstLine="480"/>
        <w:rPr>
          <w:rFonts w:eastAsiaTheme="minorEastAsia"/>
          <w:color w:val="000000"/>
          <w:sz w:val="24"/>
        </w:rPr>
      </w:pPr>
      <w:r w:rsidRPr="00C61B41">
        <w:rPr>
          <w:rFonts w:eastAsiaTheme="minorEastAsia"/>
          <w:color w:val="000000" w:themeColor="text1"/>
          <w:kern w:val="0"/>
          <w:sz w:val="24"/>
        </w:rPr>
        <w:t>本报告期内，本基金存在连续二十个工作日基金资产净值低于五千万的情形。</w:t>
      </w:r>
    </w:p>
    <w:p w:rsidR="008A1539" w:rsidRPr="00CB1AA0" w:rsidRDefault="008A1539" w:rsidP="00CB1AA0">
      <w:pPr>
        <w:spacing w:line="360" w:lineRule="auto"/>
        <w:ind w:firstLineChars="200" w:firstLine="480"/>
        <w:rPr>
          <w:rFonts w:eastAsiaTheme="minorEastAsia"/>
          <w:color w:val="000000"/>
          <w:sz w:val="24"/>
        </w:rPr>
      </w:pPr>
    </w:p>
    <w:p w:rsidR="009238DB" w:rsidRPr="00B75DF8" w:rsidRDefault="009238DB" w:rsidP="00341503">
      <w:pPr>
        <w:pStyle w:val="1"/>
        <w:spacing w:beforeLines="100" w:afterLines="100" w:line="360" w:lineRule="auto"/>
        <w:jc w:val="center"/>
        <w:rPr>
          <w:rFonts w:asciiTheme="minorEastAsia" w:eastAsiaTheme="minorEastAsia" w:hAnsiTheme="minorEastAsia" w:cs="Arial"/>
          <w:color w:val="000000"/>
          <w:kern w:val="0"/>
          <w:sz w:val="24"/>
          <w:szCs w:val="24"/>
        </w:rPr>
      </w:pPr>
      <w:r w:rsidRPr="00B75DF8">
        <w:rPr>
          <w:rFonts w:asciiTheme="minorEastAsia" w:eastAsiaTheme="minorEastAsia" w:hAnsiTheme="minorEastAsia" w:cs="Arial" w:hint="eastAsia"/>
          <w:color w:val="000000"/>
          <w:kern w:val="0"/>
          <w:sz w:val="24"/>
          <w:szCs w:val="24"/>
        </w:rPr>
        <w:t>§</w:t>
      </w:r>
      <w:r w:rsidRPr="00B75DF8">
        <w:rPr>
          <w:rFonts w:asciiTheme="minorEastAsia" w:eastAsiaTheme="minorEastAsia" w:hAnsiTheme="minorEastAsia" w:cs="Arial"/>
          <w:color w:val="000000"/>
          <w:kern w:val="0"/>
          <w:sz w:val="24"/>
          <w:szCs w:val="24"/>
        </w:rPr>
        <w:t xml:space="preserve">5  </w:t>
      </w:r>
      <w:r w:rsidRPr="00B75DF8">
        <w:rPr>
          <w:rFonts w:asciiTheme="minorEastAsia" w:eastAsiaTheme="minorEastAsia" w:hAnsiTheme="minorEastAsia" w:cs="Arial" w:hint="eastAsia"/>
          <w:color w:val="000000"/>
          <w:kern w:val="0"/>
          <w:sz w:val="24"/>
          <w:szCs w:val="24"/>
        </w:rPr>
        <w:t>投资组合报告</w:t>
      </w:r>
    </w:p>
    <w:p w:rsidR="009238DB" w:rsidRPr="00B75DF8" w:rsidRDefault="009238DB" w:rsidP="00FC13C8">
      <w:pPr>
        <w:autoSpaceDE w:val="0"/>
        <w:autoSpaceDN w:val="0"/>
        <w:adjustRightInd w:val="0"/>
        <w:spacing w:line="360" w:lineRule="auto"/>
        <w:jc w:val="left"/>
        <w:rPr>
          <w:rFonts w:asciiTheme="minorEastAsia" w:eastAsiaTheme="minorEastAsia" w:hAnsiTheme="minorEastAsia" w:cs="Arial"/>
          <w:b/>
          <w:color w:val="000000"/>
          <w:kern w:val="0"/>
          <w:sz w:val="24"/>
        </w:rPr>
      </w:pPr>
      <w:r w:rsidRPr="00B75DF8">
        <w:rPr>
          <w:rFonts w:asciiTheme="minorEastAsia" w:eastAsiaTheme="minorEastAsia" w:hAnsiTheme="minorEastAsia" w:cs="Arial"/>
          <w:b/>
          <w:color w:val="000000"/>
          <w:kern w:val="0"/>
          <w:sz w:val="24"/>
        </w:rPr>
        <w:t xml:space="preserve">5.1 </w:t>
      </w:r>
      <w:r w:rsidRPr="00B75DF8">
        <w:rPr>
          <w:rFonts w:asciiTheme="minorEastAsia" w:eastAsiaTheme="minorEastAsia" w:hAnsiTheme="minorEastAsia" w:cs="Arial" w:hint="eastAsia"/>
          <w:b/>
          <w:color w:val="000000"/>
          <w:kern w:val="0"/>
          <w:sz w:val="24"/>
        </w:rPr>
        <w:t>报告期末基金资产组合情况</w:t>
      </w:r>
    </w:p>
    <w:tbl>
      <w:tblPr>
        <w:tblStyle w:val="af2"/>
        <w:tblW w:w="8897" w:type="dxa"/>
        <w:jc w:val="center"/>
        <w:tblLayout w:type="fixed"/>
        <w:tblLook w:val="04A0"/>
      </w:tblPr>
      <w:tblGrid>
        <w:gridCol w:w="720"/>
        <w:gridCol w:w="3357"/>
        <w:gridCol w:w="2977"/>
        <w:gridCol w:w="1843"/>
      </w:tblGrid>
      <w:tr w:rsidR="009A6018" w:rsidRPr="00B75DF8" w:rsidTr="00DD272F">
        <w:trPr>
          <w:jc w:val="center"/>
        </w:trPr>
        <w:tc>
          <w:tcPr>
            <w:tcW w:w="720" w:type="dxa"/>
            <w:vAlign w:val="center"/>
          </w:tcPr>
          <w:p w:rsidR="009A6018" w:rsidRPr="00D32161" w:rsidRDefault="009A6018" w:rsidP="00DD272F">
            <w:pPr>
              <w:spacing w:before="29" w:line="360" w:lineRule="auto"/>
              <w:ind w:left="17"/>
              <w:jc w:val="center"/>
              <w:rPr>
                <w:rFonts w:eastAsiaTheme="minorEastAsia"/>
                <w:color w:val="000000"/>
                <w:sz w:val="24"/>
              </w:rPr>
            </w:pPr>
            <w:r w:rsidRPr="00D32161">
              <w:rPr>
                <w:rFonts w:eastAsiaTheme="minorEastAsia"/>
                <w:color w:val="000000"/>
                <w:sz w:val="24"/>
              </w:rPr>
              <w:t>序号</w:t>
            </w:r>
          </w:p>
        </w:tc>
        <w:tc>
          <w:tcPr>
            <w:tcW w:w="3357" w:type="dxa"/>
            <w:vAlign w:val="center"/>
          </w:tcPr>
          <w:p w:rsidR="009A6018" w:rsidRPr="00D32161" w:rsidRDefault="009A6018" w:rsidP="00DD272F">
            <w:pPr>
              <w:spacing w:before="29" w:line="360" w:lineRule="auto"/>
              <w:ind w:left="17"/>
              <w:jc w:val="center"/>
              <w:rPr>
                <w:rFonts w:eastAsiaTheme="minorEastAsia"/>
                <w:color w:val="000000"/>
                <w:sz w:val="24"/>
              </w:rPr>
            </w:pPr>
            <w:r w:rsidRPr="00D32161">
              <w:rPr>
                <w:rFonts w:eastAsiaTheme="minorEastAsia"/>
                <w:color w:val="000000"/>
                <w:sz w:val="24"/>
              </w:rPr>
              <w:t>项目</w:t>
            </w:r>
          </w:p>
        </w:tc>
        <w:tc>
          <w:tcPr>
            <w:tcW w:w="2977" w:type="dxa"/>
            <w:vAlign w:val="center"/>
          </w:tcPr>
          <w:p w:rsidR="009A6018" w:rsidRPr="00D32161" w:rsidRDefault="009A6018" w:rsidP="00DD272F">
            <w:pPr>
              <w:spacing w:before="29" w:line="360" w:lineRule="auto"/>
              <w:ind w:left="17"/>
              <w:jc w:val="center"/>
              <w:rPr>
                <w:rFonts w:eastAsiaTheme="minorEastAsia"/>
                <w:color w:val="000000"/>
                <w:sz w:val="24"/>
              </w:rPr>
            </w:pPr>
            <w:r w:rsidRPr="00D32161">
              <w:rPr>
                <w:rFonts w:eastAsiaTheme="minorEastAsia"/>
                <w:color w:val="000000"/>
                <w:sz w:val="24"/>
              </w:rPr>
              <w:t>金额</w:t>
            </w:r>
            <w:r w:rsidRPr="00D32161">
              <w:rPr>
                <w:rFonts w:eastAsiaTheme="minorEastAsia"/>
                <w:color w:val="000000"/>
                <w:sz w:val="24"/>
              </w:rPr>
              <w:t>(</w:t>
            </w:r>
            <w:r w:rsidRPr="00D32161">
              <w:rPr>
                <w:rFonts w:eastAsiaTheme="minorEastAsia"/>
                <w:color w:val="000000"/>
                <w:sz w:val="24"/>
              </w:rPr>
              <w:t>元</w:t>
            </w:r>
            <w:r w:rsidRPr="00D32161">
              <w:rPr>
                <w:rFonts w:eastAsiaTheme="minorEastAsia"/>
                <w:color w:val="000000"/>
                <w:sz w:val="24"/>
              </w:rPr>
              <w:t>)</w:t>
            </w:r>
          </w:p>
        </w:tc>
        <w:tc>
          <w:tcPr>
            <w:tcW w:w="1843" w:type="dxa"/>
            <w:vAlign w:val="center"/>
          </w:tcPr>
          <w:p w:rsidR="009A6018" w:rsidRPr="00D32161" w:rsidRDefault="009A6018" w:rsidP="00DD272F">
            <w:pPr>
              <w:spacing w:before="29" w:line="360" w:lineRule="auto"/>
              <w:ind w:left="17"/>
              <w:jc w:val="center"/>
              <w:rPr>
                <w:rFonts w:eastAsiaTheme="minorEastAsia"/>
                <w:color w:val="000000"/>
                <w:sz w:val="24"/>
              </w:rPr>
            </w:pPr>
            <w:r w:rsidRPr="00D32161">
              <w:rPr>
                <w:rFonts w:eastAsiaTheme="minorEastAsia"/>
                <w:color w:val="000000"/>
                <w:sz w:val="24"/>
              </w:rPr>
              <w:t>占基金总资产的比例</w:t>
            </w:r>
            <w:r w:rsidRPr="00D32161">
              <w:rPr>
                <w:rFonts w:eastAsiaTheme="minorEastAsia"/>
                <w:color w:val="000000"/>
                <w:sz w:val="24"/>
              </w:rPr>
              <w:t>(%)</w:t>
            </w:r>
          </w:p>
        </w:tc>
      </w:tr>
      <w:tr w:rsidR="009A6018" w:rsidRPr="00B75DF8" w:rsidTr="003F7026">
        <w:trPr>
          <w:jc w:val="center"/>
        </w:trPr>
        <w:tc>
          <w:tcPr>
            <w:tcW w:w="720" w:type="dxa"/>
            <w:vAlign w:val="center"/>
          </w:tcPr>
          <w:p w:rsidR="009A6018" w:rsidRPr="00D32161" w:rsidRDefault="009A6018" w:rsidP="00DD272F">
            <w:pPr>
              <w:spacing w:before="29" w:line="360" w:lineRule="auto"/>
              <w:ind w:left="17"/>
              <w:jc w:val="center"/>
              <w:rPr>
                <w:rFonts w:eastAsiaTheme="minorEastAsia"/>
                <w:color w:val="000000"/>
                <w:sz w:val="24"/>
              </w:rPr>
            </w:pPr>
            <w:r w:rsidRPr="00D32161">
              <w:rPr>
                <w:rFonts w:eastAsiaTheme="minorEastAsia"/>
                <w:color w:val="000000"/>
                <w:sz w:val="24"/>
              </w:rPr>
              <w:t>1</w:t>
            </w:r>
          </w:p>
        </w:tc>
        <w:tc>
          <w:tcPr>
            <w:tcW w:w="3357" w:type="dxa"/>
            <w:vAlign w:val="center"/>
          </w:tcPr>
          <w:p w:rsidR="009A6018" w:rsidRPr="00D32161" w:rsidRDefault="009A6018" w:rsidP="00DD272F">
            <w:pPr>
              <w:spacing w:before="29" w:line="360" w:lineRule="auto"/>
              <w:ind w:left="17"/>
              <w:jc w:val="left"/>
              <w:rPr>
                <w:rFonts w:eastAsiaTheme="minorEastAsia"/>
                <w:sz w:val="24"/>
              </w:rPr>
            </w:pPr>
            <w:r w:rsidRPr="00D32161">
              <w:rPr>
                <w:rFonts w:eastAsiaTheme="minorEastAsia"/>
                <w:color w:val="000000"/>
                <w:sz w:val="24"/>
              </w:rPr>
              <w:t>权益投资</w:t>
            </w:r>
          </w:p>
        </w:tc>
        <w:tc>
          <w:tcPr>
            <w:tcW w:w="2977" w:type="dxa"/>
            <w:vAlign w:val="center"/>
          </w:tcPr>
          <w:p w:rsidR="009A6018" w:rsidRPr="00D32161" w:rsidRDefault="009A6018" w:rsidP="003F7026">
            <w:pPr>
              <w:spacing w:before="29" w:line="360" w:lineRule="auto"/>
              <w:ind w:left="17"/>
              <w:jc w:val="right"/>
              <w:rPr>
                <w:rFonts w:eastAsiaTheme="minorEastAsia"/>
                <w:color w:val="000000"/>
                <w:sz w:val="24"/>
              </w:rPr>
            </w:pPr>
            <w:r w:rsidRPr="00D32161">
              <w:rPr>
                <w:rFonts w:eastAsiaTheme="minorEastAsia"/>
                <w:color w:val="000000"/>
                <w:sz w:val="24"/>
              </w:rPr>
              <w:t>-</w:t>
            </w:r>
          </w:p>
        </w:tc>
        <w:tc>
          <w:tcPr>
            <w:tcW w:w="1843" w:type="dxa"/>
            <w:vAlign w:val="center"/>
          </w:tcPr>
          <w:p w:rsidR="009A6018" w:rsidRPr="00D32161" w:rsidRDefault="009A6018" w:rsidP="003F7026">
            <w:pPr>
              <w:spacing w:before="29" w:line="360" w:lineRule="auto"/>
              <w:ind w:left="17"/>
              <w:jc w:val="right"/>
              <w:rPr>
                <w:rFonts w:eastAsiaTheme="minorEastAsia"/>
                <w:color w:val="000000"/>
                <w:sz w:val="24"/>
              </w:rPr>
            </w:pPr>
            <w:r w:rsidRPr="00D32161">
              <w:rPr>
                <w:rFonts w:eastAsiaTheme="minorEastAsia"/>
                <w:color w:val="000000"/>
                <w:sz w:val="24"/>
              </w:rPr>
              <w:t>-</w:t>
            </w:r>
          </w:p>
        </w:tc>
      </w:tr>
      <w:tr w:rsidR="009A6018" w:rsidRPr="00B75DF8" w:rsidTr="003F7026">
        <w:trPr>
          <w:jc w:val="center"/>
        </w:trPr>
        <w:tc>
          <w:tcPr>
            <w:tcW w:w="720" w:type="dxa"/>
            <w:vAlign w:val="center"/>
          </w:tcPr>
          <w:p w:rsidR="009A6018" w:rsidRPr="00D32161" w:rsidRDefault="009A6018" w:rsidP="00DD272F">
            <w:pPr>
              <w:spacing w:before="29" w:line="360" w:lineRule="auto"/>
              <w:ind w:left="17"/>
              <w:jc w:val="center"/>
              <w:rPr>
                <w:rFonts w:eastAsiaTheme="minorEastAsia"/>
                <w:color w:val="000000"/>
                <w:sz w:val="24"/>
              </w:rPr>
            </w:pPr>
          </w:p>
        </w:tc>
        <w:tc>
          <w:tcPr>
            <w:tcW w:w="3357" w:type="dxa"/>
            <w:vAlign w:val="center"/>
          </w:tcPr>
          <w:p w:rsidR="009A6018" w:rsidRPr="00D32161" w:rsidRDefault="009A6018" w:rsidP="00DD272F">
            <w:pPr>
              <w:spacing w:before="29" w:line="360" w:lineRule="auto"/>
              <w:ind w:left="17"/>
              <w:jc w:val="left"/>
              <w:rPr>
                <w:rFonts w:eastAsiaTheme="minorEastAsia"/>
                <w:sz w:val="24"/>
              </w:rPr>
            </w:pPr>
            <w:r w:rsidRPr="00D32161">
              <w:rPr>
                <w:rFonts w:eastAsiaTheme="minorEastAsia"/>
                <w:color w:val="000000"/>
                <w:sz w:val="24"/>
              </w:rPr>
              <w:t>其中：股票</w:t>
            </w:r>
          </w:p>
        </w:tc>
        <w:tc>
          <w:tcPr>
            <w:tcW w:w="2977" w:type="dxa"/>
            <w:vAlign w:val="center"/>
          </w:tcPr>
          <w:p w:rsidR="009A6018" w:rsidRPr="00D32161" w:rsidRDefault="009A6018" w:rsidP="003F7026">
            <w:pPr>
              <w:spacing w:before="29" w:line="360" w:lineRule="auto"/>
              <w:ind w:left="17"/>
              <w:jc w:val="right"/>
              <w:rPr>
                <w:rFonts w:eastAsiaTheme="minorEastAsia"/>
                <w:color w:val="000000"/>
                <w:sz w:val="24"/>
              </w:rPr>
            </w:pPr>
            <w:r w:rsidRPr="00D32161">
              <w:rPr>
                <w:rFonts w:eastAsiaTheme="minorEastAsia"/>
                <w:color w:val="000000"/>
                <w:sz w:val="24"/>
              </w:rPr>
              <w:t>-</w:t>
            </w:r>
          </w:p>
        </w:tc>
        <w:tc>
          <w:tcPr>
            <w:tcW w:w="1843" w:type="dxa"/>
            <w:vAlign w:val="center"/>
          </w:tcPr>
          <w:p w:rsidR="009A6018" w:rsidRPr="00D32161" w:rsidRDefault="009A6018" w:rsidP="003F7026">
            <w:pPr>
              <w:spacing w:before="29" w:line="360" w:lineRule="auto"/>
              <w:ind w:left="17"/>
              <w:jc w:val="right"/>
              <w:rPr>
                <w:rFonts w:eastAsiaTheme="minorEastAsia"/>
                <w:color w:val="000000"/>
                <w:sz w:val="24"/>
              </w:rPr>
            </w:pPr>
            <w:r w:rsidRPr="00D32161">
              <w:rPr>
                <w:rFonts w:eastAsiaTheme="minorEastAsia"/>
                <w:color w:val="000000"/>
                <w:sz w:val="24"/>
              </w:rPr>
              <w:t>-</w:t>
            </w:r>
          </w:p>
        </w:tc>
      </w:tr>
      <w:tr w:rsidR="009A6018" w:rsidRPr="00B75DF8" w:rsidTr="003F7026">
        <w:trPr>
          <w:jc w:val="center"/>
        </w:trPr>
        <w:tc>
          <w:tcPr>
            <w:tcW w:w="720" w:type="dxa"/>
            <w:vAlign w:val="center"/>
          </w:tcPr>
          <w:p w:rsidR="009A6018" w:rsidRPr="00D32161" w:rsidRDefault="009A6018" w:rsidP="00DD272F">
            <w:pPr>
              <w:spacing w:before="29" w:line="360" w:lineRule="auto"/>
              <w:ind w:left="17"/>
              <w:jc w:val="center"/>
              <w:rPr>
                <w:rFonts w:eastAsiaTheme="minorEastAsia"/>
                <w:color w:val="000000"/>
                <w:sz w:val="24"/>
              </w:rPr>
            </w:pPr>
            <w:r w:rsidRPr="00D32161">
              <w:rPr>
                <w:rFonts w:eastAsiaTheme="minorEastAsia"/>
                <w:color w:val="000000"/>
                <w:sz w:val="24"/>
              </w:rPr>
              <w:t>2</w:t>
            </w:r>
          </w:p>
        </w:tc>
        <w:tc>
          <w:tcPr>
            <w:tcW w:w="3357" w:type="dxa"/>
            <w:vAlign w:val="center"/>
          </w:tcPr>
          <w:p w:rsidR="009A6018" w:rsidRPr="00D32161" w:rsidRDefault="009A6018" w:rsidP="00DD272F">
            <w:pPr>
              <w:spacing w:before="29" w:line="360" w:lineRule="auto"/>
              <w:ind w:left="17"/>
              <w:jc w:val="left"/>
              <w:rPr>
                <w:rFonts w:eastAsiaTheme="minorEastAsia"/>
                <w:sz w:val="24"/>
              </w:rPr>
            </w:pPr>
            <w:r w:rsidRPr="00D32161">
              <w:rPr>
                <w:rFonts w:eastAsiaTheme="minorEastAsia"/>
                <w:color w:val="000000"/>
                <w:sz w:val="24"/>
              </w:rPr>
              <w:t>固定收益投资</w:t>
            </w:r>
          </w:p>
        </w:tc>
        <w:tc>
          <w:tcPr>
            <w:tcW w:w="2977" w:type="dxa"/>
            <w:vAlign w:val="center"/>
          </w:tcPr>
          <w:p w:rsidR="009A6018" w:rsidRPr="00D32161" w:rsidRDefault="009A6018" w:rsidP="003F7026">
            <w:pPr>
              <w:spacing w:before="29" w:line="360" w:lineRule="auto"/>
              <w:ind w:left="17"/>
              <w:jc w:val="right"/>
              <w:rPr>
                <w:rFonts w:eastAsiaTheme="minorEastAsia"/>
                <w:color w:val="000000"/>
                <w:sz w:val="24"/>
              </w:rPr>
            </w:pPr>
            <w:r w:rsidRPr="00D32161">
              <w:rPr>
                <w:rFonts w:eastAsiaTheme="minorEastAsia"/>
                <w:color w:val="000000"/>
                <w:sz w:val="24"/>
              </w:rPr>
              <w:t>-</w:t>
            </w:r>
          </w:p>
        </w:tc>
        <w:tc>
          <w:tcPr>
            <w:tcW w:w="1843" w:type="dxa"/>
            <w:vAlign w:val="center"/>
          </w:tcPr>
          <w:p w:rsidR="009A6018" w:rsidRPr="00D32161" w:rsidRDefault="009A6018" w:rsidP="003F7026">
            <w:pPr>
              <w:spacing w:before="29" w:line="360" w:lineRule="auto"/>
              <w:ind w:left="17"/>
              <w:jc w:val="right"/>
              <w:rPr>
                <w:rFonts w:eastAsiaTheme="minorEastAsia"/>
                <w:color w:val="000000"/>
                <w:sz w:val="24"/>
              </w:rPr>
            </w:pPr>
            <w:r w:rsidRPr="00D32161">
              <w:rPr>
                <w:rFonts w:eastAsiaTheme="minorEastAsia"/>
                <w:color w:val="000000"/>
                <w:sz w:val="24"/>
              </w:rPr>
              <w:t>-</w:t>
            </w:r>
          </w:p>
        </w:tc>
      </w:tr>
      <w:tr w:rsidR="009A6018" w:rsidRPr="00B75DF8" w:rsidTr="003F7026">
        <w:trPr>
          <w:jc w:val="center"/>
        </w:trPr>
        <w:tc>
          <w:tcPr>
            <w:tcW w:w="720" w:type="dxa"/>
            <w:vAlign w:val="center"/>
          </w:tcPr>
          <w:p w:rsidR="009A6018" w:rsidRPr="00D32161" w:rsidRDefault="009A6018" w:rsidP="00DD272F">
            <w:pPr>
              <w:spacing w:before="29" w:line="360" w:lineRule="auto"/>
              <w:ind w:left="17"/>
              <w:jc w:val="center"/>
              <w:rPr>
                <w:rFonts w:eastAsiaTheme="minorEastAsia"/>
                <w:color w:val="000000"/>
                <w:sz w:val="24"/>
              </w:rPr>
            </w:pPr>
          </w:p>
        </w:tc>
        <w:tc>
          <w:tcPr>
            <w:tcW w:w="3357" w:type="dxa"/>
            <w:vAlign w:val="center"/>
          </w:tcPr>
          <w:p w:rsidR="009A6018" w:rsidRPr="00D32161" w:rsidRDefault="009A6018" w:rsidP="00DD272F">
            <w:pPr>
              <w:spacing w:before="29" w:line="360" w:lineRule="auto"/>
              <w:ind w:left="17"/>
              <w:jc w:val="left"/>
              <w:rPr>
                <w:rFonts w:eastAsiaTheme="minorEastAsia"/>
                <w:sz w:val="24"/>
              </w:rPr>
            </w:pPr>
            <w:r w:rsidRPr="00D32161">
              <w:rPr>
                <w:rFonts w:eastAsiaTheme="minorEastAsia"/>
                <w:color w:val="000000"/>
                <w:sz w:val="24"/>
              </w:rPr>
              <w:t>其中：债券</w:t>
            </w:r>
          </w:p>
        </w:tc>
        <w:tc>
          <w:tcPr>
            <w:tcW w:w="2977" w:type="dxa"/>
            <w:vAlign w:val="center"/>
          </w:tcPr>
          <w:p w:rsidR="009A6018" w:rsidRPr="00D32161" w:rsidRDefault="009A6018" w:rsidP="003F7026">
            <w:pPr>
              <w:spacing w:before="29" w:line="360" w:lineRule="auto"/>
              <w:ind w:left="17"/>
              <w:jc w:val="right"/>
              <w:rPr>
                <w:rFonts w:eastAsiaTheme="minorEastAsia"/>
                <w:color w:val="000000"/>
                <w:sz w:val="24"/>
              </w:rPr>
            </w:pPr>
            <w:r w:rsidRPr="00D32161">
              <w:rPr>
                <w:rFonts w:eastAsiaTheme="minorEastAsia"/>
                <w:color w:val="000000"/>
                <w:sz w:val="24"/>
              </w:rPr>
              <w:t>-</w:t>
            </w:r>
          </w:p>
        </w:tc>
        <w:tc>
          <w:tcPr>
            <w:tcW w:w="1843" w:type="dxa"/>
            <w:vAlign w:val="center"/>
          </w:tcPr>
          <w:p w:rsidR="009A6018" w:rsidRPr="00D32161" w:rsidRDefault="009A6018" w:rsidP="003F7026">
            <w:pPr>
              <w:spacing w:before="29" w:line="360" w:lineRule="auto"/>
              <w:ind w:left="17"/>
              <w:jc w:val="right"/>
              <w:rPr>
                <w:rFonts w:eastAsiaTheme="minorEastAsia"/>
                <w:color w:val="000000"/>
                <w:sz w:val="24"/>
              </w:rPr>
            </w:pPr>
            <w:r w:rsidRPr="00D32161">
              <w:rPr>
                <w:rFonts w:eastAsiaTheme="minorEastAsia"/>
                <w:color w:val="000000"/>
                <w:sz w:val="24"/>
              </w:rPr>
              <w:t>-</w:t>
            </w:r>
          </w:p>
        </w:tc>
      </w:tr>
      <w:tr w:rsidR="009A6018" w:rsidRPr="00B75DF8" w:rsidTr="003F7026">
        <w:trPr>
          <w:jc w:val="center"/>
        </w:trPr>
        <w:tc>
          <w:tcPr>
            <w:tcW w:w="720" w:type="dxa"/>
            <w:vAlign w:val="center"/>
          </w:tcPr>
          <w:p w:rsidR="009A6018" w:rsidRPr="00D32161" w:rsidRDefault="009A6018" w:rsidP="00DD272F">
            <w:pPr>
              <w:spacing w:before="29" w:line="360" w:lineRule="auto"/>
              <w:ind w:left="17"/>
              <w:jc w:val="center"/>
              <w:rPr>
                <w:rFonts w:eastAsiaTheme="minorEastAsia"/>
                <w:color w:val="000000"/>
                <w:sz w:val="24"/>
              </w:rPr>
            </w:pPr>
          </w:p>
        </w:tc>
        <w:tc>
          <w:tcPr>
            <w:tcW w:w="3357" w:type="dxa"/>
            <w:vAlign w:val="center"/>
          </w:tcPr>
          <w:p w:rsidR="009A6018" w:rsidRPr="00D32161" w:rsidRDefault="009A6018" w:rsidP="00DD272F">
            <w:pPr>
              <w:autoSpaceDE w:val="0"/>
              <w:autoSpaceDN w:val="0"/>
              <w:adjustRightInd w:val="0"/>
              <w:spacing w:before="29" w:line="360" w:lineRule="auto"/>
              <w:ind w:left="17"/>
              <w:jc w:val="left"/>
              <w:rPr>
                <w:rFonts w:eastAsiaTheme="minorEastAsia"/>
                <w:color w:val="000000"/>
                <w:sz w:val="24"/>
              </w:rPr>
            </w:pPr>
            <w:r w:rsidRPr="00D32161">
              <w:rPr>
                <w:rFonts w:eastAsiaTheme="minorEastAsia"/>
                <w:color w:val="000000"/>
                <w:sz w:val="24"/>
              </w:rPr>
              <w:t>资产支持证券</w:t>
            </w:r>
          </w:p>
        </w:tc>
        <w:tc>
          <w:tcPr>
            <w:tcW w:w="2977" w:type="dxa"/>
            <w:vAlign w:val="center"/>
          </w:tcPr>
          <w:p w:rsidR="009A6018" w:rsidRPr="00D32161" w:rsidRDefault="009A6018" w:rsidP="003F7026">
            <w:pPr>
              <w:spacing w:before="29" w:line="360" w:lineRule="auto"/>
              <w:ind w:left="17"/>
              <w:jc w:val="right"/>
              <w:rPr>
                <w:rFonts w:eastAsiaTheme="minorEastAsia"/>
                <w:color w:val="000000"/>
                <w:sz w:val="24"/>
              </w:rPr>
            </w:pPr>
            <w:r w:rsidRPr="00D32161">
              <w:rPr>
                <w:rFonts w:eastAsiaTheme="minorEastAsia"/>
                <w:color w:val="000000"/>
                <w:sz w:val="24"/>
              </w:rPr>
              <w:t>-</w:t>
            </w:r>
          </w:p>
        </w:tc>
        <w:tc>
          <w:tcPr>
            <w:tcW w:w="1843" w:type="dxa"/>
            <w:vAlign w:val="center"/>
          </w:tcPr>
          <w:p w:rsidR="009A6018" w:rsidRPr="00D32161" w:rsidRDefault="009A6018" w:rsidP="003F7026">
            <w:pPr>
              <w:spacing w:before="29" w:line="360" w:lineRule="auto"/>
              <w:ind w:left="17"/>
              <w:jc w:val="right"/>
              <w:rPr>
                <w:rFonts w:eastAsiaTheme="minorEastAsia"/>
                <w:color w:val="000000"/>
                <w:sz w:val="24"/>
              </w:rPr>
            </w:pPr>
            <w:r w:rsidRPr="00D32161">
              <w:rPr>
                <w:rFonts w:eastAsiaTheme="minorEastAsia"/>
                <w:color w:val="000000"/>
                <w:sz w:val="24"/>
              </w:rPr>
              <w:t>-</w:t>
            </w:r>
          </w:p>
        </w:tc>
      </w:tr>
      <w:tr w:rsidR="009A6018" w:rsidRPr="00B75DF8" w:rsidTr="003F7026">
        <w:trPr>
          <w:jc w:val="center"/>
        </w:trPr>
        <w:tc>
          <w:tcPr>
            <w:tcW w:w="720" w:type="dxa"/>
          </w:tcPr>
          <w:p w:rsidR="009A6018" w:rsidRPr="00D32161" w:rsidRDefault="009A6018" w:rsidP="00DD272F">
            <w:pPr>
              <w:spacing w:before="29" w:line="360" w:lineRule="auto"/>
              <w:ind w:left="17"/>
              <w:jc w:val="center"/>
              <w:rPr>
                <w:rFonts w:eastAsiaTheme="minorEastAsia"/>
                <w:color w:val="000000"/>
                <w:sz w:val="24"/>
              </w:rPr>
            </w:pPr>
            <w:r w:rsidRPr="00D32161">
              <w:rPr>
                <w:rFonts w:eastAsiaTheme="minorEastAsia"/>
                <w:color w:val="000000"/>
                <w:sz w:val="24"/>
              </w:rPr>
              <w:t>3</w:t>
            </w:r>
          </w:p>
        </w:tc>
        <w:tc>
          <w:tcPr>
            <w:tcW w:w="3357" w:type="dxa"/>
          </w:tcPr>
          <w:p w:rsidR="009A6018" w:rsidRPr="00D32161" w:rsidRDefault="009A6018" w:rsidP="00DD272F">
            <w:pPr>
              <w:spacing w:before="29" w:line="360" w:lineRule="auto"/>
              <w:ind w:leftChars="50" w:left="105"/>
              <w:rPr>
                <w:rFonts w:eastAsiaTheme="minorEastAsia"/>
                <w:color w:val="000000"/>
                <w:sz w:val="24"/>
              </w:rPr>
            </w:pPr>
            <w:r w:rsidRPr="00D32161">
              <w:rPr>
                <w:rFonts w:eastAsiaTheme="minorEastAsia"/>
                <w:color w:val="000000"/>
                <w:sz w:val="24"/>
              </w:rPr>
              <w:t>贵金属投资</w:t>
            </w:r>
          </w:p>
        </w:tc>
        <w:tc>
          <w:tcPr>
            <w:tcW w:w="2977" w:type="dxa"/>
            <w:vAlign w:val="center"/>
          </w:tcPr>
          <w:p w:rsidR="009A6018" w:rsidRPr="00D32161" w:rsidRDefault="009A6018" w:rsidP="003F7026">
            <w:pPr>
              <w:spacing w:before="29" w:line="360" w:lineRule="auto"/>
              <w:ind w:left="17"/>
              <w:jc w:val="right"/>
              <w:rPr>
                <w:rFonts w:eastAsiaTheme="minorEastAsia"/>
                <w:color w:val="000000"/>
                <w:sz w:val="24"/>
              </w:rPr>
            </w:pPr>
            <w:r w:rsidRPr="00D32161">
              <w:rPr>
                <w:rFonts w:eastAsiaTheme="minorEastAsia"/>
                <w:color w:val="000000"/>
                <w:sz w:val="24"/>
              </w:rPr>
              <w:t>-</w:t>
            </w:r>
          </w:p>
        </w:tc>
        <w:tc>
          <w:tcPr>
            <w:tcW w:w="1843" w:type="dxa"/>
            <w:vAlign w:val="center"/>
          </w:tcPr>
          <w:p w:rsidR="009A6018" w:rsidRPr="00D32161" w:rsidRDefault="009A6018" w:rsidP="003F7026">
            <w:pPr>
              <w:spacing w:before="29" w:line="360" w:lineRule="auto"/>
              <w:ind w:left="17"/>
              <w:jc w:val="right"/>
              <w:rPr>
                <w:rFonts w:eastAsiaTheme="minorEastAsia"/>
                <w:color w:val="000000"/>
                <w:sz w:val="24"/>
              </w:rPr>
            </w:pPr>
            <w:r w:rsidRPr="00D32161">
              <w:rPr>
                <w:rFonts w:eastAsiaTheme="minorEastAsia"/>
                <w:color w:val="000000"/>
                <w:sz w:val="24"/>
              </w:rPr>
              <w:t>-</w:t>
            </w:r>
          </w:p>
        </w:tc>
      </w:tr>
      <w:tr w:rsidR="009A6018" w:rsidRPr="00B75DF8" w:rsidTr="003F7026">
        <w:trPr>
          <w:jc w:val="center"/>
        </w:trPr>
        <w:tc>
          <w:tcPr>
            <w:tcW w:w="720" w:type="dxa"/>
            <w:vAlign w:val="center"/>
          </w:tcPr>
          <w:p w:rsidR="009A6018" w:rsidRPr="00D32161" w:rsidRDefault="009A6018" w:rsidP="00DD272F">
            <w:pPr>
              <w:spacing w:before="29" w:line="360" w:lineRule="auto"/>
              <w:ind w:left="17"/>
              <w:jc w:val="center"/>
              <w:rPr>
                <w:rFonts w:eastAsiaTheme="minorEastAsia"/>
                <w:color w:val="000000"/>
                <w:sz w:val="24"/>
              </w:rPr>
            </w:pPr>
            <w:r w:rsidRPr="00D32161">
              <w:rPr>
                <w:rFonts w:eastAsiaTheme="minorEastAsia"/>
                <w:color w:val="000000"/>
                <w:sz w:val="24"/>
              </w:rPr>
              <w:t>4</w:t>
            </w:r>
          </w:p>
        </w:tc>
        <w:tc>
          <w:tcPr>
            <w:tcW w:w="3357" w:type="dxa"/>
            <w:vAlign w:val="center"/>
          </w:tcPr>
          <w:p w:rsidR="009A6018" w:rsidRPr="00D32161" w:rsidRDefault="009A6018" w:rsidP="00DD272F">
            <w:pPr>
              <w:spacing w:before="29" w:line="360" w:lineRule="auto"/>
              <w:ind w:left="17"/>
              <w:jc w:val="left"/>
              <w:rPr>
                <w:rFonts w:eastAsiaTheme="minorEastAsia"/>
                <w:color w:val="000000"/>
                <w:sz w:val="24"/>
              </w:rPr>
            </w:pPr>
            <w:r w:rsidRPr="00D32161">
              <w:rPr>
                <w:rFonts w:eastAsiaTheme="minorEastAsia"/>
                <w:color w:val="000000"/>
                <w:sz w:val="24"/>
              </w:rPr>
              <w:t>金融衍生品投资</w:t>
            </w:r>
          </w:p>
        </w:tc>
        <w:tc>
          <w:tcPr>
            <w:tcW w:w="2977" w:type="dxa"/>
            <w:vAlign w:val="center"/>
          </w:tcPr>
          <w:p w:rsidR="009A6018" w:rsidRPr="00D32161" w:rsidRDefault="009A6018" w:rsidP="003F7026">
            <w:pPr>
              <w:spacing w:before="29" w:line="360" w:lineRule="auto"/>
              <w:ind w:left="17"/>
              <w:jc w:val="right"/>
              <w:rPr>
                <w:rFonts w:eastAsiaTheme="minorEastAsia"/>
                <w:color w:val="000000"/>
                <w:sz w:val="24"/>
              </w:rPr>
            </w:pPr>
            <w:r w:rsidRPr="00D32161">
              <w:rPr>
                <w:rFonts w:eastAsiaTheme="minorEastAsia"/>
                <w:color w:val="000000"/>
                <w:sz w:val="24"/>
              </w:rPr>
              <w:t>-</w:t>
            </w:r>
          </w:p>
        </w:tc>
        <w:tc>
          <w:tcPr>
            <w:tcW w:w="1843" w:type="dxa"/>
            <w:vAlign w:val="center"/>
          </w:tcPr>
          <w:p w:rsidR="009A6018" w:rsidRPr="00D32161" w:rsidRDefault="009A6018" w:rsidP="003F7026">
            <w:pPr>
              <w:spacing w:before="29" w:line="360" w:lineRule="auto"/>
              <w:ind w:left="17"/>
              <w:jc w:val="right"/>
              <w:rPr>
                <w:rFonts w:eastAsiaTheme="minorEastAsia"/>
                <w:color w:val="000000"/>
                <w:sz w:val="24"/>
              </w:rPr>
            </w:pPr>
            <w:r w:rsidRPr="00D32161">
              <w:rPr>
                <w:rFonts w:eastAsiaTheme="minorEastAsia"/>
                <w:color w:val="000000"/>
                <w:sz w:val="24"/>
              </w:rPr>
              <w:t>-</w:t>
            </w:r>
          </w:p>
        </w:tc>
      </w:tr>
      <w:tr w:rsidR="009A6018" w:rsidRPr="00B75DF8" w:rsidTr="003F7026">
        <w:trPr>
          <w:jc w:val="center"/>
        </w:trPr>
        <w:tc>
          <w:tcPr>
            <w:tcW w:w="720" w:type="dxa"/>
            <w:vAlign w:val="center"/>
          </w:tcPr>
          <w:p w:rsidR="009A6018" w:rsidRPr="00D32161" w:rsidRDefault="009A6018" w:rsidP="00DD272F">
            <w:pPr>
              <w:spacing w:before="29" w:line="360" w:lineRule="auto"/>
              <w:ind w:left="17"/>
              <w:jc w:val="center"/>
              <w:rPr>
                <w:rFonts w:eastAsiaTheme="minorEastAsia"/>
                <w:color w:val="000000"/>
                <w:sz w:val="24"/>
              </w:rPr>
            </w:pPr>
            <w:r w:rsidRPr="00D32161">
              <w:rPr>
                <w:rFonts w:eastAsiaTheme="minorEastAsia"/>
                <w:color w:val="000000"/>
                <w:sz w:val="24"/>
              </w:rPr>
              <w:t>5</w:t>
            </w:r>
          </w:p>
        </w:tc>
        <w:tc>
          <w:tcPr>
            <w:tcW w:w="3357" w:type="dxa"/>
            <w:vAlign w:val="center"/>
          </w:tcPr>
          <w:p w:rsidR="009A6018" w:rsidRPr="00D32161" w:rsidRDefault="009A6018" w:rsidP="00DD272F">
            <w:pPr>
              <w:spacing w:before="29" w:line="360" w:lineRule="auto"/>
              <w:ind w:left="17"/>
              <w:jc w:val="left"/>
              <w:rPr>
                <w:rFonts w:eastAsiaTheme="minorEastAsia"/>
                <w:sz w:val="24"/>
              </w:rPr>
            </w:pPr>
            <w:r w:rsidRPr="00D32161">
              <w:rPr>
                <w:rFonts w:eastAsiaTheme="minorEastAsia"/>
                <w:color w:val="000000"/>
                <w:sz w:val="24"/>
              </w:rPr>
              <w:t>买入返售金融资产</w:t>
            </w:r>
          </w:p>
        </w:tc>
        <w:tc>
          <w:tcPr>
            <w:tcW w:w="2977" w:type="dxa"/>
            <w:vAlign w:val="center"/>
          </w:tcPr>
          <w:p w:rsidR="009A6018" w:rsidRPr="00D32161" w:rsidRDefault="009A6018" w:rsidP="003F7026">
            <w:pPr>
              <w:spacing w:before="29" w:line="360" w:lineRule="auto"/>
              <w:ind w:left="17"/>
              <w:jc w:val="right"/>
              <w:rPr>
                <w:rFonts w:eastAsiaTheme="minorEastAsia"/>
                <w:color w:val="000000"/>
                <w:sz w:val="24"/>
              </w:rPr>
            </w:pPr>
            <w:r w:rsidRPr="00D32161">
              <w:rPr>
                <w:rFonts w:eastAsiaTheme="minorEastAsia"/>
                <w:color w:val="000000"/>
                <w:sz w:val="24"/>
              </w:rPr>
              <w:t>-</w:t>
            </w:r>
          </w:p>
        </w:tc>
        <w:tc>
          <w:tcPr>
            <w:tcW w:w="1843" w:type="dxa"/>
            <w:vAlign w:val="center"/>
          </w:tcPr>
          <w:p w:rsidR="009A6018" w:rsidRPr="00D32161" w:rsidRDefault="009A6018" w:rsidP="003F7026">
            <w:pPr>
              <w:spacing w:before="29" w:line="360" w:lineRule="auto"/>
              <w:ind w:left="17"/>
              <w:jc w:val="right"/>
              <w:rPr>
                <w:rFonts w:eastAsiaTheme="minorEastAsia"/>
                <w:color w:val="000000"/>
                <w:sz w:val="24"/>
              </w:rPr>
            </w:pPr>
            <w:r w:rsidRPr="00D32161">
              <w:rPr>
                <w:rFonts w:eastAsiaTheme="minorEastAsia"/>
                <w:color w:val="000000"/>
                <w:sz w:val="24"/>
              </w:rPr>
              <w:t>-</w:t>
            </w:r>
          </w:p>
        </w:tc>
      </w:tr>
      <w:tr w:rsidR="009A6018" w:rsidRPr="00B75DF8" w:rsidTr="003F7026">
        <w:trPr>
          <w:jc w:val="center"/>
        </w:trPr>
        <w:tc>
          <w:tcPr>
            <w:tcW w:w="720" w:type="dxa"/>
            <w:vAlign w:val="center"/>
          </w:tcPr>
          <w:p w:rsidR="009A6018" w:rsidRPr="00D32161" w:rsidRDefault="009A6018" w:rsidP="00DD272F">
            <w:pPr>
              <w:spacing w:before="29" w:line="360" w:lineRule="auto"/>
              <w:ind w:left="17"/>
              <w:jc w:val="center"/>
              <w:rPr>
                <w:rFonts w:eastAsiaTheme="minorEastAsia"/>
                <w:color w:val="000000"/>
                <w:sz w:val="24"/>
              </w:rPr>
            </w:pPr>
          </w:p>
        </w:tc>
        <w:tc>
          <w:tcPr>
            <w:tcW w:w="3357" w:type="dxa"/>
            <w:vAlign w:val="center"/>
          </w:tcPr>
          <w:p w:rsidR="009A6018" w:rsidRPr="00D32161" w:rsidRDefault="009A6018" w:rsidP="00DD272F">
            <w:pPr>
              <w:spacing w:before="29" w:line="360" w:lineRule="auto"/>
              <w:ind w:left="17"/>
              <w:jc w:val="left"/>
              <w:rPr>
                <w:rFonts w:eastAsiaTheme="minorEastAsia"/>
                <w:sz w:val="24"/>
              </w:rPr>
            </w:pPr>
            <w:r w:rsidRPr="00D32161">
              <w:rPr>
                <w:rFonts w:eastAsiaTheme="minorEastAsia"/>
                <w:color w:val="000000"/>
                <w:sz w:val="24"/>
              </w:rPr>
              <w:t>其中：买断式回购的买入返售金融资产</w:t>
            </w:r>
          </w:p>
        </w:tc>
        <w:tc>
          <w:tcPr>
            <w:tcW w:w="2977" w:type="dxa"/>
            <w:vAlign w:val="center"/>
          </w:tcPr>
          <w:p w:rsidR="009A6018" w:rsidRPr="00D32161" w:rsidRDefault="009A6018" w:rsidP="003F7026">
            <w:pPr>
              <w:spacing w:before="29" w:line="360" w:lineRule="auto"/>
              <w:ind w:left="17"/>
              <w:jc w:val="right"/>
              <w:rPr>
                <w:rFonts w:eastAsiaTheme="minorEastAsia"/>
                <w:color w:val="000000"/>
                <w:sz w:val="24"/>
              </w:rPr>
            </w:pPr>
            <w:r w:rsidRPr="00D32161">
              <w:rPr>
                <w:rFonts w:eastAsiaTheme="minorEastAsia"/>
                <w:color w:val="000000"/>
                <w:sz w:val="24"/>
              </w:rPr>
              <w:t>-</w:t>
            </w:r>
          </w:p>
        </w:tc>
        <w:tc>
          <w:tcPr>
            <w:tcW w:w="1843" w:type="dxa"/>
            <w:vAlign w:val="center"/>
          </w:tcPr>
          <w:p w:rsidR="009A6018" w:rsidRPr="00D32161" w:rsidRDefault="009A6018" w:rsidP="003F7026">
            <w:pPr>
              <w:spacing w:before="29" w:line="360" w:lineRule="auto"/>
              <w:ind w:left="17"/>
              <w:jc w:val="right"/>
              <w:rPr>
                <w:rFonts w:eastAsiaTheme="minorEastAsia"/>
                <w:color w:val="000000"/>
                <w:sz w:val="24"/>
              </w:rPr>
            </w:pPr>
            <w:r w:rsidRPr="00D32161">
              <w:rPr>
                <w:rFonts w:eastAsiaTheme="minorEastAsia"/>
                <w:color w:val="000000"/>
                <w:sz w:val="24"/>
              </w:rPr>
              <w:t>-</w:t>
            </w:r>
          </w:p>
        </w:tc>
      </w:tr>
      <w:tr w:rsidR="009A6018" w:rsidRPr="00B75DF8" w:rsidTr="003F7026">
        <w:trPr>
          <w:jc w:val="center"/>
        </w:trPr>
        <w:tc>
          <w:tcPr>
            <w:tcW w:w="720" w:type="dxa"/>
            <w:vAlign w:val="center"/>
          </w:tcPr>
          <w:p w:rsidR="009A6018" w:rsidRPr="00D32161" w:rsidRDefault="009A6018" w:rsidP="00DD272F">
            <w:pPr>
              <w:spacing w:before="29" w:line="360" w:lineRule="auto"/>
              <w:ind w:left="17"/>
              <w:jc w:val="center"/>
              <w:rPr>
                <w:rFonts w:eastAsiaTheme="minorEastAsia"/>
                <w:color w:val="000000"/>
                <w:sz w:val="24"/>
              </w:rPr>
            </w:pPr>
            <w:r w:rsidRPr="00D32161">
              <w:rPr>
                <w:rFonts w:eastAsiaTheme="minorEastAsia"/>
                <w:color w:val="000000"/>
                <w:sz w:val="24"/>
              </w:rPr>
              <w:t>6</w:t>
            </w:r>
          </w:p>
        </w:tc>
        <w:tc>
          <w:tcPr>
            <w:tcW w:w="3357" w:type="dxa"/>
            <w:vAlign w:val="center"/>
          </w:tcPr>
          <w:p w:rsidR="009A6018" w:rsidRPr="00D32161" w:rsidRDefault="009A6018" w:rsidP="00DD272F">
            <w:pPr>
              <w:spacing w:before="29" w:line="360" w:lineRule="auto"/>
              <w:ind w:left="17"/>
              <w:jc w:val="left"/>
              <w:rPr>
                <w:rFonts w:eastAsiaTheme="minorEastAsia"/>
                <w:sz w:val="24"/>
              </w:rPr>
            </w:pPr>
            <w:r w:rsidRPr="00D32161">
              <w:rPr>
                <w:rFonts w:eastAsiaTheme="minorEastAsia"/>
                <w:color w:val="000000"/>
                <w:sz w:val="24"/>
              </w:rPr>
              <w:t>银行存款和结算备付金合计</w:t>
            </w:r>
          </w:p>
        </w:tc>
        <w:tc>
          <w:tcPr>
            <w:tcW w:w="2977" w:type="dxa"/>
            <w:vAlign w:val="center"/>
          </w:tcPr>
          <w:p w:rsidR="009A6018" w:rsidRPr="00D32161" w:rsidRDefault="009A6018" w:rsidP="003F7026">
            <w:pPr>
              <w:spacing w:before="29" w:line="360" w:lineRule="auto"/>
              <w:ind w:left="17"/>
              <w:jc w:val="right"/>
              <w:rPr>
                <w:rFonts w:eastAsiaTheme="minorEastAsia"/>
                <w:color w:val="000000"/>
                <w:sz w:val="24"/>
              </w:rPr>
            </w:pPr>
            <w:r w:rsidRPr="00D32161">
              <w:rPr>
                <w:rFonts w:eastAsiaTheme="minorEastAsia"/>
                <w:color w:val="000000"/>
                <w:sz w:val="24"/>
              </w:rPr>
              <w:t>18,907.79</w:t>
            </w:r>
          </w:p>
        </w:tc>
        <w:tc>
          <w:tcPr>
            <w:tcW w:w="1843" w:type="dxa"/>
            <w:vAlign w:val="center"/>
          </w:tcPr>
          <w:p w:rsidR="009A6018" w:rsidRPr="00D32161" w:rsidRDefault="009A6018" w:rsidP="003F7026">
            <w:pPr>
              <w:spacing w:before="29" w:line="360" w:lineRule="auto"/>
              <w:ind w:left="17"/>
              <w:jc w:val="right"/>
              <w:rPr>
                <w:rFonts w:eastAsiaTheme="minorEastAsia"/>
                <w:color w:val="000000"/>
                <w:sz w:val="24"/>
              </w:rPr>
            </w:pPr>
            <w:r w:rsidRPr="00D32161">
              <w:rPr>
                <w:rFonts w:eastAsiaTheme="minorEastAsia"/>
                <w:color w:val="000000"/>
                <w:sz w:val="24"/>
              </w:rPr>
              <w:t>83.75</w:t>
            </w:r>
          </w:p>
        </w:tc>
      </w:tr>
      <w:tr w:rsidR="009A6018" w:rsidRPr="00B75DF8" w:rsidTr="003F7026">
        <w:trPr>
          <w:jc w:val="center"/>
        </w:trPr>
        <w:tc>
          <w:tcPr>
            <w:tcW w:w="720" w:type="dxa"/>
            <w:vAlign w:val="center"/>
          </w:tcPr>
          <w:p w:rsidR="009A6018" w:rsidRPr="00D32161" w:rsidRDefault="009A6018" w:rsidP="00DD272F">
            <w:pPr>
              <w:spacing w:before="29" w:line="360" w:lineRule="auto"/>
              <w:ind w:left="17"/>
              <w:jc w:val="center"/>
              <w:rPr>
                <w:rFonts w:eastAsiaTheme="minorEastAsia"/>
                <w:color w:val="000000"/>
                <w:sz w:val="24"/>
              </w:rPr>
            </w:pPr>
            <w:r w:rsidRPr="00D32161">
              <w:rPr>
                <w:rFonts w:eastAsiaTheme="minorEastAsia"/>
                <w:color w:val="000000"/>
                <w:sz w:val="24"/>
              </w:rPr>
              <w:t>7</w:t>
            </w:r>
          </w:p>
        </w:tc>
        <w:tc>
          <w:tcPr>
            <w:tcW w:w="3357" w:type="dxa"/>
            <w:vAlign w:val="center"/>
          </w:tcPr>
          <w:p w:rsidR="009A6018" w:rsidRPr="00D32161" w:rsidRDefault="009A6018" w:rsidP="003F7026">
            <w:pPr>
              <w:rPr>
                <w:rFonts w:eastAsiaTheme="minorEastAsia"/>
                <w:sz w:val="24"/>
              </w:rPr>
            </w:pPr>
            <w:r w:rsidRPr="00D32161">
              <w:rPr>
                <w:rFonts w:eastAsiaTheme="minorEastAsia"/>
                <w:color w:val="000000"/>
                <w:sz w:val="24"/>
              </w:rPr>
              <w:t>其他各项资产</w:t>
            </w:r>
          </w:p>
        </w:tc>
        <w:tc>
          <w:tcPr>
            <w:tcW w:w="2977" w:type="dxa"/>
            <w:vAlign w:val="center"/>
          </w:tcPr>
          <w:p w:rsidR="009A6018" w:rsidRPr="00D32161" w:rsidRDefault="009A6018" w:rsidP="003F7026">
            <w:pPr>
              <w:jc w:val="right"/>
              <w:rPr>
                <w:rFonts w:eastAsiaTheme="minorEastAsia"/>
                <w:color w:val="000000"/>
                <w:sz w:val="24"/>
              </w:rPr>
            </w:pPr>
            <w:r w:rsidRPr="00D32161">
              <w:rPr>
                <w:rFonts w:eastAsiaTheme="minorEastAsia"/>
                <w:color w:val="000000"/>
                <w:sz w:val="24"/>
              </w:rPr>
              <w:t>3,669.14</w:t>
            </w:r>
          </w:p>
        </w:tc>
        <w:tc>
          <w:tcPr>
            <w:tcW w:w="1843" w:type="dxa"/>
            <w:vAlign w:val="center"/>
          </w:tcPr>
          <w:p w:rsidR="009A6018" w:rsidRPr="00D32161" w:rsidRDefault="009A6018" w:rsidP="003F7026">
            <w:pPr>
              <w:jc w:val="right"/>
              <w:rPr>
                <w:rFonts w:eastAsiaTheme="minorEastAsia"/>
                <w:color w:val="000000"/>
                <w:sz w:val="24"/>
              </w:rPr>
            </w:pPr>
            <w:r w:rsidRPr="00D32161">
              <w:rPr>
                <w:rFonts w:eastAsiaTheme="minorEastAsia"/>
                <w:color w:val="000000"/>
                <w:sz w:val="24"/>
              </w:rPr>
              <w:t>16.25</w:t>
            </w:r>
          </w:p>
        </w:tc>
      </w:tr>
      <w:tr w:rsidR="009A6018" w:rsidRPr="00B75DF8" w:rsidTr="003F7026">
        <w:trPr>
          <w:jc w:val="center"/>
        </w:trPr>
        <w:tc>
          <w:tcPr>
            <w:tcW w:w="720" w:type="dxa"/>
            <w:vAlign w:val="center"/>
          </w:tcPr>
          <w:p w:rsidR="009A6018" w:rsidRPr="00D32161" w:rsidRDefault="009A6018" w:rsidP="00DD272F">
            <w:pPr>
              <w:spacing w:before="29" w:line="360" w:lineRule="auto"/>
              <w:ind w:left="17"/>
              <w:jc w:val="center"/>
              <w:rPr>
                <w:rFonts w:eastAsiaTheme="minorEastAsia"/>
                <w:color w:val="000000"/>
                <w:sz w:val="24"/>
              </w:rPr>
            </w:pPr>
            <w:r w:rsidRPr="00D32161">
              <w:rPr>
                <w:rFonts w:eastAsiaTheme="minorEastAsia"/>
                <w:color w:val="000000"/>
                <w:sz w:val="24"/>
              </w:rPr>
              <w:t>8</w:t>
            </w:r>
          </w:p>
        </w:tc>
        <w:tc>
          <w:tcPr>
            <w:tcW w:w="3357" w:type="dxa"/>
            <w:vAlign w:val="center"/>
          </w:tcPr>
          <w:p w:rsidR="009A6018" w:rsidRPr="00D32161" w:rsidRDefault="009A6018" w:rsidP="003F7026">
            <w:pPr>
              <w:rPr>
                <w:rFonts w:eastAsiaTheme="minorEastAsia"/>
                <w:sz w:val="24"/>
              </w:rPr>
            </w:pPr>
            <w:r w:rsidRPr="00D32161">
              <w:rPr>
                <w:rFonts w:eastAsiaTheme="minorEastAsia"/>
                <w:color w:val="000000"/>
                <w:sz w:val="24"/>
              </w:rPr>
              <w:t>合计</w:t>
            </w:r>
          </w:p>
        </w:tc>
        <w:tc>
          <w:tcPr>
            <w:tcW w:w="2977" w:type="dxa"/>
            <w:vAlign w:val="center"/>
          </w:tcPr>
          <w:p w:rsidR="009A6018" w:rsidRPr="00D32161" w:rsidRDefault="009A6018" w:rsidP="003F7026">
            <w:pPr>
              <w:jc w:val="right"/>
              <w:rPr>
                <w:rFonts w:eastAsiaTheme="minorEastAsia"/>
                <w:color w:val="000000"/>
                <w:sz w:val="24"/>
              </w:rPr>
            </w:pPr>
            <w:r w:rsidRPr="00D32161">
              <w:rPr>
                <w:rFonts w:eastAsiaTheme="minorEastAsia"/>
                <w:color w:val="000000"/>
                <w:sz w:val="24"/>
              </w:rPr>
              <w:t>22,576.93</w:t>
            </w:r>
          </w:p>
        </w:tc>
        <w:tc>
          <w:tcPr>
            <w:tcW w:w="1843" w:type="dxa"/>
            <w:vAlign w:val="center"/>
          </w:tcPr>
          <w:p w:rsidR="009A6018" w:rsidRPr="00D32161" w:rsidRDefault="009A6018" w:rsidP="003F7026">
            <w:pPr>
              <w:jc w:val="right"/>
              <w:rPr>
                <w:rFonts w:eastAsiaTheme="minorEastAsia"/>
                <w:color w:val="000000"/>
                <w:sz w:val="24"/>
              </w:rPr>
            </w:pPr>
            <w:r w:rsidRPr="00D32161">
              <w:rPr>
                <w:rFonts w:eastAsiaTheme="minorEastAsia"/>
                <w:color w:val="000000"/>
                <w:sz w:val="24"/>
              </w:rPr>
              <w:t>100.00</w:t>
            </w:r>
          </w:p>
        </w:tc>
      </w:tr>
    </w:tbl>
    <w:p w:rsidR="009552FC" w:rsidRPr="009552FC" w:rsidRDefault="009552FC" w:rsidP="00341503">
      <w:pPr>
        <w:autoSpaceDE w:val="0"/>
        <w:autoSpaceDN w:val="0"/>
        <w:adjustRightInd w:val="0"/>
        <w:spacing w:beforeLines="100" w:line="360" w:lineRule="auto"/>
        <w:jc w:val="left"/>
        <w:rPr>
          <w:rFonts w:asciiTheme="minorEastAsia" w:eastAsiaTheme="minorEastAsia" w:hAnsiTheme="minorEastAsia"/>
          <w:b/>
          <w:color w:val="000000" w:themeColor="text1"/>
          <w:kern w:val="0"/>
          <w:sz w:val="24"/>
        </w:rPr>
      </w:pPr>
      <w:r w:rsidRPr="009552FC">
        <w:rPr>
          <w:rFonts w:asciiTheme="minorEastAsia" w:eastAsiaTheme="minorEastAsia" w:hAnsiTheme="minorEastAsia"/>
          <w:b/>
          <w:color w:val="000000" w:themeColor="text1"/>
          <w:kern w:val="0"/>
          <w:sz w:val="24"/>
        </w:rPr>
        <w:t xml:space="preserve">5.2 </w:t>
      </w:r>
      <w:r w:rsidRPr="009552FC">
        <w:rPr>
          <w:rFonts w:asciiTheme="minorEastAsia" w:eastAsiaTheme="minorEastAsia" w:hAnsiTheme="minorEastAsia" w:hint="eastAsia"/>
          <w:b/>
          <w:color w:val="000000" w:themeColor="text1"/>
          <w:kern w:val="0"/>
          <w:sz w:val="24"/>
        </w:rPr>
        <w:t>报告期末按行业分类的股票投资组合</w:t>
      </w:r>
    </w:p>
    <w:p w:rsidR="009552FC" w:rsidRPr="009552FC" w:rsidRDefault="009552FC" w:rsidP="009552FC">
      <w:pPr>
        <w:rPr>
          <w:rFonts w:asciiTheme="minorEastAsia" w:eastAsiaTheme="minorEastAsia" w:hAnsiTheme="minorEastAsia"/>
          <w:sz w:val="24"/>
        </w:rPr>
      </w:pPr>
      <w:r w:rsidRPr="009552FC">
        <w:rPr>
          <w:rFonts w:asciiTheme="minorEastAsia" w:eastAsiaTheme="minorEastAsia" w:hAnsiTheme="minorEastAsia"/>
          <w:color w:val="000000" w:themeColor="text1"/>
          <w:kern w:val="0"/>
          <w:sz w:val="24"/>
        </w:rPr>
        <w:t>5.2.1</w:t>
      </w:r>
      <w:r w:rsidRPr="009552FC">
        <w:rPr>
          <w:rFonts w:asciiTheme="minorEastAsia" w:eastAsiaTheme="minorEastAsia" w:hAnsiTheme="minorEastAsia" w:hint="eastAsia"/>
          <w:color w:val="000000" w:themeColor="text1"/>
          <w:kern w:val="0"/>
          <w:sz w:val="24"/>
        </w:rPr>
        <w:t>报告期末按行业分类的境内股票投资组合</w:t>
      </w:r>
    </w:p>
    <w:p w:rsidR="009238DB" w:rsidRDefault="000871DB" w:rsidP="00D32161">
      <w:pPr>
        <w:spacing w:line="360" w:lineRule="auto"/>
        <w:ind w:firstLineChars="200" w:firstLine="480"/>
        <w:rPr>
          <w:rFonts w:eastAsiaTheme="minorEastAsia"/>
          <w:color w:val="000000"/>
          <w:sz w:val="24"/>
        </w:rPr>
      </w:pPr>
      <w:r w:rsidRPr="00264591">
        <w:rPr>
          <w:rFonts w:eastAsiaTheme="minorEastAsia"/>
          <w:color w:val="000000"/>
          <w:sz w:val="24"/>
        </w:rPr>
        <w:t>本基金本报告期末未持有股票。</w:t>
      </w:r>
    </w:p>
    <w:p w:rsidR="009552FC" w:rsidRPr="009552FC" w:rsidRDefault="009552FC" w:rsidP="009552FC">
      <w:pPr>
        <w:jc w:val="left"/>
        <w:rPr>
          <w:rFonts w:asciiTheme="minorEastAsia" w:eastAsiaTheme="minorEastAsia" w:hAnsiTheme="minorEastAsia"/>
          <w:sz w:val="24"/>
        </w:rPr>
      </w:pPr>
      <w:r w:rsidRPr="009552FC">
        <w:rPr>
          <w:rFonts w:asciiTheme="minorEastAsia" w:eastAsiaTheme="minorEastAsia" w:hAnsiTheme="minorEastAsia" w:hint="eastAsia"/>
          <w:kern w:val="0"/>
          <w:sz w:val="24"/>
        </w:rPr>
        <w:t>5.2.2</w:t>
      </w:r>
      <w:r w:rsidRPr="009552FC">
        <w:rPr>
          <w:rFonts w:asciiTheme="minorEastAsia" w:eastAsiaTheme="minorEastAsia" w:hAnsiTheme="minorEastAsia" w:hint="eastAsia"/>
          <w:sz w:val="24"/>
        </w:rPr>
        <w:t>报告期末按行业分类的</w:t>
      </w:r>
      <w:r w:rsidR="000419F9">
        <w:rPr>
          <w:rFonts w:asciiTheme="minorEastAsia" w:eastAsiaTheme="minorEastAsia" w:hAnsiTheme="minorEastAsia" w:hint="eastAsia"/>
          <w:sz w:val="24"/>
        </w:rPr>
        <w:t>港股通</w:t>
      </w:r>
      <w:r w:rsidRPr="009552FC">
        <w:rPr>
          <w:rFonts w:asciiTheme="minorEastAsia" w:eastAsiaTheme="minorEastAsia" w:hAnsiTheme="minorEastAsia" w:hint="eastAsia"/>
          <w:sz w:val="24"/>
        </w:rPr>
        <w:t>投资股票投资组合</w:t>
      </w:r>
    </w:p>
    <w:p w:rsidR="009552FC" w:rsidRDefault="009552FC" w:rsidP="009552FC">
      <w:pPr>
        <w:autoSpaceDE w:val="0"/>
        <w:autoSpaceDN w:val="0"/>
        <w:adjustRightInd w:val="0"/>
        <w:spacing w:line="360" w:lineRule="auto"/>
        <w:ind w:firstLineChars="200" w:firstLine="480"/>
        <w:jc w:val="left"/>
        <w:rPr>
          <w:rFonts w:eastAsiaTheme="minorEastAsia"/>
          <w:color w:val="000000" w:themeColor="text1"/>
          <w:sz w:val="24"/>
        </w:rPr>
      </w:pPr>
      <w:r w:rsidRPr="009552FC">
        <w:rPr>
          <w:rFonts w:eastAsiaTheme="minorEastAsia"/>
          <w:color w:val="000000" w:themeColor="text1"/>
          <w:sz w:val="24"/>
        </w:rPr>
        <w:t>本基金本报告期末未持有通过港股通投资的股票。</w:t>
      </w:r>
    </w:p>
    <w:p w:rsidR="009238DB" w:rsidRPr="00B75DF8" w:rsidRDefault="009238DB" w:rsidP="00FC13C8">
      <w:pPr>
        <w:autoSpaceDE w:val="0"/>
        <w:autoSpaceDN w:val="0"/>
        <w:adjustRightInd w:val="0"/>
        <w:spacing w:line="360" w:lineRule="auto"/>
        <w:jc w:val="left"/>
        <w:rPr>
          <w:rFonts w:asciiTheme="minorEastAsia" w:eastAsiaTheme="minorEastAsia" w:hAnsiTheme="minorEastAsia" w:cs="Arial"/>
          <w:b/>
          <w:color w:val="000000"/>
          <w:kern w:val="0"/>
          <w:sz w:val="24"/>
        </w:rPr>
      </w:pPr>
      <w:r w:rsidRPr="00B75DF8">
        <w:rPr>
          <w:rFonts w:asciiTheme="minorEastAsia" w:eastAsiaTheme="minorEastAsia" w:hAnsiTheme="minorEastAsia" w:cs="Arial"/>
          <w:b/>
          <w:color w:val="000000"/>
          <w:kern w:val="0"/>
          <w:sz w:val="24"/>
        </w:rPr>
        <w:t xml:space="preserve">5.3 </w:t>
      </w:r>
      <w:r w:rsidRPr="00B75DF8">
        <w:rPr>
          <w:rFonts w:asciiTheme="minorEastAsia" w:eastAsiaTheme="minorEastAsia" w:hAnsiTheme="minorEastAsia" w:cs="Arial" w:hint="eastAsia"/>
          <w:b/>
          <w:color w:val="000000"/>
          <w:kern w:val="0"/>
          <w:sz w:val="24"/>
        </w:rPr>
        <w:t>报告期末按公允价值占基金资产净值比例大小排序的前十名股票投资明细</w:t>
      </w:r>
    </w:p>
    <w:p w:rsidR="009238DB" w:rsidRPr="00D32161" w:rsidRDefault="000871DB" w:rsidP="00D32161">
      <w:pPr>
        <w:spacing w:line="360" w:lineRule="auto"/>
        <w:ind w:firstLineChars="200" w:firstLine="480"/>
        <w:rPr>
          <w:rFonts w:eastAsiaTheme="minorEastAsia"/>
          <w:color w:val="000000"/>
          <w:sz w:val="24"/>
        </w:rPr>
      </w:pPr>
      <w:r w:rsidRPr="00264591">
        <w:rPr>
          <w:rFonts w:eastAsiaTheme="minorEastAsia"/>
          <w:color w:val="000000"/>
          <w:sz w:val="24"/>
        </w:rPr>
        <w:t>本基金本报告期末未持有股票。</w:t>
      </w:r>
    </w:p>
    <w:p w:rsidR="00B76AA9" w:rsidRPr="00B76AA9" w:rsidRDefault="009238DB" w:rsidP="00341503">
      <w:pPr>
        <w:autoSpaceDE w:val="0"/>
        <w:autoSpaceDN w:val="0"/>
        <w:adjustRightInd w:val="0"/>
        <w:spacing w:beforeLines="100" w:line="360" w:lineRule="auto"/>
        <w:jc w:val="left"/>
        <w:rPr>
          <w:rFonts w:eastAsiaTheme="minorEastAsia"/>
          <w:b/>
          <w:color w:val="000000" w:themeColor="text1"/>
          <w:kern w:val="0"/>
          <w:sz w:val="24"/>
        </w:rPr>
      </w:pPr>
      <w:r w:rsidRPr="00B75DF8">
        <w:rPr>
          <w:rFonts w:asciiTheme="minorEastAsia" w:eastAsiaTheme="minorEastAsia" w:hAnsiTheme="minorEastAsia" w:cs="Arial"/>
          <w:b/>
          <w:color w:val="000000"/>
          <w:kern w:val="0"/>
          <w:sz w:val="24"/>
        </w:rPr>
        <w:t xml:space="preserve">5.4 </w:t>
      </w:r>
      <w:r w:rsidRPr="00B75DF8">
        <w:rPr>
          <w:rFonts w:asciiTheme="minorEastAsia" w:eastAsiaTheme="minorEastAsia" w:hAnsiTheme="minorEastAsia" w:cs="Arial" w:hint="eastAsia"/>
          <w:b/>
          <w:color w:val="000000"/>
          <w:kern w:val="0"/>
          <w:sz w:val="24"/>
        </w:rPr>
        <w:t>报告期末按债券品种分类的债券投资组合</w:t>
      </w:r>
    </w:p>
    <w:p w:rsidR="009238DB" w:rsidRPr="00B76AA9" w:rsidRDefault="00B76AA9" w:rsidP="00B76AA9">
      <w:pPr>
        <w:spacing w:line="360" w:lineRule="auto"/>
        <w:ind w:firstLineChars="200" w:firstLine="480"/>
        <w:rPr>
          <w:rFonts w:eastAsiaTheme="minorEastAsia"/>
          <w:color w:val="000000"/>
          <w:sz w:val="24"/>
        </w:rPr>
      </w:pPr>
      <w:r w:rsidRPr="00B76AA9">
        <w:rPr>
          <w:rFonts w:eastAsiaTheme="minorEastAsia"/>
          <w:color w:val="000000"/>
          <w:sz w:val="24"/>
        </w:rPr>
        <w:t>本基金本报告期末未持有债券。</w:t>
      </w:r>
    </w:p>
    <w:p w:rsidR="009238DB" w:rsidRPr="00B75DF8" w:rsidRDefault="009238DB" w:rsidP="00FC13C8">
      <w:pPr>
        <w:autoSpaceDE w:val="0"/>
        <w:autoSpaceDN w:val="0"/>
        <w:adjustRightInd w:val="0"/>
        <w:spacing w:line="360" w:lineRule="auto"/>
        <w:jc w:val="left"/>
        <w:rPr>
          <w:rFonts w:asciiTheme="minorEastAsia" w:eastAsiaTheme="minorEastAsia" w:hAnsiTheme="minorEastAsia" w:cs="Arial"/>
          <w:b/>
          <w:color w:val="000000"/>
          <w:kern w:val="0"/>
          <w:sz w:val="24"/>
        </w:rPr>
      </w:pPr>
      <w:r w:rsidRPr="00B75DF8">
        <w:rPr>
          <w:rFonts w:asciiTheme="minorEastAsia" w:eastAsiaTheme="minorEastAsia" w:hAnsiTheme="minorEastAsia" w:cs="Arial"/>
          <w:b/>
          <w:color w:val="000000"/>
          <w:kern w:val="0"/>
          <w:sz w:val="24"/>
        </w:rPr>
        <w:t xml:space="preserve">5.5 </w:t>
      </w:r>
      <w:r w:rsidRPr="00B75DF8">
        <w:rPr>
          <w:rFonts w:asciiTheme="minorEastAsia" w:eastAsiaTheme="minorEastAsia" w:hAnsiTheme="minorEastAsia" w:cs="Arial" w:hint="eastAsia"/>
          <w:b/>
          <w:color w:val="000000"/>
          <w:kern w:val="0"/>
          <w:sz w:val="24"/>
        </w:rPr>
        <w:t>报告期末按公允价值占基金资产净值比例大小排</w:t>
      </w:r>
      <w:r w:rsidR="006D462B" w:rsidRPr="00B75DF8">
        <w:rPr>
          <w:rFonts w:asciiTheme="minorEastAsia" w:eastAsiaTheme="minorEastAsia" w:hAnsiTheme="minorEastAsia" w:cs="Arial" w:hint="eastAsia"/>
          <w:b/>
          <w:color w:val="000000"/>
          <w:kern w:val="0"/>
          <w:sz w:val="24"/>
        </w:rPr>
        <w:t>序</w:t>
      </w:r>
      <w:r w:rsidRPr="00B75DF8">
        <w:rPr>
          <w:rFonts w:asciiTheme="minorEastAsia" w:eastAsiaTheme="minorEastAsia" w:hAnsiTheme="minorEastAsia" w:cs="Arial" w:hint="eastAsia"/>
          <w:b/>
          <w:color w:val="000000"/>
          <w:kern w:val="0"/>
          <w:sz w:val="24"/>
        </w:rPr>
        <w:t>的前五名债券投资明细</w:t>
      </w:r>
    </w:p>
    <w:p w:rsidR="009238DB" w:rsidRPr="00D32161" w:rsidRDefault="00296E4A" w:rsidP="00D32161">
      <w:pPr>
        <w:spacing w:line="360" w:lineRule="auto"/>
        <w:ind w:firstLineChars="200" w:firstLine="480"/>
        <w:rPr>
          <w:rFonts w:eastAsiaTheme="minorEastAsia"/>
          <w:color w:val="000000"/>
          <w:sz w:val="24"/>
        </w:rPr>
      </w:pPr>
      <w:r w:rsidRPr="00264591">
        <w:rPr>
          <w:rFonts w:eastAsiaTheme="minorEastAsia"/>
          <w:color w:val="000000"/>
          <w:sz w:val="24"/>
        </w:rPr>
        <w:t>本基金本报告期末未持有债券。</w:t>
      </w:r>
    </w:p>
    <w:p w:rsidR="009238DB" w:rsidRPr="00B75DF8" w:rsidRDefault="009238DB" w:rsidP="00FC13C8">
      <w:pPr>
        <w:autoSpaceDE w:val="0"/>
        <w:autoSpaceDN w:val="0"/>
        <w:adjustRightInd w:val="0"/>
        <w:spacing w:line="360" w:lineRule="auto"/>
        <w:jc w:val="left"/>
        <w:rPr>
          <w:rFonts w:asciiTheme="minorEastAsia" w:eastAsiaTheme="minorEastAsia" w:hAnsiTheme="minorEastAsia" w:cs="Arial"/>
          <w:b/>
          <w:color w:val="000000"/>
          <w:kern w:val="0"/>
          <w:sz w:val="24"/>
        </w:rPr>
      </w:pPr>
      <w:r w:rsidRPr="00B75DF8">
        <w:rPr>
          <w:rFonts w:asciiTheme="minorEastAsia" w:eastAsiaTheme="minorEastAsia" w:hAnsiTheme="minorEastAsia" w:cs="Arial"/>
          <w:b/>
          <w:color w:val="000000"/>
          <w:kern w:val="0"/>
          <w:sz w:val="24"/>
        </w:rPr>
        <w:t>5.6</w:t>
      </w:r>
      <w:r w:rsidRPr="00B75DF8">
        <w:rPr>
          <w:rFonts w:asciiTheme="minorEastAsia" w:eastAsiaTheme="minorEastAsia" w:hAnsiTheme="minorEastAsia" w:cs="Arial" w:hint="eastAsia"/>
          <w:b/>
          <w:color w:val="000000"/>
          <w:kern w:val="0"/>
          <w:sz w:val="24"/>
        </w:rPr>
        <w:t xml:space="preserve">　报告期末按公允价值占基金资产净值比例大小排</w:t>
      </w:r>
      <w:r w:rsidR="006D462B" w:rsidRPr="00B75DF8">
        <w:rPr>
          <w:rFonts w:asciiTheme="minorEastAsia" w:eastAsiaTheme="minorEastAsia" w:hAnsiTheme="minorEastAsia" w:cs="Arial" w:hint="eastAsia"/>
          <w:b/>
          <w:color w:val="000000"/>
          <w:kern w:val="0"/>
          <w:sz w:val="24"/>
        </w:rPr>
        <w:t>序</w:t>
      </w:r>
      <w:r w:rsidRPr="00B75DF8">
        <w:rPr>
          <w:rFonts w:asciiTheme="minorEastAsia" w:eastAsiaTheme="minorEastAsia" w:hAnsiTheme="minorEastAsia" w:cs="Arial" w:hint="eastAsia"/>
          <w:b/>
          <w:color w:val="000000"/>
          <w:kern w:val="0"/>
          <w:sz w:val="24"/>
        </w:rPr>
        <w:t>的前十名资产支持证券投资明细</w:t>
      </w:r>
    </w:p>
    <w:p w:rsidR="009238DB" w:rsidRPr="00D32161" w:rsidRDefault="00C260A2" w:rsidP="00D32161">
      <w:pPr>
        <w:spacing w:line="360" w:lineRule="auto"/>
        <w:ind w:firstLineChars="200" w:firstLine="480"/>
        <w:rPr>
          <w:rFonts w:eastAsiaTheme="minorEastAsia"/>
          <w:color w:val="000000"/>
          <w:sz w:val="24"/>
        </w:rPr>
      </w:pPr>
      <w:r w:rsidRPr="00264591">
        <w:rPr>
          <w:rFonts w:eastAsiaTheme="minorEastAsia"/>
          <w:color w:val="000000"/>
          <w:sz w:val="24"/>
        </w:rPr>
        <w:t>本基金本报告期末未持有资产支持证券。</w:t>
      </w:r>
    </w:p>
    <w:p w:rsidR="006D462B" w:rsidRPr="00B75DF8" w:rsidRDefault="006D462B" w:rsidP="006D462B">
      <w:pPr>
        <w:autoSpaceDE w:val="0"/>
        <w:autoSpaceDN w:val="0"/>
        <w:adjustRightInd w:val="0"/>
        <w:spacing w:line="360" w:lineRule="auto"/>
        <w:jc w:val="left"/>
        <w:rPr>
          <w:rFonts w:asciiTheme="minorEastAsia" w:eastAsiaTheme="minorEastAsia" w:hAnsiTheme="minorEastAsia"/>
          <w:b/>
          <w:bCs/>
          <w:color w:val="000000"/>
          <w:kern w:val="0"/>
          <w:sz w:val="24"/>
        </w:rPr>
      </w:pPr>
      <w:r w:rsidRPr="00B75DF8">
        <w:rPr>
          <w:rFonts w:asciiTheme="minorEastAsia" w:eastAsiaTheme="minorEastAsia" w:hAnsiTheme="minorEastAsia" w:hint="eastAsia"/>
          <w:b/>
          <w:bCs/>
          <w:color w:val="000000"/>
          <w:kern w:val="0"/>
          <w:sz w:val="24"/>
        </w:rPr>
        <w:t>5.7 报告期末按公允价值占基金资产净值比例大小排序的前五名贵金属投资明细</w:t>
      </w:r>
    </w:p>
    <w:p w:rsidR="006D462B" w:rsidRPr="00D32161" w:rsidRDefault="006D462B" w:rsidP="00D32161">
      <w:pPr>
        <w:spacing w:line="360" w:lineRule="auto"/>
        <w:ind w:firstLineChars="200" w:firstLine="480"/>
        <w:rPr>
          <w:rFonts w:eastAsiaTheme="minorEastAsia"/>
          <w:color w:val="000000"/>
          <w:sz w:val="24"/>
        </w:rPr>
      </w:pPr>
      <w:r w:rsidRPr="00264591">
        <w:rPr>
          <w:rFonts w:eastAsiaTheme="minorEastAsia"/>
          <w:color w:val="000000"/>
          <w:sz w:val="24"/>
        </w:rPr>
        <w:t>本基金本报告期末未持有贵金属。</w:t>
      </w:r>
    </w:p>
    <w:p w:rsidR="009238DB" w:rsidRPr="00B75DF8" w:rsidRDefault="001D5CD0" w:rsidP="00FC13C8">
      <w:pPr>
        <w:autoSpaceDE w:val="0"/>
        <w:autoSpaceDN w:val="0"/>
        <w:adjustRightInd w:val="0"/>
        <w:spacing w:line="360" w:lineRule="auto"/>
        <w:jc w:val="left"/>
        <w:rPr>
          <w:rFonts w:asciiTheme="minorEastAsia" w:eastAsiaTheme="minorEastAsia" w:hAnsiTheme="minorEastAsia" w:cs="Arial"/>
          <w:b/>
          <w:color w:val="000000"/>
          <w:kern w:val="0"/>
          <w:sz w:val="24"/>
        </w:rPr>
      </w:pPr>
      <w:r w:rsidRPr="00B75DF8">
        <w:rPr>
          <w:rFonts w:asciiTheme="minorEastAsia" w:eastAsiaTheme="minorEastAsia" w:hAnsiTheme="minorEastAsia" w:cs="Arial" w:hint="eastAsia"/>
          <w:b/>
          <w:color w:val="000000"/>
          <w:kern w:val="0"/>
          <w:sz w:val="24"/>
        </w:rPr>
        <w:t>5</w:t>
      </w:r>
      <w:r w:rsidR="009238DB" w:rsidRPr="00B75DF8">
        <w:rPr>
          <w:rFonts w:asciiTheme="minorEastAsia" w:eastAsiaTheme="minorEastAsia" w:hAnsiTheme="minorEastAsia" w:cs="Arial"/>
          <w:b/>
          <w:color w:val="000000"/>
          <w:kern w:val="0"/>
          <w:sz w:val="24"/>
        </w:rPr>
        <w:t>.</w:t>
      </w:r>
      <w:r w:rsidRPr="00B75DF8">
        <w:rPr>
          <w:rFonts w:asciiTheme="minorEastAsia" w:eastAsiaTheme="minorEastAsia" w:hAnsiTheme="minorEastAsia" w:cs="Arial" w:hint="eastAsia"/>
          <w:b/>
          <w:color w:val="000000"/>
          <w:kern w:val="0"/>
          <w:sz w:val="24"/>
        </w:rPr>
        <w:t>8</w:t>
      </w:r>
      <w:r w:rsidR="009238DB" w:rsidRPr="00B75DF8">
        <w:rPr>
          <w:rFonts w:asciiTheme="minorEastAsia" w:eastAsiaTheme="minorEastAsia" w:hAnsiTheme="minorEastAsia" w:cs="Arial" w:hint="eastAsia"/>
          <w:b/>
          <w:color w:val="000000"/>
          <w:kern w:val="0"/>
          <w:sz w:val="24"/>
        </w:rPr>
        <w:t>报告期末按公允价值占基金资产净值比例大小排</w:t>
      </w:r>
      <w:r w:rsidR="006D462B" w:rsidRPr="00B75DF8">
        <w:rPr>
          <w:rFonts w:asciiTheme="minorEastAsia" w:eastAsiaTheme="minorEastAsia" w:hAnsiTheme="minorEastAsia" w:cs="Arial" w:hint="eastAsia"/>
          <w:b/>
          <w:color w:val="000000"/>
          <w:kern w:val="0"/>
          <w:sz w:val="24"/>
        </w:rPr>
        <w:t>序</w:t>
      </w:r>
      <w:r w:rsidR="009238DB" w:rsidRPr="00B75DF8">
        <w:rPr>
          <w:rFonts w:asciiTheme="minorEastAsia" w:eastAsiaTheme="minorEastAsia" w:hAnsiTheme="minorEastAsia" w:cs="Arial" w:hint="eastAsia"/>
          <w:b/>
          <w:color w:val="000000"/>
          <w:kern w:val="0"/>
          <w:sz w:val="24"/>
        </w:rPr>
        <w:t>的前五名权证投资明细</w:t>
      </w:r>
    </w:p>
    <w:p w:rsidR="001D5CD0" w:rsidRPr="00D32161" w:rsidRDefault="00C260A2" w:rsidP="00D32161">
      <w:pPr>
        <w:spacing w:line="360" w:lineRule="auto"/>
        <w:ind w:firstLineChars="200" w:firstLine="480"/>
        <w:rPr>
          <w:rFonts w:eastAsiaTheme="minorEastAsia"/>
          <w:color w:val="000000"/>
          <w:sz w:val="24"/>
        </w:rPr>
      </w:pPr>
      <w:r w:rsidRPr="00264591">
        <w:rPr>
          <w:rFonts w:eastAsiaTheme="minorEastAsia"/>
          <w:color w:val="000000"/>
          <w:sz w:val="24"/>
        </w:rPr>
        <w:t>本基金本报告期末未持有权证。</w:t>
      </w:r>
    </w:p>
    <w:p w:rsidR="001D5CD0" w:rsidRPr="00B75DF8" w:rsidRDefault="001D5CD0" w:rsidP="001D5CD0">
      <w:pPr>
        <w:adjustRightInd w:val="0"/>
        <w:snapToGrid w:val="0"/>
        <w:spacing w:line="360" w:lineRule="auto"/>
        <w:rPr>
          <w:rFonts w:asciiTheme="minorEastAsia" w:eastAsiaTheme="minorEastAsia" w:hAnsiTheme="minorEastAsia"/>
          <w:b/>
          <w:sz w:val="24"/>
        </w:rPr>
      </w:pPr>
      <w:r w:rsidRPr="00B75DF8">
        <w:rPr>
          <w:rFonts w:asciiTheme="minorEastAsia" w:eastAsiaTheme="minorEastAsia" w:hAnsiTheme="minorEastAsia" w:hint="eastAsia"/>
          <w:b/>
          <w:sz w:val="24"/>
        </w:rPr>
        <w:t>5.9 报告期末本基金投资的股指期货交易情况说明</w:t>
      </w:r>
    </w:p>
    <w:p w:rsidR="001C4558" w:rsidRDefault="00341503">
      <w:pPr>
        <w:spacing w:line="360" w:lineRule="auto"/>
        <w:ind w:firstLineChars="200" w:firstLine="480"/>
        <w:rPr>
          <w:rFonts w:eastAsiaTheme="minorEastAsia"/>
          <w:color w:val="000000"/>
          <w:sz w:val="24"/>
        </w:rPr>
      </w:pPr>
      <w:r>
        <w:rPr>
          <w:rFonts w:eastAsiaTheme="minorEastAsia" w:hint="eastAsia"/>
          <w:color w:val="000000"/>
          <w:sz w:val="24"/>
        </w:rPr>
        <w:t>（</w:t>
      </w:r>
      <w:r>
        <w:rPr>
          <w:rFonts w:eastAsiaTheme="minorEastAsia" w:hint="eastAsia"/>
          <w:color w:val="000000"/>
          <w:sz w:val="24"/>
        </w:rPr>
        <w:t>1</w:t>
      </w:r>
      <w:r>
        <w:rPr>
          <w:rFonts w:eastAsiaTheme="minorEastAsia" w:hint="eastAsia"/>
          <w:color w:val="000000"/>
          <w:sz w:val="24"/>
        </w:rPr>
        <w:t>）本基金本报告期末未持有股指期货。</w:t>
      </w:r>
      <w:r>
        <w:rPr>
          <w:rFonts w:eastAsiaTheme="minorEastAsia" w:hint="eastAsia"/>
          <w:color w:val="000000"/>
          <w:sz w:val="24"/>
        </w:rPr>
        <w:t xml:space="preserve"> </w:t>
      </w:r>
    </w:p>
    <w:p w:rsidR="001D5CD0" w:rsidRPr="008B4ABA" w:rsidRDefault="001D5CD0" w:rsidP="008B4ABA">
      <w:pPr>
        <w:spacing w:line="360" w:lineRule="auto"/>
        <w:ind w:firstLineChars="200" w:firstLine="480"/>
        <w:rPr>
          <w:rFonts w:eastAsiaTheme="minorEastAsia"/>
          <w:color w:val="000000"/>
          <w:sz w:val="24"/>
        </w:rPr>
      </w:pPr>
      <w:r w:rsidRPr="00264591">
        <w:rPr>
          <w:rFonts w:eastAsiaTheme="minorEastAsia" w:hint="eastAsia"/>
          <w:color w:val="000000"/>
          <w:sz w:val="24"/>
        </w:rPr>
        <w:t>（</w:t>
      </w:r>
      <w:r w:rsidRPr="00264591">
        <w:rPr>
          <w:rFonts w:eastAsiaTheme="minorEastAsia" w:hint="eastAsia"/>
          <w:color w:val="000000"/>
          <w:sz w:val="24"/>
        </w:rPr>
        <w:t>2</w:t>
      </w:r>
      <w:r w:rsidRPr="00264591">
        <w:rPr>
          <w:rFonts w:eastAsiaTheme="minorEastAsia" w:hint="eastAsia"/>
          <w:color w:val="000000"/>
          <w:sz w:val="24"/>
        </w:rPr>
        <w:t>）本基金本报告期内未进行股指期货交易。</w:t>
      </w:r>
    </w:p>
    <w:p w:rsidR="001D5CD0" w:rsidRPr="00B75DF8" w:rsidRDefault="001D5CD0" w:rsidP="001D5CD0">
      <w:pPr>
        <w:adjustRightInd w:val="0"/>
        <w:snapToGrid w:val="0"/>
        <w:spacing w:line="360" w:lineRule="auto"/>
        <w:rPr>
          <w:rFonts w:asciiTheme="minorEastAsia" w:eastAsiaTheme="minorEastAsia" w:hAnsiTheme="minorEastAsia"/>
          <w:b/>
          <w:sz w:val="24"/>
        </w:rPr>
      </w:pPr>
      <w:r w:rsidRPr="00B75DF8">
        <w:rPr>
          <w:rFonts w:asciiTheme="minorEastAsia" w:eastAsiaTheme="minorEastAsia" w:hAnsiTheme="minorEastAsia" w:hint="eastAsia"/>
          <w:b/>
          <w:sz w:val="24"/>
        </w:rPr>
        <w:t>5.10报告期末本基金投资的国债期货交易情况说明</w:t>
      </w:r>
    </w:p>
    <w:p w:rsidR="001C4558" w:rsidRDefault="00341503">
      <w:pPr>
        <w:spacing w:line="360" w:lineRule="auto"/>
        <w:ind w:firstLineChars="200" w:firstLine="480"/>
        <w:rPr>
          <w:rFonts w:eastAsiaTheme="minorEastAsia"/>
          <w:color w:val="000000"/>
          <w:sz w:val="24"/>
        </w:rPr>
      </w:pPr>
      <w:r>
        <w:rPr>
          <w:rFonts w:eastAsiaTheme="minorEastAsia"/>
          <w:color w:val="000000"/>
          <w:sz w:val="24"/>
        </w:rPr>
        <w:t>（</w:t>
      </w:r>
      <w:r>
        <w:rPr>
          <w:rFonts w:eastAsiaTheme="minorEastAsia"/>
          <w:color w:val="000000"/>
          <w:sz w:val="24"/>
        </w:rPr>
        <w:t>1</w:t>
      </w:r>
      <w:r>
        <w:rPr>
          <w:rFonts w:eastAsiaTheme="minorEastAsia"/>
          <w:color w:val="000000"/>
          <w:sz w:val="24"/>
        </w:rPr>
        <w:t>）本基金本报告期末未持有国债期货。</w:t>
      </w:r>
    </w:p>
    <w:p w:rsidR="001D5CD0" w:rsidRPr="00264591" w:rsidRDefault="001D5CD0" w:rsidP="00264591">
      <w:pPr>
        <w:spacing w:line="360" w:lineRule="auto"/>
        <w:ind w:firstLineChars="200" w:firstLine="480"/>
        <w:rPr>
          <w:rFonts w:eastAsiaTheme="minorEastAsia"/>
          <w:color w:val="000000"/>
          <w:sz w:val="24"/>
        </w:rPr>
      </w:pPr>
      <w:r w:rsidRPr="00264591">
        <w:rPr>
          <w:rFonts w:eastAsiaTheme="minorEastAsia"/>
          <w:color w:val="000000"/>
          <w:sz w:val="24"/>
        </w:rPr>
        <w:t>（</w:t>
      </w:r>
      <w:r w:rsidRPr="00264591">
        <w:rPr>
          <w:rFonts w:eastAsiaTheme="minorEastAsia"/>
          <w:color w:val="000000"/>
          <w:sz w:val="24"/>
        </w:rPr>
        <w:t>2</w:t>
      </w:r>
      <w:r w:rsidRPr="00264591">
        <w:rPr>
          <w:rFonts w:eastAsiaTheme="minorEastAsia"/>
          <w:color w:val="000000"/>
          <w:sz w:val="24"/>
        </w:rPr>
        <w:t>）本基金本报告期内未进行国债期货交易。</w:t>
      </w:r>
    </w:p>
    <w:p w:rsidR="001D5CD0" w:rsidRPr="00B75DF8" w:rsidRDefault="001D5CD0" w:rsidP="001D5CD0">
      <w:pPr>
        <w:autoSpaceDE w:val="0"/>
        <w:autoSpaceDN w:val="0"/>
        <w:adjustRightInd w:val="0"/>
        <w:spacing w:line="360" w:lineRule="auto"/>
        <w:jc w:val="left"/>
        <w:rPr>
          <w:rFonts w:asciiTheme="minorEastAsia" w:eastAsiaTheme="minorEastAsia" w:hAnsiTheme="minorEastAsia" w:cs="Arial"/>
          <w:b/>
          <w:kern w:val="0"/>
          <w:sz w:val="24"/>
        </w:rPr>
      </w:pPr>
      <w:r w:rsidRPr="00B75DF8">
        <w:rPr>
          <w:rFonts w:asciiTheme="minorEastAsia" w:eastAsiaTheme="minorEastAsia" w:hAnsiTheme="minorEastAsia" w:cs="Arial" w:hint="eastAsia"/>
          <w:b/>
          <w:kern w:val="0"/>
          <w:sz w:val="24"/>
        </w:rPr>
        <w:t>5</w:t>
      </w:r>
      <w:r w:rsidRPr="00B75DF8">
        <w:rPr>
          <w:rFonts w:asciiTheme="minorEastAsia" w:eastAsiaTheme="minorEastAsia" w:hAnsiTheme="minorEastAsia" w:cs="Arial"/>
          <w:b/>
          <w:kern w:val="0"/>
          <w:sz w:val="24"/>
        </w:rPr>
        <w:t>.</w:t>
      </w:r>
      <w:r w:rsidRPr="00B75DF8">
        <w:rPr>
          <w:rFonts w:asciiTheme="minorEastAsia" w:eastAsiaTheme="minorEastAsia" w:hAnsiTheme="minorEastAsia" w:cs="Arial" w:hint="eastAsia"/>
          <w:b/>
          <w:kern w:val="0"/>
          <w:sz w:val="24"/>
        </w:rPr>
        <w:t>11投资组合报告附注</w:t>
      </w:r>
    </w:p>
    <w:p w:rsidR="006456D3" w:rsidRPr="00B75DF8" w:rsidRDefault="006456D3" w:rsidP="006456D3">
      <w:pPr>
        <w:widowControl/>
        <w:spacing w:line="360" w:lineRule="auto"/>
        <w:rPr>
          <w:rFonts w:asciiTheme="minorEastAsia" w:eastAsiaTheme="minorEastAsia" w:hAnsiTheme="minorEastAsia"/>
          <w:color w:val="000000"/>
          <w:sz w:val="24"/>
        </w:rPr>
      </w:pPr>
      <w:r w:rsidRPr="00B75DF8">
        <w:rPr>
          <w:rFonts w:asciiTheme="minorEastAsia" w:eastAsiaTheme="minorEastAsia" w:hAnsiTheme="minorEastAsia"/>
          <w:color w:val="000000"/>
          <w:sz w:val="24"/>
        </w:rPr>
        <w:t>5.11.1本基金投资的前十名证券的发行主体在本报告期内没有出现被监管部门立案调查，或在报告编制日前一年内受到公开谴责、处罚的情形。</w:t>
      </w:r>
    </w:p>
    <w:p w:rsidR="006456D3" w:rsidRPr="00B75DF8" w:rsidRDefault="006456D3" w:rsidP="006456D3">
      <w:pPr>
        <w:widowControl/>
        <w:spacing w:line="360" w:lineRule="auto"/>
        <w:rPr>
          <w:rFonts w:asciiTheme="minorEastAsia" w:eastAsiaTheme="minorEastAsia" w:hAnsiTheme="minorEastAsia"/>
          <w:color w:val="000000"/>
          <w:sz w:val="24"/>
        </w:rPr>
      </w:pPr>
      <w:r w:rsidRPr="00B75DF8">
        <w:rPr>
          <w:rFonts w:asciiTheme="minorEastAsia" w:eastAsiaTheme="minorEastAsia" w:hAnsiTheme="minorEastAsia"/>
          <w:color w:val="000000"/>
          <w:sz w:val="24"/>
        </w:rPr>
        <w:t>5.11.2报告期内本基金投资的前十名股票未超出基金合同规定的备选股票库。</w:t>
      </w:r>
    </w:p>
    <w:p w:rsidR="001D5CD0" w:rsidRPr="00B75DF8" w:rsidRDefault="001D5CD0" w:rsidP="001D5CD0">
      <w:pPr>
        <w:autoSpaceDE w:val="0"/>
        <w:autoSpaceDN w:val="0"/>
        <w:adjustRightInd w:val="0"/>
        <w:spacing w:line="360" w:lineRule="auto"/>
        <w:rPr>
          <w:rFonts w:asciiTheme="minorEastAsia" w:eastAsiaTheme="minorEastAsia" w:hAnsiTheme="minorEastAsia" w:cs="Arial"/>
          <w:b/>
          <w:kern w:val="0"/>
          <w:sz w:val="24"/>
        </w:rPr>
      </w:pPr>
      <w:r w:rsidRPr="00B75DF8">
        <w:rPr>
          <w:rFonts w:asciiTheme="minorEastAsia" w:eastAsiaTheme="minorEastAsia" w:hAnsiTheme="minorEastAsia" w:cs="Arial" w:hint="eastAsia"/>
          <w:b/>
          <w:kern w:val="0"/>
          <w:sz w:val="24"/>
        </w:rPr>
        <w:t>5</w:t>
      </w:r>
      <w:r w:rsidRPr="00B75DF8">
        <w:rPr>
          <w:rFonts w:asciiTheme="minorEastAsia" w:eastAsiaTheme="minorEastAsia" w:hAnsiTheme="minorEastAsia" w:cs="Arial"/>
          <w:b/>
          <w:kern w:val="0"/>
          <w:sz w:val="24"/>
        </w:rPr>
        <w:t>.</w:t>
      </w:r>
      <w:r w:rsidRPr="00B75DF8">
        <w:rPr>
          <w:rFonts w:asciiTheme="minorEastAsia" w:eastAsiaTheme="minorEastAsia" w:hAnsiTheme="minorEastAsia" w:cs="Arial" w:hint="eastAsia"/>
          <w:b/>
          <w:kern w:val="0"/>
          <w:sz w:val="24"/>
        </w:rPr>
        <w:t>11</w:t>
      </w:r>
      <w:r w:rsidRPr="00B75DF8">
        <w:rPr>
          <w:rFonts w:asciiTheme="minorEastAsia" w:eastAsiaTheme="minorEastAsia" w:hAnsiTheme="minorEastAsia" w:cs="Arial"/>
          <w:b/>
          <w:kern w:val="0"/>
          <w:sz w:val="24"/>
        </w:rPr>
        <w:t>.</w:t>
      </w:r>
      <w:r w:rsidRPr="00B75DF8">
        <w:rPr>
          <w:rFonts w:asciiTheme="minorEastAsia" w:eastAsiaTheme="minorEastAsia" w:hAnsiTheme="minorEastAsia" w:cs="Arial" w:hint="eastAsia"/>
          <w:b/>
          <w:kern w:val="0"/>
          <w:sz w:val="24"/>
        </w:rPr>
        <w:t>3其他各项资产构成</w:t>
      </w:r>
    </w:p>
    <w:tbl>
      <w:tblPr>
        <w:tblStyle w:val="af2"/>
        <w:tblW w:w="0" w:type="auto"/>
        <w:tblInd w:w="15" w:type="dxa"/>
        <w:tblLook w:val="04A0"/>
      </w:tblPr>
      <w:tblGrid>
        <w:gridCol w:w="944"/>
        <w:gridCol w:w="2761"/>
        <w:gridCol w:w="4808"/>
      </w:tblGrid>
      <w:tr w:rsidR="001D5CD0" w:rsidRPr="00B75DF8" w:rsidTr="00F22F9F">
        <w:tc>
          <w:tcPr>
            <w:tcW w:w="944" w:type="dxa"/>
            <w:vAlign w:val="center"/>
          </w:tcPr>
          <w:p w:rsidR="001D5CD0" w:rsidRPr="008B4ABA" w:rsidRDefault="001D5CD0" w:rsidP="00F22F9F">
            <w:pPr>
              <w:autoSpaceDE w:val="0"/>
              <w:autoSpaceDN w:val="0"/>
              <w:adjustRightInd w:val="0"/>
              <w:spacing w:before="29" w:line="360" w:lineRule="auto"/>
              <w:ind w:left="17"/>
              <w:jc w:val="center"/>
              <w:rPr>
                <w:rFonts w:eastAsiaTheme="minorEastAsia"/>
                <w:color w:val="000000"/>
                <w:kern w:val="0"/>
                <w:sz w:val="24"/>
              </w:rPr>
            </w:pPr>
            <w:r w:rsidRPr="008B4ABA">
              <w:rPr>
                <w:rFonts w:eastAsiaTheme="minorEastAsia"/>
                <w:color w:val="000000"/>
                <w:kern w:val="0"/>
                <w:sz w:val="24"/>
              </w:rPr>
              <w:t>序号</w:t>
            </w:r>
          </w:p>
        </w:tc>
        <w:tc>
          <w:tcPr>
            <w:tcW w:w="2761" w:type="dxa"/>
            <w:vAlign w:val="center"/>
          </w:tcPr>
          <w:p w:rsidR="001D5CD0" w:rsidRPr="008B4ABA" w:rsidRDefault="001D5CD0" w:rsidP="00F22F9F">
            <w:pPr>
              <w:autoSpaceDE w:val="0"/>
              <w:autoSpaceDN w:val="0"/>
              <w:adjustRightInd w:val="0"/>
              <w:spacing w:before="29" w:line="360" w:lineRule="auto"/>
              <w:ind w:left="17"/>
              <w:jc w:val="center"/>
              <w:rPr>
                <w:rFonts w:eastAsiaTheme="minorEastAsia"/>
                <w:color w:val="000000"/>
                <w:kern w:val="0"/>
                <w:sz w:val="24"/>
              </w:rPr>
            </w:pPr>
            <w:r w:rsidRPr="008B4ABA">
              <w:rPr>
                <w:rFonts w:eastAsiaTheme="minorEastAsia"/>
                <w:color w:val="000000"/>
                <w:kern w:val="0"/>
                <w:sz w:val="24"/>
              </w:rPr>
              <w:t>名称</w:t>
            </w:r>
          </w:p>
        </w:tc>
        <w:tc>
          <w:tcPr>
            <w:tcW w:w="4808" w:type="dxa"/>
            <w:vAlign w:val="center"/>
          </w:tcPr>
          <w:p w:rsidR="001D5CD0" w:rsidRPr="008B4ABA" w:rsidRDefault="001D5CD0" w:rsidP="00F22F9F">
            <w:pPr>
              <w:autoSpaceDE w:val="0"/>
              <w:autoSpaceDN w:val="0"/>
              <w:adjustRightInd w:val="0"/>
              <w:spacing w:before="29" w:line="360" w:lineRule="auto"/>
              <w:ind w:left="17"/>
              <w:jc w:val="center"/>
              <w:rPr>
                <w:rFonts w:eastAsiaTheme="minorEastAsia"/>
                <w:color w:val="000000"/>
                <w:kern w:val="0"/>
                <w:sz w:val="24"/>
              </w:rPr>
            </w:pPr>
            <w:r w:rsidRPr="008B4ABA">
              <w:rPr>
                <w:rFonts w:eastAsiaTheme="minorEastAsia"/>
                <w:color w:val="000000"/>
                <w:kern w:val="0"/>
                <w:sz w:val="24"/>
              </w:rPr>
              <w:t>金额</w:t>
            </w:r>
            <w:r w:rsidRPr="008B4ABA">
              <w:rPr>
                <w:rFonts w:eastAsiaTheme="minorEastAsia"/>
                <w:color w:val="000000"/>
                <w:kern w:val="0"/>
                <w:sz w:val="24"/>
              </w:rPr>
              <w:t>(</w:t>
            </w:r>
            <w:r w:rsidRPr="008B4ABA">
              <w:rPr>
                <w:rFonts w:eastAsiaTheme="minorEastAsia"/>
                <w:color w:val="000000"/>
                <w:kern w:val="0"/>
                <w:sz w:val="24"/>
              </w:rPr>
              <w:t>元</w:t>
            </w:r>
            <w:r w:rsidRPr="008B4ABA">
              <w:rPr>
                <w:rFonts w:eastAsiaTheme="minorEastAsia"/>
                <w:color w:val="000000"/>
                <w:kern w:val="0"/>
                <w:sz w:val="24"/>
              </w:rPr>
              <w:t>)</w:t>
            </w:r>
          </w:p>
        </w:tc>
      </w:tr>
      <w:tr w:rsidR="001D5CD0" w:rsidRPr="00B75DF8" w:rsidTr="003F7026">
        <w:tc>
          <w:tcPr>
            <w:tcW w:w="944" w:type="dxa"/>
            <w:vAlign w:val="center"/>
          </w:tcPr>
          <w:p w:rsidR="001D5CD0" w:rsidRPr="008B4ABA" w:rsidRDefault="001D5CD0" w:rsidP="00F22F9F">
            <w:pPr>
              <w:autoSpaceDE w:val="0"/>
              <w:autoSpaceDN w:val="0"/>
              <w:adjustRightInd w:val="0"/>
              <w:spacing w:before="29" w:line="360" w:lineRule="auto"/>
              <w:ind w:left="15"/>
              <w:jc w:val="center"/>
              <w:rPr>
                <w:rFonts w:eastAsiaTheme="minorEastAsia"/>
                <w:color w:val="000000"/>
                <w:kern w:val="0"/>
                <w:sz w:val="24"/>
              </w:rPr>
            </w:pPr>
            <w:r w:rsidRPr="008B4ABA">
              <w:rPr>
                <w:rFonts w:eastAsiaTheme="minorEastAsia"/>
                <w:color w:val="000000"/>
                <w:sz w:val="24"/>
              </w:rPr>
              <w:t>1</w:t>
            </w:r>
          </w:p>
        </w:tc>
        <w:tc>
          <w:tcPr>
            <w:tcW w:w="2761" w:type="dxa"/>
            <w:vAlign w:val="center"/>
          </w:tcPr>
          <w:p w:rsidR="001D5CD0" w:rsidRPr="008B4ABA" w:rsidRDefault="001D5CD0" w:rsidP="00F22F9F">
            <w:pPr>
              <w:autoSpaceDE w:val="0"/>
              <w:autoSpaceDN w:val="0"/>
              <w:adjustRightInd w:val="0"/>
              <w:spacing w:before="29" w:line="360" w:lineRule="auto"/>
              <w:ind w:left="15"/>
              <w:jc w:val="left"/>
              <w:rPr>
                <w:rFonts w:eastAsiaTheme="minorEastAsia"/>
                <w:color w:val="000000"/>
                <w:kern w:val="0"/>
                <w:sz w:val="24"/>
              </w:rPr>
            </w:pPr>
            <w:r w:rsidRPr="008B4ABA">
              <w:rPr>
                <w:rFonts w:eastAsiaTheme="minorEastAsia"/>
                <w:color w:val="000000"/>
                <w:kern w:val="0"/>
                <w:sz w:val="24"/>
              </w:rPr>
              <w:t>存出保证金</w:t>
            </w:r>
          </w:p>
        </w:tc>
        <w:tc>
          <w:tcPr>
            <w:tcW w:w="4808" w:type="dxa"/>
            <w:vAlign w:val="center"/>
          </w:tcPr>
          <w:p w:rsidR="001D5CD0" w:rsidRPr="008B4ABA" w:rsidRDefault="001D5CD0" w:rsidP="003F7026">
            <w:pPr>
              <w:autoSpaceDE w:val="0"/>
              <w:autoSpaceDN w:val="0"/>
              <w:adjustRightInd w:val="0"/>
              <w:spacing w:before="29" w:line="360" w:lineRule="auto"/>
              <w:ind w:left="15"/>
              <w:jc w:val="right"/>
              <w:rPr>
                <w:rFonts w:eastAsiaTheme="minorEastAsia"/>
                <w:color w:val="000000"/>
                <w:kern w:val="0"/>
                <w:sz w:val="24"/>
              </w:rPr>
            </w:pPr>
            <w:r w:rsidRPr="008B4ABA">
              <w:rPr>
                <w:rFonts w:eastAsiaTheme="minorEastAsia"/>
                <w:color w:val="000000"/>
                <w:kern w:val="0"/>
                <w:sz w:val="24"/>
              </w:rPr>
              <w:t>3,659.53</w:t>
            </w:r>
          </w:p>
        </w:tc>
      </w:tr>
      <w:tr w:rsidR="001D5CD0" w:rsidRPr="00B75DF8" w:rsidTr="003F7026">
        <w:tc>
          <w:tcPr>
            <w:tcW w:w="944" w:type="dxa"/>
            <w:vAlign w:val="center"/>
          </w:tcPr>
          <w:p w:rsidR="001D5CD0" w:rsidRPr="008B4ABA" w:rsidRDefault="001D5CD0" w:rsidP="00F22F9F">
            <w:pPr>
              <w:autoSpaceDE w:val="0"/>
              <w:autoSpaceDN w:val="0"/>
              <w:adjustRightInd w:val="0"/>
              <w:spacing w:before="29" w:line="360" w:lineRule="auto"/>
              <w:ind w:left="15"/>
              <w:jc w:val="center"/>
              <w:rPr>
                <w:rFonts w:eastAsiaTheme="minorEastAsia"/>
                <w:color w:val="000000"/>
                <w:sz w:val="24"/>
              </w:rPr>
            </w:pPr>
            <w:r w:rsidRPr="008B4ABA">
              <w:rPr>
                <w:rFonts w:eastAsiaTheme="minorEastAsia"/>
                <w:color w:val="000000"/>
                <w:sz w:val="24"/>
              </w:rPr>
              <w:t>2</w:t>
            </w:r>
          </w:p>
        </w:tc>
        <w:tc>
          <w:tcPr>
            <w:tcW w:w="2761" w:type="dxa"/>
            <w:vAlign w:val="center"/>
          </w:tcPr>
          <w:p w:rsidR="001D5CD0" w:rsidRPr="008B4ABA" w:rsidRDefault="001D5CD0" w:rsidP="00F22F9F">
            <w:pPr>
              <w:autoSpaceDE w:val="0"/>
              <w:autoSpaceDN w:val="0"/>
              <w:adjustRightInd w:val="0"/>
              <w:spacing w:before="29" w:line="360" w:lineRule="auto"/>
              <w:ind w:left="15"/>
              <w:jc w:val="left"/>
              <w:rPr>
                <w:rFonts w:eastAsiaTheme="minorEastAsia"/>
                <w:color w:val="000000"/>
                <w:kern w:val="0"/>
                <w:sz w:val="24"/>
              </w:rPr>
            </w:pPr>
            <w:r w:rsidRPr="008B4ABA">
              <w:rPr>
                <w:rFonts w:eastAsiaTheme="minorEastAsia"/>
                <w:color w:val="000000"/>
                <w:kern w:val="0"/>
                <w:sz w:val="24"/>
              </w:rPr>
              <w:t>应收证券清算款</w:t>
            </w:r>
          </w:p>
        </w:tc>
        <w:tc>
          <w:tcPr>
            <w:tcW w:w="4808" w:type="dxa"/>
            <w:vAlign w:val="center"/>
          </w:tcPr>
          <w:p w:rsidR="001D5CD0" w:rsidRPr="008B4ABA" w:rsidRDefault="001D5CD0" w:rsidP="003F7026">
            <w:pPr>
              <w:autoSpaceDE w:val="0"/>
              <w:autoSpaceDN w:val="0"/>
              <w:adjustRightInd w:val="0"/>
              <w:spacing w:before="29" w:line="360" w:lineRule="auto"/>
              <w:ind w:left="15"/>
              <w:jc w:val="right"/>
              <w:rPr>
                <w:rFonts w:eastAsiaTheme="minorEastAsia"/>
                <w:color w:val="000000"/>
                <w:kern w:val="0"/>
                <w:sz w:val="24"/>
              </w:rPr>
            </w:pPr>
            <w:r w:rsidRPr="008B4ABA">
              <w:rPr>
                <w:rFonts w:eastAsiaTheme="minorEastAsia"/>
                <w:color w:val="000000"/>
                <w:kern w:val="0"/>
                <w:sz w:val="24"/>
              </w:rPr>
              <w:t>-</w:t>
            </w:r>
          </w:p>
        </w:tc>
      </w:tr>
      <w:tr w:rsidR="001D5CD0" w:rsidRPr="00B75DF8" w:rsidTr="003F7026">
        <w:tc>
          <w:tcPr>
            <w:tcW w:w="944" w:type="dxa"/>
            <w:vAlign w:val="center"/>
          </w:tcPr>
          <w:p w:rsidR="001D5CD0" w:rsidRPr="008B4ABA" w:rsidRDefault="001D5CD0" w:rsidP="00F22F9F">
            <w:pPr>
              <w:autoSpaceDE w:val="0"/>
              <w:autoSpaceDN w:val="0"/>
              <w:adjustRightInd w:val="0"/>
              <w:spacing w:before="29" w:line="360" w:lineRule="auto"/>
              <w:ind w:left="15"/>
              <w:jc w:val="center"/>
              <w:rPr>
                <w:rFonts w:eastAsiaTheme="minorEastAsia"/>
                <w:color w:val="000000"/>
                <w:sz w:val="24"/>
              </w:rPr>
            </w:pPr>
            <w:r w:rsidRPr="008B4ABA">
              <w:rPr>
                <w:rFonts w:eastAsiaTheme="minorEastAsia"/>
                <w:color w:val="000000"/>
                <w:sz w:val="24"/>
              </w:rPr>
              <w:t>3</w:t>
            </w:r>
          </w:p>
        </w:tc>
        <w:tc>
          <w:tcPr>
            <w:tcW w:w="2761" w:type="dxa"/>
            <w:vAlign w:val="center"/>
          </w:tcPr>
          <w:p w:rsidR="001D5CD0" w:rsidRPr="008B4ABA" w:rsidRDefault="001D5CD0" w:rsidP="00F22F9F">
            <w:pPr>
              <w:autoSpaceDE w:val="0"/>
              <w:autoSpaceDN w:val="0"/>
              <w:adjustRightInd w:val="0"/>
              <w:spacing w:before="29" w:line="360" w:lineRule="auto"/>
              <w:ind w:left="15"/>
              <w:jc w:val="left"/>
              <w:rPr>
                <w:rFonts w:eastAsiaTheme="minorEastAsia"/>
                <w:color w:val="000000"/>
                <w:kern w:val="0"/>
                <w:sz w:val="24"/>
              </w:rPr>
            </w:pPr>
            <w:r w:rsidRPr="008B4ABA">
              <w:rPr>
                <w:rFonts w:eastAsiaTheme="minorEastAsia"/>
                <w:color w:val="000000"/>
                <w:kern w:val="0"/>
                <w:sz w:val="24"/>
              </w:rPr>
              <w:t>应收股利</w:t>
            </w:r>
          </w:p>
        </w:tc>
        <w:tc>
          <w:tcPr>
            <w:tcW w:w="4808" w:type="dxa"/>
            <w:vAlign w:val="center"/>
          </w:tcPr>
          <w:p w:rsidR="001D5CD0" w:rsidRPr="008B4ABA" w:rsidRDefault="001D5CD0" w:rsidP="003F7026">
            <w:pPr>
              <w:autoSpaceDE w:val="0"/>
              <w:autoSpaceDN w:val="0"/>
              <w:adjustRightInd w:val="0"/>
              <w:spacing w:before="29" w:line="360" w:lineRule="auto"/>
              <w:ind w:left="15"/>
              <w:jc w:val="right"/>
              <w:rPr>
                <w:rFonts w:eastAsiaTheme="minorEastAsia"/>
                <w:color w:val="000000"/>
                <w:kern w:val="0"/>
                <w:sz w:val="24"/>
              </w:rPr>
            </w:pPr>
            <w:r w:rsidRPr="008B4ABA">
              <w:rPr>
                <w:rFonts w:eastAsiaTheme="minorEastAsia"/>
                <w:color w:val="000000"/>
                <w:kern w:val="0"/>
                <w:sz w:val="24"/>
              </w:rPr>
              <w:t>-</w:t>
            </w:r>
          </w:p>
        </w:tc>
      </w:tr>
      <w:tr w:rsidR="001D5CD0" w:rsidRPr="00B75DF8" w:rsidTr="003F7026">
        <w:tc>
          <w:tcPr>
            <w:tcW w:w="944" w:type="dxa"/>
            <w:vAlign w:val="center"/>
          </w:tcPr>
          <w:p w:rsidR="001D5CD0" w:rsidRPr="008B4ABA" w:rsidRDefault="001D5CD0" w:rsidP="00F22F9F">
            <w:pPr>
              <w:autoSpaceDE w:val="0"/>
              <w:autoSpaceDN w:val="0"/>
              <w:adjustRightInd w:val="0"/>
              <w:spacing w:before="29" w:line="360" w:lineRule="auto"/>
              <w:ind w:left="15"/>
              <w:jc w:val="center"/>
              <w:rPr>
                <w:rFonts w:eastAsiaTheme="minorEastAsia"/>
                <w:color w:val="000000"/>
                <w:sz w:val="24"/>
              </w:rPr>
            </w:pPr>
            <w:r w:rsidRPr="008B4ABA">
              <w:rPr>
                <w:rFonts w:eastAsiaTheme="minorEastAsia"/>
                <w:color w:val="000000"/>
                <w:sz w:val="24"/>
              </w:rPr>
              <w:t>4</w:t>
            </w:r>
          </w:p>
        </w:tc>
        <w:tc>
          <w:tcPr>
            <w:tcW w:w="2761" w:type="dxa"/>
            <w:vAlign w:val="center"/>
          </w:tcPr>
          <w:p w:rsidR="001D5CD0" w:rsidRPr="008B4ABA" w:rsidRDefault="001D5CD0" w:rsidP="00F22F9F">
            <w:pPr>
              <w:autoSpaceDE w:val="0"/>
              <w:autoSpaceDN w:val="0"/>
              <w:adjustRightInd w:val="0"/>
              <w:spacing w:before="29" w:line="360" w:lineRule="auto"/>
              <w:ind w:left="15"/>
              <w:jc w:val="left"/>
              <w:rPr>
                <w:rFonts w:eastAsiaTheme="minorEastAsia"/>
                <w:color w:val="000000"/>
                <w:kern w:val="0"/>
                <w:sz w:val="24"/>
              </w:rPr>
            </w:pPr>
            <w:r w:rsidRPr="008B4ABA">
              <w:rPr>
                <w:rFonts w:eastAsiaTheme="minorEastAsia"/>
                <w:color w:val="000000"/>
                <w:kern w:val="0"/>
                <w:sz w:val="24"/>
              </w:rPr>
              <w:t>应收利息</w:t>
            </w:r>
          </w:p>
        </w:tc>
        <w:tc>
          <w:tcPr>
            <w:tcW w:w="4808" w:type="dxa"/>
            <w:vAlign w:val="center"/>
          </w:tcPr>
          <w:p w:rsidR="001D5CD0" w:rsidRPr="008B4ABA" w:rsidRDefault="001D5CD0" w:rsidP="003F7026">
            <w:pPr>
              <w:autoSpaceDE w:val="0"/>
              <w:autoSpaceDN w:val="0"/>
              <w:adjustRightInd w:val="0"/>
              <w:spacing w:before="29" w:line="360" w:lineRule="auto"/>
              <w:ind w:left="15"/>
              <w:jc w:val="right"/>
              <w:rPr>
                <w:rFonts w:eastAsiaTheme="minorEastAsia"/>
                <w:color w:val="000000"/>
                <w:kern w:val="0"/>
                <w:sz w:val="24"/>
              </w:rPr>
            </w:pPr>
            <w:r w:rsidRPr="008B4ABA">
              <w:rPr>
                <w:rFonts w:eastAsiaTheme="minorEastAsia"/>
                <w:color w:val="000000"/>
                <w:kern w:val="0"/>
                <w:sz w:val="24"/>
              </w:rPr>
              <w:t>9.61</w:t>
            </w:r>
          </w:p>
        </w:tc>
      </w:tr>
      <w:tr w:rsidR="001D5CD0" w:rsidRPr="00B75DF8" w:rsidTr="003F7026">
        <w:tc>
          <w:tcPr>
            <w:tcW w:w="944" w:type="dxa"/>
            <w:vAlign w:val="center"/>
          </w:tcPr>
          <w:p w:rsidR="001D5CD0" w:rsidRPr="008B4ABA" w:rsidRDefault="001D5CD0" w:rsidP="00F22F9F">
            <w:pPr>
              <w:autoSpaceDE w:val="0"/>
              <w:autoSpaceDN w:val="0"/>
              <w:adjustRightInd w:val="0"/>
              <w:spacing w:before="29" w:line="360" w:lineRule="auto"/>
              <w:ind w:left="15"/>
              <w:jc w:val="center"/>
              <w:rPr>
                <w:rFonts w:eastAsiaTheme="minorEastAsia"/>
                <w:color w:val="000000"/>
                <w:sz w:val="24"/>
              </w:rPr>
            </w:pPr>
            <w:r w:rsidRPr="008B4ABA">
              <w:rPr>
                <w:rFonts w:eastAsiaTheme="minorEastAsia"/>
                <w:color w:val="000000"/>
                <w:sz w:val="24"/>
              </w:rPr>
              <w:t>5</w:t>
            </w:r>
          </w:p>
        </w:tc>
        <w:tc>
          <w:tcPr>
            <w:tcW w:w="2761" w:type="dxa"/>
            <w:vAlign w:val="center"/>
          </w:tcPr>
          <w:p w:rsidR="001D5CD0" w:rsidRPr="008B4ABA" w:rsidRDefault="001D5CD0" w:rsidP="00F22F9F">
            <w:pPr>
              <w:autoSpaceDE w:val="0"/>
              <w:autoSpaceDN w:val="0"/>
              <w:adjustRightInd w:val="0"/>
              <w:spacing w:before="29" w:line="360" w:lineRule="auto"/>
              <w:ind w:left="15"/>
              <w:jc w:val="left"/>
              <w:rPr>
                <w:rFonts w:eastAsiaTheme="minorEastAsia"/>
                <w:color w:val="000000"/>
                <w:kern w:val="0"/>
                <w:sz w:val="24"/>
              </w:rPr>
            </w:pPr>
            <w:r w:rsidRPr="008B4ABA">
              <w:rPr>
                <w:rFonts w:eastAsiaTheme="minorEastAsia"/>
                <w:color w:val="000000"/>
                <w:kern w:val="0"/>
                <w:sz w:val="24"/>
              </w:rPr>
              <w:t>应收申购款</w:t>
            </w:r>
          </w:p>
        </w:tc>
        <w:tc>
          <w:tcPr>
            <w:tcW w:w="4808" w:type="dxa"/>
            <w:vAlign w:val="center"/>
          </w:tcPr>
          <w:p w:rsidR="001D5CD0" w:rsidRPr="008B4ABA" w:rsidRDefault="001D5CD0" w:rsidP="003F7026">
            <w:pPr>
              <w:autoSpaceDE w:val="0"/>
              <w:autoSpaceDN w:val="0"/>
              <w:adjustRightInd w:val="0"/>
              <w:spacing w:before="29" w:line="360" w:lineRule="auto"/>
              <w:ind w:left="15"/>
              <w:jc w:val="right"/>
              <w:rPr>
                <w:rFonts w:eastAsiaTheme="minorEastAsia"/>
                <w:color w:val="000000"/>
                <w:kern w:val="0"/>
                <w:sz w:val="24"/>
              </w:rPr>
            </w:pPr>
            <w:r w:rsidRPr="008B4ABA">
              <w:rPr>
                <w:rFonts w:eastAsiaTheme="minorEastAsia"/>
                <w:color w:val="000000"/>
                <w:kern w:val="0"/>
                <w:sz w:val="24"/>
              </w:rPr>
              <w:t>-</w:t>
            </w:r>
          </w:p>
        </w:tc>
      </w:tr>
      <w:tr w:rsidR="001D5CD0" w:rsidRPr="00B75DF8" w:rsidTr="003F7026">
        <w:tc>
          <w:tcPr>
            <w:tcW w:w="944" w:type="dxa"/>
            <w:vAlign w:val="center"/>
          </w:tcPr>
          <w:p w:rsidR="001D5CD0" w:rsidRPr="008B4ABA" w:rsidRDefault="001D5CD0" w:rsidP="00F22F9F">
            <w:pPr>
              <w:autoSpaceDE w:val="0"/>
              <w:autoSpaceDN w:val="0"/>
              <w:adjustRightInd w:val="0"/>
              <w:spacing w:before="29" w:line="360" w:lineRule="auto"/>
              <w:ind w:left="15"/>
              <w:jc w:val="center"/>
              <w:rPr>
                <w:rFonts w:eastAsiaTheme="minorEastAsia"/>
                <w:color w:val="000000"/>
                <w:sz w:val="24"/>
              </w:rPr>
            </w:pPr>
            <w:r w:rsidRPr="008B4ABA">
              <w:rPr>
                <w:rFonts w:eastAsiaTheme="minorEastAsia"/>
                <w:color w:val="000000"/>
                <w:sz w:val="24"/>
              </w:rPr>
              <w:t>6</w:t>
            </w:r>
          </w:p>
        </w:tc>
        <w:tc>
          <w:tcPr>
            <w:tcW w:w="2761" w:type="dxa"/>
            <w:vAlign w:val="center"/>
          </w:tcPr>
          <w:p w:rsidR="001D5CD0" w:rsidRPr="008B4ABA" w:rsidRDefault="001D5CD0" w:rsidP="00F22F9F">
            <w:pPr>
              <w:autoSpaceDE w:val="0"/>
              <w:autoSpaceDN w:val="0"/>
              <w:adjustRightInd w:val="0"/>
              <w:spacing w:before="29" w:line="360" w:lineRule="auto"/>
              <w:ind w:left="15"/>
              <w:jc w:val="left"/>
              <w:rPr>
                <w:rFonts w:eastAsiaTheme="minorEastAsia"/>
                <w:color w:val="000000"/>
                <w:kern w:val="0"/>
                <w:sz w:val="24"/>
              </w:rPr>
            </w:pPr>
            <w:r w:rsidRPr="008B4ABA">
              <w:rPr>
                <w:rFonts w:eastAsiaTheme="minorEastAsia"/>
                <w:color w:val="000000"/>
                <w:kern w:val="0"/>
                <w:sz w:val="24"/>
              </w:rPr>
              <w:t>其他应收款</w:t>
            </w:r>
          </w:p>
        </w:tc>
        <w:tc>
          <w:tcPr>
            <w:tcW w:w="4808" w:type="dxa"/>
            <w:vAlign w:val="center"/>
          </w:tcPr>
          <w:p w:rsidR="001D5CD0" w:rsidRPr="008B4ABA" w:rsidRDefault="001D5CD0" w:rsidP="003F7026">
            <w:pPr>
              <w:autoSpaceDE w:val="0"/>
              <w:autoSpaceDN w:val="0"/>
              <w:adjustRightInd w:val="0"/>
              <w:spacing w:before="29" w:line="360" w:lineRule="auto"/>
              <w:ind w:left="15"/>
              <w:jc w:val="right"/>
              <w:rPr>
                <w:rFonts w:eastAsiaTheme="minorEastAsia"/>
                <w:color w:val="000000"/>
                <w:kern w:val="0"/>
                <w:sz w:val="24"/>
              </w:rPr>
            </w:pPr>
            <w:r w:rsidRPr="008B4ABA">
              <w:rPr>
                <w:rFonts w:eastAsiaTheme="minorEastAsia"/>
                <w:color w:val="000000"/>
                <w:kern w:val="0"/>
                <w:sz w:val="24"/>
              </w:rPr>
              <w:t>-</w:t>
            </w:r>
          </w:p>
        </w:tc>
      </w:tr>
      <w:tr w:rsidR="001D5CD0" w:rsidRPr="00B75DF8" w:rsidTr="003F7026">
        <w:tc>
          <w:tcPr>
            <w:tcW w:w="944" w:type="dxa"/>
            <w:vAlign w:val="center"/>
          </w:tcPr>
          <w:p w:rsidR="001D5CD0" w:rsidRPr="008B4ABA" w:rsidRDefault="001D5CD0" w:rsidP="00F22F9F">
            <w:pPr>
              <w:autoSpaceDE w:val="0"/>
              <w:autoSpaceDN w:val="0"/>
              <w:adjustRightInd w:val="0"/>
              <w:spacing w:before="29" w:line="360" w:lineRule="auto"/>
              <w:ind w:left="15"/>
              <w:jc w:val="center"/>
              <w:rPr>
                <w:rFonts w:eastAsiaTheme="minorEastAsia"/>
                <w:color w:val="000000"/>
                <w:sz w:val="24"/>
              </w:rPr>
            </w:pPr>
            <w:r w:rsidRPr="008B4ABA">
              <w:rPr>
                <w:rFonts w:eastAsiaTheme="minorEastAsia"/>
                <w:color w:val="000000"/>
                <w:sz w:val="24"/>
              </w:rPr>
              <w:t>7</w:t>
            </w:r>
          </w:p>
        </w:tc>
        <w:tc>
          <w:tcPr>
            <w:tcW w:w="2761" w:type="dxa"/>
            <w:vAlign w:val="center"/>
          </w:tcPr>
          <w:p w:rsidR="001D5CD0" w:rsidRPr="008B4ABA" w:rsidRDefault="001D5CD0" w:rsidP="00F22F9F">
            <w:pPr>
              <w:autoSpaceDE w:val="0"/>
              <w:autoSpaceDN w:val="0"/>
              <w:adjustRightInd w:val="0"/>
              <w:spacing w:before="29" w:line="360" w:lineRule="auto"/>
              <w:ind w:left="15"/>
              <w:jc w:val="left"/>
              <w:rPr>
                <w:rFonts w:eastAsiaTheme="minorEastAsia"/>
                <w:color w:val="000000"/>
                <w:sz w:val="24"/>
              </w:rPr>
            </w:pPr>
            <w:r w:rsidRPr="008B4ABA">
              <w:rPr>
                <w:rFonts w:eastAsiaTheme="minorEastAsia"/>
                <w:color w:val="000000"/>
                <w:sz w:val="24"/>
              </w:rPr>
              <w:t>待摊费用</w:t>
            </w:r>
          </w:p>
        </w:tc>
        <w:tc>
          <w:tcPr>
            <w:tcW w:w="4808" w:type="dxa"/>
            <w:vAlign w:val="center"/>
          </w:tcPr>
          <w:p w:rsidR="001D5CD0" w:rsidRPr="008B4ABA" w:rsidRDefault="001D5CD0" w:rsidP="003F7026">
            <w:pPr>
              <w:autoSpaceDE w:val="0"/>
              <w:autoSpaceDN w:val="0"/>
              <w:adjustRightInd w:val="0"/>
              <w:spacing w:before="29" w:line="360" w:lineRule="auto"/>
              <w:ind w:left="15"/>
              <w:jc w:val="right"/>
              <w:rPr>
                <w:rFonts w:eastAsiaTheme="minorEastAsia"/>
                <w:color w:val="000000"/>
                <w:sz w:val="24"/>
              </w:rPr>
            </w:pPr>
            <w:r w:rsidRPr="008B4ABA">
              <w:rPr>
                <w:rFonts w:eastAsiaTheme="minorEastAsia"/>
                <w:color w:val="000000"/>
                <w:sz w:val="24"/>
              </w:rPr>
              <w:t>-</w:t>
            </w:r>
          </w:p>
        </w:tc>
      </w:tr>
      <w:tr w:rsidR="001D5CD0" w:rsidRPr="00B75DF8" w:rsidTr="00F22F9F">
        <w:tc>
          <w:tcPr>
            <w:tcW w:w="944" w:type="dxa"/>
            <w:vAlign w:val="center"/>
          </w:tcPr>
          <w:p w:rsidR="001D5CD0" w:rsidRPr="008B4ABA" w:rsidRDefault="001D5CD0" w:rsidP="00F22F9F">
            <w:pPr>
              <w:autoSpaceDE w:val="0"/>
              <w:autoSpaceDN w:val="0"/>
              <w:adjustRightInd w:val="0"/>
              <w:spacing w:before="29" w:line="360" w:lineRule="auto"/>
              <w:ind w:left="15"/>
              <w:jc w:val="center"/>
              <w:rPr>
                <w:rFonts w:eastAsiaTheme="minorEastAsia"/>
                <w:color w:val="000000"/>
                <w:sz w:val="24"/>
              </w:rPr>
            </w:pPr>
            <w:r w:rsidRPr="008B4ABA">
              <w:rPr>
                <w:rFonts w:eastAsiaTheme="minorEastAsia"/>
                <w:color w:val="000000"/>
                <w:sz w:val="24"/>
              </w:rPr>
              <w:t>8</w:t>
            </w:r>
          </w:p>
        </w:tc>
        <w:tc>
          <w:tcPr>
            <w:tcW w:w="2761" w:type="dxa"/>
            <w:vAlign w:val="center"/>
          </w:tcPr>
          <w:p w:rsidR="001D5CD0" w:rsidRPr="008B4ABA" w:rsidRDefault="001D5CD0" w:rsidP="00F22F9F">
            <w:pPr>
              <w:autoSpaceDE w:val="0"/>
              <w:autoSpaceDN w:val="0"/>
              <w:adjustRightInd w:val="0"/>
              <w:spacing w:before="29" w:line="360" w:lineRule="auto"/>
              <w:ind w:left="15"/>
              <w:jc w:val="left"/>
              <w:rPr>
                <w:rFonts w:eastAsiaTheme="minorEastAsia"/>
                <w:color w:val="000000"/>
                <w:kern w:val="0"/>
                <w:sz w:val="24"/>
              </w:rPr>
            </w:pPr>
            <w:r w:rsidRPr="008B4ABA">
              <w:rPr>
                <w:rFonts w:eastAsiaTheme="minorEastAsia"/>
                <w:color w:val="000000"/>
                <w:kern w:val="0"/>
                <w:sz w:val="24"/>
              </w:rPr>
              <w:t>其他</w:t>
            </w:r>
          </w:p>
        </w:tc>
        <w:tc>
          <w:tcPr>
            <w:tcW w:w="4808" w:type="dxa"/>
            <w:vAlign w:val="center"/>
          </w:tcPr>
          <w:p w:rsidR="001D5CD0" w:rsidRPr="008B4ABA" w:rsidRDefault="001D5CD0" w:rsidP="00F22F9F">
            <w:pPr>
              <w:autoSpaceDE w:val="0"/>
              <w:autoSpaceDN w:val="0"/>
              <w:adjustRightInd w:val="0"/>
              <w:spacing w:before="29" w:line="360" w:lineRule="auto"/>
              <w:ind w:left="15"/>
              <w:jc w:val="right"/>
              <w:rPr>
                <w:rFonts w:eastAsiaTheme="minorEastAsia"/>
                <w:color w:val="000000"/>
                <w:kern w:val="0"/>
                <w:sz w:val="24"/>
              </w:rPr>
            </w:pPr>
            <w:r w:rsidRPr="008B4ABA">
              <w:rPr>
                <w:rFonts w:eastAsiaTheme="minorEastAsia"/>
                <w:color w:val="000000"/>
                <w:kern w:val="0"/>
                <w:sz w:val="24"/>
              </w:rPr>
              <w:t>-</w:t>
            </w:r>
          </w:p>
        </w:tc>
      </w:tr>
      <w:tr w:rsidR="001D5CD0" w:rsidRPr="00B75DF8" w:rsidTr="00F22F9F">
        <w:tc>
          <w:tcPr>
            <w:tcW w:w="944" w:type="dxa"/>
            <w:vAlign w:val="center"/>
          </w:tcPr>
          <w:p w:rsidR="001D5CD0" w:rsidRPr="008B4ABA" w:rsidRDefault="001D5CD0" w:rsidP="00F22F9F">
            <w:pPr>
              <w:autoSpaceDE w:val="0"/>
              <w:autoSpaceDN w:val="0"/>
              <w:adjustRightInd w:val="0"/>
              <w:spacing w:before="29" w:line="360" w:lineRule="auto"/>
              <w:ind w:left="15"/>
              <w:jc w:val="center"/>
              <w:rPr>
                <w:rFonts w:eastAsiaTheme="minorEastAsia"/>
                <w:color w:val="000000"/>
                <w:sz w:val="24"/>
              </w:rPr>
            </w:pPr>
            <w:r w:rsidRPr="008B4ABA">
              <w:rPr>
                <w:rFonts w:eastAsiaTheme="minorEastAsia"/>
                <w:color w:val="000000"/>
                <w:sz w:val="24"/>
              </w:rPr>
              <w:t>9</w:t>
            </w:r>
          </w:p>
        </w:tc>
        <w:tc>
          <w:tcPr>
            <w:tcW w:w="2761" w:type="dxa"/>
            <w:vAlign w:val="center"/>
          </w:tcPr>
          <w:p w:rsidR="001D5CD0" w:rsidRPr="008B4ABA" w:rsidRDefault="001D5CD0" w:rsidP="00F22F9F">
            <w:pPr>
              <w:autoSpaceDE w:val="0"/>
              <w:autoSpaceDN w:val="0"/>
              <w:adjustRightInd w:val="0"/>
              <w:spacing w:before="29" w:line="360" w:lineRule="auto"/>
              <w:ind w:left="15"/>
              <w:jc w:val="left"/>
              <w:rPr>
                <w:rFonts w:eastAsiaTheme="minorEastAsia"/>
                <w:color w:val="000000"/>
                <w:kern w:val="0"/>
                <w:sz w:val="24"/>
              </w:rPr>
            </w:pPr>
            <w:r w:rsidRPr="008B4ABA">
              <w:rPr>
                <w:rFonts w:eastAsiaTheme="minorEastAsia"/>
                <w:color w:val="000000"/>
                <w:kern w:val="0"/>
                <w:sz w:val="24"/>
              </w:rPr>
              <w:t>合计</w:t>
            </w:r>
          </w:p>
        </w:tc>
        <w:tc>
          <w:tcPr>
            <w:tcW w:w="4808" w:type="dxa"/>
            <w:vAlign w:val="center"/>
          </w:tcPr>
          <w:p w:rsidR="001D5CD0" w:rsidRPr="008B4ABA" w:rsidRDefault="001D5CD0" w:rsidP="00F22F9F">
            <w:pPr>
              <w:autoSpaceDE w:val="0"/>
              <w:autoSpaceDN w:val="0"/>
              <w:adjustRightInd w:val="0"/>
              <w:spacing w:before="29" w:line="360" w:lineRule="auto"/>
              <w:ind w:left="15"/>
              <w:jc w:val="right"/>
              <w:rPr>
                <w:rFonts w:eastAsiaTheme="minorEastAsia"/>
                <w:color w:val="000000"/>
                <w:kern w:val="0"/>
                <w:sz w:val="24"/>
              </w:rPr>
            </w:pPr>
            <w:r w:rsidRPr="008B4ABA">
              <w:rPr>
                <w:rFonts w:eastAsiaTheme="minorEastAsia"/>
                <w:color w:val="000000"/>
                <w:kern w:val="0"/>
                <w:sz w:val="24"/>
              </w:rPr>
              <w:t>3,669.14</w:t>
            </w:r>
          </w:p>
        </w:tc>
      </w:tr>
    </w:tbl>
    <w:p w:rsidR="001D5CD0" w:rsidRPr="00B75DF8" w:rsidRDefault="001D5CD0" w:rsidP="001D5CD0">
      <w:pPr>
        <w:autoSpaceDE w:val="0"/>
        <w:autoSpaceDN w:val="0"/>
        <w:adjustRightInd w:val="0"/>
        <w:spacing w:line="360" w:lineRule="auto"/>
        <w:jc w:val="left"/>
        <w:rPr>
          <w:rFonts w:asciiTheme="minorEastAsia" w:eastAsiaTheme="minorEastAsia" w:hAnsiTheme="minorEastAsia" w:cs="Arial"/>
          <w:b/>
          <w:kern w:val="0"/>
          <w:sz w:val="24"/>
        </w:rPr>
      </w:pPr>
      <w:r w:rsidRPr="00B75DF8">
        <w:rPr>
          <w:rFonts w:asciiTheme="minorEastAsia" w:eastAsiaTheme="minorEastAsia" w:hAnsiTheme="minorEastAsia" w:cs="Arial" w:hint="eastAsia"/>
          <w:b/>
          <w:kern w:val="0"/>
          <w:sz w:val="24"/>
        </w:rPr>
        <w:t>5</w:t>
      </w:r>
      <w:r w:rsidRPr="00B75DF8">
        <w:rPr>
          <w:rFonts w:asciiTheme="minorEastAsia" w:eastAsiaTheme="minorEastAsia" w:hAnsiTheme="minorEastAsia" w:cs="Arial"/>
          <w:b/>
          <w:kern w:val="0"/>
          <w:sz w:val="24"/>
        </w:rPr>
        <w:t>.</w:t>
      </w:r>
      <w:r w:rsidRPr="00B75DF8">
        <w:rPr>
          <w:rFonts w:asciiTheme="minorEastAsia" w:eastAsiaTheme="minorEastAsia" w:hAnsiTheme="minorEastAsia" w:cs="Arial" w:hint="eastAsia"/>
          <w:b/>
          <w:kern w:val="0"/>
          <w:sz w:val="24"/>
        </w:rPr>
        <w:t>11</w:t>
      </w:r>
      <w:r w:rsidRPr="00B75DF8">
        <w:rPr>
          <w:rFonts w:asciiTheme="minorEastAsia" w:eastAsiaTheme="minorEastAsia" w:hAnsiTheme="minorEastAsia" w:cs="Arial"/>
          <w:b/>
          <w:kern w:val="0"/>
          <w:sz w:val="24"/>
        </w:rPr>
        <w:t>.</w:t>
      </w:r>
      <w:r w:rsidRPr="00B75DF8">
        <w:rPr>
          <w:rFonts w:asciiTheme="minorEastAsia" w:eastAsiaTheme="minorEastAsia" w:hAnsiTheme="minorEastAsia" w:cs="Arial" w:hint="eastAsia"/>
          <w:b/>
          <w:kern w:val="0"/>
          <w:sz w:val="24"/>
        </w:rPr>
        <w:t>4</w:t>
      </w:r>
      <w:r w:rsidRPr="00B75DF8">
        <w:rPr>
          <w:rFonts w:asciiTheme="minorEastAsia" w:eastAsiaTheme="minorEastAsia" w:hAnsiTheme="minorEastAsia" w:cs="Arial"/>
          <w:b/>
          <w:kern w:val="0"/>
          <w:sz w:val="24"/>
        </w:rPr>
        <w:t>报告期末持有的处于转股期的可转换债券明细</w:t>
      </w:r>
    </w:p>
    <w:p w:rsidR="001D5CD0" w:rsidRPr="008B4ABA" w:rsidRDefault="001D5CD0" w:rsidP="008B4ABA">
      <w:pPr>
        <w:spacing w:line="360" w:lineRule="auto"/>
        <w:ind w:firstLineChars="200" w:firstLine="480"/>
        <w:rPr>
          <w:rFonts w:eastAsiaTheme="minorEastAsia"/>
          <w:color w:val="000000"/>
          <w:sz w:val="24"/>
        </w:rPr>
      </w:pPr>
      <w:r w:rsidRPr="00264591">
        <w:rPr>
          <w:rFonts w:eastAsiaTheme="minorEastAsia"/>
          <w:color w:val="000000"/>
          <w:sz w:val="24"/>
        </w:rPr>
        <w:t>本基金本报告期末未持有处于转股期的可转换债券。</w:t>
      </w:r>
    </w:p>
    <w:p w:rsidR="001D5CD0" w:rsidRPr="00B75DF8" w:rsidRDefault="001D5CD0" w:rsidP="001D5CD0">
      <w:pPr>
        <w:autoSpaceDE w:val="0"/>
        <w:autoSpaceDN w:val="0"/>
        <w:adjustRightInd w:val="0"/>
        <w:spacing w:line="360" w:lineRule="auto"/>
        <w:jc w:val="left"/>
        <w:rPr>
          <w:rFonts w:asciiTheme="minorEastAsia" w:eastAsiaTheme="minorEastAsia" w:hAnsiTheme="minorEastAsia"/>
          <w:b/>
          <w:bCs/>
          <w:sz w:val="24"/>
        </w:rPr>
      </w:pPr>
      <w:r w:rsidRPr="00B75DF8">
        <w:rPr>
          <w:rFonts w:asciiTheme="minorEastAsia" w:eastAsiaTheme="minorEastAsia" w:hAnsiTheme="minorEastAsia" w:cs="Arial" w:hint="eastAsia"/>
          <w:b/>
          <w:kern w:val="0"/>
          <w:sz w:val="24"/>
        </w:rPr>
        <w:t>5</w:t>
      </w:r>
      <w:r w:rsidRPr="00B75DF8">
        <w:rPr>
          <w:rFonts w:asciiTheme="minorEastAsia" w:eastAsiaTheme="minorEastAsia" w:hAnsiTheme="minorEastAsia" w:cs="Arial"/>
          <w:b/>
          <w:kern w:val="0"/>
          <w:sz w:val="24"/>
        </w:rPr>
        <w:t>.</w:t>
      </w:r>
      <w:r w:rsidRPr="00B75DF8">
        <w:rPr>
          <w:rFonts w:asciiTheme="minorEastAsia" w:eastAsiaTheme="minorEastAsia" w:hAnsiTheme="minorEastAsia" w:cs="Arial" w:hint="eastAsia"/>
          <w:b/>
          <w:kern w:val="0"/>
          <w:sz w:val="24"/>
        </w:rPr>
        <w:t>11</w:t>
      </w:r>
      <w:r w:rsidRPr="00B75DF8">
        <w:rPr>
          <w:rFonts w:asciiTheme="minorEastAsia" w:eastAsiaTheme="minorEastAsia" w:hAnsiTheme="minorEastAsia" w:cs="Arial"/>
          <w:b/>
          <w:kern w:val="0"/>
          <w:sz w:val="24"/>
        </w:rPr>
        <w:t>.</w:t>
      </w:r>
      <w:r w:rsidRPr="00B75DF8">
        <w:rPr>
          <w:rFonts w:asciiTheme="minorEastAsia" w:eastAsiaTheme="minorEastAsia" w:hAnsiTheme="minorEastAsia" w:cs="Arial" w:hint="eastAsia"/>
          <w:b/>
          <w:kern w:val="0"/>
          <w:sz w:val="24"/>
        </w:rPr>
        <w:t>5</w:t>
      </w:r>
      <w:r w:rsidRPr="00B75DF8">
        <w:rPr>
          <w:rFonts w:asciiTheme="minorEastAsia" w:eastAsiaTheme="minorEastAsia" w:hAnsiTheme="minorEastAsia" w:hint="eastAsia"/>
          <w:b/>
          <w:bCs/>
          <w:sz w:val="24"/>
        </w:rPr>
        <w:t>报告期末前十名股票中存在流通受限情况的说明</w:t>
      </w:r>
    </w:p>
    <w:p w:rsidR="001D5CD0" w:rsidRPr="008B4ABA" w:rsidRDefault="001D5CD0" w:rsidP="008B4ABA">
      <w:pPr>
        <w:spacing w:line="360" w:lineRule="auto"/>
        <w:ind w:firstLineChars="200" w:firstLine="480"/>
        <w:rPr>
          <w:rFonts w:eastAsiaTheme="minorEastAsia"/>
          <w:color w:val="000000"/>
          <w:sz w:val="24"/>
        </w:rPr>
      </w:pPr>
      <w:r w:rsidRPr="00264591">
        <w:rPr>
          <w:rFonts w:eastAsiaTheme="minorEastAsia"/>
          <w:color w:val="000000"/>
          <w:sz w:val="24"/>
        </w:rPr>
        <w:t>本基金本报告期末前十名股票中不存在流通受限情况。</w:t>
      </w:r>
    </w:p>
    <w:p w:rsidR="009238DB" w:rsidRPr="00B75DF8" w:rsidRDefault="009238DB" w:rsidP="00341503">
      <w:pPr>
        <w:pStyle w:val="1"/>
        <w:spacing w:beforeLines="100" w:afterLines="100" w:line="360" w:lineRule="auto"/>
        <w:jc w:val="center"/>
        <w:rPr>
          <w:rFonts w:asciiTheme="minorEastAsia" w:eastAsiaTheme="minorEastAsia" w:hAnsiTheme="minorEastAsia" w:cs="Arial"/>
          <w:color w:val="000000"/>
          <w:kern w:val="0"/>
          <w:sz w:val="24"/>
          <w:szCs w:val="24"/>
        </w:rPr>
      </w:pPr>
      <w:r w:rsidRPr="00B75DF8">
        <w:rPr>
          <w:rFonts w:asciiTheme="minorEastAsia" w:eastAsiaTheme="minorEastAsia" w:hAnsiTheme="minorEastAsia" w:cs="Arial" w:hint="eastAsia"/>
          <w:color w:val="000000"/>
          <w:kern w:val="0"/>
          <w:sz w:val="24"/>
          <w:szCs w:val="24"/>
        </w:rPr>
        <w:t>§</w:t>
      </w:r>
      <w:r w:rsidRPr="00B75DF8">
        <w:rPr>
          <w:rFonts w:asciiTheme="minorEastAsia" w:eastAsiaTheme="minorEastAsia" w:hAnsiTheme="minorEastAsia" w:cs="Arial"/>
          <w:color w:val="000000"/>
          <w:kern w:val="0"/>
          <w:sz w:val="24"/>
          <w:szCs w:val="24"/>
        </w:rPr>
        <w:t xml:space="preserve">6  </w:t>
      </w:r>
      <w:r w:rsidRPr="00B75DF8">
        <w:rPr>
          <w:rFonts w:asciiTheme="minorEastAsia" w:eastAsiaTheme="minorEastAsia" w:hAnsiTheme="minorEastAsia" w:cs="Arial" w:hint="eastAsia"/>
          <w:color w:val="000000"/>
          <w:kern w:val="0"/>
          <w:sz w:val="24"/>
          <w:szCs w:val="24"/>
        </w:rPr>
        <w:t>开放式基金份额变动</w:t>
      </w:r>
    </w:p>
    <w:p w:rsidR="009238DB" w:rsidRPr="00B75DF8" w:rsidRDefault="009238DB" w:rsidP="00302187">
      <w:pPr>
        <w:autoSpaceDE w:val="0"/>
        <w:autoSpaceDN w:val="0"/>
        <w:adjustRightInd w:val="0"/>
        <w:spacing w:before="29" w:line="288" w:lineRule="auto"/>
        <w:ind w:left="15" w:right="480"/>
        <w:jc w:val="right"/>
        <w:rPr>
          <w:rFonts w:asciiTheme="minorEastAsia" w:eastAsiaTheme="minorEastAsia" w:hAnsiTheme="minorEastAsia" w:cs="Arial"/>
          <w:color w:val="000000"/>
          <w:kern w:val="0"/>
          <w:sz w:val="24"/>
        </w:rPr>
      </w:pPr>
      <w:r w:rsidRPr="00B75DF8">
        <w:rPr>
          <w:rFonts w:asciiTheme="minorEastAsia" w:eastAsiaTheme="minorEastAsia" w:hAnsiTheme="minorEastAsia" w:cs="Arial" w:hint="eastAsia"/>
          <w:color w:val="000000"/>
          <w:kern w:val="0"/>
          <w:sz w:val="24"/>
        </w:rPr>
        <w:t>单位：份</w:t>
      </w:r>
    </w:p>
    <w:tbl>
      <w:tblPr>
        <w:tblW w:w="0" w:type="auto"/>
        <w:tblInd w:w="-106" w:type="dxa"/>
        <w:tblLayout w:type="fixed"/>
        <w:tblLook w:val="0000"/>
      </w:tblPr>
      <w:tblGrid>
        <w:gridCol w:w="3900"/>
        <w:gridCol w:w="2367"/>
        <w:gridCol w:w="2367"/>
      </w:tblGrid>
      <w:tr w:rsidR="00936D40" w:rsidRPr="00B75DF8"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8B4ABA" w:rsidRDefault="00936D40" w:rsidP="00B84643">
            <w:pPr>
              <w:autoSpaceDE w:val="0"/>
              <w:autoSpaceDN w:val="0"/>
              <w:adjustRightInd w:val="0"/>
              <w:spacing w:before="29" w:line="360" w:lineRule="auto"/>
              <w:ind w:left="17"/>
              <w:jc w:val="center"/>
              <w:rPr>
                <w:rFonts w:eastAsiaTheme="minorEastAsia"/>
                <w:color w:val="000000"/>
                <w:kern w:val="0"/>
                <w:sz w:val="24"/>
              </w:rPr>
            </w:pPr>
            <w:r w:rsidRPr="008B4AB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8B4ABA" w:rsidRDefault="0042785F" w:rsidP="00A1276C">
            <w:pPr>
              <w:autoSpaceDE w:val="0"/>
              <w:autoSpaceDN w:val="0"/>
              <w:adjustRightInd w:val="0"/>
              <w:spacing w:before="29" w:line="360" w:lineRule="auto"/>
              <w:ind w:left="17"/>
              <w:jc w:val="right"/>
              <w:rPr>
                <w:rFonts w:eastAsiaTheme="minorEastAsia"/>
                <w:color w:val="000000"/>
                <w:sz w:val="24"/>
              </w:rPr>
            </w:pPr>
            <w:r w:rsidRPr="008B4ABA">
              <w:rPr>
                <w:rFonts w:eastAsiaTheme="minorEastAsia"/>
                <w:sz w:val="24"/>
              </w:rPr>
              <w:t>广发集安债券</w:t>
            </w:r>
            <w:r w:rsidRPr="008B4ABA">
              <w:rPr>
                <w:rFonts w:eastAsiaTheme="minorEastAsia"/>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8B4ABA" w:rsidRDefault="0042785F" w:rsidP="00936D40">
            <w:pPr>
              <w:autoSpaceDE w:val="0"/>
              <w:autoSpaceDN w:val="0"/>
              <w:adjustRightInd w:val="0"/>
              <w:spacing w:before="29" w:line="360" w:lineRule="auto"/>
              <w:ind w:left="17"/>
              <w:jc w:val="right"/>
              <w:rPr>
                <w:rFonts w:eastAsiaTheme="minorEastAsia"/>
                <w:color w:val="000000"/>
                <w:sz w:val="24"/>
              </w:rPr>
            </w:pPr>
            <w:r w:rsidRPr="008B4ABA">
              <w:rPr>
                <w:rFonts w:eastAsiaTheme="minorEastAsia"/>
                <w:sz w:val="24"/>
              </w:rPr>
              <w:t>广发集安债券</w:t>
            </w:r>
            <w:r w:rsidRPr="008B4ABA">
              <w:rPr>
                <w:rFonts w:eastAsiaTheme="minorEastAsia"/>
                <w:sz w:val="24"/>
              </w:rPr>
              <w:t>C</w:t>
            </w:r>
          </w:p>
        </w:tc>
      </w:tr>
      <w:tr w:rsidR="00936D40" w:rsidRPr="00B75DF8" w:rsidTr="003F7026">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8B4ABA" w:rsidRDefault="00936D40" w:rsidP="00A1276C">
            <w:pPr>
              <w:autoSpaceDE w:val="0"/>
              <w:autoSpaceDN w:val="0"/>
              <w:adjustRightInd w:val="0"/>
              <w:spacing w:before="29" w:line="360" w:lineRule="auto"/>
              <w:ind w:left="17"/>
              <w:jc w:val="left"/>
              <w:rPr>
                <w:rFonts w:eastAsiaTheme="minorEastAsia"/>
                <w:color w:val="000000"/>
                <w:kern w:val="0"/>
                <w:sz w:val="24"/>
              </w:rPr>
            </w:pPr>
            <w:r w:rsidRPr="008B4ABA">
              <w:rPr>
                <w:rFonts w:eastAsiaTheme="minorEastAsia"/>
                <w:color w:val="000000"/>
                <w:kern w:val="0"/>
                <w:sz w:val="24"/>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8B4ABA" w:rsidRDefault="0042785F" w:rsidP="003F7026">
            <w:pPr>
              <w:autoSpaceDE w:val="0"/>
              <w:autoSpaceDN w:val="0"/>
              <w:adjustRightInd w:val="0"/>
              <w:spacing w:before="29" w:line="360" w:lineRule="auto"/>
              <w:ind w:left="17"/>
              <w:jc w:val="right"/>
              <w:rPr>
                <w:rFonts w:eastAsiaTheme="minorEastAsia"/>
                <w:color w:val="000000"/>
                <w:sz w:val="24"/>
              </w:rPr>
            </w:pPr>
            <w:r w:rsidRPr="008B4ABA">
              <w:rPr>
                <w:rFonts w:eastAsiaTheme="minorEastAsia"/>
                <w:color w:val="000000"/>
                <w:sz w:val="24"/>
              </w:rPr>
              <w:t>3,148,590.19</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8B4ABA" w:rsidRDefault="0042785F" w:rsidP="003F7026">
            <w:pPr>
              <w:autoSpaceDE w:val="0"/>
              <w:autoSpaceDN w:val="0"/>
              <w:adjustRightInd w:val="0"/>
              <w:spacing w:before="29" w:line="360" w:lineRule="auto"/>
              <w:ind w:left="17"/>
              <w:jc w:val="right"/>
              <w:rPr>
                <w:rFonts w:eastAsiaTheme="minorEastAsia"/>
                <w:color w:val="000000"/>
                <w:sz w:val="24"/>
              </w:rPr>
            </w:pPr>
            <w:r w:rsidRPr="008B4ABA">
              <w:rPr>
                <w:rFonts w:eastAsiaTheme="minorEastAsia"/>
                <w:color w:val="000000"/>
                <w:sz w:val="24"/>
              </w:rPr>
              <w:t>1,303.87</w:t>
            </w:r>
          </w:p>
        </w:tc>
      </w:tr>
      <w:tr w:rsidR="00936D40" w:rsidRPr="00B75DF8" w:rsidTr="003F7026">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8B4ABA" w:rsidRDefault="00F72579" w:rsidP="00A1276C">
            <w:pPr>
              <w:autoSpaceDE w:val="0"/>
              <w:autoSpaceDN w:val="0"/>
              <w:adjustRightInd w:val="0"/>
              <w:spacing w:before="29" w:line="360" w:lineRule="auto"/>
              <w:ind w:left="17"/>
              <w:jc w:val="left"/>
              <w:rPr>
                <w:rFonts w:eastAsiaTheme="minorEastAsia"/>
                <w:color w:val="000000"/>
                <w:kern w:val="0"/>
                <w:sz w:val="24"/>
              </w:rPr>
            </w:pPr>
            <w:r w:rsidRPr="008B4ABA">
              <w:rPr>
                <w:rFonts w:eastAsiaTheme="minorEastAsia"/>
                <w:color w:val="000000"/>
                <w:kern w:val="0"/>
                <w:sz w:val="24"/>
              </w:rPr>
              <w:t>本报告期</w:t>
            </w:r>
            <w:r w:rsidR="00936D40" w:rsidRPr="008B4AB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8B4ABA" w:rsidRDefault="0042785F" w:rsidP="003F7026">
            <w:pPr>
              <w:autoSpaceDE w:val="0"/>
              <w:autoSpaceDN w:val="0"/>
              <w:adjustRightInd w:val="0"/>
              <w:spacing w:before="29" w:line="360" w:lineRule="auto"/>
              <w:ind w:left="17"/>
              <w:jc w:val="right"/>
              <w:rPr>
                <w:rFonts w:eastAsiaTheme="minorEastAsia"/>
                <w:color w:val="000000"/>
                <w:sz w:val="24"/>
              </w:rPr>
            </w:pPr>
            <w:r w:rsidRPr="008B4ABA">
              <w:rPr>
                <w:rFonts w:eastAsiaTheme="minorEastAsia"/>
                <w:color w:val="000000"/>
                <w:sz w:val="24"/>
              </w:rPr>
              <w:t>0.00</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8B4ABA" w:rsidRDefault="0042785F" w:rsidP="003F7026">
            <w:pPr>
              <w:autoSpaceDE w:val="0"/>
              <w:autoSpaceDN w:val="0"/>
              <w:adjustRightInd w:val="0"/>
              <w:spacing w:before="29" w:line="360" w:lineRule="auto"/>
              <w:ind w:left="17"/>
              <w:jc w:val="right"/>
              <w:rPr>
                <w:rFonts w:eastAsiaTheme="minorEastAsia"/>
                <w:color w:val="000000"/>
                <w:sz w:val="24"/>
              </w:rPr>
            </w:pPr>
            <w:r w:rsidRPr="008B4ABA">
              <w:rPr>
                <w:rFonts w:eastAsiaTheme="minorEastAsia"/>
                <w:color w:val="000000"/>
                <w:sz w:val="24"/>
              </w:rPr>
              <w:t>150,000.00</w:t>
            </w:r>
          </w:p>
        </w:tc>
      </w:tr>
      <w:tr w:rsidR="00936D40" w:rsidRPr="00B75DF8" w:rsidTr="003F7026">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8B4ABA" w:rsidRDefault="00936D40" w:rsidP="00A1276C">
            <w:pPr>
              <w:autoSpaceDE w:val="0"/>
              <w:autoSpaceDN w:val="0"/>
              <w:adjustRightInd w:val="0"/>
              <w:spacing w:before="29" w:line="360" w:lineRule="auto"/>
              <w:ind w:left="17"/>
              <w:jc w:val="left"/>
              <w:rPr>
                <w:rFonts w:eastAsiaTheme="minorEastAsia"/>
                <w:color w:val="000000"/>
                <w:kern w:val="0"/>
                <w:sz w:val="24"/>
              </w:rPr>
            </w:pPr>
            <w:r w:rsidRPr="008B4ABA">
              <w:rPr>
                <w:rFonts w:eastAsiaTheme="minorEastAsia"/>
                <w:color w:val="000000"/>
                <w:kern w:val="0"/>
                <w:sz w:val="24"/>
              </w:rPr>
              <w:t>减：</w:t>
            </w:r>
            <w:r w:rsidR="00F72579" w:rsidRPr="008B4ABA">
              <w:rPr>
                <w:rFonts w:eastAsiaTheme="minorEastAsia"/>
                <w:color w:val="000000"/>
                <w:kern w:val="0"/>
                <w:sz w:val="24"/>
              </w:rPr>
              <w:t>本报告期</w:t>
            </w:r>
            <w:r w:rsidRPr="008B4AB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8B4ABA" w:rsidRDefault="0042785F" w:rsidP="003F7026">
            <w:pPr>
              <w:autoSpaceDE w:val="0"/>
              <w:autoSpaceDN w:val="0"/>
              <w:adjustRightInd w:val="0"/>
              <w:spacing w:before="29" w:line="360" w:lineRule="auto"/>
              <w:ind w:left="17"/>
              <w:jc w:val="right"/>
              <w:rPr>
                <w:rFonts w:eastAsiaTheme="minorEastAsia"/>
                <w:color w:val="000000"/>
                <w:sz w:val="24"/>
              </w:rPr>
            </w:pPr>
            <w:r w:rsidRPr="008B4ABA">
              <w:rPr>
                <w:rFonts w:eastAsiaTheme="minorEastAsia"/>
                <w:color w:val="000000"/>
                <w:sz w:val="24"/>
              </w:rPr>
              <w:t>3,144,992.66</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8B4ABA" w:rsidRDefault="0042785F" w:rsidP="003F7026">
            <w:pPr>
              <w:autoSpaceDE w:val="0"/>
              <w:autoSpaceDN w:val="0"/>
              <w:adjustRightInd w:val="0"/>
              <w:spacing w:before="29" w:line="360" w:lineRule="auto"/>
              <w:ind w:left="17"/>
              <w:jc w:val="right"/>
              <w:rPr>
                <w:rFonts w:eastAsiaTheme="minorEastAsia"/>
                <w:color w:val="000000"/>
                <w:sz w:val="24"/>
              </w:rPr>
            </w:pPr>
            <w:r w:rsidRPr="008B4ABA">
              <w:rPr>
                <w:rFonts w:eastAsiaTheme="minorEastAsia"/>
                <w:color w:val="000000"/>
                <w:sz w:val="24"/>
              </w:rPr>
              <w:t>142,500.00</w:t>
            </w:r>
          </w:p>
        </w:tc>
      </w:tr>
      <w:tr w:rsidR="00936D40" w:rsidRPr="00B75DF8" w:rsidTr="003F7026">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8B4ABA" w:rsidRDefault="00F72579" w:rsidP="00A1276C">
            <w:pPr>
              <w:autoSpaceDE w:val="0"/>
              <w:autoSpaceDN w:val="0"/>
              <w:adjustRightInd w:val="0"/>
              <w:spacing w:before="29" w:line="360" w:lineRule="auto"/>
              <w:ind w:left="17"/>
              <w:jc w:val="left"/>
              <w:rPr>
                <w:rFonts w:eastAsiaTheme="minorEastAsia"/>
                <w:color w:val="000000"/>
                <w:kern w:val="0"/>
                <w:sz w:val="24"/>
              </w:rPr>
            </w:pPr>
            <w:r w:rsidRPr="008B4ABA">
              <w:rPr>
                <w:rFonts w:eastAsiaTheme="minorEastAsia"/>
                <w:color w:val="000000"/>
                <w:kern w:val="0"/>
                <w:sz w:val="24"/>
              </w:rPr>
              <w:t>本报告期</w:t>
            </w:r>
            <w:r w:rsidR="00936D40" w:rsidRPr="008B4ABA">
              <w:rPr>
                <w:rFonts w:eastAsiaTheme="minorEastAsia"/>
                <w:color w:val="000000"/>
                <w:kern w:val="0"/>
                <w:sz w:val="24"/>
              </w:rPr>
              <w:t>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8B4ABA" w:rsidRDefault="0042785F" w:rsidP="003F7026">
            <w:pPr>
              <w:autoSpaceDE w:val="0"/>
              <w:autoSpaceDN w:val="0"/>
              <w:adjustRightInd w:val="0"/>
              <w:spacing w:before="29" w:line="360" w:lineRule="auto"/>
              <w:ind w:left="17"/>
              <w:jc w:val="right"/>
              <w:rPr>
                <w:rFonts w:eastAsiaTheme="minorEastAsia"/>
                <w:color w:val="000000"/>
                <w:sz w:val="24"/>
              </w:rPr>
            </w:pPr>
            <w:r w:rsidRPr="008B4ABA">
              <w:rPr>
                <w:rFonts w:eastAsiaTheme="minorEastAsia"/>
                <w:color w:val="000000"/>
                <w:sz w:val="24"/>
              </w:rPr>
              <w:t>0.00</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8B4ABA" w:rsidRDefault="0042785F" w:rsidP="003F7026">
            <w:pPr>
              <w:autoSpaceDE w:val="0"/>
              <w:autoSpaceDN w:val="0"/>
              <w:adjustRightInd w:val="0"/>
              <w:spacing w:before="29" w:line="360" w:lineRule="auto"/>
              <w:ind w:left="17"/>
              <w:jc w:val="right"/>
              <w:rPr>
                <w:rFonts w:eastAsiaTheme="minorEastAsia"/>
                <w:color w:val="000000"/>
                <w:sz w:val="24"/>
              </w:rPr>
            </w:pPr>
            <w:r w:rsidRPr="008B4ABA">
              <w:rPr>
                <w:rFonts w:eastAsiaTheme="minorEastAsia"/>
                <w:color w:val="000000"/>
                <w:sz w:val="24"/>
              </w:rPr>
              <w:t>0.00</w:t>
            </w:r>
          </w:p>
        </w:tc>
      </w:tr>
      <w:tr w:rsidR="00936D40" w:rsidRPr="00B75DF8" w:rsidTr="003F7026">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8B4ABA" w:rsidRDefault="00936D40" w:rsidP="00A1276C">
            <w:pPr>
              <w:autoSpaceDE w:val="0"/>
              <w:autoSpaceDN w:val="0"/>
              <w:adjustRightInd w:val="0"/>
              <w:spacing w:before="29" w:line="360" w:lineRule="auto"/>
              <w:ind w:left="17"/>
              <w:jc w:val="left"/>
              <w:rPr>
                <w:rFonts w:eastAsiaTheme="minorEastAsia"/>
                <w:color w:val="000000"/>
                <w:kern w:val="0"/>
                <w:sz w:val="24"/>
              </w:rPr>
            </w:pPr>
            <w:r w:rsidRPr="008B4ABA">
              <w:rPr>
                <w:rFonts w:eastAsiaTheme="minorEastAsia"/>
                <w:color w:val="000000"/>
                <w:kern w:val="0"/>
                <w:sz w:val="24"/>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8B4ABA" w:rsidRDefault="0042785F" w:rsidP="003F7026">
            <w:pPr>
              <w:autoSpaceDE w:val="0"/>
              <w:autoSpaceDN w:val="0"/>
              <w:adjustRightInd w:val="0"/>
              <w:spacing w:before="29" w:line="360" w:lineRule="auto"/>
              <w:ind w:left="17"/>
              <w:jc w:val="right"/>
              <w:rPr>
                <w:rFonts w:eastAsiaTheme="minorEastAsia"/>
                <w:color w:val="000000"/>
                <w:sz w:val="24"/>
              </w:rPr>
            </w:pPr>
            <w:r w:rsidRPr="008B4ABA">
              <w:rPr>
                <w:rFonts w:eastAsiaTheme="minorEastAsia"/>
                <w:color w:val="000000"/>
                <w:sz w:val="24"/>
              </w:rPr>
              <w:t>3,597.53</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8B4ABA" w:rsidRDefault="0042785F" w:rsidP="003F7026">
            <w:pPr>
              <w:autoSpaceDE w:val="0"/>
              <w:autoSpaceDN w:val="0"/>
              <w:adjustRightInd w:val="0"/>
              <w:spacing w:before="29" w:line="360" w:lineRule="auto"/>
              <w:ind w:left="17"/>
              <w:jc w:val="right"/>
              <w:rPr>
                <w:rFonts w:eastAsiaTheme="minorEastAsia"/>
                <w:color w:val="000000"/>
                <w:sz w:val="24"/>
              </w:rPr>
            </w:pPr>
            <w:r w:rsidRPr="008B4ABA">
              <w:rPr>
                <w:rFonts w:eastAsiaTheme="minorEastAsia"/>
                <w:color w:val="000000"/>
                <w:sz w:val="24"/>
              </w:rPr>
              <w:t>8,803.87</w:t>
            </w:r>
          </w:p>
        </w:tc>
      </w:tr>
    </w:tbl>
    <w:p w:rsidR="00935FB1" w:rsidRPr="00B75DF8" w:rsidRDefault="00935FB1" w:rsidP="00341503">
      <w:pPr>
        <w:pStyle w:val="1"/>
        <w:tabs>
          <w:tab w:val="center" w:pos="4156"/>
          <w:tab w:val="right" w:pos="8312"/>
        </w:tabs>
        <w:spacing w:beforeLines="100" w:afterLines="100" w:line="360" w:lineRule="auto"/>
        <w:jc w:val="center"/>
        <w:rPr>
          <w:rFonts w:ascii="方正仿宋简体"/>
          <w:sz w:val="24"/>
          <w:szCs w:val="24"/>
        </w:rPr>
      </w:pPr>
      <w:r w:rsidRPr="00B75DF8">
        <w:rPr>
          <w:rFonts w:asciiTheme="minorEastAsia" w:eastAsiaTheme="minorEastAsia" w:hAnsiTheme="minorEastAsia" w:cs="Arial" w:hint="eastAsia"/>
          <w:color w:val="000000"/>
          <w:kern w:val="0"/>
          <w:sz w:val="24"/>
          <w:szCs w:val="24"/>
        </w:rPr>
        <w:t>§7</w:t>
      </w:r>
      <w:r w:rsidRPr="00B75DF8">
        <w:rPr>
          <w:rFonts w:ascii="方正仿宋简体" w:hint="eastAsia"/>
          <w:sz w:val="24"/>
          <w:szCs w:val="24"/>
        </w:rPr>
        <w:t>基金管理人运用固有资金投资本基金情况</w:t>
      </w:r>
    </w:p>
    <w:p w:rsidR="00935FB1" w:rsidRPr="00264591" w:rsidRDefault="00935FB1" w:rsidP="00264591">
      <w:pPr>
        <w:spacing w:line="360" w:lineRule="auto"/>
        <w:ind w:firstLineChars="200" w:firstLine="480"/>
        <w:rPr>
          <w:rFonts w:eastAsiaTheme="minorEastAsia"/>
          <w:color w:val="000000"/>
          <w:sz w:val="24"/>
        </w:rPr>
      </w:pPr>
      <w:r w:rsidRPr="00264591">
        <w:rPr>
          <w:rFonts w:eastAsiaTheme="minorEastAsia"/>
          <w:color w:val="000000"/>
          <w:sz w:val="24"/>
        </w:rPr>
        <w:t>本报告期内，基金管理人不存在运用固有资金（认）申购、赎回或买卖本基金的情况。</w:t>
      </w:r>
    </w:p>
    <w:p w:rsidR="009E31C4" w:rsidRPr="009E31C4" w:rsidRDefault="009E31C4" w:rsidP="00341503">
      <w:pPr>
        <w:pStyle w:val="1"/>
        <w:spacing w:beforeLines="100" w:afterLines="100" w:line="360" w:lineRule="auto"/>
        <w:jc w:val="center"/>
        <w:rPr>
          <w:rFonts w:eastAsiaTheme="minorEastAsia"/>
          <w:color w:val="000000" w:themeColor="text1"/>
          <w:kern w:val="0"/>
          <w:sz w:val="24"/>
          <w:szCs w:val="24"/>
        </w:rPr>
      </w:pPr>
      <w:r w:rsidRPr="009E31C4">
        <w:rPr>
          <w:rFonts w:eastAsiaTheme="minorEastAsia"/>
          <w:color w:val="000000" w:themeColor="text1"/>
          <w:kern w:val="0"/>
          <w:sz w:val="24"/>
          <w:szCs w:val="24"/>
        </w:rPr>
        <w:t xml:space="preserve">§8 </w:t>
      </w:r>
      <w:r w:rsidRPr="009E31C4">
        <w:rPr>
          <w:rFonts w:eastAsiaTheme="minorEastAsia"/>
          <w:color w:val="000000" w:themeColor="text1"/>
          <w:kern w:val="0"/>
          <w:sz w:val="24"/>
          <w:szCs w:val="24"/>
        </w:rPr>
        <w:t>影响投资者决策的其他重要信息</w:t>
      </w:r>
    </w:p>
    <w:p w:rsidR="009E31C4" w:rsidRPr="009E31C4" w:rsidRDefault="009E31C4" w:rsidP="009E31C4">
      <w:pPr>
        <w:autoSpaceDE w:val="0"/>
        <w:autoSpaceDN w:val="0"/>
        <w:adjustRightInd w:val="0"/>
        <w:spacing w:line="360" w:lineRule="auto"/>
        <w:jc w:val="left"/>
        <w:rPr>
          <w:rFonts w:eastAsiaTheme="minorEastAsia"/>
          <w:b/>
          <w:bCs/>
          <w:color w:val="000000" w:themeColor="text1"/>
          <w:kern w:val="0"/>
          <w:sz w:val="24"/>
        </w:rPr>
      </w:pPr>
      <w:r w:rsidRPr="009E31C4">
        <w:rPr>
          <w:rFonts w:eastAsiaTheme="minorEastAsia"/>
          <w:b/>
          <w:bCs/>
          <w:color w:val="000000" w:themeColor="text1"/>
          <w:kern w:val="0"/>
          <w:sz w:val="24"/>
        </w:rPr>
        <w:t>8.</w:t>
      </w:r>
      <w:r w:rsidRPr="009E31C4">
        <w:rPr>
          <w:rFonts w:eastAsiaTheme="minorEastAsia" w:hint="eastAsia"/>
          <w:b/>
          <w:bCs/>
          <w:color w:val="000000" w:themeColor="text1"/>
          <w:kern w:val="0"/>
          <w:sz w:val="24"/>
        </w:rPr>
        <w:t xml:space="preserve">1 </w:t>
      </w:r>
      <w:r w:rsidRPr="009E31C4">
        <w:rPr>
          <w:rFonts w:eastAsiaTheme="minorEastAsia" w:hint="eastAsia"/>
          <w:b/>
          <w:bCs/>
          <w:color w:val="000000" w:themeColor="text1"/>
          <w:kern w:val="0"/>
          <w:sz w:val="24"/>
        </w:rPr>
        <w:t>报告期内单一投资者持有基金份额比例达到或超过</w:t>
      </w:r>
      <w:r w:rsidRPr="009E31C4">
        <w:rPr>
          <w:rFonts w:eastAsiaTheme="minorEastAsia" w:hint="eastAsia"/>
          <w:b/>
          <w:bCs/>
          <w:color w:val="000000" w:themeColor="text1"/>
          <w:kern w:val="0"/>
          <w:sz w:val="24"/>
        </w:rPr>
        <w:t>20%</w:t>
      </w:r>
      <w:r w:rsidRPr="009E31C4">
        <w:rPr>
          <w:rFonts w:eastAsiaTheme="minorEastAsia" w:hint="eastAsia"/>
          <w:b/>
          <w:bCs/>
          <w:color w:val="000000" w:themeColor="text1"/>
          <w:kern w:val="0"/>
          <w:sz w:val="24"/>
        </w:rPr>
        <w:t>的情况</w:t>
      </w:r>
    </w:p>
    <w:tbl>
      <w:tblPr>
        <w:tblStyle w:val="af2"/>
        <w:tblW w:w="9212" w:type="dxa"/>
        <w:tblInd w:w="-176" w:type="dxa"/>
        <w:tblLayout w:type="fixed"/>
        <w:tblLook w:val="04A0"/>
      </w:tblPr>
      <w:tblGrid>
        <w:gridCol w:w="993"/>
        <w:gridCol w:w="992"/>
        <w:gridCol w:w="1843"/>
        <w:gridCol w:w="851"/>
        <w:gridCol w:w="850"/>
        <w:gridCol w:w="1134"/>
        <w:gridCol w:w="1419"/>
        <w:gridCol w:w="1130"/>
      </w:tblGrid>
      <w:tr w:rsidR="009E31C4" w:rsidRPr="009E31C4" w:rsidTr="00530D34">
        <w:tc>
          <w:tcPr>
            <w:tcW w:w="993" w:type="dxa"/>
            <w:vMerge w:val="restart"/>
            <w:vAlign w:val="center"/>
          </w:tcPr>
          <w:p w:rsidR="009E31C4" w:rsidRPr="009E31C4" w:rsidRDefault="009E31C4" w:rsidP="00530D34">
            <w:pPr>
              <w:autoSpaceDE w:val="0"/>
              <w:autoSpaceDN w:val="0"/>
              <w:adjustRightInd w:val="0"/>
              <w:jc w:val="center"/>
              <w:rPr>
                <w:rFonts w:eastAsiaTheme="minorEastAsia"/>
                <w:b/>
                <w:bCs/>
                <w:color w:val="000000" w:themeColor="text1"/>
                <w:sz w:val="24"/>
              </w:rPr>
            </w:pPr>
            <w:r w:rsidRPr="009E31C4">
              <w:rPr>
                <w:rFonts w:asciiTheme="minorEastAsia" w:eastAsiaTheme="minorEastAsia" w:hAnsiTheme="minorEastAsia" w:hint="eastAsia"/>
                <w:color w:val="000000"/>
                <w:sz w:val="24"/>
              </w:rPr>
              <w:t>投资者类别</w:t>
            </w:r>
          </w:p>
        </w:tc>
        <w:tc>
          <w:tcPr>
            <w:tcW w:w="5670" w:type="dxa"/>
            <w:gridSpan w:val="5"/>
            <w:vAlign w:val="center"/>
          </w:tcPr>
          <w:p w:rsidR="009E31C4" w:rsidRPr="009E31C4" w:rsidRDefault="009E31C4" w:rsidP="00530D34">
            <w:pPr>
              <w:autoSpaceDE w:val="0"/>
              <w:autoSpaceDN w:val="0"/>
              <w:adjustRightInd w:val="0"/>
              <w:jc w:val="center"/>
              <w:rPr>
                <w:rFonts w:asciiTheme="minorEastAsia" w:eastAsiaTheme="minorEastAsia" w:hAnsiTheme="minorEastAsia"/>
                <w:b/>
                <w:bCs/>
                <w:color w:val="000000" w:themeColor="text1"/>
                <w:sz w:val="24"/>
              </w:rPr>
            </w:pPr>
            <w:r w:rsidRPr="009E31C4">
              <w:rPr>
                <w:rFonts w:asciiTheme="minorEastAsia" w:eastAsiaTheme="minorEastAsia" w:hAnsiTheme="minorEastAsia" w:hint="eastAsia"/>
                <w:color w:val="000000"/>
                <w:sz w:val="24"/>
              </w:rPr>
              <w:t>报告期内持有基金份额变化情况</w:t>
            </w:r>
          </w:p>
        </w:tc>
        <w:tc>
          <w:tcPr>
            <w:tcW w:w="2549" w:type="dxa"/>
            <w:gridSpan w:val="2"/>
            <w:vAlign w:val="center"/>
          </w:tcPr>
          <w:p w:rsidR="009E31C4" w:rsidRPr="009E31C4" w:rsidRDefault="009E31C4" w:rsidP="00530D34">
            <w:pPr>
              <w:autoSpaceDE w:val="0"/>
              <w:autoSpaceDN w:val="0"/>
              <w:adjustRightInd w:val="0"/>
              <w:jc w:val="center"/>
              <w:rPr>
                <w:rFonts w:asciiTheme="minorEastAsia" w:eastAsiaTheme="minorEastAsia" w:hAnsiTheme="minorEastAsia"/>
                <w:b/>
                <w:bCs/>
                <w:color w:val="000000" w:themeColor="text1"/>
                <w:sz w:val="24"/>
              </w:rPr>
            </w:pPr>
            <w:r w:rsidRPr="009E31C4">
              <w:rPr>
                <w:rFonts w:asciiTheme="minorEastAsia" w:eastAsiaTheme="minorEastAsia" w:hAnsiTheme="minorEastAsia" w:hint="eastAsia"/>
                <w:color w:val="000000"/>
                <w:sz w:val="24"/>
              </w:rPr>
              <w:t>报告期末持有基金情况</w:t>
            </w:r>
          </w:p>
        </w:tc>
      </w:tr>
      <w:tr w:rsidR="009E31C4" w:rsidRPr="009E31C4" w:rsidTr="00530D34">
        <w:tc>
          <w:tcPr>
            <w:tcW w:w="993" w:type="dxa"/>
            <w:vMerge/>
            <w:vAlign w:val="center"/>
          </w:tcPr>
          <w:p w:rsidR="009E31C4" w:rsidRPr="009E31C4" w:rsidRDefault="009E31C4" w:rsidP="00530D34">
            <w:pPr>
              <w:autoSpaceDE w:val="0"/>
              <w:autoSpaceDN w:val="0"/>
              <w:adjustRightInd w:val="0"/>
              <w:jc w:val="center"/>
              <w:rPr>
                <w:rFonts w:eastAsiaTheme="minorEastAsia"/>
                <w:b/>
                <w:bCs/>
                <w:color w:val="000000" w:themeColor="text1"/>
                <w:sz w:val="24"/>
              </w:rPr>
            </w:pPr>
          </w:p>
        </w:tc>
        <w:tc>
          <w:tcPr>
            <w:tcW w:w="992" w:type="dxa"/>
            <w:vAlign w:val="center"/>
          </w:tcPr>
          <w:p w:rsidR="009E31C4" w:rsidRPr="009E31C4" w:rsidRDefault="009E31C4" w:rsidP="00530D34">
            <w:pPr>
              <w:autoSpaceDE w:val="0"/>
              <w:autoSpaceDN w:val="0"/>
              <w:adjustRightInd w:val="0"/>
              <w:jc w:val="center"/>
              <w:rPr>
                <w:rFonts w:eastAsiaTheme="minorEastAsia"/>
                <w:b/>
                <w:bCs/>
                <w:color w:val="000000" w:themeColor="text1"/>
                <w:sz w:val="24"/>
              </w:rPr>
            </w:pPr>
            <w:r w:rsidRPr="009E31C4">
              <w:rPr>
                <w:rFonts w:ascii="宋体" w:hAnsi="宋体" w:hint="eastAsia"/>
                <w:color w:val="000000"/>
                <w:sz w:val="24"/>
              </w:rPr>
              <w:t>序号</w:t>
            </w:r>
          </w:p>
        </w:tc>
        <w:tc>
          <w:tcPr>
            <w:tcW w:w="1843" w:type="dxa"/>
            <w:vAlign w:val="center"/>
          </w:tcPr>
          <w:p w:rsidR="009E31C4" w:rsidRPr="009E31C4" w:rsidRDefault="009E31C4" w:rsidP="00530D34">
            <w:pPr>
              <w:autoSpaceDE w:val="0"/>
              <w:autoSpaceDN w:val="0"/>
              <w:adjustRightInd w:val="0"/>
              <w:jc w:val="center"/>
              <w:rPr>
                <w:rFonts w:asciiTheme="minorEastAsia" w:eastAsiaTheme="minorEastAsia" w:hAnsiTheme="minorEastAsia"/>
                <w:b/>
                <w:bCs/>
                <w:color w:val="000000" w:themeColor="text1"/>
                <w:sz w:val="24"/>
              </w:rPr>
            </w:pPr>
            <w:r w:rsidRPr="009E31C4">
              <w:rPr>
                <w:rFonts w:asciiTheme="minorEastAsia" w:eastAsiaTheme="minorEastAsia" w:hAnsiTheme="minorEastAsia" w:hint="eastAsia"/>
                <w:color w:val="000000"/>
                <w:sz w:val="24"/>
              </w:rPr>
              <w:t>持有基金份额比例达到或者超过20%的时间区间</w:t>
            </w:r>
          </w:p>
        </w:tc>
        <w:tc>
          <w:tcPr>
            <w:tcW w:w="851" w:type="dxa"/>
            <w:vAlign w:val="center"/>
          </w:tcPr>
          <w:p w:rsidR="009E31C4" w:rsidRPr="009E31C4" w:rsidRDefault="009E31C4" w:rsidP="00530D34">
            <w:pPr>
              <w:widowControl/>
              <w:jc w:val="center"/>
              <w:rPr>
                <w:rFonts w:asciiTheme="minorEastAsia" w:eastAsiaTheme="minorEastAsia" w:hAnsiTheme="minorEastAsia"/>
                <w:b/>
                <w:bCs/>
                <w:color w:val="000000" w:themeColor="text1"/>
                <w:sz w:val="24"/>
              </w:rPr>
            </w:pPr>
            <w:r w:rsidRPr="009E31C4">
              <w:rPr>
                <w:rFonts w:asciiTheme="minorEastAsia" w:eastAsiaTheme="minorEastAsia" w:hAnsiTheme="minorEastAsia" w:hint="eastAsia"/>
                <w:color w:val="000000"/>
                <w:sz w:val="24"/>
              </w:rPr>
              <w:t>期初份额</w:t>
            </w:r>
          </w:p>
        </w:tc>
        <w:tc>
          <w:tcPr>
            <w:tcW w:w="850" w:type="dxa"/>
            <w:vAlign w:val="center"/>
          </w:tcPr>
          <w:p w:rsidR="009E31C4" w:rsidRPr="009E31C4" w:rsidRDefault="009E31C4" w:rsidP="00530D34">
            <w:pPr>
              <w:widowControl/>
              <w:jc w:val="center"/>
              <w:rPr>
                <w:rFonts w:asciiTheme="minorEastAsia" w:eastAsiaTheme="minorEastAsia" w:hAnsiTheme="minorEastAsia"/>
                <w:b/>
                <w:bCs/>
                <w:color w:val="000000" w:themeColor="text1"/>
                <w:sz w:val="24"/>
              </w:rPr>
            </w:pPr>
            <w:r w:rsidRPr="009E31C4">
              <w:rPr>
                <w:rFonts w:asciiTheme="minorEastAsia" w:eastAsiaTheme="minorEastAsia" w:hAnsiTheme="minorEastAsia" w:hint="eastAsia"/>
                <w:color w:val="000000"/>
                <w:sz w:val="24"/>
              </w:rPr>
              <w:t>申购份额</w:t>
            </w:r>
          </w:p>
        </w:tc>
        <w:tc>
          <w:tcPr>
            <w:tcW w:w="1134" w:type="dxa"/>
            <w:vAlign w:val="center"/>
          </w:tcPr>
          <w:p w:rsidR="009E31C4" w:rsidRPr="009E31C4" w:rsidRDefault="009E31C4" w:rsidP="00530D34">
            <w:pPr>
              <w:widowControl/>
              <w:jc w:val="center"/>
              <w:rPr>
                <w:rFonts w:asciiTheme="minorEastAsia" w:eastAsiaTheme="minorEastAsia" w:hAnsiTheme="minorEastAsia"/>
                <w:b/>
                <w:bCs/>
                <w:color w:val="000000" w:themeColor="text1"/>
                <w:sz w:val="24"/>
              </w:rPr>
            </w:pPr>
            <w:r w:rsidRPr="009E31C4">
              <w:rPr>
                <w:rFonts w:asciiTheme="minorEastAsia" w:eastAsiaTheme="minorEastAsia" w:hAnsiTheme="minorEastAsia" w:hint="eastAsia"/>
                <w:color w:val="000000"/>
                <w:sz w:val="24"/>
              </w:rPr>
              <w:t>赎回份额</w:t>
            </w:r>
          </w:p>
        </w:tc>
        <w:tc>
          <w:tcPr>
            <w:tcW w:w="1419" w:type="dxa"/>
            <w:vAlign w:val="center"/>
          </w:tcPr>
          <w:p w:rsidR="009E31C4" w:rsidRPr="009E31C4" w:rsidRDefault="009E31C4" w:rsidP="00530D34">
            <w:pPr>
              <w:autoSpaceDE w:val="0"/>
              <w:autoSpaceDN w:val="0"/>
              <w:adjustRightInd w:val="0"/>
              <w:jc w:val="center"/>
              <w:rPr>
                <w:rFonts w:asciiTheme="minorEastAsia" w:eastAsiaTheme="minorEastAsia" w:hAnsiTheme="minorEastAsia"/>
                <w:b/>
                <w:bCs/>
                <w:color w:val="000000" w:themeColor="text1"/>
                <w:sz w:val="24"/>
              </w:rPr>
            </w:pPr>
            <w:r w:rsidRPr="009E31C4">
              <w:rPr>
                <w:rFonts w:asciiTheme="minorEastAsia" w:eastAsiaTheme="minorEastAsia" w:hAnsiTheme="minorEastAsia" w:hint="eastAsia"/>
                <w:color w:val="000000"/>
                <w:sz w:val="24"/>
              </w:rPr>
              <w:t>持有份额</w:t>
            </w:r>
          </w:p>
        </w:tc>
        <w:tc>
          <w:tcPr>
            <w:tcW w:w="1130" w:type="dxa"/>
            <w:vAlign w:val="center"/>
          </w:tcPr>
          <w:p w:rsidR="009E31C4" w:rsidRPr="009E31C4" w:rsidRDefault="009E31C4" w:rsidP="00530D34">
            <w:pPr>
              <w:autoSpaceDE w:val="0"/>
              <w:autoSpaceDN w:val="0"/>
              <w:adjustRightInd w:val="0"/>
              <w:jc w:val="center"/>
              <w:rPr>
                <w:rFonts w:asciiTheme="minorEastAsia" w:eastAsiaTheme="minorEastAsia" w:hAnsiTheme="minorEastAsia"/>
                <w:b/>
                <w:bCs/>
                <w:color w:val="000000" w:themeColor="text1"/>
                <w:sz w:val="24"/>
              </w:rPr>
            </w:pPr>
            <w:r w:rsidRPr="009E31C4">
              <w:rPr>
                <w:rFonts w:asciiTheme="minorEastAsia" w:eastAsiaTheme="minorEastAsia" w:hAnsiTheme="minorEastAsia" w:hint="eastAsia"/>
                <w:color w:val="000000"/>
                <w:sz w:val="24"/>
              </w:rPr>
              <w:t>份额占比</w:t>
            </w:r>
          </w:p>
        </w:tc>
      </w:tr>
      <w:tr w:rsidR="001C4558">
        <w:tc>
          <w:tcPr>
            <w:tcW w:w="993" w:type="dxa"/>
            <w:vMerge w:val="restart"/>
          </w:tcPr>
          <w:p w:rsidR="001C4558" w:rsidRDefault="001C4558"/>
          <w:p w:rsidR="001C4558" w:rsidRDefault="00341503">
            <w:r>
              <w:rPr>
                <w:rFonts w:eastAsiaTheme="minorEastAsia" w:hint="eastAsia"/>
                <w:bCs/>
                <w:color w:val="000000" w:themeColor="text1"/>
                <w:sz w:val="24"/>
              </w:rPr>
              <w:t>机构</w:t>
            </w:r>
          </w:p>
        </w:tc>
        <w:tc>
          <w:tcPr>
            <w:tcW w:w="992" w:type="dxa"/>
            <w:vAlign w:val="center"/>
          </w:tcPr>
          <w:p w:rsidR="001C4558" w:rsidRDefault="00341503">
            <w:pPr>
              <w:jc w:val="center"/>
            </w:pPr>
            <w:r>
              <w:rPr>
                <w:color w:val="000000"/>
                <w:sz w:val="24"/>
              </w:rPr>
              <w:t>1</w:t>
            </w:r>
          </w:p>
        </w:tc>
        <w:tc>
          <w:tcPr>
            <w:tcW w:w="1843" w:type="dxa"/>
            <w:vAlign w:val="center"/>
          </w:tcPr>
          <w:p w:rsidR="001C4558" w:rsidRDefault="00341503">
            <w:pPr>
              <w:jc w:val="center"/>
            </w:pPr>
            <w:r>
              <w:rPr>
                <w:color w:val="000000"/>
                <w:sz w:val="24"/>
              </w:rPr>
              <w:t>20180401-20180402</w:t>
            </w:r>
          </w:p>
        </w:tc>
        <w:tc>
          <w:tcPr>
            <w:tcW w:w="851" w:type="dxa"/>
            <w:vAlign w:val="center"/>
          </w:tcPr>
          <w:p w:rsidR="001C4558" w:rsidRDefault="00341503">
            <w:pPr>
              <w:jc w:val="center"/>
            </w:pPr>
            <w:r>
              <w:rPr>
                <w:color w:val="000000"/>
                <w:sz w:val="24"/>
              </w:rPr>
              <w:t>3,011,000.00</w:t>
            </w:r>
          </w:p>
        </w:tc>
        <w:tc>
          <w:tcPr>
            <w:tcW w:w="850" w:type="dxa"/>
            <w:vAlign w:val="center"/>
          </w:tcPr>
          <w:p w:rsidR="001C4558" w:rsidRDefault="00341503">
            <w:pPr>
              <w:jc w:val="center"/>
            </w:pPr>
            <w:r>
              <w:rPr>
                <w:color w:val="000000"/>
                <w:sz w:val="24"/>
              </w:rPr>
              <w:t>0.00</w:t>
            </w:r>
          </w:p>
        </w:tc>
        <w:tc>
          <w:tcPr>
            <w:tcW w:w="1134" w:type="dxa"/>
            <w:vAlign w:val="center"/>
          </w:tcPr>
          <w:p w:rsidR="001C4558" w:rsidRDefault="00341503">
            <w:pPr>
              <w:jc w:val="center"/>
            </w:pPr>
            <w:r>
              <w:rPr>
                <w:color w:val="000000"/>
                <w:sz w:val="24"/>
              </w:rPr>
              <w:t>3,011,000.00</w:t>
            </w:r>
          </w:p>
        </w:tc>
        <w:tc>
          <w:tcPr>
            <w:tcW w:w="1419" w:type="dxa"/>
            <w:vAlign w:val="center"/>
          </w:tcPr>
          <w:p w:rsidR="001C4558" w:rsidRDefault="00341503">
            <w:pPr>
              <w:jc w:val="center"/>
            </w:pPr>
            <w:r>
              <w:rPr>
                <w:color w:val="000000"/>
                <w:sz w:val="24"/>
              </w:rPr>
              <w:t>0.00</w:t>
            </w:r>
          </w:p>
        </w:tc>
        <w:tc>
          <w:tcPr>
            <w:tcW w:w="1130" w:type="dxa"/>
            <w:vAlign w:val="center"/>
          </w:tcPr>
          <w:p w:rsidR="001C4558" w:rsidRDefault="00341503">
            <w:pPr>
              <w:jc w:val="center"/>
            </w:pPr>
            <w:r>
              <w:rPr>
                <w:color w:val="000000"/>
                <w:sz w:val="24"/>
              </w:rPr>
              <w:t>0.00%</w:t>
            </w:r>
          </w:p>
        </w:tc>
      </w:tr>
      <w:tr w:rsidR="001C4558">
        <w:tc>
          <w:tcPr>
            <w:tcW w:w="993" w:type="dxa"/>
            <w:vMerge w:val="restart"/>
          </w:tcPr>
          <w:p w:rsidR="001C4558" w:rsidRDefault="001C4558"/>
          <w:p w:rsidR="001C4558" w:rsidRDefault="00341503">
            <w:r>
              <w:rPr>
                <w:rFonts w:eastAsiaTheme="minorEastAsia" w:hint="eastAsia"/>
                <w:bCs/>
                <w:color w:val="000000" w:themeColor="text1"/>
                <w:sz w:val="24"/>
              </w:rPr>
              <w:t>个人</w:t>
            </w:r>
          </w:p>
        </w:tc>
        <w:tc>
          <w:tcPr>
            <w:tcW w:w="992" w:type="dxa"/>
            <w:vAlign w:val="center"/>
          </w:tcPr>
          <w:p w:rsidR="001C4558" w:rsidRDefault="00341503">
            <w:pPr>
              <w:jc w:val="center"/>
            </w:pPr>
            <w:r>
              <w:rPr>
                <w:sz w:val="24"/>
              </w:rPr>
              <w:t>1</w:t>
            </w:r>
          </w:p>
        </w:tc>
        <w:tc>
          <w:tcPr>
            <w:tcW w:w="1843" w:type="dxa"/>
            <w:vAlign w:val="center"/>
          </w:tcPr>
          <w:p w:rsidR="001C4558" w:rsidRDefault="00341503">
            <w:pPr>
              <w:jc w:val="center"/>
            </w:pPr>
            <w:r>
              <w:rPr>
                <w:sz w:val="24"/>
              </w:rPr>
              <w:t>20180516-20180625</w:t>
            </w:r>
          </w:p>
        </w:tc>
        <w:tc>
          <w:tcPr>
            <w:tcW w:w="851" w:type="dxa"/>
            <w:vAlign w:val="center"/>
          </w:tcPr>
          <w:p w:rsidR="001C4558" w:rsidRDefault="00341503">
            <w:pPr>
              <w:jc w:val="center"/>
            </w:pPr>
            <w:r>
              <w:rPr>
                <w:sz w:val="24"/>
              </w:rPr>
              <w:t>-</w:t>
            </w:r>
          </w:p>
        </w:tc>
        <w:tc>
          <w:tcPr>
            <w:tcW w:w="850" w:type="dxa"/>
            <w:vAlign w:val="center"/>
          </w:tcPr>
          <w:p w:rsidR="001C4558" w:rsidRDefault="00341503">
            <w:pPr>
              <w:jc w:val="center"/>
            </w:pPr>
            <w:r>
              <w:rPr>
                <w:sz w:val="24"/>
              </w:rPr>
              <w:t>80,000.00</w:t>
            </w:r>
          </w:p>
        </w:tc>
        <w:tc>
          <w:tcPr>
            <w:tcW w:w="1134" w:type="dxa"/>
            <w:vAlign w:val="center"/>
          </w:tcPr>
          <w:p w:rsidR="001C4558" w:rsidRDefault="00341503">
            <w:pPr>
              <w:jc w:val="center"/>
            </w:pPr>
            <w:r>
              <w:rPr>
                <w:sz w:val="24"/>
              </w:rPr>
              <w:t>80,000.00</w:t>
            </w:r>
          </w:p>
        </w:tc>
        <w:tc>
          <w:tcPr>
            <w:tcW w:w="1419" w:type="dxa"/>
            <w:vAlign w:val="center"/>
          </w:tcPr>
          <w:p w:rsidR="001C4558" w:rsidRDefault="00341503">
            <w:pPr>
              <w:jc w:val="center"/>
            </w:pPr>
            <w:r>
              <w:rPr>
                <w:sz w:val="24"/>
              </w:rPr>
              <w:t>0.00</w:t>
            </w:r>
          </w:p>
        </w:tc>
        <w:tc>
          <w:tcPr>
            <w:tcW w:w="1130" w:type="dxa"/>
            <w:vAlign w:val="center"/>
          </w:tcPr>
          <w:p w:rsidR="001C4558" w:rsidRDefault="00341503">
            <w:pPr>
              <w:jc w:val="center"/>
            </w:pPr>
            <w:r>
              <w:rPr>
                <w:sz w:val="24"/>
              </w:rPr>
              <w:t>0.00%</w:t>
            </w:r>
          </w:p>
        </w:tc>
      </w:tr>
      <w:tr w:rsidR="001C4558">
        <w:tc>
          <w:tcPr>
            <w:tcW w:w="993" w:type="dxa"/>
            <w:vMerge/>
          </w:tcPr>
          <w:p w:rsidR="001C4558" w:rsidRDefault="001C4558"/>
        </w:tc>
        <w:tc>
          <w:tcPr>
            <w:tcW w:w="992" w:type="dxa"/>
            <w:vAlign w:val="center"/>
          </w:tcPr>
          <w:p w:rsidR="001C4558" w:rsidRDefault="00341503">
            <w:pPr>
              <w:jc w:val="center"/>
            </w:pPr>
            <w:r>
              <w:rPr>
                <w:sz w:val="24"/>
              </w:rPr>
              <w:t>2</w:t>
            </w:r>
          </w:p>
        </w:tc>
        <w:tc>
          <w:tcPr>
            <w:tcW w:w="1843" w:type="dxa"/>
            <w:vAlign w:val="center"/>
          </w:tcPr>
          <w:p w:rsidR="001C4558" w:rsidRDefault="00341503">
            <w:pPr>
              <w:jc w:val="center"/>
            </w:pPr>
            <w:r>
              <w:rPr>
                <w:sz w:val="24"/>
              </w:rPr>
              <w:t>20180403-20180523</w:t>
            </w:r>
          </w:p>
        </w:tc>
        <w:tc>
          <w:tcPr>
            <w:tcW w:w="851" w:type="dxa"/>
            <w:vAlign w:val="center"/>
          </w:tcPr>
          <w:p w:rsidR="001C4558" w:rsidRDefault="00341503">
            <w:pPr>
              <w:jc w:val="center"/>
            </w:pPr>
            <w:r>
              <w:rPr>
                <w:sz w:val="24"/>
              </w:rPr>
              <w:t>103,927.95</w:t>
            </w:r>
          </w:p>
        </w:tc>
        <w:tc>
          <w:tcPr>
            <w:tcW w:w="850" w:type="dxa"/>
            <w:vAlign w:val="center"/>
          </w:tcPr>
          <w:p w:rsidR="001C4558" w:rsidRDefault="00341503">
            <w:pPr>
              <w:jc w:val="center"/>
            </w:pPr>
            <w:r>
              <w:rPr>
                <w:sz w:val="24"/>
              </w:rPr>
              <w:t>0.00</w:t>
            </w:r>
          </w:p>
        </w:tc>
        <w:tc>
          <w:tcPr>
            <w:tcW w:w="1134" w:type="dxa"/>
            <w:vAlign w:val="center"/>
          </w:tcPr>
          <w:p w:rsidR="001C4558" w:rsidRDefault="00341503">
            <w:pPr>
              <w:jc w:val="center"/>
            </w:pPr>
            <w:r>
              <w:rPr>
                <w:sz w:val="24"/>
              </w:rPr>
              <w:t>103,927.95</w:t>
            </w:r>
          </w:p>
        </w:tc>
        <w:tc>
          <w:tcPr>
            <w:tcW w:w="1419" w:type="dxa"/>
            <w:vAlign w:val="center"/>
          </w:tcPr>
          <w:p w:rsidR="001C4558" w:rsidRDefault="00341503">
            <w:pPr>
              <w:jc w:val="center"/>
            </w:pPr>
            <w:r>
              <w:rPr>
                <w:sz w:val="24"/>
              </w:rPr>
              <w:t>0.00</w:t>
            </w:r>
          </w:p>
        </w:tc>
        <w:tc>
          <w:tcPr>
            <w:tcW w:w="1130" w:type="dxa"/>
            <w:vAlign w:val="center"/>
          </w:tcPr>
          <w:p w:rsidR="001C4558" w:rsidRDefault="00341503">
            <w:pPr>
              <w:jc w:val="center"/>
            </w:pPr>
            <w:r>
              <w:rPr>
                <w:sz w:val="24"/>
              </w:rPr>
              <w:t>0.00%</w:t>
            </w:r>
          </w:p>
        </w:tc>
      </w:tr>
      <w:tr w:rsidR="001C4558">
        <w:tc>
          <w:tcPr>
            <w:tcW w:w="993" w:type="dxa"/>
            <w:vMerge/>
          </w:tcPr>
          <w:p w:rsidR="001C4558" w:rsidRDefault="001C4558"/>
        </w:tc>
        <w:tc>
          <w:tcPr>
            <w:tcW w:w="992" w:type="dxa"/>
            <w:vAlign w:val="center"/>
          </w:tcPr>
          <w:p w:rsidR="001C4558" w:rsidRDefault="00341503">
            <w:pPr>
              <w:jc w:val="center"/>
            </w:pPr>
            <w:r>
              <w:rPr>
                <w:sz w:val="24"/>
              </w:rPr>
              <w:t>3</w:t>
            </w:r>
          </w:p>
        </w:tc>
        <w:tc>
          <w:tcPr>
            <w:tcW w:w="1843" w:type="dxa"/>
            <w:vAlign w:val="center"/>
          </w:tcPr>
          <w:p w:rsidR="001C4558" w:rsidRDefault="00341503">
            <w:pPr>
              <w:jc w:val="center"/>
            </w:pPr>
            <w:r>
              <w:rPr>
                <w:sz w:val="24"/>
              </w:rPr>
              <w:t>20180516-20180630</w:t>
            </w:r>
          </w:p>
        </w:tc>
        <w:tc>
          <w:tcPr>
            <w:tcW w:w="851" w:type="dxa"/>
            <w:vAlign w:val="center"/>
          </w:tcPr>
          <w:p w:rsidR="001C4558" w:rsidRDefault="00341503">
            <w:pPr>
              <w:jc w:val="center"/>
            </w:pPr>
            <w:r>
              <w:rPr>
                <w:sz w:val="24"/>
              </w:rPr>
              <w:t>-</w:t>
            </w:r>
          </w:p>
        </w:tc>
        <w:tc>
          <w:tcPr>
            <w:tcW w:w="850" w:type="dxa"/>
            <w:vAlign w:val="center"/>
          </w:tcPr>
          <w:p w:rsidR="001C4558" w:rsidRDefault="00341503">
            <w:pPr>
              <w:jc w:val="center"/>
            </w:pPr>
            <w:r>
              <w:rPr>
                <w:sz w:val="24"/>
              </w:rPr>
              <w:t>70,000.00</w:t>
            </w:r>
          </w:p>
        </w:tc>
        <w:tc>
          <w:tcPr>
            <w:tcW w:w="1134" w:type="dxa"/>
            <w:vAlign w:val="center"/>
          </w:tcPr>
          <w:p w:rsidR="001C4558" w:rsidRDefault="00341503">
            <w:pPr>
              <w:jc w:val="center"/>
            </w:pPr>
            <w:r>
              <w:rPr>
                <w:sz w:val="24"/>
              </w:rPr>
              <w:t>62,500.00</w:t>
            </w:r>
          </w:p>
        </w:tc>
        <w:tc>
          <w:tcPr>
            <w:tcW w:w="1419" w:type="dxa"/>
            <w:vAlign w:val="center"/>
          </w:tcPr>
          <w:p w:rsidR="001C4558" w:rsidRDefault="00341503">
            <w:pPr>
              <w:jc w:val="center"/>
            </w:pPr>
            <w:r>
              <w:rPr>
                <w:sz w:val="24"/>
              </w:rPr>
              <w:t>7,500.00</w:t>
            </w:r>
          </w:p>
        </w:tc>
        <w:tc>
          <w:tcPr>
            <w:tcW w:w="1130" w:type="dxa"/>
            <w:vAlign w:val="center"/>
          </w:tcPr>
          <w:p w:rsidR="001C4558" w:rsidRDefault="00341503">
            <w:pPr>
              <w:jc w:val="center"/>
            </w:pPr>
            <w:r>
              <w:rPr>
                <w:sz w:val="24"/>
              </w:rPr>
              <w:t>60.48%</w:t>
            </w:r>
          </w:p>
        </w:tc>
      </w:tr>
      <w:tr w:rsidR="009E31C4" w:rsidRPr="009E31C4" w:rsidTr="00530D34">
        <w:tc>
          <w:tcPr>
            <w:tcW w:w="9212" w:type="dxa"/>
            <w:gridSpan w:val="8"/>
            <w:vAlign w:val="center"/>
          </w:tcPr>
          <w:p w:rsidR="009E31C4" w:rsidRPr="009E31C4" w:rsidRDefault="009E31C4" w:rsidP="00530D34">
            <w:pPr>
              <w:autoSpaceDE w:val="0"/>
              <w:autoSpaceDN w:val="0"/>
              <w:adjustRightInd w:val="0"/>
              <w:jc w:val="center"/>
              <w:rPr>
                <w:sz w:val="24"/>
              </w:rPr>
            </w:pPr>
            <w:r w:rsidRPr="009E31C4">
              <w:rPr>
                <w:color w:val="000000"/>
                <w:sz w:val="24"/>
              </w:rPr>
              <w:t>产品特有风险</w:t>
            </w:r>
          </w:p>
        </w:tc>
      </w:tr>
      <w:tr w:rsidR="009E31C4" w:rsidRPr="009E31C4" w:rsidTr="00530D34">
        <w:tc>
          <w:tcPr>
            <w:tcW w:w="9212" w:type="dxa"/>
            <w:gridSpan w:val="8"/>
            <w:vAlign w:val="center"/>
          </w:tcPr>
          <w:p w:rsidR="009E31C4" w:rsidRPr="009E31C4" w:rsidRDefault="009E31C4" w:rsidP="00530D34">
            <w:pPr>
              <w:autoSpaceDE w:val="0"/>
              <w:autoSpaceDN w:val="0"/>
              <w:adjustRightInd w:val="0"/>
              <w:jc w:val="left"/>
              <w:rPr>
                <w:sz w:val="24"/>
              </w:rPr>
            </w:pPr>
            <w:r w:rsidRPr="009E31C4">
              <w:rPr>
                <w:rFonts w:hint="eastAsia"/>
                <w:sz w:val="24"/>
              </w:rPr>
              <w:t>报告期内，本基金存在单一投资者持有份额比例达到或超过</w:t>
            </w:r>
            <w:r w:rsidRPr="009E31C4">
              <w:rPr>
                <w:rFonts w:hint="eastAsia"/>
                <w:sz w:val="24"/>
              </w:rPr>
              <w:t>20%</w:t>
            </w:r>
            <w:r w:rsidRPr="009E31C4">
              <w:rPr>
                <w:rFonts w:hint="eastAsia"/>
                <w:sz w:val="24"/>
              </w:rPr>
              <w:t>的情况，由此可能导致的特有风险主要包括：当投资者持有份额占比较为集中时，个别投资者的大额赎回可能会对基金资产运作及净值表现产生较大影响；极端情况下基金管理人可能无法及时变现基金资产以应对投资者的赎回申请；若个别投资者大额赎回后本基金出现连续六十个工作日基金资产净值低于</w:t>
            </w:r>
            <w:r w:rsidRPr="009E31C4">
              <w:rPr>
                <w:rFonts w:hint="eastAsia"/>
                <w:sz w:val="24"/>
              </w:rPr>
              <w:t xml:space="preserve"> 5000 </w:t>
            </w:r>
            <w:r w:rsidRPr="009E31C4">
              <w:rPr>
                <w:rFonts w:hint="eastAsia"/>
                <w:sz w:val="24"/>
              </w:rPr>
              <w:t>万元，基金还可能面临转换运作方式、与其他基金合并或者终止基金合同等情形。本基金管理人将对基金的大额申赎进行审慎评估并合理应对，完善流动性风险管控机制，切实保护持有人利益。</w:t>
            </w:r>
          </w:p>
        </w:tc>
      </w:tr>
    </w:tbl>
    <w:p w:rsidR="009E31C4" w:rsidRPr="009E31C4" w:rsidRDefault="009E31C4" w:rsidP="009E31C4">
      <w:pPr>
        <w:autoSpaceDE w:val="0"/>
        <w:autoSpaceDN w:val="0"/>
        <w:adjustRightInd w:val="0"/>
        <w:spacing w:line="360" w:lineRule="auto"/>
        <w:jc w:val="left"/>
        <w:rPr>
          <w:rFonts w:eastAsiaTheme="minorEastAsia"/>
          <w:b/>
          <w:bCs/>
          <w:color w:val="000000" w:themeColor="text1"/>
          <w:kern w:val="0"/>
          <w:sz w:val="24"/>
        </w:rPr>
      </w:pPr>
      <w:r w:rsidRPr="009E31C4">
        <w:rPr>
          <w:rFonts w:eastAsiaTheme="minorEastAsia" w:hint="eastAsia"/>
          <w:b/>
          <w:bCs/>
          <w:color w:val="000000" w:themeColor="text1"/>
          <w:kern w:val="0"/>
          <w:sz w:val="24"/>
        </w:rPr>
        <w:t xml:space="preserve">8.2 </w:t>
      </w:r>
      <w:r w:rsidRPr="009E31C4">
        <w:rPr>
          <w:rFonts w:eastAsiaTheme="minorEastAsia" w:hint="eastAsia"/>
          <w:b/>
          <w:bCs/>
          <w:color w:val="000000" w:themeColor="text1"/>
          <w:kern w:val="0"/>
          <w:sz w:val="24"/>
        </w:rPr>
        <w:t>影响投资者决策的其他重要信息</w:t>
      </w:r>
    </w:p>
    <w:p w:rsidR="009E31C4" w:rsidRPr="009E31C4" w:rsidRDefault="009E31C4" w:rsidP="009E31C4">
      <w:pPr>
        <w:spacing w:line="360" w:lineRule="auto"/>
        <w:ind w:firstLineChars="200" w:firstLine="480"/>
        <w:rPr>
          <w:rFonts w:eastAsiaTheme="minorEastAsia"/>
          <w:color w:val="000000" w:themeColor="text1"/>
          <w:sz w:val="24"/>
        </w:rPr>
      </w:pPr>
      <w:r w:rsidRPr="009E31C4">
        <w:rPr>
          <w:rFonts w:eastAsiaTheme="minorEastAsia"/>
          <w:color w:val="000000" w:themeColor="text1"/>
          <w:sz w:val="24"/>
        </w:rPr>
        <w:t>2018</w:t>
      </w:r>
      <w:r w:rsidRPr="009E31C4">
        <w:rPr>
          <w:rFonts w:eastAsiaTheme="minorEastAsia"/>
          <w:color w:val="000000" w:themeColor="text1"/>
          <w:sz w:val="24"/>
        </w:rPr>
        <w:t>年</w:t>
      </w:r>
      <w:r w:rsidRPr="009E31C4">
        <w:rPr>
          <w:rFonts w:eastAsiaTheme="minorEastAsia"/>
          <w:color w:val="000000" w:themeColor="text1"/>
          <w:sz w:val="24"/>
        </w:rPr>
        <w:t>5</w:t>
      </w:r>
      <w:r w:rsidRPr="009E31C4">
        <w:rPr>
          <w:rFonts w:eastAsiaTheme="minorEastAsia"/>
          <w:color w:val="000000" w:themeColor="text1"/>
          <w:sz w:val="24"/>
        </w:rPr>
        <w:t>月</w:t>
      </w:r>
      <w:r w:rsidRPr="009E31C4">
        <w:rPr>
          <w:rFonts w:eastAsiaTheme="minorEastAsia"/>
          <w:color w:val="000000" w:themeColor="text1"/>
          <w:sz w:val="24"/>
        </w:rPr>
        <w:t>21</w:t>
      </w:r>
      <w:r w:rsidRPr="009E31C4">
        <w:rPr>
          <w:rFonts w:eastAsiaTheme="minorEastAsia"/>
          <w:color w:val="000000" w:themeColor="text1"/>
          <w:sz w:val="24"/>
        </w:rPr>
        <w:t>日起，至</w:t>
      </w:r>
      <w:r w:rsidRPr="009E31C4">
        <w:rPr>
          <w:rFonts w:eastAsiaTheme="minorEastAsia"/>
          <w:color w:val="000000" w:themeColor="text1"/>
          <w:sz w:val="24"/>
        </w:rPr>
        <w:t>2018</w:t>
      </w:r>
      <w:r w:rsidRPr="009E31C4">
        <w:rPr>
          <w:rFonts w:eastAsiaTheme="minorEastAsia"/>
          <w:color w:val="000000" w:themeColor="text1"/>
          <w:sz w:val="24"/>
        </w:rPr>
        <w:t>年</w:t>
      </w:r>
      <w:r w:rsidRPr="009E31C4">
        <w:rPr>
          <w:rFonts w:eastAsiaTheme="minorEastAsia"/>
          <w:color w:val="000000" w:themeColor="text1"/>
          <w:sz w:val="24"/>
        </w:rPr>
        <w:t>6</w:t>
      </w:r>
      <w:r w:rsidRPr="009E31C4">
        <w:rPr>
          <w:rFonts w:eastAsiaTheme="minorEastAsia"/>
          <w:color w:val="000000" w:themeColor="text1"/>
          <w:sz w:val="24"/>
        </w:rPr>
        <w:t>月</w:t>
      </w:r>
      <w:r w:rsidRPr="009E31C4">
        <w:rPr>
          <w:rFonts w:eastAsiaTheme="minorEastAsia"/>
          <w:color w:val="000000" w:themeColor="text1"/>
          <w:sz w:val="24"/>
        </w:rPr>
        <w:t>20</w:t>
      </w:r>
      <w:r w:rsidRPr="009E31C4">
        <w:rPr>
          <w:rFonts w:eastAsiaTheme="minorEastAsia"/>
          <w:color w:val="000000" w:themeColor="text1"/>
          <w:sz w:val="24"/>
        </w:rPr>
        <w:t>日</w:t>
      </w:r>
      <w:r w:rsidRPr="009E31C4">
        <w:rPr>
          <w:rFonts w:eastAsiaTheme="minorEastAsia"/>
          <w:color w:val="000000" w:themeColor="text1"/>
          <w:sz w:val="24"/>
        </w:rPr>
        <w:t>15</w:t>
      </w:r>
      <w:r w:rsidRPr="009E31C4">
        <w:rPr>
          <w:rFonts w:eastAsiaTheme="minorEastAsia"/>
          <w:color w:val="000000" w:themeColor="text1"/>
          <w:sz w:val="24"/>
        </w:rPr>
        <w:t>：</w:t>
      </w:r>
      <w:r w:rsidRPr="009E31C4">
        <w:rPr>
          <w:rFonts w:eastAsiaTheme="minorEastAsia"/>
          <w:color w:val="000000" w:themeColor="text1"/>
          <w:sz w:val="24"/>
        </w:rPr>
        <w:t xml:space="preserve">00 </w:t>
      </w:r>
      <w:r w:rsidRPr="009E31C4">
        <w:rPr>
          <w:rFonts w:eastAsiaTheme="minorEastAsia"/>
          <w:color w:val="000000" w:themeColor="text1"/>
          <w:sz w:val="24"/>
        </w:rPr>
        <w:t>止，广发集安债券型证券投资基金以通讯方式召开了基金份额持有人大会，本次会议议案《关于终止广发集安债券型证券投资基金基金合同相关事项的议案》在</w:t>
      </w:r>
      <w:r w:rsidRPr="009E31C4">
        <w:rPr>
          <w:rFonts w:eastAsiaTheme="minorEastAsia"/>
          <w:color w:val="000000" w:themeColor="text1"/>
          <w:sz w:val="24"/>
        </w:rPr>
        <w:t>2018</w:t>
      </w:r>
      <w:r w:rsidRPr="009E31C4">
        <w:rPr>
          <w:rFonts w:eastAsiaTheme="minorEastAsia"/>
          <w:color w:val="000000" w:themeColor="text1"/>
          <w:sz w:val="24"/>
        </w:rPr>
        <w:t>年</w:t>
      </w:r>
      <w:r w:rsidRPr="009E31C4">
        <w:rPr>
          <w:rFonts w:eastAsiaTheme="minorEastAsia"/>
          <w:color w:val="000000" w:themeColor="text1"/>
          <w:sz w:val="24"/>
        </w:rPr>
        <w:t>6</w:t>
      </w:r>
      <w:r w:rsidRPr="009E31C4">
        <w:rPr>
          <w:rFonts w:eastAsiaTheme="minorEastAsia"/>
          <w:color w:val="000000" w:themeColor="text1"/>
          <w:sz w:val="24"/>
        </w:rPr>
        <w:t>月</w:t>
      </w:r>
      <w:r w:rsidRPr="009E31C4">
        <w:rPr>
          <w:rFonts w:eastAsiaTheme="minorEastAsia"/>
          <w:color w:val="000000" w:themeColor="text1"/>
          <w:sz w:val="24"/>
        </w:rPr>
        <w:t>22</w:t>
      </w:r>
      <w:r w:rsidRPr="009E31C4">
        <w:rPr>
          <w:rFonts w:eastAsiaTheme="minorEastAsia"/>
          <w:color w:val="000000" w:themeColor="text1"/>
          <w:sz w:val="24"/>
        </w:rPr>
        <w:t>日的计票会议上获得通过。根据持有人大会通过的议案，自</w:t>
      </w:r>
      <w:r w:rsidRPr="009E31C4">
        <w:rPr>
          <w:rFonts w:eastAsiaTheme="minorEastAsia"/>
          <w:color w:val="000000" w:themeColor="text1"/>
          <w:sz w:val="24"/>
        </w:rPr>
        <w:t>2018</w:t>
      </w:r>
      <w:r w:rsidRPr="009E31C4">
        <w:rPr>
          <w:rFonts w:eastAsiaTheme="minorEastAsia"/>
          <w:color w:val="000000" w:themeColor="text1"/>
          <w:sz w:val="24"/>
        </w:rPr>
        <w:t>年</w:t>
      </w:r>
      <w:r w:rsidRPr="009E31C4">
        <w:rPr>
          <w:rFonts w:eastAsiaTheme="minorEastAsia"/>
          <w:color w:val="000000" w:themeColor="text1"/>
          <w:sz w:val="24"/>
        </w:rPr>
        <w:t>6</w:t>
      </w:r>
      <w:r w:rsidRPr="009E31C4">
        <w:rPr>
          <w:rFonts w:eastAsiaTheme="minorEastAsia"/>
          <w:color w:val="000000" w:themeColor="text1"/>
          <w:sz w:val="24"/>
        </w:rPr>
        <w:t>月</w:t>
      </w:r>
      <w:r w:rsidRPr="009E31C4">
        <w:rPr>
          <w:rFonts w:eastAsiaTheme="minorEastAsia"/>
          <w:color w:val="000000" w:themeColor="text1"/>
          <w:sz w:val="24"/>
        </w:rPr>
        <w:t>27</w:t>
      </w:r>
      <w:r w:rsidRPr="009E31C4">
        <w:rPr>
          <w:rFonts w:eastAsiaTheme="minorEastAsia"/>
          <w:color w:val="000000" w:themeColor="text1"/>
          <w:sz w:val="24"/>
        </w:rPr>
        <w:t>日起，本基金进入清算期，基金管理人将组织成立基金财产清算小组履行基金财产清算程序，并将清算结果及时予以公告。有关重要事项详情可见本基金管理人于</w:t>
      </w:r>
      <w:r w:rsidRPr="009E31C4">
        <w:rPr>
          <w:rFonts w:eastAsiaTheme="minorEastAsia"/>
          <w:color w:val="000000" w:themeColor="text1"/>
          <w:sz w:val="24"/>
        </w:rPr>
        <w:t xml:space="preserve">2018 </w:t>
      </w:r>
      <w:r w:rsidRPr="009E31C4">
        <w:rPr>
          <w:rFonts w:eastAsiaTheme="minorEastAsia"/>
          <w:color w:val="000000" w:themeColor="text1"/>
          <w:sz w:val="24"/>
        </w:rPr>
        <w:t>年</w:t>
      </w:r>
      <w:r w:rsidRPr="009E31C4">
        <w:rPr>
          <w:rFonts w:eastAsiaTheme="minorEastAsia"/>
          <w:color w:val="000000" w:themeColor="text1"/>
          <w:sz w:val="24"/>
        </w:rPr>
        <w:t xml:space="preserve"> 6</w:t>
      </w:r>
      <w:r w:rsidRPr="009E31C4">
        <w:rPr>
          <w:rFonts w:eastAsiaTheme="minorEastAsia"/>
          <w:color w:val="000000" w:themeColor="text1"/>
          <w:sz w:val="24"/>
        </w:rPr>
        <w:t>月</w:t>
      </w:r>
      <w:r w:rsidRPr="009E31C4">
        <w:rPr>
          <w:rFonts w:eastAsiaTheme="minorEastAsia"/>
          <w:color w:val="000000" w:themeColor="text1"/>
          <w:sz w:val="24"/>
        </w:rPr>
        <w:t xml:space="preserve"> 26 </w:t>
      </w:r>
      <w:r w:rsidRPr="009E31C4">
        <w:rPr>
          <w:rFonts w:eastAsiaTheme="minorEastAsia"/>
          <w:color w:val="000000" w:themeColor="text1"/>
          <w:sz w:val="24"/>
        </w:rPr>
        <w:t>日在《中国证券报》、《上海证券报》、《证券时报》及本公司网站（</w:t>
      </w:r>
      <w:r w:rsidRPr="009E31C4">
        <w:rPr>
          <w:rFonts w:eastAsiaTheme="minorEastAsia"/>
          <w:color w:val="000000" w:themeColor="text1"/>
          <w:sz w:val="24"/>
        </w:rPr>
        <w:t>www.gffunds.com.cn</w:t>
      </w:r>
      <w:r w:rsidRPr="009E31C4">
        <w:rPr>
          <w:rFonts w:eastAsiaTheme="minorEastAsia"/>
          <w:color w:val="000000" w:themeColor="text1"/>
          <w:sz w:val="24"/>
        </w:rPr>
        <w:t>）刊登的《关于广发集安债券型证券投资基金基金份额持有人大会表决结果暨决议生效的公告》。</w:t>
      </w:r>
    </w:p>
    <w:p w:rsidR="009238DB" w:rsidRPr="00B75DF8" w:rsidRDefault="009238DB" w:rsidP="00341503">
      <w:pPr>
        <w:pStyle w:val="1"/>
        <w:spacing w:beforeLines="100" w:afterLines="100" w:line="360" w:lineRule="auto"/>
        <w:jc w:val="center"/>
        <w:rPr>
          <w:rFonts w:asciiTheme="minorEastAsia" w:eastAsiaTheme="minorEastAsia" w:hAnsiTheme="minorEastAsia" w:cs="Arial"/>
          <w:color w:val="000000"/>
          <w:kern w:val="0"/>
          <w:sz w:val="24"/>
          <w:szCs w:val="24"/>
        </w:rPr>
      </w:pPr>
      <w:r w:rsidRPr="00B75DF8">
        <w:rPr>
          <w:rFonts w:asciiTheme="minorEastAsia" w:eastAsiaTheme="minorEastAsia" w:hAnsiTheme="minorEastAsia" w:cs="Arial" w:hint="eastAsia"/>
          <w:color w:val="000000"/>
          <w:kern w:val="0"/>
          <w:sz w:val="24"/>
          <w:szCs w:val="24"/>
        </w:rPr>
        <w:t>§</w:t>
      </w:r>
      <w:r w:rsidR="00A14399" w:rsidRPr="00B75DF8">
        <w:rPr>
          <w:rFonts w:asciiTheme="minorEastAsia" w:eastAsiaTheme="minorEastAsia" w:hAnsiTheme="minorEastAsia" w:cs="Arial" w:hint="eastAsia"/>
          <w:color w:val="000000"/>
          <w:kern w:val="0"/>
          <w:sz w:val="24"/>
          <w:szCs w:val="24"/>
        </w:rPr>
        <w:t>9</w:t>
      </w:r>
      <w:r w:rsidRPr="00B75DF8">
        <w:rPr>
          <w:rFonts w:asciiTheme="minorEastAsia" w:eastAsiaTheme="minorEastAsia" w:hAnsiTheme="minorEastAsia" w:cs="Arial"/>
          <w:color w:val="000000"/>
          <w:kern w:val="0"/>
          <w:sz w:val="24"/>
          <w:szCs w:val="24"/>
        </w:rPr>
        <w:t>备查文件目录</w:t>
      </w:r>
    </w:p>
    <w:p w:rsidR="00FB3C94" w:rsidRPr="00B75DF8" w:rsidRDefault="00A14399" w:rsidP="00FC13C8">
      <w:pPr>
        <w:autoSpaceDE w:val="0"/>
        <w:autoSpaceDN w:val="0"/>
        <w:adjustRightInd w:val="0"/>
        <w:spacing w:line="360" w:lineRule="auto"/>
        <w:jc w:val="left"/>
        <w:rPr>
          <w:rFonts w:asciiTheme="minorEastAsia" w:eastAsiaTheme="minorEastAsia" w:hAnsiTheme="minorEastAsia"/>
          <w:b/>
          <w:bCs/>
          <w:color w:val="000000"/>
          <w:kern w:val="0"/>
          <w:sz w:val="24"/>
        </w:rPr>
      </w:pPr>
      <w:r w:rsidRPr="00B75DF8">
        <w:rPr>
          <w:rFonts w:asciiTheme="minorEastAsia" w:eastAsiaTheme="minorEastAsia" w:hAnsiTheme="minorEastAsia" w:hint="eastAsia"/>
          <w:b/>
          <w:bCs/>
          <w:color w:val="000000"/>
          <w:kern w:val="0"/>
          <w:sz w:val="24"/>
        </w:rPr>
        <w:t>9.</w:t>
      </w:r>
      <w:r w:rsidR="00D13A01" w:rsidRPr="00B75DF8">
        <w:rPr>
          <w:rFonts w:asciiTheme="minorEastAsia" w:eastAsiaTheme="minorEastAsia" w:hAnsiTheme="minorEastAsia" w:hint="eastAsia"/>
          <w:b/>
          <w:bCs/>
          <w:color w:val="000000"/>
          <w:kern w:val="0"/>
          <w:sz w:val="24"/>
        </w:rPr>
        <w:t>1</w:t>
      </w:r>
      <w:r w:rsidR="00FB3C94" w:rsidRPr="00B75DF8">
        <w:rPr>
          <w:rFonts w:asciiTheme="minorEastAsia" w:eastAsiaTheme="minorEastAsia" w:hAnsiTheme="minorEastAsia" w:hint="eastAsia"/>
          <w:b/>
          <w:bCs/>
          <w:color w:val="000000"/>
          <w:kern w:val="0"/>
          <w:sz w:val="24"/>
        </w:rPr>
        <w:t>备查文件目录</w:t>
      </w:r>
    </w:p>
    <w:p w:rsidR="001C4558" w:rsidRDefault="00341503">
      <w:pPr>
        <w:spacing w:line="360" w:lineRule="auto"/>
        <w:ind w:firstLineChars="200" w:firstLine="480"/>
        <w:rPr>
          <w:rFonts w:eastAsiaTheme="minorEastAsia"/>
          <w:color w:val="000000"/>
          <w:sz w:val="24"/>
        </w:rPr>
      </w:pPr>
      <w:r>
        <w:rPr>
          <w:rFonts w:eastAsiaTheme="minorEastAsia" w:hint="eastAsia"/>
          <w:color w:val="000000"/>
          <w:sz w:val="24"/>
        </w:rPr>
        <w:t>（一）中国证监会批准广发集安债券型证券投资基金募集的文件</w:t>
      </w:r>
    </w:p>
    <w:p w:rsidR="001C4558" w:rsidRDefault="00341503">
      <w:pPr>
        <w:spacing w:line="360" w:lineRule="auto"/>
        <w:ind w:firstLineChars="200" w:firstLine="480"/>
        <w:rPr>
          <w:rFonts w:eastAsiaTheme="minorEastAsia"/>
          <w:color w:val="000000"/>
          <w:sz w:val="24"/>
        </w:rPr>
      </w:pPr>
      <w:r>
        <w:rPr>
          <w:rFonts w:eastAsiaTheme="minorEastAsia" w:hint="eastAsia"/>
          <w:color w:val="000000"/>
          <w:sz w:val="24"/>
        </w:rPr>
        <w:t>（二）《广发集安债券型证券投资基金基金合同》</w:t>
      </w:r>
    </w:p>
    <w:p w:rsidR="001C4558" w:rsidRDefault="00341503">
      <w:pPr>
        <w:spacing w:line="360" w:lineRule="auto"/>
        <w:ind w:firstLineChars="200" w:firstLine="480"/>
        <w:rPr>
          <w:rFonts w:eastAsiaTheme="minorEastAsia"/>
          <w:color w:val="000000"/>
          <w:sz w:val="24"/>
        </w:rPr>
      </w:pPr>
      <w:r>
        <w:rPr>
          <w:rFonts w:eastAsiaTheme="minorEastAsia" w:hint="eastAsia"/>
          <w:color w:val="000000"/>
          <w:sz w:val="24"/>
        </w:rPr>
        <w:t>（三）《广发基金管理有限公司开放式基金业务规则》</w:t>
      </w:r>
    </w:p>
    <w:p w:rsidR="001C4558" w:rsidRDefault="00341503">
      <w:pPr>
        <w:spacing w:line="360" w:lineRule="auto"/>
        <w:ind w:firstLineChars="200" w:firstLine="480"/>
        <w:rPr>
          <w:rFonts w:eastAsiaTheme="minorEastAsia"/>
          <w:color w:val="000000"/>
          <w:sz w:val="24"/>
        </w:rPr>
      </w:pPr>
      <w:r>
        <w:rPr>
          <w:rFonts w:eastAsiaTheme="minorEastAsia" w:hint="eastAsia"/>
          <w:color w:val="000000"/>
          <w:sz w:val="24"/>
        </w:rPr>
        <w:t>（四）《广发集安债券型证券投资基金托管协议》</w:t>
      </w:r>
    </w:p>
    <w:p w:rsidR="001C4558" w:rsidRDefault="00341503">
      <w:pPr>
        <w:spacing w:line="360" w:lineRule="auto"/>
        <w:ind w:firstLineChars="200" w:firstLine="480"/>
        <w:rPr>
          <w:rFonts w:eastAsiaTheme="minorEastAsia"/>
          <w:color w:val="000000"/>
          <w:sz w:val="24"/>
        </w:rPr>
      </w:pPr>
      <w:r>
        <w:rPr>
          <w:rFonts w:eastAsiaTheme="minorEastAsia" w:hint="eastAsia"/>
          <w:color w:val="000000"/>
          <w:sz w:val="24"/>
        </w:rPr>
        <w:t>（五）法律意见书</w:t>
      </w:r>
    </w:p>
    <w:p w:rsidR="001C4558" w:rsidRDefault="00341503">
      <w:pPr>
        <w:spacing w:line="360" w:lineRule="auto"/>
        <w:ind w:firstLineChars="200" w:firstLine="480"/>
        <w:rPr>
          <w:rFonts w:eastAsiaTheme="minorEastAsia"/>
          <w:color w:val="000000"/>
          <w:sz w:val="24"/>
        </w:rPr>
      </w:pPr>
      <w:r>
        <w:rPr>
          <w:rFonts w:eastAsiaTheme="minorEastAsia" w:hint="eastAsia"/>
          <w:color w:val="000000"/>
          <w:sz w:val="24"/>
        </w:rPr>
        <w:t>（六）基金管理人业务资格批件、营业执照</w:t>
      </w:r>
    </w:p>
    <w:p w:rsidR="00F11783" w:rsidRPr="008B4ABA" w:rsidRDefault="00FB3C94" w:rsidP="008B4ABA">
      <w:pPr>
        <w:spacing w:line="360" w:lineRule="auto"/>
        <w:ind w:firstLineChars="200" w:firstLine="480"/>
        <w:rPr>
          <w:rFonts w:eastAsiaTheme="minorEastAsia"/>
          <w:color w:val="000000"/>
          <w:sz w:val="24"/>
        </w:rPr>
      </w:pPr>
      <w:r w:rsidRPr="00264591">
        <w:rPr>
          <w:rFonts w:eastAsiaTheme="minorEastAsia" w:hint="eastAsia"/>
          <w:color w:val="000000"/>
          <w:sz w:val="24"/>
        </w:rPr>
        <w:t>（七）基金托管人业务资格批件、营业执照</w:t>
      </w:r>
    </w:p>
    <w:p w:rsidR="00FB3C94" w:rsidRPr="00B75DF8" w:rsidRDefault="00D13A01" w:rsidP="00FC13C8">
      <w:pPr>
        <w:autoSpaceDE w:val="0"/>
        <w:autoSpaceDN w:val="0"/>
        <w:adjustRightInd w:val="0"/>
        <w:spacing w:line="360" w:lineRule="auto"/>
        <w:jc w:val="left"/>
        <w:rPr>
          <w:rFonts w:asciiTheme="minorEastAsia" w:eastAsiaTheme="minorEastAsia" w:hAnsiTheme="minorEastAsia"/>
          <w:b/>
          <w:bCs/>
          <w:color w:val="000000"/>
          <w:kern w:val="0"/>
          <w:sz w:val="24"/>
        </w:rPr>
      </w:pPr>
      <w:r w:rsidRPr="00B75DF8">
        <w:rPr>
          <w:rFonts w:asciiTheme="minorEastAsia" w:eastAsiaTheme="minorEastAsia" w:hAnsiTheme="minorEastAsia" w:hint="eastAsia"/>
          <w:b/>
          <w:bCs/>
          <w:color w:val="000000"/>
          <w:kern w:val="0"/>
          <w:sz w:val="24"/>
        </w:rPr>
        <w:t>9.2</w:t>
      </w:r>
      <w:r w:rsidR="00FB3C94" w:rsidRPr="00B75DF8">
        <w:rPr>
          <w:rFonts w:asciiTheme="minorEastAsia" w:eastAsiaTheme="minorEastAsia" w:hAnsiTheme="minorEastAsia" w:hint="eastAsia"/>
          <w:b/>
          <w:bCs/>
          <w:color w:val="000000"/>
          <w:kern w:val="0"/>
          <w:sz w:val="24"/>
        </w:rPr>
        <w:t>存放地点</w:t>
      </w:r>
    </w:p>
    <w:p w:rsidR="00F11783" w:rsidRPr="008B4ABA" w:rsidRDefault="00FB3C94" w:rsidP="008B4ABA">
      <w:pPr>
        <w:spacing w:line="360" w:lineRule="auto"/>
        <w:ind w:firstLineChars="200" w:firstLine="480"/>
        <w:rPr>
          <w:rFonts w:eastAsiaTheme="minorEastAsia"/>
          <w:color w:val="000000"/>
          <w:sz w:val="24"/>
        </w:rPr>
      </w:pPr>
      <w:r w:rsidRPr="00264591">
        <w:rPr>
          <w:rFonts w:eastAsiaTheme="minorEastAsia" w:hint="eastAsia"/>
          <w:color w:val="000000"/>
          <w:sz w:val="24"/>
        </w:rPr>
        <w:t>广州市海珠区琶洲大道东</w:t>
      </w:r>
      <w:r w:rsidRPr="00264591">
        <w:rPr>
          <w:rFonts w:eastAsiaTheme="minorEastAsia" w:hint="eastAsia"/>
          <w:color w:val="000000"/>
          <w:sz w:val="24"/>
        </w:rPr>
        <w:t>1</w:t>
      </w:r>
      <w:r w:rsidRPr="00264591">
        <w:rPr>
          <w:rFonts w:eastAsiaTheme="minorEastAsia" w:hint="eastAsia"/>
          <w:color w:val="000000"/>
          <w:sz w:val="24"/>
        </w:rPr>
        <w:t>号保利国际广场南塔</w:t>
      </w:r>
      <w:r w:rsidRPr="00264591">
        <w:rPr>
          <w:rFonts w:eastAsiaTheme="minorEastAsia" w:hint="eastAsia"/>
          <w:color w:val="000000"/>
          <w:sz w:val="24"/>
        </w:rPr>
        <w:t>31-33</w:t>
      </w:r>
      <w:r w:rsidRPr="00264591">
        <w:rPr>
          <w:rFonts w:eastAsiaTheme="minorEastAsia" w:hint="eastAsia"/>
          <w:color w:val="000000"/>
          <w:sz w:val="24"/>
        </w:rPr>
        <w:t>楼</w:t>
      </w:r>
    </w:p>
    <w:p w:rsidR="00FB3C94" w:rsidRPr="00B75DF8" w:rsidRDefault="00D13A01" w:rsidP="00FC13C8">
      <w:pPr>
        <w:autoSpaceDE w:val="0"/>
        <w:autoSpaceDN w:val="0"/>
        <w:adjustRightInd w:val="0"/>
        <w:spacing w:line="360" w:lineRule="auto"/>
        <w:jc w:val="left"/>
        <w:rPr>
          <w:rFonts w:asciiTheme="minorEastAsia" w:eastAsiaTheme="minorEastAsia" w:hAnsiTheme="minorEastAsia"/>
          <w:b/>
          <w:bCs/>
          <w:color w:val="000000"/>
          <w:kern w:val="0"/>
          <w:sz w:val="24"/>
        </w:rPr>
      </w:pPr>
      <w:r w:rsidRPr="00B75DF8">
        <w:rPr>
          <w:rFonts w:asciiTheme="minorEastAsia" w:eastAsiaTheme="minorEastAsia" w:hAnsiTheme="minorEastAsia" w:hint="eastAsia"/>
          <w:b/>
          <w:bCs/>
          <w:color w:val="000000"/>
          <w:kern w:val="0"/>
          <w:sz w:val="24"/>
        </w:rPr>
        <w:t>9.3</w:t>
      </w:r>
      <w:r w:rsidR="00FB3C94" w:rsidRPr="00B75DF8">
        <w:rPr>
          <w:rFonts w:asciiTheme="minorEastAsia" w:eastAsiaTheme="minorEastAsia" w:hAnsiTheme="minorEastAsia" w:hint="eastAsia"/>
          <w:b/>
          <w:bCs/>
          <w:color w:val="000000"/>
          <w:kern w:val="0"/>
          <w:sz w:val="24"/>
        </w:rPr>
        <w:t>查阅方式</w:t>
      </w:r>
    </w:p>
    <w:p w:rsidR="001C4558" w:rsidRDefault="00341503">
      <w:pPr>
        <w:spacing w:line="360" w:lineRule="auto"/>
        <w:ind w:firstLineChars="200" w:firstLine="480"/>
        <w:rPr>
          <w:rFonts w:asciiTheme="minorEastAsia" w:eastAsiaTheme="minorEastAsia" w:hAnsiTheme="minorEastAsia"/>
          <w:color w:val="000000"/>
          <w:sz w:val="24"/>
        </w:rPr>
      </w:pPr>
      <w:r>
        <w:rPr>
          <w:rFonts w:eastAsiaTheme="minorEastAsia" w:hint="eastAsia"/>
          <w:color w:val="000000"/>
          <w:sz w:val="24"/>
        </w:rPr>
        <w:t>1.</w:t>
      </w:r>
      <w:r>
        <w:rPr>
          <w:rFonts w:eastAsiaTheme="minorEastAsia" w:hint="eastAsia"/>
          <w:color w:val="000000"/>
          <w:sz w:val="24"/>
        </w:rPr>
        <w:t>书面查阅：查阅时间为每工作日</w:t>
      </w:r>
      <w:r>
        <w:rPr>
          <w:rFonts w:eastAsiaTheme="minorEastAsia" w:hint="eastAsia"/>
          <w:color w:val="000000"/>
          <w:sz w:val="24"/>
        </w:rPr>
        <w:t>8:30-11:30</w:t>
      </w:r>
      <w:r>
        <w:rPr>
          <w:rFonts w:eastAsiaTheme="minorEastAsia" w:hint="eastAsia"/>
          <w:color w:val="000000"/>
          <w:sz w:val="24"/>
        </w:rPr>
        <w:t>，</w:t>
      </w:r>
      <w:r>
        <w:rPr>
          <w:rFonts w:eastAsiaTheme="minorEastAsia" w:hint="eastAsia"/>
          <w:color w:val="000000"/>
          <w:sz w:val="24"/>
        </w:rPr>
        <w:t>13:30-17:00</w:t>
      </w:r>
      <w:r>
        <w:rPr>
          <w:rFonts w:eastAsiaTheme="minorEastAsia" w:hint="eastAsia"/>
          <w:color w:val="000000"/>
          <w:sz w:val="24"/>
        </w:rPr>
        <w:t>。投资者可免费查阅，也可按工本费购买复印件；</w:t>
      </w:r>
    </w:p>
    <w:p w:rsidR="001C4558" w:rsidRDefault="00341503">
      <w:pPr>
        <w:spacing w:line="360" w:lineRule="auto"/>
        <w:ind w:firstLineChars="200" w:firstLine="480"/>
        <w:rPr>
          <w:rFonts w:asciiTheme="minorEastAsia" w:eastAsiaTheme="minorEastAsia" w:hAnsiTheme="minorEastAsia"/>
          <w:color w:val="000000"/>
          <w:sz w:val="24"/>
        </w:rPr>
      </w:pPr>
      <w:r>
        <w:rPr>
          <w:rFonts w:eastAsiaTheme="minorEastAsia" w:hint="eastAsia"/>
          <w:color w:val="000000"/>
          <w:sz w:val="24"/>
        </w:rPr>
        <w:t>2.</w:t>
      </w:r>
      <w:r>
        <w:rPr>
          <w:rFonts w:eastAsiaTheme="minorEastAsia" w:hint="eastAsia"/>
          <w:color w:val="000000"/>
          <w:sz w:val="24"/>
        </w:rPr>
        <w:t>网站查阅：基金管理人网址：</w:t>
      </w:r>
      <w:r>
        <w:rPr>
          <w:rFonts w:eastAsiaTheme="minorEastAsia" w:hint="eastAsia"/>
          <w:color w:val="000000"/>
          <w:sz w:val="24"/>
        </w:rPr>
        <w:t>http://www.gffunds.com.cn</w:t>
      </w:r>
      <w:r>
        <w:rPr>
          <w:rFonts w:eastAsiaTheme="minorEastAsia" w:hint="eastAsia"/>
          <w:color w:val="000000"/>
          <w:sz w:val="24"/>
        </w:rPr>
        <w:t>。</w:t>
      </w:r>
    </w:p>
    <w:p w:rsidR="00FB3C94" w:rsidRPr="00B75DF8" w:rsidRDefault="00FB3C94" w:rsidP="00B75DF8">
      <w:pPr>
        <w:spacing w:line="360" w:lineRule="auto"/>
        <w:ind w:firstLineChars="200" w:firstLine="480"/>
        <w:rPr>
          <w:rFonts w:asciiTheme="minorEastAsia" w:eastAsiaTheme="minorEastAsia" w:hAnsiTheme="minorEastAsia"/>
          <w:color w:val="000000"/>
          <w:sz w:val="24"/>
        </w:rPr>
      </w:pPr>
      <w:r w:rsidRPr="00264591">
        <w:rPr>
          <w:rFonts w:eastAsiaTheme="minorEastAsia" w:hint="eastAsia"/>
          <w:color w:val="000000"/>
          <w:sz w:val="24"/>
        </w:rPr>
        <w:t>投资者如对本报告有疑问，可咨询本基金管理人广发基金管理有限公司，咨询电话</w:t>
      </w:r>
      <w:r w:rsidRPr="00264591">
        <w:rPr>
          <w:rFonts w:eastAsiaTheme="minorEastAsia" w:hint="eastAsia"/>
          <w:color w:val="000000"/>
          <w:sz w:val="24"/>
        </w:rPr>
        <w:t>95105828</w:t>
      </w:r>
      <w:r w:rsidRPr="00264591">
        <w:rPr>
          <w:rFonts w:eastAsiaTheme="minorEastAsia" w:hint="eastAsia"/>
          <w:color w:val="000000"/>
          <w:sz w:val="24"/>
        </w:rPr>
        <w:t>或</w:t>
      </w:r>
      <w:r w:rsidRPr="00264591">
        <w:rPr>
          <w:rFonts w:eastAsiaTheme="minorEastAsia" w:hint="eastAsia"/>
          <w:color w:val="000000"/>
          <w:sz w:val="24"/>
        </w:rPr>
        <w:t>020-83936999</w:t>
      </w:r>
      <w:r w:rsidRPr="00264591">
        <w:rPr>
          <w:rFonts w:eastAsiaTheme="minorEastAsia" w:hint="eastAsia"/>
          <w:color w:val="000000"/>
          <w:sz w:val="24"/>
        </w:rPr>
        <w:t>，或发电子邮件：</w:t>
      </w:r>
      <w:r w:rsidRPr="00264591">
        <w:rPr>
          <w:rFonts w:eastAsiaTheme="minorEastAsia" w:hint="eastAsia"/>
          <w:color w:val="000000"/>
          <w:sz w:val="24"/>
        </w:rPr>
        <w:t>services@gf-funds.com.cn</w:t>
      </w:r>
      <w:r w:rsidRPr="00264591">
        <w:rPr>
          <w:rFonts w:eastAsiaTheme="minorEastAsia" w:hint="eastAsia"/>
          <w:color w:val="000000"/>
          <w:sz w:val="24"/>
        </w:rPr>
        <w:t>。</w:t>
      </w:r>
    </w:p>
    <w:p w:rsidR="00FB3C94" w:rsidRPr="00B75DF8" w:rsidRDefault="00FB3C94" w:rsidP="00FB3C94">
      <w:pPr>
        <w:spacing w:line="360" w:lineRule="auto"/>
        <w:ind w:left="840"/>
        <w:jc w:val="right"/>
        <w:rPr>
          <w:rFonts w:asciiTheme="minorEastAsia" w:eastAsiaTheme="minorEastAsia" w:hAnsiTheme="minorEastAsia"/>
          <w:color w:val="000000"/>
          <w:sz w:val="24"/>
        </w:rPr>
      </w:pPr>
    </w:p>
    <w:p w:rsidR="00AF3AF9" w:rsidRPr="00B75DF8" w:rsidRDefault="00AF3AF9" w:rsidP="00053FFD">
      <w:pPr>
        <w:spacing w:line="360" w:lineRule="auto"/>
        <w:ind w:left="840"/>
        <w:jc w:val="center"/>
        <w:rPr>
          <w:rFonts w:asciiTheme="minorEastAsia" w:eastAsiaTheme="minorEastAsia" w:hAnsiTheme="minorEastAsia"/>
          <w:b/>
          <w:color w:val="000000"/>
          <w:sz w:val="24"/>
        </w:rPr>
      </w:pPr>
    </w:p>
    <w:p w:rsidR="00FB3C94" w:rsidRPr="00B75DF8" w:rsidRDefault="00FB3C94" w:rsidP="00B1493B">
      <w:pPr>
        <w:spacing w:line="360" w:lineRule="auto"/>
        <w:jc w:val="right"/>
        <w:rPr>
          <w:rFonts w:asciiTheme="minorEastAsia" w:eastAsiaTheme="minorEastAsia" w:hAnsiTheme="minorEastAsia"/>
          <w:b/>
          <w:bCs/>
          <w:sz w:val="24"/>
        </w:rPr>
      </w:pPr>
      <w:r w:rsidRPr="00B75DF8">
        <w:rPr>
          <w:rFonts w:asciiTheme="minorEastAsia" w:eastAsiaTheme="minorEastAsia" w:hAnsiTheme="minorEastAsia"/>
          <w:b/>
          <w:bCs/>
          <w:sz w:val="24"/>
        </w:rPr>
        <w:t>广发基金管理有限公司</w:t>
      </w:r>
    </w:p>
    <w:p w:rsidR="009238DB" w:rsidRPr="00B75DF8" w:rsidRDefault="00D04410" w:rsidP="00B1493B">
      <w:pPr>
        <w:spacing w:line="360" w:lineRule="auto"/>
        <w:jc w:val="right"/>
        <w:rPr>
          <w:rFonts w:asciiTheme="minorEastAsia" w:eastAsiaTheme="minorEastAsia" w:hAnsiTheme="minorEastAsia"/>
          <w:b/>
          <w:bCs/>
          <w:sz w:val="24"/>
        </w:rPr>
      </w:pPr>
      <w:r w:rsidRPr="00B75DF8">
        <w:rPr>
          <w:rFonts w:asciiTheme="minorEastAsia" w:eastAsiaTheme="minorEastAsia" w:hAnsiTheme="minorEastAsia"/>
          <w:b/>
          <w:bCs/>
          <w:sz w:val="24"/>
        </w:rPr>
        <w:t>二〇一八年七月二十日</w:t>
      </w:r>
    </w:p>
    <w:sectPr w:rsidR="009238DB" w:rsidRPr="00B75DF8" w:rsidSect="00A8324F">
      <w:footerReference w:type="even" r:id="rId12"/>
      <w:footerReference w:type="default" r:id="rId13"/>
      <w:pgSz w:w="11906" w:h="16838"/>
      <w:pgMar w:top="1440" w:right="128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51E" w:rsidRDefault="0079351E">
      <w:r>
        <w:separator/>
      </w:r>
    </w:p>
  </w:endnote>
  <w:endnote w:type="continuationSeparator" w:id="1">
    <w:p w:rsidR="0079351E" w:rsidRDefault="007935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9F" w:rsidRPr="001D0DB0" w:rsidRDefault="00F22F9F" w:rsidP="00F7094A">
    <w:pPr>
      <w:pStyle w:val="a6"/>
      <w:jc w:val="center"/>
    </w:pPr>
    <w:r>
      <w:rPr>
        <w:rFonts w:hint="eastAsia"/>
        <w:kern w:val="0"/>
        <w:szCs w:val="21"/>
      </w:rPr>
      <w:t>第</w:t>
    </w:r>
    <w:r w:rsidR="001C4558">
      <w:rPr>
        <w:kern w:val="0"/>
        <w:szCs w:val="21"/>
      </w:rPr>
      <w:fldChar w:fldCharType="begin"/>
    </w:r>
    <w:r>
      <w:rPr>
        <w:kern w:val="0"/>
        <w:szCs w:val="21"/>
      </w:rPr>
      <w:instrText xml:space="preserve"> PAGE </w:instrText>
    </w:r>
    <w:r w:rsidR="001C4558">
      <w:rPr>
        <w:kern w:val="0"/>
        <w:szCs w:val="21"/>
      </w:rPr>
      <w:fldChar w:fldCharType="separate"/>
    </w:r>
    <w:r w:rsidR="00341503">
      <w:rPr>
        <w:noProof/>
        <w:kern w:val="0"/>
        <w:szCs w:val="21"/>
      </w:rPr>
      <w:t>1</w:t>
    </w:r>
    <w:r w:rsidR="001C4558">
      <w:rPr>
        <w:kern w:val="0"/>
        <w:szCs w:val="21"/>
      </w:rPr>
      <w:fldChar w:fldCharType="end"/>
    </w:r>
    <w:r>
      <w:rPr>
        <w:rFonts w:hint="eastAsia"/>
        <w:kern w:val="0"/>
        <w:szCs w:val="21"/>
      </w:rPr>
      <w:t>页共</w:t>
    </w:r>
    <w:r w:rsidR="001C4558">
      <w:rPr>
        <w:kern w:val="0"/>
        <w:szCs w:val="21"/>
      </w:rPr>
      <w:fldChar w:fldCharType="begin"/>
    </w:r>
    <w:r>
      <w:rPr>
        <w:kern w:val="0"/>
        <w:szCs w:val="21"/>
      </w:rPr>
      <w:instrText xml:space="preserve"> NUMPAGES </w:instrText>
    </w:r>
    <w:r w:rsidR="001C4558">
      <w:rPr>
        <w:kern w:val="0"/>
        <w:szCs w:val="21"/>
      </w:rPr>
      <w:fldChar w:fldCharType="separate"/>
    </w:r>
    <w:r w:rsidR="00341503">
      <w:rPr>
        <w:noProof/>
        <w:kern w:val="0"/>
        <w:szCs w:val="21"/>
      </w:rPr>
      <w:t>3</w:t>
    </w:r>
    <w:r w:rsidR="001C4558">
      <w:rPr>
        <w:kern w:val="0"/>
        <w:szCs w:val="21"/>
      </w:rPr>
      <w:fldChar w:fldCharType="end"/>
    </w:r>
    <w:r>
      <w:rPr>
        <w:rFonts w:hint="eastAsia"/>
        <w:kern w:val="0"/>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9F" w:rsidRDefault="001C4558">
    <w:pPr>
      <w:pStyle w:val="a6"/>
      <w:framePr w:wrap="around" w:vAnchor="text" w:hAnchor="margin" w:xAlign="center" w:y="1"/>
      <w:rPr>
        <w:rStyle w:val="a7"/>
      </w:rPr>
    </w:pPr>
    <w:r>
      <w:rPr>
        <w:rStyle w:val="a7"/>
      </w:rPr>
      <w:fldChar w:fldCharType="begin"/>
    </w:r>
    <w:r w:rsidR="00F22F9F">
      <w:rPr>
        <w:rStyle w:val="a7"/>
      </w:rPr>
      <w:instrText xml:space="preserve">PAGE  </w:instrText>
    </w:r>
    <w:r>
      <w:rPr>
        <w:rStyle w:val="a7"/>
      </w:rPr>
      <w:fldChar w:fldCharType="end"/>
    </w:r>
  </w:p>
  <w:p w:rsidR="00F22F9F" w:rsidRDefault="00F22F9F">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9F" w:rsidRDefault="001C4558">
    <w:pPr>
      <w:pStyle w:val="a6"/>
      <w:framePr w:wrap="around" w:vAnchor="text" w:hAnchor="margin" w:xAlign="center" w:y="1"/>
      <w:rPr>
        <w:rStyle w:val="a7"/>
      </w:rPr>
    </w:pPr>
    <w:r>
      <w:rPr>
        <w:rStyle w:val="a7"/>
      </w:rPr>
      <w:fldChar w:fldCharType="begin"/>
    </w:r>
    <w:r w:rsidR="00F22F9F">
      <w:rPr>
        <w:rStyle w:val="a7"/>
      </w:rPr>
      <w:instrText xml:space="preserve">PAGE  </w:instrText>
    </w:r>
    <w:r>
      <w:rPr>
        <w:rStyle w:val="a7"/>
      </w:rPr>
      <w:fldChar w:fldCharType="separate"/>
    </w:r>
    <w:r w:rsidR="00341503">
      <w:rPr>
        <w:rStyle w:val="a7"/>
        <w:noProof/>
      </w:rPr>
      <w:t>2</w:t>
    </w:r>
    <w:r>
      <w:rPr>
        <w:rStyle w:val="a7"/>
      </w:rPr>
      <w:fldChar w:fldCharType="end"/>
    </w:r>
  </w:p>
  <w:p w:rsidR="00F22F9F" w:rsidRDefault="00F22F9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51E" w:rsidRDefault="0079351E">
      <w:r>
        <w:separator/>
      </w:r>
    </w:p>
  </w:footnote>
  <w:footnote w:type="continuationSeparator" w:id="1">
    <w:p w:rsidR="0079351E" w:rsidRDefault="007935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9F" w:rsidRPr="0063693D" w:rsidRDefault="00F22F9F" w:rsidP="001207F2">
    <w:pPr>
      <w:pStyle w:val="a9"/>
      <w:pBdr>
        <w:bottom w:val="single" w:sz="6" w:space="0" w:color="auto"/>
      </w:pBdr>
      <w:jc w:val="right"/>
    </w:pPr>
    <w:r w:rsidRPr="0063693D">
      <w:t>广发集安债券型证券投资基金</w:t>
    </w:r>
    <w:r w:rsidRPr="0063693D">
      <w:t>2018</w:t>
    </w:r>
    <w:r w:rsidRPr="0063693D">
      <w:t>年第</w:t>
    </w:r>
    <w:r w:rsidRPr="0063693D">
      <w:t>2</w:t>
    </w:r>
    <w:r w:rsidRPr="0063693D">
      <w:t>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64C22724"/>
    <w:multiLevelType w:val="multilevel"/>
    <w:tmpl w:val="0409001D"/>
    <w:numStyleLink w:val="5"/>
  </w:abstractNum>
  <w:abstractNum w:abstractNumId="6">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2187"/>
    <w:rsid w:val="0000059C"/>
    <w:rsid w:val="000008B1"/>
    <w:rsid w:val="0000403B"/>
    <w:rsid w:val="00007441"/>
    <w:rsid w:val="00007F1F"/>
    <w:rsid w:val="00010A83"/>
    <w:rsid w:val="000137C1"/>
    <w:rsid w:val="0001579C"/>
    <w:rsid w:val="00015C60"/>
    <w:rsid w:val="00016551"/>
    <w:rsid w:val="00020737"/>
    <w:rsid w:val="00020C27"/>
    <w:rsid w:val="000219D5"/>
    <w:rsid w:val="00022396"/>
    <w:rsid w:val="00023073"/>
    <w:rsid w:val="00023B97"/>
    <w:rsid w:val="00024836"/>
    <w:rsid w:val="000252D8"/>
    <w:rsid w:val="0003564A"/>
    <w:rsid w:val="00037B55"/>
    <w:rsid w:val="00037C73"/>
    <w:rsid w:val="000419F9"/>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750A"/>
    <w:rsid w:val="000776C0"/>
    <w:rsid w:val="00077849"/>
    <w:rsid w:val="000803AD"/>
    <w:rsid w:val="000813D6"/>
    <w:rsid w:val="00081D05"/>
    <w:rsid w:val="000827CC"/>
    <w:rsid w:val="000871DB"/>
    <w:rsid w:val="000922C5"/>
    <w:rsid w:val="0009314F"/>
    <w:rsid w:val="00093A23"/>
    <w:rsid w:val="000A08FC"/>
    <w:rsid w:val="000A15F1"/>
    <w:rsid w:val="000A1617"/>
    <w:rsid w:val="000A40A5"/>
    <w:rsid w:val="000A457E"/>
    <w:rsid w:val="000A549A"/>
    <w:rsid w:val="000A5A81"/>
    <w:rsid w:val="000A6C57"/>
    <w:rsid w:val="000A72F2"/>
    <w:rsid w:val="000A7BFD"/>
    <w:rsid w:val="000B000E"/>
    <w:rsid w:val="000B1CB9"/>
    <w:rsid w:val="000B24AF"/>
    <w:rsid w:val="000B251E"/>
    <w:rsid w:val="000B3E43"/>
    <w:rsid w:val="000B4E99"/>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25F"/>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3E1"/>
    <w:rsid w:val="00126AC0"/>
    <w:rsid w:val="00126C2B"/>
    <w:rsid w:val="00127A01"/>
    <w:rsid w:val="00130D77"/>
    <w:rsid w:val="00131EF6"/>
    <w:rsid w:val="0013251D"/>
    <w:rsid w:val="00134734"/>
    <w:rsid w:val="00134CBE"/>
    <w:rsid w:val="00140C30"/>
    <w:rsid w:val="00142C74"/>
    <w:rsid w:val="00145E5B"/>
    <w:rsid w:val="00147319"/>
    <w:rsid w:val="00147551"/>
    <w:rsid w:val="0015012F"/>
    <w:rsid w:val="00150C2E"/>
    <w:rsid w:val="0015170D"/>
    <w:rsid w:val="001517AE"/>
    <w:rsid w:val="00154FA5"/>
    <w:rsid w:val="0015531A"/>
    <w:rsid w:val="00156F9D"/>
    <w:rsid w:val="001602E3"/>
    <w:rsid w:val="00160539"/>
    <w:rsid w:val="001613B4"/>
    <w:rsid w:val="00161548"/>
    <w:rsid w:val="0017176A"/>
    <w:rsid w:val="00172B54"/>
    <w:rsid w:val="001763D8"/>
    <w:rsid w:val="00176874"/>
    <w:rsid w:val="0017725A"/>
    <w:rsid w:val="0018052A"/>
    <w:rsid w:val="00180952"/>
    <w:rsid w:val="0018191A"/>
    <w:rsid w:val="00185B68"/>
    <w:rsid w:val="00186199"/>
    <w:rsid w:val="001874E3"/>
    <w:rsid w:val="00194155"/>
    <w:rsid w:val="001A0417"/>
    <w:rsid w:val="001A0B71"/>
    <w:rsid w:val="001A1389"/>
    <w:rsid w:val="001A3016"/>
    <w:rsid w:val="001A3914"/>
    <w:rsid w:val="001A5FA6"/>
    <w:rsid w:val="001B053A"/>
    <w:rsid w:val="001B0C78"/>
    <w:rsid w:val="001B151C"/>
    <w:rsid w:val="001B1A13"/>
    <w:rsid w:val="001B22BA"/>
    <w:rsid w:val="001C2045"/>
    <w:rsid w:val="001C4558"/>
    <w:rsid w:val="001C5040"/>
    <w:rsid w:val="001C715A"/>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F5F"/>
    <w:rsid w:val="00205064"/>
    <w:rsid w:val="0020548A"/>
    <w:rsid w:val="0020576B"/>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41740"/>
    <w:rsid w:val="00241BA9"/>
    <w:rsid w:val="002424E4"/>
    <w:rsid w:val="00243122"/>
    <w:rsid w:val="002437F5"/>
    <w:rsid w:val="00244DB1"/>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591"/>
    <w:rsid w:val="00264AE1"/>
    <w:rsid w:val="00266645"/>
    <w:rsid w:val="00267386"/>
    <w:rsid w:val="00267C2E"/>
    <w:rsid w:val="00267DA9"/>
    <w:rsid w:val="00273E5C"/>
    <w:rsid w:val="00275FD0"/>
    <w:rsid w:val="00280514"/>
    <w:rsid w:val="002819E7"/>
    <w:rsid w:val="00282FF2"/>
    <w:rsid w:val="00283483"/>
    <w:rsid w:val="002844B5"/>
    <w:rsid w:val="0028459B"/>
    <w:rsid w:val="00285618"/>
    <w:rsid w:val="002872F8"/>
    <w:rsid w:val="00296E4A"/>
    <w:rsid w:val="002976E5"/>
    <w:rsid w:val="002A1F14"/>
    <w:rsid w:val="002A2678"/>
    <w:rsid w:val="002A3369"/>
    <w:rsid w:val="002A4B8A"/>
    <w:rsid w:val="002A5161"/>
    <w:rsid w:val="002A5C0F"/>
    <w:rsid w:val="002A6385"/>
    <w:rsid w:val="002A7929"/>
    <w:rsid w:val="002B41D7"/>
    <w:rsid w:val="002B5240"/>
    <w:rsid w:val="002B6A13"/>
    <w:rsid w:val="002C0904"/>
    <w:rsid w:val="002C0F67"/>
    <w:rsid w:val="002C1197"/>
    <w:rsid w:val="002C1E84"/>
    <w:rsid w:val="002C36C3"/>
    <w:rsid w:val="002C77CC"/>
    <w:rsid w:val="002D2A00"/>
    <w:rsid w:val="002D5199"/>
    <w:rsid w:val="002E2862"/>
    <w:rsid w:val="002E356A"/>
    <w:rsid w:val="002E4C01"/>
    <w:rsid w:val="002F0516"/>
    <w:rsid w:val="002F22D2"/>
    <w:rsid w:val="002F778A"/>
    <w:rsid w:val="0030017A"/>
    <w:rsid w:val="00302187"/>
    <w:rsid w:val="003028D8"/>
    <w:rsid w:val="0030290F"/>
    <w:rsid w:val="00302DE9"/>
    <w:rsid w:val="00303869"/>
    <w:rsid w:val="00303F1D"/>
    <w:rsid w:val="00305084"/>
    <w:rsid w:val="00311ABF"/>
    <w:rsid w:val="00314A81"/>
    <w:rsid w:val="00314DD2"/>
    <w:rsid w:val="00315A7C"/>
    <w:rsid w:val="00317705"/>
    <w:rsid w:val="003204E9"/>
    <w:rsid w:val="003232AA"/>
    <w:rsid w:val="00323A10"/>
    <w:rsid w:val="00323E6A"/>
    <w:rsid w:val="00323F25"/>
    <w:rsid w:val="00324A71"/>
    <w:rsid w:val="003303E3"/>
    <w:rsid w:val="00334656"/>
    <w:rsid w:val="00337A86"/>
    <w:rsid w:val="0034147B"/>
    <w:rsid w:val="00341503"/>
    <w:rsid w:val="00341889"/>
    <w:rsid w:val="003426CE"/>
    <w:rsid w:val="00343016"/>
    <w:rsid w:val="0034447B"/>
    <w:rsid w:val="00351704"/>
    <w:rsid w:val="003570C8"/>
    <w:rsid w:val="00367770"/>
    <w:rsid w:val="00371424"/>
    <w:rsid w:val="00371FF4"/>
    <w:rsid w:val="00372209"/>
    <w:rsid w:val="00374C4E"/>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8B5"/>
    <w:rsid w:val="003E0BD4"/>
    <w:rsid w:val="003E45B9"/>
    <w:rsid w:val="003E654C"/>
    <w:rsid w:val="003F0DE5"/>
    <w:rsid w:val="003F46FC"/>
    <w:rsid w:val="003F4AA5"/>
    <w:rsid w:val="003F4FB6"/>
    <w:rsid w:val="003F61CF"/>
    <w:rsid w:val="003F697D"/>
    <w:rsid w:val="003F7026"/>
    <w:rsid w:val="003F7C45"/>
    <w:rsid w:val="00400500"/>
    <w:rsid w:val="0040132C"/>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8BB"/>
    <w:rsid w:val="0042785F"/>
    <w:rsid w:val="004314FF"/>
    <w:rsid w:val="004408EC"/>
    <w:rsid w:val="00440F74"/>
    <w:rsid w:val="00441FEC"/>
    <w:rsid w:val="004425E8"/>
    <w:rsid w:val="00443C8F"/>
    <w:rsid w:val="00447BC6"/>
    <w:rsid w:val="004501CE"/>
    <w:rsid w:val="00452481"/>
    <w:rsid w:val="00453832"/>
    <w:rsid w:val="00454A0F"/>
    <w:rsid w:val="0046335D"/>
    <w:rsid w:val="00463C2C"/>
    <w:rsid w:val="004733AC"/>
    <w:rsid w:val="00483271"/>
    <w:rsid w:val="0049210E"/>
    <w:rsid w:val="0049297D"/>
    <w:rsid w:val="0049327D"/>
    <w:rsid w:val="0049405D"/>
    <w:rsid w:val="0049455C"/>
    <w:rsid w:val="00495A03"/>
    <w:rsid w:val="004A135B"/>
    <w:rsid w:val="004A1BE1"/>
    <w:rsid w:val="004A4980"/>
    <w:rsid w:val="004A4F68"/>
    <w:rsid w:val="004A63CB"/>
    <w:rsid w:val="004A67B0"/>
    <w:rsid w:val="004A6FB2"/>
    <w:rsid w:val="004B0847"/>
    <w:rsid w:val="004B0E6D"/>
    <w:rsid w:val="004B16E8"/>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6A40"/>
    <w:rsid w:val="0051064F"/>
    <w:rsid w:val="00513A0E"/>
    <w:rsid w:val="00515D7B"/>
    <w:rsid w:val="00515F29"/>
    <w:rsid w:val="0052009E"/>
    <w:rsid w:val="00530161"/>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4B"/>
    <w:rsid w:val="005742DB"/>
    <w:rsid w:val="00577209"/>
    <w:rsid w:val="005800A9"/>
    <w:rsid w:val="00581139"/>
    <w:rsid w:val="00581645"/>
    <w:rsid w:val="0058694E"/>
    <w:rsid w:val="005875F9"/>
    <w:rsid w:val="00593A35"/>
    <w:rsid w:val="00593C74"/>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321C"/>
    <w:rsid w:val="00613F44"/>
    <w:rsid w:val="006160BD"/>
    <w:rsid w:val="00620EDB"/>
    <w:rsid w:val="0062386E"/>
    <w:rsid w:val="006253EF"/>
    <w:rsid w:val="00626075"/>
    <w:rsid w:val="0062680E"/>
    <w:rsid w:val="00631158"/>
    <w:rsid w:val="00632923"/>
    <w:rsid w:val="006341E6"/>
    <w:rsid w:val="00634439"/>
    <w:rsid w:val="006366C6"/>
    <w:rsid w:val="0063693D"/>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61244"/>
    <w:rsid w:val="006640DF"/>
    <w:rsid w:val="00666A3C"/>
    <w:rsid w:val="00667519"/>
    <w:rsid w:val="006676A0"/>
    <w:rsid w:val="00670857"/>
    <w:rsid w:val="00670868"/>
    <w:rsid w:val="00673D69"/>
    <w:rsid w:val="00676431"/>
    <w:rsid w:val="00677A9C"/>
    <w:rsid w:val="0068050D"/>
    <w:rsid w:val="00684DF0"/>
    <w:rsid w:val="00685FFC"/>
    <w:rsid w:val="00686943"/>
    <w:rsid w:val="00686EDE"/>
    <w:rsid w:val="00687AD5"/>
    <w:rsid w:val="00690A31"/>
    <w:rsid w:val="006911CE"/>
    <w:rsid w:val="00692002"/>
    <w:rsid w:val="00695251"/>
    <w:rsid w:val="00695B58"/>
    <w:rsid w:val="006A4828"/>
    <w:rsid w:val="006A7C09"/>
    <w:rsid w:val="006B046C"/>
    <w:rsid w:val="006B252F"/>
    <w:rsid w:val="006B3940"/>
    <w:rsid w:val="006C168D"/>
    <w:rsid w:val="006C4033"/>
    <w:rsid w:val="006C5BC9"/>
    <w:rsid w:val="006C642C"/>
    <w:rsid w:val="006D462B"/>
    <w:rsid w:val="006D7386"/>
    <w:rsid w:val="006E0DAD"/>
    <w:rsid w:val="006E313F"/>
    <w:rsid w:val="006F1F1A"/>
    <w:rsid w:val="006F5AC2"/>
    <w:rsid w:val="006F6C28"/>
    <w:rsid w:val="007007EB"/>
    <w:rsid w:val="00701F57"/>
    <w:rsid w:val="00703E8A"/>
    <w:rsid w:val="00706046"/>
    <w:rsid w:val="007112F0"/>
    <w:rsid w:val="00711343"/>
    <w:rsid w:val="00714309"/>
    <w:rsid w:val="0071450F"/>
    <w:rsid w:val="00717772"/>
    <w:rsid w:val="00721DBE"/>
    <w:rsid w:val="007226EC"/>
    <w:rsid w:val="00722B5E"/>
    <w:rsid w:val="007242C7"/>
    <w:rsid w:val="00724F6D"/>
    <w:rsid w:val="0072678C"/>
    <w:rsid w:val="00732D1D"/>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4FE0"/>
    <w:rsid w:val="007858B1"/>
    <w:rsid w:val="0078648E"/>
    <w:rsid w:val="00791A3A"/>
    <w:rsid w:val="00791D9C"/>
    <w:rsid w:val="0079351E"/>
    <w:rsid w:val="007A391B"/>
    <w:rsid w:val="007A4409"/>
    <w:rsid w:val="007A4F37"/>
    <w:rsid w:val="007A5241"/>
    <w:rsid w:val="007A59B8"/>
    <w:rsid w:val="007B06C7"/>
    <w:rsid w:val="007B3A7F"/>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67B9"/>
    <w:rsid w:val="00827990"/>
    <w:rsid w:val="00834CA6"/>
    <w:rsid w:val="0083623B"/>
    <w:rsid w:val="00836C5A"/>
    <w:rsid w:val="00837E59"/>
    <w:rsid w:val="00842100"/>
    <w:rsid w:val="008428A9"/>
    <w:rsid w:val="0084308F"/>
    <w:rsid w:val="00846C2B"/>
    <w:rsid w:val="008473F2"/>
    <w:rsid w:val="0085139A"/>
    <w:rsid w:val="008524F6"/>
    <w:rsid w:val="008532F3"/>
    <w:rsid w:val="00854B3F"/>
    <w:rsid w:val="00861C2C"/>
    <w:rsid w:val="00863744"/>
    <w:rsid w:val="008668B8"/>
    <w:rsid w:val="0086748F"/>
    <w:rsid w:val="00867B4D"/>
    <w:rsid w:val="00867CF3"/>
    <w:rsid w:val="00874AB5"/>
    <w:rsid w:val="00877671"/>
    <w:rsid w:val="00877A13"/>
    <w:rsid w:val="008869BC"/>
    <w:rsid w:val="00887DDD"/>
    <w:rsid w:val="00887DE6"/>
    <w:rsid w:val="00887E9F"/>
    <w:rsid w:val="008908AA"/>
    <w:rsid w:val="00890E08"/>
    <w:rsid w:val="00894DCA"/>
    <w:rsid w:val="00897D88"/>
    <w:rsid w:val="008A00BE"/>
    <w:rsid w:val="008A1539"/>
    <w:rsid w:val="008A2C5D"/>
    <w:rsid w:val="008A3BE2"/>
    <w:rsid w:val="008A6B30"/>
    <w:rsid w:val="008B05E7"/>
    <w:rsid w:val="008B0758"/>
    <w:rsid w:val="008B1858"/>
    <w:rsid w:val="008B1875"/>
    <w:rsid w:val="008B4146"/>
    <w:rsid w:val="008B4ABA"/>
    <w:rsid w:val="008B5312"/>
    <w:rsid w:val="008B59CE"/>
    <w:rsid w:val="008B6078"/>
    <w:rsid w:val="008B7110"/>
    <w:rsid w:val="008B7F4A"/>
    <w:rsid w:val="008C04E1"/>
    <w:rsid w:val="008C04FE"/>
    <w:rsid w:val="008C2F50"/>
    <w:rsid w:val="008C3109"/>
    <w:rsid w:val="008C5312"/>
    <w:rsid w:val="008C5DBD"/>
    <w:rsid w:val="008C61D6"/>
    <w:rsid w:val="008D49AF"/>
    <w:rsid w:val="008D4A2B"/>
    <w:rsid w:val="008D4A9F"/>
    <w:rsid w:val="008D6294"/>
    <w:rsid w:val="008E1FE0"/>
    <w:rsid w:val="008E3939"/>
    <w:rsid w:val="008E3DDD"/>
    <w:rsid w:val="008F23F4"/>
    <w:rsid w:val="008F61C4"/>
    <w:rsid w:val="008F7763"/>
    <w:rsid w:val="009007CB"/>
    <w:rsid w:val="009010F0"/>
    <w:rsid w:val="00901162"/>
    <w:rsid w:val="00901D46"/>
    <w:rsid w:val="009020F1"/>
    <w:rsid w:val="009028E2"/>
    <w:rsid w:val="00903692"/>
    <w:rsid w:val="00904E07"/>
    <w:rsid w:val="00912BAF"/>
    <w:rsid w:val="0091311E"/>
    <w:rsid w:val="00914EAB"/>
    <w:rsid w:val="0091541F"/>
    <w:rsid w:val="00916E71"/>
    <w:rsid w:val="00920D98"/>
    <w:rsid w:val="0092108C"/>
    <w:rsid w:val="00922D49"/>
    <w:rsid w:val="009238DB"/>
    <w:rsid w:val="00925E37"/>
    <w:rsid w:val="00925EDD"/>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2FC"/>
    <w:rsid w:val="00955FF2"/>
    <w:rsid w:val="0095693D"/>
    <w:rsid w:val="00956B0D"/>
    <w:rsid w:val="0096260B"/>
    <w:rsid w:val="009631C1"/>
    <w:rsid w:val="00970C69"/>
    <w:rsid w:val="00973B57"/>
    <w:rsid w:val="00973E0D"/>
    <w:rsid w:val="0097403F"/>
    <w:rsid w:val="00976797"/>
    <w:rsid w:val="00980C0C"/>
    <w:rsid w:val="00982E47"/>
    <w:rsid w:val="00983E7D"/>
    <w:rsid w:val="00991642"/>
    <w:rsid w:val="0099260C"/>
    <w:rsid w:val="00992E6E"/>
    <w:rsid w:val="009942F4"/>
    <w:rsid w:val="00995B3C"/>
    <w:rsid w:val="00996BCA"/>
    <w:rsid w:val="009A045B"/>
    <w:rsid w:val="009A0513"/>
    <w:rsid w:val="009A2283"/>
    <w:rsid w:val="009A31AF"/>
    <w:rsid w:val="009A3507"/>
    <w:rsid w:val="009A529F"/>
    <w:rsid w:val="009A5C1D"/>
    <w:rsid w:val="009A6018"/>
    <w:rsid w:val="009B4286"/>
    <w:rsid w:val="009B5BF9"/>
    <w:rsid w:val="009B5DAF"/>
    <w:rsid w:val="009B5F83"/>
    <w:rsid w:val="009B61C5"/>
    <w:rsid w:val="009B769E"/>
    <w:rsid w:val="009C03E5"/>
    <w:rsid w:val="009C4D19"/>
    <w:rsid w:val="009C5FDB"/>
    <w:rsid w:val="009C65AF"/>
    <w:rsid w:val="009C70CB"/>
    <w:rsid w:val="009C74DD"/>
    <w:rsid w:val="009D27AA"/>
    <w:rsid w:val="009D2AD9"/>
    <w:rsid w:val="009D514E"/>
    <w:rsid w:val="009D5A40"/>
    <w:rsid w:val="009D5C39"/>
    <w:rsid w:val="009D6FED"/>
    <w:rsid w:val="009E0A95"/>
    <w:rsid w:val="009E0D47"/>
    <w:rsid w:val="009E31C4"/>
    <w:rsid w:val="009E549D"/>
    <w:rsid w:val="009E54AF"/>
    <w:rsid w:val="009E5C59"/>
    <w:rsid w:val="009E6BB8"/>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68F"/>
    <w:rsid w:val="00A25230"/>
    <w:rsid w:val="00A26437"/>
    <w:rsid w:val="00A30E4D"/>
    <w:rsid w:val="00A32410"/>
    <w:rsid w:val="00A32B48"/>
    <w:rsid w:val="00A36D00"/>
    <w:rsid w:val="00A43389"/>
    <w:rsid w:val="00A4642E"/>
    <w:rsid w:val="00A47AF8"/>
    <w:rsid w:val="00A52D75"/>
    <w:rsid w:val="00A53013"/>
    <w:rsid w:val="00A54BD6"/>
    <w:rsid w:val="00A5643A"/>
    <w:rsid w:val="00A57678"/>
    <w:rsid w:val="00A6090C"/>
    <w:rsid w:val="00A6200E"/>
    <w:rsid w:val="00A62D1E"/>
    <w:rsid w:val="00A65C6D"/>
    <w:rsid w:val="00A716B9"/>
    <w:rsid w:val="00A720D8"/>
    <w:rsid w:val="00A72216"/>
    <w:rsid w:val="00A733F2"/>
    <w:rsid w:val="00A75705"/>
    <w:rsid w:val="00A75BE1"/>
    <w:rsid w:val="00A8187C"/>
    <w:rsid w:val="00A82C9E"/>
    <w:rsid w:val="00A8324F"/>
    <w:rsid w:val="00A85142"/>
    <w:rsid w:val="00A95B37"/>
    <w:rsid w:val="00A96B6F"/>
    <w:rsid w:val="00AA0CE8"/>
    <w:rsid w:val="00AA35FD"/>
    <w:rsid w:val="00AA3DB7"/>
    <w:rsid w:val="00AA5EF2"/>
    <w:rsid w:val="00AA5F63"/>
    <w:rsid w:val="00AA7EBD"/>
    <w:rsid w:val="00AB2146"/>
    <w:rsid w:val="00AB69EF"/>
    <w:rsid w:val="00AC11DC"/>
    <w:rsid w:val="00AC3E87"/>
    <w:rsid w:val="00AC469F"/>
    <w:rsid w:val="00AD0611"/>
    <w:rsid w:val="00AD0E4F"/>
    <w:rsid w:val="00AD26D7"/>
    <w:rsid w:val="00AD3905"/>
    <w:rsid w:val="00AD4555"/>
    <w:rsid w:val="00AD4A31"/>
    <w:rsid w:val="00AD5638"/>
    <w:rsid w:val="00AD7214"/>
    <w:rsid w:val="00AE1066"/>
    <w:rsid w:val="00AE12A4"/>
    <w:rsid w:val="00AE2E1B"/>
    <w:rsid w:val="00AE5129"/>
    <w:rsid w:val="00AE5645"/>
    <w:rsid w:val="00AF1D6B"/>
    <w:rsid w:val="00AF24AA"/>
    <w:rsid w:val="00AF3AF9"/>
    <w:rsid w:val="00AF3E5F"/>
    <w:rsid w:val="00AF44C1"/>
    <w:rsid w:val="00AF4F09"/>
    <w:rsid w:val="00AF643E"/>
    <w:rsid w:val="00AF79C8"/>
    <w:rsid w:val="00B00FA8"/>
    <w:rsid w:val="00B011B0"/>
    <w:rsid w:val="00B0391C"/>
    <w:rsid w:val="00B047F6"/>
    <w:rsid w:val="00B06019"/>
    <w:rsid w:val="00B0700F"/>
    <w:rsid w:val="00B1493B"/>
    <w:rsid w:val="00B15119"/>
    <w:rsid w:val="00B17169"/>
    <w:rsid w:val="00B23996"/>
    <w:rsid w:val="00B23CB2"/>
    <w:rsid w:val="00B24A18"/>
    <w:rsid w:val="00B255C5"/>
    <w:rsid w:val="00B25807"/>
    <w:rsid w:val="00B268DD"/>
    <w:rsid w:val="00B32AE1"/>
    <w:rsid w:val="00B35FEC"/>
    <w:rsid w:val="00B37780"/>
    <w:rsid w:val="00B37813"/>
    <w:rsid w:val="00B37EEF"/>
    <w:rsid w:val="00B41C1D"/>
    <w:rsid w:val="00B43917"/>
    <w:rsid w:val="00B4515C"/>
    <w:rsid w:val="00B46220"/>
    <w:rsid w:val="00B464EA"/>
    <w:rsid w:val="00B47574"/>
    <w:rsid w:val="00B5430C"/>
    <w:rsid w:val="00B56A90"/>
    <w:rsid w:val="00B5711C"/>
    <w:rsid w:val="00B57BCF"/>
    <w:rsid w:val="00B57E36"/>
    <w:rsid w:val="00B60209"/>
    <w:rsid w:val="00B606A3"/>
    <w:rsid w:val="00B65D6F"/>
    <w:rsid w:val="00B673F3"/>
    <w:rsid w:val="00B67A25"/>
    <w:rsid w:val="00B7354A"/>
    <w:rsid w:val="00B7435B"/>
    <w:rsid w:val="00B74446"/>
    <w:rsid w:val="00B74B59"/>
    <w:rsid w:val="00B75DF8"/>
    <w:rsid w:val="00B76AA9"/>
    <w:rsid w:val="00B77142"/>
    <w:rsid w:val="00B8024E"/>
    <w:rsid w:val="00B80C3A"/>
    <w:rsid w:val="00B84643"/>
    <w:rsid w:val="00B85415"/>
    <w:rsid w:val="00B90452"/>
    <w:rsid w:val="00B90780"/>
    <w:rsid w:val="00B916D6"/>
    <w:rsid w:val="00B91AD8"/>
    <w:rsid w:val="00B9209B"/>
    <w:rsid w:val="00B9240D"/>
    <w:rsid w:val="00B95753"/>
    <w:rsid w:val="00B97E42"/>
    <w:rsid w:val="00BA0425"/>
    <w:rsid w:val="00BA0C05"/>
    <w:rsid w:val="00BA54D0"/>
    <w:rsid w:val="00BA7E30"/>
    <w:rsid w:val="00BB1013"/>
    <w:rsid w:val="00BB4515"/>
    <w:rsid w:val="00BB7B89"/>
    <w:rsid w:val="00BC1A9B"/>
    <w:rsid w:val="00BC2A22"/>
    <w:rsid w:val="00BC4986"/>
    <w:rsid w:val="00BC5E2E"/>
    <w:rsid w:val="00BC6379"/>
    <w:rsid w:val="00BC7EEF"/>
    <w:rsid w:val="00BD43BB"/>
    <w:rsid w:val="00BD72C1"/>
    <w:rsid w:val="00BD7ADE"/>
    <w:rsid w:val="00BE0C0D"/>
    <w:rsid w:val="00BE1A85"/>
    <w:rsid w:val="00BE46ED"/>
    <w:rsid w:val="00BE4FD1"/>
    <w:rsid w:val="00BE642D"/>
    <w:rsid w:val="00BE6D7A"/>
    <w:rsid w:val="00BF2511"/>
    <w:rsid w:val="00BF377F"/>
    <w:rsid w:val="00BF3F88"/>
    <w:rsid w:val="00BF57BE"/>
    <w:rsid w:val="00C0042B"/>
    <w:rsid w:val="00C02E58"/>
    <w:rsid w:val="00C030B6"/>
    <w:rsid w:val="00C04B38"/>
    <w:rsid w:val="00C067B7"/>
    <w:rsid w:val="00C10A09"/>
    <w:rsid w:val="00C121BC"/>
    <w:rsid w:val="00C14D92"/>
    <w:rsid w:val="00C16739"/>
    <w:rsid w:val="00C17F3F"/>
    <w:rsid w:val="00C23BA2"/>
    <w:rsid w:val="00C260A2"/>
    <w:rsid w:val="00C30DEC"/>
    <w:rsid w:val="00C31142"/>
    <w:rsid w:val="00C31DEF"/>
    <w:rsid w:val="00C338EB"/>
    <w:rsid w:val="00C35BB7"/>
    <w:rsid w:val="00C36B35"/>
    <w:rsid w:val="00C400CD"/>
    <w:rsid w:val="00C41617"/>
    <w:rsid w:val="00C4309A"/>
    <w:rsid w:val="00C43F23"/>
    <w:rsid w:val="00C43FF1"/>
    <w:rsid w:val="00C45494"/>
    <w:rsid w:val="00C52D18"/>
    <w:rsid w:val="00C54DC1"/>
    <w:rsid w:val="00C559CE"/>
    <w:rsid w:val="00C55E19"/>
    <w:rsid w:val="00C563AD"/>
    <w:rsid w:val="00C563BF"/>
    <w:rsid w:val="00C56EF8"/>
    <w:rsid w:val="00C57512"/>
    <w:rsid w:val="00C57607"/>
    <w:rsid w:val="00C61133"/>
    <w:rsid w:val="00C64009"/>
    <w:rsid w:val="00C7016D"/>
    <w:rsid w:val="00C71C12"/>
    <w:rsid w:val="00C754C7"/>
    <w:rsid w:val="00C767B3"/>
    <w:rsid w:val="00C76C07"/>
    <w:rsid w:val="00C80F23"/>
    <w:rsid w:val="00C850A3"/>
    <w:rsid w:val="00C87568"/>
    <w:rsid w:val="00C92451"/>
    <w:rsid w:val="00C9272C"/>
    <w:rsid w:val="00C97764"/>
    <w:rsid w:val="00C97C9B"/>
    <w:rsid w:val="00CA344C"/>
    <w:rsid w:val="00CB142D"/>
    <w:rsid w:val="00CB1AA0"/>
    <w:rsid w:val="00CB29F6"/>
    <w:rsid w:val="00CB2BBF"/>
    <w:rsid w:val="00CB481C"/>
    <w:rsid w:val="00CB4C8C"/>
    <w:rsid w:val="00CB62E1"/>
    <w:rsid w:val="00CB6EFE"/>
    <w:rsid w:val="00CC16F9"/>
    <w:rsid w:val="00CC28A9"/>
    <w:rsid w:val="00CC4183"/>
    <w:rsid w:val="00CC70A4"/>
    <w:rsid w:val="00CD4A0C"/>
    <w:rsid w:val="00CD5CEF"/>
    <w:rsid w:val="00CE06EC"/>
    <w:rsid w:val="00CE592E"/>
    <w:rsid w:val="00CE5BC5"/>
    <w:rsid w:val="00CF16A4"/>
    <w:rsid w:val="00CF299F"/>
    <w:rsid w:val="00CF3357"/>
    <w:rsid w:val="00CF58DF"/>
    <w:rsid w:val="00D00BC3"/>
    <w:rsid w:val="00D03538"/>
    <w:rsid w:val="00D04410"/>
    <w:rsid w:val="00D05602"/>
    <w:rsid w:val="00D05DA0"/>
    <w:rsid w:val="00D05EE7"/>
    <w:rsid w:val="00D06A9D"/>
    <w:rsid w:val="00D07C15"/>
    <w:rsid w:val="00D11D4F"/>
    <w:rsid w:val="00D13A01"/>
    <w:rsid w:val="00D140AD"/>
    <w:rsid w:val="00D15733"/>
    <w:rsid w:val="00D20364"/>
    <w:rsid w:val="00D2130C"/>
    <w:rsid w:val="00D26746"/>
    <w:rsid w:val="00D26DDD"/>
    <w:rsid w:val="00D27BDC"/>
    <w:rsid w:val="00D3194F"/>
    <w:rsid w:val="00D32161"/>
    <w:rsid w:val="00D33751"/>
    <w:rsid w:val="00D37343"/>
    <w:rsid w:val="00D37495"/>
    <w:rsid w:val="00D41727"/>
    <w:rsid w:val="00D427E4"/>
    <w:rsid w:val="00D45F1B"/>
    <w:rsid w:val="00D52289"/>
    <w:rsid w:val="00D55A37"/>
    <w:rsid w:val="00D55B7E"/>
    <w:rsid w:val="00D64354"/>
    <w:rsid w:val="00D66685"/>
    <w:rsid w:val="00D70D35"/>
    <w:rsid w:val="00D70D69"/>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20C7"/>
    <w:rsid w:val="00DF4D0C"/>
    <w:rsid w:val="00DF5C20"/>
    <w:rsid w:val="00DF7D81"/>
    <w:rsid w:val="00E02DEB"/>
    <w:rsid w:val="00E042A1"/>
    <w:rsid w:val="00E0476C"/>
    <w:rsid w:val="00E0576B"/>
    <w:rsid w:val="00E067EA"/>
    <w:rsid w:val="00E06D18"/>
    <w:rsid w:val="00E104FA"/>
    <w:rsid w:val="00E1320D"/>
    <w:rsid w:val="00E16022"/>
    <w:rsid w:val="00E1738C"/>
    <w:rsid w:val="00E174FF"/>
    <w:rsid w:val="00E205AA"/>
    <w:rsid w:val="00E22296"/>
    <w:rsid w:val="00E27360"/>
    <w:rsid w:val="00E27C04"/>
    <w:rsid w:val="00E30713"/>
    <w:rsid w:val="00E30EDF"/>
    <w:rsid w:val="00E31FBA"/>
    <w:rsid w:val="00E328E2"/>
    <w:rsid w:val="00E336BB"/>
    <w:rsid w:val="00E3384E"/>
    <w:rsid w:val="00E374C8"/>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0A5B"/>
    <w:rsid w:val="00E8342F"/>
    <w:rsid w:val="00E84632"/>
    <w:rsid w:val="00E847EE"/>
    <w:rsid w:val="00E876F9"/>
    <w:rsid w:val="00E9646A"/>
    <w:rsid w:val="00E96A72"/>
    <w:rsid w:val="00E96B52"/>
    <w:rsid w:val="00EA01F7"/>
    <w:rsid w:val="00EA1D33"/>
    <w:rsid w:val="00EA1F5A"/>
    <w:rsid w:val="00EA375F"/>
    <w:rsid w:val="00EA7104"/>
    <w:rsid w:val="00EA7533"/>
    <w:rsid w:val="00EB067F"/>
    <w:rsid w:val="00EB2419"/>
    <w:rsid w:val="00EB58F5"/>
    <w:rsid w:val="00EB6E6B"/>
    <w:rsid w:val="00EC010F"/>
    <w:rsid w:val="00EC2E3A"/>
    <w:rsid w:val="00EC3CCB"/>
    <w:rsid w:val="00EC5A74"/>
    <w:rsid w:val="00EC737D"/>
    <w:rsid w:val="00ED2154"/>
    <w:rsid w:val="00ED4277"/>
    <w:rsid w:val="00ED7C8C"/>
    <w:rsid w:val="00ED7DDB"/>
    <w:rsid w:val="00EE431B"/>
    <w:rsid w:val="00EE4874"/>
    <w:rsid w:val="00EE53E5"/>
    <w:rsid w:val="00EE6654"/>
    <w:rsid w:val="00EE73FB"/>
    <w:rsid w:val="00EE7BF0"/>
    <w:rsid w:val="00EF2674"/>
    <w:rsid w:val="00EF556F"/>
    <w:rsid w:val="00EF7537"/>
    <w:rsid w:val="00EF7D07"/>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477D"/>
    <w:rsid w:val="00F347FE"/>
    <w:rsid w:val="00F34859"/>
    <w:rsid w:val="00F356F7"/>
    <w:rsid w:val="00F40055"/>
    <w:rsid w:val="00F40868"/>
    <w:rsid w:val="00F44FDE"/>
    <w:rsid w:val="00F46467"/>
    <w:rsid w:val="00F4715C"/>
    <w:rsid w:val="00F47FF8"/>
    <w:rsid w:val="00F511ED"/>
    <w:rsid w:val="00F529B5"/>
    <w:rsid w:val="00F52AA4"/>
    <w:rsid w:val="00F55149"/>
    <w:rsid w:val="00F56162"/>
    <w:rsid w:val="00F56B7E"/>
    <w:rsid w:val="00F6052F"/>
    <w:rsid w:val="00F62FDE"/>
    <w:rsid w:val="00F654E6"/>
    <w:rsid w:val="00F662CD"/>
    <w:rsid w:val="00F67E39"/>
    <w:rsid w:val="00F703A8"/>
    <w:rsid w:val="00F707F1"/>
    <w:rsid w:val="00F7094A"/>
    <w:rsid w:val="00F710BE"/>
    <w:rsid w:val="00F72579"/>
    <w:rsid w:val="00F75D7B"/>
    <w:rsid w:val="00F804B9"/>
    <w:rsid w:val="00F80AE2"/>
    <w:rsid w:val="00F83FF9"/>
    <w:rsid w:val="00F870C3"/>
    <w:rsid w:val="00F91B52"/>
    <w:rsid w:val="00F97478"/>
    <w:rsid w:val="00F97B71"/>
    <w:rsid w:val="00F97B9E"/>
    <w:rsid w:val="00FA0527"/>
    <w:rsid w:val="00FA085E"/>
    <w:rsid w:val="00FA0947"/>
    <w:rsid w:val="00FA2D49"/>
    <w:rsid w:val="00FA4B52"/>
    <w:rsid w:val="00FA4D4F"/>
    <w:rsid w:val="00FA4D5B"/>
    <w:rsid w:val="00FA54E8"/>
    <w:rsid w:val="00FA6245"/>
    <w:rsid w:val="00FA786F"/>
    <w:rsid w:val="00FA7D19"/>
    <w:rsid w:val="00FA7EB3"/>
    <w:rsid w:val="00FB058F"/>
    <w:rsid w:val="00FB387C"/>
    <w:rsid w:val="00FB3C94"/>
    <w:rsid w:val="00FB419A"/>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1">
    <w:name w:val="日期 Char"/>
    <w:basedOn w:val="a1"/>
    <w:link w:val="ac"/>
    <w:rsid w:val="00D66685"/>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0">
    <w:name w:val="5"/>
    <w:pPr>
      <w:numPr>
        <w:numId w:val="8"/>
      </w:numPr>
    </w:pPr>
  </w:style>
</w:styles>
</file>

<file path=word/webSettings.xml><?xml version="1.0" encoding="utf-8"?>
<w:webSettings xmlns:r="http://schemas.openxmlformats.org/officeDocument/2006/relationships" xmlns:w="http://schemas.openxmlformats.org/wordprocessingml/2006/main">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09919158">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637145378">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529E4-7E3D-4FF8-92F7-A22D2228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0</TotalTime>
  <Pages>3</Pages>
  <Words>1033</Words>
  <Characters>5891</Characters>
  <Application>Microsoft Office Word</Application>
  <DocSecurity>4</DocSecurity>
  <Lines>49</Lines>
  <Paragraphs>13</Paragraphs>
  <ScaleCrop>false</ScaleCrop>
  <Company>TRT. Ltd. Co.</Company>
  <LinksUpToDate>false</LinksUpToDate>
  <CharactersWithSpaces>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ZHONGM</cp:lastModifiedBy>
  <cp:revision>2</cp:revision>
  <cp:lastPrinted>2007-07-19T00:46:00Z</cp:lastPrinted>
  <dcterms:created xsi:type="dcterms:W3CDTF">2018-07-19T17:56:00Z</dcterms:created>
  <dcterms:modified xsi:type="dcterms:W3CDTF">2018-07-19T17:56:00Z</dcterms:modified>
</cp:coreProperties>
</file>